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HAnsi" w:hAnsi="Times New Roman" w:cs="Times New Roman"/>
          <w:color w:val="auto"/>
          <w:sz w:val="24"/>
          <w:szCs w:val="24"/>
          <w:lang w:eastAsia="en-US"/>
        </w:rPr>
        <w:id w:val="-744263839"/>
        <w:docPartObj>
          <w:docPartGallery w:val="Table of Contents"/>
          <w:docPartUnique/>
        </w:docPartObj>
      </w:sdtPr>
      <w:sdtEndPr>
        <w:rPr>
          <w:b/>
          <w:bCs/>
        </w:rPr>
      </w:sdtEndPr>
      <w:sdtContent>
        <w:p w14:paraId="7E7F9E85" w14:textId="43F9B2DC" w:rsidR="008A0537" w:rsidRPr="001F78A4" w:rsidRDefault="008A0537" w:rsidP="003B450C">
          <w:pPr>
            <w:pStyle w:val="Hlavikaobsahu"/>
            <w:spacing w:before="0" w:line="240" w:lineRule="auto"/>
            <w:jc w:val="center"/>
            <w:rPr>
              <w:rFonts w:ascii="Times New Roman" w:hAnsi="Times New Roman" w:cs="Times New Roman"/>
              <w:b/>
              <w:color w:val="auto"/>
              <w:sz w:val="24"/>
              <w:szCs w:val="24"/>
            </w:rPr>
          </w:pPr>
          <w:r w:rsidRPr="001F78A4">
            <w:rPr>
              <w:rFonts w:ascii="Times New Roman" w:hAnsi="Times New Roman" w:cs="Times New Roman"/>
              <w:b/>
              <w:color w:val="auto"/>
              <w:sz w:val="24"/>
              <w:szCs w:val="24"/>
            </w:rPr>
            <w:t>Obsah</w:t>
          </w:r>
        </w:p>
        <w:p w14:paraId="0864CEEC" w14:textId="5E0655AA" w:rsidR="00C80201" w:rsidRPr="004A6E2F" w:rsidRDefault="00C27205">
          <w:pPr>
            <w:pStyle w:val="Obsah1"/>
            <w:rPr>
              <w:rFonts w:eastAsiaTheme="minorEastAsia" w:cs="Times New Roman"/>
              <w:b w:val="0"/>
              <w:bCs w:val="0"/>
              <w:sz w:val="24"/>
              <w:szCs w:val="24"/>
              <w:lang w:eastAsia="sk-SK"/>
            </w:rPr>
          </w:pPr>
          <w:r w:rsidRPr="004A6E2F">
            <w:rPr>
              <w:rFonts w:cs="Times New Roman"/>
              <w:sz w:val="24"/>
              <w:szCs w:val="24"/>
            </w:rPr>
            <w:fldChar w:fldCharType="begin"/>
          </w:r>
          <w:r w:rsidRPr="004A6E2F">
            <w:rPr>
              <w:rFonts w:cs="Times New Roman"/>
              <w:sz w:val="24"/>
              <w:szCs w:val="24"/>
            </w:rPr>
            <w:instrText xml:space="preserve"> TOC \o "1-5" \h \z \u </w:instrText>
          </w:r>
          <w:r w:rsidRPr="004A6E2F">
            <w:rPr>
              <w:rFonts w:cs="Times New Roman"/>
              <w:sz w:val="24"/>
              <w:szCs w:val="24"/>
            </w:rPr>
            <w:fldChar w:fldCharType="separate"/>
          </w:r>
          <w:hyperlink w:anchor="_Toc164846921" w:history="1">
            <w:r w:rsidR="00C80201" w:rsidRPr="004A6E2F">
              <w:rPr>
                <w:rStyle w:val="Hypertextovprepojenie"/>
                <w:rFonts w:cs="Times New Roman"/>
                <w:sz w:val="24"/>
                <w:szCs w:val="24"/>
              </w:rPr>
              <w:t>Zhrnutie</w:t>
            </w:r>
            <w:r w:rsidR="00C80201" w:rsidRPr="004A6E2F">
              <w:rPr>
                <w:rFonts w:cs="Times New Roman"/>
                <w:webHidden/>
                <w:sz w:val="24"/>
                <w:szCs w:val="24"/>
              </w:rPr>
              <w:tab/>
            </w:r>
            <w:r w:rsidR="00C80201" w:rsidRPr="004A6E2F">
              <w:rPr>
                <w:rFonts w:cs="Times New Roman"/>
                <w:webHidden/>
                <w:sz w:val="24"/>
                <w:szCs w:val="24"/>
              </w:rPr>
              <w:fldChar w:fldCharType="begin"/>
            </w:r>
            <w:r w:rsidR="00C80201" w:rsidRPr="004A6E2F">
              <w:rPr>
                <w:rFonts w:cs="Times New Roman"/>
                <w:webHidden/>
                <w:sz w:val="24"/>
                <w:szCs w:val="24"/>
              </w:rPr>
              <w:instrText xml:space="preserve"> PAGEREF _Toc164846921 \h </w:instrText>
            </w:r>
            <w:r w:rsidR="00C80201" w:rsidRPr="004A6E2F">
              <w:rPr>
                <w:rFonts w:cs="Times New Roman"/>
                <w:webHidden/>
                <w:sz w:val="24"/>
                <w:szCs w:val="24"/>
              </w:rPr>
            </w:r>
            <w:r w:rsidR="00C80201" w:rsidRPr="004A6E2F">
              <w:rPr>
                <w:rFonts w:cs="Times New Roman"/>
                <w:webHidden/>
                <w:sz w:val="24"/>
                <w:szCs w:val="24"/>
              </w:rPr>
              <w:fldChar w:fldCharType="separate"/>
            </w:r>
            <w:r w:rsidR="00B87DB8">
              <w:rPr>
                <w:rFonts w:cs="Times New Roman"/>
                <w:webHidden/>
                <w:sz w:val="24"/>
                <w:szCs w:val="24"/>
              </w:rPr>
              <w:t>2</w:t>
            </w:r>
            <w:r w:rsidR="00C80201" w:rsidRPr="004A6E2F">
              <w:rPr>
                <w:rFonts w:cs="Times New Roman"/>
                <w:webHidden/>
                <w:sz w:val="24"/>
                <w:szCs w:val="24"/>
              </w:rPr>
              <w:fldChar w:fldCharType="end"/>
            </w:r>
          </w:hyperlink>
        </w:p>
        <w:p w14:paraId="1E62F1B4" w14:textId="540813BD" w:rsidR="00C80201" w:rsidRPr="004A6E2F" w:rsidRDefault="009C66DE">
          <w:pPr>
            <w:pStyle w:val="Obsah1"/>
            <w:rPr>
              <w:rFonts w:eastAsiaTheme="minorEastAsia" w:cs="Times New Roman"/>
              <w:b w:val="0"/>
              <w:bCs w:val="0"/>
              <w:sz w:val="24"/>
              <w:szCs w:val="24"/>
              <w:lang w:eastAsia="sk-SK"/>
            </w:rPr>
          </w:pPr>
          <w:hyperlink w:anchor="_Toc164846922" w:history="1">
            <w:r w:rsidR="00C80201" w:rsidRPr="004A6E2F">
              <w:rPr>
                <w:rStyle w:val="Hypertextovprepojenie"/>
                <w:rFonts w:cs="Times New Roman"/>
                <w:sz w:val="24"/>
                <w:szCs w:val="24"/>
              </w:rPr>
              <w:t>1</w:t>
            </w:r>
            <w:r w:rsidR="00C80201" w:rsidRPr="004A6E2F">
              <w:rPr>
                <w:rFonts w:eastAsiaTheme="minorEastAsia" w:cs="Times New Roman"/>
                <w:b w:val="0"/>
                <w:bCs w:val="0"/>
                <w:sz w:val="24"/>
                <w:szCs w:val="24"/>
                <w:lang w:eastAsia="sk-SK"/>
              </w:rPr>
              <w:tab/>
            </w:r>
            <w:r w:rsidR="00C80201" w:rsidRPr="004A6E2F">
              <w:rPr>
                <w:rStyle w:val="Hypertextovprepojenie"/>
                <w:rFonts w:cs="Times New Roman"/>
                <w:sz w:val="24"/>
                <w:szCs w:val="24"/>
              </w:rPr>
              <w:t>Ekonomický rámec rozpočtového hospodárenia Slovenskej republiky</w:t>
            </w:r>
            <w:r w:rsidR="00C80201" w:rsidRPr="004A6E2F">
              <w:rPr>
                <w:rFonts w:cs="Times New Roman"/>
                <w:webHidden/>
                <w:sz w:val="24"/>
                <w:szCs w:val="24"/>
              </w:rPr>
              <w:tab/>
            </w:r>
            <w:r w:rsidR="00C80201" w:rsidRPr="004A6E2F">
              <w:rPr>
                <w:rFonts w:cs="Times New Roman"/>
                <w:webHidden/>
                <w:sz w:val="24"/>
                <w:szCs w:val="24"/>
              </w:rPr>
              <w:fldChar w:fldCharType="begin"/>
            </w:r>
            <w:r w:rsidR="00C80201" w:rsidRPr="004A6E2F">
              <w:rPr>
                <w:rFonts w:cs="Times New Roman"/>
                <w:webHidden/>
                <w:sz w:val="24"/>
                <w:szCs w:val="24"/>
              </w:rPr>
              <w:instrText xml:space="preserve"> PAGEREF _Toc164846922 \h </w:instrText>
            </w:r>
            <w:r w:rsidR="00C80201" w:rsidRPr="004A6E2F">
              <w:rPr>
                <w:rFonts w:cs="Times New Roman"/>
                <w:webHidden/>
                <w:sz w:val="24"/>
                <w:szCs w:val="24"/>
              </w:rPr>
            </w:r>
            <w:r w:rsidR="00C80201" w:rsidRPr="004A6E2F">
              <w:rPr>
                <w:rFonts w:cs="Times New Roman"/>
                <w:webHidden/>
                <w:sz w:val="24"/>
                <w:szCs w:val="24"/>
              </w:rPr>
              <w:fldChar w:fldCharType="separate"/>
            </w:r>
            <w:r w:rsidR="00B87DB8">
              <w:rPr>
                <w:rFonts w:cs="Times New Roman"/>
                <w:webHidden/>
                <w:sz w:val="24"/>
                <w:szCs w:val="24"/>
              </w:rPr>
              <w:t>3</w:t>
            </w:r>
            <w:r w:rsidR="00C80201" w:rsidRPr="004A6E2F">
              <w:rPr>
                <w:rFonts w:cs="Times New Roman"/>
                <w:webHidden/>
                <w:sz w:val="24"/>
                <w:szCs w:val="24"/>
              </w:rPr>
              <w:fldChar w:fldCharType="end"/>
            </w:r>
          </w:hyperlink>
        </w:p>
        <w:p w14:paraId="54DF422F" w14:textId="3287EC59" w:rsidR="00C80201" w:rsidRPr="004A6E2F" w:rsidRDefault="009C66DE">
          <w:pPr>
            <w:pStyle w:val="Obsah2"/>
            <w:rPr>
              <w:rFonts w:eastAsiaTheme="minorEastAsia" w:cs="Times New Roman"/>
              <w:b w:val="0"/>
              <w:bCs w:val="0"/>
              <w:sz w:val="24"/>
              <w:szCs w:val="24"/>
              <w:lang w:eastAsia="sk-SK"/>
            </w:rPr>
          </w:pPr>
          <w:hyperlink w:anchor="_Toc164846923" w:history="1">
            <w:r w:rsidR="00C80201" w:rsidRPr="004A6E2F">
              <w:rPr>
                <w:rStyle w:val="Hypertextovprepojenie"/>
                <w:rFonts w:cs="Times New Roman"/>
                <w:sz w:val="24"/>
                <w:szCs w:val="24"/>
              </w:rPr>
              <w:t>1.1</w:t>
            </w:r>
            <w:r w:rsidR="00C80201" w:rsidRPr="004A6E2F">
              <w:rPr>
                <w:rFonts w:eastAsiaTheme="minorEastAsia" w:cs="Times New Roman"/>
                <w:b w:val="0"/>
                <w:bCs w:val="0"/>
                <w:sz w:val="24"/>
                <w:szCs w:val="24"/>
                <w:lang w:eastAsia="sk-SK"/>
              </w:rPr>
              <w:tab/>
            </w:r>
            <w:r w:rsidR="00C80201" w:rsidRPr="004A6E2F">
              <w:rPr>
                <w:rStyle w:val="Hypertextovprepojenie"/>
                <w:rFonts w:cs="Times New Roman"/>
                <w:sz w:val="24"/>
                <w:szCs w:val="24"/>
              </w:rPr>
              <w:t>Vonkajšie ekonomické prostredie</w:t>
            </w:r>
            <w:r w:rsidR="00C80201" w:rsidRPr="004A6E2F">
              <w:rPr>
                <w:rFonts w:cs="Times New Roman"/>
                <w:webHidden/>
                <w:sz w:val="24"/>
                <w:szCs w:val="24"/>
              </w:rPr>
              <w:tab/>
            </w:r>
            <w:r w:rsidR="00C80201" w:rsidRPr="004A6E2F">
              <w:rPr>
                <w:rFonts w:cs="Times New Roman"/>
                <w:webHidden/>
                <w:sz w:val="24"/>
                <w:szCs w:val="24"/>
              </w:rPr>
              <w:fldChar w:fldCharType="begin"/>
            </w:r>
            <w:r w:rsidR="00C80201" w:rsidRPr="004A6E2F">
              <w:rPr>
                <w:rFonts w:cs="Times New Roman"/>
                <w:webHidden/>
                <w:sz w:val="24"/>
                <w:szCs w:val="24"/>
              </w:rPr>
              <w:instrText xml:space="preserve"> PAGEREF _Toc164846923 \h </w:instrText>
            </w:r>
            <w:r w:rsidR="00C80201" w:rsidRPr="004A6E2F">
              <w:rPr>
                <w:rFonts w:cs="Times New Roman"/>
                <w:webHidden/>
                <w:sz w:val="24"/>
                <w:szCs w:val="24"/>
              </w:rPr>
            </w:r>
            <w:r w:rsidR="00C80201" w:rsidRPr="004A6E2F">
              <w:rPr>
                <w:rFonts w:cs="Times New Roman"/>
                <w:webHidden/>
                <w:sz w:val="24"/>
                <w:szCs w:val="24"/>
              </w:rPr>
              <w:fldChar w:fldCharType="separate"/>
            </w:r>
            <w:r w:rsidR="00B87DB8">
              <w:rPr>
                <w:rFonts w:cs="Times New Roman"/>
                <w:webHidden/>
                <w:sz w:val="24"/>
                <w:szCs w:val="24"/>
              </w:rPr>
              <w:t>3</w:t>
            </w:r>
            <w:r w:rsidR="00C80201" w:rsidRPr="004A6E2F">
              <w:rPr>
                <w:rFonts w:cs="Times New Roman"/>
                <w:webHidden/>
                <w:sz w:val="24"/>
                <w:szCs w:val="24"/>
              </w:rPr>
              <w:fldChar w:fldCharType="end"/>
            </w:r>
          </w:hyperlink>
        </w:p>
        <w:p w14:paraId="13FADCF8" w14:textId="6C8F14FD" w:rsidR="00C80201" w:rsidRPr="004A6E2F" w:rsidRDefault="009C66DE">
          <w:pPr>
            <w:pStyle w:val="Obsah2"/>
            <w:rPr>
              <w:rFonts w:eastAsiaTheme="minorEastAsia" w:cs="Times New Roman"/>
              <w:b w:val="0"/>
              <w:bCs w:val="0"/>
              <w:sz w:val="24"/>
              <w:szCs w:val="24"/>
              <w:lang w:eastAsia="sk-SK"/>
            </w:rPr>
          </w:pPr>
          <w:hyperlink w:anchor="_Toc164846924" w:history="1">
            <w:r w:rsidR="00C80201" w:rsidRPr="004A6E2F">
              <w:rPr>
                <w:rStyle w:val="Hypertextovprepojenie"/>
                <w:rFonts w:cs="Times New Roman"/>
                <w:sz w:val="24"/>
                <w:szCs w:val="24"/>
              </w:rPr>
              <w:t>1.2</w:t>
            </w:r>
            <w:r w:rsidR="00C80201" w:rsidRPr="004A6E2F">
              <w:rPr>
                <w:rFonts w:eastAsiaTheme="minorEastAsia" w:cs="Times New Roman"/>
                <w:b w:val="0"/>
                <w:bCs w:val="0"/>
                <w:sz w:val="24"/>
                <w:szCs w:val="24"/>
                <w:lang w:eastAsia="sk-SK"/>
              </w:rPr>
              <w:tab/>
            </w:r>
            <w:r w:rsidR="00C80201" w:rsidRPr="004A6E2F">
              <w:rPr>
                <w:rStyle w:val="Hypertextovprepojenie"/>
                <w:rFonts w:cs="Times New Roman"/>
                <w:sz w:val="24"/>
                <w:szCs w:val="24"/>
              </w:rPr>
              <w:t>Makroekonomický vývoj SR</w:t>
            </w:r>
            <w:r w:rsidR="00C80201" w:rsidRPr="004A6E2F">
              <w:rPr>
                <w:rFonts w:cs="Times New Roman"/>
                <w:webHidden/>
                <w:sz w:val="24"/>
                <w:szCs w:val="24"/>
              </w:rPr>
              <w:tab/>
            </w:r>
            <w:r w:rsidR="00C80201" w:rsidRPr="004A6E2F">
              <w:rPr>
                <w:rFonts w:cs="Times New Roman"/>
                <w:webHidden/>
                <w:sz w:val="24"/>
                <w:szCs w:val="24"/>
              </w:rPr>
              <w:fldChar w:fldCharType="begin"/>
            </w:r>
            <w:r w:rsidR="00C80201" w:rsidRPr="004A6E2F">
              <w:rPr>
                <w:rFonts w:cs="Times New Roman"/>
                <w:webHidden/>
                <w:sz w:val="24"/>
                <w:szCs w:val="24"/>
              </w:rPr>
              <w:instrText xml:space="preserve"> PAGEREF _Toc164846924 \h </w:instrText>
            </w:r>
            <w:r w:rsidR="00C80201" w:rsidRPr="004A6E2F">
              <w:rPr>
                <w:rFonts w:cs="Times New Roman"/>
                <w:webHidden/>
                <w:sz w:val="24"/>
                <w:szCs w:val="24"/>
              </w:rPr>
            </w:r>
            <w:r w:rsidR="00C80201" w:rsidRPr="004A6E2F">
              <w:rPr>
                <w:rFonts w:cs="Times New Roman"/>
                <w:webHidden/>
                <w:sz w:val="24"/>
                <w:szCs w:val="24"/>
              </w:rPr>
              <w:fldChar w:fldCharType="separate"/>
            </w:r>
            <w:r w:rsidR="00B87DB8">
              <w:rPr>
                <w:rFonts w:cs="Times New Roman"/>
                <w:webHidden/>
                <w:sz w:val="24"/>
                <w:szCs w:val="24"/>
              </w:rPr>
              <w:t>4</w:t>
            </w:r>
            <w:r w:rsidR="00C80201" w:rsidRPr="004A6E2F">
              <w:rPr>
                <w:rFonts w:cs="Times New Roman"/>
                <w:webHidden/>
                <w:sz w:val="24"/>
                <w:szCs w:val="24"/>
              </w:rPr>
              <w:fldChar w:fldCharType="end"/>
            </w:r>
          </w:hyperlink>
        </w:p>
        <w:p w14:paraId="19FBCC0B" w14:textId="51678E52" w:rsidR="00C80201" w:rsidRPr="004A6E2F" w:rsidRDefault="009C66DE">
          <w:pPr>
            <w:pStyle w:val="Obsah3"/>
            <w:rPr>
              <w:rFonts w:eastAsiaTheme="minorEastAsia"/>
              <w:sz w:val="24"/>
              <w:szCs w:val="24"/>
              <w:lang w:eastAsia="sk-SK"/>
            </w:rPr>
          </w:pPr>
          <w:hyperlink w:anchor="_Toc164846925" w:history="1">
            <w:r w:rsidR="00C80201" w:rsidRPr="004A6E2F">
              <w:rPr>
                <w:rStyle w:val="Hypertextovprepojenie"/>
                <w:sz w:val="24"/>
                <w:szCs w:val="24"/>
              </w:rPr>
              <w:t>1.2.1</w:t>
            </w:r>
            <w:r w:rsidR="00C80201" w:rsidRPr="004A6E2F">
              <w:rPr>
                <w:rFonts w:eastAsiaTheme="minorEastAsia"/>
                <w:sz w:val="24"/>
                <w:szCs w:val="24"/>
                <w:lang w:eastAsia="sk-SK"/>
              </w:rPr>
              <w:tab/>
            </w:r>
            <w:r w:rsidR="00C80201" w:rsidRPr="004A6E2F">
              <w:rPr>
                <w:rStyle w:val="Hypertextovprepojenie"/>
                <w:sz w:val="24"/>
                <w:szCs w:val="24"/>
              </w:rPr>
              <w:t>Hrubý domáci produkt</w:t>
            </w:r>
            <w:r w:rsidR="00C80201" w:rsidRPr="004A6E2F">
              <w:rPr>
                <w:webHidden/>
                <w:sz w:val="24"/>
                <w:szCs w:val="24"/>
              </w:rPr>
              <w:tab/>
            </w:r>
            <w:r w:rsidR="00C80201" w:rsidRPr="004A6E2F">
              <w:rPr>
                <w:webHidden/>
                <w:sz w:val="24"/>
                <w:szCs w:val="24"/>
              </w:rPr>
              <w:fldChar w:fldCharType="begin"/>
            </w:r>
            <w:r w:rsidR="00C80201" w:rsidRPr="004A6E2F">
              <w:rPr>
                <w:webHidden/>
                <w:sz w:val="24"/>
                <w:szCs w:val="24"/>
              </w:rPr>
              <w:instrText xml:space="preserve"> PAGEREF _Toc164846925 \h </w:instrText>
            </w:r>
            <w:r w:rsidR="00C80201" w:rsidRPr="004A6E2F">
              <w:rPr>
                <w:webHidden/>
                <w:sz w:val="24"/>
                <w:szCs w:val="24"/>
              </w:rPr>
            </w:r>
            <w:r w:rsidR="00C80201" w:rsidRPr="004A6E2F">
              <w:rPr>
                <w:webHidden/>
                <w:sz w:val="24"/>
                <w:szCs w:val="24"/>
              </w:rPr>
              <w:fldChar w:fldCharType="separate"/>
            </w:r>
            <w:r w:rsidR="00B87DB8">
              <w:rPr>
                <w:webHidden/>
                <w:sz w:val="24"/>
                <w:szCs w:val="24"/>
              </w:rPr>
              <w:t>4</w:t>
            </w:r>
            <w:r w:rsidR="00C80201" w:rsidRPr="004A6E2F">
              <w:rPr>
                <w:webHidden/>
                <w:sz w:val="24"/>
                <w:szCs w:val="24"/>
              </w:rPr>
              <w:fldChar w:fldCharType="end"/>
            </w:r>
          </w:hyperlink>
        </w:p>
        <w:p w14:paraId="6BCF9371" w14:textId="00FBABE0" w:rsidR="00C80201" w:rsidRPr="004A6E2F" w:rsidRDefault="009C66DE">
          <w:pPr>
            <w:pStyle w:val="Obsah3"/>
            <w:rPr>
              <w:rFonts w:eastAsiaTheme="minorEastAsia"/>
              <w:sz w:val="24"/>
              <w:szCs w:val="24"/>
              <w:lang w:eastAsia="sk-SK"/>
            </w:rPr>
          </w:pPr>
          <w:hyperlink w:anchor="_Toc164846926" w:history="1">
            <w:r w:rsidR="00C80201" w:rsidRPr="004A6E2F">
              <w:rPr>
                <w:rStyle w:val="Hypertextovprepojenie"/>
                <w:sz w:val="24"/>
                <w:szCs w:val="24"/>
              </w:rPr>
              <w:t>1.2.2</w:t>
            </w:r>
            <w:r w:rsidR="00C80201" w:rsidRPr="004A6E2F">
              <w:rPr>
                <w:rFonts w:eastAsiaTheme="minorEastAsia"/>
                <w:sz w:val="24"/>
                <w:szCs w:val="24"/>
                <w:lang w:eastAsia="sk-SK"/>
              </w:rPr>
              <w:tab/>
            </w:r>
            <w:r w:rsidR="00C80201" w:rsidRPr="004A6E2F">
              <w:rPr>
                <w:rStyle w:val="Hypertextovprepojenie"/>
                <w:sz w:val="24"/>
                <w:szCs w:val="24"/>
              </w:rPr>
              <w:t>Trh práce</w:t>
            </w:r>
            <w:r w:rsidR="00C80201" w:rsidRPr="004A6E2F">
              <w:rPr>
                <w:webHidden/>
                <w:sz w:val="24"/>
                <w:szCs w:val="24"/>
              </w:rPr>
              <w:tab/>
            </w:r>
            <w:r w:rsidR="00C80201" w:rsidRPr="004A6E2F">
              <w:rPr>
                <w:webHidden/>
                <w:sz w:val="24"/>
                <w:szCs w:val="24"/>
              </w:rPr>
              <w:fldChar w:fldCharType="begin"/>
            </w:r>
            <w:r w:rsidR="00C80201" w:rsidRPr="004A6E2F">
              <w:rPr>
                <w:webHidden/>
                <w:sz w:val="24"/>
                <w:szCs w:val="24"/>
              </w:rPr>
              <w:instrText xml:space="preserve"> PAGEREF _Toc164846926 \h </w:instrText>
            </w:r>
            <w:r w:rsidR="00C80201" w:rsidRPr="004A6E2F">
              <w:rPr>
                <w:webHidden/>
                <w:sz w:val="24"/>
                <w:szCs w:val="24"/>
              </w:rPr>
            </w:r>
            <w:r w:rsidR="00C80201" w:rsidRPr="004A6E2F">
              <w:rPr>
                <w:webHidden/>
                <w:sz w:val="24"/>
                <w:szCs w:val="24"/>
              </w:rPr>
              <w:fldChar w:fldCharType="separate"/>
            </w:r>
            <w:r w:rsidR="00B87DB8">
              <w:rPr>
                <w:webHidden/>
                <w:sz w:val="24"/>
                <w:szCs w:val="24"/>
              </w:rPr>
              <w:t>4</w:t>
            </w:r>
            <w:r w:rsidR="00C80201" w:rsidRPr="004A6E2F">
              <w:rPr>
                <w:webHidden/>
                <w:sz w:val="24"/>
                <w:szCs w:val="24"/>
              </w:rPr>
              <w:fldChar w:fldCharType="end"/>
            </w:r>
          </w:hyperlink>
        </w:p>
        <w:p w14:paraId="155840E7" w14:textId="02C6BE89" w:rsidR="00C80201" w:rsidRPr="004A6E2F" w:rsidRDefault="009C66DE">
          <w:pPr>
            <w:pStyle w:val="Obsah3"/>
            <w:rPr>
              <w:rFonts w:eastAsiaTheme="minorEastAsia"/>
              <w:sz w:val="24"/>
              <w:szCs w:val="24"/>
              <w:lang w:eastAsia="sk-SK"/>
            </w:rPr>
          </w:pPr>
          <w:hyperlink w:anchor="_Toc164846927" w:history="1">
            <w:r w:rsidR="00C80201" w:rsidRPr="004A6E2F">
              <w:rPr>
                <w:rStyle w:val="Hypertextovprepojenie"/>
                <w:sz w:val="24"/>
                <w:szCs w:val="24"/>
              </w:rPr>
              <w:t>1.2.3</w:t>
            </w:r>
            <w:r w:rsidR="00C80201" w:rsidRPr="004A6E2F">
              <w:rPr>
                <w:rFonts w:eastAsiaTheme="minorEastAsia"/>
                <w:sz w:val="24"/>
                <w:szCs w:val="24"/>
                <w:lang w:eastAsia="sk-SK"/>
              </w:rPr>
              <w:tab/>
            </w:r>
            <w:r w:rsidR="00C80201" w:rsidRPr="004A6E2F">
              <w:rPr>
                <w:rStyle w:val="Hypertextovprepojenie"/>
                <w:sz w:val="24"/>
                <w:szCs w:val="24"/>
              </w:rPr>
              <w:t>Vývoj cien</w:t>
            </w:r>
            <w:r w:rsidR="00C80201" w:rsidRPr="004A6E2F">
              <w:rPr>
                <w:webHidden/>
                <w:sz w:val="24"/>
                <w:szCs w:val="24"/>
              </w:rPr>
              <w:tab/>
            </w:r>
            <w:r w:rsidR="00C80201" w:rsidRPr="004A6E2F">
              <w:rPr>
                <w:webHidden/>
                <w:sz w:val="24"/>
                <w:szCs w:val="24"/>
              </w:rPr>
              <w:fldChar w:fldCharType="begin"/>
            </w:r>
            <w:r w:rsidR="00C80201" w:rsidRPr="004A6E2F">
              <w:rPr>
                <w:webHidden/>
                <w:sz w:val="24"/>
                <w:szCs w:val="24"/>
              </w:rPr>
              <w:instrText xml:space="preserve"> PAGEREF _Toc164846927 \h </w:instrText>
            </w:r>
            <w:r w:rsidR="00C80201" w:rsidRPr="004A6E2F">
              <w:rPr>
                <w:webHidden/>
                <w:sz w:val="24"/>
                <w:szCs w:val="24"/>
              </w:rPr>
            </w:r>
            <w:r w:rsidR="00C80201" w:rsidRPr="004A6E2F">
              <w:rPr>
                <w:webHidden/>
                <w:sz w:val="24"/>
                <w:szCs w:val="24"/>
              </w:rPr>
              <w:fldChar w:fldCharType="separate"/>
            </w:r>
            <w:r w:rsidR="00B87DB8">
              <w:rPr>
                <w:webHidden/>
                <w:sz w:val="24"/>
                <w:szCs w:val="24"/>
              </w:rPr>
              <w:t>5</w:t>
            </w:r>
            <w:r w:rsidR="00C80201" w:rsidRPr="004A6E2F">
              <w:rPr>
                <w:webHidden/>
                <w:sz w:val="24"/>
                <w:szCs w:val="24"/>
              </w:rPr>
              <w:fldChar w:fldCharType="end"/>
            </w:r>
          </w:hyperlink>
        </w:p>
        <w:p w14:paraId="75BE924A" w14:textId="0CB7FC89" w:rsidR="00C80201" w:rsidRPr="004A6E2F" w:rsidRDefault="009C66DE">
          <w:pPr>
            <w:pStyle w:val="Obsah3"/>
            <w:rPr>
              <w:rFonts w:eastAsiaTheme="minorEastAsia"/>
              <w:sz w:val="24"/>
              <w:szCs w:val="24"/>
              <w:lang w:eastAsia="sk-SK"/>
            </w:rPr>
          </w:pPr>
          <w:hyperlink w:anchor="_Toc164846928" w:history="1">
            <w:r w:rsidR="00C80201" w:rsidRPr="004A6E2F">
              <w:rPr>
                <w:rStyle w:val="Hypertextovprepojenie"/>
                <w:sz w:val="24"/>
                <w:szCs w:val="24"/>
              </w:rPr>
              <w:t>1.2.4</w:t>
            </w:r>
            <w:r w:rsidR="00C80201" w:rsidRPr="004A6E2F">
              <w:rPr>
                <w:rFonts w:eastAsiaTheme="minorEastAsia"/>
                <w:sz w:val="24"/>
                <w:szCs w:val="24"/>
                <w:lang w:eastAsia="sk-SK"/>
              </w:rPr>
              <w:tab/>
            </w:r>
            <w:r w:rsidR="00C80201" w:rsidRPr="004A6E2F">
              <w:rPr>
                <w:rStyle w:val="Hypertextovprepojenie"/>
                <w:sz w:val="24"/>
                <w:szCs w:val="24"/>
              </w:rPr>
              <w:t>Platobná bilancia</w:t>
            </w:r>
            <w:r w:rsidR="00C80201" w:rsidRPr="004A6E2F">
              <w:rPr>
                <w:webHidden/>
                <w:sz w:val="24"/>
                <w:szCs w:val="24"/>
              </w:rPr>
              <w:tab/>
            </w:r>
            <w:r w:rsidR="00C80201" w:rsidRPr="004A6E2F">
              <w:rPr>
                <w:webHidden/>
                <w:sz w:val="24"/>
                <w:szCs w:val="24"/>
              </w:rPr>
              <w:fldChar w:fldCharType="begin"/>
            </w:r>
            <w:r w:rsidR="00C80201" w:rsidRPr="004A6E2F">
              <w:rPr>
                <w:webHidden/>
                <w:sz w:val="24"/>
                <w:szCs w:val="24"/>
              </w:rPr>
              <w:instrText xml:space="preserve"> PAGEREF _Toc164846928 \h </w:instrText>
            </w:r>
            <w:r w:rsidR="00C80201" w:rsidRPr="004A6E2F">
              <w:rPr>
                <w:webHidden/>
                <w:sz w:val="24"/>
                <w:szCs w:val="24"/>
              </w:rPr>
            </w:r>
            <w:r w:rsidR="00C80201" w:rsidRPr="004A6E2F">
              <w:rPr>
                <w:webHidden/>
                <w:sz w:val="24"/>
                <w:szCs w:val="24"/>
              </w:rPr>
              <w:fldChar w:fldCharType="separate"/>
            </w:r>
            <w:r w:rsidR="00B87DB8">
              <w:rPr>
                <w:webHidden/>
                <w:sz w:val="24"/>
                <w:szCs w:val="24"/>
              </w:rPr>
              <w:t>5</w:t>
            </w:r>
            <w:r w:rsidR="00C80201" w:rsidRPr="004A6E2F">
              <w:rPr>
                <w:webHidden/>
                <w:sz w:val="24"/>
                <w:szCs w:val="24"/>
              </w:rPr>
              <w:fldChar w:fldCharType="end"/>
            </w:r>
          </w:hyperlink>
        </w:p>
        <w:p w14:paraId="2AFF1FD0" w14:textId="386904B5" w:rsidR="00C80201" w:rsidRPr="004A6E2F" w:rsidRDefault="009C66DE">
          <w:pPr>
            <w:pStyle w:val="Obsah3"/>
            <w:rPr>
              <w:rFonts w:eastAsiaTheme="minorEastAsia"/>
              <w:sz w:val="24"/>
              <w:szCs w:val="24"/>
              <w:lang w:eastAsia="sk-SK"/>
            </w:rPr>
          </w:pPr>
          <w:hyperlink w:anchor="_Toc164846929" w:history="1">
            <w:r w:rsidR="00C80201" w:rsidRPr="004A6E2F">
              <w:rPr>
                <w:rStyle w:val="Hypertextovprepojenie"/>
                <w:sz w:val="24"/>
                <w:szCs w:val="24"/>
              </w:rPr>
              <w:t>1.2.5</w:t>
            </w:r>
            <w:r w:rsidR="00C80201" w:rsidRPr="004A6E2F">
              <w:rPr>
                <w:rFonts w:eastAsiaTheme="minorEastAsia"/>
                <w:sz w:val="24"/>
                <w:szCs w:val="24"/>
                <w:lang w:eastAsia="sk-SK"/>
              </w:rPr>
              <w:tab/>
            </w:r>
            <w:r w:rsidR="00C80201" w:rsidRPr="004A6E2F">
              <w:rPr>
                <w:rStyle w:val="Hypertextovprepojenie"/>
                <w:sz w:val="24"/>
                <w:szCs w:val="24"/>
              </w:rPr>
              <w:t>Porovnanie makroekonomických predpokladov rozpočtu a skutočnosti</w:t>
            </w:r>
            <w:r w:rsidR="00C80201" w:rsidRPr="004A6E2F">
              <w:rPr>
                <w:webHidden/>
                <w:sz w:val="24"/>
                <w:szCs w:val="24"/>
              </w:rPr>
              <w:tab/>
            </w:r>
            <w:r w:rsidR="00C80201" w:rsidRPr="004A6E2F">
              <w:rPr>
                <w:webHidden/>
                <w:sz w:val="24"/>
                <w:szCs w:val="24"/>
              </w:rPr>
              <w:fldChar w:fldCharType="begin"/>
            </w:r>
            <w:r w:rsidR="00C80201" w:rsidRPr="004A6E2F">
              <w:rPr>
                <w:webHidden/>
                <w:sz w:val="24"/>
                <w:szCs w:val="24"/>
              </w:rPr>
              <w:instrText xml:space="preserve"> PAGEREF _Toc164846929 \h </w:instrText>
            </w:r>
            <w:r w:rsidR="00C80201" w:rsidRPr="004A6E2F">
              <w:rPr>
                <w:webHidden/>
                <w:sz w:val="24"/>
                <w:szCs w:val="24"/>
              </w:rPr>
            </w:r>
            <w:r w:rsidR="00C80201" w:rsidRPr="004A6E2F">
              <w:rPr>
                <w:webHidden/>
                <w:sz w:val="24"/>
                <w:szCs w:val="24"/>
              </w:rPr>
              <w:fldChar w:fldCharType="separate"/>
            </w:r>
            <w:r w:rsidR="00B87DB8">
              <w:rPr>
                <w:webHidden/>
                <w:sz w:val="24"/>
                <w:szCs w:val="24"/>
              </w:rPr>
              <w:t>6</w:t>
            </w:r>
            <w:r w:rsidR="00C80201" w:rsidRPr="004A6E2F">
              <w:rPr>
                <w:webHidden/>
                <w:sz w:val="24"/>
                <w:szCs w:val="24"/>
              </w:rPr>
              <w:fldChar w:fldCharType="end"/>
            </w:r>
          </w:hyperlink>
        </w:p>
        <w:p w14:paraId="18743D04" w14:textId="37464389" w:rsidR="00C80201" w:rsidRPr="004A6E2F" w:rsidRDefault="009C66DE">
          <w:pPr>
            <w:pStyle w:val="Obsah1"/>
            <w:rPr>
              <w:rFonts w:eastAsiaTheme="minorEastAsia" w:cs="Times New Roman"/>
              <w:b w:val="0"/>
              <w:bCs w:val="0"/>
              <w:sz w:val="24"/>
              <w:szCs w:val="24"/>
              <w:lang w:eastAsia="sk-SK"/>
            </w:rPr>
          </w:pPr>
          <w:hyperlink w:anchor="_Toc164846930" w:history="1">
            <w:r w:rsidR="00C80201" w:rsidRPr="004A6E2F">
              <w:rPr>
                <w:rStyle w:val="Hypertextovprepojenie"/>
                <w:rFonts w:cs="Times New Roman"/>
                <w:sz w:val="24"/>
                <w:szCs w:val="24"/>
              </w:rPr>
              <w:t>2</w:t>
            </w:r>
            <w:r w:rsidR="00C80201" w:rsidRPr="004A6E2F">
              <w:rPr>
                <w:rFonts w:eastAsiaTheme="minorEastAsia" w:cs="Times New Roman"/>
                <w:b w:val="0"/>
                <w:bCs w:val="0"/>
                <w:sz w:val="24"/>
                <w:szCs w:val="24"/>
                <w:lang w:eastAsia="sk-SK"/>
              </w:rPr>
              <w:tab/>
            </w:r>
            <w:r w:rsidR="00C80201" w:rsidRPr="004A6E2F">
              <w:rPr>
                <w:rStyle w:val="Hypertextovprepojenie"/>
                <w:rFonts w:cs="Times New Roman"/>
                <w:sz w:val="24"/>
                <w:szCs w:val="24"/>
              </w:rPr>
              <w:t>Hospodárenie verejnej správy v metodike ESA 2010</w:t>
            </w:r>
            <w:r w:rsidR="00C80201" w:rsidRPr="004A6E2F">
              <w:rPr>
                <w:rFonts w:cs="Times New Roman"/>
                <w:webHidden/>
                <w:sz w:val="24"/>
                <w:szCs w:val="24"/>
              </w:rPr>
              <w:tab/>
            </w:r>
            <w:r w:rsidR="00C80201" w:rsidRPr="004A6E2F">
              <w:rPr>
                <w:rFonts w:cs="Times New Roman"/>
                <w:webHidden/>
                <w:sz w:val="24"/>
                <w:szCs w:val="24"/>
              </w:rPr>
              <w:fldChar w:fldCharType="begin"/>
            </w:r>
            <w:r w:rsidR="00C80201" w:rsidRPr="004A6E2F">
              <w:rPr>
                <w:rFonts w:cs="Times New Roman"/>
                <w:webHidden/>
                <w:sz w:val="24"/>
                <w:szCs w:val="24"/>
              </w:rPr>
              <w:instrText xml:space="preserve"> PAGEREF _Toc164846930 \h </w:instrText>
            </w:r>
            <w:r w:rsidR="00C80201" w:rsidRPr="004A6E2F">
              <w:rPr>
                <w:rFonts w:cs="Times New Roman"/>
                <w:webHidden/>
                <w:sz w:val="24"/>
                <w:szCs w:val="24"/>
              </w:rPr>
            </w:r>
            <w:r w:rsidR="00C80201" w:rsidRPr="004A6E2F">
              <w:rPr>
                <w:rFonts w:cs="Times New Roman"/>
                <w:webHidden/>
                <w:sz w:val="24"/>
                <w:szCs w:val="24"/>
              </w:rPr>
              <w:fldChar w:fldCharType="separate"/>
            </w:r>
            <w:r w:rsidR="00B87DB8">
              <w:rPr>
                <w:rFonts w:cs="Times New Roman"/>
                <w:webHidden/>
                <w:sz w:val="24"/>
                <w:szCs w:val="24"/>
              </w:rPr>
              <w:t>8</w:t>
            </w:r>
            <w:r w:rsidR="00C80201" w:rsidRPr="004A6E2F">
              <w:rPr>
                <w:rFonts w:cs="Times New Roman"/>
                <w:webHidden/>
                <w:sz w:val="24"/>
                <w:szCs w:val="24"/>
              </w:rPr>
              <w:fldChar w:fldCharType="end"/>
            </w:r>
          </w:hyperlink>
        </w:p>
        <w:p w14:paraId="3E557CBF" w14:textId="2DAAE614" w:rsidR="00C80201" w:rsidRPr="004A6E2F" w:rsidRDefault="009C66DE">
          <w:pPr>
            <w:pStyle w:val="Obsah2"/>
            <w:rPr>
              <w:rFonts w:eastAsiaTheme="minorEastAsia" w:cs="Times New Roman"/>
              <w:b w:val="0"/>
              <w:bCs w:val="0"/>
              <w:sz w:val="24"/>
              <w:szCs w:val="24"/>
              <w:lang w:eastAsia="sk-SK"/>
            </w:rPr>
          </w:pPr>
          <w:hyperlink w:anchor="_Toc164846931" w:history="1">
            <w:r w:rsidR="00C80201" w:rsidRPr="004A6E2F">
              <w:rPr>
                <w:rStyle w:val="Hypertextovprepojenie"/>
                <w:rFonts w:cs="Times New Roman"/>
                <w:sz w:val="24"/>
                <w:szCs w:val="24"/>
              </w:rPr>
              <w:t>2.1</w:t>
            </w:r>
            <w:r w:rsidR="00C80201" w:rsidRPr="004A6E2F">
              <w:rPr>
                <w:rFonts w:eastAsiaTheme="minorEastAsia" w:cs="Times New Roman"/>
                <w:b w:val="0"/>
                <w:bCs w:val="0"/>
                <w:sz w:val="24"/>
                <w:szCs w:val="24"/>
                <w:lang w:eastAsia="sk-SK"/>
              </w:rPr>
              <w:tab/>
            </w:r>
            <w:r w:rsidR="00C80201" w:rsidRPr="004A6E2F">
              <w:rPr>
                <w:rStyle w:val="Hypertextovprepojenie"/>
                <w:rFonts w:cs="Times New Roman"/>
                <w:sz w:val="24"/>
                <w:szCs w:val="24"/>
              </w:rPr>
              <w:t>Zámery, ciele a opatrenia rozpočtovej politiky v roku 2023</w:t>
            </w:r>
            <w:r w:rsidR="00C80201" w:rsidRPr="004A6E2F">
              <w:rPr>
                <w:rFonts w:cs="Times New Roman"/>
                <w:webHidden/>
                <w:sz w:val="24"/>
                <w:szCs w:val="24"/>
              </w:rPr>
              <w:tab/>
            </w:r>
            <w:r w:rsidR="00C80201" w:rsidRPr="004A6E2F">
              <w:rPr>
                <w:rFonts w:cs="Times New Roman"/>
                <w:webHidden/>
                <w:sz w:val="24"/>
                <w:szCs w:val="24"/>
              </w:rPr>
              <w:fldChar w:fldCharType="begin"/>
            </w:r>
            <w:r w:rsidR="00C80201" w:rsidRPr="004A6E2F">
              <w:rPr>
                <w:rFonts w:cs="Times New Roman"/>
                <w:webHidden/>
                <w:sz w:val="24"/>
                <w:szCs w:val="24"/>
              </w:rPr>
              <w:instrText xml:space="preserve"> PAGEREF _Toc164846931 \h </w:instrText>
            </w:r>
            <w:r w:rsidR="00C80201" w:rsidRPr="004A6E2F">
              <w:rPr>
                <w:rFonts w:cs="Times New Roman"/>
                <w:webHidden/>
                <w:sz w:val="24"/>
                <w:szCs w:val="24"/>
              </w:rPr>
            </w:r>
            <w:r w:rsidR="00C80201" w:rsidRPr="004A6E2F">
              <w:rPr>
                <w:rFonts w:cs="Times New Roman"/>
                <w:webHidden/>
                <w:sz w:val="24"/>
                <w:szCs w:val="24"/>
              </w:rPr>
              <w:fldChar w:fldCharType="separate"/>
            </w:r>
            <w:r w:rsidR="00B87DB8">
              <w:rPr>
                <w:rFonts w:cs="Times New Roman"/>
                <w:webHidden/>
                <w:sz w:val="24"/>
                <w:szCs w:val="24"/>
              </w:rPr>
              <w:t>8</w:t>
            </w:r>
            <w:r w:rsidR="00C80201" w:rsidRPr="004A6E2F">
              <w:rPr>
                <w:rFonts w:cs="Times New Roman"/>
                <w:webHidden/>
                <w:sz w:val="24"/>
                <w:szCs w:val="24"/>
              </w:rPr>
              <w:fldChar w:fldCharType="end"/>
            </w:r>
          </w:hyperlink>
        </w:p>
        <w:p w14:paraId="709F915D" w14:textId="67D20D56" w:rsidR="00C80201" w:rsidRPr="004A6E2F" w:rsidRDefault="009C66DE">
          <w:pPr>
            <w:pStyle w:val="Obsah2"/>
            <w:rPr>
              <w:rFonts w:eastAsiaTheme="minorEastAsia" w:cs="Times New Roman"/>
              <w:b w:val="0"/>
              <w:bCs w:val="0"/>
              <w:sz w:val="24"/>
              <w:szCs w:val="24"/>
              <w:lang w:eastAsia="sk-SK"/>
            </w:rPr>
          </w:pPr>
          <w:hyperlink w:anchor="_Toc164846932" w:history="1">
            <w:r w:rsidR="00C80201" w:rsidRPr="004A6E2F">
              <w:rPr>
                <w:rStyle w:val="Hypertextovprepojenie"/>
                <w:rFonts w:cs="Times New Roman"/>
                <w:sz w:val="24"/>
                <w:szCs w:val="24"/>
              </w:rPr>
              <w:t>2.2</w:t>
            </w:r>
            <w:r w:rsidR="00C80201" w:rsidRPr="004A6E2F">
              <w:rPr>
                <w:rFonts w:eastAsiaTheme="minorEastAsia" w:cs="Times New Roman"/>
                <w:b w:val="0"/>
                <w:bCs w:val="0"/>
                <w:sz w:val="24"/>
                <w:szCs w:val="24"/>
                <w:lang w:eastAsia="sk-SK"/>
              </w:rPr>
              <w:tab/>
            </w:r>
            <w:r w:rsidR="00C80201" w:rsidRPr="004A6E2F">
              <w:rPr>
                <w:rStyle w:val="Hypertextovprepojenie"/>
                <w:rFonts w:cs="Times New Roman"/>
                <w:sz w:val="24"/>
                <w:szCs w:val="24"/>
              </w:rPr>
              <w:t>Saldo verejnej správy</w:t>
            </w:r>
            <w:r w:rsidR="00C80201" w:rsidRPr="004A6E2F">
              <w:rPr>
                <w:rFonts w:cs="Times New Roman"/>
                <w:webHidden/>
                <w:sz w:val="24"/>
                <w:szCs w:val="24"/>
              </w:rPr>
              <w:tab/>
            </w:r>
            <w:r w:rsidR="00C80201" w:rsidRPr="004A6E2F">
              <w:rPr>
                <w:rFonts w:cs="Times New Roman"/>
                <w:webHidden/>
                <w:sz w:val="24"/>
                <w:szCs w:val="24"/>
              </w:rPr>
              <w:fldChar w:fldCharType="begin"/>
            </w:r>
            <w:r w:rsidR="00C80201" w:rsidRPr="004A6E2F">
              <w:rPr>
                <w:rFonts w:cs="Times New Roman"/>
                <w:webHidden/>
                <w:sz w:val="24"/>
                <w:szCs w:val="24"/>
              </w:rPr>
              <w:instrText xml:space="preserve"> PAGEREF _Toc164846932 \h </w:instrText>
            </w:r>
            <w:r w:rsidR="00C80201" w:rsidRPr="004A6E2F">
              <w:rPr>
                <w:rFonts w:cs="Times New Roman"/>
                <w:webHidden/>
                <w:sz w:val="24"/>
                <w:szCs w:val="24"/>
              </w:rPr>
            </w:r>
            <w:r w:rsidR="00C80201" w:rsidRPr="004A6E2F">
              <w:rPr>
                <w:rFonts w:cs="Times New Roman"/>
                <w:webHidden/>
                <w:sz w:val="24"/>
                <w:szCs w:val="24"/>
              </w:rPr>
              <w:fldChar w:fldCharType="separate"/>
            </w:r>
            <w:r w:rsidR="00B87DB8">
              <w:rPr>
                <w:rFonts w:cs="Times New Roman"/>
                <w:webHidden/>
                <w:sz w:val="24"/>
                <w:szCs w:val="24"/>
              </w:rPr>
              <w:t>10</w:t>
            </w:r>
            <w:r w:rsidR="00C80201" w:rsidRPr="004A6E2F">
              <w:rPr>
                <w:rFonts w:cs="Times New Roman"/>
                <w:webHidden/>
                <w:sz w:val="24"/>
                <w:szCs w:val="24"/>
              </w:rPr>
              <w:fldChar w:fldCharType="end"/>
            </w:r>
          </w:hyperlink>
        </w:p>
        <w:p w14:paraId="34987ECB" w14:textId="13750D58" w:rsidR="00C80201" w:rsidRPr="004A6E2F" w:rsidRDefault="009C66DE">
          <w:pPr>
            <w:pStyle w:val="Obsah2"/>
            <w:rPr>
              <w:rFonts w:eastAsiaTheme="minorEastAsia" w:cs="Times New Roman"/>
              <w:b w:val="0"/>
              <w:bCs w:val="0"/>
              <w:sz w:val="24"/>
              <w:szCs w:val="24"/>
              <w:lang w:eastAsia="sk-SK"/>
            </w:rPr>
          </w:pPr>
          <w:hyperlink w:anchor="_Toc164846933" w:history="1">
            <w:r w:rsidR="00C80201" w:rsidRPr="004A6E2F">
              <w:rPr>
                <w:rStyle w:val="Hypertextovprepojenie"/>
                <w:rFonts w:cs="Times New Roman"/>
                <w:sz w:val="24"/>
                <w:szCs w:val="24"/>
              </w:rPr>
              <w:t>2.3</w:t>
            </w:r>
            <w:r w:rsidR="00C80201" w:rsidRPr="004A6E2F">
              <w:rPr>
                <w:rFonts w:eastAsiaTheme="minorEastAsia" w:cs="Times New Roman"/>
                <w:b w:val="0"/>
                <w:bCs w:val="0"/>
                <w:sz w:val="24"/>
                <w:szCs w:val="24"/>
                <w:lang w:eastAsia="sk-SK"/>
              </w:rPr>
              <w:tab/>
            </w:r>
            <w:r w:rsidR="00C80201" w:rsidRPr="004A6E2F">
              <w:rPr>
                <w:rStyle w:val="Hypertextovprepojenie"/>
                <w:rFonts w:cs="Times New Roman"/>
                <w:sz w:val="24"/>
                <w:szCs w:val="24"/>
              </w:rPr>
              <w:t>Jednorazové vplyvy na saldo verejnej správy</w:t>
            </w:r>
            <w:r w:rsidR="00C80201" w:rsidRPr="004A6E2F">
              <w:rPr>
                <w:rFonts w:cs="Times New Roman"/>
                <w:webHidden/>
                <w:sz w:val="24"/>
                <w:szCs w:val="24"/>
              </w:rPr>
              <w:tab/>
            </w:r>
            <w:r w:rsidR="00C80201" w:rsidRPr="004A6E2F">
              <w:rPr>
                <w:rFonts w:cs="Times New Roman"/>
                <w:webHidden/>
                <w:sz w:val="24"/>
                <w:szCs w:val="24"/>
              </w:rPr>
              <w:fldChar w:fldCharType="begin"/>
            </w:r>
            <w:r w:rsidR="00C80201" w:rsidRPr="004A6E2F">
              <w:rPr>
                <w:rFonts w:cs="Times New Roman"/>
                <w:webHidden/>
                <w:sz w:val="24"/>
                <w:szCs w:val="24"/>
              </w:rPr>
              <w:instrText xml:space="preserve"> PAGEREF _Toc164846933 \h </w:instrText>
            </w:r>
            <w:r w:rsidR="00C80201" w:rsidRPr="004A6E2F">
              <w:rPr>
                <w:rFonts w:cs="Times New Roman"/>
                <w:webHidden/>
                <w:sz w:val="24"/>
                <w:szCs w:val="24"/>
              </w:rPr>
            </w:r>
            <w:r w:rsidR="00C80201" w:rsidRPr="004A6E2F">
              <w:rPr>
                <w:rFonts w:cs="Times New Roman"/>
                <w:webHidden/>
                <w:sz w:val="24"/>
                <w:szCs w:val="24"/>
              </w:rPr>
              <w:fldChar w:fldCharType="separate"/>
            </w:r>
            <w:r w:rsidR="00B87DB8">
              <w:rPr>
                <w:rFonts w:cs="Times New Roman"/>
                <w:webHidden/>
                <w:sz w:val="24"/>
                <w:szCs w:val="24"/>
              </w:rPr>
              <w:t>39</w:t>
            </w:r>
            <w:r w:rsidR="00C80201" w:rsidRPr="004A6E2F">
              <w:rPr>
                <w:rFonts w:cs="Times New Roman"/>
                <w:webHidden/>
                <w:sz w:val="24"/>
                <w:szCs w:val="24"/>
              </w:rPr>
              <w:fldChar w:fldCharType="end"/>
            </w:r>
          </w:hyperlink>
        </w:p>
        <w:p w14:paraId="5944FBB3" w14:textId="2E89CF09" w:rsidR="00C80201" w:rsidRPr="004A6E2F" w:rsidRDefault="009C66DE">
          <w:pPr>
            <w:pStyle w:val="Obsah2"/>
            <w:rPr>
              <w:rFonts w:eastAsiaTheme="minorEastAsia" w:cs="Times New Roman"/>
              <w:b w:val="0"/>
              <w:bCs w:val="0"/>
              <w:sz w:val="24"/>
              <w:szCs w:val="24"/>
              <w:lang w:eastAsia="sk-SK"/>
            </w:rPr>
          </w:pPr>
          <w:hyperlink w:anchor="_Toc164846934" w:history="1">
            <w:r w:rsidR="00C80201" w:rsidRPr="004A6E2F">
              <w:rPr>
                <w:rStyle w:val="Hypertextovprepojenie"/>
                <w:rFonts w:cs="Times New Roman"/>
                <w:sz w:val="24"/>
                <w:szCs w:val="24"/>
              </w:rPr>
              <w:t>2.4</w:t>
            </w:r>
            <w:r w:rsidR="00C80201" w:rsidRPr="004A6E2F">
              <w:rPr>
                <w:rFonts w:eastAsiaTheme="minorEastAsia" w:cs="Times New Roman"/>
                <w:b w:val="0"/>
                <w:bCs w:val="0"/>
                <w:sz w:val="24"/>
                <w:szCs w:val="24"/>
                <w:lang w:eastAsia="sk-SK"/>
              </w:rPr>
              <w:tab/>
            </w:r>
            <w:r w:rsidR="00C80201" w:rsidRPr="004A6E2F">
              <w:rPr>
                <w:rStyle w:val="Hypertextovprepojenie"/>
                <w:rFonts w:cs="Times New Roman"/>
                <w:sz w:val="24"/>
                <w:szCs w:val="24"/>
              </w:rPr>
              <w:t>Dlh verejnej správy</w:t>
            </w:r>
            <w:r w:rsidR="00C80201" w:rsidRPr="004A6E2F">
              <w:rPr>
                <w:rFonts w:cs="Times New Roman"/>
                <w:webHidden/>
                <w:sz w:val="24"/>
                <w:szCs w:val="24"/>
              </w:rPr>
              <w:tab/>
            </w:r>
            <w:r w:rsidR="00C80201" w:rsidRPr="004A6E2F">
              <w:rPr>
                <w:rFonts w:cs="Times New Roman"/>
                <w:webHidden/>
                <w:sz w:val="24"/>
                <w:szCs w:val="24"/>
              </w:rPr>
              <w:fldChar w:fldCharType="begin"/>
            </w:r>
            <w:r w:rsidR="00C80201" w:rsidRPr="004A6E2F">
              <w:rPr>
                <w:rFonts w:cs="Times New Roman"/>
                <w:webHidden/>
                <w:sz w:val="24"/>
                <w:szCs w:val="24"/>
              </w:rPr>
              <w:instrText xml:space="preserve"> PAGEREF _Toc164846934 \h </w:instrText>
            </w:r>
            <w:r w:rsidR="00C80201" w:rsidRPr="004A6E2F">
              <w:rPr>
                <w:rFonts w:cs="Times New Roman"/>
                <w:webHidden/>
                <w:sz w:val="24"/>
                <w:szCs w:val="24"/>
              </w:rPr>
            </w:r>
            <w:r w:rsidR="00C80201" w:rsidRPr="004A6E2F">
              <w:rPr>
                <w:rFonts w:cs="Times New Roman"/>
                <w:webHidden/>
                <w:sz w:val="24"/>
                <w:szCs w:val="24"/>
              </w:rPr>
              <w:fldChar w:fldCharType="separate"/>
            </w:r>
            <w:r w:rsidR="00B87DB8">
              <w:rPr>
                <w:rFonts w:cs="Times New Roman"/>
                <w:webHidden/>
                <w:sz w:val="24"/>
                <w:szCs w:val="24"/>
              </w:rPr>
              <w:t>41</w:t>
            </w:r>
            <w:r w:rsidR="00C80201" w:rsidRPr="004A6E2F">
              <w:rPr>
                <w:rFonts w:cs="Times New Roman"/>
                <w:webHidden/>
                <w:sz w:val="24"/>
                <w:szCs w:val="24"/>
              </w:rPr>
              <w:fldChar w:fldCharType="end"/>
            </w:r>
          </w:hyperlink>
        </w:p>
        <w:p w14:paraId="4678E695" w14:textId="40114517" w:rsidR="00C80201" w:rsidRPr="004A6E2F" w:rsidRDefault="009C66DE">
          <w:pPr>
            <w:pStyle w:val="Obsah3"/>
            <w:rPr>
              <w:rFonts w:eastAsiaTheme="minorEastAsia"/>
              <w:sz w:val="24"/>
              <w:szCs w:val="24"/>
              <w:lang w:eastAsia="sk-SK"/>
            </w:rPr>
          </w:pPr>
          <w:hyperlink w:anchor="_Toc164846935" w:history="1">
            <w:r w:rsidR="00C80201" w:rsidRPr="004A6E2F">
              <w:rPr>
                <w:rStyle w:val="Hypertextovprepojenie"/>
                <w:sz w:val="24"/>
                <w:szCs w:val="24"/>
              </w:rPr>
              <w:t>2.4.1</w:t>
            </w:r>
            <w:r w:rsidR="00C80201" w:rsidRPr="004A6E2F">
              <w:rPr>
                <w:rFonts w:eastAsiaTheme="minorEastAsia"/>
                <w:sz w:val="24"/>
                <w:szCs w:val="24"/>
                <w:lang w:eastAsia="sk-SK"/>
              </w:rPr>
              <w:tab/>
            </w:r>
            <w:r w:rsidR="00C80201" w:rsidRPr="004A6E2F">
              <w:rPr>
                <w:rStyle w:val="Hypertextovprepojenie"/>
                <w:sz w:val="24"/>
                <w:szCs w:val="24"/>
              </w:rPr>
              <w:t>Štátny dlh</w:t>
            </w:r>
            <w:r w:rsidR="00C80201" w:rsidRPr="004A6E2F">
              <w:rPr>
                <w:webHidden/>
                <w:sz w:val="24"/>
                <w:szCs w:val="24"/>
              </w:rPr>
              <w:tab/>
            </w:r>
            <w:r w:rsidR="00C80201" w:rsidRPr="004A6E2F">
              <w:rPr>
                <w:webHidden/>
                <w:sz w:val="24"/>
                <w:szCs w:val="24"/>
              </w:rPr>
              <w:fldChar w:fldCharType="begin"/>
            </w:r>
            <w:r w:rsidR="00C80201" w:rsidRPr="004A6E2F">
              <w:rPr>
                <w:webHidden/>
                <w:sz w:val="24"/>
                <w:szCs w:val="24"/>
              </w:rPr>
              <w:instrText xml:space="preserve"> PAGEREF _Toc164846935 \h </w:instrText>
            </w:r>
            <w:r w:rsidR="00C80201" w:rsidRPr="004A6E2F">
              <w:rPr>
                <w:webHidden/>
                <w:sz w:val="24"/>
                <w:szCs w:val="24"/>
              </w:rPr>
            </w:r>
            <w:r w:rsidR="00C80201" w:rsidRPr="004A6E2F">
              <w:rPr>
                <w:webHidden/>
                <w:sz w:val="24"/>
                <w:szCs w:val="24"/>
              </w:rPr>
              <w:fldChar w:fldCharType="separate"/>
            </w:r>
            <w:r w:rsidR="00B87DB8">
              <w:rPr>
                <w:webHidden/>
                <w:sz w:val="24"/>
                <w:szCs w:val="24"/>
              </w:rPr>
              <w:t>44</w:t>
            </w:r>
            <w:r w:rsidR="00C80201" w:rsidRPr="004A6E2F">
              <w:rPr>
                <w:webHidden/>
                <w:sz w:val="24"/>
                <w:szCs w:val="24"/>
              </w:rPr>
              <w:fldChar w:fldCharType="end"/>
            </w:r>
          </w:hyperlink>
        </w:p>
        <w:p w14:paraId="2732B2D4" w14:textId="6371DCB7" w:rsidR="00C80201" w:rsidRPr="004A6E2F" w:rsidRDefault="009C66DE">
          <w:pPr>
            <w:pStyle w:val="Obsah3"/>
            <w:rPr>
              <w:rFonts w:eastAsiaTheme="minorEastAsia"/>
              <w:sz w:val="24"/>
              <w:szCs w:val="24"/>
              <w:lang w:eastAsia="sk-SK"/>
            </w:rPr>
          </w:pPr>
          <w:hyperlink w:anchor="_Toc164846936" w:history="1">
            <w:r w:rsidR="00C80201" w:rsidRPr="004A6E2F">
              <w:rPr>
                <w:rStyle w:val="Hypertextovprepojenie"/>
                <w:sz w:val="24"/>
                <w:szCs w:val="24"/>
              </w:rPr>
              <w:t>2.4.2</w:t>
            </w:r>
            <w:r w:rsidR="00C80201" w:rsidRPr="004A6E2F">
              <w:rPr>
                <w:rFonts w:eastAsiaTheme="minorEastAsia"/>
                <w:sz w:val="24"/>
                <w:szCs w:val="24"/>
                <w:lang w:eastAsia="sk-SK"/>
              </w:rPr>
              <w:tab/>
            </w:r>
            <w:r w:rsidR="00C80201" w:rsidRPr="004A6E2F">
              <w:rPr>
                <w:rStyle w:val="Hypertextovprepojenie"/>
                <w:sz w:val="24"/>
                <w:szCs w:val="24"/>
              </w:rPr>
              <w:t>Maastrichtský dlh ostatných subjektov verejnej správy</w:t>
            </w:r>
            <w:r w:rsidR="00C80201" w:rsidRPr="004A6E2F">
              <w:rPr>
                <w:webHidden/>
                <w:sz w:val="24"/>
                <w:szCs w:val="24"/>
              </w:rPr>
              <w:tab/>
            </w:r>
            <w:r w:rsidR="00C80201" w:rsidRPr="004A6E2F">
              <w:rPr>
                <w:webHidden/>
                <w:sz w:val="24"/>
                <w:szCs w:val="24"/>
              </w:rPr>
              <w:fldChar w:fldCharType="begin"/>
            </w:r>
            <w:r w:rsidR="00C80201" w:rsidRPr="004A6E2F">
              <w:rPr>
                <w:webHidden/>
                <w:sz w:val="24"/>
                <w:szCs w:val="24"/>
              </w:rPr>
              <w:instrText xml:space="preserve"> PAGEREF _Toc164846936 \h </w:instrText>
            </w:r>
            <w:r w:rsidR="00C80201" w:rsidRPr="004A6E2F">
              <w:rPr>
                <w:webHidden/>
                <w:sz w:val="24"/>
                <w:szCs w:val="24"/>
              </w:rPr>
            </w:r>
            <w:r w:rsidR="00C80201" w:rsidRPr="004A6E2F">
              <w:rPr>
                <w:webHidden/>
                <w:sz w:val="24"/>
                <w:szCs w:val="24"/>
              </w:rPr>
              <w:fldChar w:fldCharType="separate"/>
            </w:r>
            <w:r w:rsidR="00B87DB8">
              <w:rPr>
                <w:webHidden/>
                <w:sz w:val="24"/>
                <w:szCs w:val="24"/>
              </w:rPr>
              <w:t>46</w:t>
            </w:r>
            <w:r w:rsidR="00C80201" w:rsidRPr="004A6E2F">
              <w:rPr>
                <w:webHidden/>
                <w:sz w:val="24"/>
                <w:szCs w:val="24"/>
              </w:rPr>
              <w:fldChar w:fldCharType="end"/>
            </w:r>
          </w:hyperlink>
        </w:p>
        <w:p w14:paraId="5F033A8B" w14:textId="3C26B77F" w:rsidR="00C80201" w:rsidRPr="004A6E2F" w:rsidRDefault="009C66DE">
          <w:pPr>
            <w:pStyle w:val="Obsah2"/>
            <w:rPr>
              <w:rFonts w:eastAsiaTheme="minorEastAsia" w:cs="Times New Roman"/>
              <w:b w:val="0"/>
              <w:bCs w:val="0"/>
              <w:sz w:val="24"/>
              <w:szCs w:val="24"/>
              <w:lang w:eastAsia="sk-SK"/>
            </w:rPr>
          </w:pPr>
          <w:hyperlink w:anchor="_Toc164846937" w:history="1">
            <w:r w:rsidR="00C80201" w:rsidRPr="004A6E2F">
              <w:rPr>
                <w:rStyle w:val="Hypertextovprepojenie"/>
                <w:rFonts w:cs="Times New Roman"/>
                <w:sz w:val="24"/>
                <w:szCs w:val="24"/>
              </w:rPr>
              <w:t>2.5</w:t>
            </w:r>
            <w:r w:rsidR="00C80201" w:rsidRPr="004A6E2F">
              <w:rPr>
                <w:rFonts w:eastAsiaTheme="minorEastAsia" w:cs="Times New Roman"/>
                <w:b w:val="0"/>
                <w:bCs w:val="0"/>
                <w:sz w:val="24"/>
                <w:szCs w:val="24"/>
                <w:lang w:eastAsia="sk-SK"/>
              </w:rPr>
              <w:tab/>
            </w:r>
            <w:r w:rsidR="00C80201" w:rsidRPr="004A6E2F">
              <w:rPr>
                <w:rStyle w:val="Hypertextovprepojenie"/>
                <w:rFonts w:cs="Times New Roman"/>
                <w:sz w:val="24"/>
                <w:szCs w:val="24"/>
              </w:rPr>
              <w:t>Porovnanie salda a dlhu verejnej správy v Európskej únii</w:t>
            </w:r>
            <w:r w:rsidR="00C80201" w:rsidRPr="004A6E2F">
              <w:rPr>
                <w:rFonts w:cs="Times New Roman"/>
                <w:webHidden/>
                <w:sz w:val="24"/>
                <w:szCs w:val="24"/>
              </w:rPr>
              <w:tab/>
            </w:r>
            <w:r w:rsidR="00C80201" w:rsidRPr="004A6E2F">
              <w:rPr>
                <w:rFonts w:cs="Times New Roman"/>
                <w:webHidden/>
                <w:sz w:val="24"/>
                <w:szCs w:val="24"/>
              </w:rPr>
              <w:fldChar w:fldCharType="begin"/>
            </w:r>
            <w:r w:rsidR="00C80201" w:rsidRPr="004A6E2F">
              <w:rPr>
                <w:rFonts w:cs="Times New Roman"/>
                <w:webHidden/>
                <w:sz w:val="24"/>
                <w:szCs w:val="24"/>
              </w:rPr>
              <w:instrText xml:space="preserve"> PAGEREF _Toc164846937 \h </w:instrText>
            </w:r>
            <w:r w:rsidR="00C80201" w:rsidRPr="004A6E2F">
              <w:rPr>
                <w:rFonts w:cs="Times New Roman"/>
                <w:webHidden/>
                <w:sz w:val="24"/>
                <w:szCs w:val="24"/>
              </w:rPr>
            </w:r>
            <w:r w:rsidR="00C80201" w:rsidRPr="004A6E2F">
              <w:rPr>
                <w:rFonts w:cs="Times New Roman"/>
                <w:webHidden/>
                <w:sz w:val="24"/>
                <w:szCs w:val="24"/>
              </w:rPr>
              <w:fldChar w:fldCharType="separate"/>
            </w:r>
            <w:r w:rsidR="00B87DB8">
              <w:rPr>
                <w:rFonts w:cs="Times New Roman"/>
                <w:webHidden/>
                <w:sz w:val="24"/>
                <w:szCs w:val="24"/>
              </w:rPr>
              <w:t>50</w:t>
            </w:r>
            <w:r w:rsidR="00C80201" w:rsidRPr="004A6E2F">
              <w:rPr>
                <w:rFonts w:cs="Times New Roman"/>
                <w:webHidden/>
                <w:sz w:val="24"/>
                <w:szCs w:val="24"/>
              </w:rPr>
              <w:fldChar w:fldCharType="end"/>
            </w:r>
          </w:hyperlink>
        </w:p>
        <w:p w14:paraId="19E9C3EF" w14:textId="06271D1B" w:rsidR="00C80201" w:rsidRPr="004A6E2F" w:rsidRDefault="009C66DE">
          <w:pPr>
            <w:pStyle w:val="Obsah1"/>
            <w:rPr>
              <w:rFonts w:eastAsiaTheme="minorEastAsia" w:cs="Times New Roman"/>
              <w:b w:val="0"/>
              <w:bCs w:val="0"/>
              <w:sz w:val="24"/>
              <w:szCs w:val="24"/>
              <w:lang w:eastAsia="sk-SK"/>
            </w:rPr>
          </w:pPr>
          <w:hyperlink w:anchor="_Toc164846938" w:history="1">
            <w:r w:rsidR="00C80201" w:rsidRPr="004A6E2F">
              <w:rPr>
                <w:rStyle w:val="Hypertextovprepojenie"/>
                <w:rFonts w:cs="Times New Roman"/>
                <w:sz w:val="24"/>
                <w:szCs w:val="24"/>
              </w:rPr>
              <w:t>3</w:t>
            </w:r>
            <w:r w:rsidR="00C80201" w:rsidRPr="004A6E2F">
              <w:rPr>
                <w:rFonts w:eastAsiaTheme="minorEastAsia" w:cs="Times New Roman"/>
                <w:b w:val="0"/>
                <w:bCs w:val="0"/>
                <w:sz w:val="24"/>
                <w:szCs w:val="24"/>
                <w:lang w:eastAsia="sk-SK"/>
              </w:rPr>
              <w:tab/>
            </w:r>
            <w:r w:rsidR="00C80201" w:rsidRPr="004A6E2F">
              <w:rPr>
                <w:rStyle w:val="Hypertextovprepojenie"/>
                <w:rFonts w:cs="Times New Roman"/>
                <w:sz w:val="24"/>
                <w:szCs w:val="24"/>
              </w:rPr>
              <w:t>Hospodárenie štátneho rozpočtu na hotovostnom princípe</w:t>
            </w:r>
            <w:r w:rsidR="00C80201" w:rsidRPr="004A6E2F">
              <w:rPr>
                <w:rFonts w:cs="Times New Roman"/>
                <w:webHidden/>
                <w:sz w:val="24"/>
                <w:szCs w:val="24"/>
              </w:rPr>
              <w:tab/>
            </w:r>
            <w:r w:rsidR="00C80201" w:rsidRPr="004A6E2F">
              <w:rPr>
                <w:rFonts w:cs="Times New Roman"/>
                <w:webHidden/>
                <w:sz w:val="24"/>
                <w:szCs w:val="24"/>
              </w:rPr>
              <w:fldChar w:fldCharType="begin"/>
            </w:r>
            <w:r w:rsidR="00C80201" w:rsidRPr="004A6E2F">
              <w:rPr>
                <w:rFonts w:cs="Times New Roman"/>
                <w:webHidden/>
                <w:sz w:val="24"/>
                <w:szCs w:val="24"/>
              </w:rPr>
              <w:instrText xml:space="preserve"> PAGEREF _Toc164846938 \h </w:instrText>
            </w:r>
            <w:r w:rsidR="00C80201" w:rsidRPr="004A6E2F">
              <w:rPr>
                <w:rFonts w:cs="Times New Roman"/>
                <w:webHidden/>
                <w:sz w:val="24"/>
                <w:szCs w:val="24"/>
              </w:rPr>
            </w:r>
            <w:r w:rsidR="00C80201" w:rsidRPr="004A6E2F">
              <w:rPr>
                <w:rFonts w:cs="Times New Roman"/>
                <w:webHidden/>
                <w:sz w:val="24"/>
                <w:szCs w:val="24"/>
              </w:rPr>
              <w:fldChar w:fldCharType="separate"/>
            </w:r>
            <w:r w:rsidR="00B87DB8">
              <w:rPr>
                <w:rFonts w:cs="Times New Roman"/>
                <w:webHidden/>
                <w:sz w:val="24"/>
                <w:szCs w:val="24"/>
              </w:rPr>
              <w:t>52</w:t>
            </w:r>
            <w:r w:rsidR="00C80201" w:rsidRPr="004A6E2F">
              <w:rPr>
                <w:rFonts w:cs="Times New Roman"/>
                <w:webHidden/>
                <w:sz w:val="24"/>
                <w:szCs w:val="24"/>
              </w:rPr>
              <w:fldChar w:fldCharType="end"/>
            </w:r>
          </w:hyperlink>
        </w:p>
        <w:p w14:paraId="380E6EB5" w14:textId="4307FCD0" w:rsidR="00C80201" w:rsidRPr="004A6E2F" w:rsidRDefault="009C66DE">
          <w:pPr>
            <w:pStyle w:val="Obsah2"/>
            <w:rPr>
              <w:rFonts w:eastAsiaTheme="minorEastAsia" w:cs="Times New Roman"/>
              <w:b w:val="0"/>
              <w:bCs w:val="0"/>
              <w:sz w:val="24"/>
              <w:szCs w:val="24"/>
              <w:lang w:eastAsia="sk-SK"/>
            </w:rPr>
          </w:pPr>
          <w:hyperlink w:anchor="_Toc164846939" w:history="1">
            <w:r w:rsidR="00C80201" w:rsidRPr="004A6E2F">
              <w:rPr>
                <w:rStyle w:val="Hypertextovprepojenie"/>
                <w:rFonts w:cs="Times New Roman"/>
                <w:sz w:val="24"/>
                <w:szCs w:val="24"/>
              </w:rPr>
              <w:t>3.1</w:t>
            </w:r>
            <w:r w:rsidR="00C80201" w:rsidRPr="004A6E2F">
              <w:rPr>
                <w:rFonts w:eastAsiaTheme="minorEastAsia" w:cs="Times New Roman"/>
                <w:b w:val="0"/>
                <w:bCs w:val="0"/>
                <w:sz w:val="24"/>
                <w:szCs w:val="24"/>
                <w:lang w:eastAsia="sk-SK"/>
              </w:rPr>
              <w:tab/>
            </w:r>
            <w:r w:rsidR="00C80201" w:rsidRPr="004A6E2F">
              <w:rPr>
                <w:rStyle w:val="Hypertextovprepojenie"/>
                <w:rFonts w:cs="Times New Roman"/>
                <w:sz w:val="24"/>
                <w:szCs w:val="24"/>
              </w:rPr>
              <w:t>Príjmy štátneho rozpočtu</w:t>
            </w:r>
            <w:r w:rsidR="00C80201" w:rsidRPr="004A6E2F">
              <w:rPr>
                <w:rFonts w:cs="Times New Roman"/>
                <w:webHidden/>
                <w:sz w:val="24"/>
                <w:szCs w:val="24"/>
              </w:rPr>
              <w:tab/>
            </w:r>
            <w:r w:rsidR="00C80201" w:rsidRPr="004A6E2F">
              <w:rPr>
                <w:rFonts w:cs="Times New Roman"/>
                <w:webHidden/>
                <w:sz w:val="24"/>
                <w:szCs w:val="24"/>
              </w:rPr>
              <w:fldChar w:fldCharType="begin"/>
            </w:r>
            <w:r w:rsidR="00C80201" w:rsidRPr="004A6E2F">
              <w:rPr>
                <w:rFonts w:cs="Times New Roman"/>
                <w:webHidden/>
                <w:sz w:val="24"/>
                <w:szCs w:val="24"/>
              </w:rPr>
              <w:instrText xml:space="preserve"> PAGEREF _Toc164846939 \h </w:instrText>
            </w:r>
            <w:r w:rsidR="00C80201" w:rsidRPr="004A6E2F">
              <w:rPr>
                <w:rFonts w:cs="Times New Roman"/>
                <w:webHidden/>
                <w:sz w:val="24"/>
                <w:szCs w:val="24"/>
              </w:rPr>
            </w:r>
            <w:r w:rsidR="00C80201" w:rsidRPr="004A6E2F">
              <w:rPr>
                <w:rFonts w:cs="Times New Roman"/>
                <w:webHidden/>
                <w:sz w:val="24"/>
                <w:szCs w:val="24"/>
              </w:rPr>
              <w:fldChar w:fldCharType="separate"/>
            </w:r>
            <w:r w:rsidR="00B87DB8">
              <w:rPr>
                <w:rFonts w:cs="Times New Roman"/>
                <w:webHidden/>
                <w:sz w:val="24"/>
                <w:szCs w:val="24"/>
              </w:rPr>
              <w:t>55</w:t>
            </w:r>
            <w:r w:rsidR="00C80201" w:rsidRPr="004A6E2F">
              <w:rPr>
                <w:rFonts w:cs="Times New Roman"/>
                <w:webHidden/>
                <w:sz w:val="24"/>
                <w:szCs w:val="24"/>
              </w:rPr>
              <w:fldChar w:fldCharType="end"/>
            </w:r>
          </w:hyperlink>
        </w:p>
        <w:p w14:paraId="1CB9E927" w14:textId="0FC98FD5" w:rsidR="00C80201" w:rsidRPr="004A6E2F" w:rsidRDefault="009C66DE">
          <w:pPr>
            <w:pStyle w:val="Obsah3"/>
            <w:rPr>
              <w:rFonts w:eastAsiaTheme="minorEastAsia"/>
              <w:sz w:val="24"/>
              <w:szCs w:val="24"/>
              <w:lang w:eastAsia="sk-SK"/>
            </w:rPr>
          </w:pPr>
          <w:hyperlink w:anchor="_Toc164846940" w:history="1">
            <w:r w:rsidR="00C80201" w:rsidRPr="004A6E2F">
              <w:rPr>
                <w:rStyle w:val="Hypertextovprepojenie"/>
                <w:sz w:val="24"/>
                <w:szCs w:val="24"/>
              </w:rPr>
              <w:t>3.1.1</w:t>
            </w:r>
            <w:r w:rsidR="00C80201" w:rsidRPr="004A6E2F">
              <w:rPr>
                <w:rFonts w:eastAsiaTheme="minorEastAsia"/>
                <w:sz w:val="24"/>
                <w:szCs w:val="24"/>
                <w:lang w:eastAsia="sk-SK"/>
              </w:rPr>
              <w:tab/>
            </w:r>
            <w:r w:rsidR="00C80201" w:rsidRPr="004A6E2F">
              <w:rPr>
                <w:rStyle w:val="Hypertextovprepojenie"/>
                <w:sz w:val="24"/>
                <w:szCs w:val="24"/>
              </w:rPr>
              <w:t>Daňové príjmy</w:t>
            </w:r>
            <w:r w:rsidR="00C80201" w:rsidRPr="004A6E2F">
              <w:rPr>
                <w:webHidden/>
                <w:sz w:val="24"/>
                <w:szCs w:val="24"/>
              </w:rPr>
              <w:tab/>
            </w:r>
            <w:r w:rsidR="00C80201" w:rsidRPr="004A6E2F">
              <w:rPr>
                <w:webHidden/>
                <w:sz w:val="24"/>
                <w:szCs w:val="24"/>
              </w:rPr>
              <w:fldChar w:fldCharType="begin"/>
            </w:r>
            <w:r w:rsidR="00C80201" w:rsidRPr="004A6E2F">
              <w:rPr>
                <w:webHidden/>
                <w:sz w:val="24"/>
                <w:szCs w:val="24"/>
              </w:rPr>
              <w:instrText xml:space="preserve"> PAGEREF _Toc164846940 \h </w:instrText>
            </w:r>
            <w:r w:rsidR="00C80201" w:rsidRPr="004A6E2F">
              <w:rPr>
                <w:webHidden/>
                <w:sz w:val="24"/>
                <w:szCs w:val="24"/>
              </w:rPr>
            </w:r>
            <w:r w:rsidR="00C80201" w:rsidRPr="004A6E2F">
              <w:rPr>
                <w:webHidden/>
                <w:sz w:val="24"/>
                <w:szCs w:val="24"/>
              </w:rPr>
              <w:fldChar w:fldCharType="separate"/>
            </w:r>
            <w:r w:rsidR="00B87DB8">
              <w:rPr>
                <w:webHidden/>
                <w:sz w:val="24"/>
                <w:szCs w:val="24"/>
              </w:rPr>
              <w:t>55</w:t>
            </w:r>
            <w:r w:rsidR="00C80201" w:rsidRPr="004A6E2F">
              <w:rPr>
                <w:webHidden/>
                <w:sz w:val="24"/>
                <w:szCs w:val="24"/>
              </w:rPr>
              <w:fldChar w:fldCharType="end"/>
            </w:r>
          </w:hyperlink>
        </w:p>
        <w:p w14:paraId="23323704" w14:textId="7DD0DA0E" w:rsidR="00C80201" w:rsidRPr="004A6E2F" w:rsidRDefault="009C66DE">
          <w:pPr>
            <w:pStyle w:val="Obsah3"/>
            <w:rPr>
              <w:rFonts w:eastAsiaTheme="minorEastAsia"/>
              <w:sz w:val="24"/>
              <w:szCs w:val="24"/>
              <w:lang w:eastAsia="sk-SK"/>
            </w:rPr>
          </w:pPr>
          <w:hyperlink w:anchor="_Toc164846941" w:history="1">
            <w:r w:rsidR="00C80201" w:rsidRPr="004A6E2F">
              <w:rPr>
                <w:rStyle w:val="Hypertextovprepojenie"/>
                <w:sz w:val="24"/>
                <w:szCs w:val="24"/>
              </w:rPr>
              <w:t>3.1.2</w:t>
            </w:r>
            <w:r w:rsidR="00C80201" w:rsidRPr="004A6E2F">
              <w:rPr>
                <w:rFonts w:eastAsiaTheme="minorEastAsia"/>
                <w:sz w:val="24"/>
                <w:szCs w:val="24"/>
                <w:lang w:eastAsia="sk-SK"/>
              </w:rPr>
              <w:tab/>
            </w:r>
            <w:r w:rsidR="00C80201" w:rsidRPr="004A6E2F">
              <w:rPr>
                <w:rStyle w:val="Hypertextovprepojenie"/>
                <w:sz w:val="24"/>
                <w:szCs w:val="24"/>
              </w:rPr>
              <w:t>Nedaňové príjmy</w:t>
            </w:r>
            <w:r w:rsidR="00C80201" w:rsidRPr="004A6E2F">
              <w:rPr>
                <w:webHidden/>
                <w:sz w:val="24"/>
                <w:szCs w:val="24"/>
              </w:rPr>
              <w:tab/>
            </w:r>
            <w:r w:rsidR="00C80201" w:rsidRPr="004A6E2F">
              <w:rPr>
                <w:webHidden/>
                <w:sz w:val="24"/>
                <w:szCs w:val="24"/>
              </w:rPr>
              <w:fldChar w:fldCharType="begin"/>
            </w:r>
            <w:r w:rsidR="00C80201" w:rsidRPr="004A6E2F">
              <w:rPr>
                <w:webHidden/>
                <w:sz w:val="24"/>
                <w:szCs w:val="24"/>
              </w:rPr>
              <w:instrText xml:space="preserve"> PAGEREF _Toc164846941 \h </w:instrText>
            </w:r>
            <w:r w:rsidR="00C80201" w:rsidRPr="004A6E2F">
              <w:rPr>
                <w:webHidden/>
                <w:sz w:val="24"/>
                <w:szCs w:val="24"/>
              </w:rPr>
            </w:r>
            <w:r w:rsidR="00C80201" w:rsidRPr="004A6E2F">
              <w:rPr>
                <w:webHidden/>
                <w:sz w:val="24"/>
                <w:szCs w:val="24"/>
              </w:rPr>
              <w:fldChar w:fldCharType="separate"/>
            </w:r>
            <w:r w:rsidR="00B87DB8">
              <w:rPr>
                <w:webHidden/>
                <w:sz w:val="24"/>
                <w:szCs w:val="24"/>
              </w:rPr>
              <w:t>59</w:t>
            </w:r>
            <w:r w:rsidR="00C80201" w:rsidRPr="004A6E2F">
              <w:rPr>
                <w:webHidden/>
                <w:sz w:val="24"/>
                <w:szCs w:val="24"/>
              </w:rPr>
              <w:fldChar w:fldCharType="end"/>
            </w:r>
          </w:hyperlink>
        </w:p>
        <w:p w14:paraId="5875509F" w14:textId="4E175D8B" w:rsidR="00C80201" w:rsidRPr="004A6E2F" w:rsidRDefault="009C66DE">
          <w:pPr>
            <w:pStyle w:val="Obsah3"/>
            <w:rPr>
              <w:rFonts w:eastAsiaTheme="minorEastAsia"/>
              <w:sz w:val="24"/>
              <w:szCs w:val="24"/>
              <w:lang w:eastAsia="sk-SK"/>
            </w:rPr>
          </w:pPr>
          <w:hyperlink w:anchor="_Toc164846942" w:history="1">
            <w:r w:rsidR="00C80201" w:rsidRPr="004A6E2F">
              <w:rPr>
                <w:rStyle w:val="Hypertextovprepojenie"/>
                <w:sz w:val="24"/>
                <w:szCs w:val="24"/>
              </w:rPr>
              <w:t>3.1.3</w:t>
            </w:r>
            <w:r w:rsidR="00C80201" w:rsidRPr="004A6E2F">
              <w:rPr>
                <w:rFonts w:eastAsiaTheme="minorEastAsia"/>
                <w:sz w:val="24"/>
                <w:szCs w:val="24"/>
                <w:lang w:eastAsia="sk-SK"/>
              </w:rPr>
              <w:tab/>
            </w:r>
            <w:r w:rsidR="00C80201" w:rsidRPr="004A6E2F">
              <w:rPr>
                <w:rStyle w:val="Hypertextovprepojenie"/>
                <w:sz w:val="24"/>
                <w:szCs w:val="24"/>
              </w:rPr>
              <w:t>Granty a transfery</w:t>
            </w:r>
            <w:r w:rsidR="00C80201" w:rsidRPr="004A6E2F">
              <w:rPr>
                <w:webHidden/>
                <w:sz w:val="24"/>
                <w:szCs w:val="24"/>
              </w:rPr>
              <w:tab/>
            </w:r>
            <w:r w:rsidR="00C80201" w:rsidRPr="004A6E2F">
              <w:rPr>
                <w:webHidden/>
                <w:sz w:val="24"/>
                <w:szCs w:val="24"/>
              </w:rPr>
              <w:fldChar w:fldCharType="begin"/>
            </w:r>
            <w:r w:rsidR="00C80201" w:rsidRPr="004A6E2F">
              <w:rPr>
                <w:webHidden/>
                <w:sz w:val="24"/>
                <w:szCs w:val="24"/>
              </w:rPr>
              <w:instrText xml:space="preserve"> PAGEREF _Toc164846942 \h </w:instrText>
            </w:r>
            <w:r w:rsidR="00C80201" w:rsidRPr="004A6E2F">
              <w:rPr>
                <w:webHidden/>
                <w:sz w:val="24"/>
                <w:szCs w:val="24"/>
              </w:rPr>
            </w:r>
            <w:r w:rsidR="00C80201" w:rsidRPr="004A6E2F">
              <w:rPr>
                <w:webHidden/>
                <w:sz w:val="24"/>
                <w:szCs w:val="24"/>
              </w:rPr>
              <w:fldChar w:fldCharType="separate"/>
            </w:r>
            <w:r w:rsidR="00B87DB8">
              <w:rPr>
                <w:webHidden/>
                <w:sz w:val="24"/>
                <w:szCs w:val="24"/>
              </w:rPr>
              <w:t>66</w:t>
            </w:r>
            <w:r w:rsidR="00C80201" w:rsidRPr="004A6E2F">
              <w:rPr>
                <w:webHidden/>
                <w:sz w:val="24"/>
                <w:szCs w:val="24"/>
              </w:rPr>
              <w:fldChar w:fldCharType="end"/>
            </w:r>
          </w:hyperlink>
        </w:p>
        <w:p w14:paraId="27A2B822" w14:textId="67F75DC0" w:rsidR="00C80201" w:rsidRPr="004A6E2F" w:rsidRDefault="009C66DE">
          <w:pPr>
            <w:pStyle w:val="Obsah2"/>
            <w:rPr>
              <w:rFonts w:eastAsiaTheme="minorEastAsia" w:cs="Times New Roman"/>
              <w:b w:val="0"/>
              <w:bCs w:val="0"/>
              <w:sz w:val="24"/>
              <w:szCs w:val="24"/>
              <w:lang w:eastAsia="sk-SK"/>
            </w:rPr>
          </w:pPr>
          <w:hyperlink w:anchor="_Toc164846943" w:history="1">
            <w:r w:rsidR="00C80201" w:rsidRPr="004A6E2F">
              <w:rPr>
                <w:rStyle w:val="Hypertextovprepojenie"/>
                <w:rFonts w:cs="Times New Roman"/>
                <w:sz w:val="24"/>
                <w:szCs w:val="24"/>
              </w:rPr>
              <w:t>3.2</w:t>
            </w:r>
            <w:r w:rsidR="00C80201" w:rsidRPr="004A6E2F">
              <w:rPr>
                <w:rFonts w:eastAsiaTheme="minorEastAsia" w:cs="Times New Roman"/>
                <w:b w:val="0"/>
                <w:bCs w:val="0"/>
                <w:sz w:val="24"/>
                <w:szCs w:val="24"/>
                <w:lang w:eastAsia="sk-SK"/>
              </w:rPr>
              <w:tab/>
            </w:r>
            <w:r w:rsidR="00C80201" w:rsidRPr="004A6E2F">
              <w:rPr>
                <w:rStyle w:val="Hypertextovprepojenie"/>
                <w:rFonts w:cs="Times New Roman"/>
                <w:sz w:val="24"/>
                <w:szCs w:val="24"/>
              </w:rPr>
              <w:t>Výdavky štátneho rozpočtu</w:t>
            </w:r>
            <w:r w:rsidR="00C80201" w:rsidRPr="004A6E2F">
              <w:rPr>
                <w:rFonts w:cs="Times New Roman"/>
                <w:webHidden/>
                <w:sz w:val="24"/>
                <w:szCs w:val="24"/>
              </w:rPr>
              <w:tab/>
            </w:r>
            <w:r w:rsidR="00C80201" w:rsidRPr="004A6E2F">
              <w:rPr>
                <w:rFonts w:cs="Times New Roman"/>
                <w:webHidden/>
                <w:sz w:val="24"/>
                <w:szCs w:val="24"/>
              </w:rPr>
              <w:fldChar w:fldCharType="begin"/>
            </w:r>
            <w:r w:rsidR="00C80201" w:rsidRPr="004A6E2F">
              <w:rPr>
                <w:rFonts w:cs="Times New Roman"/>
                <w:webHidden/>
                <w:sz w:val="24"/>
                <w:szCs w:val="24"/>
              </w:rPr>
              <w:instrText xml:space="preserve"> PAGEREF _Toc164846943 \h </w:instrText>
            </w:r>
            <w:r w:rsidR="00C80201" w:rsidRPr="004A6E2F">
              <w:rPr>
                <w:rFonts w:cs="Times New Roman"/>
                <w:webHidden/>
                <w:sz w:val="24"/>
                <w:szCs w:val="24"/>
              </w:rPr>
            </w:r>
            <w:r w:rsidR="00C80201" w:rsidRPr="004A6E2F">
              <w:rPr>
                <w:rFonts w:cs="Times New Roman"/>
                <w:webHidden/>
                <w:sz w:val="24"/>
                <w:szCs w:val="24"/>
              </w:rPr>
              <w:fldChar w:fldCharType="separate"/>
            </w:r>
            <w:r w:rsidR="00B87DB8">
              <w:rPr>
                <w:rFonts w:cs="Times New Roman"/>
                <w:webHidden/>
                <w:sz w:val="24"/>
                <w:szCs w:val="24"/>
              </w:rPr>
              <w:t>68</w:t>
            </w:r>
            <w:r w:rsidR="00C80201" w:rsidRPr="004A6E2F">
              <w:rPr>
                <w:rFonts w:cs="Times New Roman"/>
                <w:webHidden/>
                <w:sz w:val="24"/>
                <w:szCs w:val="24"/>
              </w:rPr>
              <w:fldChar w:fldCharType="end"/>
            </w:r>
          </w:hyperlink>
        </w:p>
        <w:p w14:paraId="287EB80F" w14:textId="4D861A74" w:rsidR="00C80201" w:rsidRPr="004A6E2F" w:rsidRDefault="009C66DE">
          <w:pPr>
            <w:pStyle w:val="Obsah3"/>
            <w:rPr>
              <w:rFonts w:eastAsiaTheme="minorEastAsia"/>
              <w:sz w:val="24"/>
              <w:szCs w:val="24"/>
              <w:lang w:eastAsia="sk-SK"/>
            </w:rPr>
          </w:pPr>
          <w:hyperlink w:anchor="_Toc164846944" w:history="1">
            <w:r w:rsidR="00C80201" w:rsidRPr="004A6E2F">
              <w:rPr>
                <w:rStyle w:val="Hypertextovprepojenie"/>
                <w:sz w:val="24"/>
                <w:szCs w:val="24"/>
              </w:rPr>
              <w:t>3.2.1</w:t>
            </w:r>
            <w:r w:rsidR="00C80201" w:rsidRPr="004A6E2F">
              <w:rPr>
                <w:rFonts w:eastAsiaTheme="minorEastAsia"/>
                <w:sz w:val="24"/>
                <w:szCs w:val="24"/>
                <w:lang w:eastAsia="sk-SK"/>
              </w:rPr>
              <w:tab/>
            </w:r>
            <w:r w:rsidR="00C80201" w:rsidRPr="004A6E2F">
              <w:rPr>
                <w:rStyle w:val="Hypertextovprepojenie"/>
                <w:sz w:val="24"/>
                <w:szCs w:val="24"/>
              </w:rPr>
              <w:t>Výdavky štátneho rozpočtu podľa ekonomickej klasifikácie</w:t>
            </w:r>
            <w:r w:rsidR="00C80201" w:rsidRPr="004A6E2F">
              <w:rPr>
                <w:webHidden/>
                <w:sz w:val="24"/>
                <w:szCs w:val="24"/>
              </w:rPr>
              <w:tab/>
            </w:r>
            <w:r w:rsidR="00C80201" w:rsidRPr="004A6E2F">
              <w:rPr>
                <w:webHidden/>
                <w:sz w:val="24"/>
                <w:szCs w:val="24"/>
              </w:rPr>
              <w:fldChar w:fldCharType="begin"/>
            </w:r>
            <w:r w:rsidR="00C80201" w:rsidRPr="004A6E2F">
              <w:rPr>
                <w:webHidden/>
                <w:sz w:val="24"/>
                <w:szCs w:val="24"/>
              </w:rPr>
              <w:instrText xml:space="preserve"> PAGEREF _Toc164846944 \h </w:instrText>
            </w:r>
            <w:r w:rsidR="00C80201" w:rsidRPr="004A6E2F">
              <w:rPr>
                <w:webHidden/>
                <w:sz w:val="24"/>
                <w:szCs w:val="24"/>
              </w:rPr>
            </w:r>
            <w:r w:rsidR="00C80201" w:rsidRPr="004A6E2F">
              <w:rPr>
                <w:webHidden/>
                <w:sz w:val="24"/>
                <w:szCs w:val="24"/>
              </w:rPr>
              <w:fldChar w:fldCharType="separate"/>
            </w:r>
            <w:r w:rsidR="00B87DB8">
              <w:rPr>
                <w:webHidden/>
                <w:sz w:val="24"/>
                <w:szCs w:val="24"/>
              </w:rPr>
              <w:t>68</w:t>
            </w:r>
            <w:r w:rsidR="00C80201" w:rsidRPr="004A6E2F">
              <w:rPr>
                <w:webHidden/>
                <w:sz w:val="24"/>
                <w:szCs w:val="24"/>
              </w:rPr>
              <w:fldChar w:fldCharType="end"/>
            </w:r>
          </w:hyperlink>
        </w:p>
        <w:p w14:paraId="2067EAC6" w14:textId="396BF0D6" w:rsidR="00C80201" w:rsidRPr="004A6E2F" w:rsidRDefault="009C66DE">
          <w:pPr>
            <w:pStyle w:val="Obsah4"/>
            <w:rPr>
              <w:rFonts w:ascii="Times New Roman" w:eastAsiaTheme="minorEastAsia" w:hAnsi="Times New Roman" w:cs="Times New Roman"/>
              <w:noProof/>
              <w:sz w:val="24"/>
              <w:szCs w:val="24"/>
              <w:lang w:eastAsia="sk-SK"/>
            </w:rPr>
          </w:pPr>
          <w:hyperlink w:anchor="_Toc164846945" w:history="1">
            <w:r w:rsidR="00C80201" w:rsidRPr="004A6E2F">
              <w:rPr>
                <w:rStyle w:val="Hypertextovprepojenie"/>
                <w:rFonts w:ascii="Times New Roman" w:hAnsi="Times New Roman" w:cs="Times New Roman"/>
                <w:noProof/>
                <w:sz w:val="24"/>
                <w:szCs w:val="24"/>
                <w14:scene3d>
                  <w14:camera w14:prst="orthographicFront"/>
                  <w14:lightRig w14:rig="threePt" w14:dir="t">
                    <w14:rot w14:lat="0" w14:lon="0" w14:rev="0"/>
                  </w14:lightRig>
                </w14:scene3d>
              </w:rPr>
              <w:t>3.2.1.1</w:t>
            </w:r>
            <w:r w:rsidR="00C80201" w:rsidRPr="004A6E2F">
              <w:rPr>
                <w:rFonts w:ascii="Times New Roman" w:eastAsiaTheme="minorEastAsia" w:hAnsi="Times New Roman" w:cs="Times New Roman"/>
                <w:noProof/>
                <w:sz w:val="24"/>
                <w:szCs w:val="24"/>
                <w:lang w:eastAsia="sk-SK"/>
              </w:rPr>
              <w:tab/>
            </w:r>
            <w:r w:rsidR="00C80201" w:rsidRPr="004A6E2F">
              <w:rPr>
                <w:rStyle w:val="Hypertextovprepojenie"/>
                <w:rFonts w:ascii="Times New Roman" w:hAnsi="Times New Roman" w:cs="Times New Roman"/>
                <w:noProof/>
                <w:sz w:val="24"/>
                <w:szCs w:val="24"/>
              </w:rPr>
              <w:t>Bežné výdavky</w:t>
            </w:r>
            <w:r w:rsidR="00C80201" w:rsidRPr="004A6E2F">
              <w:rPr>
                <w:rFonts w:ascii="Times New Roman" w:hAnsi="Times New Roman" w:cs="Times New Roman"/>
                <w:noProof/>
                <w:webHidden/>
                <w:sz w:val="24"/>
                <w:szCs w:val="24"/>
              </w:rPr>
              <w:tab/>
            </w:r>
            <w:r w:rsidR="00544FF1" w:rsidRPr="004A6E2F">
              <w:rPr>
                <w:rFonts w:ascii="Times New Roman" w:hAnsi="Times New Roman" w:cs="Times New Roman"/>
                <w:noProof/>
                <w:webHidden/>
                <w:sz w:val="24"/>
                <w:szCs w:val="24"/>
              </w:rPr>
              <w:tab/>
            </w:r>
            <w:r w:rsidR="00544FF1" w:rsidRPr="004A6E2F">
              <w:rPr>
                <w:rFonts w:ascii="Times New Roman" w:hAnsi="Times New Roman" w:cs="Times New Roman"/>
                <w:noProof/>
                <w:webHidden/>
                <w:sz w:val="24"/>
                <w:szCs w:val="24"/>
              </w:rPr>
              <w:tab/>
            </w:r>
            <w:r w:rsidR="00544FF1" w:rsidRPr="004A6E2F">
              <w:rPr>
                <w:rFonts w:ascii="Times New Roman" w:hAnsi="Times New Roman" w:cs="Times New Roman"/>
                <w:noProof/>
                <w:webHidden/>
                <w:sz w:val="24"/>
                <w:szCs w:val="24"/>
              </w:rPr>
              <w:tab/>
            </w:r>
            <w:r w:rsidR="00544FF1" w:rsidRPr="004A6E2F">
              <w:rPr>
                <w:rFonts w:ascii="Times New Roman" w:hAnsi="Times New Roman" w:cs="Times New Roman"/>
                <w:noProof/>
                <w:webHidden/>
                <w:sz w:val="24"/>
                <w:szCs w:val="24"/>
              </w:rPr>
              <w:tab/>
            </w:r>
            <w:r w:rsidR="00544FF1" w:rsidRPr="004A6E2F">
              <w:rPr>
                <w:rFonts w:ascii="Times New Roman" w:hAnsi="Times New Roman" w:cs="Times New Roman"/>
                <w:noProof/>
                <w:webHidden/>
                <w:sz w:val="24"/>
                <w:szCs w:val="24"/>
              </w:rPr>
              <w:tab/>
            </w:r>
            <w:r w:rsidR="00544FF1" w:rsidRPr="004A6E2F">
              <w:rPr>
                <w:rFonts w:ascii="Times New Roman" w:hAnsi="Times New Roman" w:cs="Times New Roman"/>
                <w:noProof/>
                <w:webHidden/>
                <w:sz w:val="24"/>
                <w:szCs w:val="24"/>
              </w:rPr>
              <w:tab/>
            </w:r>
            <w:r w:rsidR="00544FF1" w:rsidRPr="004A6E2F">
              <w:rPr>
                <w:rFonts w:ascii="Times New Roman" w:hAnsi="Times New Roman" w:cs="Times New Roman"/>
                <w:noProof/>
                <w:webHidden/>
                <w:sz w:val="24"/>
                <w:szCs w:val="24"/>
              </w:rPr>
              <w:tab/>
            </w:r>
            <w:r w:rsidR="00544FF1" w:rsidRPr="004A6E2F">
              <w:rPr>
                <w:rFonts w:ascii="Times New Roman" w:hAnsi="Times New Roman" w:cs="Times New Roman"/>
                <w:noProof/>
                <w:webHidden/>
                <w:sz w:val="24"/>
                <w:szCs w:val="24"/>
              </w:rPr>
              <w:tab/>
            </w:r>
            <w:r w:rsidR="00544FF1" w:rsidRPr="004A6E2F">
              <w:rPr>
                <w:rFonts w:ascii="Times New Roman" w:hAnsi="Times New Roman" w:cs="Times New Roman"/>
                <w:noProof/>
                <w:webHidden/>
                <w:sz w:val="24"/>
                <w:szCs w:val="24"/>
              </w:rPr>
              <w:tab/>
            </w:r>
            <w:r w:rsidR="00544FF1" w:rsidRPr="004A6E2F">
              <w:rPr>
                <w:rFonts w:ascii="Times New Roman" w:hAnsi="Times New Roman" w:cs="Times New Roman"/>
                <w:noProof/>
                <w:webHidden/>
                <w:sz w:val="24"/>
                <w:szCs w:val="24"/>
              </w:rPr>
              <w:tab/>
            </w:r>
            <w:r w:rsidR="00544FF1" w:rsidRPr="004A6E2F">
              <w:rPr>
                <w:rFonts w:ascii="Times New Roman" w:hAnsi="Times New Roman" w:cs="Times New Roman"/>
                <w:noProof/>
                <w:webHidden/>
                <w:sz w:val="24"/>
                <w:szCs w:val="24"/>
              </w:rPr>
              <w:tab/>
            </w:r>
            <w:r w:rsidR="004A6E2F">
              <w:rPr>
                <w:rFonts w:ascii="Times New Roman" w:hAnsi="Times New Roman" w:cs="Times New Roman"/>
                <w:noProof/>
                <w:webHidden/>
                <w:sz w:val="24"/>
                <w:szCs w:val="24"/>
              </w:rPr>
              <w:t xml:space="preserve">  </w:t>
            </w:r>
            <w:r w:rsidR="00C80201" w:rsidRPr="004A6E2F">
              <w:rPr>
                <w:rFonts w:ascii="Times New Roman" w:hAnsi="Times New Roman" w:cs="Times New Roman"/>
                <w:noProof/>
                <w:webHidden/>
                <w:sz w:val="24"/>
                <w:szCs w:val="24"/>
              </w:rPr>
              <w:fldChar w:fldCharType="begin"/>
            </w:r>
            <w:r w:rsidR="00C80201" w:rsidRPr="004A6E2F">
              <w:rPr>
                <w:rFonts w:ascii="Times New Roman" w:hAnsi="Times New Roman" w:cs="Times New Roman"/>
                <w:noProof/>
                <w:webHidden/>
                <w:sz w:val="24"/>
                <w:szCs w:val="24"/>
              </w:rPr>
              <w:instrText xml:space="preserve"> PAGEREF _Toc164846945 \h </w:instrText>
            </w:r>
            <w:r w:rsidR="00C80201" w:rsidRPr="004A6E2F">
              <w:rPr>
                <w:rFonts w:ascii="Times New Roman" w:hAnsi="Times New Roman" w:cs="Times New Roman"/>
                <w:noProof/>
                <w:webHidden/>
                <w:sz w:val="24"/>
                <w:szCs w:val="24"/>
              </w:rPr>
            </w:r>
            <w:r w:rsidR="00C80201" w:rsidRPr="004A6E2F">
              <w:rPr>
                <w:rFonts w:ascii="Times New Roman" w:hAnsi="Times New Roman" w:cs="Times New Roman"/>
                <w:noProof/>
                <w:webHidden/>
                <w:sz w:val="24"/>
                <w:szCs w:val="24"/>
              </w:rPr>
              <w:fldChar w:fldCharType="separate"/>
            </w:r>
            <w:r w:rsidR="00B87DB8">
              <w:rPr>
                <w:rFonts w:ascii="Times New Roman" w:hAnsi="Times New Roman" w:cs="Times New Roman"/>
                <w:noProof/>
                <w:webHidden/>
                <w:sz w:val="24"/>
                <w:szCs w:val="24"/>
              </w:rPr>
              <w:t>68</w:t>
            </w:r>
            <w:r w:rsidR="00C80201" w:rsidRPr="004A6E2F">
              <w:rPr>
                <w:rFonts w:ascii="Times New Roman" w:hAnsi="Times New Roman" w:cs="Times New Roman"/>
                <w:noProof/>
                <w:webHidden/>
                <w:sz w:val="24"/>
                <w:szCs w:val="24"/>
              </w:rPr>
              <w:fldChar w:fldCharType="end"/>
            </w:r>
          </w:hyperlink>
        </w:p>
        <w:p w14:paraId="4DA660CE" w14:textId="7A827D97" w:rsidR="00C80201" w:rsidRPr="004A6E2F" w:rsidRDefault="009C66DE">
          <w:pPr>
            <w:pStyle w:val="Obsah4"/>
            <w:rPr>
              <w:rFonts w:ascii="Times New Roman" w:eastAsiaTheme="minorEastAsia" w:hAnsi="Times New Roman" w:cs="Times New Roman"/>
              <w:noProof/>
              <w:sz w:val="24"/>
              <w:szCs w:val="24"/>
              <w:lang w:eastAsia="sk-SK"/>
            </w:rPr>
          </w:pPr>
          <w:hyperlink w:anchor="_Toc164846946" w:history="1">
            <w:r w:rsidR="00C80201" w:rsidRPr="004A6E2F">
              <w:rPr>
                <w:rStyle w:val="Hypertextovprepojenie"/>
                <w:rFonts w:ascii="Times New Roman" w:hAnsi="Times New Roman" w:cs="Times New Roman"/>
                <w:noProof/>
                <w:sz w:val="24"/>
                <w:szCs w:val="24"/>
                <w14:scene3d>
                  <w14:camera w14:prst="orthographicFront"/>
                  <w14:lightRig w14:rig="threePt" w14:dir="t">
                    <w14:rot w14:lat="0" w14:lon="0" w14:rev="0"/>
                  </w14:lightRig>
                </w14:scene3d>
              </w:rPr>
              <w:t>3.2.1.2</w:t>
            </w:r>
            <w:r w:rsidR="00C80201" w:rsidRPr="004A6E2F">
              <w:rPr>
                <w:rFonts w:ascii="Times New Roman" w:eastAsiaTheme="minorEastAsia" w:hAnsi="Times New Roman" w:cs="Times New Roman"/>
                <w:noProof/>
                <w:sz w:val="24"/>
                <w:szCs w:val="24"/>
                <w:lang w:eastAsia="sk-SK"/>
              </w:rPr>
              <w:tab/>
            </w:r>
            <w:r w:rsidR="00C80201" w:rsidRPr="004A6E2F">
              <w:rPr>
                <w:rStyle w:val="Hypertextovprepojenie"/>
                <w:rFonts w:ascii="Times New Roman" w:hAnsi="Times New Roman" w:cs="Times New Roman"/>
                <w:noProof/>
                <w:sz w:val="24"/>
                <w:szCs w:val="24"/>
              </w:rPr>
              <w:t>Kapitálové výdavky</w:t>
            </w:r>
            <w:r w:rsidR="00544FF1" w:rsidRPr="004A6E2F">
              <w:rPr>
                <w:rStyle w:val="Hypertextovprepojenie"/>
                <w:rFonts w:ascii="Times New Roman" w:hAnsi="Times New Roman" w:cs="Times New Roman"/>
                <w:noProof/>
                <w:sz w:val="24"/>
                <w:szCs w:val="24"/>
              </w:rPr>
              <w:tab/>
            </w:r>
            <w:r w:rsidR="00544FF1" w:rsidRPr="004A6E2F">
              <w:rPr>
                <w:rStyle w:val="Hypertextovprepojenie"/>
                <w:rFonts w:ascii="Times New Roman" w:hAnsi="Times New Roman" w:cs="Times New Roman"/>
                <w:noProof/>
                <w:sz w:val="24"/>
                <w:szCs w:val="24"/>
              </w:rPr>
              <w:tab/>
            </w:r>
            <w:r w:rsidR="00544FF1" w:rsidRPr="004A6E2F">
              <w:rPr>
                <w:rStyle w:val="Hypertextovprepojenie"/>
                <w:rFonts w:ascii="Times New Roman" w:hAnsi="Times New Roman" w:cs="Times New Roman"/>
                <w:noProof/>
                <w:sz w:val="24"/>
                <w:szCs w:val="24"/>
              </w:rPr>
              <w:tab/>
            </w:r>
            <w:r w:rsidR="00544FF1" w:rsidRPr="004A6E2F">
              <w:rPr>
                <w:rStyle w:val="Hypertextovprepojenie"/>
                <w:rFonts w:ascii="Times New Roman" w:hAnsi="Times New Roman" w:cs="Times New Roman"/>
                <w:noProof/>
                <w:sz w:val="24"/>
                <w:szCs w:val="24"/>
              </w:rPr>
              <w:tab/>
            </w:r>
            <w:r w:rsidR="00544FF1" w:rsidRPr="004A6E2F">
              <w:rPr>
                <w:rStyle w:val="Hypertextovprepojenie"/>
                <w:rFonts w:ascii="Times New Roman" w:hAnsi="Times New Roman" w:cs="Times New Roman"/>
                <w:noProof/>
                <w:sz w:val="24"/>
                <w:szCs w:val="24"/>
              </w:rPr>
              <w:tab/>
            </w:r>
            <w:r w:rsidR="00544FF1" w:rsidRPr="004A6E2F">
              <w:rPr>
                <w:rStyle w:val="Hypertextovprepojenie"/>
                <w:rFonts w:ascii="Times New Roman" w:hAnsi="Times New Roman" w:cs="Times New Roman"/>
                <w:noProof/>
                <w:sz w:val="24"/>
                <w:szCs w:val="24"/>
              </w:rPr>
              <w:tab/>
            </w:r>
            <w:r w:rsidR="00544FF1" w:rsidRPr="004A6E2F">
              <w:rPr>
                <w:rStyle w:val="Hypertextovprepojenie"/>
                <w:rFonts w:ascii="Times New Roman" w:hAnsi="Times New Roman" w:cs="Times New Roman"/>
                <w:noProof/>
                <w:sz w:val="24"/>
                <w:szCs w:val="24"/>
              </w:rPr>
              <w:tab/>
            </w:r>
            <w:r w:rsidR="00544FF1" w:rsidRPr="004A6E2F">
              <w:rPr>
                <w:rStyle w:val="Hypertextovprepojenie"/>
                <w:rFonts w:ascii="Times New Roman" w:hAnsi="Times New Roman" w:cs="Times New Roman"/>
                <w:noProof/>
                <w:sz w:val="24"/>
                <w:szCs w:val="24"/>
              </w:rPr>
              <w:tab/>
            </w:r>
            <w:r w:rsidR="00544FF1" w:rsidRPr="004A6E2F">
              <w:rPr>
                <w:rStyle w:val="Hypertextovprepojenie"/>
                <w:rFonts w:ascii="Times New Roman" w:hAnsi="Times New Roman" w:cs="Times New Roman"/>
                <w:noProof/>
                <w:sz w:val="24"/>
                <w:szCs w:val="24"/>
              </w:rPr>
              <w:tab/>
            </w:r>
            <w:r w:rsidR="00544FF1" w:rsidRPr="004A6E2F">
              <w:rPr>
                <w:rStyle w:val="Hypertextovprepojenie"/>
                <w:rFonts w:ascii="Times New Roman" w:hAnsi="Times New Roman" w:cs="Times New Roman"/>
                <w:noProof/>
                <w:sz w:val="24"/>
                <w:szCs w:val="24"/>
              </w:rPr>
              <w:tab/>
            </w:r>
            <w:r w:rsidR="00E85F91" w:rsidRPr="004A6E2F">
              <w:rPr>
                <w:rFonts w:ascii="Times New Roman" w:hAnsi="Times New Roman" w:cs="Times New Roman"/>
                <w:noProof/>
                <w:webHidden/>
                <w:sz w:val="24"/>
                <w:szCs w:val="24"/>
              </w:rPr>
              <w:tab/>
            </w:r>
            <w:r w:rsidR="004A6E2F">
              <w:rPr>
                <w:rFonts w:ascii="Times New Roman" w:hAnsi="Times New Roman" w:cs="Times New Roman"/>
                <w:noProof/>
                <w:webHidden/>
                <w:sz w:val="24"/>
                <w:szCs w:val="24"/>
              </w:rPr>
              <w:t xml:space="preserve">  </w:t>
            </w:r>
            <w:r w:rsidR="00C80201" w:rsidRPr="004A6E2F">
              <w:rPr>
                <w:rFonts w:ascii="Times New Roman" w:hAnsi="Times New Roman" w:cs="Times New Roman"/>
                <w:noProof/>
                <w:webHidden/>
                <w:sz w:val="24"/>
                <w:szCs w:val="24"/>
              </w:rPr>
              <w:fldChar w:fldCharType="begin"/>
            </w:r>
            <w:r w:rsidR="00C80201" w:rsidRPr="004A6E2F">
              <w:rPr>
                <w:rFonts w:ascii="Times New Roman" w:hAnsi="Times New Roman" w:cs="Times New Roman"/>
                <w:noProof/>
                <w:webHidden/>
                <w:sz w:val="24"/>
                <w:szCs w:val="24"/>
              </w:rPr>
              <w:instrText xml:space="preserve"> PAGEREF _Toc164846946 \h </w:instrText>
            </w:r>
            <w:r w:rsidR="00C80201" w:rsidRPr="004A6E2F">
              <w:rPr>
                <w:rFonts w:ascii="Times New Roman" w:hAnsi="Times New Roman" w:cs="Times New Roman"/>
                <w:noProof/>
                <w:webHidden/>
                <w:sz w:val="24"/>
                <w:szCs w:val="24"/>
              </w:rPr>
            </w:r>
            <w:r w:rsidR="00C80201" w:rsidRPr="004A6E2F">
              <w:rPr>
                <w:rFonts w:ascii="Times New Roman" w:hAnsi="Times New Roman" w:cs="Times New Roman"/>
                <w:noProof/>
                <w:webHidden/>
                <w:sz w:val="24"/>
                <w:szCs w:val="24"/>
              </w:rPr>
              <w:fldChar w:fldCharType="separate"/>
            </w:r>
            <w:r w:rsidR="00B87DB8">
              <w:rPr>
                <w:rFonts w:ascii="Times New Roman" w:hAnsi="Times New Roman" w:cs="Times New Roman"/>
                <w:noProof/>
                <w:webHidden/>
                <w:sz w:val="24"/>
                <w:szCs w:val="24"/>
              </w:rPr>
              <w:t>87</w:t>
            </w:r>
            <w:r w:rsidR="00C80201" w:rsidRPr="004A6E2F">
              <w:rPr>
                <w:rFonts w:ascii="Times New Roman" w:hAnsi="Times New Roman" w:cs="Times New Roman"/>
                <w:noProof/>
                <w:webHidden/>
                <w:sz w:val="24"/>
                <w:szCs w:val="24"/>
              </w:rPr>
              <w:fldChar w:fldCharType="end"/>
            </w:r>
          </w:hyperlink>
        </w:p>
        <w:p w14:paraId="02DCA57E" w14:textId="0C589F8B" w:rsidR="00C80201" w:rsidRPr="004A6E2F" w:rsidRDefault="009C66DE">
          <w:pPr>
            <w:pStyle w:val="Obsah3"/>
            <w:rPr>
              <w:rFonts w:eastAsiaTheme="minorEastAsia"/>
              <w:sz w:val="24"/>
              <w:szCs w:val="24"/>
              <w:lang w:eastAsia="sk-SK"/>
            </w:rPr>
          </w:pPr>
          <w:hyperlink w:anchor="_Toc164846947" w:history="1">
            <w:r w:rsidR="00C80201" w:rsidRPr="004A6E2F">
              <w:rPr>
                <w:rStyle w:val="Hypertextovprepojenie"/>
                <w:sz w:val="24"/>
                <w:szCs w:val="24"/>
              </w:rPr>
              <w:t>3.2.2</w:t>
            </w:r>
            <w:r w:rsidR="00C80201" w:rsidRPr="004A6E2F">
              <w:rPr>
                <w:rFonts w:eastAsiaTheme="minorEastAsia"/>
                <w:sz w:val="24"/>
                <w:szCs w:val="24"/>
                <w:lang w:eastAsia="sk-SK"/>
              </w:rPr>
              <w:tab/>
            </w:r>
            <w:r w:rsidR="00C80201" w:rsidRPr="004A6E2F">
              <w:rPr>
                <w:rStyle w:val="Hypertextovprepojenie"/>
                <w:sz w:val="24"/>
                <w:szCs w:val="24"/>
              </w:rPr>
              <w:t>Výdavky podľa funkčnej klasifikácie</w:t>
            </w:r>
            <w:r w:rsidR="00C80201" w:rsidRPr="004A6E2F">
              <w:rPr>
                <w:webHidden/>
                <w:sz w:val="24"/>
                <w:szCs w:val="24"/>
              </w:rPr>
              <w:tab/>
            </w:r>
            <w:r w:rsidR="00C80201" w:rsidRPr="004A6E2F">
              <w:rPr>
                <w:webHidden/>
                <w:sz w:val="24"/>
                <w:szCs w:val="24"/>
              </w:rPr>
              <w:fldChar w:fldCharType="begin"/>
            </w:r>
            <w:r w:rsidR="00C80201" w:rsidRPr="004A6E2F">
              <w:rPr>
                <w:webHidden/>
                <w:sz w:val="24"/>
                <w:szCs w:val="24"/>
              </w:rPr>
              <w:instrText xml:space="preserve"> PAGEREF _Toc164846947 \h </w:instrText>
            </w:r>
            <w:r w:rsidR="00C80201" w:rsidRPr="004A6E2F">
              <w:rPr>
                <w:webHidden/>
                <w:sz w:val="24"/>
                <w:szCs w:val="24"/>
              </w:rPr>
            </w:r>
            <w:r w:rsidR="00C80201" w:rsidRPr="004A6E2F">
              <w:rPr>
                <w:webHidden/>
                <w:sz w:val="24"/>
                <w:szCs w:val="24"/>
              </w:rPr>
              <w:fldChar w:fldCharType="separate"/>
            </w:r>
            <w:r w:rsidR="00B87DB8">
              <w:rPr>
                <w:webHidden/>
                <w:sz w:val="24"/>
                <w:szCs w:val="24"/>
              </w:rPr>
              <w:t>96</w:t>
            </w:r>
            <w:r w:rsidR="00C80201" w:rsidRPr="004A6E2F">
              <w:rPr>
                <w:webHidden/>
                <w:sz w:val="24"/>
                <w:szCs w:val="24"/>
              </w:rPr>
              <w:fldChar w:fldCharType="end"/>
            </w:r>
          </w:hyperlink>
        </w:p>
        <w:p w14:paraId="65C58067" w14:textId="2F7C0E7A" w:rsidR="00C80201" w:rsidRPr="004A6E2F" w:rsidRDefault="009C66DE">
          <w:pPr>
            <w:pStyle w:val="Obsah3"/>
            <w:rPr>
              <w:rFonts w:eastAsiaTheme="minorEastAsia"/>
              <w:sz w:val="24"/>
              <w:szCs w:val="24"/>
              <w:lang w:eastAsia="sk-SK"/>
            </w:rPr>
          </w:pPr>
          <w:hyperlink w:anchor="_Toc164846948" w:history="1">
            <w:r w:rsidR="00C80201" w:rsidRPr="004A6E2F">
              <w:rPr>
                <w:rStyle w:val="Hypertextovprepojenie"/>
                <w:sz w:val="24"/>
                <w:szCs w:val="24"/>
              </w:rPr>
              <w:t>3.2.3</w:t>
            </w:r>
            <w:r w:rsidR="00C80201" w:rsidRPr="004A6E2F">
              <w:rPr>
                <w:rFonts w:eastAsiaTheme="minorEastAsia"/>
                <w:sz w:val="24"/>
                <w:szCs w:val="24"/>
                <w:lang w:eastAsia="sk-SK"/>
              </w:rPr>
              <w:tab/>
            </w:r>
            <w:r w:rsidR="00C80201" w:rsidRPr="004A6E2F">
              <w:rPr>
                <w:rStyle w:val="Hypertextovprepojenie"/>
                <w:sz w:val="24"/>
                <w:szCs w:val="24"/>
              </w:rPr>
              <w:t>Vzťahy štátneho rozpočtu k obciam</w:t>
            </w:r>
            <w:r w:rsidR="00C80201" w:rsidRPr="004A6E2F">
              <w:rPr>
                <w:webHidden/>
                <w:sz w:val="24"/>
                <w:szCs w:val="24"/>
              </w:rPr>
              <w:tab/>
            </w:r>
            <w:r w:rsidR="00C80201" w:rsidRPr="004A6E2F">
              <w:rPr>
                <w:webHidden/>
                <w:sz w:val="24"/>
                <w:szCs w:val="24"/>
              </w:rPr>
              <w:fldChar w:fldCharType="begin"/>
            </w:r>
            <w:r w:rsidR="00C80201" w:rsidRPr="004A6E2F">
              <w:rPr>
                <w:webHidden/>
                <w:sz w:val="24"/>
                <w:szCs w:val="24"/>
              </w:rPr>
              <w:instrText xml:space="preserve"> PAGEREF _Toc164846948 \h </w:instrText>
            </w:r>
            <w:r w:rsidR="00C80201" w:rsidRPr="004A6E2F">
              <w:rPr>
                <w:webHidden/>
                <w:sz w:val="24"/>
                <w:szCs w:val="24"/>
              </w:rPr>
            </w:r>
            <w:r w:rsidR="00C80201" w:rsidRPr="004A6E2F">
              <w:rPr>
                <w:webHidden/>
                <w:sz w:val="24"/>
                <w:szCs w:val="24"/>
              </w:rPr>
              <w:fldChar w:fldCharType="separate"/>
            </w:r>
            <w:r w:rsidR="00B87DB8">
              <w:rPr>
                <w:webHidden/>
                <w:sz w:val="24"/>
                <w:szCs w:val="24"/>
              </w:rPr>
              <w:t>99</w:t>
            </w:r>
            <w:r w:rsidR="00C80201" w:rsidRPr="004A6E2F">
              <w:rPr>
                <w:webHidden/>
                <w:sz w:val="24"/>
                <w:szCs w:val="24"/>
              </w:rPr>
              <w:fldChar w:fldCharType="end"/>
            </w:r>
          </w:hyperlink>
        </w:p>
        <w:p w14:paraId="64DBE102" w14:textId="62C42A3E" w:rsidR="00C80201" w:rsidRPr="004A6E2F" w:rsidRDefault="009C66DE">
          <w:pPr>
            <w:pStyle w:val="Obsah3"/>
            <w:rPr>
              <w:rFonts w:eastAsiaTheme="minorEastAsia"/>
              <w:sz w:val="24"/>
              <w:szCs w:val="24"/>
              <w:lang w:eastAsia="sk-SK"/>
            </w:rPr>
          </w:pPr>
          <w:hyperlink w:anchor="_Toc164846949" w:history="1">
            <w:r w:rsidR="00C80201" w:rsidRPr="004A6E2F">
              <w:rPr>
                <w:rStyle w:val="Hypertextovprepojenie"/>
                <w:sz w:val="24"/>
                <w:szCs w:val="24"/>
              </w:rPr>
              <w:t>3.2.4</w:t>
            </w:r>
            <w:r w:rsidR="00C80201" w:rsidRPr="004A6E2F">
              <w:rPr>
                <w:rFonts w:eastAsiaTheme="minorEastAsia"/>
                <w:sz w:val="24"/>
                <w:szCs w:val="24"/>
                <w:lang w:eastAsia="sk-SK"/>
              </w:rPr>
              <w:tab/>
            </w:r>
            <w:r w:rsidR="00C80201" w:rsidRPr="004A6E2F">
              <w:rPr>
                <w:rStyle w:val="Hypertextovprepojenie"/>
                <w:sz w:val="24"/>
                <w:szCs w:val="24"/>
              </w:rPr>
              <w:t>Vzťahy štátneho rozpočtu k vyšším územným celkom</w:t>
            </w:r>
            <w:r w:rsidR="00C80201" w:rsidRPr="004A6E2F">
              <w:rPr>
                <w:webHidden/>
                <w:sz w:val="24"/>
                <w:szCs w:val="24"/>
              </w:rPr>
              <w:tab/>
            </w:r>
            <w:r w:rsidR="00C80201" w:rsidRPr="004A6E2F">
              <w:rPr>
                <w:webHidden/>
                <w:sz w:val="24"/>
                <w:szCs w:val="24"/>
              </w:rPr>
              <w:fldChar w:fldCharType="begin"/>
            </w:r>
            <w:r w:rsidR="00C80201" w:rsidRPr="004A6E2F">
              <w:rPr>
                <w:webHidden/>
                <w:sz w:val="24"/>
                <w:szCs w:val="24"/>
              </w:rPr>
              <w:instrText xml:space="preserve"> PAGEREF _Toc164846949 \h </w:instrText>
            </w:r>
            <w:r w:rsidR="00C80201" w:rsidRPr="004A6E2F">
              <w:rPr>
                <w:webHidden/>
                <w:sz w:val="24"/>
                <w:szCs w:val="24"/>
              </w:rPr>
            </w:r>
            <w:r w:rsidR="00C80201" w:rsidRPr="004A6E2F">
              <w:rPr>
                <w:webHidden/>
                <w:sz w:val="24"/>
                <w:szCs w:val="24"/>
              </w:rPr>
              <w:fldChar w:fldCharType="separate"/>
            </w:r>
            <w:r w:rsidR="00B87DB8">
              <w:rPr>
                <w:webHidden/>
                <w:sz w:val="24"/>
                <w:szCs w:val="24"/>
              </w:rPr>
              <w:t>105</w:t>
            </w:r>
            <w:r w:rsidR="00C80201" w:rsidRPr="004A6E2F">
              <w:rPr>
                <w:webHidden/>
                <w:sz w:val="24"/>
                <w:szCs w:val="24"/>
              </w:rPr>
              <w:fldChar w:fldCharType="end"/>
            </w:r>
          </w:hyperlink>
        </w:p>
        <w:p w14:paraId="625408A7" w14:textId="70625102" w:rsidR="00C80201" w:rsidRPr="004A6E2F" w:rsidRDefault="009C66DE">
          <w:pPr>
            <w:pStyle w:val="Obsah3"/>
            <w:rPr>
              <w:rFonts w:eastAsiaTheme="minorEastAsia"/>
              <w:sz w:val="24"/>
              <w:szCs w:val="24"/>
              <w:lang w:eastAsia="sk-SK"/>
            </w:rPr>
          </w:pPr>
          <w:hyperlink w:anchor="_Toc164846950" w:history="1">
            <w:r w:rsidR="00C80201" w:rsidRPr="004A6E2F">
              <w:rPr>
                <w:rStyle w:val="Hypertextovprepojenie"/>
                <w:sz w:val="24"/>
                <w:szCs w:val="24"/>
              </w:rPr>
              <w:t>3.2.5</w:t>
            </w:r>
            <w:r w:rsidR="00C80201" w:rsidRPr="004A6E2F">
              <w:rPr>
                <w:rFonts w:eastAsiaTheme="minorEastAsia"/>
                <w:sz w:val="24"/>
                <w:szCs w:val="24"/>
                <w:lang w:eastAsia="sk-SK"/>
              </w:rPr>
              <w:tab/>
            </w:r>
            <w:r w:rsidR="00C80201" w:rsidRPr="004A6E2F">
              <w:rPr>
                <w:rStyle w:val="Hypertextovprepojenie"/>
                <w:sz w:val="24"/>
                <w:szCs w:val="24"/>
              </w:rPr>
              <w:t>Čerpanie rezerv štátneho rozpočtu</w:t>
            </w:r>
            <w:r w:rsidR="00C80201" w:rsidRPr="004A6E2F">
              <w:rPr>
                <w:webHidden/>
                <w:sz w:val="24"/>
                <w:szCs w:val="24"/>
              </w:rPr>
              <w:tab/>
            </w:r>
            <w:r w:rsidR="00C80201" w:rsidRPr="004A6E2F">
              <w:rPr>
                <w:webHidden/>
                <w:sz w:val="24"/>
                <w:szCs w:val="24"/>
              </w:rPr>
              <w:fldChar w:fldCharType="begin"/>
            </w:r>
            <w:r w:rsidR="00C80201" w:rsidRPr="004A6E2F">
              <w:rPr>
                <w:webHidden/>
                <w:sz w:val="24"/>
                <w:szCs w:val="24"/>
              </w:rPr>
              <w:instrText xml:space="preserve"> PAGEREF _Toc164846950 \h </w:instrText>
            </w:r>
            <w:r w:rsidR="00C80201" w:rsidRPr="004A6E2F">
              <w:rPr>
                <w:webHidden/>
                <w:sz w:val="24"/>
                <w:szCs w:val="24"/>
              </w:rPr>
            </w:r>
            <w:r w:rsidR="00C80201" w:rsidRPr="004A6E2F">
              <w:rPr>
                <w:webHidden/>
                <w:sz w:val="24"/>
                <w:szCs w:val="24"/>
              </w:rPr>
              <w:fldChar w:fldCharType="separate"/>
            </w:r>
            <w:r w:rsidR="00B87DB8">
              <w:rPr>
                <w:webHidden/>
                <w:sz w:val="24"/>
                <w:szCs w:val="24"/>
              </w:rPr>
              <w:t>109</w:t>
            </w:r>
            <w:r w:rsidR="00C80201" w:rsidRPr="004A6E2F">
              <w:rPr>
                <w:webHidden/>
                <w:sz w:val="24"/>
                <w:szCs w:val="24"/>
              </w:rPr>
              <w:fldChar w:fldCharType="end"/>
            </w:r>
          </w:hyperlink>
        </w:p>
        <w:p w14:paraId="4CDCE355" w14:textId="2624210F" w:rsidR="00C80201" w:rsidRPr="004A6E2F" w:rsidRDefault="009C66DE">
          <w:pPr>
            <w:pStyle w:val="Obsah2"/>
            <w:rPr>
              <w:rFonts w:eastAsiaTheme="minorEastAsia" w:cs="Times New Roman"/>
              <w:b w:val="0"/>
              <w:bCs w:val="0"/>
              <w:sz w:val="24"/>
              <w:szCs w:val="24"/>
              <w:lang w:eastAsia="sk-SK"/>
            </w:rPr>
          </w:pPr>
          <w:hyperlink w:anchor="_Toc164846951" w:history="1">
            <w:r w:rsidR="00C80201" w:rsidRPr="004A6E2F">
              <w:rPr>
                <w:rStyle w:val="Hypertextovprepojenie"/>
                <w:rFonts w:cs="Times New Roman"/>
                <w:sz w:val="24"/>
                <w:szCs w:val="24"/>
              </w:rPr>
              <w:t>3.3</w:t>
            </w:r>
            <w:r w:rsidR="00C80201" w:rsidRPr="004A6E2F">
              <w:rPr>
                <w:rFonts w:eastAsiaTheme="minorEastAsia" w:cs="Times New Roman"/>
                <w:b w:val="0"/>
                <w:bCs w:val="0"/>
                <w:sz w:val="24"/>
                <w:szCs w:val="24"/>
                <w:lang w:eastAsia="sk-SK"/>
              </w:rPr>
              <w:tab/>
            </w:r>
            <w:r w:rsidR="00C80201" w:rsidRPr="004A6E2F">
              <w:rPr>
                <w:rStyle w:val="Hypertextovprepojenie"/>
                <w:rFonts w:cs="Times New Roman"/>
                <w:sz w:val="24"/>
                <w:szCs w:val="24"/>
              </w:rPr>
              <w:t>Štátne finančné aktíva</w:t>
            </w:r>
            <w:r w:rsidR="00C80201" w:rsidRPr="004A6E2F">
              <w:rPr>
                <w:rFonts w:cs="Times New Roman"/>
                <w:webHidden/>
                <w:sz w:val="24"/>
                <w:szCs w:val="24"/>
              </w:rPr>
              <w:tab/>
            </w:r>
            <w:r w:rsidR="00C80201" w:rsidRPr="004A6E2F">
              <w:rPr>
                <w:rFonts w:cs="Times New Roman"/>
                <w:webHidden/>
                <w:sz w:val="24"/>
                <w:szCs w:val="24"/>
              </w:rPr>
              <w:fldChar w:fldCharType="begin"/>
            </w:r>
            <w:r w:rsidR="00C80201" w:rsidRPr="004A6E2F">
              <w:rPr>
                <w:rFonts w:cs="Times New Roman"/>
                <w:webHidden/>
                <w:sz w:val="24"/>
                <w:szCs w:val="24"/>
              </w:rPr>
              <w:instrText xml:space="preserve"> PAGEREF _Toc164846951 \h </w:instrText>
            </w:r>
            <w:r w:rsidR="00C80201" w:rsidRPr="004A6E2F">
              <w:rPr>
                <w:rFonts w:cs="Times New Roman"/>
                <w:webHidden/>
                <w:sz w:val="24"/>
                <w:szCs w:val="24"/>
              </w:rPr>
            </w:r>
            <w:r w:rsidR="00C80201" w:rsidRPr="004A6E2F">
              <w:rPr>
                <w:rFonts w:cs="Times New Roman"/>
                <w:webHidden/>
                <w:sz w:val="24"/>
                <w:szCs w:val="24"/>
              </w:rPr>
              <w:fldChar w:fldCharType="separate"/>
            </w:r>
            <w:r w:rsidR="00B87DB8">
              <w:rPr>
                <w:rFonts w:cs="Times New Roman"/>
                <w:webHidden/>
                <w:sz w:val="24"/>
                <w:szCs w:val="24"/>
              </w:rPr>
              <w:t>130</w:t>
            </w:r>
            <w:r w:rsidR="00C80201" w:rsidRPr="004A6E2F">
              <w:rPr>
                <w:rFonts w:cs="Times New Roman"/>
                <w:webHidden/>
                <w:sz w:val="24"/>
                <w:szCs w:val="24"/>
              </w:rPr>
              <w:fldChar w:fldCharType="end"/>
            </w:r>
          </w:hyperlink>
        </w:p>
        <w:p w14:paraId="510A0699" w14:textId="6A894C1D" w:rsidR="00C80201" w:rsidRPr="004A6E2F" w:rsidRDefault="009C66DE">
          <w:pPr>
            <w:pStyle w:val="Obsah2"/>
            <w:rPr>
              <w:rFonts w:eastAsiaTheme="minorEastAsia" w:cs="Times New Roman"/>
              <w:b w:val="0"/>
              <w:bCs w:val="0"/>
              <w:sz w:val="24"/>
              <w:szCs w:val="24"/>
              <w:lang w:eastAsia="sk-SK"/>
            </w:rPr>
          </w:pPr>
          <w:hyperlink w:anchor="_Toc164846952" w:history="1">
            <w:r w:rsidR="00C80201" w:rsidRPr="004A6E2F">
              <w:rPr>
                <w:rStyle w:val="Hypertextovprepojenie"/>
                <w:rFonts w:cs="Times New Roman"/>
                <w:sz w:val="24"/>
                <w:szCs w:val="24"/>
              </w:rPr>
              <w:t>3.4</w:t>
            </w:r>
            <w:r w:rsidR="00C80201" w:rsidRPr="004A6E2F">
              <w:rPr>
                <w:rFonts w:eastAsiaTheme="minorEastAsia" w:cs="Times New Roman"/>
                <w:b w:val="0"/>
                <w:bCs w:val="0"/>
                <w:sz w:val="24"/>
                <w:szCs w:val="24"/>
                <w:lang w:eastAsia="sk-SK"/>
              </w:rPr>
              <w:tab/>
            </w:r>
            <w:r w:rsidR="00C80201" w:rsidRPr="004A6E2F">
              <w:rPr>
                <w:rStyle w:val="Hypertextovprepojenie"/>
                <w:rFonts w:cs="Times New Roman"/>
                <w:sz w:val="24"/>
                <w:szCs w:val="24"/>
              </w:rPr>
              <w:t>Vzťahy štátneho rozpočtu k Európskej únii</w:t>
            </w:r>
            <w:r w:rsidR="00C80201" w:rsidRPr="004A6E2F">
              <w:rPr>
                <w:rFonts w:cs="Times New Roman"/>
                <w:webHidden/>
                <w:sz w:val="24"/>
                <w:szCs w:val="24"/>
              </w:rPr>
              <w:tab/>
            </w:r>
            <w:r w:rsidR="00C80201" w:rsidRPr="004A6E2F">
              <w:rPr>
                <w:rFonts w:cs="Times New Roman"/>
                <w:webHidden/>
                <w:sz w:val="24"/>
                <w:szCs w:val="24"/>
              </w:rPr>
              <w:fldChar w:fldCharType="begin"/>
            </w:r>
            <w:r w:rsidR="00C80201" w:rsidRPr="004A6E2F">
              <w:rPr>
                <w:rFonts w:cs="Times New Roman"/>
                <w:webHidden/>
                <w:sz w:val="24"/>
                <w:szCs w:val="24"/>
              </w:rPr>
              <w:instrText xml:space="preserve"> PAGEREF _Toc164846952 \h </w:instrText>
            </w:r>
            <w:r w:rsidR="00C80201" w:rsidRPr="004A6E2F">
              <w:rPr>
                <w:rFonts w:cs="Times New Roman"/>
                <w:webHidden/>
                <w:sz w:val="24"/>
                <w:szCs w:val="24"/>
              </w:rPr>
            </w:r>
            <w:r w:rsidR="00C80201" w:rsidRPr="004A6E2F">
              <w:rPr>
                <w:rFonts w:cs="Times New Roman"/>
                <w:webHidden/>
                <w:sz w:val="24"/>
                <w:szCs w:val="24"/>
              </w:rPr>
              <w:fldChar w:fldCharType="separate"/>
            </w:r>
            <w:r w:rsidR="00B87DB8">
              <w:rPr>
                <w:rFonts w:cs="Times New Roman"/>
                <w:webHidden/>
                <w:sz w:val="24"/>
                <w:szCs w:val="24"/>
              </w:rPr>
              <w:t>133</w:t>
            </w:r>
            <w:r w:rsidR="00C80201" w:rsidRPr="004A6E2F">
              <w:rPr>
                <w:rFonts w:cs="Times New Roman"/>
                <w:webHidden/>
                <w:sz w:val="24"/>
                <w:szCs w:val="24"/>
              </w:rPr>
              <w:fldChar w:fldCharType="end"/>
            </w:r>
          </w:hyperlink>
        </w:p>
        <w:p w14:paraId="08AC09CE" w14:textId="382D0254" w:rsidR="00C80201" w:rsidRPr="004A6E2F" w:rsidRDefault="009C66DE">
          <w:pPr>
            <w:pStyle w:val="Obsah3"/>
            <w:rPr>
              <w:rFonts w:eastAsiaTheme="minorEastAsia"/>
              <w:sz w:val="24"/>
              <w:szCs w:val="24"/>
              <w:lang w:eastAsia="sk-SK"/>
            </w:rPr>
          </w:pPr>
          <w:hyperlink w:anchor="_Toc164846953" w:history="1">
            <w:r w:rsidR="00C80201" w:rsidRPr="004A6E2F">
              <w:rPr>
                <w:rStyle w:val="Hypertextovprepojenie"/>
                <w:sz w:val="24"/>
                <w:szCs w:val="24"/>
              </w:rPr>
              <w:t>3.4.1</w:t>
            </w:r>
            <w:r w:rsidR="00C80201" w:rsidRPr="004A6E2F">
              <w:rPr>
                <w:rFonts w:eastAsiaTheme="minorEastAsia"/>
                <w:sz w:val="24"/>
                <w:szCs w:val="24"/>
                <w:lang w:eastAsia="sk-SK"/>
              </w:rPr>
              <w:tab/>
            </w:r>
            <w:r w:rsidR="00C80201" w:rsidRPr="004A6E2F">
              <w:rPr>
                <w:rStyle w:val="Hypertextovprepojenie"/>
                <w:sz w:val="24"/>
                <w:szCs w:val="24"/>
              </w:rPr>
              <w:t>Príjmy z rozpočtu Európskej únie</w:t>
            </w:r>
            <w:r w:rsidR="00C80201" w:rsidRPr="004A6E2F">
              <w:rPr>
                <w:webHidden/>
                <w:sz w:val="24"/>
                <w:szCs w:val="24"/>
              </w:rPr>
              <w:tab/>
            </w:r>
            <w:r w:rsidR="00C80201" w:rsidRPr="004A6E2F">
              <w:rPr>
                <w:webHidden/>
                <w:sz w:val="24"/>
                <w:szCs w:val="24"/>
              </w:rPr>
              <w:fldChar w:fldCharType="begin"/>
            </w:r>
            <w:r w:rsidR="00C80201" w:rsidRPr="004A6E2F">
              <w:rPr>
                <w:webHidden/>
                <w:sz w:val="24"/>
                <w:szCs w:val="24"/>
              </w:rPr>
              <w:instrText xml:space="preserve"> PAGEREF _Toc164846953 \h </w:instrText>
            </w:r>
            <w:r w:rsidR="00C80201" w:rsidRPr="004A6E2F">
              <w:rPr>
                <w:webHidden/>
                <w:sz w:val="24"/>
                <w:szCs w:val="24"/>
              </w:rPr>
            </w:r>
            <w:r w:rsidR="00C80201" w:rsidRPr="004A6E2F">
              <w:rPr>
                <w:webHidden/>
                <w:sz w:val="24"/>
                <w:szCs w:val="24"/>
              </w:rPr>
              <w:fldChar w:fldCharType="separate"/>
            </w:r>
            <w:r w:rsidR="00B87DB8">
              <w:rPr>
                <w:webHidden/>
                <w:sz w:val="24"/>
                <w:szCs w:val="24"/>
              </w:rPr>
              <w:t>135</w:t>
            </w:r>
            <w:r w:rsidR="00C80201" w:rsidRPr="004A6E2F">
              <w:rPr>
                <w:webHidden/>
                <w:sz w:val="24"/>
                <w:szCs w:val="24"/>
              </w:rPr>
              <w:fldChar w:fldCharType="end"/>
            </w:r>
          </w:hyperlink>
        </w:p>
        <w:p w14:paraId="4B00DEBB" w14:textId="0B5EB28A" w:rsidR="00C80201" w:rsidRPr="004A6E2F" w:rsidRDefault="009C66DE">
          <w:pPr>
            <w:pStyle w:val="Obsah3"/>
            <w:rPr>
              <w:rFonts w:eastAsiaTheme="minorEastAsia"/>
              <w:sz w:val="24"/>
              <w:szCs w:val="24"/>
              <w:lang w:eastAsia="sk-SK"/>
            </w:rPr>
          </w:pPr>
          <w:hyperlink w:anchor="_Toc164846954" w:history="1">
            <w:r w:rsidR="00C80201" w:rsidRPr="004A6E2F">
              <w:rPr>
                <w:rStyle w:val="Hypertextovprepojenie"/>
                <w:sz w:val="24"/>
                <w:szCs w:val="24"/>
              </w:rPr>
              <w:t>3.4.2</w:t>
            </w:r>
            <w:r w:rsidR="00C80201" w:rsidRPr="004A6E2F">
              <w:rPr>
                <w:rFonts w:eastAsiaTheme="minorEastAsia"/>
                <w:sz w:val="24"/>
                <w:szCs w:val="24"/>
                <w:lang w:eastAsia="sk-SK"/>
              </w:rPr>
              <w:tab/>
            </w:r>
            <w:r w:rsidR="00C80201" w:rsidRPr="004A6E2F">
              <w:rPr>
                <w:rStyle w:val="Hypertextovprepojenie"/>
                <w:sz w:val="24"/>
                <w:szCs w:val="24"/>
              </w:rPr>
              <w:t>Výdavky štátneho rozpočtu rozpočtované vo väzbe na príjmy z EÚ</w:t>
            </w:r>
            <w:r w:rsidR="00C80201" w:rsidRPr="004A6E2F">
              <w:rPr>
                <w:webHidden/>
                <w:sz w:val="24"/>
                <w:szCs w:val="24"/>
              </w:rPr>
              <w:tab/>
            </w:r>
            <w:r w:rsidR="00C80201" w:rsidRPr="004A6E2F">
              <w:rPr>
                <w:webHidden/>
                <w:sz w:val="24"/>
                <w:szCs w:val="24"/>
              </w:rPr>
              <w:fldChar w:fldCharType="begin"/>
            </w:r>
            <w:r w:rsidR="00C80201" w:rsidRPr="004A6E2F">
              <w:rPr>
                <w:webHidden/>
                <w:sz w:val="24"/>
                <w:szCs w:val="24"/>
              </w:rPr>
              <w:instrText xml:space="preserve"> PAGEREF _Toc164846954 \h </w:instrText>
            </w:r>
            <w:r w:rsidR="00C80201" w:rsidRPr="004A6E2F">
              <w:rPr>
                <w:webHidden/>
                <w:sz w:val="24"/>
                <w:szCs w:val="24"/>
              </w:rPr>
            </w:r>
            <w:r w:rsidR="00C80201" w:rsidRPr="004A6E2F">
              <w:rPr>
                <w:webHidden/>
                <w:sz w:val="24"/>
                <w:szCs w:val="24"/>
              </w:rPr>
              <w:fldChar w:fldCharType="separate"/>
            </w:r>
            <w:r w:rsidR="00B87DB8">
              <w:rPr>
                <w:webHidden/>
                <w:sz w:val="24"/>
                <w:szCs w:val="24"/>
              </w:rPr>
              <w:t>137</w:t>
            </w:r>
            <w:r w:rsidR="00C80201" w:rsidRPr="004A6E2F">
              <w:rPr>
                <w:webHidden/>
                <w:sz w:val="24"/>
                <w:szCs w:val="24"/>
              </w:rPr>
              <w:fldChar w:fldCharType="end"/>
            </w:r>
          </w:hyperlink>
        </w:p>
        <w:p w14:paraId="7B6D7CEE" w14:textId="0FE9CBC9" w:rsidR="00C80201" w:rsidRPr="004A6E2F" w:rsidRDefault="009C66DE">
          <w:pPr>
            <w:pStyle w:val="Obsah3"/>
            <w:rPr>
              <w:rFonts w:eastAsiaTheme="minorEastAsia"/>
              <w:sz w:val="24"/>
              <w:szCs w:val="24"/>
              <w:lang w:eastAsia="sk-SK"/>
            </w:rPr>
          </w:pPr>
          <w:hyperlink w:anchor="_Toc164846955" w:history="1">
            <w:r w:rsidR="00C80201" w:rsidRPr="004A6E2F">
              <w:rPr>
                <w:rStyle w:val="Hypertextovprepojenie"/>
                <w:sz w:val="24"/>
                <w:szCs w:val="24"/>
              </w:rPr>
              <w:t>3.4.3</w:t>
            </w:r>
            <w:r w:rsidR="00C80201" w:rsidRPr="004A6E2F">
              <w:rPr>
                <w:rFonts w:eastAsiaTheme="minorEastAsia"/>
                <w:sz w:val="24"/>
                <w:szCs w:val="24"/>
                <w:lang w:eastAsia="sk-SK"/>
              </w:rPr>
              <w:tab/>
            </w:r>
            <w:r w:rsidR="00C80201" w:rsidRPr="004A6E2F">
              <w:rPr>
                <w:rStyle w:val="Hypertextovprepojenie"/>
                <w:sz w:val="24"/>
                <w:szCs w:val="24"/>
              </w:rPr>
              <w:t>Prostriedky poskytnuté SR používané prostredníctvom samostatných účtov</w:t>
            </w:r>
            <w:r w:rsidR="00C80201" w:rsidRPr="004A6E2F">
              <w:rPr>
                <w:webHidden/>
                <w:sz w:val="24"/>
                <w:szCs w:val="24"/>
              </w:rPr>
              <w:tab/>
            </w:r>
            <w:r w:rsidR="00C80201" w:rsidRPr="004A6E2F">
              <w:rPr>
                <w:webHidden/>
                <w:sz w:val="24"/>
                <w:szCs w:val="24"/>
              </w:rPr>
              <w:fldChar w:fldCharType="begin"/>
            </w:r>
            <w:r w:rsidR="00C80201" w:rsidRPr="004A6E2F">
              <w:rPr>
                <w:webHidden/>
                <w:sz w:val="24"/>
                <w:szCs w:val="24"/>
              </w:rPr>
              <w:instrText xml:space="preserve"> PAGEREF _Toc164846955 \h </w:instrText>
            </w:r>
            <w:r w:rsidR="00C80201" w:rsidRPr="004A6E2F">
              <w:rPr>
                <w:webHidden/>
                <w:sz w:val="24"/>
                <w:szCs w:val="24"/>
              </w:rPr>
            </w:r>
            <w:r w:rsidR="00C80201" w:rsidRPr="004A6E2F">
              <w:rPr>
                <w:webHidden/>
                <w:sz w:val="24"/>
                <w:szCs w:val="24"/>
              </w:rPr>
              <w:fldChar w:fldCharType="separate"/>
            </w:r>
            <w:r w:rsidR="00B87DB8">
              <w:rPr>
                <w:webHidden/>
                <w:sz w:val="24"/>
                <w:szCs w:val="24"/>
              </w:rPr>
              <w:t>141</w:t>
            </w:r>
            <w:r w:rsidR="00C80201" w:rsidRPr="004A6E2F">
              <w:rPr>
                <w:webHidden/>
                <w:sz w:val="24"/>
                <w:szCs w:val="24"/>
              </w:rPr>
              <w:fldChar w:fldCharType="end"/>
            </w:r>
          </w:hyperlink>
        </w:p>
        <w:p w14:paraId="325E9DDD" w14:textId="6568CE5D" w:rsidR="00C80201" w:rsidRPr="004A6E2F" w:rsidRDefault="009C66DE">
          <w:pPr>
            <w:pStyle w:val="Obsah3"/>
            <w:rPr>
              <w:rFonts w:eastAsiaTheme="minorEastAsia"/>
              <w:sz w:val="24"/>
              <w:szCs w:val="24"/>
              <w:lang w:eastAsia="sk-SK"/>
            </w:rPr>
          </w:pPr>
          <w:hyperlink w:anchor="_Toc164846956" w:history="1">
            <w:r w:rsidR="00C80201" w:rsidRPr="004A6E2F">
              <w:rPr>
                <w:rStyle w:val="Hypertextovprepojenie"/>
                <w:sz w:val="24"/>
                <w:szCs w:val="24"/>
              </w:rPr>
              <w:t>3.4.4</w:t>
            </w:r>
            <w:r w:rsidR="00C80201" w:rsidRPr="004A6E2F">
              <w:rPr>
                <w:rFonts w:eastAsiaTheme="minorEastAsia"/>
                <w:sz w:val="24"/>
                <w:szCs w:val="24"/>
                <w:lang w:eastAsia="sk-SK"/>
              </w:rPr>
              <w:tab/>
            </w:r>
            <w:r w:rsidR="00C80201" w:rsidRPr="004A6E2F">
              <w:rPr>
                <w:rStyle w:val="Hypertextovprepojenie"/>
                <w:sz w:val="24"/>
                <w:szCs w:val="24"/>
              </w:rPr>
              <w:t>Zhrnutie čerpania záväzkov programových období po vstupe SR do EÚ</w:t>
            </w:r>
            <w:r w:rsidR="00C80201" w:rsidRPr="004A6E2F">
              <w:rPr>
                <w:webHidden/>
                <w:sz w:val="24"/>
                <w:szCs w:val="24"/>
              </w:rPr>
              <w:tab/>
            </w:r>
            <w:r w:rsidR="00C80201" w:rsidRPr="004A6E2F">
              <w:rPr>
                <w:webHidden/>
                <w:sz w:val="24"/>
                <w:szCs w:val="24"/>
              </w:rPr>
              <w:fldChar w:fldCharType="begin"/>
            </w:r>
            <w:r w:rsidR="00C80201" w:rsidRPr="004A6E2F">
              <w:rPr>
                <w:webHidden/>
                <w:sz w:val="24"/>
                <w:szCs w:val="24"/>
              </w:rPr>
              <w:instrText xml:space="preserve"> PAGEREF _Toc164846956 \h </w:instrText>
            </w:r>
            <w:r w:rsidR="00C80201" w:rsidRPr="004A6E2F">
              <w:rPr>
                <w:webHidden/>
                <w:sz w:val="24"/>
                <w:szCs w:val="24"/>
              </w:rPr>
            </w:r>
            <w:r w:rsidR="00C80201" w:rsidRPr="004A6E2F">
              <w:rPr>
                <w:webHidden/>
                <w:sz w:val="24"/>
                <w:szCs w:val="24"/>
              </w:rPr>
              <w:fldChar w:fldCharType="separate"/>
            </w:r>
            <w:r w:rsidR="00B87DB8">
              <w:rPr>
                <w:webHidden/>
                <w:sz w:val="24"/>
                <w:szCs w:val="24"/>
              </w:rPr>
              <w:t>141</w:t>
            </w:r>
            <w:r w:rsidR="00C80201" w:rsidRPr="004A6E2F">
              <w:rPr>
                <w:webHidden/>
                <w:sz w:val="24"/>
                <w:szCs w:val="24"/>
              </w:rPr>
              <w:fldChar w:fldCharType="end"/>
            </w:r>
          </w:hyperlink>
        </w:p>
        <w:p w14:paraId="72DAF43C" w14:textId="23068168" w:rsidR="00C80201" w:rsidRPr="004A6E2F" w:rsidRDefault="009C66DE">
          <w:pPr>
            <w:pStyle w:val="Obsah1"/>
            <w:rPr>
              <w:rFonts w:eastAsiaTheme="minorEastAsia" w:cs="Times New Roman"/>
              <w:b w:val="0"/>
              <w:bCs w:val="0"/>
              <w:sz w:val="24"/>
              <w:szCs w:val="24"/>
              <w:lang w:eastAsia="sk-SK"/>
            </w:rPr>
          </w:pPr>
          <w:hyperlink w:anchor="_Toc164846957" w:history="1">
            <w:r w:rsidR="00C80201" w:rsidRPr="004A6E2F">
              <w:rPr>
                <w:rStyle w:val="Hypertextovprepojenie"/>
                <w:rFonts w:cs="Times New Roman"/>
                <w:sz w:val="24"/>
                <w:szCs w:val="24"/>
              </w:rPr>
              <w:t>Tabuľková príloha k hotovostnému plneniu ŠR</w:t>
            </w:r>
            <w:r w:rsidR="00C80201" w:rsidRPr="004A6E2F">
              <w:rPr>
                <w:rFonts w:cs="Times New Roman"/>
                <w:webHidden/>
                <w:sz w:val="24"/>
                <w:szCs w:val="24"/>
              </w:rPr>
              <w:tab/>
            </w:r>
            <w:r w:rsidR="00C80201" w:rsidRPr="004A6E2F">
              <w:rPr>
                <w:rFonts w:cs="Times New Roman"/>
                <w:webHidden/>
                <w:sz w:val="24"/>
                <w:szCs w:val="24"/>
              </w:rPr>
              <w:fldChar w:fldCharType="begin"/>
            </w:r>
            <w:r w:rsidR="00C80201" w:rsidRPr="004A6E2F">
              <w:rPr>
                <w:rFonts w:cs="Times New Roman"/>
                <w:webHidden/>
                <w:sz w:val="24"/>
                <w:szCs w:val="24"/>
              </w:rPr>
              <w:instrText xml:space="preserve"> PAGEREF _Toc164846957 \h </w:instrText>
            </w:r>
            <w:r w:rsidR="00C80201" w:rsidRPr="004A6E2F">
              <w:rPr>
                <w:rFonts w:cs="Times New Roman"/>
                <w:webHidden/>
                <w:sz w:val="24"/>
                <w:szCs w:val="24"/>
              </w:rPr>
            </w:r>
            <w:r w:rsidR="00C80201" w:rsidRPr="004A6E2F">
              <w:rPr>
                <w:rFonts w:cs="Times New Roman"/>
                <w:webHidden/>
                <w:sz w:val="24"/>
                <w:szCs w:val="24"/>
              </w:rPr>
              <w:fldChar w:fldCharType="separate"/>
            </w:r>
            <w:r w:rsidR="00B87DB8">
              <w:rPr>
                <w:rFonts w:cs="Times New Roman"/>
                <w:webHidden/>
                <w:sz w:val="24"/>
                <w:szCs w:val="24"/>
              </w:rPr>
              <w:t>144</w:t>
            </w:r>
            <w:r w:rsidR="00C80201" w:rsidRPr="004A6E2F">
              <w:rPr>
                <w:rFonts w:cs="Times New Roman"/>
                <w:webHidden/>
                <w:sz w:val="24"/>
                <w:szCs w:val="24"/>
              </w:rPr>
              <w:fldChar w:fldCharType="end"/>
            </w:r>
          </w:hyperlink>
        </w:p>
        <w:p w14:paraId="00AA119E" w14:textId="2A1F2896" w:rsidR="008A0537" w:rsidRPr="004A6E2F" w:rsidRDefault="00C27205" w:rsidP="003B450C">
          <w:pPr>
            <w:spacing w:after="0" w:line="240" w:lineRule="auto"/>
            <w:rPr>
              <w:rFonts w:cs="Times New Roman"/>
              <w:sz w:val="24"/>
              <w:szCs w:val="24"/>
            </w:rPr>
          </w:pPr>
          <w:r w:rsidRPr="004A6E2F">
            <w:rPr>
              <w:rFonts w:cs="Times New Roman"/>
              <w:sz w:val="24"/>
              <w:szCs w:val="24"/>
            </w:rPr>
            <w:fldChar w:fldCharType="end"/>
          </w:r>
        </w:p>
      </w:sdtContent>
    </w:sdt>
    <w:p w14:paraId="325150F2" w14:textId="77777777" w:rsidR="008A0537" w:rsidRPr="000B69FA" w:rsidRDefault="008A0537" w:rsidP="008A0537">
      <w:pPr>
        <w:rPr>
          <w:rFonts w:cs="Times New Roman"/>
          <w:sz w:val="24"/>
          <w:szCs w:val="24"/>
        </w:rPr>
      </w:pPr>
    </w:p>
    <w:p w14:paraId="483A000F" w14:textId="1DF915A1" w:rsidR="003B450C" w:rsidRPr="000B69FA" w:rsidRDefault="00BE44CB">
      <w:pPr>
        <w:spacing w:after="160" w:line="259" w:lineRule="auto"/>
        <w:jc w:val="left"/>
        <w:rPr>
          <w:rFonts w:eastAsiaTheme="majorEastAsia" w:cs="Times New Roman"/>
          <w:b/>
          <w:sz w:val="24"/>
          <w:szCs w:val="24"/>
        </w:rPr>
      </w:pPr>
      <w:r w:rsidRPr="000B69FA">
        <w:rPr>
          <w:rFonts w:cs="Times New Roman"/>
          <w:sz w:val="24"/>
          <w:szCs w:val="24"/>
        </w:rPr>
        <w:br w:type="page"/>
      </w:r>
    </w:p>
    <w:p w14:paraId="1F468ACD" w14:textId="4FFE06E5" w:rsidR="00B81657" w:rsidRDefault="005E427F" w:rsidP="00397B80">
      <w:pPr>
        <w:pStyle w:val="Nadpis1"/>
        <w:numPr>
          <w:ilvl w:val="0"/>
          <w:numId w:val="0"/>
        </w:numPr>
      </w:pPr>
      <w:bookmarkStart w:id="0" w:name="_Toc164846921"/>
      <w:r w:rsidRPr="00344297">
        <w:lastRenderedPageBreak/>
        <w:t>Zhrnutie</w:t>
      </w:r>
      <w:bookmarkEnd w:id="0"/>
    </w:p>
    <w:p w14:paraId="228B07C5" w14:textId="10AF9895" w:rsidR="009A6EBE" w:rsidRPr="00F707FD" w:rsidRDefault="009A6EBE" w:rsidP="009A6EBE">
      <w:pPr>
        <w:numPr>
          <w:ilvl w:val="0"/>
          <w:numId w:val="14"/>
        </w:numPr>
        <w:spacing w:line="240" w:lineRule="auto"/>
        <w:ind w:left="357" w:right="-284" w:hanging="357"/>
        <w:rPr>
          <w:sz w:val="24"/>
          <w:szCs w:val="24"/>
        </w:rPr>
      </w:pPr>
      <w:r w:rsidRPr="00F707FD">
        <w:rPr>
          <w:b/>
          <w:sz w:val="24"/>
          <w:szCs w:val="24"/>
        </w:rPr>
        <w:t>Verejná správa v roku 2023 na základe predbežných výsledkov notifikovaných v metodike ESA 2010</w:t>
      </w:r>
      <w:r w:rsidRPr="00F707FD">
        <w:rPr>
          <w:rStyle w:val="Odkaznapoznmkupodiarou"/>
          <w:b/>
          <w:sz w:val="24"/>
          <w:szCs w:val="24"/>
        </w:rPr>
        <w:footnoteReference w:id="1"/>
      </w:r>
      <w:r w:rsidRPr="00F707FD">
        <w:rPr>
          <w:b/>
          <w:sz w:val="24"/>
          <w:szCs w:val="24"/>
        </w:rPr>
        <w:t xml:space="preserve"> hospodárila so schodkom 6 009 813 tis. eur, čo predstavuje</w:t>
      </w:r>
      <w:r w:rsidR="0040034C">
        <w:rPr>
          <w:b/>
          <w:sz w:val="24"/>
          <w:szCs w:val="24"/>
        </w:rPr>
        <w:t xml:space="preserve"> </w:t>
      </w:r>
      <w:r w:rsidRPr="00F707FD">
        <w:rPr>
          <w:b/>
          <w:sz w:val="24"/>
          <w:szCs w:val="24"/>
        </w:rPr>
        <w:t>-4,89 % HDP.</w:t>
      </w:r>
      <w:r w:rsidRPr="00F707FD">
        <w:rPr>
          <w:sz w:val="24"/>
          <w:szCs w:val="24"/>
        </w:rPr>
        <w:t xml:space="preserve"> Rozpočet verejnej správy na rok 2023 predpokladal deficitné hospodárenie na úrovni -6,44 % HDP. </w:t>
      </w:r>
    </w:p>
    <w:p w14:paraId="24EB7306" w14:textId="07623E56" w:rsidR="009A6EBE" w:rsidRPr="00F707FD" w:rsidRDefault="009A6EBE" w:rsidP="009A6EBE">
      <w:pPr>
        <w:numPr>
          <w:ilvl w:val="0"/>
          <w:numId w:val="14"/>
        </w:numPr>
        <w:spacing w:line="240" w:lineRule="auto"/>
        <w:ind w:left="357" w:right="-284" w:hanging="357"/>
        <w:rPr>
          <w:sz w:val="24"/>
          <w:szCs w:val="24"/>
        </w:rPr>
      </w:pPr>
      <w:r w:rsidRPr="00F707FD">
        <w:rPr>
          <w:b/>
          <w:sz w:val="24"/>
          <w:szCs w:val="24"/>
        </w:rPr>
        <w:t>Dlh verejnej správy</w:t>
      </w:r>
      <w:r w:rsidRPr="00F707FD">
        <w:rPr>
          <w:sz w:val="24"/>
          <w:szCs w:val="24"/>
        </w:rPr>
        <w:t xml:space="preserve"> </w:t>
      </w:r>
      <w:r w:rsidRPr="00F707FD">
        <w:rPr>
          <w:b/>
          <w:sz w:val="24"/>
          <w:szCs w:val="24"/>
        </w:rPr>
        <w:t xml:space="preserve">k 31. 12. 2023 </w:t>
      </w:r>
      <w:r w:rsidRPr="00F707FD">
        <w:rPr>
          <w:sz w:val="24"/>
          <w:szCs w:val="24"/>
        </w:rPr>
        <w:t xml:space="preserve">na základe jarnej notifikácie výsledkov v metodike ESA 2010 </w:t>
      </w:r>
      <w:r w:rsidRPr="00F707FD">
        <w:rPr>
          <w:b/>
          <w:sz w:val="24"/>
          <w:szCs w:val="24"/>
        </w:rPr>
        <w:t>dosiahol výšku 68 830 043 tis. eur a v pomere k vyčíslenému HDP dosiahol 56,04 %.</w:t>
      </w:r>
      <w:r w:rsidRPr="00F707FD">
        <w:rPr>
          <w:sz w:val="24"/>
          <w:szCs w:val="24"/>
        </w:rPr>
        <w:t xml:space="preserve"> Verejný dlh sa v roku 2023 očakával na úrovni takmer 58 % HDP. Za výraznejším rozdielom oproti pôvodným predpokladom bolo priaznivejšie hospodárenie verejnej správy. </w:t>
      </w:r>
    </w:p>
    <w:p w14:paraId="2499DB22" w14:textId="6312BDED" w:rsidR="009A6EBE" w:rsidRPr="00AF14ED" w:rsidRDefault="009A6EBE" w:rsidP="009A6EBE">
      <w:pPr>
        <w:numPr>
          <w:ilvl w:val="0"/>
          <w:numId w:val="14"/>
        </w:numPr>
        <w:spacing w:line="240" w:lineRule="auto"/>
        <w:ind w:left="357" w:right="-284" w:hanging="357"/>
        <w:rPr>
          <w:sz w:val="24"/>
          <w:szCs w:val="24"/>
        </w:rPr>
      </w:pPr>
      <w:r w:rsidRPr="00F707FD">
        <w:rPr>
          <w:b/>
          <w:sz w:val="24"/>
          <w:szCs w:val="24"/>
        </w:rPr>
        <w:t>Rast reálnej ekonomiky podľa</w:t>
      </w:r>
      <w:r w:rsidR="006C1451">
        <w:rPr>
          <w:b/>
          <w:sz w:val="24"/>
          <w:szCs w:val="24"/>
        </w:rPr>
        <w:t xml:space="preserve"> jarnej notifikácie dosiahol 1,6</w:t>
      </w:r>
      <w:r w:rsidRPr="00F707FD">
        <w:rPr>
          <w:b/>
          <w:sz w:val="24"/>
          <w:szCs w:val="24"/>
        </w:rPr>
        <w:t xml:space="preserve"> % (rast HDP v stálych cenách).</w:t>
      </w:r>
      <w:r w:rsidRPr="00F707FD">
        <w:rPr>
          <w:sz w:val="24"/>
          <w:szCs w:val="24"/>
        </w:rPr>
        <w:t xml:space="preserve"> Predpokladaný scenár ekonomického vývoja pri tvorbe rozpočtu na rok 2023 odhadoval rast HDP na úrovni 0,6 %. Nominálne HDP dosiahlo 122 812 795 tis. eur (v bežných cenách). </w:t>
      </w:r>
    </w:p>
    <w:p w14:paraId="56F56E2E" w14:textId="729EB40C" w:rsidR="00994374" w:rsidRPr="00994374" w:rsidRDefault="009A6EBE" w:rsidP="00E71244">
      <w:pPr>
        <w:numPr>
          <w:ilvl w:val="0"/>
          <w:numId w:val="14"/>
        </w:numPr>
        <w:spacing w:line="240" w:lineRule="auto"/>
        <w:ind w:left="357" w:right="-284" w:hanging="357"/>
        <w:rPr>
          <w:sz w:val="24"/>
          <w:szCs w:val="24"/>
        </w:rPr>
      </w:pPr>
      <w:r w:rsidRPr="00994374">
        <w:rPr>
          <w:sz w:val="24"/>
          <w:szCs w:val="24"/>
        </w:rPr>
        <w:t xml:space="preserve">V rámci Európskej únie (27 krajín) dosiahol </w:t>
      </w:r>
      <w:r w:rsidR="00994374" w:rsidRPr="00994374">
        <w:rPr>
          <w:b/>
          <w:sz w:val="24"/>
          <w:szCs w:val="24"/>
        </w:rPr>
        <w:t xml:space="preserve">priemerný schodok 3,5 % HDP, čo je medziročne viac o 0,1 p. b. </w:t>
      </w:r>
      <w:r w:rsidR="00994374" w:rsidRPr="00994374">
        <w:rPr>
          <w:sz w:val="24"/>
          <w:szCs w:val="24"/>
        </w:rPr>
        <w:t xml:space="preserve">V rámci eurozóny dosiahol priemerný deficit 3,6 % HDP, a medziročne sa hospodárenia krajín používajúcich menu euro zlepšilo o 0,1 p. b. </w:t>
      </w:r>
      <w:r w:rsidR="00994374" w:rsidRPr="00994374">
        <w:rPr>
          <w:b/>
          <w:sz w:val="24"/>
          <w:szCs w:val="24"/>
        </w:rPr>
        <w:t xml:space="preserve">Priemerný dlh verejnej správy krajín EÚ dosiahol 81,7 % </w:t>
      </w:r>
      <w:r w:rsidR="00994374" w:rsidRPr="00994374">
        <w:rPr>
          <w:sz w:val="24"/>
          <w:szCs w:val="24"/>
        </w:rPr>
        <w:t>a krajín eurozóny 88,6 % HDP.</w:t>
      </w:r>
      <w:r w:rsidR="00B818E0">
        <w:rPr>
          <w:sz w:val="24"/>
          <w:szCs w:val="24"/>
        </w:rPr>
        <w:t xml:space="preserve"> </w:t>
      </w:r>
    </w:p>
    <w:p w14:paraId="14A46707" w14:textId="07C54687" w:rsidR="006E67F8" w:rsidRDefault="006E67F8" w:rsidP="006E67F8">
      <w:pPr>
        <w:numPr>
          <w:ilvl w:val="0"/>
          <w:numId w:val="14"/>
        </w:numPr>
        <w:spacing w:line="240" w:lineRule="auto"/>
        <w:ind w:left="357" w:right="-284" w:hanging="357"/>
        <w:rPr>
          <w:sz w:val="24"/>
          <w:szCs w:val="24"/>
        </w:rPr>
      </w:pPr>
      <w:r w:rsidRPr="00AF14ED">
        <w:rPr>
          <w:b/>
          <w:sz w:val="24"/>
          <w:szCs w:val="24"/>
        </w:rPr>
        <w:t>Hotovostný schodok štátneho rozpočtu</w:t>
      </w:r>
      <w:r w:rsidRPr="00AF14ED">
        <w:rPr>
          <w:sz w:val="24"/>
          <w:szCs w:val="24"/>
        </w:rPr>
        <w:t xml:space="preserve"> dosiahol 7 675 337 tis. eur a oproti rozpočtu je nižší o 666 035 tis. eur. V porovnaní s deficitom za rok 2022, je dosiahnutý deficit za rok 2023 nižší o 3 150 484 tis. eur. Hotovostné príjmy štátneho rozpočtu dosiahli 23 688 646 tis. eur (124,5 % hodnoty príjmov roku 2022</w:t>
      </w:r>
      <w:r>
        <w:rPr>
          <w:sz w:val="24"/>
          <w:szCs w:val="24"/>
        </w:rPr>
        <w:t>). Hotovostné výdavky boli 31 363 983 tis. eur (133,2 % hodnoty skutočných výdavkov roku 2022).</w:t>
      </w:r>
    </w:p>
    <w:p w14:paraId="02114686" w14:textId="648DCB12" w:rsidR="006E67F8" w:rsidRDefault="006E67F8" w:rsidP="006E67F8">
      <w:pPr>
        <w:numPr>
          <w:ilvl w:val="0"/>
          <w:numId w:val="14"/>
        </w:numPr>
        <w:spacing w:line="240" w:lineRule="auto"/>
        <w:ind w:left="357" w:right="-284" w:hanging="357"/>
        <w:rPr>
          <w:sz w:val="24"/>
          <w:szCs w:val="24"/>
        </w:rPr>
      </w:pPr>
      <w:r>
        <w:rPr>
          <w:b/>
          <w:sz w:val="24"/>
          <w:szCs w:val="24"/>
        </w:rPr>
        <w:t>Hotovostný schodok bol krytý štátnymi dlhopismi</w:t>
      </w:r>
      <w:r>
        <w:rPr>
          <w:sz w:val="24"/>
          <w:szCs w:val="24"/>
        </w:rPr>
        <w:t xml:space="preserve"> v sume </w:t>
      </w:r>
      <w:r w:rsidR="00D8553A">
        <w:rPr>
          <w:sz w:val="24"/>
          <w:szCs w:val="24"/>
        </w:rPr>
        <w:t>7 </w:t>
      </w:r>
      <w:r w:rsidR="00D8553A" w:rsidRPr="00D8553A">
        <w:t>655</w:t>
      </w:r>
      <w:r w:rsidR="00D8553A">
        <w:t> 337</w:t>
      </w:r>
      <w:r>
        <w:rPr>
          <w:sz w:val="24"/>
          <w:szCs w:val="24"/>
        </w:rPr>
        <w:t> tis. eur a prijatým zahraničným</w:t>
      </w:r>
      <w:r w:rsidR="00D8553A">
        <w:rPr>
          <w:sz w:val="24"/>
          <w:szCs w:val="24"/>
        </w:rPr>
        <w:t xml:space="preserve"> bankovým</w:t>
      </w:r>
      <w:r>
        <w:rPr>
          <w:sz w:val="24"/>
          <w:szCs w:val="24"/>
        </w:rPr>
        <w:t xml:space="preserve"> úver</w:t>
      </w:r>
      <w:r w:rsidR="00D8553A">
        <w:rPr>
          <w:sz w:val="24"/>
          <w:szCs w:val="24"/>
        </w:rPr>
        <w:t>o</w:t>
      </w:r>
      <w:r>
        <w:rPr>
          <w:sz w:val="24"/>
          <w:szCs w:val="24"/>
        </w:rPr>
        <w:t xml:space="preserve">m v hodnote </w:t>
      </w:r>
      <w:r w:rsidR="00D8553A">
        <w:rPr>
          <w:sz w:val="24"/>
          <w:szCs w:val="24"/>
        </w:rPr>
        <w:t>20</w:t>
      </w:r>
      <w:r>
        <w:rPr>
          <w:sz w:val="24"/>
          <w:szCs w:val="24"/>
        </w:rPr>
        <w:t> 000 tis. eur.</w:t>
      </w:r>
    </w:p>
    <w:p w14:paraId="5D80E711" w14:textId="5290AA54" w:rsidR="00005A9B" w:rsidRPr="001A0035" w:rsidRDefault="00005A9B" w:rsidP="009C250D">
      <w:pPr>
        <w:spacing w:line="240" w:lineRule="auto"/>
        <w:ind w:left="357" w:right="-284"/>
        <w:rPr>
          <w:sz w:val="24"/>
          <w:szCs w:val="24"/>
        </w:rPr>
      </w:pPr>
    </w:p>
    <w:p w14:paraId="4D18810A" w14:textId="77777777" w:rsidR="00CB3C45" w:rsidRDefault="00CB3C45">
      <w:pPr>
        <w:spacing w:after="160" w:line="259" w:lineRule="auto"/>
        <w:jc w:val="left"/>
        <w:rPr>
          <w:bCs/>
        </w:rPr>
      </w:pPr>
      <w:r>
        <w:rPr>
          <w:bCs/>
        </w:rPr>
        <w:br w:type="page"/>
      </w:r>
    </w:p>
    <w:p w14:paraId="2F8BA07E" w14:textId="777DAF18" w:rsidR="005F5B88" w:rsidRDefault="005F5B88" w:rsidP="00AF7C97">
      <w:pPr>
        <w:pStyle w:val="Nadpis1"/>
        <w:ind w:left="567" w:hanging="567"/>
      </w:pPr>
      <w:bookmarkStart w:id="1" w:name="_Toc6415626"/>
      <w:bookmarkStart w:id="2" w:name="_Toc164846922"/>
      <w:r w:rsidRPr="001A1586">
        <w:lastRenderedPageBreak/>
        <w:t>Ekonomick</w:t>
      </w:r>
      <w:r w:rsidR="0021355F" w:rsidRPr="001A1586">
        <w:t>ý</w:t>
      </w:r>
      <w:r w:rsidRPr="001A1586">
        <w:t xml:space="preserve"> rámec rozpočtového hospodárenia Slovenskej republiky</w:t>
      </w:r>
      <w:bookmarkEnd w:id="1"/>
      <w:bookmarkEnd w:id="2"/>
    </w:p>
    <w:p w14:paraId="2BB332F7" w14:textId="7D395D97" w:rsidR="0031658D" w:rsidRPr="0031658D" w:rsidRDefault="0031658D" w:rsidP="0031658D">
      <w:pPr>
        <w:spacing w:line="240" w:lineRule="auto"/>
        <w:rPr>
          <w:sz w:val="24"/>
          <w:szCs w:val="24"/>
        </w:rPr>
      </w:pPr>
      <w:r w:rsidRPr="0031658D">
        <w:rPr>
          <w:sz w:val="24"/>
          <w:szCs w:val="24"/>
        </w:rPr>
        <w:t xml:space="preserve">Slovenská ekonomika v roku 2023 posilnila </w:t>
      </w:r>
      <w:r w:rsidRPr="00D65BED">
        <w:rPr>
          <w:sz w:val="24"/>
          <w:szCs w:val="24"/>
        </w:rPr>
        <w:t>vďaka využitiu fondov EÚ. HDP sa zvýšilo o 1,</w:t>
      </w:r>
      <w:r w:rsidR="006C1451">
        <w:rPr>
          <w:sz w:val="24"/>
          <w:szCs w:val="24"/>
        </w:rPr>
        <w:t>6</w:t>
      </w:r>
      <w:r w:rsidRPr="00D65BED">
        <w:rPr>
          <w:sz w:val="24"/>
          <w:szCs w:val="24"/>
        </w:rPr>
        <w:t xml:space="preserve"> %, pričom ostatné ekonomiky V3 zaostávali. Objem pridanej hodnoty stúpol v každom sektore. Vďaka </w:t>
      </w:r>
      <w:r w:rsidR="0026737F" w:rsidRPr="00D65BED">
        <w:rPr>
          <w:sz w:val="24"/>
          <w:szCs w:val="24"/>
        </w:rPr>
        <w:t xml:space="preserve">fondom </w:t>
      </w:r>
      <w:r w:rsidRPr="00D65BED">
        <w:rPr>
          <w:sz w:val="24"/>
          <w:szCs w:val="24"/>
        </w:rPr>
        <w:t>EÚ sa najviac darilo stavebníctvu</w:t>
      </w:r>
      <w:r w:rsidRPr="0031658D">
        <w:rPr>
          <w:sz w:val="24"/>
          <w:szCs w:val="24"/>
        </w:rPr>
        <w:t>. Naopak vyššie úrokové sadzby doľahli na sektor nehnuteľností. Spotreba slovenských domácností klesa</w:t>
      </w:r>
      <w:r w:rsidR="00D65BED">
        <w:rPr>
          <w:sz w:val="24"/>
          <w:szCs w:val="24"/>
        </w:rPr>
        <w:t>la výraznejšie než sa čakalo, v </w:t>
      </w:r>
      <w:r w:rsidRPr="0031658D">
        <w:rPr>
          <w:sz w:val="24"/>
          <w:szCs w:val="24"/>
        </w:rPr>
        <w:t>druhej polovici roku spotrebitelia presmerovali viac príjmov na obnovenie svojich úspor, ktoré stratili v inflačnom šoku. Ceny sa však ešte v prvom polroku stabilizovali a inflácia postupne spomaľovala. Trh práce zostal pevný, miera nezamestnanosti klesla blízko historického minima. Pre nedostatok pracovnej sily však zamestnanosť stúpla len m</w:t>
      </w:r>
      <w:r w:rsidR="00D65BED">
        <w:rPr>
          <w:sz w:val="24"/>
          <w:szCs w:val="24"/>
        </w:rPr>
        <w:t>ierne, najmä vďaka cudzincom. Z </w:t>
      </w:r>
      <w:r w:rsidRPr="0031658D">
        <w:rPr>
          <w:sz w:val="24"/>
          <w:szCs w:val="24"/>
        </w:rPr>
        <w:t>pohľadu makroekonomických základní pre daňové a odvodové príjmy bol makroekonomický vývoj v roku 2023 len veľmi mierne slabší oproti očakávaniam rozpočtovej prognózy MF SR zo septembra roku 2022.</w:t>
      </w:r>
    </w:p>
    <w:p w14:paraId="1A98C117" w14:textId="6BD82C16" w:rsidR="005F5B88" w:rsidRDefault="005F5B88" w:rsidP="00B02097">
      <w:pPr>
        <w:pStyle w:val="Nadpis2"/>
        <w:spacing w:before="240"/>
      </w:pPr>
      <w:bookmarkStart w:id="3" w:name="_Toc6415627"/>
      <w:bookmarkStart w:id="4" w:name="_Toc164846923"/>
      <w:r w:rsidRPr="0042635A">
        <w:t>Vonkajšie ekonomické prostredie</w:t>
      </w:r>
      <w:bookmarkEnd w:id="3"/>
      <w:bookmarkEnd w:id="4"/>
    </w:p>
    <w:p w14:paraId="090988EB" w14:textId="246B2B2D" w:rsidR="0031658D" w:rsidRPr="0031658D" w:rsidRDefault="0031658D" w:rsidP="0031658D">
      <w:pPr>
        <w:spacing w:line="240" w:lineRule="auto"/>
        <w:rPr>
          <w:sz w:val="24"/>
          <w:szCs w:val="24"/>
        </w:rPr>
      </w:pPr>
      <w:r w:rsidRPr="0031658D">
        <w:rPr>
          <w:sz w:val="24"/>
          <w:szCs w:val="24"/>
        </w:rPr>
        <w:t xml:space="preserve">Vonkajšie ekonomické prostredie v roku 2023 bolo poznačené stagnáciou. Pretrvávajúce ekonomické šoky vo forme vysokých cien energií a stále vysokej inflácie sa negatívne podpísali na globálnom ekonomickom raste. Ten sa podľa odhadu Medzinárodného </w:t>
      </w:r>
      <w:r w:rsidR="00D65BED">
        <w:rPr>
          <w:sz w:val="24"/>
          <w:szCs w:val="24"/>
        </w:rPr>
        <w:t>menového fondu v </w:t>
      </w:r>
      <w:r w:rsidRPr="0031658D">
        <w:rPr>
          <w:sz w:val="24"/>
          <w:szCs w:val="24"/>
        </w:rPr>
        <w:t>roku 2023 mierne spomalil na 3,1 % z predchádzajúcich 3,5 %. Najviac pritom utrpeli priemyselne orientované ekonomiky Európy, ktorých ekon</w:t>
      </w:r>
      <w:r w:rsidR="00D65BED">
        <w:rPr>
          <w:sz w:val="24"/>
          <w:szCs w:val="24"/>
        </w:rPr>
        <w:t>omický rast výrazne spomalil. S </w:t>
      </w:r>
      <w:r w:rsidRPr="0031658D">
        <w:rPr>
          <w:sz w:val="24"/>
          <w:szCs w:val="24"/>
        </w:rPr>
        <w:t xml:space="preserve">problematickým vývojom sa </w:t>
      </w:r>
      <w:proofErr w:type="spellStart"/>
      <w:r w:rsidRPr="0031658D">
        <w:rPr>
          <w:sz w:val="24"/>
          <w:szCs w:val="24"/>
        </w:rPr>
        <w:t>potýkalo</w:t>
      </w:r>
      <w:proofErr w:type="spellEnd"/>
      <w:r w:rsidRPr="0031658D">
        <w:rPr>
          <w:sz w:val="24"/>
          <w:szCs w:val="24"/>
        </w:rPr>
        <w:t xml:space="preserve"> Nemecko, ktoré ako jediná krajina G7 zaznamenalo zmenšenie svojho hospodárstva, ale situácia bola nepriaznivá aj u blízkych obchodných partnerov z V3, najmä v Českej republike. Oživovanie v Čine taktiež nenaplnilo očakávania. </w:t>
      </w:r>
    </w:p>
    <w:p w14:paraId="4DD664FB" w14:textId="2A7F223D" w:rsidR="0031658D" w:rsidRPr="0031658D" w:rsidRDefault="0031658D" w:rsidP="0031658D">
      <w:pPr>
        <w:spacing w:line="240" w:lineRule="auto"/>
        <w:rPr>
          <w:sz w:val="24"/>
          <w:szCs w:val="24"/>
        </w:rPr>
      </w:pPr>
      <w:r w:rsidRPr="0031658D">
        <w:rPr>
          <w:sz w:val="24"/>
          <w:szCs w:val="24"/>
        </w:rPr>
        <w:t xml:space="preserve">V snahe tlmiť vysoký nárast cien pokračovala Európska centrálna banka aj zahraničné centrálne banky v sprísňovaní menovej politiky. Validitu ich postupu otestoval kolaps americkej </w:t>
      </w:r>
      <w:proofErr w:type="spellStart"/>
      <w:r w:rsidRPr="0031658D">
        <w:rPr>
          <w:sz w:val="24"/>
          <w:szCs w:val="24"/>
        </w:rPr>
        <w:t>Sillicon</w:t>
      </w:r>
      <w:proofErr w:type="spellEnd"/>
      <w:r w:rsidRPr="0031658D">
        <w:rPr>
          <w:sz w:val="24"/>
          <w:szCs w:val="24"/>
        </w:rPr>
        <w:t xml:space="preserve"> Valley Bank a ďalších menších amerických bankových domov, ktorý bol nasledovaný núteným prevzatím švajčiarskej banky Credit </w:t>
      </w:r>
      <w:proofErr w:type="spellStart"/>
      <w:r w:rsidRPr="0031658D">
        <w:rPr>
          <w:sz w:val="24"/>
          <w:szCs w:val="24"/>
        </w:rPr>
        <w:t>Suisse</w:t>
      </w:r>
      <w:proofErr w:type="spellEnd"/>
      <w:r w:rsidRPr="0031658D">
        <w:rPr>
          <w:sz w:val="24"/>
          <w:szCs w:val="24"/>
        </w:rPr>
        <w:t xml:space="preserve"> jej rivalom UBS. Bankový systém v USA aj Európe sa napriek týmto otrasom ukázal byť stabilný a panika na finančných trhoch postupne ustala aj vďaka promptnému zásahu menovo-politických autorít. Hlavná úroková sadzba pre refinančné operácie sa tak prvý krát za viac než 20 rokov v eurozóne vyšplhala na 4,5 %. Pozitívne účinky takto reštriktívnej menovej politiky sa však dostavili v podobe výrazného poklesu celkovej inflácie v eurozóne z 8,4 % v roku 2022 na 5,4 % v roku 2023. Ten bol spôsobený aj priaznivým vývojom na komoditných trhoch v závere roka, kde ceny energií, najmä ceny kontraktu zemného plynu s dodávkou v budúcom roku, výrazne klesali až na hodnoty spred začiatku vojenského konfliktu na Ukrajine. Ten pokračoval aj v roku 2023 podobne ako globálna ekonomická a obchodná izolácia Ruskej federácie. V reakci</w:t>
      </w:r>
      <w:r w:rsidR="0026737F">
        <w:rPr>
          <w:sz w:val="24"/>
          <w:szCs w:val="24"/>
        </w:rPr>
        <w:t>i</w:t>
      </w:r>
      <w:r w:rsidRPr="0031658D">
        <w:rPr>
          <w:sz w:val="24"/>
          <w:szCs w:val="24"/>
        </w:rPr>
        <w:t xml:space="preserve"> na prebiehajúce boje na Ukrajine Európska Únia prijala ďalšie balíky sankcií v snahe oslabiť výkonnosť ruskej ekonomiky a jej schopnosť podporovať pretrvávajúce vojnové ťaženie. Ďalším oslabením pre svetový obchod sa stal </w:t>
      </w:r>
      <w:proofErr w:type="spellStart"/>
      <w:r w:rsidRPr="0031658D">
        <w:rPr>
          <w:sz w:val="24"/>
          <w:szCs w:val="24"/>
        </w:rPr>
        <w:t>novovypuknutý</w:t>
      </w:r>
      <w:proofErr w:type="spellEnd"/>
      <w:r w:rsidRPr="0031658D">
        <w:rPr>
          <w:sz w:val="24"/>
          <w:szCs w:val="24"/>
        </w:rPr>
        <w:t xml:space="preserve"> konflikt medzi Izraelom a hnutím </w:t>
      </w:r>
      <w:proofErr w:type="spellStart"/>
      <w:r w:rsidRPr="0031658D">
        <w:rPr>
          <w:sz w:val="24"/>
          <w:szCs w:val="24"/>
        </w:rPr>
        <w:t>Hamas</w:t>
      </w:r>
      <w:proofErr w:type="spellEnd"/>
      <w:r w:rsidRPr="0031658D">
        <w:rPr>
          <w:sz w:val="24"/>
          <w:szCs w:val="24"/>
        </w:rPr>
        <w:t xml:space="preserve"> v Pásme Ga</w:t>
      </w:r>
      <w:r w:rsidR="0026737F">
        <w:rPr>
          <w:sz w:val="24"/>
          <w:szCs w:val="24"/>
        </w:rPr>
        <w:t>zy. Napriek regionálnej dimenzii</w:t>
      </w:r>
      <w:r w:rsidRPr="0031658D">
        <w:rPr>
          <w:sz w:val="24"/>
          <w:szCs w:val="24"/>
        </w:rPr>
        <w:t xml:space="preserve"> tohto konfliktu došlo k ohrozeniu bezpečnos</w:t>
      </w:r>
      <w:r w:rsidR="00D65BED">
        <w:rPr>
          <w:sz w:val="24"/>
          <w:szCs w:val="24"/>
        </w:rPr>
        <w:t>ti významných obchodných trás v </w:t>
      </w:r>
      <w:r w:rsidRPr="0031658D">
        <w:rPr>
          <w:sz w:val="24"/>
          <w:szCs w:val="24"/>
        </w:rPr>
        <w:t>Červenom mori diverznými skupinami, ktoré prispeli k rapídnym nárastom cien kontajnerovej dopravy. Dôsledky pre medzinárod</w:t>
      </w:r>
      <w:r w:rsidR="00F44196">
        <w:rPr>
          <w:sz w:val="24"/>
          <w:szCs w:val="24"/>
        </w:rPr>
        <w:t>ný obchod boli však len mierne.</w:t>
      </w:r>
    </w:p>
    <w:p w14:paraId="34ECC135" w14:textId="44FBBD13" w:rsidR="0031658D" w:rsidRDefault="0031658D" w:rsidP="0031658D">
      <w:pPr>
        <w:spacing w:line="240" w:lineRule="auto"/>
        <w:rPr>
          <w:sz w:val="24"/>
          <w:szCs w:val="24"/>
        </w:rPr>
      </w:pPr>
      <w:r w:rsidRPr="0031658D">
        <w:rPr>
          <w:sz w:val="24"/>
          <w:szCs w:val="24"/>
        </w:rPr>
        <w:t>Klesajúca inflácia spôsobila návrat optimizmu. Úspešný boj s infláciou podporil v závere roka očakávania poklesu úrokových sadzieb v budúcom roku. Vďaka tomu rástol optimizmus a rizikový apetít na finančných trhoch, ktoré koncom roka prepisovali historické maximá v Európe aj vo svete. Pozitívny vývoj neobišiel ani dlhopisové trhy, kde výnosy na dlhom konci krivky výrazne poklesli a slovenský 10-ročný dlhopis sa v decembri obc</w:t>
      </w:r>
      <w:r>
        <w:rPr>
          <w:sz w:val="24"/>
          <w:szCs w:val="24"/>
        </w:rPr>
        <w:t>hodoval s výnosom približne 3,2 </w:t>
      </w:r>
      <w:r w:rsidRPr="0031658D">
        <w:rPr>
          <w:sz w:val="24"/>
          <w:szCs w:val="24"/>
        </w:rPr>
        <w:t>%.</w:t>
      </w:r>
    </w:p>
    <w:tbl>
      <w:tblPr>
        <w:tblW w:w="9214" w:type="dxa"/>
        <w:jc w:val="center"/>
        <w:tblCellMar>
          <w:left w:w="70" w:type="dxa"/>
          <w:right w:w="70" w:type="dxa"/>
        </w:tblCellMar>
        <w:tblLook w:val="04A0" w:firstRow="1" w:lastRow="0" w:firstColumn="1" w:lastColumn="0" w:noHBand="0" w:noVBand="1"/>
      </w:tblPr>
      <w:tblGrid>
        <w:gridCol w:w="6041"/>
        <w:gridCol w:w="959"/>
        <w:gridCol w:w="1058"/>
        <w:gridCol w:w="1156"/>
      </w:tblGrid>
      <w:tr w:rsidR="0031658D" w:rsidRPr="0031658D" w14:paraId="2A7A51AC" w14:textId="77777777" w:rsidTr="0031658D">
        <w:trPr>
          <w:trHeight w:val="300"/>
          <w:jc w:val="center"/>
        </w:trPr>
        <w:tc>
          <w:tcPr>
            <w:tcW w:w="9214" w:type="dxa"/>
            <w:gridSpan w:val="4"/>
            <w:shd w:val="clear" w:color="auto" w:fill="auto"/>
            <w:noWrap/>
            <w:hideMark/>
          </w:tcPr>
          <w:tbl>
            <w:tblPr>
              <w:tblW w:w="9214" w:type="dxa"/>
              <w:jc w:val="center"/>
              <w:tblCellMar>
                <w:left w:w="70" w:type="dxa"/>
                <w:right w:w="70" w:type="dxa"/>
              </w:tblCellMar>
              <w:tblLook w:val="04A0" w:firstRow="1" w:lastRow="0" w:firstColumn="1" w:lastColumn="0" w:noHBand="0" w:noVBand="1"/>
            </w:tblPr>
            <w:tblGrid>
              <w:gridCol w:w="9074"/>
            </w:tblGrid>
            <w:tr w:rsidR="0031658D" w:rsidRPr="001151AE" w14:paraId="46CD94F2" w14:textId="77777777" w:rsidTr="0031658D">
              <w:trPr>
                <w:trHeight w:val="20"/>
                <w:jc w:val="center"/>
              </w:trPr>
              <w:tc>
                <w:tcPr>
                  <w:tcW w:w="9214" w:type="dxa"/>
                  <w:tcBorders>
                    <w:bottom w:val="single" w:sz="4" w:space="0" w:color="auto"/>
                  </w:tcBorders>
                  <w:shd w:val="clear" w:color="auto" w:fill="auto"/>
                  <w:noWrap/>
                  <w:vAlign w:val="center"/>
                  <w:hideMark/>
                </w:tcPr>
                <w:p w14:paraId="5314249E" w14:textId="77777777" w:rsidR="0031658D" w:rsidRPr="001151AE" w:rsidRDefault="0031658D" w:rsidP="000B69FA">
                  <w:pPr>
                    <w:spacing w:line="240" w:lineRule="auto"/>
                    <w:rPr>
                      <w:b/>
                      <w:bCs/>
                      <w:color w:val="5B9BD5" w:themeColor="accent1"/>
                      <w:sz w:val="20"/>
                      <w:szCs w:val="20"/>
                    </w:rPr>
                  </w:pPr>
                  <w:r w:rsidRPr="001151AE">
                    <w:rPr>
                      <w:b/>
                      <w:bCs/>
                      <w:color w:val="5B9BD5" w:themeColor="accent1"/>
                      <w:sz w:val="20"/>
                      <w:szCs w:val="20"/>
                    </w:rPr>
                    <w:lastRenderedPageBreak/>
                    <w:t>Tabuľka 1 - Vývoj vybraných makroekonomických ukazovateľov eurozóny</w:t>
                  </w:r>
                </w:p>
              </w:tc>
            </w:tr>
          </w:tbl>
          <w:p w14:paraId="5F466415" w14:textId="745DF1DA" w:rsidR="0031658D" w:rsidRPr="0031658D" w:rsidRDefault="0031658D" w:rsidP="0031658D">
            <w:pPr>
              <w:spacing w:after="0" w:line="240" w:lineRule="auto"/>
              <w:jc w:val="left"/>
              <w:rPr>
                <w:rFonts w:eastAsia="Times New Roman" w:cs="Times New Roman"/>
                <w:b/>
                <w:bCs/>
                <w:color w:val="FFFFFF"/>
                <w:sz w:val="18"/>
                <w:szCs w:val="18"/>
                <w:lang w:eastAsia="sk-SK"/>
              </w:rPr>
            </w:pPr>
          </w:p>
        </w:tc>
      </w:tr>
      <w:tr w:rsidR="0031658D" w:rsidRPr="0031658D" w14:paraId="6FE11557" w14:textId="77777777" w:rsidTr="0031658D">
        <w:trPr>
          <w:trHeight w:val="300"/>
          <w:jc w:val="center"/>
        </w:trPr>
        <w:tc>
          <w:tcPr>
            <w:tcW w:w="6044" w:type="dxa"/>
            <w:shd w:val="clear" w:color="auto" w:fill="auto"/>
            <w:noWrap/>
            <w:vAlign w:val="center"/>
            <w:hideMark/>
          </w:tcPr>
          <w:p w14:paraId="319BF75F" w14:textId="77777777" w:rsidR="0031658D" w:rsidRPr="0031658D" w:rsidRDefault="0031658D" w:rsidP="0031658D">
            <w:pPr>
              <w:spacing w:after="0" w:line="240" w:lineRule="auto"/>
              <w:jc w:val="center"/>
              <w:rPr>
                <w:rFonts w:eastAsia="Times New Roman" w:cs="Times New Roman"/>
                <w:color w:val="000000"/>
                <w:sz w:val="18"/>
                <w:szCs w:val="18"/>
                <w:lang w:eastAsia="sk-SK"/>
              </w:rPr>
            </w:pPr>
          </w:p>
        </w:tc>
        <w:tc>
          <w:tcPr>
            <w:tcW w:w="958" w:type="dxa"/>
            <w:shd w:val="clear" w:color="auto" w:fill="auto"/>
            <w:noWrap/>
            <w:vAlign w:val="center"/>
            <w:hideMark/>
          </w:tcPr>
          <w:p w14:paraId="476DC0B7" w14:textId="77777777" w:rsidR="0031658D" w:rsidRPr="0031658D" w:rsidRDefault="0031658D" w:rsidP="0031658D">
            <w:pPr>
              <w:spacing w:after="0" w:line="240" w:lineRule="auto"/>
              <w:jc w:val="center"/>
              <w:rPr>
                <w:rFonts w:eastAsia="Times New Roman" w:cs="Times New Roman"/>
                <w:b/>
                <w:bCs/>
                <w:color w:val="000000"/>
                <w:sz w:val="18"/>
                <w:szCs w:val="18"/>
                <w:lang w:eastAsia="sk-SK"/>
              </w:rPr>
            </w:pPr>
            <w:r w:rsidRPr="0031658D">
              <w:rPr>
                <w:rFonts w:eastAsia="Times New Roman" w:cs="Times New Roman"/>
                <w:b/>
                <w:bCs/>
                <w:color w:val="000000"/>
                <w:sz w:val="18"/>
                <w:szCs w:val="18"/>
                <w:lang w:eastAsia="sk-SK"/>
              </w:rPr>
              <w:t>2021</w:t>
            </w:r>
          </w:p>
        </w:tc>
        <w:tc>
          <w:tcPr>
            <w:tcW w:w="1057" w:type="dxa"/>
            <w:shd w:val="clear" w:color="auto" w:fill="auto"/>
            <w:noWrap/>
            <w:vAlign w:val="center"/>
            <w:hideMark/>
          </w:tcPr>
          <w:p w14:paraId="58871814" w14:textId="77777777" w:rsidR="0031658D" w:rsidRPr="0031658D" w:rsidRDefault="0031658D" w:rsidP="0031658D">
            <w:pPr>
              <w:spacing w:after="0" w:line="240" w:lineRule="auto"/>
              <w:jc w:val="center"/>
              <w:rPr>
                <w:rFonts w:eastAsia="Times New Roman" w:cs="Times New Roman"/>
                <w:b/>
                <w:bCs/>
                <w:color w:val="000000"/>
                <w:sz w:val="18"/>
                <w:szCs w:val="18"/>
                <w:lang w:eastAsia="sk-SK"/>
              </w:rPr>
            </w:pPr>
            <w:r w:rsidRPr="0031658D">
              <w:rPr>
                <w:rFonts w:eastAsia="Times New Roman" w:cs="Times New Roman"/>
                <w:b/>
                <w:bCs/>
                <w:color w:val="000000"/>
                <w:sz w:val="18"/>
                <w:szCs w:val="18"/>
                <w:lang w:eastAsia="sk-SK"/>
              </w:rPr>
              <w:t>2022</w:t>
            </w:r>
          </w:p>
        </w:tc>
        <w:tc>
          <w:tcPr>
            <w:tcW w:w="1155" w:type="dxa"/>
            <w:shd w:val="clear" w:color="auto" w:fill="auto"/>
            <w:noWrap/>
            <w:vAlign w:val="center"/>
            <w:hideMark/>
          </w:tcPr>
          <w:p w14:paraId="51B38ACF" w14:textId="77777777" w:rsidR="0031658D" w:rsidRPr="0031658D" w:rsidRDefault="0031658D" w:rsidP="0031658D">
            <w:pPr>
              <w:spacing w:after="0" w:line="240" w:lineRule="auto"/>
              <w:jc w:val="center"/>
              <w:rPr>
                <w:rFonts w:eastAsia="Times New Roman" w:cs="Times New Roman"/>
                <w:b/>
                <w:bCs/>
                <w:color w:val="000000"/>
                <w:sz w:val="18"/>
                <w:szCs w:val="18"/>
                <w:lang w:eastAsia="sk-SK"/>
              </w:rPr>
            </w:pPr>
            <w:r w:rsidRPr="0031658D">
              <w:rPr>
                <w:rFonts w:eastAsia="Times New Roman" w:cs="Times New Roman"/>
                <w:b/>
                <w:bCs/>
                <w:color w:val="000000"/>
                <w:sz w:val="18"/>
                <w:szCs w:val="18"/>
                <w:lang w:eastAsia="sk-SK"/>
              </w:rPr>
              <w:t>2023</w:t>
            </w:r>
          </w:p>
        </w:tc>
      </w:tr>
      <w:tr w:rsidR="0031658D" w:rsidRPr="0031658D" w14:paraId="13C67580" w14:textId="77777777" w:rsidTr="0031658D">
        <w:trPr>
          <w:trHeight w:val="300"/>
          <w:jc w:val="center"/>
        </w:trPr>
        <w:tc>
          <w:tcPr>
            <w:tcW w:w="6044" w:type="dxa"/>
            <w:shd w:val="clear" w:color="auto" w:fill="auto"/>
            <w:noWrap/>
            <w:vAlign w:val="center"/>
            <w:hideMark/>
          </w:tcPr>
          <w:p w14:paraId="28FCAB42" w14:textId="77777777" w:rsidR="0031658D" w:rsidRPr="0031658D" w:rsidRDefault="0031658D" w:rsidP="0031658D">
            <w:pPr>
              <w:spacing w:after="0" w:line="240" w:lineRule="auto"/>
              <w:jc w:val="left"/>
              <w:rPr>
                <w:rFonts w:eastAsia="Times New Roman" w:cs="Times New Roman"/>
                <w:color w:val="000000"/>
                <w:sz w:val="18"/>
                <w:szCs w:val="18"/>
                <w:lang w:eastAsia="sk-SK"/>
              </w:rPr>
            </w:pPr>
            <w:r w:rsidRPr="0031658D">
              <w:rPr>
                <w:rFonts w:eastAsia="Times New Roman" w:cs="Times New Roman"/>
                <w:color w:val="000000"/>
                <w:sz w:val="18"/>
                <w:szCs w:val="18"/>
                <w:lang w:eastAsia="sk-SK"/>
              </w:rPr>
              <w:t>Hrubý domáci produkt (% rast)</w:t>
            </w:r>
          </w:p>
        </w:tc>
        <w:tc>
          <w:tcPr>
            <w:tcW w:w="958" w:type="dxa"/>
            <w:shd w:val="clear" w:color="auto" w:fill="auto"/>
            <w:noWrap/>
            <w:vAlign w:val="center"/>
            <w:hideMark/>
          </w:tcPr>
          <w:p w14:paraId="0042D82D"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5,9</w:t>
            </w:r>
          </w:p>
        </w:tc>
        <w:tc>
          <w:tcPr>
            <w:tcW w:w="1057" w:type="dxa"/>
            <w:shd w:val="clear" w:color="auto" w:fill="auto"/>
            <w:noWrap/>
            <w:vAlign w:val="center"/>
          </w:tcPr>
          <w:p w14:paraId="1F6BD79E"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3,4</w:t>
            </w:r>
          </w:p>
        </w:tc>
        <w:tc>
          <w:tcPr>
            <w:tcW w:w="1155" w:type="dxa"/>
            <w:shd w:val="clear" w:color="auto" w:fill="auto"/>
            <w:noWrap/>
            <w:vAlign w:val="center"/>
          </w:tcPr>
          <w:p w14:paraId="073B94C1"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0,4</w:t>
            </w:r>
          </w:p>
        </w:tc>
      </w:tr>
      <w:tr w:rsidR="0031658D" w:rsidRPr="0031658D" w14:paraId="7C438295" w14:textId="77777777" w:rsidTr="0031658D">
        <w:trPr>
          <w:trHeight w:val="300"/>
          <w:jc w:val="center"/>
        </w:trPr>
        <w:tc>
          <w:tcPr>
            <w:tcW w:w="6044" w:type="dxa"/>
            <w:shd w:val="clear" w:color="auto" w:fill="auto"/>
            <w:noWrap/>
            <w:vAlign w:val="center"/>
            <w:hideMark/>
          </w:tcPr>
          <w:p w14:paraId="3F966A9E" w14:textId="77777777" w:rsidR="0031658D" w:rsidRPr="0031658D" w:rsidRDefault="0031658D" w:rsidP="0031658D">
            <w:pPr>
              <w:spacing w:after="0" w:line="240" w:lineRule="auto"/>
              <w:jc w:val="left"/>
              <w:rPr>
                <w:rFonts w:eastAsia="Times New Roman" w:cs="Times New Roman"/>
                <w:color w:val="000000"/>
                <w:sz w:val="18"/>
                <w:szCs w:val="18"/>
                <w:lang w:eastAsia="sk-SK"/>
              </w:rPr>
            </w:pPr>
            <w:r w:rsidRPr="0031658D">
              <w:rPr>
                <w:rFonts w:eastAsia="Times New Roman" w:cs="Times New Roman"/>
                <w:color w:val="000000"/>
                <w:sz w:val="18"/>
                <w:szCs w:val="18"/>
                <w:lang w:eastAsia="sk-SK"/>
              </w:rPr>
              <w:t>Zamestnanosť (ESA, % rast)</w:t>
            </w:r>
          </w:p>
        </w:tc>
        <w:tc>
          <w:tcPr>
            <w:tcW w:w="958" w:type="dxa"/>
            <w:shd w:val="clear" w:color="auto" w:fill="auto"/>
            <w:noWrap/>
            <w:vAlign w:val="center"/>
            <w:hideMark/>
          </w:tcPr>
          <w:p w14:paraId="0885154E"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1,4</w:t>
            </w:r>
          </w:p>
        </w:tc>
        <w:tc>
          <w:tcPr>
            <w:tcW w:w="1057" w:type="dxa"/>
            <w:shd w:val="clear" w:color="auto" w:fill="auto"/>
            <w:noWrap/>
            <w:vAlign w:val="center"/>
          </w:tcPr>
          <w:p w14:paraId="748F0602"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2,3</w:t>
            </w:r>
          </w:p>
        </w:tc>
        <w:tc>
          <w:tcPr>
            <w:tcW w:w="1155" w:type="dxa"/>
            <w:shd w:val="clear" w:color="auto" w:fill="auto"/>
            <w:noWrap/>
            <w:vAlign w:val="center"/>
          </w:tcPr>
          <w:p w14:paraId="2DE66F2B"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1,4</w:t>
            </w:r>
          </w:p>
        </w:tc>
      </w:tr>
      <w:tr w:rsidR="0031658D" w:rsidRPr="0031658D" w14:paraId="0C87B789" w14:textId="77777777" w:rsidTr="0031658D">
        <w:trPr>
          <w:trHeight w:val="300"/>
          <w:jc w:val="center"/>
        </w:trPr>
        <w:tc>
          <w:tcPr>
            <w:tcW w:w="6044" w:type="dxa"/>
            <w:shd w:val="clear" w:color="auto" w:fill="auto"/>
            <w:noWrap/>
            <w:vAlign w:val="center"/>
            <w:hideMark/>
          </w:tcPr>
          <w:p w14:paraId="44F596A6" w14:textId="77777777" w:rsidR="0031658D" w:rsidRPr="0031658D" w:rsidRDefault="0031658D" w:rsidP="0031658D">
            <w:pPr>
              <w:spacing w:after="0" w:line="240" w:lineRule="auto"/>
              <w:jc w:val="left"/>
              <w:rPr>
                <w:rFonts w:eastAsia="Times New Roman" w:cs="Times New Roman"/>
                <w:color w:val="000000"/>
                <w:sz w:val="18"/>
                <w:szCs w:val="18"/>
                <w:lang w:eastAsia="sk-SK"/>
              </w:rPr>
            </w:pPr>
            <w:r w:rsidRPr="0031658D">
              <w:rPr>
                <w:rFonts w:eastAsia="Times New Roman" w:cs="Times New Roman"/>
                <w:color w:val="000000"/>
                <w:sz w:val="18"/>
                <w:szCs w:val="18"/>
                <w:lang w:eastAsia="sk-SK"/>
              </w:rPr>
              <w:t>Miera nezamestnanosti (VZPS, %)</w:t>
            </w:r>
          </w:p>
        </w:tc>
        <w:tc>
          <w:tcPr>
            <w:tcW w:w="958" w:type="dxa"/>
            <w:shd w:val="clear" w:color="auto" w:fill="auto"/>
            <w:noWrap/>
            <w:vAlign w:val="center"/>
            <w:hideMark/>
          </w:tcPr>
          <w:p w14:paraId="1CA13659"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7,7</w:t>
            </w:r>
          </w:p>
        </w:tc>
        <w:tc>
          <w:tcPr>
            <w:tcW w:w="1057" w:type="dxa"/>
            <w:shd w:val="clear" w:color="auto" w:fill="auto"/>
            <w:noWrap/>
            <w:vAlign w:val="center"/>
          </w:tcPr>
          <w:p w14:paraId="6FAEB837"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6,8</w:t>
            </w:r>
          </w:p>
        </w:tc>
        <w:tc>
          <w:tcPr>
            <w:tcW w:w="1155" w:type="dxa"/>
            <w:shd w:val="clear" w:color="auto" w:fill="auto"/>
            <w:noWrap/>
            <w:vAlign w:val="center"/>
          </w:tcPr>
          <w:p w14:paraId="1CDE058D"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6,5</w:t>
            </w:r>
          </w:p>
        </w:tc>
      </w:tr>
      <w:tr w:rsidR="0031658D" w:rsidRPr="0031658D" w14:paraId="7661C331" w14:textId="77777777" w:rsidTr="0031658D">
        <w:trPr>
          <w:trHeight w:val="300"/>
          <w:jc w:val="center"/>
        </w:trPr>
        <w:tc>
          <w:tcPr>
            <w:tcW w:w="6044" w:type="dxa"/>
            <w:shd w:val="clear" w:color="auto" w:fill="auto"/>
            <w:noWrap/>
            <w:vAlign w:val="center"/>
            <w:hideMark/>
          </w:tcPr>
          <w:p w14:paraId="4D98B6EB" w14:textId="77777777" w:rsidR="0031658D" w:rsidRPr="0031658D" w:rsidRDefault="0031658D" w:rsidP="0031658D">
            <w:pPr>
              <w:spacing w:after="0" w:line="240" w:lineRule="auto"/>
              <w:jc w:val="left"/>
              <w:rPr>
                <w:rFonts w:eastAsia="Times New Roman" w:cs="Times New Roman"/>
                <w:color w:val="000000"/>
                <w:sz w:val="18"/>
                <w:szCs w:val="18"/>
                <w:lang w:eastAsia="sk-SK"/>
              </w:rPr>
            </w:pPr>
            <w:r w:rsidRPr="0031658D">
              <w:rPr>
                <w:rFonts w:eastAsia="Times New Roman" w:cs="Times New Roman"/>
                <w:color w:val="000000"/>
                <w:sz w:val="18"/>
                <w:szCs w:val="18"/>
                <w:lang w:eastAsia="sk-SK"/>
              </w:rPr>
              <w:t>Kompenzácie na zamestnanca</w:t>
            </w:r>
            <w:r w:rsidRPr="0031658D">
              <w:rPr>
                <w:rFonts w:eastAsia="Times New Roman" w:cs="Times New Roman"/>
                <w:color w:val="000000"/>
                <w:sz w:val="18"/>
                <w:szCs w:val="18"/>
                <w:vertAlign w:val="superscript"/>
                <w:lang w:eastAsia="sk-SK"/>
              </w:rPr>
              <w:t>*</w:t>
            </w:r>
            <w:r w:rsidRPr="0031658D">
              <w:rPr>
                <w:rFonts w:eastAsia="Times New Roman" w:cs="Times New Roman"/>
                <w:color w:val="000000"/>
                <w:sz w:val="18"/>
                <w:szCs w:val="18"/>
                <w:lang w:eastAsia="sk-SK"/>
              </w:rPr>
              <w:t xml:space="preserve"> (% rast)</w:t>
            </w:r>
          </w:p>
        </w:tc>
        <w:tc>
          <w:tcPr>
            <w:tcW w:w="958" w:type="dxa"/>
            <w:shd w:val="clear" w:color="auto" w:fill="auto"/>
            <w:noWrap/>
            <w:vAlign w:val="center"/>
            <w:hideMark/>
          </w:tcPr>
          <w:p w14:paraId="76AE3F64"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4,2</w:t>
            </w:r>
          </w:p>
        </w:tc>
        <w:tc>
          <w:tcPr>
            <w:tcW w:w="1057" w:type="dxa"/>
            <w:shd w:val="clear" w:color="auto" w:fill="auto"/>
            <w:noWrap/>
            <w:vAlign w:val="center"/>
          </w:tcPr>
          <w:p w14:paraId="15C2E05C"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4,4</w:t>
            </w:r>
          </w:p>
        </w:tc>
        <w:tc>
          <w:tcPr>
            <w:tcW w:w="1155" w:type="dxa"/>
            <w:shd w:val="clear" w:color="auto" w:fill="auto"/>
            <w:noWrap/>
            <w:vAlign w:val="center"/>
          </w:tcPr>
          <w:p w14:paraId="7025D4CE"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4,5</w:t>
            </w:r>
          </w:p>
        </w:tc>
      </w:tr>
      <w:tr w:rsidR="0031658D" w:rsidRPr="0031658D" w14:paraId="124B68F8" w14:textId="77777777" w:rsidTr="0031658D">
        <w:trPr>
          <w:trHeight w:val="300"/>
          <w:jc w:val="center"/>
        </w:trPr>
        <w:tc>
          <w:tcPr>
            <w:tcW w:w="6044" w:type="dxa"/>
            <w:shd w:val="clear" w:color="auto" w:fill="auto"/>
            <w:noWrap/>
            <w:vAlign w:val="center"/>
            <w:hideMark/>
          </w:tcPr>
          <w:p w14:paraId="1F8A1F6C" w14:textId="77777777" w:rsidR="0031658D" w:rsidRPr="0031658D" w:rsidRDefault="0031658D" w:rsidP="0031658D">
            <w:pPr>
              <w:spacing w:after="0" w:line="240" w:lineRule="auto"/>
              <w:jc w:val="left"/>
              <w:rPr>
                <w:rFonts w:eastAsia="Times New Roman" w:cs="Times New Roman"/>
                <w:color w:val="000000"/>
                <w:sz w:val="18"/>
                <w:szCs w:val="18"/>
                <w:lang w:eastAsia="sk-SK"/>
              </w:rPr>
            </w:pPr>
            <w:r w:rsidRPr="0031658D">
              <w:rPr>
                <w:rFonts w:eastAsia="Times New Roman" w:cs="Times New Roman"/>
                <w:color w:val="000000"/>
                <w:sz w:val="18"/>
                <w:szCs w:val="18"/>
                <w:lang w:eastAsia="sk-SK"/>
              </w:rPr>
              <w:t>Miera inflácie (HICP, %)</w:t>
            </w:r>
          </w:p>
        </w:tc>
        <w:tc>
          <w:tcPr>
            <w:tcW w:w="958" w:type="dxa"/>
            <w:shd w:val="clear" w:color="auto" w:fill="auto"/>
            <w:noWrap/>
            <w:vAlign w:val="center"/>
            <w:hideMark/>
          </w:tcPr>
          <w:p w14:paraId="10E42603"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2,6</w:t>
            </w:r>
          </w:p>
        </w:tc>
        <w:tc>
          <w:tcPr>
            <w:tcW w:w="1057" w:type="dxa"/>
            <w:shd w:val="clear" w:color="auto" w:fill="auto"/>
            <w:noWrap/>
            <w:vAlign w:val="center"/>
          </w:tcPr>
          <w:p w14:paraId="1B930846"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8,4</w:t>
            </w:r>
          </w:p>
        </w:tc>
        <w:tc>
          <w:tcPr>
            <w:tcW w:w="1155" w:type="dxa"/>
            <w:shd w:val="clear" w:color="auto" w:fill="auto"/>
            <w:noWrap/>
            <w:vAlign w:val="center"/>
          </w:tcPr>
          <w:p w14:paraId="72B12E55"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5,4</w:t>
            </w:r>
          </w:p>
        </w:tc>
      </w:tr>
      <w:tr w:rsidR="0031658D" w:rsidRPr="0031658D" w14:paraId="719E76DB" w14:textId="77777777" w:rsidTr="0031658D">
        <w:trPr>
          <w:trHeight w:val="300"/>
          <w:jc w:val="center"/>
        </w:trPr>
        <w:tc>
          <w:tcPr>
            <w:tcW w:w="6044" w:type="dxa"/>
            <w:shd w:val="clear" w:color="auto" w:fill="auto"/>
            <w:noWrap/>
            <w:vAlign w:val="center"/>
            <w:hideMark/>
          </w:tcPr>
          <w:p w14:paraId="7206AFC2" w14:textId="77777777" w:rsidR="0031658D" w:rsidRPr="0031658D" w:rsidRDefault="0031658D" w:rsidP="0031658D">
            <w:pPr>
              <w:spacing w:after="0" w:line="240" w:lineRule="auto"/>
              <w:jc w:val="left"/>
              <w:rPr>
                <w:rFonts w:eastAsia="Times New Roman" w:cs="Times New Roman"/>
                <w:color w:val="000000"/>
                <w:sz w:val="18"/>
                <w:szCs w:val="18"/>
                <w:lang w:eastAsia="sk-SK"/>
              </w:rPr>
            </w:pPr>
            <w:r w:rsidRPr="0031658D">
              <w:rPr>
                <w:rFonts w:eastAsia="Times New Roman" w:cs="Times New Roman"/>
                <w:color w:val="000000"/>
                <w:sz w:val="18"/>
                <w:szCs w:val="18"/>
                <w:lang w:eastAsia="sk-SK"/>
              </w:rPr>
              <w:t>10-ročný nemecký dlhopis (% výnos)</w:t>
            </w:r>
          </w:p>
        </w:tc>
        <w:tc>
          <w:tcPr>
            <w:tcW w:w="958" w:type="dxa"/>
            <w:shd w:val="clear" w:color="auto" w:fill="auto"/>
            <w:noWrap/>
            <w:vAlign w:val="center"/>
            <w:hideMark/>
          </w:tcPr>
          <w:p w14:paraId="05919220"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-0,34</w:t>
            </w:r>
          </w:p>
        </w:tc>
        <w:tc>
          <w:tcPr>
            <w:tcW w:w="1057" w:type="dxa"/>
            <w:shd w:val="clear" w:color="auto" w:fill="auto"/>
            <w:noWrap/>
            <w:vAlign w:val="center"/>
          </w:tcPr>
          <w:p w14:paraId="3C9F97CA"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1,17</w:t>
            </w:r>
          </w:p>
        </w:tc>
        <w:tc>
          <w:tcPr>
            <w:tcW w:w="1155" w:type="dxa"/>
            <w:shd w:val="clear" w:color="auto" w:fill="auto"/>
            <w:noWrap/>
            <w:vAlign w:val="center"/>
          </w:tcPr>
          <w:p w14:paraId="518EE2C5"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2,46</w:t>
            </w:r>
          </w:p>
        </w:tc>
      </w:tr>
      <w:tr w:rsidR="0031658D" w:rsidRPr="0031658D" w14:paraId="3D55EE78" w14:textId="77777777" w:rsidTr="0031658D">
        <w:trPr>
          <w:trHeight w:val="300"/>
          <w:jc w:val="center"/>
        </w:trPr>
        <w:tc>
          <w:tcPr>
            <w:tcW w:w="6044" w:type="dxa"/>
            <w:shd w:val="clear" w:color="auto" w:fill="auto"/>
            <w:noWrap/>
            <w:vAlign w:val="center"/>
            <w:hideMark/>
          </w:tcPr>
          <w:p w14:paraId="6742A0D9" w14:textId="77777777" w:rsidR="0031658D" w:rsidRPr="0031658D" w:rsidRDefault="0031658D" w:rsidP="0031658D">
            <w:pPr>
              <w:spacing w:after="0" w:line="240" w:lineRule="auto"/>
              <w:jc w:val="left"/>
              <w:rPr>
                <w:rFonts w:eastAsia="Times New Roman" w:cs="Times New Roman"/>
                <w:color w:val="000000"/>
                <w:sz w:val="18"/>
                <w:szCs w:val="18"/>
                <w:lang w:eastAsia="sk-SK"/>
              </w:rPr>
            </w:pPr>
            <w:r w:rsidRPr="0031658D">
              <w:rPr>
                <w:rFonts w:eastAsia="Times New Roman" w:cs="Times New Roman"/>
                <w:color w:val="000000"/>
                <w:sz w:val="18"/>
                <w:szCs w:val="18"/>
                <w:lang w:eastAsia="sk-SK"/>
              </w:rPr>
              <w:t>Kurz USD/EUR (priemer roka)</w:t>
            </w:r>
          </w:p>
        </w:tc>
        <w:tc>
          <w:tcPr>
            <w:tcW w:w="958" w:type="dxa"/>
            <w:shd w:val="clear" w:color="auto" w:fill="auto"/>
            <w:noWrap/>
            <w:vAlign w:val="center"/>
            <w:hideMark/>
          </w:tcPr>
          <w:p w14:paraId="02219740"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1,18</w:t>
            </w:r>
          </w:p>
        </w:tc>
        <w:tc>
          <w:tcPr>
            <w:tcW w:w="1057" w:type="dxa"/>
            <w:shd w:val="clear" w:color="auto" w:fill="auto"/>
            <w:noWrap/>
            <w:vAlign w:val="center"/>
          </w:tcPr>
          <w:p w14:paraId="5DB433BC"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1,05</w:t>
            </w:r>
          </w:p>
        </w:tc>
        <w:tc>
          <w:tcPr>
            <w:tcW w:w="1155" w:type="dxa"/>
            <w:shd w:val="clear" w:color="auto" w:fill="auto"/>
            <w:noWrap/>
            <w:vAlign w:val="center"/>
          </w:tcPr>
          <w:p w14:paraId="6531AA0F"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1,08</w:t>
            </w:r>
          </w:p>
        </w:tc>
      </w:tr>
      <w:tr w:rsidR="0031658D" w:rsidRPr="0031658D" w14:paraId="6F71388F" w14:textId="77777777" w:rsidTr="0031658D">
        <w:trPr>
          <w:trHeight w:val="315"/>
          <w:jc w:val="center"/>
        </w:trPr>
        <w:tc>
          <w:tcPr>
            <w:tcW w:w="6044" w:type="dxa"/>
            <w:tcBorders>
              <w:bottom w:val="single" w:sz="4" w:space="0" w:color="auto"/>
            </w:tcBorders>
            <w:shd w:val="clear" w:color="auto" w:fill="auto"/>
            <w:noWrap/>
            <w:vAlign w:val="center"/>
            <w:hideMark/>
          </w:tcPr>
          <w:p w14:paraId="24AA5673" w14:textId="77777777" w:rsidR="0031658D" w:rsidRPr="0031658D" w:rsidRDefault="0031658D" w:rsidP="0031658D">
            <w:pPr>
              <w:spacing w:after="0" w:line="240" w:lineRule="auto"/>
              <w:jc w:val="left"/>
              <w:rPr>
                <w:rFonts w:eastAsia="Times New Roman" w:cs="Times New Roman"/>
                <w:color w:val="000000"/>
                <w:sz w:val="18"/>
                <w:szCs w:val="18"/>
                <w:lang w:eastAsia="sk-SK"/>
              </w:rPr>
            </w:pPr>
            <w:r w:rsidRPr="0031658D">
              <w:rPr>
                <w:rFonts w:eastAsia="Times New Roman" w:cs="Times New Roman"/>
                <w:color w:val="000000"/>
                <w:sz w:val="18"/>
                <w:szCs w:val="18"/>
                <w:lang w:eastAsia="sk-SK"/>
              </w:rPr>
              <w:t xml:space="preserve">Cena ropy </w:t>
            </w:r>
            <w:proofErr w:type="spellStart"/>
            <w:r w:rsidRPr="0031658D">
              <w:rPr>
                <w:rFonts w:eastAsia="Times New Roman" w:cs="Times New Roman"/>
                <w:color w:val="000000"/>
                <w:sz w:val="18"/>
                <w:szCs w:val="18"/>
                <w:lang w:eastAsia="sk-SK"/>
              </w:rPr>
              <w:t>Brent</w:t>
            </w:r>
            <w:proofErr w:type="spellEnd"/>
            <w:r w:rsidRPr="0031658D">
              <w:rPr>
                <w:rFonts w:eastAsia="Times New Roman" w:cs="Times New Roman"/>
                <w:color w:val="000000"/>
                <w:sz w:val="18"/>
                <w:szCs w:val="18"/>
                <w:lang w:eastAsia="sk-SK"/>
              </w:rPr>
              <w:t xml:space="preserve"> (USD/</w:t>
            </w:r>
            <w:proofErr w:type="spellStart"/>
            <w:r w:rsidRPr="0031658D">
              <w:rPr>
                <w:rFonts w:eastAsia="Times New Roman" w:cs="Times New Roman"/>
                <w:color w:val="000000"/>
                <w:sz w:val="18"/>
                <w:szCs w:val="18"/>
                <w:lang w:eastAsia="sk-SK"/>
              </w:rPr>
              <w:t>bl</w:t>
            </w:r>
            <w:proofErr w:type="spellEnd"/>
            <w:r w:rsidRPr="0031658D">
              <w:rPr>
                <w:rFonts w:eastAsia="Times New Roman" w:cs="Times New Roman"/>
                <w:color w:val="000000"/>
                <w:sz w:val="18"/>
                <w:szCs w:val="18"/>
                <w:lang w:eastAsia="sk-SK"/>
              </w:rPr>
              <w:t>)</w:t>
            </w:r>
          </w:p>
        </w:tc>
        <w:tc>
          <w:tcPr>
            <w:tcW w:w="958" w:type="dxa"/>
            <w:tcBorders>
              <w:bottom w:val="single" w:sz="4" w:space="0" w:color="auto"/>
            </w:tcBorders>
            <w:shd w:val="clear" w:color="auto" w:fill="auto"/>
            <w:noWrap/>
            <w:vAlign w:val="center"/>
            <w:hideMark/>
          </w:tcPr>
          <w:p w14:paraId="35C33FFC"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70,8</w:t>
            </w:r>
          </w:p>
        </w:tc>
        <w:tc>
          <w:tcPr>
            <w:tcW w:w="1057" w:type="dxa"/>
            <w:tcBorders>
              <w:bottom w:val="single" w:sz="4" w:space="0" w:color="auto"/>
            </w:tcBorders>
            <w:shd w:val="clear" w:color="auto" w:fill="auto"/>
            <w:noWrap/>
            <w:vAlign w:val="center"/>
          </w:tcPr>
          <w:p w14:paraId="1E7A87F5"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98,9</w:t>
            </w:r>
          </w:p>
        </w:tc>
        <w:tc>
          <w:tcPr>
            <w:tcW w:w="1155" w:type="dxa"/>
            <w:tcBorders>
              <w:bottom w:val="single" w:sz="4" w:space="0" w:color="auto"/>
            </w:tcBorders>
            <w:shd w:val="clear" w:color="auto" w:fill="auto"/>
            <w:noWrap/>
            <w:vAlign w:val="center"/>
          </w:tcPr>
          <w:p w14:paraId="5DBE7A93" w14:textId="77777777" w:rsidR="0031658D" w:rsidRPr="0031658D" w:rsidRDefault="0031658D" w:rsidP="0031658D">
            <w:pPr>
              <w:spacing w:after="0" w:line="240" w:lineRule="auto"/>
              <w:jc w:val="center"/>
              <w:rPr>
                <w:rFonts w:eastAsia="Times New Roman" w:cs="Times New Roman"/>
                <w:color w:val="000000"/>
                <w:sz w:val="18"/>
                <w:szCs w:val="18"/>
                <w:lang w:eastAsia="sk-SK"/>
              </w:rPr>
            </w:pPr>
            <w:r w:rsidRPr="0031658D">
              <w:rPr>
                <w:rFonts w:eastAsia="Times New Roman" w:cs="Times New Roman"/>
                <w:color w:val="000000"/>
                <w:sz w:val="18"/>
                <w:szCs w:val="18"/>
                <w:lang w:eastAsia="sk-SK"/>
              </w:rPr>
              <w:t>82,2</w:t>
            </w:r>
          </w:p>
        </w:tc>
      </w:tr>
      <w:tr w:rsidR="0031658D" w:rsidRPr="00F44196" w14:paraId="01B2CA15" w14:textId="77777777" w:rsidTr="0031658D">
        <w:trPr>
          <w:trHeight w:val="300"/>
          <w:jc w:val="center"/>
        </w:trPr>
        <w:tc>
          <w:tcPr>
            <w:tcW w:w="9214" w:type="dxa"/>
            <w:gridSpan w:val="4"/>
            <w:tcBorders>
              <w:top w:val="single" w:sz="4" w:space="0" w:color="auto"/>
            </w:tcBorders>
            <w:shd w:val="clear" w:color="auto" w:fill="auto"/>
            <w:noWrap/>
            <w:hideMark/>
          </w:tcPr>
          <w:p w14:paraId="6F53ECDD" w14:textId="482501EC" w:rsidR="0031658D" w:rsidRPr="00F44196" w:rsidRDefault="0026737F" w:rsidP="0031658D">
            <w:pPr>
              <w:spacing w:after="0" w:line="240" w:lineRule="auto"/>
              <w:rPr>
                <w:rFonts w:eastAsia="Times New Roman" w:cs="Times New Roman"/>
                <w:iCs/>
                <w:color w:val="000000"/>
                <w:sz w:val="18"/>
                <w:szCs w:val="18"/>
                <w:lang w:eastAsia="sk-SK"/>
              </w:rPr>
            </w:pPr>
            <w:r w:rsidRPr="00F44196">
              <w:rPr>
                <w:rFonts w:eastAsia="Times New Roman" w:cs="Times New Roman"/>
                <w:iCs/>
                <w:color w:val="000000"/>
                <w:sz w:val="18"/>
                <w:szCs w:val="18"/>
                <w:lang w:eastAsia="sk-SK"/>
              </w:rPr>
              <w:t xml:space="preserve">* </w:t>
            </w:r>
            <w:r w:rsidR="0031658D" w:rsidRPr="00F44196">
              <w:rPr>
                <w:rFonts w:eastAsia="Times New Roman" w:cs="Times New Roman"/>
                <w:iCs/>
                <w:color w:val="000000"/>
                <w:sz w:val="18"/>
                <w:szCs w:val="18"/>
                <w:lang w:eastAsia="sk-SK"/>
              </w:rPr>
              <w:t xml:space="preserve">suma všetkých miezd a odvodov na jedného zamestnanca                                              Zdroj: </w:t>
            </w:r>
            <w:proofErr w:type="spellStart"/>
            <w:r w:rsidR="0031658D" w:rsidRPr="00F44196">
              <w:rPr>
                <w:rFonts w:eastAsia="Times New Roman" w:cs="Times New Roman"/>
                <w:iCs/>
                <w:color w:val="000000"/>
                <w:sz w:val="18"/>
                <w:szCs w:val="18"/>
                <w:lang w:eastAsia="sk-SK"/>
              </w:rPr>
              <w:t>Eurostat</w:t>
            </w:r>
            <w:proofErr w:type="spellEnd"/>
            <w:r w:rsidR="0031658D" w:rsidRPr="00F44196">
              <w:rPr>
                <w:rFonts w:eastAsia="Times New Roman" w:cs="Times New Roman"/>
                <w:iCs/>
                <w:color w:val="000000"/>
                <w:sz w:val="18"/>
                <w:szCs w:val="18"/>
                <w:lang w:eastAsia="sk-SK"/>
              </w:rPr>
              <w:t xml:space="preserve">, </w:t>
            </w:r>
            <w:proofErr w:type="spellStart"/>
            <w:r w:rsidR="0031658D" w:rsidRPr="00F44196">
              <w:rPr>
                <w:rFonts w:eastAsia="Times New Roman" w:cs="Times New Roman"/>
                <w:iCs/>
                <w:color w:val="000000"/>
                <w:sz w:val="18"/>
                <w:szCs w:val="18"/>
                <w:lang w:eastAsia="sk-SK"/>
              </w:rPr>
              <w:t>Bloomberg</w:t>
            </w:r>
            <w:proofErr w:type="spellEnd"/>
            <w:r w:rsidR="0031658D" w:rsidRPr="00F44196">
              <w:rPr>
                <w:rFonts w:eastAsia="Times New Roman" w:cs="Times New Roman"/>
                <w:iCs/>
                <w:color w:val="000000"/>
                <w:sz w:val="18"/>
                <w:szCs w:val="18"/>
                <w:lang w:eastAsia="sk-SK"/>
              </w:rPr>
              <w:t xml:space="preserve"> v ekonomike („</w:t>
            </w:r>
            <w:proofErr w:type="spellStart"/>
            <w:r w:rsidR="0031658D" w:rsidRPr="00F44196">
              <w:rPr>
                <w:rFonts w:eastAsia="Times New Roman" w:cs="Times New Roman"/>
                <w:iCs/>
                <w:color w:val="000000"/>
                <w:sz w:val="18"/>
                <w:szCs w:val="18"/>
                <w:lang w:eastAsia="sk-SK"/>
              </w:rPr>
              <w:t>superhrubá</w:t>
            </w:r>
            <w:proofErr w:type="spellEnd"/>
            <w:r w:rsidR="0031658D" w:rsidRPr="00F44196">
              <w:rPr>
                <w:rFonts w:eastAsia="Times New Roman" w:cs="Times New Roman"/>
                <w:iCs/>
                <w:color w:val="000000"/>
                <w:sz w:val="18"/>
                <w:szCs w:val="18"/>
                <w:lang w:eastAsia="sk-SK"/>
              </w:rPr>
              <w:t>“ mzda</w:t>
            </w:r>
            <w:r w:rsidR="0031658D" w:rsidRPr="00F44196">
              <w:rPr>
                <w:rFonts w:eastAsia="Times New Roman" w:cs="Times New Roman"/>
                <w:color w:val="1F497D"/>
                <w:sz w:val="18"/>
                <w:szCs w:val="18"/>
                <w:lang w:eastAsia="sk-SK"/>
              </w:rPr>
              <w:t>)</w:t>
            </w:r>
            <w:r w:rsidR="0031658D" w:rsidRPr="00F44196">
              <w:rPr>
                <w:rFonts w:eastAsia="Times New Roman" w:cs="Times New Roman"/>
                <w:iCs/>
                <w:color w:val="000000"/>
                <w:sz w:val="18"/>
                <w:szCs w:val="18"/>
                <w:lang w:eastAsia="sk-SK"/>
              </w:rPr>
              <w:t xml:space="preserve"> </w:t>
            </w:r>
          </w:p>
        </w:tc>
      </w:tr>
    </w:tbl>
    <w:p w14:paraId="7134557C" w14:textId="183A80F0" w:rsidR="005F5B88" w:rsidRDefault="005F5B88" w:rsidP="0031658D">
      <w:pPr>
        <w:pStyle w:val="Nadpis2"/>
        <w:spacing w:line="240" w:lineRule="auto"/>
      </w:pPr>
      <w:bookmarkStart w:id="5" w:name="_Toc6415628"/>
      <w:bookmarkStart w:id="6" w:name="_Toc164846924"/>
      <w:r>
        <w:t>Makroekonomický vývoj SR</w:t>
      </w:r>
      <w:bookmarkEnd w:id="5"/>
      <w:bookmarkEnd w:id="6"/>
    </w:p>
    <w:p w14:paraId="7FC076D8" w14:textId="10081CFE" w:rsidR="005F5B88" w:rsidRDefault="005F5B88" w:rsidP="00AF7C97">
      <w:pPr>
        <w:pStyle w:val="Nadpis3"/>
      </w:pPr>
      <w:bookmarkStart w:id="7" w:name="_Toc6415629"/>
      <w:bookmarkStart w:id="8" w:name="_Toc164846925"/>
      <w:r w:rsidRPr="000F375D">
        <w:t>Hrubý domáci produkt</w:t>
      </w:r>
      <w:bookmarkEnd w:id="7"/>
      <w:bookmarkEnd w:id="8"/>
    </w:p>
    <w:p w14:paraId="23020B6C" w14:textId="425174B4" w:rsidR="0031658D" w:rsidRPr="0031658D" w:rsidRDefault="0031658D" w:rsidP="0031658D">
      <w:pPr>
        <w:spacing w:line="240" w:lineRule="auto"/>
        <w:rPr>
          <w:sz w:val="24"/>
          <w:szCs w:val="24"/>
        </w:rPr>
      </w:pPr>
      <w:r w:rsidRPr="0031658D">
        <w:rPr>
          <w:sz w:val="24"/>
          <w:szCs w:val="24"/>
        </w:rPr>
        <w:t xml:space="preserve">Slovenská ekonomika v roku 2023 posilnila vďaka </w:t>
      </w:r>
      <w:r w:rsidR="0026737F">
        <w:rPr>
          <w:sz w:val="24"/>
          <w:szCs w:val="24"/>
        </w:rPr>
        <w:t>čerpaniu euro</w:t>
      </w:r>
      <w:r w:rsidRPr="0031658D">
        <w:rPr>
          <w:sz w:val="24"/>
          <w:szCs w:val="24"/>
        </w:rPr>
        <w:t>fondo</w:t>
      </w:r>
      <w:r w:rsidR="0026737F">
        <w:rPr>
          <w:sz w:val="24"/>
          <w:szCs w:val="24"/>
        </w:rPr>
        <w:t>v</w:t>
      </w:r>
      <w:r w:rsidR="006C1451">
        <w:rPr>
          <w:sz w:val="24"/>
          <w:szCs w:val="24"/>
        </w:rPr>
        <w:t>, HDP vzrástlo o 1,6</w:t>
      </w:r>
      <w:r w:rsidRPr="0031658D">
        <w:rPr>
          <w:sz w:val="24"/>
          <w:szCs w:val="24"/>
        </w:rPr>
        <w:t xml:space="preserve"> %. </w:t>
      </w:r>
      <w:r w:rsidRPr="00D65BED">
        <w:rPr>
          <w:sz w:val="24"/>
          <w:szCs w:val="24"/>
        </w:rPr>
        <w:t xml:space="preserve">Dočerpanie fondov </w:t>
      </w:r>
      <w:r w:rsidR="00F44196" w:rsidRPr="00D65BED">
        <w:rPr>
          <w:sz w:val="24"/>
          <w:szCs w:val="24"/>
        </w:rPr>
        <w:t xml:space="preserve">z 3. programového obdobia </w:t>
      </w:r>
      <w:r w:rsidRPr="00D65BED">
        <w:rPr>
          <w:sz w:val="24"/>
          <w:szCs w:val="24"/>
        </w:rPr>
        <w:t>stabilizovalo</w:t>
      </w:r>
      <w:r w:rsidRPr="0031658D">
        <w:rPr>
          <w:sz w:val="24"/>
          <w:szCs w:val="24"/>
        </w:rPr>
        <w:t xml:space="preserve"> slovenskú ekonomiku, kým os</w:t>
      </w:r>
      <w:r w:rsidR="0026737F">
        <w:rPr>
          <w:sz w:val="24"/>
          <w:szCs w:val="24"/>
        </w:rPr>
        <w:t xml:space="preserve">tatné ekonomiky V3 zaostávali. </w:t>
      </w:r>
      <w:r w:rsidRPr="0031658D">
        <w:rPr>
          <w:sz w:val="24"/>
          <w:szCs w:val="24"/>
        </w:rPr>
        <w:t>Spotreba slovenských domácností klesala výraznejšie než sa čakalo, v druhej polovici roku spotrebitelia presmerovali viac príjmov na obnovenie svojich úspor, ktoré stratili v inflačnom šoku. Export zaostal pre slabší dopyt zo strany našich obchodných partnerov, najmä v Nemecku. Obchodná bilancia skončila výrazne pozitívna aj z dôvodu nižších dovozov energií a tovarov, ktoré sa čerpali predovšetkým zo zásob.</w:t>
      </w:r>
    </w:p>
    <w:p w14:paraId="7358E45D" w14:textId="421A0067" w:rsidR="0031658D" w:rsidRDefault="0031658D" w:rsidP="0031658D">
      <w:pPr>
        <w:spacing w:line="240" w:lineRule="auto"/>
        <w:rPr>
          <w:sz w:val="24"/>
          <w:szCs w:val="24"/>
        </w:rPr>
      </w:pPr>
      <w:r w:rsidRPr="0031658D">
        <w:rPr>
          <w:sz w:val="24"/>
          <w:szCs w:val="24"/>
        </w:rPr>
        <w:t>Objem pridanej hodnoty stúpol v každom sektore. Vďaka EÚ fondom sa najviac darilo stavebníctvu. Po ruskej agresii a výraznom spomalení v roku 2022 sa v roku 2023 zotavila aj priemyselná výroba, kde pridaná hodnota stúpla o 6,5 %. Darilo sa aj obchodu a finančníctvu. Najmenší rast zaznamenal sektor nehnuteľností, na ktorý doľahli vyššie úrokové sadzby centrálnych bánk.</w:t>
      </w:r>
    </w:p>
    <w:tbl>
      <w:tblPr>
        <w:tblW w:w="9547" w:type="dxa"/>
        <w:tblCellMar>
          <w:left w:w="70" w:type="dxa"/>
          <w:right w:w="70" w:type="dxa"/>
        </w:tblCellMar>
        <w:tblLook w:val="04A0" w:firstRow="1" w:lastRow="0" w:firstColumn="1" w:lastColumn="0" w:noHBand="0" w:noVBand="1"/>
      </w:tblPr>
      <w:tblGrid>
        <w:gridCol w:w="73"/>
        <w:gridCol w:w="1553"/>
        <w:gridCol w:w="954"/>
        <w:gridCol w:w="601"/>
        <w:gridCol w:w="601"/>
        <w:gridCol w:w="576"/>
        <w:gridCol w:w="217"/>
        <w:gridCol w:w="4513"/>
        <w:gridCol w:w="381"/>
        <w:gridCol w:w="78"/>
      </w:tblGrid>
      <w:tr w:rsidR="0031658D" w:rsidRPr="00AC1638" w14:paraId="3E80F979" w14:textId="77777777" w:rsidTr="0031658D">
        <w:trPr>
          <w:gridAfter w:val="1"/>
          <w:wAfter w:w="78" w:type="dxa"/>
          <w:trHeight w:val="345"/>
        </w:trPr>
        <w:tc>
          <w:tcPr>
            <w:tcW w:w="9469" w:type="dxa"/>
            <w:gridSpan w:val="9"/>
            <w:tcBorders>
              <w:bottom w:val="single" w:sz="4" w:space="0" w:color="auto"/>
            </w:tcBorders>
            <w:shd w:val="clear" w:color="auto" w:fill="auto"/>
            <w:vAlign w:val="center"/>
            <w:hideMark/>
          </w:tcPr>
          <w:p w14:paraId="12E6E236" w14:textId="1CC7AC43" w:rsidR="0031658D" w:rsidRPr="00AC1638" w:rsidRDefault="0031658D" w:rsidP="000B69FA">
            <w:pPr>
              <w:spacing w:line="240" w:lineRule="auto"/>
              <w:rPr>
                <w:rFonts w:cs="Times New Roman"/>
                <w:b/>
                <w:bCs/>
                <w:color w:val="5B9BD5" w:themeColor="accent1"/>
                <w:sz w:val="20"/>
                <w:szCs w:val="20"/>
              </w:rPr>
            </w:pPr>
            <w:r>
              <w:rPr>
                <w:rFonts w:cs="Times New Roman"/>
                <w:b/>
                <w:bCs/>
                <w:color w:val="5B9BD5" w:themeColor="accent1"/>
                <w:sz w:val="20"/>
                <w:szCs w:val="20"/>
              </w:rPr>
              <w:t xml:space="preserve">Tabuľka 2 - </w:t>
            </w:r>
            <w:r w:rsidRPr="00AC1638">
              <w:rPr>
                <w:rFonts w:cs="Times New Roman"/>
                <w:b/>
                <w:bCs/>
                <w:color w:val="5B9BD5" w:themeColor="accent1"/>
                <w:sz w:val="20"/>
                <w:szCs w:val="20"/>
              </w:rPr>
              <w:t xml:space="preserve">Vývoj HDP a jeho hlavných zložiek </w:t>
            </w:r>
            <w:r>
              <w:rPr>
                <w:rFonts w:cs="Times New Roman"/>
                <w:b/>
                <w:bCs/>
                <w:color w:val="5B9BD5" w:themeColor="accent1"/>
                <w:sz w:val="20"/>
                <w:szCs w:val="20"/>
              </w:rPr>
              <w:t xml:space="preserve">        Graf 1 - </w:t>
            </w:r>
            <w:r w:rsidRPr="00AC1638">
              <w:rPr>
                <w:rFonts w:cs="Times New Roman"/>
                <w:b/>
                <w:bCs/>
                <w:color w:val="5B9BD5" w:themeColor="accent1"/>
                <w:sz w:val="20"/>
                <w:szCs w:val="20"/>
              </w:rPr>
              <w:t xml:space="preserve">Vývoj HDP a jeho hlavných zložiek </w:t>
            </w:r>
            <w:r>
              <w:rPr>
                <w:rFonts w:cs="Times New Roman"/>
                <w:b/>
                <w:bCs/>
                <w:color w:val="5B9BD5" w:themeColor="accent1"/>
                <w:sz w:val="20"/>
                <w:szCs w:val="20"/>
              </w:rPr>
              <w:t xml:space="preserve">              </w:t>
            </w:r>
          </w:p>
        </w:tc>
      </w:tr>
      <w:tr w:rsidR="0031658D" w:rsidRPr="00CD3F01" w14:paraId="579AD4C3" w14:textId="77777777" w:rsidTr="00A32E02">
        <w:trPr>
          <w:gridBefore w:val="1"/>
          <w:gridAfter w:val="2"/>
          <w:wBefore w:w="73" w:type="dxa"/>
          <w:wAfter w:w="459" w:type="dxa"/>
          <w:trHeight w:val="342"/>
        </w:trPr>
        <w:tc>
          <w:tcPr>
            <w:tcW w:w="2507" w:type="dxa"/>
            <w:gridSpan w:val="2"/>
            <w:tcBorders>
              <w:top w:val="nil"/>
              <w:left w:val="nil"/>
              <w:bottom w:val="single" w:sz="4" w:space="0" w:color="auto"/>
              <w:right w:val="nil"/>
            </w:tcBorders>
            <w:shd w:val="clear" w:color="auto" w:fill="auto"/>
            <w:vAlign w:val="center"/>
            <w:hideMark/>
          </w:tcPr>
          <w:p w14:paraId="16C6F6D6" w14:textId="77777777" w:rsidR="0031658D" w:rsidRPr="0031658D" w:rsidRDefault="0031658D" w:rsidP="00A32E02">
            <w:pPr>
              <w:spacing w:line="240" w:lineRule="auto"/>
              <w:jc w:val="center"/>
              <w:rPr>
                <w:rFonts w:cs="Times New Roman"/>
                <w:b/>
                <w:bCs/>
                <w:color w:val="000000"/>
                <w:sz w:val="18"/>
                <w:szCs w:val="18"/>
              </w:rPr>
            </w:pPr>
            <w:r w:rsidRPr="0031658D">
              <w:rPr>
                <w:rFonts w:cs="Times New Roman"/>
                <w:b/>
                <w:bCs/>
                <w:color w:val="000000"/>
                <w:sz w:val="18"/>
                <w:szCs w:val="16"/>
              </w:rPr>
              <w:t>reálny rast v %</w:t>
            </w:r>
          </w:p>
        </w:tc>
        <w:tc>
          <w:tcPr>
            <w:tcW w:w="601" w:type="dxa"/>
            <w:tcBorders>
              <w:top w:val="nil"/>
              <w:left w:val="nil"/>
              <w:bottom w:val="single" w:sz="4" w:space="0" w:color="auto"/>
              <w:right w:val="nil"/>
            </w:tcBorders>
            <w:shd w:val="clear" w:color="auto" w:fill="auto"/>
            <w:vAlign w:val="center"/>
            <w:hideMark/>
          </w:tcPr>
          <w:p w14:paraId="69F82384" w14:textId="77777777" w:rsidR="0031658D" w:rsidRPr="0031658D" w:rsidRDefault="0031658D" w:rsidP="00A32E02">
            <w:pPr>
              <w:spacing w:line="240" w:lineRule="auto"/>
              <w:jc w:val="center"/>
              <w:rPr>
                <w:rFonts w:cs="Times New Roman"/>
                <w:b/>
                <w:bCs/>
                <w:color w:val="000000"/>
                <w:sz w:val="18"/>
                <w:szCs w:val="18"/>
              </w:rPr>
            </w:pPr>
            <w:r w:rsidRPr="0031658D">
              <w:rPr>
                <w:rFonts w:cs="Times New Roman"/>
                <w:b/>
                <w:bCs/>
                <w:color w:val="000000"/>
                <w:sz w:val="18"/>
                <w:szCs w:val="16"/>
              </w:rPr>
              <w:t>2021</w:t>
            </w:r>
          </w:p>
        </w:tc>
        <w:tc>
          <w:tcPr>
            <w:tcW w:w="601" w:type="dxa"/>
            <w:tcBorders>
              <w:top w:val="nil"/>
              <w:left w:val="nil"/>
              <w:bottom w:val="single" w:sz="4" w:space="0" w:color="auto"/>
              <w:right w:val="nil"/>
            </w:tcBorders>
            <w:shd w:val="clear" w:color="auto" w:fill="auto"/>
            <w:vAlign w:val="center"/>
            <w:hideMark/>
          </w:tcPr>
          <w:p w14:paraId="6F776C7F" w14:textId="77777777" w:rsidR="0031658D" w:rsidRPr="0031658D" w:rsidRDefault="0031658D" w:rsidP="00A32E02">
            <w:pPr>
              <w:spacing w:line="240" w:lineRule="auto"/>
              <w:jc w:val="center"/>
              <w:rPr>
                <w:rFonts w:cs="Times New Roman"/>
                <w:b/>
                <w:bCs/>
                <w:color w:val="000000"/>
                <w:sz w:val="18"/>
                <w:szCs w:val="18"/>
              </w:rPr>
            </w:pPr>
            <w:r w:rsidRPr="0031658D">
              <w:rPr>
                <w:rFonts w:cs="Times New Roman"/>
                <w:b/>
                <w:bCs/>
                <w:color w:val="000000"/>
                <w:sz w:val="18"/>
                <w:szCs w:val="16"/>
              </w:rPr>
              <w:t>2022</w:t>
            </w:r>
          </w:p>
        </w:tc>
        <w:tc>
          <w:tcPr>
            <w:tcW w:w="576" w:type="dxa"/>
            <w:tcBorders>
              <w:top w:val="nil"/>
              <w:left w:val="nil"/>
              <w:bottom w:val="single" w:sz="4" w:space="0" w:color="auto"/>
              <w:right w:val="nil"/>
            </w:tcBorders>
            <w:shd w:val="clear" w:color="auto" w:fill="auto"/>
            <w:vAlign w:val="center"/>
            <w:hideMark/>
          </w:tcPr>
          <w:p w14:paraId="538A3368" w14:textId="77777777" w:rsidR="0031658D" w:rsidRPr="0031658D" w:rsidRDefault="0031658D" w:rsidP="00A32E02">
            <w:pPr>
              <w:spacing w:line="240" w:lineRule="auto"/>
              <w:jc w:val="center"/>
              <w:rPr>
                <w:rFonts w:cs="Times New Roman"/>
                <w:b/>
                <w:bCs/>
                <w:color w:val="000000"/>
                <w:sz w:val="18"/>
                <w:szCs w:val="18"/>
              </w:rPr>
            </w:pPr>
            <w:r w:rsidRPr="0031658D">
              <w:rPr>
                <w:rFonts w:cs="Times New Roman"/>
                <w:b/>
                <w:bCs/>
                <w:color w:val="000000"/>
                <w:sz w:val="18"/>
                <w:szCs w:val="16"/>
              </w:rPr>
              <w:t>2023</w:t>
            </w:r>
          </w:p>
        </w:tc>
        <w:tc>
          <w:tcPr>
            <w:tcW w:w="4730" w:type="dxa"/>
            <w:gridSpan w:val="2"/>
            <w:vMerge w:val="restart"/>
            <w:tcBorders>
              <w:top w:val="nil"/>
              <w:left w:val="nil"/>
              <w:bottom w:val="single" w:sz="4" w:space="0" w:color="auto"/>
              <w:right w:val="nil"/>
            </w:tcBorders>
            <w:shd w:val="clear" w:color="auto" w:fill="auto"/>
            <w:vAlign w:val="center"/>
            <w:hideMark/>
          </w:tcPr>
          <w:p w14:paraId="77E2EC94" w14:textId="77777777" w:rsidR="0031658D" w:rsidRPr="00CD3F01" w:rsidRDefault="0031658D" w:rsidP="0031658D">
            <w:pPr>
              <w:jc w:val="center"/>
              <w:rPr>
                <w:rFonts w:ascii="Arial Narrow" w:hAnsi="Arial Narrow"/>
                <w:b/>
                <w:bCs/>
                <w:color w:val="000000"/>
                <w:sz w:val="18"/>
                <w:szCs w:val="18"/>
              </w:rPr>
            </w:pPr>
            <w:r w:rsidRPr="00CD3F01">
              <w:rPr>
                <w:noProof/>
                <w:lang w:eastAsia="sk-SK"/>
              </w:rPr>
              <w:drawing>
                <wp:inline distT="0" distB="0" distL="0" distR="0" wp14:anchorId="7B452C6E" wp14:editId="494585F3">
                  <wp:extent cx="2891270" cy="2085975"/>
                  <wp:effectExtent l="0" t="0" r="4445" b="0"/>
                  <wp:docPr id="2" name="Graf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1658D" w:rsidRPr="00CD3F01" w14:paraId="243B5FA5" w14:textId="77777777" w:rsidTr="00F44196">
        <w:trPr>
          <w:gridBefore w:val="1"/>
          <w:gridAfter w:val="2"/>
          <w:wBefore w:w="73" w:type="dxa"/>
          <w:wAfter w:w="459" w:type="dxa"/>
          <w:trHeight w:val="342"/>
        </w:trPr>
        <w:tc>
          <w:tcPr>
            <w:tcW w:w="2507" w:type="dxa"/>
            <w:gridSpan w:val="2"/>
            <w:tcBorders>
              <w:top w:val="nil"/>
              <w:left w:val="nil"/>
              <w:bottom w:val="nil"/>
              <w:right w:val="nil"/>
            </w:tcBorders>
            <w:shd w:val="clear" w:color="auto" w:fill="auto"/>
            <w:vAlign w:val="center"/>
            <w:hideMark/>
          </w:tcPr>
          <w:p w14:paraId="69E1255D" w14:textId="77777777" w:rsidR="0031658D" w:rsidRPr="0031658D" w:rsidRDefault="0031658D" w:rsidP="00F44196">
            <w:pPr>
              <w:spacing w:after="0" w:line="240" w:lineRule="auto"/>
              <w:rPr>
                <w:rFonts w:cs="Times New Roman"/>
                <w:b/>
                <w:bCs/>
                <w:color w:val="000000"/>
                <w:sz w:val="18"/>
                <w:szCs w:val="18"/>
              </w:rPr>
            </w:pPr>
            <w:r w:rsidRPr="0031658D">
              <w:rPr>
                <w:rFonts w:cs="Times New Roman"/>
                <w:b/>
                <w:bCs/>
                <w:color w:val="000000"/>
                <w:sz w:val="18"/>
                <w:szCs w:val="18"/>
              </w:rPr>
              <w:t>HDP</w:t>
            </w:r>
          </w:p>
        </w:tc>
        <w:tc>
          <w:tcPr>
            <w:tcW w:w="601" w:type="dxa"/>
            <w:tcBorders>
              <w:top w:val="nil"/>
              <w:left w:val="nil"/>
              <w:bottom w:val="nil"/>
              <w:right w:val="nil"/>
            </w:tcBorders>
            <w:shd w:val="clear" w:color="auto" w:fill="auto"/>
            <w:vAlign w:val="center"/>
            <w:hideMark/>
          </w:tcPr>
          <w:p w14:paraId="7D634988" w14:textId="77777777" w:rsidR="0031658D" w:rsidRPr="0031658D" w:rsidRDefault="0031658D" w:rsidP="00F44196">
            <w:pPr>
              <w:spacing w:after="0" w:line="240" w:lineRule="auto"/>
              <w:jc w:val="center"/>
              <w:rPr>
                <w:rFonts w:cs="Times New Roman"/>
                <w:sz w:val="18"/>
              </w:rPr>
            </w:pPr>
            <w:r w:rsidRPr="0031658D">
              <w:rPr>
                <w:rFonts w:cs="Times New Roman"/>
                <w:sz w:val="18"/>
              </w:rPr>
              <w:t>4,8</w:t>
            </w:r>
          </w:p>
        </w:tc>
        <w:tc>
          <w:tcPr>
            <w:tcW w:w="601" w:type="dxa"/>
            <w:tcBorders>
              <w:top w:val="nil"/>
              <w:left w:val="nil"/>
              <w:bottom w:val="nil"/>
              <w:right w:val="nil"/>
            </w:tcBorders>
            <w:shd w:val="clear" w:color="auto" w:fill="auto"/>
            <w:vAlign w:val="center"/>
            <w:hideMark/>
          </w:tcPr>
          <w:p w14:paraId="6508E40F" w14:textId="31C20984" w:rsidR="0031658D" w:rsidRPr="0031658D" w:rsidRDefault="006C1451" w:rsidP="00F44196">
            <w:pPr>
              <w:spacing w:after="0" w:line="240" w:lineRule="auto"/>
              <w:jc w:val="center"/>
              <w:rPr>
                <w:rFonts w:cs="Times New Roman"/>
                <w:sz w:val="18"/>
              </w:rPr>
            </w:pPr>
            <w:r>
              <w:rPr>
                <w:rFonts w:cs="Times New Roman"/>
                <w:sz w:val="18"/>
              </w:rPr>
              <w:t>1,9</w:t>
            </w:r>
          </w:p>
        </w:tc>
        <w:tc>
          <w:tcPr>
            <w:tcW w:w="576" w:type="dxa"/>
            <w:tcBorders>
              <w:top w:val="nil"/>
              <w:left w:val="nil"/>
              <w:bottom w:val="nil"/>
              <w:right w:val="nil"/>
            </w:tcBorders>
            <w:shd w:val="clear" w:color="auto" w:fill="auto"/>
            <w:vAlign w:val="center"/>
            <w:hideMark/>
          </w:tcPr>
          <w:p w14:paraId="212204D1" w14:textId="28D6C364" w:rsidR="0031658D" w:rsidRPr="0031658D" w:rsidRDefault="006C1451" w:rsidP="00F44196">
            <w:pPr>
              <w:spacing w:after="0" w:line="240" w:lineRule="auto"/>
              <w:jc w:val="center"/>
              <w:rPr>
                <w:rFonts w:cs="Times New Roman"/>
                <w:sz w:val="18"/>
              </w:rPr>
            </w:pPr>
            <w:r>
              <w:rPr>
                <w:rFonts w:cs="Times New Roman"/>
                <w:sz w:val="18"/>
              </w:rPr>
              <w:t>1,6</w:t>
            </w:r>
          </w:p>
        </w:tc>
        <w:tc>
          <w:tcPr>
            <w:tcW w:w="4730" w:type="dxa"/>
            <w:gridSpan w:val="2"/>
            <w:vMerge/>
            <w:tcBorders>
              <w:top w:val="nil"/>
              <w:left w:val="nil"/>
              <w:bottom w:val="single" w:sz="4" w:space="0" w:color="auto"/>
              <w:right w:val="nil"/>
            </w:tcBorders>
            <w:vAlign w:val="center"/>
            <w:hideMark/>
          </w:tcPr>
          <w:p w14:paraId="311F98F3" w14:textId="77777777" w:rsidR="0031658D" w:rsidRPr="00CD3F01" w:rsidRDefault="0031658D" w:rsidP="00F44196">
            <w:pPr>
              <w:spacing w:after="0" w:line="240" w:lineRule="auto"/>
              <w:rPr>
                <w:rFonts w:ascii="Arial Narrow" w:hAnsi="Arial Narrow"/>
                <w:b/>
                <w:bCs/>
                <w:color w:val="000000"/>
                <w:sz w:val="18"/>
                <w:szCs w:val="18"/>
              </w:rPr>
            </w:pPr>
          </w:p>
        </w:tc>
      </w:tr>
      <w:tr w:rsidR="0031658D" w:rsidRPr="00CD3F01" w14:paraId="3B434C7B" w14:textId="77777777" w:rsidTr="0031658D">
        <w:trPr>
          <w:gridBefore w:val="1"/>
          <w:gridAfter w:val="2"/>
          <w:wBefore w:w="73" w:type="dxa"/>
          <w:wAfter w:w="459" w:type="dxa"/>
          <w:trHeight w:val="342"/>
        </w:trPr>
        <w:tc>
          <w:tcPr>
            <w:tcW w:w="1553" w:type="dxa"/>
            <w:tcBorders>
              <w:top w:val="nil"/>
              <w:left w:val="nil"/>
              <w:bottom w:val="nil"/>
              <w:right w:val="nil"/>
            </w:tcBorders>
            <w:shd w:val="clear" w:color="auto" w:fill="auto"/>
            <w:vAlign w:val="center"/>
            <w:hideMark/>
          </w:tcPr>
          <w:p w14:paraId="14D10DB8" w14:textId="77777777" w:rsidR="0031658D" w:rsidRPr="0031658D" w:rsidRDefault="0031658D" w:rsidP="00F44196">
            <w:pPr>
              <w:spacing w:after="0" w:line="240" w:lineRule="auto"/>
              <w:rPr>
                <w:rFonts w:cs="Times New Roman"/>
                <w:color w:val="000000"/>
                <w:sz w:val="18"/>
                <w:szCs w:val="18"/>
              </w:rPr>
            </w:pPr>
            <w:r w:rsidRPr="0031658D">
              <w:rPr>
                <w:rFonts w:cs="Times New Roman"/>
                <w:color w:val="000000"/>
                <w:sz w:val="18"/>
                <w:szCs w:val="18"/>
              </w:rPr>
              <w:t>z toho:</w:t>
            </w:r>
          </w:p>
        </w:tc>
        <w:tc>
          <w:tcPr>
            <w:tcW w:w="1555" w:type="dxa"/>
            <w:gridSpan w:val="2"/>
            <w:tcBorders>
              <w:top w:val="nil"/>
              <w:left w:val="nil"/>
              <w:bottom w:val="nil"/>
              <w:right w:val="nil"/>
            </w:tcBorders>
            <w:shd w:val="clear" w:color="auto" w:fill="auto"/>
            <w:vAlign w:val="center"/>
            <w:hideMark/>
          </w:tcPr>
          <w:p w14:paraId="3307F7FA" w14:textId="77777777" w:rsidR="0031658D" w:rsidRPr="0031658D" w:rsidRDefault="0031658D" w:rsidP="00F44196">
            <w:pPr>
              <w:spacing w:after="0" w:line="240" w:lineRule="auto"/>
              <w:jc w:val="center"/>
              <w:rPr>
                <w:rFonts w:cs="Times New Roman"/>
                <w:sz w:val="18"/>
              </w:rPr>
            </w:pPr>
          </w:p>
        </w:tc>
        <w:tc>
          <w:tcPr>
            <w:tcW w:w="601" w:type="dxa"/>
            <w:tcBorders>
              <w:top w:val="nil"/>
              <w:left w:val="nil"/>
              <w:bottom w:val="nil"/>
              <w:right w:val="nil"/>
            </w:tcBorders>
            <w:shd w:val="clear" w:color="auto" w:fill="auto"/>
            <w:vAlign w:val="center"/>
            <w:hideMark/>
          </w:tcPr>
          <w:p w14:paraId="53C10B22" w14:textId="77777777" w:rsidR="0031658D" w:rsidRPr="0031658D" w:rsidRDefault="0031658D" w:rsidP="00F44196">
            <w:pPr>
              <w:spacing w:after="0" w:line="240" w:lineRule="auto"/>
              <w:jc w:val="center"/>
              <w:rPr>
                <w:rFonts w:cs="Times New Roman"/>
                <w:sz w:val="18"/>
              </w:rPr>
            </w:pPr>
          </w:p>
        </w:tc>
        <w:tc>
          <w:tcPr>
            <w:tcW w:w="576" w:type="dxa"/>
            <w:tcBorders>
              <w:top w:val="nil"/>
              <w:left w:val="nil"/>
              <w:bottom w:val="nil"/>
              <w:right w:val="nil"/>
            </w:tcBorders>
            <w:shd w:val="clear" w:color="auto" w:fill="auto"/>
            <w:vAlign w:val="center"/>
            <w:hideMark/>
          </w:tcPr>
          <w:p w14:paraId="2FD504F9" w14:textId="77777777" w:rsidR="0031658D" w:rsidRPr="0031658D" w:rsidRDefault="0031658D" w:rsidP="00F44196">
            <w:pPr>
              <w:spacing w:after="0" w:line="240" w:lineRule="auto"/>
              <w:jc w:val="center"/>
              <w:rPr>
                <w:rFonts w:cs="Times New Roman"/>
                <w:sz w:val="18"/>
              </w:rPr>
            </w:pPr>
          </w:p>
        </w:tc>
        <w:tc>
          <w:tcPr>
            <w:tcW w:w="4730" w:type="dxa"/>
            <w:gridSpan w:val="2"/>
            <w:vMerge/>
            <w:tcBorders>
              <w:top w:val="nil"/>
              <w:left w:val="nil"/>
              <w:bottom w:val="single" w:sz="4" w:space="0" w:color="auto"/>
              <w:right w:val="nil"/>
            </w:tcBorders>
            <w:vAlign w:val="center"/>
            <w:hideMark/>
          </w:tcPr>
          <w:p w14:paraId="1A2C9455" w14:textId="77777777" w:rsidR="0031658D" w:rsidRPr="00CD3F01" w:rsidRDefault="0031658D" w:rsidP="0031658D">
            <w:pPr>
              <w:rPr>
                <w:rFonts w:ascii="Arial Narrow" w:hAnsi="Arial Narrow"/>
                <w:b/>
                <w:bCs/>
                <w:color w:val="000000"/>
                <w:sz w:val="18"/>
                <w:szCs w:val="18"/>
              </w:rPr>
            </w:pPr>
          </w:p>
        </w:tc>
      </w:tr>
      <w:tr w:rsidR="0031658D" w:rsidRPr="00CD3F01" w14:paraId="174DC6DF" w14:textId="77777777" w:rsidTr="00F44196">
        <w:trPr>
          <w:gridBefore w:val="1"/>
          <w:gridAfter w:val="2"/>
          <w:wBefore w:w="73" w:type="dxa"/>
          <w:wAfter w:w="459" w:type="dxa"/>
          <w:trHeight w:val="342"/>
        </w:trPr>
        <w:tc>
          <w:tcPr>
            <w:tcW w:w="2507" w:type="dxa"/>
            <w:gridSpan w:val="2"/>
            <w:tcBorders>
              <w:top w:val="nil"/>
              <w:left w:val="nil"/>
              <w:bottom w:val="nil"/>
              <w:right w:val="nil"/>
            </w:tcBorders>
            <w:shd w:val="clear" w:color="auto" w:fill="auto"/>
            <w:vAlign w:val="center"/>
            <w:hideMark/>
          </w:tcPr>
          <w:p w14:paraId="1FD9EF17" w14:textId="77777777" w:rsidR="0031658D" w:rsidRPr="0031658D" w:rsidRDefault="0031658D" w:rsidP="00F44196">
            <w:pPr>
              <w:spacing w:after="0" w:line="240" w:lineRule="auto"/>
              <w:rPr>
                <w:rFonts w:cs="Times New Roman"/>
                <w:color w:val="000000"/>
                <w:sz w:val="18"/>
                <w:szCs w:val="18"/>
              </w:rPr>
            </w:pPr>
            <w:r w:rsidRPr="0031658D">
              <w:rPr>
                <w:rFonts w:cs="Times New Roman"/>
                <w:bCs/>
                <w:color w:val="000000"/>
                <w:sz w:val="18"/>
                <w:szCs w:val="18"/>
              </w:rPr>
              <w:t xml:space="preserve">  Konečná spotreba domácností</w:t>
            </w:r>
          </w:p>
        </w:tc>
        <w:tc>
          <w:tcPr>
            <w:tcW w:w="601" w:type="dxa"/>
            <w:tcBorders>
              <w:top w:val="nil"/>
              <w:left w:val="nil"/>
              <w:bottom w:val="nil"/>
              <w:right w:val="nil"/>
            </w:tcBorders>
            <w:shd w:val="clear" w:color="auto" w:fill="auto"/>
            <w:vAlign w:val="center"/>
            <w:hideMark/>
          </w:tcPr>
          <w:p w14:paraId="06B6081F" w14:textId="77777777" w:rsidR="0031658D" w:rsidRPr="0031658D" w:rsidRDefault="0031658D" w:rsidP="00F44196">
            <w:pPr>
              <w:spacing w:after="0" w:line="240" w:lineRule="auto"/>
              <w:jc w:val="center"/>
              <w:rPr>
                <w:rFonts w:cs="Times New Roman"/>
                <w:sz w:val="18"/>
              </w:rPr>
            </w:pPr>
            <w:r w:rsidRPr="0031658D">
              <w:rPr>
                <w:rFonts w:cs="Times New Roman"/>
                <w:sz w:val="18"/>
              </w:rPr>
              <w:t>2,6</w:t>
            </w:r>
          </w:p>
        </w:tc>
        <w:tc>
          <w:tcPr>
            <w:tcW w:w="601" w:type="dxa"/>
            <w:tcBorders>
              <w:top w:val="nil"/>
              <w:left w:val="nil"/>
              <w:bottom w:val="nil"/>
              <w:right w:val="nil"/>
            </w:tcBorders>
            <w:shd w:val="clear" w:color="auto" w:fill="auto"/>
            <w:vAlign w:val="center"/>
            <w:hideMark/>
          </w:tcPr>
          <w:p w14:paraId="10623AAC" w14:textId="61E3019E" w:rsidR="0031658D" w:rsidRPr="0031658D" w:rsidRDefault="006C1451" w:rsidP="00F44196">
            <w:pPr>
              <w:spacing w:after="0" w:line="240" w:lineRule="auto"/>
              <w:jc w:val="center"/>
              <w:rPr>
                <w:rFonts w:cs="Times New Roman"/>
                <w:sz w:val="18"/>
              </w:rPr>
            </w:pPr>
            <w:r>
              <w:rPr>
                <w:rFonts w:cs="Times New Roman"/>
                <w:sz w:val="18"/>
              </w:rPr>
              <w:t>6,2</w:t>
            </w:r>
          </w:p>
        </w:tc>
        <w:tc>
          <w:tcPr>
            <w:tcW w:w="576" w:type="dxa"/>
            <w:tcBorders>
              <w:top w:val="nil"/>
              <w:left w:val="nil"/>
              <w:bottom w:val="nil"/>
              <w:right w:val="nil"/>
            </w:tcBorders>
            <w:shd w:val="clear" w:color="auto" w:fill="auto"/>
            <w:vAlign w:val="center"/>
            <w:hideMark/>
          </w:tcPr>
          <w:p w14:paraId="23718ECF" w14:textId="025A8564" w:rsidR="0031658D" w:rsidRPr="0031658D" w:rsidRDefault="006C1451" w:rsidP="006C1451">
            <w:pPr>
              <w:spacing w:after="0" w:line="240" w:lineRule="auto"/>
              <w:jc w:val="center"/>
              <w:rPr>
                <w:rFonts w:cs="Times New Roman"/>
                <w:sz w:val="18"/>
              </w:rPr>
            </w:pPr>
            <w:r>
              <w:rPr>
                <w:rFonts w:cs="Times New Roman"/>
                <w:sz w:val="18"/>
              </w:rPr>
              <w:t>-3,1</w:t>
            </w:r>
          </w:p>
        </w:tc>
        <w:tc>
          <w:tcPr>
            <w:tcW w:w="4730" w:type="dxa"/>
            <w:gridSpan w:val="2"/>
            <w:vMerge/>
            <w:tcBorders>
              <w:top w:val="nil"/>
              <w:left w:val="nil"/>
              <w:bottom w:val="single" w:sz="4" w:space="0" w:color="auto"/>
              <w:right w:val="nil"/>
            </w:tcBorders>
            <w:vAlign w:val="center"/>
            <w:hideMark/>
          </w:tcPr>
          <w:p w14:paraId="56806920" w14:textId="77777777" w:rsidR="0031658D" w:rsidRPr="00CD3F01" w:rsidRDefault="0031658D" w:rsidP="0031658D">
            <w:pPr>
              <w:rPr>
                <w:rFonts w:ascii="Arial Narrow" w:hAnsi="Arial Narrow"/>
                <w:b/>
                <w:bCs/>
                <w:color w:val="000000"/>
                <w:sz w:val="18"/>
                <w:szCs w:val="18"/>
              </w:rPr>
            </w:pPr>
          </w:p>
        </w:tc>
      </w:tr>
      <w:tr w:rsidR="0031658D" w:rsidRPr="00CD3F01" w14:paraId="16DB7675" w14:textId="77777777" w:rsidTr="00F44196">
        <w:trPr>
          <w:gridBefore w:val="1"/>
          <w:gridAfter w:val="2"/>
          <w:wBefore w:w="73" w:type="dxa"/>
          <w:wAfter w:w="459" w:type="dxa"/>
          <w:trHeight w:val="342"/>
        </w:trPr>
        <w:tc>
          <w:tcPr>
            <w:tcW w:w="2507" w:type="dxa"/>
            <w:gridSpan w:val="2"/>
            <w:tcBorders>
              <w:top w:val="nil"/>
              <w:left w:val="nil"/>
              <w:bottom w:val="nil"/>
              <w:right w:val="nil"/>
            </w:tcBorders>
            <w:shd w:val="clear" w:color="auto" w:fill="auto"/>
            <w:vAlign w:val="center"/>
            <w:hideMark/>
          </w:tcPr>
          <w:p w14:paraId="1DD30F1D" w14:textId="77777777" w:rsidR="0031658D" w:rsidRPr="0031658D" w:rsidRDefault="0031658D" w:rsidP="00F44196">
            <w:pPr>
              <w:spacing w:after="0" w:line="240" w:lineRule="auto"/>
              <w:rPr>
                <w:rFonts w:cs="Times New Roman"/>
                <w:color w:val="000000"/>
                <w:sz w:val="18"/>
                <w:szCs w:val="18"/>
              </w:rPr>
            </w:pPr>
            <w:r w:rsidRPr="0031658D">
              <w:rPr>
                <w:rFonts w:cs="Times New Roman"/>
                <w:bCs/>
                <w:color w:val="000000"/>
                <w:sz w:val="18"/>
                <w:szCs w:val="18"/>
              </w:rPr>
              <w:t xml:space="preserve">  Konečná spotreba ver. správy</w:t>
            </w:r>
          </w:p>
        </w:tc>
        <w:tc>
          <w:tcPr>
            <w:tcW w:w="601" w:type="dxa"/>
            <w:tcBorders>
              <w:top w:val="nil"/>
              <w:left w:val="nil"/>
              <w:bottom w:val="nil"/>
              <w:right w:val="nil"/>
            </w:tcBorders>
            <w:shd w:val="clear" w:color="auto" w:fill="auto"/>
            <w:vAlign w:val="center"/>
            <w:hideMark/>
          </w:tcPr>
          <w:p w14:paraId="44F7848E" w14:textId="77777777" w:rsidR="0031658D" w:rsidRPr="0031658D" w:rsidRDefault="0031658D" w:rsidP="00F44196">
            <w:pPr>
              <w:spacing w:after="0" w:line="240" w:lineRule="auto"/>
              <w:jc w:val="center"/>
              <w:rPr>
                <w:rFonts w:cs="Times New Roman"/>
                <w:sz w:val="18"/>
              </w:rPr>
            </w:pPr>
            <w:r w:rsidRPr="0031658D">
              <w:rPr>
                <w:rFonts w:cs="Times New Roman"/>
                <w:sz w:val="18"/>
              </w:rPr>
              <w:t>4,2</w:t>
            </w:r>
          </w:p>
        </w:tc>
        <w:tc>
          <w:tcPr>
            <w:tcW w:w="601" w:type="dxa"/>
            <w:tcBorders>
              <w:top w:val="nil"/>
              <w:left w:val="nil"/>
              <w:bottom w:val="nil"/>
              <w:right w:val="nil"/>
            </w:tcBorders>
            <w:shd w:val="clear" w:color="auto" w:fill="auto"/>
            <w:vAlign w:val="center"/>
            <w:hideMark/>
          </w:tcPr>
          <w:p w14:paraId="66A51E31" w14:textId="4DFFEB36" w:rsidR="0031658D" w:rsidRPr="0031658D" w:rsidRDefault="006C1451" w:rsidP="00F44196">
            <w:pPr>
              <w:spacing w:after="0" w:line="240" w:lineRule="auto"/>
              <w:jc w:val="center"/>
              <w:rPr>
                <w:rFonts w:cs="Times New Roman"/>
                <w:sz w:val="18"/>
              </w:rPr>
            </w:pPr>
            <w:r>
              <w:rPr>
                <w:rFonts w:cs="Times New Roman"/>
                <w:sz w:val="18"/>
              </w:rPr>
              <w:t>-4,5</w:t>
            </w:r>
          </w:p>
        </w:tc>
        <w:tc>
          <w:tcPr>
            <w:tcW w:w="576" w:type="dxa"/>
            <w:tcBorders>
              <w:top w:val="nil"/>
              <w:left w:val="nil"/>
              <w:bottom w:val="nil"/>
              <w:right w:val="nil"/>
            </w:tcBorders>
            <w:shd w:val="clear" w:color="auto" w:fill="auto"/>
            <w:vAlign w:val="center"/>
            <w:hideMark/>
          </w:tcPr>
          <w:p w14:paraId="67841923" w14:textId="61F5248C" w:rsidR="0031658D" w:rsidRPr="0031658D" w:rsidRDefault="006C1451" w:rsidP="00F44196">
            <w:pPr>
              <w:spacing w:after="0" w:line="240" w:lineRule="auto"/>
              <w:jc w:val="center"/>
              <w:rPr>
                <w:rFonts w:cs="Times New Roman"/>
                <w:sz w:val="18"/>
              </w:rPr>
            </w:pPr>
            <w:r>
              <w:rPr>
                <w:rFonts w:cs="Times New Roman"/>
                <w:sz w:val="18"/>
              </w:rPr>
              <w:t>-0,6</w:t>
            </w:r>
          </w:p>
        </w:tc>
        <w:tc>
          <w:tcPr>
            <w:tcW w:w="4730" w:type="dxa"/>
            <w:gridSpan w:val="2"/>
            <w:vMerge/>
            <w:tcBorders>
              <w:top w:val="nil"/>
              <w:left w:val="nil"/>
              <w:bottom w:val="single" w:sz="4" w:space="0" w:color="auto"/>
              <w:right w:val="nil"/>
            </w:tcBorders>
            <w:vAlign w:val="center"/>
            <w:hideMark/>
          </w:tcPr>
          <w:p w14:paraId="51C53DAA" w14:textId="77777777" w:rsidR="0031658D" w:rsidRPr="00CD3F01" w:rsidRDefault="0031658D" w:rsidP="0031658D">
            <w:pPr>
              <w:rPr>
                <w:rFonts w:ascii="Arial Narrow" w:hAnsi="Arial Narrow"/>
                <w:b/>
                <w:bCs/>
                <w:color w:val="000000"/>
                <w:sz w:val="18"/>
                <w:szCs w:val="18"/>
              </w:rPr>
            </w:pPr>
          </w:p>
        </w:tc>
      </w:tr>
      <w:tr w:rsidR="0031658D" w:rsidRPr="00CD3F01" w14:paraId="68E8B09D" w14:textId="77777777" w:rsidTr="00F44196">
        <w:trPr>
          <w:gridBefore w:val="1"/>
          <w:gridAfter w:val="2"/>
          <w:wBefore w:w="73" w:type="dxa"/>
          <w:wAfter w:w="459" w:type="dxa"/>
          <w:trHeight w:val="342"/>
        </w:trPr>
        <w:tc>
          <w:tcPr>
            <w:tcW w:w="2507" w:type="dxa"/>
            <w:gridSpan w:val="2"/>
            <w:tcBorders>
              <w:top w:val="nil"/>
              <w:left w:val="nil"/>
              <w:bottom w:val="nil"/>
              <w:right w:val="nil"/>
            </w:tcBorders>
            <w:shd w:val="clear" w:color="auto" w:fill="auto"/>
            <w:vAlign w:val="center"/>
            <w:hideMark/>
          </w:tcPr>
          <w:p w14:paraId="7C5C15DB" w14:textId="77777777" w:rsidR="0031658D" w:rsidRPr="0031658D" w:rsidRDefault="0031658D" w:rsidP="00F44196">
            <w:pPr>
              <w:spacing w:after="0" w:line="240" w:lineRule="auto"/>
              <w:rPr>
                <w:rFonts w:cs="Times New Roman"/>
                <w:color w:val="000000"/>
                <w:sz w:val="18"/>
                <w:szCs w:val="18"/>
              </w:rPr>
            </w:pPr>
            <w:r w:rsidRPr="0031658D">
              <w:rPr>
                <w:rFonts w:cs="Times New Roman"/>
                <w:color w:val="000000"/>
                <w:sz w:val="18"/>
                <w:szCs w:val="18"/>
              </w:rPr>
              <w:t xml:space="preserve">  Tvorba hrubého fixného kapitálu</w:t>
            </w:r>
          </w:p>
        </w:tc>
        <w:tc>
          <w:tcPr>
            <w:tcW w:w="601" w:type="dxa"/>
            <w:tcBorders>
              <w:top w:val="nil"/>
              <w:left w:val="nil"/>
              <w:bottom w:val="nil"/>
              <w:right w:val="nil"/>
            </w:tcBorders>
            <w:shd w:val="clear" w:color="auto" w:fill="auto"/>
            <w:vAlign w:val="center"/>
            <w:hideMark/>
          </w:tcPr>
          <w:p w14:paraId="73BF6AF7" w14:textId="77777777" w:rsidR="0031658D" w:rsidRPr="0031658D" w:rsidRDefault="0031658D" w:rsidP="00F44196">
            <w:pPr>
              <w:spacing w:after="0" w:line="240" w:lineRule="auto"/>
              <w:jc w:val="center"/>
              <w:rPr>
                <w:rFonts w:cs="Times New Roman"/>
                <w:sz w:val="18"/>
              </w:rPr>
            </w:pPr>
            <w:r w:rsidRPr="0031658D">
              <w:rPr>
                <w:rFonts w:cs="Times New Roman"/>
                <w:sz w:val="18"/>
              </w:rPr>
              <w:t>3,5</w:t>
            </w:r>
          </w:p>
        </w:tc>
        <w:tc>
          <w:tcPr>
            <w:tcW w:w="601" w:type="dxa"/>
            <w:tcBorders>
              <w:top w:val="nil"/>
              <w:left w:val="nil"/>
              <w:bottom w:val="nil"/>
              <w:right w:val="nil"/>
            </w:tcBorders>
            <w:shd w:val="clear" w:color="auto" w:fill="auto"/>
            <w:vAlign w:val="center"/>
            <w:hideMark/>
          </w:tcPr>
          <w:p w14:paraId="1177820A" w14:textId="529A65FF" w:rsidR="0031658D" w:rsidRPr="0031658D" w:rsidRDefault="006C1451" w:rsidP="006C1451">
            <w:pPr>
              <w:spacing w:after="0" w:line="240" w:lineRule="auto"/>
              <w:jc w:val="center"/>
              <w:rPr>
                <w:rFonts w:cs="Times New Roman"/>
                <w:sz w:val="18"/>
              </w:rPr>
            </w:pPr>
            <w:r>
              <w:rPr>
                <w:rFonts w:cs="Times New Roman"/>
                <w:sz w:val="18"/>
              </w:rPr>
              <w:t>5</w:t>
            </w:r>
            <w:r w:rsidR="0031658D" w:rsidRPr="0031658D">
              <w:rPr>
                <w:rFonts w:cs="Times New Roman"/>
                <w:sz w:val="18"/>
              </w:rPr>
              <w:t>,</w:t>
            </w:r>
            <w:r>
              <w:rPr>
                <w:rFonts w:cs="Times New Roman"/>
                <w:sz w:val="18"/>
              </w:rPr>
              <w:t>7</w:t>
            </w:r>
          </w:p>
        </w:tc>
        <w:tc>
          <w:tcPr>
            <w:tcW w:w="576" w:type="dxa"/>
            <w:tcBorders>
              <w:top w:val="nil"/>
              <w:left w:val="nil"/>
              <w:bottom w:val="nil"/>
              <w:right w:val="nil"/>
            </w:tcBorders>
            <w:shd w:val="clear" w:color="auto" w:fill="auto"/>
            <w:vAlign w:val="center"/>
            <w:hideMark/>
          </w:tcPr>
          <w:p w14:paraId="30C47A4C" w14:textId="1D4B1313" w:rsidR="0031658D" w:rsidRPr="0031658D" w:rsidRDefault="006C1451" w:rsidP="00F44196">
            <w:pPr>
              <w:spacing w:after="0" w:line="240" w:lineRule="auto"/>
              <w:jc w:val="center"/>
              <w:rPr>
                <w:rFonts w:cs="Times New Roman"/>
                <w:sz w:val="18"/>
              </w:rPr>
            </w:pPr>
            <w:r>
              <w:rPr>
                <w:rFonts w:cs="Times New Roman"/>
                <w:sz w:val="18"/>
              </w:rPr>
              <w:t>10</w:t>
            </w:r>
            <w:r w:rsidR="0031658D" w:rsidRPr="0031658D">
              <w:rPr>
                <w:rFonts w:cs="Times New Roman"/>
                <w:sz w:val="18"/>
              </w:rPr>
              <w:t>,6</w:t>
            </w:r>
          </w:p>
        </w:tc>
        <w:tc>
          <w:tcPr>
            <w:tcW w:w="4730" w:type="dxa"/>
            <w:gridSpan w:val="2"/>
            <w:vMerge/>
            <w:tcBorders>
              <w:top w:val="nil"/>
              <w:left w:val="nil"/>
              <w:bottom w:val="single" w:sz="4" w:space="0" w:color="auto"/>
              <w:right w:val="nil"/>
            </w:tcBorders>
            <w:vAlign w:val="center"/>
            <w:hideMark/>
          </w:tcPr>
          <w:p w14:paraId="7C948614" w14:textId="77777777" w:rsidR="0031658D" w:rsidRPr="00CD3F01" w:rsidRDefault="0031658D" w:rsidP="0031658D">
            <w:pPr>
              <w:rPr>
                <w:rFonts w:ascii="Arial Narrow" w:hAnsi="Arial Narrow"/>
                <w:b/>
                <w:bCs/>
                <w:color w:val="000000"/>
                <w:sz w:val="18"/>
                <w:szCs w:val="18"/>
              </w:rPr>
            </w:pPr>
          </w:p>
        </w:tc>
      </w:tr>
      <w:tr w:rsidR="0031658D" w:rsidRPr="00CD3F01" w14:paraId="30A3425C" w14:textId="77777777" w:rsidTr="00F44196">
        <w:trPr>
          <w:gridBefore w:val="1"/>
          <w:gridAfter w:val="2"/>
          <w:wBefore w:w="73" w:type="dxa"/>
          <w:wAfter w:w="459" w:type="dxa"/>
          <w:trHeight w:val="342"/>
        </w:trPr>
        <w:tc>
          <w:tcPr>
            <w:tcW w:w="2507" w:type="dxa"/>
            <w:gridSpan w:val="2"/>
            <w:tcBorders>
              <w:top w:val="nil"/>
              <w:left w:val="nil"/>
              <w:bottom w:val="nil"/>
              <w:right w:val="nil"/>
            </w:tcBorders>
            <w:shd w:val="clear" w:color="auto" w:fill="auto"/>
            <w:vAlign w:val="center"/>
            <w:hideMark/>
          </w:tcPr>
          <w:p w14:paraId="41CC60E9" w14:textId="77777777" w:rsidR="0031658D" w:rsidRPr="0031658D" w:rsidRDefault="0031658D" w:rsidP="00F44196">
            <w:pPr>
              <w:spacing w:after="0" w:line="240" w:lineRule="auto"/>
              <w:rPr>
                <w:rFonts w:cs="Times New Roman"/>
                <w:color w:val="000000"/>
                <w:sz w:val="18"/>
                <w:szCs w:val="18"/>
              </w:rPr>
            </w:pPr>
            <w:r w:rsidRPr="0031658D">
              <w:rPr>
                <w:rFonts w:cs="Times New Roman"/>
                <w:bCs/>
                <w:color w:val="000000"/>
                <w:sz w:val="18"/>
                <w:szCs w:val="18"/>
              </w:rPr>
              <w:t xml:space="preserve">  Vývoz výrobkov a služieb</w:t>
            </w:r>
          </w:p>
        </w:tc>
        <w:tc>
          <w:tcPr>
            <w:tcW w:w="601" w:type="dxa"/>
            <w:tcBorders>
              <w:top w:val="nil"/>
              <w:left w:val="nil"/>
              <w:bottom w:val="nil"/>
              <w:right w:val="nil"/>
            </w:tcBorders>
            <w:shd w:val="clear" w:color="auto" w:fill="auto"/>
            <w:vAlign w:val="center"/>
            <w:hideMark/>
          </w:tcPr>
          <w:p w14:paraId="58AE975F" w14:textId="77777777" w:rsidR="0031658D" w:rsidRPr="0031658D" w:rsidRDefault="0031658D" w:rsidP="00F44196">
            <w:pPr>
              <w:spacing w:after="0" w:line="240" w:lineRule="auto"/>
              <w:jc w:val="center"/>
              <w:rPr>
                <w:rFonts w:cs="Times New Roman"/>
                <w:sz w:val="18"/>
              </w:rPr>
            </w:pPr>
            <w:r w:rsidRPr="0031658D">
              <w:rPr>
                <w:rFonts w:cs="Times New Roman"/>
                <w:sz w:val="18"/>
              </w:rPr>
              <w:t>10,5</w:t>
            </w:r>
          </w:p>
        </w:tc>
        <w:tc>
          <w:tcPr>
            <w:tcW w:w="601" w:type="dxa"/>
            <w:tcBorders>
              <w:top w:val="nil"/>
              <w:left w:val="nil"/>
              <w:bottom w:val="nil"/>
              <w:right w:val="nil"/>
            </w:tcBorders>
            <w:shd w:val="clear" w:color="auto" w:fill="auto"/>
            <w:vAlign w:val="center"/>
            <w:hideMark/>
          </w:tcPr>
          <w:p w14:paraId="3CF1F15A" w14:textId="77777777" w:rsidR="0031658D" w:rsidRPr="0031658D" w:rsidRDefault="0031658D" w:rsidP="00F44196">
            <w:pPr>
              <w:spacing w:after="0" w:line="240" w:lineRule="auto"/>
              <w:jc w:val="center"/>
              <w:rPr>
                <w:rFonts w:cs="Times New Roman"/>
                <w:sz w:val="18"/>
              </w:rPr>
            </w:pPr>
            <w:r w:rsidRPr="0031658D">
              <w:rPr>
                <w:rFonts w:cs="Times New Roman"/>
                <w:sz w:val="18"/>
              </w:rPr>
              <w:t>3,0</w:t>
            </w:r>
          </w:p>
        </w:tc>
        <w:tc>
          <w:tcPr>
            <w:tcW w:w="576" w:type="dxa"/>
            <w:tcBorders>
              <w:top w:val="nil"/>
              <w:left w:val="nil"/>
              <w:bottom w:val="nil"/>
              <w:right w:val="nil"/>
            </w:tcBorders>
            <w:shd w:val="clear" w:color="auto" w:fill="auto"/>
            <w:vAlign w:val="center"/>
            <w:hideMark/>
          </w:tcPr>
          <w:p w14:paraId="28C4DB5E" w14:textId="4BB2BD67" w:rsidR="0031658D" w:rsidRPr="0031658D" w:rsidRDefault="006C1451" w:rsidP="00F44196">
            <w:pPr>
              <w:spacing w:after="0" w:line="240" w:lineRule="auto"/>
              <w:jc w:val="center"/>
              <w:rPr>
                <w:rFonts w:cs="Times New Roman"/>
                <w:sz w:val="18"/>
              </w:rPr>
            </w:pPr>
            <w:r>
              <w:rPr>
                <w:rFonts w:cs="Times New Roman"/>
                <w:sz w:val="18"/>
              </w:rPr>
              <w:t>-1,4</w:t>
            </w:r>
          </w:p>
        </w:tc>
        <w:tc>
          <w:tcPr>
            <w:tcW w:w="4730" w:type="dxa"/>
            <w:gridSpan w:val="2"/>
            <w:vMerge/>
            <w:tcBorders>
              <w:top w:val="nil"/>
              <w:left w:val="nil"/>
              <w:bottom w:val="single" w:sz="4" w:space="0" w:color="auto"/>
              <w:right w:val="nil"/>
            </w:tcBorders>
            <w:vAlign w:val="center"/>
            <w:hideMark/>
          </w:tcPr>
          <w:p w14:paraId="23207E8A" w14:textId="77777777" w:rsidR="0031658D" w:rsidRPr="00CD3F01" w:rsidRDefault="0031658D" w:rsidP="0031658D">
            <w:pPr>
              <w:rPr>
                <w:rFonts w:ascii="Arial Narrow" w:hAnsi="Arial Narrow"/>
                <w:b/>
                <w:bCs/>
                <w:color w:val="000000"/>
                <w:sz w:val="18"/>
                <w:szCs w:val="18"/>
              </w:rPr>
            </w:pPr>
          </w:p>
        </w:tc>
      </w:tr>
      <w:tr w:rsidR="0031658D" w:rsidRPr="00CD3F01" w14:paraId="425D9A0E" w14:textId="77777777" w:rsidTr="0031658D">
        <w:trPr>
          <w:gridBefore w:val="1"/>
          <w:gridAfter w:val="2"/>
          <w:wBefore w:w="73" w:type="dxa"/>
          <w:wAfter w:w="459" w:type="dxa"/>
          <w:trHeight w:val="342"/>
        </w:trPr>
        <w:tc>
          <w:tcPr>
            <w:tcW w:w="2507" w:type="dxa"/>
            <w:gridSpan w:val="2"/>
            <w:tcBorders>
              <w:top w:val="nil"/>
              <w:left w:val="nil"/>
              <w:bottom w:val="single" w:sz="4" w:space="0" w:color="auto"/>
              <w:right w:val="nil"/>
            </w:tcBorders>
            <w:shd w:val="clear" w:color="auto" w:fill="auto"/>
            <w:vAlign w:val="center"/>
            <w:hideMark/>
          </w:tcPr>
          <w:p w14:paraId="02358F2E" w14:textId="77777777" w:rsidR="0031658D" w:rsidRPr="0031658D" w:rsidRDefault="0031658D" w:rsidP="00F44196">
            <w:pPr>
              <w:spacing w:after="0" w:line="240" w:lineRule="auto"/>
              <w:rPr>
                <w:rFonts w:cs="Times New Roman"/>
                <w:color w:val="000000"/>
                <w:sz w:val="18"/>
                <w:szCs w:val="18"/>
              </w:rPr>
            </w:pPr>
            <w:r w:rsidRPr="0031658D">
              <w:rPr>
                <w:rFonts w:cs="Times New Roman"/>
                <w:bCs/>
                <w:color w:val="000000"/>
                <w:sz w:val="18"/>
                <w:szCs w:val="18"/>
              </w:rPr>
              <w:t xml:space="preserve">  Dovoz výrobkov a služieb</w:t>
            </w:r>
          </w:p>
        </w:tc>
        <w:tc>
          <w:tcPr>
            <w:tcW w:w="601" w:type="dxa"/>
            <w:tcBorders>
              <w:top w:val="nil"/>
              <w:left w:val="nil"/>
              <w:bottom w:val="single" w:sz="4" w:space="0" w:color="auto"/>
              <w:right w:val="nil"/>
            </w:tcBorders>
            <w:shd w:val="clear" w:color="auto" w:fill="auto"/>
            <w:vAlign w:val="center"/>
            <w:hideMark/>
          </w:tcPr>
          <w:p w14:paraId="5BC27D53" w14:textId="77777777" w:rsidR="0031658D" w:rsidRPr="0031658D" w:rsidRDefault="0031658D" w:rsidP="00F44196">
            <w:pPr>
              <w:spacing w:after="0" w:line="240" w:lineRule="auto"/>
              <w:jc w:val="center"/>
              <w:rPr>
                <w:rFonts w:cs="Times New Roman"/>
                <w:sz w:val="18"/>
              </w:rPr>
            </w:pPr>
            <w:r w:rsidRPr="0031658D">
              <w:rPr>
                <w:rFonts w:cs="Times New Roman"/>
                <w:sz w:val="18"/>
              </w:rPr>
              <w:t>11,7</w:t>
            </w:r>
          </w:p>
        </w:tc>
        <w:tc>
          <w:tcPr>
            <w:tcW w:w="601" w:type="dxa"/>
            <w:tcBorders>
              <w:top w:val="nil"/>
              <w:left w:val="nil"/>
              <w:bottom w:val="single" w:sz="4" w:space="0" w:color="auto"/>
              <w:right w:val="nil"/>
            </w:tcBorders>
            <w:shd w:val="clear" w:color="auto" w:fill="auto"/>
            <w:vAlign w:val="center"/>
            <w:hideMark/>
          </w:tcPr>
          <w:p w14:paraId="4F4EBA09" w14:textId="2FA45B33" w:rsidR="0031658D" w:rsidRPr="0031658D" w:rsidRDefault="006C1451" w:rsidP="00F44196">
            <w:pPr>
              <w:spacing w:after="0" w:line="240" w:lineRule="auto"/>
              <w:jc w:val="center"/>
              <w:rPr>
                <w:rFonts w:cs="Times New Roman"/>
                <w:sz w:val="18"/>
              </w:rPr>
            </w:pPr>
            <w:r>
              <w:rPr>
                <w:rFonts w:cs="Times New Roman"/>
                <w:sz w:val="18"/>
              </w:rPr>
              <w:t>4,3</w:t>
            </w:r>
          </w:p>
        </w:tc>
        <w:tc>
          <w:tcPr>
            <w:tcW w:w="576" w:type="dxa"/>
            <w:tcBorders>
              <w:top w:val="nil"/>
              <w:left w:val="nil"/>
              <w:bottom w:val="single" w:sz="4" w:space="0" w:color="auto"/>
              <w:right w:val="nil"/>
            </w:tcBorders>
            <w:shd w:val="clear" w:color="auto" w:fill="auto"/>
            <w:vAlign w:val="center"/>
            <w:hideMark/>
          </w:tcPr>
          <w:p w14:paraId="1A43D6CB" w14:textId="5A249C5A" w:rsidR="0031658D" w:rsidRPr="0031658D" w:rsidRDefault="006C1451" w:rsidP="00F44196">
            <w:pPr>
              <w:spacing w:after="0" w:line="240" w:lineRule="auto"/>
              <w:jc w:val="center"/>
              <w:rPr>
                <w:rFonts w:cs="Times New Roman"/>
                <w:sz w:val="18"/>
              </w:rPr>
            </w:pPr>
            <w:r>
              <w:rPr>
                <w:rFonts w:cs="Times New Roman"/>
                <w:sz w:val="18"/>
              </w:rPr>
              <w:t>-7,6</w:t>
            </w:r>
          </w:p>
        </w:tc>
        <w:tc>
          <w:tcPr>
            <w:tcW w:w="4730" w:type="dxa"/>
            <w:gridSpan w:val="2"/>
            <w:vMerge/>
            <w:tcBorders>
              <w:top w:val="nil"/>
              <w:left w:val="nil"/>
              <w:bottom w:val="single" w:sz="4" w:space="0" w:color="auto"/>
              <w:right w:val="nil"/>
            </w:tcBorders>
            <w:vAlign w:val="center"/>
            <w:hideMark/>
          </w:tcPr>
          <w:p w14:paraId="3793F653" w14:textId="77777777" w:rsidR="0031658D" w:rsidRPr="00CD3F01" w:rsidRDefault="0031658D" w:rsidP="0031658D">
            <w:pPr>
              <w:rPr>
                <w:rFonts w:ascii="Arial Narrow" w:hAnsi="Arial Narrow"/>
                <w:b/>
                <w:bCs/>
                <w:color w:val="000000"/>
                <w:sz w:val="18"/>
                <w:szCs w:val="18"/>
              </w:rPr>
            </w:pPr>
          </w:p>
        </w:tc>
      </w:tr>
      <w:tr w:rsidR="0031658D" w:rsidRPr="00F44196" w14:paraId="5BAE5249" w14:textId="77777777" w:rsidTr="0031658D">
        <w:trPr>
          <w:gridBefore w:val="1"/>
          <w:wBefore w:w="73" w:type="dxa"/>
          <w:trHeight w:val="345"/>
        </w:trPr>
        <w:tc>
          <w:tcPr>
            <w:tcW w:w="4502" w:type="dxa"/>
            <w:gridSpan w:val="6"/>
            <w:tcBorders>
              <w:top w:val="single" w:sz="4" w:space="0" w:color="auto"/>
            </w:tcBorders>
            <w:shd w:val="clear" w:color="auto" w:fill="auto"/>
            <w:vAlign w:val="center"/>
            <w:hideMark/>
          </w:tcPr>
          <w:p w14:paraId="03A24598" w14:textId="77777777" w:rsidR="0031658D" w:rsidRPr="00F44196" w:rsidRDefault="0031658D" w:rsidP="0031658D">
            <w:pPr>
              <w:jc w:val="right"/>
              <w:rPr>
                <w:rFonts w:cs="Times New Roman"/>
                <w:iCs/>
                <w:color w:val="000000"/>
                <w:sz w:val="18"/>
                <w:szCs w:val="18"/>
              </w:rPr>
            </w:pPr>
            <w:r w:rsidRPr="00F44196">
              <w:rPr>
                <w:rFonts w:cs="Times New Roman"/>
                <w:iCs/>
                <w:color w:val="000000"/>
                <w:sz w:val="18"/>
                <w:szCs w:val="18"/>
              </w:rPr>
              <w:t>Zdroj: ŠÚ SR</w:t>
            </w:r>
          </w:p>
        </w:tc>
        <w:tc>
          <w:tcPr>
            <w:tcW w:w="4972" w:type="dxa"/>
            <w:gridSpan w:val="3"/>
            <w:tcBorders>
              <w:top w:val="single" w:sz="4" w:space="0" w:color="auto"/>
            </w:tcBorders>
            <w:shd w:val="clear" w:color="auto" w:fill="auto"/>
            <w:vAlign w:val="center"/>
            <w:hideMark/>
          </w:tcPr>
          <w:p w14:paraId="03547F8F" w14:textId="77777777" w:rsidR="0031658D" w:rsidRPr="00F44196" w:rsidRDefault="0031658D" w:rsidP="0031658D">
            <w:pPr>
              <w:jc w:val="right"/>
              <w:rPr>
                <w:rFonts w:cs="Times New Roman"/>
                <w:color w:val="000000"/>
                <w:sz w:val="18"/>
                <w:szCs w:val="18"/>
              </w:rPr>
            </w:pPr>
            <w:r w:rsidRPr="00F44196">
              <w:rPr>
                <w:rFonts w:cs="Times New Roman"/>
                <w:iCs/>
                <w:color w:val="000000"/>
                <w:sz w:val="18"/>
                <w:szCs w:val="18"/>
              </w:rPr>
              <w:t>Zdroj: ŠÚ SR</w:t>
            </w:r>
          </w:p>
        </w:tc>
      </w:tr>
    </w:tbl>
    <w:p w14:paraId="159C45F7" w14:textId="00EB82CA" w:rsidR="005F5B88" w:rsidRDefault="005F5B88" w:rsidP="00F07624">
      <w:pPr>
        <w:pStyle w:val="Nadpis3"/>
      </w:pPr>
      <w:bookmarkStart w:id="9" w:name="_Toc6415630"/>
      <w:bookmarkStart w:id="10" w:name="_Toc164846926"/>
      <w:r w:rsidRPr="00F07624">
        <w:rPr>
          <w:rFonts w:eastAsiaTheme="minorHAnsi"/>
        </w:rPr>
        <w:t xml:space="preserve">Trh </w:t>
      </w:r>
      <w:r w:rsidRPr="00F07624">
        <w:t>práce</w:t>
      </w:r>
      <w:bookmarkEnd w:id="9"/>
      <w:bookmarkEnd w:id="10"/>
    </w:p>
    <w:p w14:paraId="4D90C0D9" w14:textId="1237DBF7" w:rsidR="00A32E02" w:rsidRPr="00A32E02" w:rsidRDefault="00A32E02" w:rsidP="00A32E02">
      <w:pPr>
        <w:spacing w:line="240" w:lineRule="auto"/>
        <w:rPr>
          <w:sz w:val="24"/>
          <w:szCs w:val="24"/>
        </w:rPr>
      </w:pPr>
      <w:r w:rsidRPr="00A32E02">
        <w:rPr>
          <w:sz w:val="24"/>
          <w:szCs w:val="24"/>
        </w:rPr>
        <w:t>Zamestnanosť stúpla len mierne a na trhu práce pribudlo asi 7 tisíc pracovných miest. Dynamika tvorby pracovných miest sa po dvoch rokoch opäť spomalila, pričom poklesy v priemysle, ktoré sa začali od vypuknutia vojny na Ukrajine, pokračovali aj v roku 2023. Zvýšeniu zamestnanosti v tomto roku najviac prispelo stavebníctvo, čo bolo podporované investíciami z fondov E</w:t>
      </w:r>
      <w:r w:rsidR="001C1318">
        <w:rPr>
          <w:sz w:val="24"/>
          <w:szCs w:val="24"/>
        </w:rPr>
        <w:t xml:space="preserve">Ú </w:t>
      </w:r>
      <w:r w:rsidRPr="00A32E02">
        <w:rPr>
          <w:sz w:val="24"/>
          <w:szCs w:val="24"/>
        </w:rPr>
        <w:t xml:space="preserve">a </w:t>
      </w:r>
      <w:r w:rsidRPr="00A32E02">
        <w:rPr>
          <w:sz w:val="24"/>
          <w:szCs w:val="24"/>
        </w:rPr>
        <w:lastRenderedPageBreak/>
        <w:t xml:space="preserve">Plánu obnovy. Napätie na trhu práce sa prejavovalo rekordne nízkou nezamestnanosťou, pričom zamestnávatelia zároveň čelili problémom s obsadením voľných pracovných pozícií. K nárastu zamestnanosti významne prispeli aj zahraniční zamestnanci, z ktorých sa do konca roku zamestnalo približne 100 tisíc, pričom zhruba pätinu tvorili odídenci z Ukrajiny. Okrem opatrnosti zo strany zamestnávateľov a nedostatku kvalifikovanej pracovnej sily, rast zamestnanosti brzdila aj vlna predčasných odchodov do dôchodku. </w:t>
      </w:r>
    </w:p>
    <w:p w14:paraId="660521BC" w14:textId="2104EB2B" w:rsidR="00A32E02" w:rsidRDefault="00A32E02" w:rsidP="00A32E02">
      <w:pPr>
        <w:spacing w:line="240" w:lineRule="auto"/>
        <w:rPr>
          <w:sz w:val="24"/>
          <w:szCs w:val="24"/>
        </w:rPr>
      </w:pPr>
      <w:r w:rsidRPr="00A32E02">
        <w:rPr>
          <w:sz w:val="24"/>
          <w:szCs w:val="24"/>
        </w:rPr>
        <w:t xml:space="preserve">Nárast nominálnych miezd vo výške 9,7 % </w:t>
      </w:r>
      <w:r w:rsidR="003432FB">
        <w:rPr>
          <w:sz w:val="24"/>
          <w:szCs w:val="24"/>
        </w:rPr>
        <w:t xml:space="preserve">(2022: 7,7 %) </w:t>
      </w:r>
      <w:r w:rsidRPr="00A32E02">
        <w:rPr>
          <w:sz w:val="24"/>
          <w:szCs w:val="24"/>
        </w:rPr>
        <w:t>opäť nedokázal predbehnúť rast inflácie, ktorá dosiahla v roku 2023 medziročný nárast na úrovni 10,7 %. Výsledkom bolo, že aj napriek tomu, že na konci roku reálna mzda dosiahla pozitívne čísla, celoročne poklesla oproti predchádzajúcemu roku o 0,9 %. Rast reálnych miezd tak naďalej ostal pod úrovňou rastu reálnej produktivity.</w:t>
      </w:r>
    </w:p>
    <w:tbl>
      <w:tblPr>
        <w:tblW w:w="5000" w:type="pct"/>
        <w:tblLayout w:type="fixed"/>
        <w:tblCellMar>
          <w:left w:w="70" w:type="dxa"/>
          <w:right w:w="70" w:type="dxa"/>
        </w:tblCellMar>
        <w:tblLook w:val="0000" w:firstRow="0" w:lastRow="0" w:firstColumn="0" w:lastColumn="0" w:noHBand="0" w:noVBand="0"/>
      </w:tblPr>
      <w:tblGrid>
        <w:gridCol w:w="4751"/>
        <w:gridCol w:w="4463"/>
      </w:tblGrid>
      <w:tr w:rsidR="00557DEA" w:rsidRPr="00795D97" w14:paraId="43BA592C" w14:textId="77777777" w:rsidTr="0026737F">
        <w:trPr>
          <w:trHeight w:val="562"/>
        </w:trPr>
        <w:tc>
          <w:tcPr>
            <w:tcW w:w="2578" w:type="pct"/>
            <w:tcBorders>
              <w:top w:val="nil"/>
              <w:left w:val="nil"/>
              <w:bottom w:val="single" w:sz="4" w:space="0" w:color="auto"/>
              <w:right w:val="nil"/>
            </w:tcBorders>
            <w:shd w:val="clear" w:color="auto" w:fill="auto"/>
            <w:vAlign w:val="center"/>
          </w:tcPr>
          <w:p w14:paraId="118F268B" w14:textId="414DCC78" w:rsidR="00557DEA" w:rsidRPr="000C3131" w:rsidRDefault="00557DEA" w:rsidP="000B69FA">
            <w:pPr>
              <w:spacing w:line="240" w:lineRule="auto"/>
              <w:jc w:val="left"/>
              <w:rPr>
                <w:rFonts w:cs="Times New Roman"/>
                <w:b/>
                <w:bCs/>
                <w:color w:val="5B9BD5" w:themeColor="accent1"/>
                <w:sz w:val="20"/>
                <w:szCs w:val="20"/>
              </w:rPr>
            </w:pPr>
            <w:r w:rsidRPr="000C3131">
              <w:rPr>
                <w:rFonts w:cs="Times New Roman"/>
                <w:b/>
                <w:color w:val="5B9BD5" w:themeColor="accent1"/>
                <w:sz w:val="20"/>
                <w:szCs w:val="20"/>
              </w:rPr>
              <w:t xml:space="preserve">Graf 2 - Príspevky sektorov k vývoju </w:t>
            </w:r>
            <w:proofErr w:type="spellStart"/>
            <w:r w:rsidR="00A26BCA">
              <w:rPr>
                <w:rFonts w:cs="Times New Roman"/>
                <w:b/>
                <w:color w:val="5B9BD5" w:themeColor="accent1"/>
                <w:sz w:val="20"/>
                <w:szCs w:val="20"/>
              </w:rPr>
              <w:t>medzikvartálneho</w:t>
            </w:r>
            <w:proofErr w:type="spellEnd"/>
            <w:r w:rsidR="00A26BCA">
              <w:rPr>
                <w:rFonts w:cs="Times New Roman"/>
                <w:b/>
                <w:color w:val="5B9BD5" w:themeColor="accent1"/>
                <w:sz w:val="20"/>
                <w:szCs w:val="20"/>
              </w:rPr>
              <w:t xml:space="preserve"> rastu </w:t>
            </w:r>
            <w:r w:rsidRPr="000C3131">
              <w:rPr>
                <w:rFonts w:cs="Times New Roman"/>
                <w:b/>
                <w:color w:val="5B9BD5" w:themeColor="accent1"/>
                <w:sz w:val="20"/>
                <w:szCs w:val="20"/>
              </w:rPr>
              <w:t>zamestnanosti (ESA, v p. b.)</w:t>
            </w:r>
          </w:p>
        </w:tc>
        <w:tc>
          <w:tcPr>
            <w:tcW w:w="2422" w:type="pct"/>
            <w:tcBorders>
              <w:top w:val="nil"/>
              <w:left w:val="nil"/>
              <w:bottom w:val="single" w:sz="4" w:space="0" w:color="auto"/>
              <w:right w:val="nil"/>
            </w:tcBorders>
            <w:shd w:val="clear" w:color="auto" w:fill="auto"/>
            <w:vAlign w:val="center"/>
          </w:tcPr>
          <w:p w14:paraId="3BC65BBE" w14:textId="4C0F80AE" w:rsidR="00557DEA" w:rsidRPr="000C3131" w:rsidRDefault="00557DEA" w:rsidP="00795D97">
            <w:pPr>
              <w:spacing w:line="240" w:lineRule="auto"/>
              <w:jc w:val="left"/>
              <w:rPr>
                <w:rFonts w:cs="Times New Roman"/>
                <w:b/>
                <w:bCs/>
                <w:color w:val="5B9BD5" w:themeColor="accent1"/>
                <w:sz w:val="20"/>
                <w:szCs w:val="20"/>
              </w:rPr>
            </w:pPr>
            <w:r w:rsidRPr="000C3131">
              <w:rPr>
                <w:rFonts w:cs="Times New Roman"/>
                <w:b/>
                <w:color w:val="5B9BD5" w:themeColor="accent1"/>
                <w:sz w:val="20"/>
                <w:szCs w:val="20"/>
              </w:rPr>
              <w:t xml:space="preserve">Graf 3 - Rast </w:t>
            </w:r>
            <w:r w:rsidR="00A26BCA">
              <w:rPr>
                <w:rFonts w:cs="Times New Roman"/>
                <w:b/>
                <w:color w:val="5B9BD5" w:themeColor="accent1"/>
                <w:sz w:val="20"/>
                <w:szCs w:val="20"/>
              </w:rPr>
              <w:t>reálnej</w:t>
            </w:r>
            <w:r w:rsidRPr="000C3131">
              <w:rPr>
                <w:rFonts w:cs="Times New Roman"/>
                <w:b/>
                <w:color w:val="5B9BD5" w:themeColor="accent1"/>
                <w:sz w:val="20"/>
                <w:szCs w:val="20"/>
              </w:rPr>
              <w:t xml:space="preserve"> produktivity práce a mzdy (v</w:t>
            </w:r>
            <w:r w:rsidR="00795D97">
              <w:rPr>
                <w:rFonts w:cs="Times New Roman"/>
                <w:b/>
                <w:color w:val="5B9BD5" w:themeColor="accent1"/>
                <w:sz w:val="20"/>
                <w:szCs w:val="20"/>
              </w:rPr>
              <w:t> </w:t>
            </w:r>
            <w:r w:rsidRPr="000C3131">
              <w:rPr>
                <w:rFonts w:cs="Times New Roman"/>
                <w:b/>
                <w:color w:val="5B9BD5" w:themeColor="accent1"/>
                <w:sz w:val="20"/>
                <w:szCs w:val="20"/>
              </w:rPr>
              <w:t>%)</w:t>
            </w:r>
          </w:p>
        </w:tc>
      </w:tr>
      <w:tr w:rsidR="00557DEA" w:rsidRPr="00557DEA" w14:paraId="58ACBCF7" w14:textId="77777777" w:rsidTr="00557DEA">
        <w:trPr>
          <w:trHeight w:val="3118"/>
        </w:trPr>
        <w:tc>
          <w:tcPr>
            <w:tcW w:w="2578" w:type="pct"/>
            <w:tcBorders>
              <w:top w:val="nil"/>
              <w:left w:val="nil"/>
              <w:bottom w:val="single" w:sz="8" w:space="0" w:color="auto"/>
              <w:right w:val="nil"/>
            </w:tcBorders>
            <w:shd w:val="clear" w:color="auto" w:fill="auto"/>
          </w:tcPr>
          <w:p w14:paraId="19CB44B1" w14:textId="77777777" w:rsidR="00557DEA" w:rsidRPr="00557DEA" w:rsidRDefault="00557DEA" w:rsidP="00557DEA">
            <w:pPr>
              <w:spacing w:after="0" w:line="240" w:lineRule="auto"/>
              <w:jc w:val="left"/>
              <w:rPr>
                <w:rFonts w:ascii="NeueHaasGroteskText W02" w:eastAsia="Times New Roman" w:hAnsi="NeueHaasGroteskText W02" w:cs="Garamond"/>
                <w:b/>
                <w:bCs/>
                <w:sz w:val="18"/>
                <w:szCs w:val="18"/>
                <w:lang w:eastAsia="sk-SK"/>
              </w:rPr>
            </w:pPr>
            <w:r w:rsidRPr="00557DEA">
              <w:rPr>
                <w:rFonts w:eastAsia="Times New Roman" w:cs="Times New Roman"/>
                <w:noProof/>
                <w:sz w:val="18"/>
                <w:szCs w:val="18"/>
                <w:lang w:eastAsia="sk-SK"/>
              </w:rPr>
              <w:drawing>
                <wp:inline distT="0" distB="0" distL="0" distR="0" wp14:anchorId="1B763A3D" wp14:editId="42297BD0">
                  <wp:extent cx="2880360" cy="2149475"/>
                  <wp:effectExtent l="0" t="0" r="0" b="3175"/>
                  <wp:docPr id="1" name="Graf 1">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2422" w:type="pct"/>
            <w:tcBorders>
              <w:top w:val="nil"/>
              <w:left w:val="nil"/>
              <w:bottom w:val="single" w:sz="8" w:space="0" w:color="auto"/>
              <w:right w:val="nil"/>
            </w:tcBorders>
            <w:shd w:val="clear" w:color="auto" w:fill="auto"/>
          </w:tcPr>
          <w:p w14:paraId="2616EDC7" w14:textId="77777777" w:rsidR="00557DEA" w:rsidRPr="00557DEA" w:rsidRDefault="00557DEA" w:rsidP="00557DEA">
            <w:pPr>
              <w:spacing w:after="100" w:afterAutospacing="1" w:line="240" w:lineRule="auto"/>
              <w:jc w:val="left"/>
              <w:rPr>
                <w:rFonts w:ascii="NeueHaasGroteskText W02" w:eastAsia="Times New Roman" w:hAnsi="NeueHaasGroteskText W02" w:cs="Garamond"/>
                <w:b/>
                <w:bCs/>
                <w:sz w:val="18"/>
                <w:szCs w:val="18"/>
                <w:lang w:eastAsia="sk-SK"/>
              </w:rPr>
            </w:pPr>
            <w:r w:rsidRPr="00557DEA">
              <w:rPr>
                <w:rFonts w:eastAsia="Times New Roman" w:cs="Times New Roman"/>
                <w:noProof/>
                <w:sz w:val="18"/>
                <w:szCs w:val="18"/>
                <w:lang w:eastAsia="sk-SK"/>
              </w:rPr>
              <w:drawing>
                <wp:inline distT="0" distB="0" distL="0" distR="0" wp14:anchorId="4FB217BB" wp14:editId="1DF0C0B8">
                  <wp:extent cx="2701290" cy="2066290"/>
                  <wp:effectExtent l="0" t="0" r="3810" b="0"/>
                  <wp:docPr id="6" name="Graf 6">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557DEA" w:rsidRPr="00557DEA" w14:paraId="37177F2A" w14:textId="77777777" w:rsidTr="00557DEA">
        <w:trPr>
          <w:trHeight w:val="113"/>
        </w:trPr>
        <w:tc>
          <w:tcPr>
            <w:tcW w:w="2578" w:type="pct"/>
            <w:tcBorders>
              <w:top w:val="nil"/>
              <w:left w:val="nil"/>
              <w:bottom w:val="nil"/>
              <w:right w:val="nil"/>
            </w:tcBorders>
            <w:shd w:val="clear" w:color="auto" w:fill="auto"/>
          </w:tcPr>
          <w:p w14:paraId="75DA291E" w14:textId="2A89F252" w:rsidR="00557DEA" w:rsidRPr="00557DEA" w:rsidRDefault="00557DEA" w:rsidP="00536426">
            <w:pPr>
              <w:spacing w:after="0" w:line="240" w:lineRule="auto"/>
              <w:jc w:val="right"/>
              <w:rPr>
                <w:rFonts w:eastAsia="Times New Roman" w:cs="Times New Roman"/>
                <w:iCs/>
                <w:sz w:val="18"/>
                <w:szCs w:val="18"/>
                <w:lang w:eastAsia="sk-SK"/>
              </w:rPr>
            </w:pPr>
            <w:r w:rsidRPr="00557DEA">
              <w:rPr>
                <w:rFonts w:eastAsia="Times New Roman" w:cs="Times New Roman"/>
                <w:iCs/>
                <w:sz w:val="18"/>
                <w:szCs w:val="18"/>
                <w:lang w:eastAsia="sk-SK"/>
              </w:rPr>
              <w:t>Zdroj: ŠÚ SR, MF SR</w:t>
            </w:r>
          </w:p>
        </w:tc>
        <w:tc>
          <w:tcPr>
            <w:tcW w:w="2422" w:type="pct"/>
            <w:tcBorders>
              <w:top w:val="nil"/>
              <w:left w:val="nil"/>
              <w:bottom w:val="nil"/>
              <w:right w:val="nil"/>
            </w:tcBorders>
            <w:shd w:val="clear" w:color="auto" w:fill="auto"/>
          </w:tcPr>
          <w:p w14:paraId="4D68587D" w14:textId="77777777" w:rsidR="00557DEA" w:rsidRPr="00557DEA" w:rsidRDefault="00557DEA" w:rsidP="00557DEA">
            <w:pPr>
              <w:spacing w:after="0" w:line="240" w:lineRule="auto"/>
              <w:jc w:val="right"/>
              <w:rPr>
                <w:rFonts w:eastAsia="Times New Roman" w:cs="Times New Roman"/>
                <w:iCs/>
                <w:sz w:val="18"/>
                <w:szCs w:val="18"/>
                <w:lang w:eastAsia="sk-SK"/>
              </w:rPr>
            </w:pPr>
            <w:r w:rsidRPr="00557DEA">
              <w:rPr>
                <w:rFonts w:eastAsia="Times New Roman" w:cs="Times New Roman"/>
                <w:iCs/>
                <w:sz w:val="18"/>
                <w:szCs w:val="18"/>
                <w:lang w:eastAsia="sk-SK"/>
              </w:rPr>
              <w:t xml:space="preserve">Zdroj: ŠÚ SR, MF SR </w:t>
            </w:r>
          </w:p>
        </w:tc>
      </w:tr>
    </w:tbl>
    <w:p w14:paraId="43FD1647" w14:textId="77777777" w:rsidR="00557DEA" w:rsidRPr="00A32E02" w:rsidRDefault="00557DEA" w:rsidP="00A32E02">
      <w:pPr>
        <w:spacing w:line="240" w:lineRule="auto"/>
        <w:rPr>
          <w:sz w:val="24"/>
          <w:szCs w:val="24"/>
        </w:rPr>
      </w:pPr>
    </w:p>
    <w:p w14:paraId="2734D432" w14:textId="4DB89A48" w:rsidR="005F5B88" w:rsidRDefault="005F5B88" w:rsidP="000D7202">
      <w:pPr>
        <w:pStyle w:val="Nadpis3"/>
      </w:pPr>
      <w:bookmarkStart w:id="11" w:name="_Toc6415631"/>
      <w:bookmarkStart w:id="12" w:name="_Toc164846927"/>
      <w:r w:rsidRPr="000D7202">
        <w:t>Vývoj</w:t>
      </w:r>
      <w:r w:rsidRPr="000F375D">
        <w:t xml:space="preserve"> cien</w:t>
      </w:r>
      <w:bookmarkEnd w:id="11"/>
      <w:bookmarkEnd w:id="12"/>
    </w:p>
    <w:p w14:paraId="3E039399" w14:textId="09B1043A" w:rsidR="00A32E02" w:rsidRPr="00A32E02" w:rsidRDefault="00A32E02" w:rsidP="00A32E02">
      <w:pPr>
        <w:spacing w:line="240" w:lineRule="auto"/>
        <w:rPr>
          <w:sz w:val="24"/>
          <w:szCs w:val="24"/>
        </w:rPr>
      </w:pPr>
      <w:r w:rsidRPr="00A32E02">
        <w:rPr>
          <w:sz w:val="24"/>
          <w:szCs w:val="24"/>
        </w:rPr>
        <w:t>Prudký rast cien pokračoval aj v úvode roka 2023. Medziročná inflácia kulminovala vo februári na úrovni 15,4 %. V apríli sa však obdobie silného rastu cien skončilo a po zvyšok roka rástli mesačne priemerne len o 0,1 %. Spolu s bázickým efektom tak medziročná inflácia postupne klesala až k 5,9 % v decembri. Rast regulovaných cien energií bol tlmený vládnymi opatreniami. Spomalenie rastu cien prebiehalo naprieč kategóriami, najvýraznejšie klesla najmä inflácia potravín (z viac ako 28 % v marci na 6,5 % v decembri). Napriek tomu však za celý rok boli potraviny položkou s najrýchlejším medziročným rastom, nasledované hotelmi, kaviarňami a reštauráciami a vzdelávaním. V priemere za rok 2023 tak stúpli ceny merané indexom CPI v priemere o 10,5 % (11 % podľa HICP)</w:t>
      </w:r>
      <w:r w:rsidR="004520E6">
        <w:rPr>
          <w:rStyle w:val="Odkaznapoznmkupodiarou"/>
          <w:sz w:val="24"/>
          <w:szCs w:val="24"/>
        </w:rPr>
        <w:footnoteReference w:id="2"/>
      </w:r>
      <w:r w:rsidRPr="00A32E02">
        <w:rPr>
          <w:sz w:val="24"/>
          <w:szCs w:val="24"/>
        </w:rPr>
        <w:t>.</w:t>
      </w:r>
    </w:p>
    <w:p w14:paraId="30BD563C" w14:textId="32AB2D64" w:rsidR="005F5B88" w:rsidRDefault="005F5B88" w:rsidP="000D7202">
      <w:pPr>
        <w:pStyle w:val="Nadpis3"/>
      </w:pPr>
      <w:bookmarkStart w:id="13" w:name="_Toc6415632"/>
      <w:bookmarkStart w:id="14" w:name="_Toc164846928"/>
      <w:r w:rsidRPr="000D7202">
        <w:t>Platobná</w:t>
      </w:r>
      <w:r w:rsidRPr="000F375D">
        <w:t xml:space="preserve"> bilancia</w:t>
      </w:r>
      <w:bookmarkEnd w:id="13"/>
      <w:bookmarkEnd w:id="14"/>
    </w:p>
    <w:p w14:paraId="6BF924F9" w14:textId="77175D81" w:rsidR="00A32E02" w:rsidRDefault="00A32E02" w:rsidP="00A32E02">
      <w:pPr>
        <w:spacing w:line="240" w:lineRule="auto"/>
        <w:rPr>
          <w:sz w:val="24"/>
          <w:szCs w:val="24"/>
        </w:rPr>
      </w:pPr>
      <w:r w:rsidRPr="00A32E02">
        <w:rPr>
          <w:sz w:val="24"/>
          <w:szCs w:val="24"/>
        </w:rPr>
        <w:t>V roku 2023 sa deficit platobnej bilancie výrazne zlepšil na úroveň -1,6 % HDP. Export tovarov v nominálnom vyjadrení stúpol, kým importy klesali, čo viedlo k výrazne prebytkovej bilancii obchodu. Mierne stúpol aj prebytok bilancie služieb, naopak sa opäť prehĺbili deficity primárnych aj sekundárnych výnosov.</w:t>
      </w:r>
    </w:p>
    <w:tbl>
      <w:tblPr>
        <w:tblW w:w="5000" w:type="pct"/>
        <w:tblLayout w:type="fixed"/>
        <w:tblCellMar>
          <w:left w:w="70" w:type="dxa"/>
          <w:right w:w="70" w:type="dxa"/>
        </w:tblCellMar>
        <w:tblLook w:val="0000" w:firstRow="0" w:lastRow="0" w:firstColumn="0" w:lastColumn="0" w:noHBand="0" w:noVBand="0"/>
      </w:tblPr>
      <w:tblGrid>
        <w:gridCol w:w="4751"/>
        <w:gridCol w:w="4463"/>
      </w:tblGrid>
      <w:tr w:rsidR="00A32E02" w:rsidRPr="00397CD2" w14:paraId="78B6AA2B" w14:textId="77777777" w:rsidTr="0026737F">
        <w:trPr>
          <w:trHeight w:val="562"/>
        </w:trPr>
        <w:tc>
          <w:tcPr>
            <w:tcW w:w="2578" w:type="pct"/>
            <w:tcBorders>
              <w:top w:val="nil"/>
              <w:left w:val="nil"/>
              <w:bottom w:val="single" w:sz="4" w:space="0" w:color="auto"/>
              <w:right w:val="nil"/>
            </w:tcBorders>
            <w:shd w:val="clear" w:color="auto" w:fill="auto"/>
            <w:vAlign w:val="center"/>
          </w:tcPr>
          <w:p w14:paraId="3BA7B81F" w14:textId="77777777" w:rsidR="00A32E02" w:rsidRPr="00397CD2" w:rsidRDefault="00A32E02" w:rsidP="000B69FA">
            <w:pPr>
              <w:spacing w:line="240" w:lineRule="auto"/>
              <w:jc w:val="left"/>
              <w:rPr>
                <w:rFonts w:cs="Times New Roman"/>
                <w:b/>
                <w:bCs/>
                <w:color w:val="5B9BD5" w:themeColor="accent1"/>
                <w:sz w:val="20"/>
              </w:rPr>
            </w:pPr>
            <w:r>
              <w:rPr>
                <w:rFonts w:cs="Times New Roman"/>
                <w:b/>
                <w:color w:val="5B9BD5" w:themeColor="accent1"/>
                <w:sz w:val="20"/>
              </w:rPr>
              <w:lastRenderedPageBreak/>
              <w:t xml:space="preserve">Graf 4 - </w:t>
            </w:r>
            <w:r w:rsidRPr="00397CD2">
              <w:rPr>
                <w:rFonts w:cs="Times New Roman"/>
                <w:b/>
                <w:color w:val="5B9BD5" w:themeColor="accent1"/>
                <w:sz w:val="20"/>
              </w:rPr>
              <w:t>Štr</w:t>
            </w:r>
            <w:r>
              <w:rPr>
                <w:rFonts w:cs="Times New Roman"/>
                <w:b/>
                <w:color w:val="5B9BD5" w:themeColor="accent1"/>
                <w:sz w:val="20"/>
              </w:rPr>
              <w:t>uktúra spotrebiteľskej inflácie</w:t>
            </w:r>
            <w:r w:rsidRPr="00397CD2">
              <w:rPr>
                <w:rFonts w:cs="Times New Roman"/>
                <w:b/>
                <w:color w:val="5B9BD5" w:themeColor="accent1"/>
                <w:sz w:val="20"/>
              </w:rPr>
              <w:t>–medziročné príspevky</w:t>
            </w:r>
            <w:r>
              <w:rPr>
                <w:rFonts w:cs="Times New Roman"/>
                <w:b/>
                <w:color w:val="5B9BD5" w:themeColor="accent1"/>
                <w:sz w:val="20"/>
              </w:rPr>
              <w:t xml:space="preserve"> </w:t>
            </w:r>
            <w:r w:rsidRPr="00397CD2">
              <w:rPr>
                <w:rFonts w:cs="Times New Roman"/>
                <w:b/>
                <w:color w:val="5B9BD5" w:themeColor="accent1"/>
                <w:sz w:val="20"/>
              </w:rPr>
              <w:t xml:space="preserve">zložiek CPI (p. b.) </w:t>
            </w:r>
          </w:p>
        </w:tc>
        <w:tc>
          <w:tcPr>
            <w:tcW w:w="2422" w:type="pct"/>
            <w:tcBorders>
              <w:top w:val="nil"/>
              <w:left w:val="nil"/>
              <w:bottom w:val="single" w:sz="4" w:space="0" w:color="auto"/>
              <w:right w:val="nil"/>
            </w:tcBorders>
            <w:shd w:val="clear" w:color="auto" w:fill="auto"/>
            <w:vAlign w:val="center"/>
          </w:tcPr>
          <w:p w14:paraId="2C4F492A" w14:textId="77777777" w:rsidR="00A32E02" w:rsidRPr="00397CD2" w:rsidRDefault="00A32E02" w:rsidP="000B69FA">
            <w:pPr>
              <w:spacing w:line="240" w:lineRule="auto"/>
              <w:jc w:val="left"/>
              <w:rPr>
                <w:rFonts w:cs="Times New Roman"/>
                <w:b/>
                <w:bCs/>
                <w:color w:val="5B9BD5" w:themeColor="accent1"/>
                <w:sz w:val="20"/>
              </w:rPr>
            </w:pPr>
            <w:r>
              <w:rPr>
                <w:rFonts w:cs="Times New Roman"/>
                <w:b/>
                <w:bCs/>
                <w:color w:val="5B9BD5" w:themeColor="accent1"/>
                <w:sz w:val="20"/>
              </w:rPr>
              <w:t xml:space="preserve">Graf 5 - </w:t>
            </w:r>
            <w:r w:rsidRPr="00397CD2">
              <w:rPr>
                <w:rFonts w:cs="Times New Roman"/>
                <w:b/>
                <w:bCs/>
                <w:color w:val="5B9BD5" w:themeColor="accent1"/>
                <w:sz w:val="20"/>
              </w:rPr>
              <w:t>Vývoj bežného účtu platobnej bilancie podľa jeho zložiek (% HDP)</w:t>
            </w:r>
          </w:p>
        </w:tc>
      </w:tr>
      <w:tr w:rsidR="00A32E02" w:rsidRPr="00A32E02" w14:paraId="15D2ABD6" w14:textId="77777777" w:rsidTr="00A32E02">
        <w:trPr>
          <w:trHeight w:val="3118"/>
        </w:trPr>
        <w:tc>
          <w:tcPr>
            <w:tcW w:w="2578" w:type="pct"/>
            <w:tcBorders>
              <w:top w:val="nil"/>
              <w:left w:val="nil"/>
              <w:bottom w:val="single" w:sz="8" w:space="0" w:color="auto"/>
              <w:right w:val="nil"/>
            </w:tcBorders>
            <w:shd w:val="clear" w:color="auto" w:fill="auto"/>
          </w:tcPr>
          <w:p w14:paraId="76243640" w14:textId="77777777" w:rsidR="00A32E02" w:rsidRPr="00A32E02" w:rsidRDefault="00A32E02" w:rsidP="00A32E02">
            <w:pPr>
              <w:spacing w:after="0" w:line="240" w:lineRule="auto"/>
              <w:jc w:val="left"/>
              <w:rPr>
                <w:rFonts w:ascii="NeueHaasGroteskText W02" w:eastAsia="Times New Roman" w:hAnsi="NeueHaasGroteskText W02" w:cs="Garamond"/>
                <w:b/>
                <w:bCs/>
                <w:sz w:val="16"/>
                <w:szCs w:val="16"/>
                <w:lang w:eastAsia="sk-SK"/>
              </w:rPr>
            </w:pPr>
            <w:r w:rsidRPr="00A32E02">
              <w:rPr>
                <w:rFonts w:eastAsia="Times New Roman" w:cs="Times New Roman"/>
                <w:noProof/>
                <w:sz w:val="24"/>
                <w:szCs w:val="20"/>
                <w:lang w:eastAsia="sk-SK"/>
              </w:rPr>
              <w:drawing>
                <wp:inline distT="0" distB="0" distL="0" distR="0" wp14:anchorId="4357C437" wp14:editId="5DCEF7FE">
                  <wp:extent cx="2771775" cy="2133600"/>
                  <wp:effectExtent l="0" t="0" r="0" b="0"/>
                  <wp:docPr id="4" name="Graf 4">
                    <a:extLst xmlns:a="http://schemas.openxmlformats.org/drawingml/2006/main">
                      <a:ext uri="{FF2B5EF4-FFF2-40B4-BE49-F238E27FC236}">
                        <a16:creationId xmlns:a16="http://schemas.microsoft.com/office/drawing/2014/main" id="{1787A161-52B5-46F9-87DA-3887E4B4F7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2422" w:type="pct"/>
            <w:tcBorders>
              <w:top w:val="nil"/>
              <w:left w:val="nil"/>
              <w:bottom w:val="single" w:sz="8" w:space="0" w:color="auto"/>
              <w:right w:val="nil"/>
            </w:tcBorders>
            <w:shd w:val="clear" w:color="auto" w:fill="auto"/>
          </w:tcPr>
          <w:p w14:paraId="66423AB2" w14:textId="77777777" w:rsidR="00A32E02" w:rsidRPr="00A32E02" w:rsidRDefault="00A32E02" w:rsidP="00A32E02">
            <w:pPr>
              <w:spacing w:after="100" w:afterAutospacing="1" w:line="240" w:lineRule="auto"/>
              <w:jc w:val="left"/>
              <w:rPr>
                <w:rFonts w:ascii="NeueHaasGroteskText W02" w:eastAsia="Times New Roman" w:hAnsi="NeueHaasGroteskText W02" w:cs="Garamond"/>
                <w:b/>
                <w:bCs/>
                <w:sz w:val="16"/>
                <w:szCs w:val="16"/>
                <w:lang w:eastAsia="sk-SK"/>
              </w:rPr>
            </w:pPr>
            <w:r w:rsidRPr="00A32E02">
              <w:rPr>
                <w:rFonts w:eastAsia="Times New Roman" w:cs="Times New Roman"/>
                <w:noProof/>
                <w:sz w:val="24"/>
                <w:szCs w:val="20"/>
                <w:lang w:eastAsia="sk-SK"/>
              </w:rPr>
              <w:drawing>
                <wp:inline distT="0" distB="0" distL="0" distR="0" wp14:anchorId="7B3B64B1" wp14:editId="5A11B3A2">
                  <wp:extent cx="2505075" cy="2076450"/>
                  <wp:effectExtent l="0" t="0" r="0" b="0"/>
                  <wp:docPr id="3" name="Graf 3">
                    <a:extLst xmlns:a="http://schemas.openxmlformats.org/drawingml/2006/main">
                      <a:ext uri="{FF2B5EF4-FFF2-40B4-BE49-F238E27FC236}">
                        <a16:creationId xmlns:a16="http://schemas.microsoft.com/office/drawing/2014/main" id="{A27C6C80-2FC4-02D3-A7AD-73DE1ECC9D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A32E02" w:rsidRPr="00A32E02" w14:paraId="5BAAD26F" w14:textId="77777777" w:rsidTr="00A32E02">
        <w:trPr>
          <w:trHeight w:val="113"/>
        </w:trPr>
        <w:tc>
          <w:tcPr>
            <w:tcW w:w="2578" w:type="pct"/>
            <w:tcBorders>
              <w:top w:val="nil"/>
              <w:left w:val="nil"/>
              <w:bottom w:val="nil"/>
              <w:right w:val="nil"/>
            </w:tcBorders>
            <w:shd w:val="clear" w:color="auto" w:fill="auto"/>
          </w:tcPr>
          <w:p w14:paraId="4E16FD2B" w14:textId="5379C76C" w:rsidR="00A32E02" w:rsidRPr="00A32E02" w:rsidRDefault="00A32E02" w:rsidP="00536426">
            <w:pPr>
              <w:spacing w:after="0" w:line="240" w:lineRule="auto"/>
              <w:jc w:val="right"/>
              <w:rPr>
                <w:rFonts w:eastAsia="Times New Roman" w:cs="Times New Roman"/>
                <w:iCs/>
                <w:sz w:val="18"/>
                <w:szCs w:val="18"/>
                <w:lang w:eastAsia="sk-SK"/>
              </w:rPr>
            </w:pPr>
            <w:r w:rsidRPr="00A32E02">
              <w:rPr>
                <w:rFonts w:eastAsia="Times New Roman" w:cs="Times New Roman"/>
                <w:iCs/>
                <w:sz w:val="18"/>
                <w:szCs w:val="18"/>
                <w:lang w:eastAsia="sk-SK"/>
              </w:rPr>
              <w:t>Zdroj: ŠÚ SR, MF SR</w:t>
            </w:r>
          </w:p>
        </w:tc>
        <w:tc>
          <w:tcPr>
            <w:tcW w:w="2422" w:type="pct"/>
            <w:tcBorders>
              <w:top w:val="nil"/>
              <w:left w:val="nil"/>
              <w:bottom w:val="nil"/>
              <w:right w:val="nil"/>
            </w:tcBorders>
            <w:shd w:val="clear" w:color="auto" w:fill="auto"/>
          </w:tcPr>
          <w:p w14:paraId="62FB3EF3" w14:textId="77777777" w:rsidR="00A32E02" w:rsidRPr="00A32E02" w:rsidRDefault="00A32E02" w:rsidP="00A32E02">
            <w:pPr>
              <w:spacing w:after="0" w:line="240" w:lineRule="auto"/>
              <w:jc w:val="right"/>
              <w:rPr>
                <w:rFonts w:eastAsia="Times New Roman" w:cs="Times New Roman"/>
                <w:iCs/>
                <w:sz w:val="18"/>
                <w:szCs w:val="18"/>
                <w:lang w:eastAsia="sk-SK"/>
              </w:rPr>
            </w:pPr>
            <w:r w:rsidRPr="00A32E02">
              <w:rPr>
                <w:rFonts w:eastAsia="Times New Roman" w:cs="Times New Roman"/>
                <w:iCs/>
                <w:sz w:val="18"/>
                <w:szCs w:val="18"/>
                <w:lang w:eastAsia="sk-SK"/>
              </w:rPr>
              <w:t xml:space="preserve">Zdroj: NBS, MF SR </w:t>
            </w:r>
          </w:p>
        </w:tc>
      </w:tr>
    </w:tbl>
    <w:p w14:paraId="566B1D04" w14:textId="77777777" w:rsidR="00A32E02" w:rsidRPr="00A32E02" w:rsidRDefault="00A32E02" w:rsidP="00A32E02">
      <w:pPr>
        <w:spacing w:line="240" w:lineRule="auto"/>
        <w:rPr>
          <w:sz w:val="24"/>
          <w:szCs w:val="24"/>
        </w:rPr>
      </w:pPr>
    </w:p>
    <w:p w14:paraId="6AA20DFE" w14:textId="2D95AAF6" w:rsidR="005F5B88" w:rsidRDefault="005F5B88" w:rsidP="0008303C">
      <w:pPr>
        <w:pStyle w:val="Nadpis3"/>
      </w:pPr>
      <w:bookmarkStart w:id="15" w:name="_Toc6415633"/>
      <w:bookmarkStart w:id="16" w:name="_Toc164846929"/>
      <w:r w:rsidRPr="000F375D">
        <w:t>Porovnanie makroekonomických predpokladov rozpočtu a</w:t>
      </w:r>
      <w:r w:rsidR="00A32E02">
        <w:t> </w:t>
      </w:r>
      <w:r w:rsidRPr="000F375D">
        <w:t>skutočnosti</w:t>
      </w:r>
      <w:bookmarkEnd w:id="15"/>
      <w:bookmarkEnd w:id="16"/>
    </w:p>
    <w:p w14:paraId="4576F92E" w14:textId="77777777" w:rsidR="00A32E02" w:rsidRPr="00A32E02" w:rsidRDefault="00A32E02" w:rsidP="00A32E02">
      <w:pPr>
        <w:spacing w:line="240" w:lineRule="auto"/>
        <w:rPr>
          <w:sz w:val="24"/>
          <w:szCs w:val="24"/>
        </w:rPr>
      </w:pPr>
      <w:r w:rsidRPr="00A32E02">
        <w:rPr>
          <w:sz w:val="24"/>
          <w:szCs w:val="24"/>
        </w:rPr>
        <w:t>Vývoj reálnej ekonomiky bol priaznivejší ako očakávala prognóza MF SR použitá pri zostavovaní rozpočtu verejnej správy pre rok 2023. Pomalšia než očakávaná inflácia ukrojila menej z rastu reálnych veličín. Reálna mzda aj spotreba klesali, avšak menej než očakávala prognóza. Investície rástli oproti prognóze výrazne pomalšie. Import tovarov a služieb klesol výraznejšie než export, čo ťahalo celkový HDP nahor. Rast zamestnanosti aj pokles miery nezamestnanosti mierne prekonali prognózu.</w:t>
      </w:r>
    </w:p>
    <w:p w14:paraId="0636801B" w14:textId="77777777" w:rsidR="00A32E02" w:rsidRPr="00A32E02" w:rsidRDefault="00A32E02" w:rsidP="00A32E02">
      <w:pPr>
        <w:spacing w:line="240" w:lineRule="auto"/>
        <w:rPr>
          <w:sz w:val="24"/>
          <w:szCs w:val="24"/>
        </w:rPr>
      </w:pPr>
      <w:r w:rsidRPr="00A32E02">
        <w:rPr>
          <w:sz w:val="24"/>
          <w:szCs w:val="24"/>
        </w:rPr>
        <w:t>Z pohľadu makroekonomických základní pre dane a odvody skončil rok 2023 mierne horšie. Nižšia inflácia, než čakala prognóza, viedla k pomalšiemu rastu nominálnej mzdy. Aj napriek mierne vyššiemu rastu zamestnanosti tak mzdová báza, ktorá je najvýznamnejšou základňou pre daň z príjmu fyzických osôb a odvodov, rástla výrazne pomalšie. Rovnako pomalšie rástla aj nominálna spotreba domácností. Rýchlejšie rástli reálny aj nominálny HDP.</w:t>
      </w:r>
    </w:p>
    <w:tbl>
      <w:tblPr>
        <w:tblW w:w="9357" w:type="dxa"/>
        <w:jc w:val="center"/>
        <w:tblCellMar>
          <w:left w:w="70" w:type="dxa"/>
          <w:right w:w="70" w:type="dxa"/>
        </w:tblCellMar>
        <w:tblLook w:val="04A0" w:firstRow="1" w:lastRow="0" w:firstColumn="1" w:lastColumn="0" w:noHBand="0" w:noVBand="1"/>
      </w:tblPr>
      <w:tblGrid>
        <w:gridCol w:w="4350"/>
        <w:gridCol w:w="1323"/>
        <w:gridCol w:w="1840"/>
        <w:gridCol w:w="1844"/>
      </w:tblGrid>
      <w:tr w:rsidR="00A26BCA" w:rsidRPr="0035565B" w14:paraId="272C0002" w14:textId="77777777" w:rsidTr="00A26BCA">
        <w:trPr>
          <w:trHeight w:val="293"/>
          <w:jc w:val="center"/>
        </w:trPr>
        <w:tc>
          <w:tcPr>
            <w:tcW w:w="9357" w:type="dxa"/>
            <w:gridSpan w:val="4"/>
            <w:tcBorders>
              <w:top w:val="nil"/>
              <w:left w:val="nil"/>
              <w:bottom w:val="single" w:sz="4" w:space="0" w:color="auto"/>
            </w:tcBorders>
            <w:shd w:val="clear" w:color="000000" w:fill="auto"/>
            <w:vAlign w:val="bottom"/>
            <w:hideMark/>
          </w:tcPr>
          <w:p w14:paraId="32F61FBA" w14:textId="044538FA" w:rsidR="00A26BCA" w:rsidRPr="0035565B" w:rsidRDefault="00A26BCA" w:rsidP="000B69FA">
            <w:pPr>
              <w:spacing w:line="240" w:lineRule="auto"/>
              <w:jc w:val="left"/>
              <w:rPr>
                <w:rFonts w:cs="Times New Roman"/>
                <w:b/>
                <w:bCs/>
                <w:color w:val="5B9BD5" w:themeColor="accent1"/>
                <w:sz w:val="20"/>
                <w:szCs w:val="20"/>
              </w:rPr>
            </w:pPr>
            <w:r w:rsidRPr="0035565B">
              <w:rPr>
                <w:rFonts w:cs="Times New Roman"/>
                <w:b/>
                <w:bCs/>
                <w:color w:val="5B9BD5" w:themeColor="accent1"/>
                <w:sz w:val="20"/>
                <w:szCs w:val="20"/>
              </w:rPr>
              <w:t>Tabuľka 3 - Porovnanie skutočnosti za rok 202</w:t>
            </w:r>
            <w:r w:rsidR="00BD6B92">
              <w:rPr>
                <w:rFonts w:cs="Times New Roman"/>
                <w:b/>
                <w:bCs/>
                <w:color w:val="5B9BD5" w:themeColor="accent1"/>
                <w:sz w:val="20"/>
                <w:szCs w:val="20"/>
              </w:rPr>
              <w:t>3</w:t>
            </w:r>
            <w:r w:rsidRPr="0035565B">
              <w:rPr>
                <w:rFonts w:cs="Times New Roman"/>
                <w:b/>
                <w:bCs/>
                <w:color w:val="5B9BD5" w:themeColor="accent1"/>
                <w:sz w:val="20"/>
                <w:szCs w:val="20"/>
              </w:rPr>
              <w:t xml:space="preserve"> s predpokladmi pre tvorbu rozpočtu na roky 202</w:t>
            </w:r>
            <w:r w:rsidR="001C1318">
              <w:rPr>
                <w:rFonts w:cs="Times New Roman"/>
                <w:b/>
                <w:bCs/>
                <w:color w:val="5B9BD5" w:themeColor="accent1"/>
                <w:sz w:val="20"/>
                <w:szCs w:val="20"/>
              </w:rPr>
              <w:t>3</w:t>
            </w:r>
            <w:r w:rsidRPr="0035565B">
              <w:rPr>
                <w:rFonts w:cs="Times New Roman"/>
                <w:b/>
                <w:bCs/>
                <w:color w:val="5B9BD5" w:themeColor="accent1"/>
                <w:sz w:val="20"/>
                <w:szCs w:val="20"/>
              </w:rPr>
              <w:t>-202</w:t>
            </w:r>
            <w:r w:rsidR="001C1318">
              <w:rPr>
                <w:rFonts w:cs="Times New Roman"/>
                <w:b/>
                <w:bCs/>
                <w:color w:val="5B9BD5" w:themeColor="accent1"/>
                <w:sz w:val="20"/>
                <w:szCs w:val="20"/>
              </w:rPr>
              <w:t>5</w:t>
            </w:r>
          </w:p>
        </w:tc>
      </w:tr>
      <w:tr w:rsidR="00A26BCA" w:rsidRPr="0035565B" w14:paraId="33A7E293" w14:textId="77777777" w:rsidTr="0035565B">
        <w:tblPrEx>
          <w:shd w:val="clear" w:color="000000" w:fill="auto"/>
        </w:tblPrEx>
        <w:trPr>
          <w:trHeight w:val="80"/>
          <w:jc w:val="center"/>
        </w:trPr>
        <w:tc>
          <w:tcPr>
            <w:tcW w:w="4350" w:type="dxa"/>
            <w:tcBorders>
              <w:top w:val="nil"/>
              <w:left w:val="nil"/>
              <w:bottom w:val="single" w:sz="8" w:space="0" w:color="auto"/>
              <w:right w:val="nil"/>
            </w:tcBorders>
            <w:shd w:val="clear" w:color="000000" w:fill="auto"/>
            <w:vAlign w:val="bottom"/>
            <w:hideMark/>
          </w:tcPr>
          <w:p w14:paraId="1BE65D34" w14:textId="77777777" w:rsidR="00A26BCA" w:rsidRPr="0035565B" w:rsidRDefault="00A26BCA" w:rsidP="0035565B">
            <w:pPr>
              <w:spacing w:after="0" w:line="240" w:lineRule="auto"/>
              <w:rPr>
                <w:rFonts w:cs="Times New Roman"/>
                <w:b/>
                <w:bCs/>
                <w:color w:val="000000"/>
                <w:sz w:val="18"/>
                <w:szCs w:val="18"/>
              </w:rPr>
            </w:pPr>
            <w:r w:rsidRPr="0035565B">
              <w:rPr>
                <w:rFonts w:cs="Times New Roman"/>
                <w:b/>
                <w:bCs/>
                <w:color w:val="000000"/>
                <w:sz w:val="18"/>
                <w:szCs w:val="18"/>
              </w:rPr>
              <w:t>v %, ak nie je uvedené inak</w:t>
            </w:r>
          </w:p>
        </w:tc>
        <w:tc>
          <w:tcPr>
            <w:tcW w:w="1323" w:type="dxa"/>
            <w:tcBorders>
              <w:top w:val="nil"/>
              <w:left w:val="nil"/>
              <w:bottom w:val="single" w:sz="8" w:space="0" w:color="auto"/>
              <w:right w:val="nil"/>
            </w:tcBorders>
            <w:shd w:val="clear" w:color="000000" w:fill="auto"/>
            <w:vAlign w:val="bottom"/>
            <w:hideMark/>
          </w:tcPr>
          <w:p w14:paraId="6F925407" w14:textId="77777777" w:rsidR="00A26BCA" w:rsidRPr="0035565B" w:rsidRDefault="00A26BCA" w:rsidP="0035565B">
            <w:pPr>
              <w:spacing w:after="0" w:line="240" w:lineRule="auto"/>
              <w:jc w:val="center"/>
              <w:rPr>
                <w:rFonts w:cs="Times New Roman"/>
                <w:b/>
                <w:bCs/>
                <w:color w:val="000000"/>
                <w:sz w:val="18"/>
                <w:szCs w:val="18"/>
              </w:rPr>
            </w:pPr>
            <w:r w:rsidRPr="0035565B">
              <w:rPr>
                <w:rFonts w:cs="Times New Roman"/>
                <w:b/>
                <w:bCs/>
                <w:color w:val="000000"/>
                <w:sz w:val="18"/>
                <w:szCs w:val="18"/>
              </w:rPr>
              <w:t>Rozpočet 2023</w:t>
            </w:r>
          </w:p>
        </w:tc>
        <w:tc>
          <w:tcPr>
            <w:tcW w:w="1840" w:type="dxa"/>
            <w:tcBorders>
              <w:top w:val="nil"/>
              <w:left w:val="nil"/>
              <w:bottom w:val="single" w:sz="8" w:space="0" w:color="auto"/>
              <w:right w:val="nil"/>
            </w:tcBorders>
            <w:shd w:val="clear" w:color="000000" w:fill="auto"/>
            <w:vAlign w:val="bottom"/>
            <w:hideMark/>
          </w:tcPr>
          <w:p w14:paraId="5BAE7CF6" w14:textId="77777777" w:rsidR="00A26BCA" w:rsidRPr="0035565B" w:rsidRDefault="00A26BCA" w:rsidP="0035565B">
            <w:pPr>
              <w:spacing w:after="0" w:line="240" w:lineRule="auto"/>
              <w:jc w:val="center"/>
              <w:rPr>
                <w:rFonts w:cs="Times New Roman"/>
                <w:b/>
                <w:bCs/>
                <w:color w:val="000000"/>
                <w:sz w:val="18"/>
                <w:szCs w:val="18"/>
              </w:rPr>
            </w:pPr>
            <w:r w:rsidRPr="0035565B">
              <w:rPr>
                <w:rFonts w:cs="Times New Roman"/>
                <w:b/>
                <w:bCs/>
                <w:color w:val="000000"/>
                <w:sz w:val="18"/>
                <w:szCs w:val="18"/>
              </w:rPr>
              <w:t>Skutočnosť</w:t>
            </w:r>
          </w:p>
        </w:tc>
        <w:tc>
          <w:tcPr>
            <w:tcW w:w="1844" w:type="dxa"/>
            <w:tcBorders>
              <w:top w:val="nil"/>
              <w:left w:val="nil"/>
              <w:bottom w:val="single" w:sz="8" w:space="0" w:color="auto"/>
              <w:right w:val="nil"/>
            </w:tcBorders>
            <w:shd w:val="clear" w:color="000000" w:fill="auto"/>
            <w:vAlign w:val="bottom"/>
            <w:hideMark/>
          </w:tcPr>
          <w:p w14:paraId="4FFCE346" w14:textId="77777777" w:rsidR="00A26BCA" w:rsidRPr="0035565B" w:rsidRDefault="00A26BCA" w:rsidP="0035565B">
            <w:pPr>
              <w:spacing w:after="0" w:line="240" w:lineRule="auto"/>
              <w:jc w:val="center"/>
              <w:rPr>
                <w:rFonts w:cs="Times New Roman"/>
                <w:b/>
                <w:bCs/>
                <w:color w:val="000000"/>
                <w:sz w:val="18"/>
                <w:szCs w:val="18"/>
              </w:rPr>
            </w:pPr>
            <w:r w:rsidRPr="0035565B">
              <w:rPr>
                <w:rFonts w:cs="Times New Roman"/>
                <w:b/>
                <w:bCs/>
                <w:color w:val="000000"/>
                <w:sz w:val="18"/>
                <w:szCs w:val="18"/>
              </w:rPr>
              <w:t>Rozdiel v </w:t>
            </w:r>
            <w:proofErr w:type="spellStart"/>
            <w:r w:rsidRPr="0035565B">
              <w:rPr>
                <w:rFonts w:cs="Times New Roman"/>
                <w:b/>
                <w:bCs/>
                <w:color w:val="000000"/>
                <w:sz w:val="18"/>
                <w:szCs w:val="18"/>
              </w:rPr>
              <w:t>p.b</w:t>
            </w:r>
            <w:proofErr w:type="spellEnd"/>
            <w:r w:rsidRPr="0035565B">
              <w:rPr>
                <w:rFonts w:cs="Times New Roman"/>
                <w:b/>
                <w:bCs/>
                <w:color w:val="000000"/>
                <w:sz w:val="18"/>
                <w:szCs w:val="18"/>
              </w:rPr>
              <w:t>.</w:t>
            </w:r>
          </w:p>
        </w:tc>
      </w:tr>
      <w:tr w:rsidR="00A26BCA" w:rsidRPr="0035565B" w14:paraId="47576A87" w14:textId="77777777" w:rsidTr="0035565B">
        <w:tblPrEx>
          <w:shd w:val="clear" w:color="000000" w:fill="auto"/>
        </w:tblPrEx>
        <w:trPr>
          <w:trHeight w:val="268"/>
          <w:jc w:val="center"/>
        </w:trPr>
        <w:tc>
          <w:tcPr>
            <w:tcW w:w="4350" w:type="dxa"/>
            <w:tcBorders>
              <w:top w:val="nil"/>
              <w:left w:val="nil"/>
              <w:bottom w:val="nil"/>
              <w:right w:val="nil"/>
            </w:tcBorders>
            <w:shd w:val="clear" w:color="000000" w:fill="auto"/>
            <w:vAlign w:val="bottom"/>
            <w:hideMark/>
          </w:tcPr>
          <w:p w14:paraId="4AABFBB1" w14:textId="77777777" w:rsidR="00A26BCA" w:rsidRPr="0035565B" w:rsidRDefault="00A26BCA" w:rsidP="0035565B">
            <w:pPr>
              <w:spacing w:after="0" w:line="240" w:lineRule="auto"/>
              <w:rPr>
                <w:rFonts w:cs="Times New Roman"/>
                <w:color w:val="000000"/>
                <w:sz w:val="18"/>
                <w:szCs w:val="18"/>
              </w:rPr>
            </w:pPr>
            <w:r w:rsidRPr="0035565B">
              <w:rPr>
                <w:rFonts w:cs="Times New Roman"/>
                <w:color w:val="000000"/>
                <w:sz w:val="18"/>
                <w:szCs w:val="18"/>
              </w:rPr>
              <w:t>Hrubý domáci produkt,  reálny rast</w:t>
            </w:r>
          </w:p>
        </w:tc>
        <w:tc>
          <w:tcPr>
            <w:tcW w:w="1323" w:type="dxa"/>
            <w:tcBorders>
              <w:top w:val="nil"/>
              <w:left w:val="nil"/>
              <w:bottom w:val="nil"/>
              <w:right w:val="nil"/>
            </w:tcBorders>
            <w:shd w:val="clear" w:color="000000" w:fill="auto"/>
            <w:vAlign w:val="bottom"/>
            <w:hideMark/>
          </w:tcPr>
          <w:p w14:paraId="42E38A6B"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0,6</w:t>
            </w:r>
          </w:p>
        </w:tc>
        <w:tc>
          <w:tcPr>
            <w:tcW w:w="1840" w:type="dxa"/>
            <w:tcBorders>
              <w:top w:val="nil"/>
              <w:left w:val="nil"/>
              <w:bottom w:val="nil"/>
              <w:right w:val="nil"/>
            </w:tcBorders>
            <w:shd w:val="clear" w:color="000000" w:fill="auto"/>
            <w:vAlign w:val="bottom"/>
            <w:hideMark/>
          </w:tcPr>
          <w:p w14:paraId="2E4211E6" w14:textId="6DE5A770" w:rsidR="00A26BCA" w:rsidRPr="0035565B" w:rsidRDefault="006C1451" w:rsidP="0035565B">
            <w:pPr>
              <w:spacing w:after="0" w:line="240" w:lineRule="auto"/>
              <w:jc w:val="center"/>
              <w:rPr>
                <w:rFonts w:cs="Times New Roman"/>
                <w:color w:val="000000"/>
                <w:sz w:val="18"/>
                <w:szCs w:val="18"/>
              </w:rPr>
            </w:pPr>
            <w:r>
              <w:rPr>
                <w:rFonts w:cs="Times New Roman"/>
                <w:color w:val="000000"/>
                <w:sz w:val="18"/>
                <w:szCs w:val="18"/>
              </w:rPr>
              <w:t>1,6</w:t>
            </w:r>
          </w:p>
        </w:tc>
        <w:tc>
          <w:tcPr>
            <w:tcW w:w="1844" w:type="dxa"/>
            <w:tcBorders>
              <w:top w:val="nil"/>
              <w:left w:val="nil"/>
              <w:bottom w:val="nil"/>
              <w:right w:val="nil"/>
            </w:tcBorders>
            <w:shd w:val="clear" w:color="000000" w:fill="auto"/>
            <w:vAlign w:val="bottom"/>
            <w:hideMark/>
          </w:tcPr>
          <w:p w14:paraId="37B57507" w14:textId="0B83673F" w:rsidR="00A26BCA" w:rsidRPr="0035565B" w:rsidRDefault="00A26BCA" w:rsidP="006C1451">
            <w:pPr>
              <w:spacing w:after="0" w:line="240" w:lineRule="auto"/>
              <w:jc w:val="center"/>
              <w:rPr>
                <w:rFonts w:cs="Times New Roman"/>
                <w:color w:val="000000"/>
                <w:sz w:val="18"/>
                <w:szCs w:val="18"/>
              </w:rPr>
            </w:pPr>
            <w:r w:rsidRPr="0035565B">
              <w:rPr>
                <w:rFonts w:cs="Times New Roman"/>
                <w:color w:val="000000"/>
                <w:sz w:val="18"/>
                <w:szCs w:val="18"/>
              </w:rPr>
              <w:t>+</w:t>
            </w:r>
            <w:r w:rsidR="006C1451">
              <w:rPr>
                <w:rFonts w:cs="Times New Roman"/>
                <w:color w:val="000000"/>
                <w:sz w:val="18"/>
                <w:szCs w:val="18"/>
              </w:rPr>
              <w:t>1</w:t>
            </w:r>
            <w:r w:rsidRPr="0035565B">
              <w:rPr>
                <w:rFonts w:cs="Times New Roman"/>
                <w:color w:val="000000"/>
                <w:sz w:val="18"/>
                <w:szCs w:val="18"/>
              </w:rPr>
              <w:t>,</w:t>
            </w:r>
            <w:r w:rsidR="006C1451">
              <w:rPr>
                <w:rFonts w:cs="Times New Roman"/>
                <w:color w:val="000000"/>
                <w:sz w:val="18"/>
                <w:szCs w:val="18"/>
              </w:rPr>
              <w:t>0</w:t>
            </w:r>
          </w:p>
        </w:tc>
      </w:tr>
      <w:tr w:rsidR="00A26BCA" w:rsidRPr="0035565B" w14:paraId="0EDC06B2" w14:textId="77777777" w:rsidTr="0035565B">
        <w:tblPrEx>
          <w:shd w:val="clear" w:color="000000" w:fill="auto"/>
        </w:tblPrEx>
        <w:trPr>
          <w:trHeight w:val="268"/>
          <w:jc w:val="center"/>
        </w:trPr>
        <w:tc>
          <w:tcPr>
            <w:tcW w:w="4350" w:type="dxa"/>
            <w:tcBorders>
              <w:top w:val="nil"/>
              <w:left w:val="nil"/>
              <w:bottom w:val="nil"/>
              <w:right w:val="nil"/>
            </w:tcBorders>
            <w:shd w:val="clear" w:color="000000" w:fill="auto"/>
            <w:vAlign w:val="bottom"/>
            <w:hideMark/>
          </w:tcPr>
          <w:p w14:paraId="7F9EA6D7" w14:textId="2FC26E1D" w:rsidR="00A26BCA" w:rsidRPr="0035565B" w:rsidRDefault="00A26BCA" w:rsidP="00D65BED">
            <w:pPr>
              <w:spacing w:after="0" w:line="240" w:lineRule="auto"/>
              <w:rPr>
                <w:rFonts w:cs="Times New Roman"/>
                <w:color w:val="000000"/>
                <w:sz w:val="18"/>
                <w:szCs w:val="18"/>
              </w:rPr>
            </w:pPr>
            <w:r w:rsidRPr="0035565B">
              <w:rPr>
                <w:rFonts w:cs="Times New Roman"/>
                <w:color w:val="000000"/>
                <w:sz w:val="18"/>
                <w:szCs w:val="18"/>
              </w:rPr>
              <w:t xml:space="preserve">Hrubý domáci produkt v bežných cenách mld. </w:t>
            </w:r>
            <w:r w:rsidR="00D65BED">
              <w:rPr>
                <w:rFonts w:cs="Times New Roman"/>
                <w:color w:val="000000"/>
                <w:sz w:val="18"/>
                <w:szCs w:val="18"/>
              </w:rPr>
              <w:t>e</w:t>
            </w:r>
            <w:r w:rsidRPr="0035565B">
              <w:rPr>
                <w:rFonts w:cs="Times New Roman"/>
                <w:color w:val="000000"/>
                <w:sz w:val="18"/>
                <w:szCs w:val="18"/>
              </w:rPr>
              <w:t>ur</w:t>
            </w:r>
          </w:p>
        </w:tc>
        <w:tc>
          <w:tcPr>
            <w:tcW w:w="1323" w:type="dxa"/>
            <w:tcBorders>
              <w:top w:val="nil"/>
              <w:left w:val="nil"/>
              <w:bottom w:val="nil"/>
              <w:right w:val="nil"/>
            </w:tcBorders>
            <w:shd w:val="clear" w:color="000000" w:fill="auto"/>
            <w:vAlign w:val="bottom"/>
            <w:hideMark/>
          </w:tcPr>
          <w:p w14:paraId="0473723B"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120,6</w:t>
            </w:r>
          </w:p>
        </w:tc>
        <w:tc>
          <w:tcPr>
            <w:tcW w:w="1840" w:type="dxa"/>
            <w:tcBorders>
              <w:top w:val="nil"/>
              <w:left w:val="nil"/>
              <w:bottom w:val="nil"/>
              <w:right w:val="nil"/>
            </w:tcBorders>
            <w:shd w:val="clear" w:color="000000" w:fill="auto"/>
            <w:noWrap/>
            <w:vAlign w:val="bottom"/>
            <w:hideMark/>
          </w:tcPr>
          <w:p w14:paraId="5BF1F91B" w14:textId="2DFAEDC8" w:rsidR="00A26BCA" w:rsidRPr="0035565B" w:rsidRDefault="00A26BCA" w:rsidP="006C1451">
            <w:pPr>
              <w:spacing w:after="0" w:line="240" w:lineRule="auto"/>
              <w:jc w:val="center"/>
              <w:rPr>
                <w:rFonts w:cs="Times New Roman"/>
                <w:color w:val="000000"/>
                <w:sz w:val="18"/>
                <w:szCs w:val="18"/>
              </w:rPr>
            </w:pPr>
            <w:r w:rsidRPr="0035565B">
              <w:rPr>
                <w:rFonts w:cs="Times New Roman"/>
                <w:color w:val="000000"/>
                <w:sz w:val="18"/>
                <w:szCs w:val="18"/>
              </w:rPr>
              <w:t>122,</w:t>
            </w:r>
            <w:r w:rsidR="006C1451">
              <w:rPr>
                <w:rFonts w:cs="Times New Roman"/>
                <w:color w:val="000000"/>
                <w:sz w:val="18"/>
                <w:szCs w:val="18"/>
              </w:rPr>
              <w:t>8</w:t>
            </w:r>
          </w:p>
        </w:tc>
        <w:tc>
          <w:tcPr>
            <w:tcW w:w="1844" w:type="dxa"/>
            <w:tcBorders>
              <w:top w:val="nil"/>
              <w:left w:val="nil"/>
              <w:bottom w:val="nil"/>
              <w:right w:val="nil"/>
            </w:tcBorders>
            <w:shd w:val="clear" w:color="000000" w:fill="auto"/>
            <w:vAlign w:val="bottom"/>
            <w:hideMark/>
          </w:tcPr>
          <w:p w14:paraId="6CEE5912" w14:textId="05A0F122"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w:t>
            </w:r>
            <w:r w:rsidR="006C1451">
              <w:rPr>
                <w:rFonts w:cs="Times New Roman"/>
                <w:color w:val="000000"/>
                <w:sz w:val="18"/>
                <w:szCs w:val="18"/>
              </w:rPr>
              <w:t>2,2</w:t>
            </w:r>
          </w:p>
        </w:tc>
      </w:tr>
      <w:tr w:rsidR="00A26BCA" w:rsidRPr="0035565B" w14:paraId="46EBD695" w14:textId="77777777" w:rsidTr="0035565B">
        <w:tblPrEx>
          <w:shd w:val="clear" w:color="000000" w:fill="auto"/>
        </w:tblPrEx>
        <w:trPr>
          <w:trHeight w:val="268"/>
          <w:jc w:val="center"/>
        </w:trPr>
        <w:tc>
          <w:tcPr>
            <w:tcW w:w="4350" w:type="dxa"/>
            <w:tcBorders>
              <w:top w:val="nil"/>
              <w:left w:val="nil"/>
              <w:bottom w:val="nil"/>
              <w:right w:val="nil"/>
            </w:tcBorders>
            <w:shd w:val="clear" w:color="000000" w:fill="auto"/>
            <w:vAlign w:val="bottom"/>
            <w:hideMark/>
          </w:tcPr>
          <w:p w14:paraId="29F99795" w14:textId="77777777" w:rsidR="00A26BCA" w:rsidRPr="0035565B" w:rsidRDefault="00A26BCA" w:rsidP="0035565B">
            <w:pPr>
              <w:spacing w:after="0" w:line="240" w:lineRule="auto"/>
              <w:rPr>
                <w:rFonts w:cs="Times New Roman"/>
                <w:color w:val="000000"/>
                <w:sz w:val="18"/>
                <w:szCs w:val="18"/>
              </w:rPr>
            </w:pPr>
            <w:r w:rsidRPr="0035565B">
              <w:rPr>
                <w:rFonts w:cs="Times New Roman"/>
                <w:color w:val="000000"/>
                <w:sz w:val="18"/>
                <w:szCs w:val="18"/>
              </w:rPr>
              <w:t>Konečná spotreba domácností a NISD,  reálny rast</w:t>
            </w:r>
          </w:p>
        </w:tc>
        <w:tc>
          <w:tcPr>
            <w:tcW w:w="1323" w:type="dxa"/>
            <w:tcBorders>
              <w:top w:val="nil"/>
              <w:left w:val="nil"/>
              <w:bottom w:val="nil"/>
              <w:right w:val="nil"/>
            </w:tcBorders>
            <w:shd w:val="clear" w:color="000000" w:fill="auto"/>
            <w:vAlign w:val="bottom"/>
            <w:hideMark/>
          </w:tcPr>
          <w:p w14:paraId="6738FC74"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-3,7</w:t>
            </w:r>
          </w:p>
        </w:tc>
        <w:tc>
          <w:tcPr>
            <w:tcW w:w="1840" w:type="dxa"/>
            <w:tcBorders>
              <w:top w:val="nil"/>
              <w:left w:val="nil"/>
              <w:bottom w:val="nil"/>
              <w:right w:val="nil"/>
            </w:tcBorders>
            <w:shd w:val="clear" w:color="000000" w:fill="auto"/>
            <w:vAlign w:val="bottom"/>
            <w:hideMark/>
          </w:tcPr>
          <w:p w14:paraId="1039D95E" w14:textId="6E87410B" w:rsidR="00A26BCA" w:rsidRPr="0035565B" w:rsidRDefault="006C1451" w:rsidP="0035565B">
            <w:pPr>
              <w:spacing w:after="0" w:line="240" w:lineRule="auto"/>
              <w:jc w:val="center"/>
              <w:rPr>
                <w:rFonts w:cs="Times New Roman"/>
                <w:color w:val="000000"/>
                <w:sz w:val="18"/>
                <w:szCs w:val="18"/>
                <w:lang w:val="en-US"/>
              </w:rPr>
            </w:pPr>
            <w:r>
              <w:rPr>
                <w:rFonts w:cs="Times New Roman"/>
                <w:color w:val="000000"/>
                <w:sz w:val="18"/>
                <w:szCs w:val="18"/>
                <w:lang w:val="en-US"/>
              </w:rPr>
              <w:t>-3,1</w:t>
            </w:r>
          </w:p>
        </w:tc>
        <w:tc>
          <w:tcPr>
            <w:tcW w:w="1844" w:type="dxa"/>
            <w:tcBorders>
              <w:top w:val="nil"/>
              <w:left w:val="nil"/>
              <w:bottom w:val="nil"/>
              <w:right w:val="nil"/>
            </w:tcBorders>
            <w:shd w:val="clear" w:color="000000" w:fill="auto"/>
            <w:vAlign w:val="bottom"/>
            <w:hideMark/>
          </w:tcPr>
          <w:p w14:paraId="16549BDB" w14:textId="63030E31" w:rsidR="00A26BCA" w:rsidRPr="0035565B" w:rsidRDefault="006C1451" w:rsidP="0035565B">
            <w:pPr>
              <w:spacing w:after="0" w:line="240" w:lineRule="auto"/>
              <w:jc w:val="center"/>
              <w:rPr>
                <w:rFonts w:cs="Times New Roman"/>
                <w:color w:val="000000"/>
                <w:sz w:val="18"/>
                <w:szCs w:val="18"/>
              </w:rPr>
            </w:pPr>
            <w:r>
              <w:rPr>
                <w:rFonts w:cs="Times New Roman"/>
                <w:color w:val="000000"/>
                <w:sz w:val="18"/>
                <w:szCs w:val="18"/>
              </w:rPr>
              <w:t>+0,6</w:t>
            </w:r>
          </w:p>
        </w:tc>
      </w:tr>
      <w:tr w:rsidR="00A26BCA" w:rsidRPr="0035565B" w14:paraId="3A18C028" w14:textId="77777777" w:rsidTr="0035565B">
        <w:tblPrEx>
          <w:shd w:val="clear" w:color="000000" w:fill="auto"/>
        </w:tblPrEx>
        <w:trPr>
          <w:trHeight w:val="268"/>
          <w:jc w:val="center"/>
        </w:trPr>
        <w:tc>
          <w:tcPr>
            <w:tcW w:w="4350" w:type="dxa"/>
            <w:tcBorders>
              <w:top w:val="nil"/>
              <w:left w:val="nil"/>
              <w:bottom w:val="nil"/>
              <w:right w:val="nil"/>
            </w:tcBorders>
            <w:shd w:val="clear" w:color="000000" w:fill="auto"/>
            <w:vAlign w:val="bottom"/>
            <w:hideMark/>
          </w:tcPr>
          <w:p w14:paraId="6093EA8B" w14:textId="77777777" w:rsidR="00A26BCA" w:rsidRPr="0035565B" w:rsidRDefault="00A26BCA" w:rsidP="0035565B">
            <w:pPr>
              <w:spacing w:after="0" w:line="240" w:lineRule="auto"/>
              <w:rPr>
                <w:rFonts w:cs="Times New Roman"/>
                <w:color w:val="000000"/>
                <w:sz w:val="18"/>
                <w:szCs w:val="18"/>
              </w:rPr>
            </w:pPr>
            <w:r w:rsidRPr="0035565B">
              <w:rPr>
                <w:rFonts w:cs="Times New Roman"/>
                <w:color w:val="000000"/>
                <w:sz w:val="18"/>
                <w:szCs w:val="18"/>
              </w:rPr>
              <w:t>Konečná spotreba domácností a NISD,  nominálny rast</w:t>
            </w:r>
          </w:p>
        </w:tc>
        <w:tc>
          <w:tcPr>
            <w:tcW w:w="1323" w:type="dxa"/>
            <w:tcBorders>
              <w:top w:val="nil"/>
              <w:left w:val="nil"/>
              <w:bottom w:val="nil"/>
              <w:right w:val="nil"/>
            </w:tcBorders>
            <w:shd w:val="clear" w:color="000000" w:fill="auto"/>
            <w:vAlign w:val="bottom"/>
            <w:hideMark/>
          </w:tcPr>
          <w:p w14:paraId="2599BD3A"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9,5</w:t>
            </w:r>
          </w:p>
        </w:tc>
        <w:tc>
          <w:tcPr>
            <w:tcW w:w="1840" w:type="dxa"/>
            <w:tcBorders>
              <w:top w:val="nil"/>
              <w:left w:val="nil"/>
              <w:bottom w:val="nil"/>
              <w:right w:val="nil"/>
            </w:tcBorders>
            <w:shd w:val="clear" w:color="000000" w:fill="auto"/>
            <w:vAlign w:val="bottom"/>
            <w:hideMark/>
          </w:tcPr>
          <w:p w14:paraId="15FD0EAC" w14:textId="734AE44C" w:rsidR="00A26BCA" w:rsidRPr="0035565B" w:rsidRDefault="006C1451" w:rsidP="0035565B">
            <w:pPr>
              <w:spacing w:after="0" w:line="240" w:lineRule="auto"/>
              <w:jc w:val="center"/>
              <w:rPr>
                <w:rFonts w:cs="Times New Roman"/>
                <w:color w:val="000000"/>
                <w:sz w:val="18"/>
                <w:szCs w:val="18"/>
              </w:rPr>
            </w:pPr>
            <w:r>
              <w:rPr>
                <w:rFonts w:cs="Times New Roman"/>
                <w:color w:val="000000"/>
                <w:sz w:val="18"/>
                <w:szCs w:val="18"/>
              </w:rPr>
              <w:t>6,8</w:t>
            </w:r>
          </w:p>
        </w:tc>
        <w:tc>
          <w:tcPr>
            <w:tcW w:w="1844" w:type="dxa"/>
            <w:tcBorders>
              <w:top w:val="nil"/>
              <w:left w:val="nil"/>
              <w:bottom w:val="nil"/>
              <w:right w:val="nil"/>
            </w:tcBorders>
            <w:shd w:val="clear" w:color="000000" w:fill="auto"/>
            <w:vAlign w:val="bottom"/>
            <w:hideMark/>
          </w:tcPr>
          <w:p w14:paraId="2828A398" w14:textId="071444CD" w:rsidR="00A26BCA" w:rsidRPr="0035565B" w:rsidRDefault="006C1451" w:rsidP="0035565B">
            <w:pPr>
              <w:spacing w:after="0" w:line="240" w:lineRule="auto"/>
              <w:jc w:val="center"/>
              <w:rPr>
                <w:rFonts w:cs="Times New Roman"/>
                <w:color w:val="000000"/>
                <w:sz w:val="18"/>
                <w:szCs w:val="18"/>
              </w:rPr>
            </w:pPr>
            <w:r>
              <w:rPr>
                <w:rFonts w:cs="Times New Roman"/>
                <w:color w:val="000000"/>
                <w:sz w:val="18"/>
                <w:szCs w:val="18"/>
              </w:rPr>
              <w:t>-2,7</w:t>
            </w:r>
          </w:p>
        </w:tc>
      </w:tr>
      <w:tr w:rsidR="00A26BCA" w:rsidRPr="0035565B" w14:paraId="56CB9FBC" w14:textId="77777777" w:rsidTr="0035565B">
        <w:tblPrEx>
          <w:shd w:val="clear" w:color="000000" w:fill="auto"/>
        </w:tblPrEx>
        <w:trPr>
          <w:trHeight w:val="268"/>
          <w:jc w:val="center"/>
        </w:trPr>
        <w:tc>
          <w:tcPr>
            <w:tcW w:w="4350" w:type="dxa"/>
            <w:tcBorders>
              <w:top w:val="nil"/>
              <w:left w:val="nil"/>
              <w:bottom w:val="nil"/>
              <w:right w:val="nil"/>
            </w:tcBorders>
            <w:shd w:val="clear" w:color="000000" w:fill="auto"/>
            <w:vAlign w:val="bottom"/>
            <w:hideMark/>
          </w:tcPr>
          <w:p w14:paraId="62909260" w14:textId="77777777" w:rsidR="00A26BCA" w:rsidRPr="0035565B" w:rsidRDefault="00A26BCA" w:rsidP="0035565B">
            <w:pPr>
              <w:spacing w:after="0" w:line="240" w:lineRule="auto"/>
              <w:rPr>
                <w:rFonts w:cs="Times New Roman"/>
                <w:color w:val="000000"/>
                <w:sz w:val="18"/>
                <w:szCs w:val="18"/>
              </w:rPr>
            </w:pPr>
            <w:r w:rsidRPr="0035565B">
              <w:rPr>
                <w:rFonts w:cs="Times New Roman"/>
                <w:color w:val="000000"/>
                <w:sz w:val="18"/>
                <w:szCs w:val="18"/>
              </w:rPr>
              <w:t>Priemerná mesačná mzda,  reálny rast</w:t>
            </w:r>
          </w:p>
        </w:tc>
        <w:tc>
          <w:tcPr>
            <w:tcW w:w="1323" w:type="dxa"/>
            <w:tcBorders>
              <w:top w:val="nil"/>
              <w:left w:val="nil"/>
              <w:bottom w:val="nil"/>
              <w:right w:val="nil"/>
            </w:tcBorders>
            <w:shd w:val="clear" w:color="000000" w:fill="auto"/>
            <w:vAlign w:val="bottom"/>
            <w:hideMark/>
          </w:tcPr>
          <w:p w14:paraId="5F4C5087"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-2,7</w:t>
            </w:r>
          </w:p>
        </w:tc>
        <w:tc>
          <w:tcPr>
            <w:tcW w:w="1840" w:type="dxa"/>
            <w:tcBorders>
              <w:top w:val="nil"/>
              <w:left w:val="nil"/>
              <w:bottom w:val="nil"/>
              <w:right w:val="nil"/>
            </w:tcBorders>
            <w:shd w:val="clear" w:color="000000" w:fill="auto"/>
            <w:vAlign w:val="bottom"/>
            <w:hideMark/>
          </w:tcPr>
          <w:p w14:paraId="0DBA3B37"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-0,8</w:t>
            </w:r>
          </w:p>
        </w:tc>
        <w:tc>
          <w:tcPr>
            <w:tcW w:w="1844" w:type="dxa"/>
            <w:tcBorders>
              <w:top w:val="nil"/>
              <w:left w:val="nil"/>
              <w:bottom w:val="nil"/>
              <w:right w:val="nil"/>
            </w:tcBorders>
            <w:shd w:val="clear" w:color="000000" w:fill="auto"/>
            <w:vAlign w:val="bottom"/>
            <w:hideMark/>
          </w:tcPr>
          <w:p w14:paraId="3C7E5D3C"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+1,9</w:t>
            </w:r>
          </w:p>
        </w:tc>
      </w:tr>
      <w:tr w:rsidR="00A26BCA" w:rsidRPr="0035565B" w14:paraId="6ED63D07" w14:textId="77777777" w:rsidTr="0035565B">
        <w:tblPrEx>
          <w:shd w:val="clear" w:color="000000" w:fill="auto"/>
        </w:tblPrEx>
        <w:trPr>
          <w:trHeight w:val="268"/>
          <w:jc w:val="center"/>
        </w:trPr>
        <w:tc>
          <w:tcPr>
            <w:tcW w:w="4350" w:type="dxa"/>
            <w:tcBorders>
              <w:top w:val="nil"/>
              <w:left w:val="nil"/>
              <w:bottom w:val="nil"/>
              <w:right w:val="nil"/>
            </w:tcBorders>
            <w:shd w:val="clear" w:color="000000" w:fill="auto"/>
            <w:vAlign w:val="bottom"/>
            <w:hideMark/>
          </w:tcPr>
          <w:p w14:paraId="5CBBE070" w14:textId="77777777" w:rsidR="00A26BCA" w:rsidRPr="0035565B" w:rsidRDefault="00A26BCA" w:rsidP="0035565B">
            <w:pPr>
              <w:spacing w:after="0" w:line="240" w:lineRule="auto"/>
              <w:rPr>
                <w:rFonts w:cs="Times New Roman"/>
                <w:color w:val="000000"/>
                <w:sz w:val="18"/>
                <w:szCs w:val="18"/>
              </w:rPr>
            </w:pPr>
            <w:r w:rsidRPr="0035565B">
              <w:rPr>
                <w:rFonts w:cs="Times New Roman"/>
                <w:color w:val="000000"/>
                <w:sz w:val="18"/>
                <w:szCs w:val="18"/>
              </w:rPr>
              <w:t>Priemerná mesačná mzda,  nominálny rast</w:t>
            </w:r>
          </w:p>
        </w:tc>
        <w:tc>
          <w:tcPr>
            <w:tcW w:w="1323" w:type="dxa"/>
            <w:tcBorders>
              <w:top w:val="nil"/>
              <w:left w:val="nil"/>
              <w:bottom w:val="nil"/>
              <w:right w:val="nil"/>
            </w:tcBorders>
            <w:shd w:val="clear" w:color="000000" w:fill="auto"/>
            <w:vAlign w:val="bottom"/>
            <w:hideMark/>
          </w:tcPr>
          <w:p w14:paraId="2E9E0D2B"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10,4</w:t>
            </w:r>
          </w:p>
        </w:tc>
        <w:tc>
          <w:tcPr>
            <w:tcW w:w="1840" w:type="dxa"/>
            <w:tcBorders>
              <w:top w:val="nil"/>
              <w:left w:val="nil"/>
              <w:bottom w:val="nil"/>
              <w:right w:val="nil"/>
            </w:tcBorders>
            <w:shd w:val="clear" w:color="000000" w:fill="auto"/>
            <w:vAlign w:val="bottom"/>
            <w:hideMark/>
          </w:tcPr>
          <w:p w14:paraId="006BF45B"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9,7</w:t>
            </w:r>
          </w:p>
        </w:tc>
        <w:tc>
          <w:tcPr>
            <w:tcW w:w="1844" w:type="dxa"/>
            <w:tcBorders>
              <w:top w:val="nil"/>
              <w:left w:val="nil"/>
              <w:bottom w:val="nil"/>
              <w:right w:val="nil"/>
            </w:tcBorders>
            <w:shd w:val="clear" w:color="000000" w:fill="auto"/>
            <w:vAlign w:val="bottom"/>
            <w:hideMark/>
          </w:tcPr>
          <w:p w14:paraId="4889F058"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-0,7</w:t>
            </w:r>
          </w:p>
        </w:tc>
      </w:tr>
      <w:tr w:rsidR="00A26BCA" w:rsidRPr="0035565B" w14:paraId="4BBC127B" w14:textId="77777777" w:rsidTr="0035565B">
        <w:tblPrEx>
          <w:shd w:val="clear" w:color="000000" w:fill="auto"/>
        </w:tblPrEx>
        <w:trPr>
          <w:trHeight w:val="268"/>
          <w:jc w:val="center"/>
        </w:trPr>
        <w:tc>
          <w:tcPr>
            <w:tcW w:w="4350" w:type="dxa"/>
            <w:tcBorders>
              <w:top w:val="nil"/>
              <w:left w:val="nil"/>
              <w:bottom w:val="nil"/>
              <w:right w:val="nil"/>
            </w:tcBorders>
            <w:shd w:val="clear" w:color="000000" w:fill="auto"/>
            <w:vAlign w:val="bottom"/>
            <w:hideMark/>
          </w:tcPr>
          <w:p w14:paraId="2BF031C7" w14:textId="77777777" w:rsidR="00A26BCA" w:rsidRPr="0035565B" w:rsidRDefault="00A26BCA" w:rsidP="0035565B">
            <w:pPr>
              <w:spacing w:after="0" w:line="240" w:lineRule="auto"/>
              <w:rPr>
                <w:rFonts w:cs="Times New Roman"/>
                <w:color w:val="000000"/>
                <w:sz w:val="18"/>
                <w:szCs w:val="18"/>
              </w:rPr>
            </w:pPr>
            <w:r w:rsidRPr="0035565B">
              <w:rPr>
                <w:rFonts w:cs="Times New Roman"/>
                <w:color w:val="000000"/>
                <w:sz w:val="18"/>
                <w:szCs w:val="18"/>
              </w:rPr>
              <w:t>Zamestnanosť (ESA)</w:t>
            </w:r>
          </w:p>
        </w:tc>
        <w:tc>
          <w:tcPr>
            <w:tcW w:w="1323" w:type="dxa"/>
            <w:tcBorders>
              <w:top w:val="nil"/>
              <w:left w:val="nil"/>
              <w:bottom w:val="nil"/>
              <w:right w:val="nil"/>
            </w:tcBorders>
            <w:shd w:val="clear" w:color="000000" w:fill="auto"/>
            <w:vAlign w:val="bottom"/>
            <w:hideMark/>
          </w:tcPr>
          <w:p w14:paraId="38B25910"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0,2</w:t>
            </w:r>
          </w:p>
        </w:tc>
        <w:tc>
          <w:tcPr>
            <w:tcW w:w="1840" w:type="dxa"/>
            <w:tcBorders>
              <w:top w:val="nil"/>
              <w:left w:val="nil"/>
              <w:bottom w:val="nil"/>
              <w:right w:val="nil"/>
            </w:tcBorders>
            <w:shd w:val="clear" w:color="000000" w:fill="auto"/>
            <w:vAlign w:val="bottom"/>
            <w:hideMark/>
          </w:tcPr>
          <w:p w14:paraId="2D0F9660"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0,3</w:t>
            </w:r>
          </w:p>
        </w:tc>
        <w:tc>
          <w:tcPr>
            <w:tcW w:w="1844" w:type="dxa"/>
            <w:tcBorders>
              <w:top w:val="nil"/>
              <w:left w:val="nil"/>
              <w:bottom w:val="nil"/>
              <w:right w:val="nil"/>
            </w:tcBorders>
            <w:shd w:val="clear" w:color="000000" w:fill="auto"/>
            <w:vAlign w:val="bottom"/>
            <w:hideMark/>
          </w:tcPr>
          <w:p w14:paraId="4A08B95D"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+0,1</w:t>
            </w:r>
          </w:p>
        </w:tc>
      </w:tr>
      <w:tr w:rsidR="00A26BCA" w:rsidRPr="0035565B" w14:paraId="2BFF7157" w14:textId="77777777" w:rsidTr="0035565B">
        <w:tblPrEx>
          <w:shd w:val="clear" w:color="000000" w:fill="auto"/>
        </w:tblPrEx>
        <w:trPr>
          <w:trHeight w:val="268"/>
          <w:jc w:val="center"/>
        </w:trPr>
        <w:tc>
          <w:tcPr>
            <w:tcW w:w="4350" w:type="dxa"/>
            <w:tcBorders>
              <w:top w:val="nil"/>
              <w:left w:val="nil"/>
              <w:bottom w:val="nil"/>
              <w:right w:val="nil"/>
            </w:tcBorders>
            <w:shd w:val="clear" w:color="000000" w:fill="auto"/>
            <w:vAlign w:val="bottom"/>
          </w:tcPr>
          <w:p w14:paraId="091DCF87" w14:textId="77777777" w:rsidR="00A26BCA" w:rsidRPr="0035565B" w:rsidRDefault="00A26BCA" w:rsidP="0035565B">
            <w:pPr>
              <w:spacing w:after="0" w:line="240" w:lineRule="auto"/>
              <w:rPr>
                <w:rFonts w:cs="Times New Roman"/>
                <w:color w:val="000000"/>
                <w:sz w:val="18"/>
                <w:szCs w:val="18"/>
              </w:rPr>
            </w:pPr>
            <w:r w:rsidRPr="0035565B">
              <w:rPr>
                <w:rFonts w:cs="Times New Roman"/>
                <w:color w:val="000000"/>
                <w:sz w:val="18"/>
                <w:szCs w:val="18"/>
              </w:rPr>
              <w:t>Miera nezamestnanosti (VZPS)</w:t>
            </w:r>
          </w:p>
        </w:tc>
        <w:tc>
          <w:tcPr>
            <w:tcW w:w="1323" w:type="dxa"/>
            <w:tcBorders>
              <w:top w:val="nil"/>
              <w:left w:val="nil"/>
              <w:bottom w:val="nil"/>
              <w:right w:val="nil"/>
            </w:tcBorders>
            <w:shd w:val="clear" w:color="000000" w:fill="auto"/>
            <w:vAlign w:val="bottom"/>
          </w:tcPr>
          <w:p w14:paraId="57AF3586"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6,1</w:t>
            </w:r>
          </w:p>
        </w:tc>
        <w:tc>
          <w:tcPr>
            <w:tcW w:w="1840" w:type="dxa"/>
            <w:tcBorders>
              <w:top w:val="nil"/>
              <w:left w:val="nil"/>
              <w:bottom w:val="nil"/>
              <w:right w:val="nil"/>
            </w:tcBorders>
            <w:shd w:val="clear" w:color="000000" w:fill="auto"/>
            <w:vAlign w:val="bottom"/>
          </w:tcPr>
          <w:p w14:paraId="77A53A75"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5,8</w:t>
            </w:r>
          </w:p>
        </w:tc>
        <w:tc>
          <w:tcPr>
            <w:tcW w:w="1844" w:type="dxa"/>
            <w:tcBorders>
              <w:top w:val="nil"/>
              <w:left w:val="nil"/>
              <w:bottom w:val="nil"/>
              <w:right w:val="nil"/>
            </w:tcBorders>
            <w:shd w:val="clear" w:color="000000" w:fill="auto"/>
            <w:vAlign w:val="bottom"/>
          </w:tcPr>
          <w:p w14:paraId="18C0801C"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-0,3</w:t>
            </w:r>
          </w:p>
        </w:tc>
      </w:tr>
      <w:tr w:rsidR="00A26BCA" w:rsidRPr="0035565B" w14:paraId="060A3564" w14:textId="77777777" w:rsidTr="0035565B">
        <w:tblPrEx>
          <w:shd w:val="clear" w:color="000000" w:fill="auto"/>
        </w:tblPrEx>
        <w:trPr>
          <w:trHeight w:val="268"/>
          <w:jc w:val="center"/>
        </w:trPr>
        <w:tc>
          <w:tcPr>
            <w:tcW w:w="4350" w:type="dxa"/>
            <w:tcBorders>
              <w:top w:val="nil"/>
              <w:left w:val="nil"/>
              <w:bottom w:val="nil"/>
              <w:right w:val="nil"/>
            </w:tcBorders>
            <w:shd w:val="clear" w:color="000000" w:fill="auto"/>
            <w:vAlign w:val="bottom"/>
            <w:hideMark/>
          </w:tcPr>
          <w:p w14:paraId="01ABCECE" w14:textId="77777777" w:rsidR="00A26BCA" w:rsidRPr="0035565B" w:rsidRDefault="00A26BCA" w:rsidP="0035565B">
            <w:pPr>
              <w:spacing w:after="0" w:line="240" w:lineRule="auto"/>
              <w:rPr>
                <w:rFonts w:cs="Times New Roman"/>
                <w:color w:val="000000"/>
                <w:sz w:val="18"/>
                <w:szCs w:val="18"/>
              </w:rPr>
            </w:pPr>
            <w:r w:rsidRPr="0035565B">
              <w:rPr>
                <w:rFonts w:cs="Times New Roman"/>
                <w:color w:val="000000"/>
                <w:sz w:val="18"/>
                <w:szCs w:val="18"/>
              </w:rPr>
              <w:t>Index spotrebiteľských cien,  priemerný rast</w:t>
            </w:r>
          </w:p>
        </w:tc>
        <w:tc>
          <w:tcPr>
            <w:tcW w:w="1323" w:type="dxa"/>
            <w:tcBorders>
              <w:top w:val="nil"/>
              <w:left w:val="nil"/>
              <w:bottom w:val="nil"/>
              <w:right w:val="nil"/>
            </w:tcBorders>
            <w:shd w:val="clear" w:color="000000" w:fill="auto"/>
            <w:vAlign w:val="bottom"/>
            <w:hideMark/>
          </w:tcPr>
          <w:p w14:paraId="37297127"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13,5</w:t>
            </w:r>
          </w:p>
        </w:tc>
        <w:tc>
          <w:tcPr>
            <w:tcW w:w="1840" w:type="dxa"/>
            <w:tcBorders>
              <w:top w:val="nil"/>
              <w:left w:val="nil"/>
              <w:bottom w:val="nil"/>
              <w:right w:val="nil"/>
            </w:tcBorders>
            <w:shd w:val="clear" w:color="000000" w:fill="auto"/>
            <w:vAlign w:val="bottom"/>
            <w:hideMark/>
          </w:tcPr>
          <w:p w14:paraId="4BE6C77A"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10,5</w:t>
            </w:r>
          </w:p>
        </w:tc>
        <w:tc>
          <w:tcPr>
            <w:tcW w:w="1844" w:type="dxa"/>
            <w:tcBorders>
              <w:top w:val="nil"/>
              <w:left w:val="nil"/>
              <w:bottom w:val="nil"/>
              <w:right w:val="nil"/>
            </w:tcBorders>
            <w:shd w:val="clear" w:color="000000" w:fill="auto"/>
            <w:vAlign w:val="bottom"/>
            <w:hideMark/>
          </w:tcPr>
          <w:p w14:paraId="6F7F69C9"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-3,0</w:t>
            </w:r>
          </w:p>
        </w:tc>
      </w:tr>
      <w:tr w:rsidR="00A26BCA" w:rsidRPr="0035565B" w14:paraId="5E3E11AB" w14:textId="77777777" w:rsidTr="0035565B">
        <w:tblPrEx>
          <w:shd w:val="clear" w:color="000000" w:fill="auto"/>
        </w:tblPrEx>
        <w:trPr>
          <w:trHeight w:val="268"/>
          <w:jc w:val="center"/>
        </w:trPr>
        <w:tc>
          <w:tcPr>
            <w:tcW w:w="4350" w:type="dxa"/>
            <w:tcBorders>
              <w:top w:val="nil"/>
              <w:left w:val="nil"/>
              <w:bottom w:val="nil"/>
              <w:right w:val="nil"/>
            </w:tcBorders>
            <w:shd w:val="clear" w:color="000000" w:fill="auto"/>
            <w:vAlign w:val="bottom"/>
          </w:tcPr>
          <w:p w14:paraId="50AEEA0F" w14:textId="77777777" w:rsidR="00A26BCA" w:rsidRPr="0035565B" w:rsidRDefault="00A26BCA" w:rsidP="0035565B">
            <w:pPr>
              <w:spacing w:after="0" w:line="240" w:lineRule="auto"/>
              <w:rPr>
                <w:rFonts w:cs="Times New Roman"/>
                <w:color w:val="000000"/>
                <w:sz w:val="18"/>
                <w:szCs w:val="18"/>
              </w:rPr>
            </w:pPr>
            <w:r w:rsidRPr="0035565B">
              <w:rPr>
                <w:rFonts w:cs="Times New Roman"/>
                <w:color w:val="000000"/>
                <w:sz w:val="18"/>
                <w:szCs w:val="18"/>
              </w:rPr>
              <w:t>Saldo bežného účtu platobnej bilancie (% HDP)</w:t>
            </w:r>
          </w:p>
        </w:tc>
        <w:tc>
          <w:tcPr>
            <w:tcW w:w="1323" w:type="dxa"/>
            <w:tcBorders>
              <w:top w:val="nil"/>
              <w:left w:val="nil"/>
              <w:bottom w:val="nil"/>
              <w:right w:val="nil"/>
            </w:tcBorders>
            <w:shd w:val="clear" w:color="000000" w:fill="auto"/>
            <w:vAlign w:val="bottom"/>
          </w:tcPr>
          <w:p w14:paraId="61562C25"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-4,7</w:t>
            </w:r>
          </w:p>
        </w:tc>
        <w:tc>
          <w:tcPr>
            <w:tcW w:w="1840" w:type="dxa"/>
            <w:tcBorders>
              <w:top w:val="nil"/>
              <w:left w:val="nil"/>
              <w:bottom w:val="nil"/>
              <w:right w:val="nil"/>
            </w:tcBorders>
            <w:shd w:val="clear" w:color="000000" w:fill="auto"/>
            <w:vAlign w:val="bottom"/>
          </w:tcPr>
          <w:p w14:paraId="41E87A75"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-1,6</w:t>
            </w:r>
          </w:p>
        </w:tc>
        <w:tc>
          <w:tcPr>
            <w:tcW w:w="1844" w:type="dxa"/>
            <w:tcBorders>
              <w:top w:val="nil"/>
              <w:left w:val="nil"/>
              <w:bottom w:val="nil"/>
              <w:right w:val="nil"/>
            </w:tcBorders>
            <w:shd w:val="clear" w:color="000000" w:fill="auto"/>
            <w:vAlign w:val="bottom"/>
          </w:tcPr>
          <w:p w14:paraId="0EAEAD61" w14:textId="77777777" w:rsidR="00A26BCA" w:rsidRPr="0035565B" w:rsidRDefault="00A26BCA" w:rsidP="0035565B">
            <w:pPr>
              <w:spacing w:after="0" w:line="240" w:lineRule="auto"/>
              <w:jc w:val="center"/>
              <w:rPr>
                <w:rFonts w:cs="Times New Roman"/>
                <w:color w:val="000000"/>
                <w:sz w:val="18"/>
                <w:szCs w:val="18"/>
              </w:rPr>
            </w:pPr>
            <w:r w:rsidRPr="0035565B">
              <w:rPr>
                <w:rFonts w:cs="Times New Roman"/>
                <w:color w:val="000000"/>
                <w:sz w:val="18"/>
                <w:szCs w:val="18"/>
              </w:rPr>
              <w:t>+3,1</w:t>
            </w:r>
          </w:p>
        </w:tc>
      </w:tr>
      <w:tr w:rsidR="00A26BCA" w:rsidRPr="0035565B" w14:paraId="2E4A5E77" w14:textId="77777777" w:rsidTr="0035565B">
        <w:tblPrEx>
          <w:shd w:val="clear" w:color="000000" w:fill="auto"/>
        </w:tblPrEx>
        <w:trPr>
          <w:trHeight w:val="268"/>
          <w:jc w:val="center"/>
        </w:trPr>
        <w:tc>
          <w:tcPr>
            <w:tcW w:w="9357" w:type="dxa"/>
            <w:gridSpan w:val="4"/>
            <w:tcBorders>
              <w:top w:val="single" w:sz="8" w:space="0" w:color="auto"/>
              <w:left w:val="nil"/>
              <w:bottom w:val="nil"/>
              <w:right w:val="nil"/>
            </w:tcBorders>
            <w:shd w:val="clear" w:color="000000" w:fill="auto"/>
            <w:vAlign w:val="bottom"/>
            <w:hideMark/>
          </w:tcPr>
          <w:p w14:paraId="0E38A624" w14:textId="06778E7F" w:rsidR="00A26BCA" w:rsidRPr="0035565B" w:rsidRDefault="00A26BCA" w:rsidP="0035565B">
            <w:pPr>
              <w:spacing w:after="0" w:line="240" w:lineRule="auto"/>
              <w:jc w:val="right"/>
              <w:rPr>
                <w:rFonts w:cs="Times New Roman"/>
                <w:iCs/>
                <w:color w:val="000000"/>
                <w:sz w:val="18"/>
                <w:szCs w:val="18"/>
              </w:rPr>
            </w:pPr>
            <w:r w:rsidRPr="001C1318">
              <w:rPr>
                <w:rFonts w:cs="Times New Roman"/>
                <w:iCs/>
                <w:color w:val="000000"/>
                <w:sz w:val="18"/>
                <w:szCs w:val="18"/>
              </w:rPr>
              <w:t>Zdroj</w:t>
            </w:r>
            <w:r w:rsidRPr="0035565B">
              <w:rPr>
                <w:rFonts w:cs="Times New Roman"/>
                <w:iCs/>
                <w:color w:val="000000"/>
                <w:sz w:val="18"/>
                <w:szCs w:val="18"/>
                <w:lang w:val="de-DE"/>
              </w:rPr>
              <w:t>: MF SR, ŠÚ SR</w:t>
            </w:r>
          </w:p>
        </w:tc>
      </w:tr>
    </w:tbl>
    <w:p w14:paraId="75F76502" w14:textId="26107406" w:rsidR="00D65BED" w:rsidRDefault="00D65BED" w:rsidP="00A32E02"/>
    <w:p w14:paraId="603FCB24" w14:textId="77777777" w:rsidR="00D65BED" w:rsidRDefault="00D65BED">
      <w:pPr>
        <w:spacing w:after="160" w:line="259" w:lineRule="auto"/>
        <w:jc w:val="left"/>
      </w:pPr>
      <w:r>
        <w:br w:type="page"/>
      </w:r>
    </w:p>
    <w:tbl>
      <w:tblPr>
        <w:tblW w:w="9214"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48"/>
        <w:gridCol w:w="798"/>
        <w:gridCol w:w="798"/>
        <w:gridCol w:w="743"/>
        <w:gridCol w:w="721"/>
        <w:gridCol w:w="752"/>
        <w:gridCol w:w="610"/>
        <w:gridCol w:w="144"/>
      </w:tblGrid>
      <w:tr w:rsidR="001C1318" w:rsidRPr="001737A0" w14:paraId="2AB1A943" w14:textId="77777777" w:rsidTr="001C1318">
        <w:trPr>
          <w:gridAfter w:val="1"/>
          <w:wAfter w:w="144" w:type="dxa"/>
          <w:trHeight w:val="227"/>
        </w:trPr>
        <w:tc>
          <w:tcPr>
            <w:tcW w:w="9070" w:type="dxa"/>
            <w:gridSpan w:val="7"/>
            <w:tcBorders>
              <w:top w:val="nil"/>
              <w:bottom w:val="single" w:sz="4" w:space="0" w:color="auto"/>
            </w:tcBorders>
            <w:shd w:val="clear" w:color="auto" w:fill="auto"/>
            <w:noWrap/>
            <w:vAlign w:val="center"/>
            <w:hideMark/>
          </w:tcPr>
          <w:p w14:paraId="742781F6" w14:textId="12EA1931" w:rsidR="001C1318" w:rsidRPr="001737A0" w:rsidRDefault="001C1318" w:rsidP="000B69FA">
            <w:pPr>
              <w:spacing w:line="240" w:lineRule="auto"/>
              <w:jc w:val="left"/>
              <w:rPr>
                <w:rFonts w:cs="Times New Roman"/>
                <w:b/>
                <w:bCs/>
                <w:color w:val="5B9BD5" w:themeColor="accent1"/>
                <w:sz w:val="20"/>
                <w:szCs w:val="20"/>
              </w:rPr>
            </w:pPr>
            <w:r>
              <w:rPr>
                <w:rFonts w:cs="Times New Roman"/>
                <w:b/>
                <w:bCs/>
                <w:color w:val="5B9BD5" w:themeColor="accent1"/>
                <w:sz w:val="20"/>
                <w:szCs w:val="20"/>
              </w:rPr>
              <w:lastRenderedPageBreak/>
              <w:t xml:space="preserve">Tabuľka 4 - </w:t>
            </w:r>
            <w:r w:rsidRPr="001737A0">
              <w:rPr>
                <w:rFonts w:cs="Times New Roman"/>
                <w:b/>
                <w:bCs/>
                <w:color w:val="5B9BD5" w:themeColor="accent1"/>
                <w:sz w:val="20"/>
                <w:szCs w:val="20"/>
              </w:rPr>
              <w:t>Prognóza vybraných ukazovateľov ekonomiky (september 202</w:t>
            </w:r>
            <w:r>
              <w:rPr>
                <w:rFonts w:cs="Times New Roman"/>
                <w:b/>
                <w:bCs/>
                <w:color w:val="5B9BD5" w:themeColor="accent1"/>
                <w:sz w:val="20"/>
                <w:szCs w:val="20"/>
              </w:rPr>
              <w:t>2</w:t>
            </w:r>
            <w:r w:rsidRPr="001737A0">
              <w:rPr>
                <w:rFonts w:cs="Times New Roman"/>
                <w:b/>
                <w:bCs/>
                <w:color w:val="5B9BD5" w:themeColor="accent1"/>
                <w:sz w:val="20"/>
                <w:szCs w:val="20"/>
              </w:rPr>
              <w:t>)</w:t>
            </w:r>
          </w:p>
        </w:tc>
      </w:tr>
      <w:tr w:rsidR="001C1318" w:rsidRPr="001C1318" w14:paraId="60DD9601" w14:textId="77777777" w:rsidTr="001C1318">
        <w:tblPrEx>
          <w:jc w:val="center"/>
        </w:tblPrEx>
        <w:trPr>
          <w:trHeight w:val="227"/>
          <w:jc w:val="center"/>
        </w:trPr>
        <w:tc>
          <w:tcPr>
            <w:tcW w:w="4648" w:type="dxa"/>
            <w:tcBorders>
              <w:top w:val="nil"/>
              <w:bottom w:val="single" w:sz="4" w:space="0" w:color="auto"/>
              <w:right w:val="nil"/>
            </w:tcBorders>
            <w:shd w:val="clear" w:color="auto" w:fill="auto"/>
            <w:vAlign w:val="center"/>
            <w:hideMark/>
          </w:tcPr>
          <w:p w14:paraId="3FBC2D9E" w14:textId="7BEC91C7" w:rsidR="001C1318" w:rsidRPr="001C1318" w:rsidRDefault="001C1318" w:rsidP="001C1318">
            <w:pPr>
              <w:spacing w:after="0" w:line="240" w:lineRule="auto"/>
              <w:jc w:val="left"/>
              <w:rPr>
                <w:rFonts w:eastAsia="Times New Roman" w:cs="Times New Roman"/>
                <w:b/>
                <w:bCs/>
                <w:sz w:val="18"/>
                <w:szCs w:val="18"/>
                <w:lang w:eastAsia="sk-SK"/>
              </w:rPr>
            </w:pPr>
            <w:r w:rsidRPr="001C1318">
              <w:rPr>
                <w:b/>
                <w:bCs/>
                <w:sz w:val="18"/>
                <w:szCs w:val="18"/>
              </w:rPr>
              <w:t xml:space="preserve">Ukazovateľ </w:t>
            </w:r>
            <w:r w:rsidRPr="001C1318">
              <w:rPr>
                <w:b/>
                <w:sz w:val="18"/>
                <w:szCs w:val="18"/>
              </w:rPr>
              <w:t>(rast v %, ak nie je uvedené inak)</w:t>
            </w:r>
          </w:p>
        </w:tc>
        <w:tc>
          <w:tcPr>
            <w:tcW w:w="798" w:type="dxa"/>
            <w:tcBorders>
              <w:top w:val="nil"/>
              <w:left w:val="nil"/>
              <w:bottom w:val="single" w:sz="4" w:space="0" w:color="auto"/>
              <w:right w:val="nil"/>
            </w:tcBorders>
            <w:shd w:val="clear" w:color="auto" w:fill="auto"/>
            <w:noWrap/>
            <w:vAlign w:val="center"/>
          </w:tcPr>
          <w:p w14:paraId="312ECF9B" w14:textId="77777777" w:rsidR="001C1318" w:rsidRPr="001C1318" w:rsidRDefault="001C1318" w:rsidP="001C1318">
            <w:pPr>
              <w:spacing w:after="0" w:line="240" w:lineRule="auto"/>
              <w:jc w:val="center"/>
              <w:rPr>
                <w:rFonts w:eastAsia="Times New Roman" w:cs="Times New Roman"/>
                <w:b/>
                <w:sz w:val="18"/>
                <w:szCs w:val="18"/>
                <w:lang w:eastAsia="sk-SK"/>
              </w:rPr>
            </w:pPr>
            <w:r w:rsidRPr="001C1318">
              <w:rPr>
                <w:rFonts w:eastAsia="Times New Roman" w:cs="Times New Roman"/>
                <w:b/>
                <w:sz w:val="18"/>
                <w:szCs w:val="18"/>
                <w:lang w:eastAsia="sk-SK"/>
              </w:rPr>
              <w:t>2020</w:t>
            </w:r>
          </w:p>
        </w:tc>
        <w:tc>
          <w:tcPr>
            <w:tcW w:w="798" w:type="dxa"/>
            <w:tcBorders>
              <w:top w:val="nil"/>
              <w:left w:val="nil"/>
              <w:bottom w:val="single" w:sz="4" w:space="0" w:color="auto"/>
              <w:right w:val="nil"/>
            </w:tcBorders>
            <w:shd w:val="clear" w:color="auto" w:fill="auto"/>
            <w:vAlign w:val="center"/>
          </w:tcPr>
          <w:p w14:paraId="6BDF328A" w14:textId="77777777" w:rsidR="001C1318" w:rsidRPr="001C1318" w:rsidRDefault="001C1318" w:rsidP="001C1318">
            <w:pPr>
              <w:spacing w:after="0" w:line="240" w:lineRule="auto"/>
              <w:jc w:val="center"/>
              <w:rPr>
                <w:rFonts w:eastAsia="Times New Roman" w:cs="Times New Roman"/>
                <w:b/>
                <w:sz w:val="18"/>
                <w:szCs w:val="18"/>
                <w:lang w:eastAsia="sk-SK"/>
              </w:rPr>
            </w:pPr>
            <w:r w:rsidRPr="001C1318">
              <w:rPr>
                <w:rFonts w:eastAsia="Times New Roman" w:cs="Times New Roman"/>
                <w:b/>
                <w:sz w:val="18"/>
                <w:szCs w:val="18"/>
                <w:lang w:eastAsia="sk-SK"/>
              </w:rPr>
              <w:t>2021</w:t>
            </w:r>
          </w:p>
        </w:tc>
        <w:tc>
          <w:tcPr>
            <w:tcW w:w="743" w:type="dxa"/>
            <w:tcBorders>
              <w:top w:val="nil"/>
              <w:left w:val="nil"/>
              <w:bottom w:val="single" w:sz="4" w:space="0" w:color="auto"/>
              <w:right w:val="nil"/>
            </w:tcBorders>
            <w:shd w:val="clear" w:color="auto" w:fill="auto"/>
            <w:noWrap/>
            <w:vAlign w:val="center"/>
            <w:hideMark/>
          </w:tcPr>
          <w:p w14:paraId="6CA2D20A" w14:textId="77777777" w:rsidR="001C1318" w:rsidRPr="001C1318" w:rsidRDefault="001C1318" w:rsidP="001C1318">
            <w:pPr>
              <w:spacing w:after="0" w:line="240" w:lineRule="auto"/>
              <w:jc w:val="center"/>
              <w:rPr>
                <w:rFonts w:eastAsia="Times New Roman" w:cs="Times New Roman"/>
                <w:b/>
                <w:sz w:val="18"/>
                <w:szCs w:val="18"/>
                <w:lang w:eastAsia="sk-SK"/>
              </w:rPr>
            </w:pPr>
            <w:r w:rsidRPr="001C1318">
              <w:rPr>
                <w:rFonts w:eastAsia="Times New Roman" w:cs="Times New Roman"/>
                <w:b/>
                <w:sz w:val="18"/>
                <w:szCs w:val="18"/>
                <w:lang w:eastAsia="sk-SK"/>
              </w:rPr>
              <w:t>2022</w:t>
            </w:r>
          </w:p>
        </w:tc>
        <w:tc>
          <w:tcPr>
            <w:tcW w:w="721" w:type="dxa"/>
            <w:tcBorders>
              <w:top w:val="nil"/>
              <w:left w:val="nil"/>
              <w:bottom w:val="single" w:sz="4" w:space="0" w:color="auto"/>
              <w:right w:val="nil"/>
            </w:tcBorders>
            <w:shd w:val="clear" w:color="auto" w:fill="auto"/>
            <w:noWrap/>
            <w:vAlign w:val="center"/>
            <w:hideMark/>
          </w:tcPr>
          <w:p w14:paraId="3D60B7DA" w14:textId="77777777" w:rsidR="001C1318" w:rsidRPr="001C1318" w:rsidRDefault="001C1318" w:rsidP="001C1318">
            <w:pPr>
              <w:spacing w:after="0" w:line="240" w:lineRule="auto"/>
              <w:jc w:val="center"/>
              <w:rPr>
                <w:rFonts w:eastAsia="Times New Roman" w:cs="Times New Roman"/>
                <w:b/>
                <w:sz w:val="18"/>
                <w:szCs w:val="18"/>
                <w:lang w:eastAsia="sk-SK"/>
              </w:rPr>
            </w:pPr>
            <w:r w:rsidRPr="001C1318">
              <w:rPr>
                <w:rFonts w:eastAsia="Times New Roman" w:cs="Times New Roman"/>
                <w:b/>
                <w:sz w:val="18"/>
                <w:szCs w:val="18"/>
                <w:lang w:eastAsia="sk-SK"/>
              </w:rPr>
              <w:t>2023</w:t>
            </w:r>
          </w:p>
        </w:tc>
        <w:tc>
          <w:tcPr>
            <w:tcW w:w="752" w:type="dxa"/>
            <w:tcBorders>
              <w:top w:val="nil"/>
              <w:left w:val="nil"/>
              <w:bottom w:val="single" w:sz="4" w:space="0" w:color="auto"/>
              <w:right w:val="nil"/>
            </w:tcBorders>
            <w:shd w:val="clear" w:color="auto" w:fill="auto"/>
            <w:noWrap/>
            <w:vAlign w:val="center"/>
            <w:hideMark/>
          </w:tcPr>
          <w:p w14:paraId="427A0787" w14:textId="77777777" w:rsidR="001C1318" w:rsidRPr="001C1318" w:rsidRDefault="001C1318" w:rsidP="001C1318">
            <w:pPr>
              <w:spacing w:after="0" w:line="240" w:lineRule="auto"/>
              <w:jc w:val="center"/>
              <w:rPr>
                <w:rFonts w:eastAsia="Times New Roman" w:cs="Times New Roman"/>
                <w:b/>
                <w:sz w:val="18"/>
                <w:szCs w:val="18"/>
                <w:lang w:eastAsia="sk-SK"/>
              </w:rPr>
            </w:pPr>
            <w:r w:rsidRPr="001C1318">
              <w:rPr>
                <w:rFonts w:eastAsia="Times New Roman" w:cs="Times New Roman"/>
                <w:b/>
                <w:sz w:val="18"/>
                <w:szCs w:val="18"/>
                <w:lang w:eastAsia="sk-SK"/>
              </w:rPr>
              <w:t>2024</w:t>
            </w:r>
          </w:p>
        </w:tc>
        <w:tc>
          <w:tcPr>
            <w:tcW w:w="754" w:type="dxa"/>
            <w:gridSpan w:val="2"/>
            <w:tcBorders>
              <w:top w:val="nil"/>
              <w:left w:val="nil"/>
              <w:bottom w:val="single" w:sz="4" w:space="0" w:color="auto"/>
            </w:tcBorders>
            <w:shd w:val="clear" w:color="auto" w:fill="auto"/>
            <w:noWrap/>
            <w:vAlign w:val="center"/>
            <w:hideMark/>
          </w:tcPr>
          <w:p w14:paraId="5E7F9E02" w14:textId="77777777" w:rsidR="001C1318" w:rsidRPr="001C1318" w:rsidRDefault="001C1318" w:rsidP="001C1318">
            <w:pPr>
              <w:spacing w:after="0" w:line="240" w:lineRule="auto"/>
              <w:jc w:val="center"/>
              <w:rPr>
                <w:rFonts w:eastAsia="Times New Roman" w:cs="Times New Roman"/>
                <w:b/>
                <w:sz w:val="18"/>
                <w:szCs w:val="18"/>
                <w:lang w:eastAsia="sk-SK"/>
              </w:rPr>
            </w:pPr>
            <w:r w:rsidRPr="001C1318">
              <w:rPr>
                <w:rFonts w:eastAsia="Times New Roman" w:cs="Times New Roman"/>
                <w:b/>
                <w:sz w:val="18"/>
                <w:szCs w:val="18"/>
                <w:lang w:eastAsia="sk-SK"/>
              </w:rPr>
              <w:t>2025</w:t>
            </w:r>
          </w:p>
        </w:tc>
      </w:tr>
      <w:tr w:rsidR="001C1318" w:rsidRPr="001C1318" w14:paraId="706615F1" w14:textId="77777777" w:rsidTr="001C1318">
        <w:tblPrEx>
          <w:jc w:val="center"/>
        </w:tblPrEx>
        <w:trPr>
          <w:trHeight w:val="227"/>
          <w:jc w:val="center"/>
        </w:trPr>
        <w:tc>
          <w:tcPr>
            <w:tcW w:w="9214" w:type="dxa"/>
            <w:gridSpan w:val="8"/>
            <w:tcBorders>
              <w:top w:val="single" w:sz="4" w:space="0" w:color="auto"/>
              <w:bottom w:val="nil"/>
            </w:tcBorders>
            <w:noWrap/>
            <w:vAlign w:val="center"/>
            <w:hideMark/>
          </w:tcPr>
          <w:p w14:paraId="2FD0980E" w14:textId="77777777" w:rsidR="001C1318" w:rsidRPr="001C1318" w:rsidRDefault="001C1318" w:rsidP="001C1318">
            <w:pPr>
              <w:spacing w:after="0" w:line="240" w:lineRule="auto"/>
              <w:jc w:val="left"/>
              <w:rPr>
                <w:rFonts w:eastAsia="Times New Roman" w:cs="Times New Roman"/>
                <w:b/>
                <w:bCs/>
                <w:sz w:val="18"/>
                <w:szCs w:val="18"/>
                <w:lang w:eastAsia="sk-SK"/>
              </w:rPr>
            </w:pPr>
            <w:r w:rsidRPr="001C1318">
              <w:rPr>
                <w:rFonts w:eastAsia="Times New Roman" w:cs="Times New Roman"/>
                <w:b/>
                <w:bCs/>
                <w:sz w:val="18"/>
                <w:szCs w:val="18"/>
                <w:lang w:eastAsia="sk-SK"/>
              </w:rPr>
              <w:t>Hrubý domáci produkt</w:t>
            </w:r>
            <w:r w:rsidRPr="001C1318">
              <w:rPr>
                <w:rFonts w:eastAsia="Times New Roman" w:cs="Times New Roman"/>
                <w:sz w:val="18"/>
                <w:szCs w:val="18"/>
                <w:lang w:eastAsia="sk-SK"/>
              </w:rPr>
              <w:t> </w:t>
            </w:r>
          </w:p>
        </w:tc>
      </w:tr>
      <w:tr w:rsidR="001C1318" w:rsidRPr="001C1318" w14:paraId="4276E464" w14:textId="77777777" w:rsidTr="001C1318">
        <w:tblPrEx>
          <w:jc w:val="center"/>
        </w:tblPrEx>
        <w:trPr>
          <w:trHeight w:val="227"/>
          <w:jc w:val="center"/>
        </w:trPr>
        <w:tc>
          <w:tcPr>
            <w:tcW w:w="4648" w:type="dxa"/>
            <w:tcBorders>
              <w:top w:val="nil"/>
              <w:bottom w:val="nil"/>
              <w:right w:val="nil"/>
            </w:tcBorders>
            <w:noWrap/>
            <w:vAlign w:val="center"/>
            <w:hideMark/>
          </w:tcPr>
          <w:p w14:paraId="1764BBFC" w14:textId="77777777" w:rsidR="001C1318" w:rsidRPr="001C1318" w:rsidRDefault="001C1318" w:rsidP="001C1318">
            <w:pPr>
              <w:spacing w:after="0" w:line="240" w:lineRule="auto"/>
              <w:jc w:val="left"/>
              <w:rPr>
                <w:rFonts w:eastAsia="Times New Roman" w:cs="Times New Roman"/>
                <w:sz w:val="18"/>
                <w:szCs w:val="18"/>
                <w:lang w:eastAsia="sk-SK"/>
              </w:rPr>
            </w:pPr>
            <w:r w:rsidRPr="001C1318">
              <w:rPr>
                <w:rFonts w:eastAsia="Times New Roman" w:cs="Times New Roman"/>
                <w:sz w:val="18"/>
                <w:szCs w:val="18"/>
                <w:lang w:eastAsia="sk-SK"/>
              </w:rPr>
              <w:t xml:space="preserve">HDP, </w:t>
            </w:r>
            <w:proofErr w:type="spellStart"/>
            <w:r w:rsidRPr="001C1318">
              <w:rPr>
                <w:rFonts w:eastAsia="Times New Roman" w:cs="Times New Roman"/>
                <w:sz w:val="18"/>
                <w:szCs w:val="18"/>
                <w:lang w:eastAsia="sk-SK"/>
              </w:rPr>
              <w:t>s.c</w:t>
            </w:r>
            <w:proofErr w:type="spellEnd"/>
            <w:r w:rsidRPr="001C1318">
              <w:rPr>
                <w:rFonts w:eastAsia="Times New Roman" w:cs="Times New Roman"/>
                <w:sz w:val="18"/>
                <w:szCs w:val="18"/>
                <w:lang w:eastAsia="sk-SK"/>
              </w:rPr>
              <w:t>.</w:t>
            </w:r>
          </w:p>
        </w:tc>
        <w:tc>
          <w:tcPr>
            <w:tcW w:w="798" w:type="dxa"/>
            <w:tcBorders>
              <w:top w:val="nil"/>
              <w:left w:val="nil"/>
              <w:bottom w:val="nil"/>
              <w:right w:val="nil"/>
            </w:tcBorders>
            <w:noWrap/>
            <w:vAlign w:val="bottom"/>
          </w:tcPr>
          <w:p w14:paraId="0E8C68B9"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-4,4</w:t>
            </w:r>
          </w:p>
        </w:tc>
        <w:tc>
          <w:tcPr>
            <w:tcW w:w="798" w:type="dxa"/>
            <w:tcBorders>
              <w:top w:val="nil"/>
              <w:left w:val="nil"/>
              <w:bottom w:val="nil"/>
              <w:right w:val="nil"/>
            </w:tcBorders>
            <w:vAlign w:val="bottom"/>
          </w:tcPr>
          <w:p w14:paraId="3B9A4132"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3,0</w:t>
            </w:r>
          </w:p>
        </w:tc>
        <w:tc>
          <w:tcPr>
            <w:tcW w:w="743" w:type="dxa"/>
            <w:tcBorders>
              <w:top w:val="nil"/>
              <w:left w:val="nil"/>
              <w:bottom w:val="nil"/>
              <w:right w:val="nil"/>
            </w:tcBorders>
            <w:noWrap/>
            <w:vAlign w:val="center"/>
          </w:tcPr>
          <w:p w14:paraId="27C3F9A7"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1,9</w:t>
            </w:r>
          </w:p>
        </w:tc>
        <w:tc>
          <w:tcPr>
            <w:tcW w:w="721" w:type="dxa"/>
            <w:tcBorders>
              <w:top w:val="nil"/>
              <w:left w:val="nil"/>
              <w:bottom w:val="nil"/>
              <w:right w:val="nil"/>
            </w:tcBorders>
            <w:noWrap/>
            <w:vAlign w:val="center"/>
          </w:tcPr>
          <w:p w14:paraId="244D3105"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0,6</w:t>
            </w:r>
          </w:p>
        </w:tc>
        <w:tc>
          <w:tcPr>
            <w:tcW w:w="752" w:type="dxa"/>
            <w:tcBorders>
              <w:top w:val="nil"/>
              <w:left w:val="nil"/>
              <w:bottom w:val="nil"/>
              <w:right w:val="nil"/>
            </w:tcBorders>
            <w:noWrap/>
            <w:vAlign w:val="center"/>
          </w:tcPr>
          <w:p w14:paraId="405E4CE1"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1,7</w:t>
            </w:r>
          </w:p>
        </w:tc>
        <w:tc>
          <w:tcPr>
            <w:tcW w:w="754" w:type="dxa"/>
            <w:gridSpan w:val="2"/>
            <w:tcBorders>
              <w:top w:val="nil"/>
              <w:left w:val="nil"/>
              <w:bottom w:val="nil"/>
            </w:tcBorders>
            <w:noWrap/>
            <w:vAlign w:val="center"/>
          </w:tcPr>
          <w:p w14:paraId="7CB83930"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2,3</w:t>
            </w:r>
          </w:p>
        </w:tc>
      </w:tr>
      <w:tr w:rsidR="001C1318" w:rsidRPr="001C1318" w14:paraId="76E35A71" w14:textId="77777777" w:rsidTr="001C1318">
        <w:tblPrEx>
          <w:jc w:val="center"/>
        </w:tblPrEx>
        <w:trPr>
          <w:trHeight w:val="227"/>
          <w:jc w:val="center"/>
        </w:trPr>
        <w:tc>
          <w:tcPr>
            <w:tcW w:w="4648" w:type="dxa"/>
            <w:tcBorders>
              <w:top w:val="nil"/>
              <w:bottom w:val="nil"/>
              <w:right w:val="nil"/>
            </w:tcBorders>
            <w:noWrap/>
            <w:vAlign w:val="center"/>
            <w:hideMark/>
          </w:tcPr>
          <w:p w14:paraId="6624B734" w14:textId="77777777" w:rsidR="001C1318" w:rsidRPr="001C1318" w:rsidRDefault="001C1318" w:rsidP="001C1318">
            <w:pPr>
              <w:spacing w:after="0" w:line="240" w:lineRule="auto"/>
              <w:jc w:val="left"/>
              <w:rPr>
                <w:rFonts w:eastAsia="Times New Roman" w:cs="Times New Roman"/>
                <w:sz w:val="18"/>
                <w:szCs w:val="18"/>
                <w:lang w:eastAsia="sk-SK"/>
              </w:rPr>
            </w:pPr>
            <w:r w:rsidRPr="001C1318">
              <w:rPr>
                <w:rFonts w:eastAsia="Times New Roman" w:cs="Times New Roman"/>
                <w:sz w:val="18"/>
                <w:szCs w:val="18"/>
                <w:lang w:eastAsia="sk-SK"/>
              </w:rPr>
              <w:t xml:space="preserve">HDP, </w:t>
            </w:r>
            <w:proofErr w:type="spellStart"/>
            <w:r w:rsidRPr="001C1318">
              <w:rPr>
                <w:rFonts w:eastAsia="Times New Roman" w:cs="Times New Roman"/>
                <w:sz w:val="18"/>
                <w:szCs w:val="18"/>
                <w:lang w:eastAsia="sk-SK"/>
              </w:rPr>
              <w:t>b.c</w:t>
            </w:r>
            <w:proofErr w:type="spellEnd"/>
            <w:r w:rsidRPr="001C1318">
              <w:rPr>
                <w:rFonts w:eastAsia="Times New Roman" w:cs="Times New Roman"/>
                <w:sz w:val="18"/>
                <w:szCs w:val="18"/>
                <w:lang w:eastAsia="sk-SK"/>
              </w:rPr>
              <w:t>. (mld. eur)</w:t>
            </w:r>
            <w:r w:rsidRPr="001C1318">
              <w:rPr>
                <w:rFonts w:eastAsia="Times New Roman" w:cs="Times New Roman"/>
                <w:sz w:val="18"/>
                <w:szCs w:val="18"/>
                <w:vertAlign w:val="superscript"/>
                <w:lang w:eastAsia="sk-SK"/>
              </w:rPr>
              <w:footnoteReference w:id="3"/>
            </w:r>
          </w:p>
        </w:tc>
        <w:tc>
          <w:tcPr>
            <w:tcW w:w="798" w:type="dxa"/>
            <w:tcBorders>
              <w:top w:val="nil"/>
              <w:left w:val="nil"/>
              <w:bottom w:val="nil"/>
              <w:right w:val="nil"/>
            </w:tcBorders>
            <w:noWrap/>
            <w:vAlign w:val="bottom"/>
          </w:tcPr>
          <w:p w14:paraId="29952ECB"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92,1</w:t>
            </w:r>
          </w:p>
        </w:tc>
        <w:tc>
          <w:tcPr>
            <w:tcW w:w="798" w:type="dxa"/>
            <w:tcBorders>
              <w:top w:val="nil"/>
              <w:left w:val="nil"/>
              <w:bottom w:val="nil"/>
              <w:right w:val="nil"/>
            </w:tcBorders>
            <w:vAlign w:val="bottom"/>
          </w:tcPr>
          <w:p w14:paraId="5B30E09C"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97,1</w:t>
            </w:r>
          </w:p>
        </w:tc>
        <w:tc>
          <w:tcPr>
            <w:tcW w:w="743" w:type="dxa"/>
            <w:tcBorders>
              <w:top w:val="nil"/>
              <w:left w:val="nil"/>
              <w:bottom w:val="nil"/>
              <w:right w:val="nil"/>
            </w:tcBorders>
            <w:noWrap/>
            <w:vAlign w:val="bottom"/>
          </w:tcPr>
          <w:p w14:paraId="7D25A9B8"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107,0</w:t>
            </w:r>
          </w:p>
        </w:tc>
        <w:tc>
          <w:tcPr>
            <w:tcW w:w="721" w:type="dxa"/>
            <w:tcBorders>
              <w:top w:val="nil"/>
              <w:left w:val="nil"/>
              <w:bottom w:val="nil"/>
              <w:right w:val="nil"/>
            </w:tcBorders>
            <w:noWrap/>
            <w:vAlign w:val="bottom"/>
          </w:tcPr>
          <w:p w14:paraId="28ECEB03"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120,6</w:t>
            </w:r>
          </w:p>
        </w:tc>
        <w:tc>
          <w:tcPr>
            <w:tcW w:w="752" w:type="dxa"/>
            <w:tcBorders>
              <w:top w:val="nil"/>
              <w:left w:val="nil"/>
              <w:bottom w:val="nil"/>
              <w:right w:val="nil"/>
            </w:tcBorders>
            <w:noWrap/>
            <w:vAlign w:val="bottom"/>
          </w:tcPr>
          <w:p w14:paraId="24008C9C"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128,3</w:t>
            </w:r>
          </w:p>
        </w:tc>
        <w:tc>
          <w:tcPr>
            <w:tcW w:w="754" w:type="dxa"/>
            <w:gridSpan w:val="2"/>
            <w:tcBorders>
              <w:top w:val="nil"/>
              <w:left w:val="nil"/>
              <w:bottom w:val="nil"/>
            </w:tcBorders>
            <w:noWrap/>
            <w:vAlign w:val="bottom"/>
          </w:tcPr>
          <w:p w14:paraId="441F1131"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136,8</w:t>
            </w:r>
          </w:p>
        </w:tc>
      </w:tr>
      <w:tr w:rsidR="001C1318" w:rsidRPr="001C1318" w14:paraId="6FBEE532" w14:textId="77777777" w:rsidTr="001C1318">
        <w:tblPrEx>
          <w:jc w:val="center"/>
        </w:tblPrEx>
        <w:trPr>
          <w:trHeight w:val="227"/>
          <w:jc w:val="center"/>
        </w:trPr>
        <w:tc>
          <w:tcPr>
            <w:tcW w:w="4648" w:type="dxa"/>
            <w:tcBorders>
              <w:top w:val="nil"/>
              <w:bottom w:val="nil"/>
              <w:right w:val="nil"/>
            </w:tcBorders>
            <w:noWrap/>
            <w:vAlign w:val="center"/>
            <w:hideMark/>
          </w:tcPr>
          <w:p w14:paraId="0B11927F" w14:textId="77777777" w:rsidR="001C1318" w:rsidRPr="001C1318" w:rsidRDefault="001C1318" w:rsidP="001C1318">
            <w:pPr>
              <w:spacing w:after="0" w:line="240" w:lineRule="auto"/>
              <w:jc w:val="left"/>
              <w:rPr>
                <w:rFonts w:eastAsia="Times New Roman" w:cs="Times New Roman"/>
                <w:sz w:val="18"/>
                <w:szCs w:val="18"/>
                <w:lang w:eastAsia="sk-SK"/>
              </w:rPr>
            </w:pPr>
            <w:r w:rsidRPr="001C1318">
              <w:rPr>
                <w:rFonts w:eastAsia="Times New Roman" w:cs="Times New Roman"/>
                <w:sz w:val="18"/>
                <w:szCs w:val="18"/>
                <w:lang w:eastAsia="sk-SK"/>
              </w:rPr>
              <w:t xml:space="preserve">Súkromná spotreba, </w:t>
            </w:r>
            <w:proofErr w:type="spellStart"/>
            <w:r w:rsidRPr="001C1318">
              <w:rPr>
                <w:rFonts w:eastAsia="Times New Roman" w:cs="Times New Roman"/>
                <w:sz w:val="18"/>
                <w:szCs w:val="18"/>
                <w:lang w:eastAsia="sk-SK"/>
              </w:rPr>
              <w:t>s.c</w:t>
            </w:r>
            <w:proofErr w:type="spellEnd"/>
            <w:r w:rsidRPr="001C1318">
              <w:rPr>
                <w:rFonts w:eastAsia="Times New Roman" w:cs="Times New Roman"/>
                <w:sz w:val="18"/>
                <w:szCs w:val="18"/>
                <w:lang w:eastAsia="sk-SK"/>
              </w:rPr>
              <w:t>.</w:t>
            </w:r>
          </w:p>
        </w:tc>
        <w:tc>
          <w:tcPr>
            <w:tcW w:w="798" w:type="dxa"/>
            <w:tcBorders>
              <w:top w:val="nil"/>
              <w:left w:val="nil"/>
              <w:bottom w:val="nil"/>
              <w:right w:val="nil"/>
            </w:tcBorders>
            <w:noWrap/>
            <w:vAlign w:val="bottom"/>
          </w:tcPr>
          <w:p w14:paraId="3C2DC5EA"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-1,3</w:t>
            </w:r>
          </w:p>
        </w:tc>
        <w:tc>
          <w:tcPr>
            <w:tcW w:w="798" w:type="dxa"/>
            <w:tcBorders>
              <w:top w:val="nil"/>
              <w:left w:val="nil"/>
              <w:bottom w:val="nil"/>
              <w:right w:val="nil"/>
            </w:tcBorders>
            <w:vAlign w:val="bottom"/>
          </w:tcPr>
          <w:p w14:paraId="430E6931"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1,2</w:t>
            </w:r>
          </w:p>
        </w:tc>
        <w:tc>
          <w:tcPr>
            <w:tcW w:w="743" w:type="dxa"/>
            <w:tcBorders>
              <w:top w:val="nil"/>
              <w:left w:val="nil"/>
              <w:bottom w:val="nil"/>
              <w:right w:val="nil"/>
            </w:tcBorders>
            <w:noWrap/>
            <w:vAlign w:val="bottom"/>
          </w:tcPr>
          <w:p w14:paraId="1AE645B5"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4,6</w:t>
            </w:r>
          </w:p>
        </w:tc>
        <w:tc>
          <w:tcPr>
            <w:tcW w:w="721" w:type="dxa"/>
            <w:tcBorders>
              <w:top w:val="nil"/>
              <w:left w:val="nil"/>
              <w:bottom w:val="nil"/>
              <w:right w:val="nil"/>
            </w:tcBorders>
            <w:noWrap/>
            <w:vAlign w:val="bottom"/>
          </w:tcPr>
          <w:p w14:paraId="0F0D007B"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-3,7</w:t>
            </w:r>
          </w:p>
        </w:tc>
        <w:tc>
          <w:tcPr>
            <w:tcW w:w="752" w:type="dxa"/>
            <w:tcBorders>
              <w:top w:val="nil"/>
              <w:left w:val="nil"/>
              <w:bottom w:val="nil"/>
              <w:right w:val="nil"/>
            </w:tcBorders>
            <w:noWrap/>
            <w:vAlign w:val="bottom"/>
          </w:tcPr>
          <w:p w14:paraId="00D82C5B"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2,0</w:t>
            </w:r>
          </w:p>
        </w:tc>
        <w:tc>
          <w:tcPr>
            <w:tcW w:w="754" w:type="dxa"/>
            <w:gridSpan w:val="2"/>
            <w:tcBorders>
              <w:top w:val="nil"/>
              <w:left w:val="nil"/>
              <w:bottom w:val="nil"/>
            </w:tcBorders>
            <w:noWrap/>
            <w:vAlign w:val="bottom"/>
          </w:tcPr>
          <w:p w14:paraId="002A3EFB"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1,5</w:t>
            </w:r>
          </w:p>
        </w:tc>
      </w:tr>
      <w:tr w:rsidR="001C1318" w:rsidRPr="001C1318" w14:paraId="7B51768C" w14:textId="77777777" w:rsidTr="001C1318">
        <w:tblPrEx>
          <w:jc w:val="center"/>
        </w:tblPrEx>
        <w:trPr>
          <w:trHeight w:val="227"/>
          <w:jc w:val="center"/>
        </w:trPr>
        <w:tc>
          <w:tcPr>
            <w:tcW w:w="4648" w:type="dxa"/>
            <w:tcBorders>
              <w:top w:val="nil"/>
              <w:bottom w:val="nil"/>
              <w:right w:val="nil"/>
            </w:tcBorders>
            <w:noWrap/>
            <w:vAlign w:val="center"/>
            <w:hideMark/>
          </w:tcPr>
          <w:p w14:paraId="096B957B" w14:textId="77777777" w:rsidR="001C1318" w:rsidRPr="001C1318" w:rsidRDefault="001C1318" w:rsidP="001C1318">
            <w:pPr>
              <w:spacing w:after="0" w:line="240" w:lineRule="auto"/>
              <w:jc w:val="left"/>
              <w:rPr>
                <w:rFonts w:eastAsia="Times New Roman" w:cs="Times New Roman"/>
                <w:sz w:val="18"/>
                <w:szCs w:val="18"/>
                <w:lang w:eastAsia="sk-SK"/>
              </w:rPr>
            </w:pPr>
            <w:r w:rsidRPr="001C1318">
              <w:rPr>
                <w:rFonts w:eastAsia="Times New Roman" w:cs="Times New Roman"/>
                <w:sz w:val="18"/>
                <w:szCs w:val="18"/>
                <w:lang w:eastAsia="sk-SK"/>
              </w:rPr>
              <w:t xml:space="preserve">Súkromná spotreba, </w:t>
            </w:r>
            <w:proofErr w:type="spellStart"/>
            <w:r w:rsidRPr="001C1318">
              <w:rPr>
                <w:rFonts w:eastAsia="Times New Roman" w:cs="Times New Roman"/>
                <w:sz w:val="18"/>
                <w:szCs w:val="18"/>
                <w:lang w:eastAsia="sk-SK"/>
              </w:rPr>
              <w:t>b.c</w:t>
            </w:r>
            <w:proofErr w:type="spellEnd"/>
            <w:r w:rsidRPr="001C1318">
              <w:rPr>
                <w:rFonts w:eastAsia="Times New Roman" w:cs="Times New Roman"/>
                <w:sz w:val="18"/>
                <w:szCs w:val="18"/>
                <w:lang w:eastAsia="sk-SK"/>
              </w:rPr>
              <w:t>.</w:t>
            </w:r>
          </w:p>
        </w:tc>
        <w:tc>
          <w:tcPr>
            <w:tcW w:w="798" w:type="dxa"/>
            <w:tcBorders>
              <w:top w:val="nil"/>
              <w:left w:val="nil"/>
              <w:bottom w:val="nil"/>
              <w:right w:val="nil"/>
            </w:tcBorders>
            <w:noWrap/>
            <w:vAlign w:val="bottom"/>
          </w:tcPr>
          <w:p w14:paraId="7F524375"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0,8</w:t>
            </w:r>
          </w:p>
        </w:tc>
        <w:tc>
          <w:tcPr>
            <w:tcW w:w="798" w:type="dxa"/>
            <w:tcBorders>
              <w:top w:val="nil"/>
              <w:left w:val="nil"/>
              <w:bottom w:val="nil"/>
              <w:right w:val="nil"/>
            </w:tcBorders>
            <w:vAlign w:val="bottom"/>
          </w:tcPr>
          <w:p w14:paraId="11F2CD0D"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4,5</w:t>
            </w:r>
          </w:p>
        </w:tc>
        <w:tc>
          <w:tcPr>
            <w:tcW w:w="743" w:type="dxa"/>
            <w:tcBorders>
              <w:top w:val="nil"/>
              <w:left w:val="nil"/>
              <w:bottom w:val="nil"/>
              <w:right w:val="nil"/>
            </w:tcBorders>
            <w:noWrap/>
            <w:vAlign w:val="bottom"/>
          </w:tcPr>
          <w:p w14:paraId="2AB134C8"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19,0</w:t>
            </w:r>
          </w:p>
        </w:tc>
        <w:tc>
          <w:tcPr>
            <w:tcW w:w="721" w:type="dxa"/>
            <w:tcBorders>
              <w:top w:val="nil"/>
              <w:left w:val="nil"/>
              <w:bottom w:val="nil"/>
              <w:right w:val="nil"/>
            </w:tcBorders>
            <w:noWrap/>
            <w:vAlign w:val="bottom"/>
          </w:tcPr>
          <w:p w14:paraId="6B4293F3"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9,5</w:t>
            </w:r>
          </w:p>
        </w:tc>
        <w:tc>
          <w:tcPr>
            <w:tcW w:w="752" w:type="dxa"/>
            <w:tcBorders>
              <w:top w:val="nil"/>
              <w:left w:val="nil"/>
              <w:bottom w:val="nil"/>
              <w:right w:val="nil"/>
            </w:tcBorders>
            <w:noWrap/>
            <w:vAlign w:val="bottom"/>
          </w:tcPr>
          <w:p w14:paraId="7432D36D"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5,7</w:t>
            </w:r>
          </w:p>
        </w:tc>
        <w:tc>
          <w:tcPr>
            <w:tcW w:w="754" w:type="dxa"/>
            <w:gridSpan w:val="2"/>
            <w:tcBorders>
              <w:top w:val="nil"/>
              <w:left w:val="nil"/>
              <w:bottom w:val="nil"/>
            </w:tcBorders>
            <w:noWrap/>
            <w:vAlign w:val="bottom"/>
          </w:tcPr>
          <w:p w14:paraId="5CE5EA11"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5,8</w:t>
            </w:r>
          </w:p>
        </w:tc>
      </w:tr>
      <w:tr w:rsidR="001C1318" w:rsidRPr="001C1318" w14:paraId="04B524E1" w14:textId="77777777" w:rsidTr="001C1318">
        <w:tblPrEx>
          <w:jc w:val="center"/>
        </w:tblPrEx>
        <w:trPr>
          <w:trHeight w:val="227"/>
          <w:jc w:val="center"/>
        </w:trPr>
        <w:tc>
          <w:tcPr>
            <w:tcW w:w="4648" w:type="dxa"/>
            <w:tcBorders>
              <w:top w:val="nil"/>
              <w:bottom w:val="nil"/>
              <w:right w:val="nil"/>
            </w:tcBorders>
            <w:noWrap/>
            <w:vAlign w:val="center"/>
            <w:hideMark/>
          </w:tcPr>
          <w:p w14:paraId="7F3DDA08" w14:textId="77777777" w:rsidR="001C1318" w:rsidRPr="001C1318" w:rsidRDefault="001C1318" w:rsidP="001C1318">
            <w:pPr>
              <w:spacing w:after="0" w:line="240" w:lineRule="auto"/>
              <w:jc w:val="left"/>
              <w:rPr>
                <w:rFonts w:eastAsia="Times New Roman" w:cs="Times New Roman"/>
                <w:sz w:val="18"/>
                <w:szCs w:val="18"/>
                <w:lang w:eastAsia="sk-SK"/>
              </w:rPr>
            </w:pPr>
            <w:r w:rsidRPr="001C1318">
              <w:rPr>
                <w:rFonts w:eastAsia="Times New Roman" w:cs="Times New Roman"/>
                <w:sz w:val="18"/>
                <w:szCs w:val="18"/>
                <w:lang w:eastAsia="sk-SK"/>
              </w:rPr>
              <w:t>Vládna spotreba</w:t>
            </w:r>
          </w:p>
        </w:tc>
        <w:tc>
          <w:tcPr>
            <w:tcW w:w="798" w:type="dxa"/>
            <w:tcBorders>
              <w:top w:val="nil"/>
              <w:left w:val="nil"/>
              <w:bottom w:val="nil"/>
              <w:right w:val="nil"/>
            </w:tcBorders>
            <w:noWrap/>
            <w:vAlign w:val="bottom"/>
          </w:tcPr>
          <w:p w14:paraId="02E26ACF"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0,9</w:t>
            </w:r>
          </w:p>
        </w:tc>
        <w:tc>
          <w:tcPr>
            <w:tcW w:w="798" w:type="dxa"/>
            <w:tcBorders>
              <w:top w:val="nil"/>
              <w:left w:val="nil"/>
              <w:bottom w:val="nil"/>
              <w:right w:val="nil"/>
            </w:tcBorders>
            <w:vAlign w:val="bottom"/>
          </w:tcPr>
          <w:p w14:paraId="43282B17"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1,9</w:t>
            </w:r>
          </w:p>
        </w:tc>
        <w:tc>
          <w:tcPr>
            <w:tcW w:w="743" w:type="dxa"/>
            <w:tcBorders>
              <w:top w:val="nil"/>
              <w:left w:val="nil"/>
              <w:bottom w:val="nil"/>
              <w:right w:val="nil"/>
            </w:tcBorders>
            <w:noWrap/>
            <w:vAlign w:val="bottom"/>
          </w:tcPr>
          <w:p w14:paraId="7709EB6B"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-1,5</w:t>
            </w:r>
          </w:p>
        </w:tc>
        <w:tc>
          <w:tcPr>
            <w:tcW w:w="721" w:type="dxa"/>
            <w:tcBorders>
              <w:top w:val="nil"/>
              <w:left w:val="nil"/>
              <w:bottom w:val="nil"/>
              <w:right w:val="nil"/>
            </w:tcBorders>
            <w:noWrap/>
            <w:vAlign w:val="bottom"/>
          </w:tcPr>
          <w:p w14:paraId="52996573"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-0,7</w:t>
            </w:r>
          </w:p>
        </w:tc>
        <w:tc>
          <w:tcPr>
            <w:tcW w:w="752" w:type="dxa"/>
            <w:tcBorders>
              <w:top w:val="nil"/>
              <w:left w:val="nil"/>
              <w:bottom w:val="nil"/>
              <w:right w:val="nil"/>
            </w:tcBorders>
            <w:noWrap/>
            <w:vAlign w:val="bottom"/>
          </w:tcPr>
          <w:p w14:paraId="61D5D719"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0,0</w:t>
            </w:r>
          </w:p>
        </w:tc>
        <w:tc>
          <w:tcPr>
            <w:tcW w:w="754" w:type="dxa"/>
            <w:gridSpan w:val="2"/>
            <w:tcBorders>
              <w:top w:val="nil"/>
              <w:left w:val="nil"/>
              <w:bottom w:val="nil"/>
            </w:tcBorders>
            <w:noWrap/>
            <w:vAlign w:val="bottom"/>
          </w:tcPr>
          <w:p w14:paraId="63A9D09E"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-0,7</w:t>
            </w:r>
          </w:p>
        </w:tc>
      </w:tr>
      <w:tr w:rsidR="001C1318" w:rsidRPr="001C1318" w14:paraId="78CD18EF" w14:textId="77777777" w:rsidTr="001C1318">
        <w:tblPrEx>
          <w:jc w:val="center"/>
        </w:tblPrEx>
        <w:trPr>
          <w:trHeight w:val="227"/>
          <w:jc w:val="center"/>
        </w:trPr>
        <w:tc>
          <w:tcPr>
            <w:tcW w:w="4648" w:type="dxa"/>
            <w:tcBorders>
              <w:top w:val="nil"/>
              <w:bottom w:val="nil"/>
              <w:right w:val="nil"/>
            </w:tcBorders>
            <w:noWrap/>
            <w:vAlign w:val="center"/>
            <w:hideMark/>
          </w:tcPr>
          <w:p w14:paraId="3454794C" w14:textId="77777777" w:rsidR="001C1318" w:rsidRPr="001C1318" w:rsidRDefault="001C1318" w:rsidP="001C1318">
            <w:pPr>
              <w:spacing w:after="0" w:line="240" w:lineRule="auto"/>
              <w:jc w:val="left"/>
              <w:rPr>
                <w:rFonts w:eastAsia="Times New Roman" w:cs="Times New Roman"/>
                <w:sz w:val="18"/>
                <w:szCs w:val="18"/>
                <w:lang w:eastAsia="sk-SK"/>
              </w:rPr>
            </w:pPr>
            <w:r w:rsidRPr="001C1318">
              <w:rPr>
                <w:rFonts w:eastAsia="Times New Roman" w:cs="Times New Roman"/>
                <w:sz w:val="18"/>
                <w:szCs w:val="18"/>
                <w:lang w:eastAsia="sk-SK"/>
              </w:rPr>
              <w:t>Fixné investície</w:t>
            </w:r>
          </w:p>
        </w:tc>
        <w:tc>
          <w:tcPr>
            <w:tcW w:w="798" w:type="dxa"/>
            <w:tcBorders>
              <w:top w:val="nil"/>
              <w:left w:val="nil"/>
              <w:bottom w:val="nil"/>
              <w:right w:val="nil"/>
            </w:tcBorders>
            <w:noWrap/>
            <w:vAlign w:val="bottom"/>
          </w:tcPr>
          <w:p w14:paraId="27BE1CDF"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-11,6</w:t>
            </w:r>
          </w:p>
        </w:tc>
        <w:tc>
          <w:tcPr>
            <w:tcW w:w="798" w:type="dxa"/>
            <w:tcBorders>
              <w:top w:val="nil"/>
              <w:left w:val="nil"/>
              <w:bottom w:val="nil"/>
              <w:right w:val="nil"/>
            </w:tcBorders>
            <w:vAlign w:val="bottom"/>
          </w:tcPr>
          <w:p w14:paraId="43665CB2"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0,6</w:t>
            </w:r>
          </w:p>
        </w:tc>
        <w:tc>
          <w:tcPr>
            <w:tcW w:w="743" w:type="dxa"/>
            <w:tcBorders>
              <w:top w:val="nil"/>
              <w:left w:val="nil"/>
              <w:bottom w:val="nil"/>
              <w:right w:val="nil"/>
            </w:tcBorders>
            <w:noWrap/>
            <w:vAlign w:val="bottom"/>
          </w:tcPr>
          <w:p w14:paraId="48FEEFA8"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5,4</w:t>
            </w:r>
          </w:p>
        </w:tc>
        <w:tc>
          <w:tcPr>
            <w:tcW w:w="721" w:type="dxa"/>
            <w:tcBorders>
              <w:top w:val="nil"/>
              <w:left w:val="nil"/>
              <w:bottom w:val="nil"/>
              <w:right w:val="nil"/>
            </w:tcBorders>
            <w:noWrap/>
            <w:vAlign w:val="bottom"/>
          </w:tcPr>
          <w:p w14:paraId="773CD572"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16,3</w:t>
            </w:r>
          </w:p>
        </w:tc>
        <w:tc>
          <w:tcPr>
            <w:tcW w:w="752" w:type="dxa"/>
            <w:tcBorders>
              <w:top w:val="nil"/>
              <w:left w:val="nil"/>
              <w:bottom w:val="nil"/>
              <w:right w:val="nil"/>
            </w:tcBorders>
            <w:noWrap/>
            <w:vAlign w:val="bottom"/>
          </w:tcPr>
          <w:p w14:paraId="73D57950"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-6,4</w:t>
            </w:r>
          </w:p>
        </w:tc>
        <w:tc>
          <w:tcPr>
            <w:tcW w:w="754" w:type="dxa"/>
            <w:gridSpan w:val="2"/>
            <w:tcBorders>
              <w:top w:val="nil"/>
              <w:left w:val="nil"/>
              <w:bottom w:val="nil"/>
            </w:tcBorders>
            <w:noWrap/>
            <w:vAlign w:val="bottom"/>
          </w:tcPr>
          <w:p w14:paraId="5F9BD87D"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1,7</w:t>
            </w:r>
          </w:p>
        </w:tc>
      </w:tr>
      <w:tr w:rsidR="001C1318" w:rsidRPr="001C1318" w14:paraId="4AE04F3E" w14:textId="77777777" w:rsidTr="001C1318">
        <w:tblPrEx>
          <w:jc w:val="center"/>
        </w:tblPrEx>
        <w:trPr>
          <w:trHeight w:val="227"/>
          <w:jc w:val="center"/>
        </w:trPr>
        <w:tc>
          <w:tcPr>
            <w:tcW w:w="4648" w:type="dxa"/>
            <w:tcBorders>
              <w:top w:val="nil"/>
              <w:bottom w:val="nil"/>
              <w:right w:val="nil"/>
            </w:tcBorders>
            <w:noWrap/>
            <w:vAlign w:val="center"/>
            <w:hideMark/>
          </w:tcPr>
          <w:p w14:paraId="6F428DBF" w14:textId="77777777" w:rsidR="001C1318" w:rsidRPr="001C1318" w:rsidRDefault="001C1318" w:rsidP="001C1318">
            <w:pPr>
              <w:spacing w:after="0" w:line="240" w:lineRule="auto"/>
              <w:jc w:val="left"/>
              <w:rPr>
                <w:rFonts w:eastAsia="Times New Roman" w:cs="Times New Roman"/>
                <w:sz w:val="18"/>
                <w:szCs w:val="18"/>
                <w:lang w:eastAsia="sk-SK"/>
              </w:rPr>
            </w:pPr>
            <w:r w:rsidRPr="001C1318">
              <w:rPr>
                <w:rFonts w:eastAsia="Times New Roman" w:cs="Times New Roman"/>
                <w:sz w:val="18"/>
                <w:szCs w:val="18"/>
                <w:lang w:eastAsia="sk-SK"/>
              </w:rPr>
              <w:t>Export tovarov a služieb</w:t>
            </w:r>
          </w:p>
        </w:tc>
        <w:tc>
          <w:tcPr>
            <w:tcW w:w="798" w:type="dxa"/>
            <w:tcBorders>
              <w:top w:val="nil"/>
              <w:left w:val="nil"/>
              <w:bottom w:val="nil"/>
              <w:right w:val="nil"/>
            </w:tcBorders>
            <w:noWrap/>
            <w:vAlign w:val="bottom"/>
          </w:tcPr>
          <w:p w14:paraId="6744BB37"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-7,3</w:t>
            </w:r>
          </w:p>
        </w:tc>
        <w:tc>
          <w:tcPr>
            <w:tcW w:w="798" w:type="dxa"/>
            <w:tcBorders>
              <w:top w:val="nil"/>
              <w:left w:val="nil"/>
              <w:bottom w:val="nil"/>
              <w:right w:val="nil"/>
            </w:tcBorders>
            <w:vAlign w:val="bottom"/>
          </w:tcPr>
          <w:p w14:paraId="52CF1D4C"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10,2</w:t>
            </w:r>
          </w:p>
        </w:tc>
        <w:tc>
          <w:tcPr>
            <w:tcW w:w="743" w:type="dxa"/>
            <w:tcBorders>
              <w:top w:val="nil"/>
              <w:left w:val="nil"/>
              <w:bottom w:val="nil"/>
              <w:right w:val="nil"/>
            </w:tcBorders>
            <w:noWrap/>
            <w:vAlign w:val="bottom"/>
          </w:tcPr>
          <w:p w14:paraId="6EA3D129"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-1,6</w:t>
            </w:r>
          </w:p>
        </w:tc>
        <w:tc>
          <w:tcPr>
            <w:tcW w:w="721" w:type="dxa"/>
            <w:tcBorders>
              <w:top w:val="nil"/>
              <w:left w:val="nil"/>
              <w:bottom w:val="nil"/>
              <w:right w:val="nil"/>
            </w:tcBorders>
            <w:noWrap/>
            <w:vAlign w:val="bottom"/>
          </w:tcPr>
          <w:p w14:paraId="1D9C08F5"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1,7</w:t>
            </w:r>
          </w:p>
        </w:tc>
        <w:tc>
          <w:tcPr>
            <w:tcW w:w="752" w:type="dxa"/>
            <w:tcBorders>
              <w:top w:val="nil"/>
              <w:left w:val="nil"/>
              <w:bottom w:val="nil"/>
              <w:right w:val="nil"/>
            </w:tcBorders>
            <w:noWrap/>
            <w:vAlign w:val="bottom"/>
          </w:tcPr>
          <w:p w14:paraId="06106A9C"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7,6</w:t>
            </w:r>
          </w:p>
        </w:tc>
        <w:tc>
          <w:tcPr>
            <w:tcW w:w="754" w:type="dxa"/>
            <w:gridSpan w:val="2"/>
            <w:tcBorders>
              <w:top w:val="nil"/>
              <w:left w:val="nil"/>
              <w:bottom w:val="nil"/>
            </w:tcBorders>
            <w:noWrap/>
            <w:vAlign w:val="bottom"/>
          </w:tcPr>
          <w:p w14:paraId="3ED6A0B7"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5,8</w:t>
            </w:r>
          </w:p>
        </w:tc>
      </w:tr>
      <w:tr w:rsidR="001C1318" w:rsidRPr="001C1318" w14:paraId="0C3DD444" w14:textId="77777777" w:rsidTr="001C1318">
        <w:tblPrEx>
          <w:jc w:val="center"/>
        </w:tblPrEx>
        <w:trPr>
          <w:trHeight w:val="227"/>
          <w:jc w:val="center"/>
        </w:trPr>
        <w:tc>
          <w:tcPr>
            <w:tcW w:w="4648" w:type="dxa"/>
            <w:tcBorders>
              <w:top w:val="nil"/>
              <w:bottom w:val="nil"/>
              <w:right w:val="nil"/>
            </w:tcBorders>
            <w:noWrap/>
            <w:vAlign w:val="center"/>
            <w:hideMark/>
          </w:tcPr>
          <w:p w14:paraId="1A4CD14C" w14:textId="77777777" w:rsidR="001C1318" w:rsidRPr="001C1318" w:rsidRDefault="001C1318" w:rsidP="001C1318">
            <w:pPr>
              <w:spacing w:after="0" w:line="240" w:lineRule="auto"/>
              <w:jc w:val="left"/>
              <w:rPr>
                <w:rFonts w:eastAsia="Times New Roman" w:cs="Times New Roman"/>
                <w:sz w:val="18"/>
                <w:szCs w:val="18"/>
                <w:lang w:eastAsia="sk-SK"/>
              </w:rPr>
            </w:pPr>
            <w:r w:rsidRPr="001C1318">
              <w:rPr>
                <w:rFonts w:eastAsia="Times New Roman" w:cs="Times New Roman"/>
                <w:sz w:val="18"/>
                <w:szCs w:val="18"/>
                <w:lang w:eastAsia="sk-SK"/>
              </w:rPr>
              <w:t>Import tovarov a služieb</w:t>
            </w:r>
          </w:p>
        </w:tc>
        <w:tc>
          <w:tcPr>
            <w:tcW w:w="798" w:type="dxa"/>
            <w:tcBorders>
              <w:top w:val="nil"/>
              <w:left w:val="nil"/>
              <w:bottom w:val="nil"/>
              <w:right w:val="nil"/>
            </w:tcBorders>
            <w:noWrap/>
            <w:vAlign w:val="bottom"/>
          </w:tcPr>
          <w:p w14:paraId="100606F0"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-8,2</w:t>
            </w:r>
          </w:p>
        </w:tc>
        <w:tc>
          <w:tcPr>
            <w:tcW w:w="798" w:type="dxa"/>
            <w:tcBorders>
              <w:top w:val="nil"/>
              <w:left w:val="nil"/>
              <w:bottom w:val="nil"/>
              <w:right w:val="nil"/>
            </w:tcBorders>
            <w:vAlign w:val="bottom"/>
          </w:tcPr>
          <w:p w14:paraId="5244CCC0"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11,2</w:t>
            </w:r>
          </w:p>
        </w:tc>
        <w:tc>
          <w:tcPr>
            <w:tcW w:w="743" w:type="dxa"/>
            <w:tcBorders>
              <w:top w:val="nil"/>
              <w:left w:val="nil"/>
              <w:bottom w:val="nil"/>
              <w:right w:val="nil"/>
            </w:tcBorders>
            <w:noWrap/>
            <w:vAlign w:val="bottom"/>
          </w:tcPr>
          <w:p w14:paraId="346FB7FE"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-0,9</w:t>
            </w:r>
          </w:p>
        </w:tc>
        <w:tc>
          <w:tcPr>
            <w:tcW w:w="721" w:type="dxa"/>
            <w:tcBorders>
              <w:top w:val="nil"/>
              <w:left w:val="nil"/>
              <w:bottom w:val="nil"/>
              <w:right w:val="nil"/>
            </w:tcBorders>
            <w:noWrap/>
            <w:vAlign w:val="bottom"/>
          </w:tcPr>
          <w:p w14:paraId="3CF267BC"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2,4</w:t>
            </w:r>
          </w:p>
        </w:tc>
        <w:tc>
          <w:tcPr>
            <w:tcW w:w="752" w:type="dxa"/>
            <w:tcBorders>
              <w:top w:val="nil"/>
              <w:left w:val="nil"/>
              <w:bottom w:val="nil"/>
              <w:right w:val="nil"/>
            </w:tcBorders>
            <w:noWrap/>
            <w:vAlign w:val="bottom"/>
          </w:tcPr>
          <w:p w14:paraId="3A8276AE"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5,5</w:t>
            </w:r>
          </w:p>
        </w:tc>
        <w:tc>
          <w:tcPr>
            <w:tcW w:w="754" w:type="dxa"/>
            <w:gridSpan w:val="2"/>
            <w:tcBorders>
              <w:top w:val="nil"/>
              <w:left w:val="nil"/>
              <w:bottom w:val="nil"/>
            </w:tcBorders>
            <w:noWrap/>
            <w:vAlign w:val="bottom"/>
          </w:tcPr>
          <w:p w14:paraId="3A0FD3D1"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4,8</w:t>
            </w:r>
          </w:p>
        </w:tc>
      </w:tr>
      <w:tr w:rsidR="001C1318" w:rsidRPr="001C1318" w14:paraId="48B60294" w14:textId="77777777" w:rsidTr="001C1318">
        <w:tblPrEx>
          <w:jc w:val="center"/>
        </w:tblPrEx>
        <w:trPr>
          <w:trHeight w:val="227"/>
          <w:jc w:val="center"/>
        </w:trPr>
        <w:tc>
          <w:tcPr>
            <w:tcW w:w="9214" w:type="dxa"/>
            <w:gridSpan w:val="8"/>
            <w:tcBorders>
              <w:top w:val="nil"/>
              <w:bottom w:val="nil"/>
            </w:tcBorders>
            <w:noWrap/>
            <w:vAlign w:val="center"/>
            <w:hideMark/>
          </w:tcPr>
          <w:p w14:paraId="3B04F84A" w14:textId="77777777" w:rsidR="001C1318" w:rsidRPr="001C1318" w:rsidRDefault="001C1318" w:rsidP="001C1318">
            <w:pPr>
              <w:spacing w:after="0" w:line="240" w:lineRule="auto"/>
              <w:jc w:val="left"/>
              <w:rPr>
                <w:rFonts w:eastAsia="Times New Roman" w:cs="Times New Roman"/>
                <w:b/>
                <w:bCs/>
                <w:sz w:val="18"/>
                <w:szCs w:val="18"/>
                <w:lang w:eastAsia="sk-SK"/>
              </w:rPr>
            </w:pPr>
            <w:r w:rsidRPr="001C1318">
              <w:rPr>
                <w:rFonts w:eastAsia="Times New Roman" w:cs="Times New Roman"/>
                <w:b/>
                <w:bCs/>
                <w:sz w:val="18"/>
                <w:szCs w:val="18"/>
                <w:lang w:eastAsia="sk-SK"/>
              </w:rPr>
              <w:t>Trh práce</w:t>
            </w:r>
          </w:p>
        </w:tc>
      </w:tr>
      <w:tr w:rsidR="001C1318" w:rsidRPr="001C1318" w14:paraId="6171BD59" w14:textId="77777777" w:rsidTr="001C1318">
        <w:tblPrEx>
          <w:jc w:val="center"/>
        </w:tblPrEx>
        <w:trPr>
          <w:trHeight w:val="227"/>
          <w:jc w:val="center"/>
        </w:trPr>
        <w:tc>
          <w:tcPr>
            <w:tcW w:w="4648" w:type="dxa"/>
            <w:tcBorders>
              <w:top w:val="nil"/>
              <w:bottom w:val="nil"/>
              <w:right w:val="nil"/>
            </w:tcBorders>
            <w:noWrap/>
            <w:vAlign w:val="center"/>
            <w:hideMark/>
          </w:tcPr>
          <w:p w14:paraId="098DBD7D" w14:textId="77777777" w:rsidR="001C1318" w:rsidRPr="001C1318" w:rsidRDefault="001C1318" w:rsidP="001C1318">
            <w:pPr>
              <w:spacing w:after="0" w:line="240" w:lineRule="auto"/>
              <w:jc w:val="left"/>
              <w:rPr>
                <w:rFonts w:eastAsia="Times New Roman" w:cs="Times New Roman"/>
                <w:sz w:val="18"/>
                <w:szCs w:val="18"/>
                <w:lang w:eastAsia="sk-SK"/>
              </w:rPr>
            </w:pPr>
            <w:r w:rsidRPr="001C1318">
              <w:rPr>
                <w:rFonts w:eastAsia="Times New Roman" w:cs="Times New Roman"/>
                <w:sz w:val="18"/>
                <w:szCs w:val="18"/>
                <w:lang w:eastAsia="sk-SK"/>
              </w:rPr>
              <w:t>Zamestnanosť (štatistické výkazníctvo)</w:t>
            </w:r>
          </w:p>
        </w:tc>
        <w:tc>
          <w:tcPr>
            <w:tcW w:w="798" w:type="dxa"/>
            <w:tcBorders>
              <w:top w:val="nil"/>
              <w:left w:val="nil"/>
              <w:bottom w:val="nil"/>
              <w:right w:val="nil"/>
            </w:tcBorders>
            <w:noWrap/>
            <w:vAlign w:val="bottom"/>
          </w:tcPr>
          <w:p w14:paraId="1DAB1019"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-1,8</w:t>
            </w:r>
          </w:p>
        </w:tc>
        <w:tc>
          <w:tcPr>
            <w:tcW w:w="798" w:type="dxa"/>
            <w:tcBorders>
              <w:top w:val="nil"/>
              <w:left w:val="nil"/>
              <w:bottom w:val="nil"/>
              <w:right w:val="nil"/>
            </w:tcBorders>
            <w:vAlign w:val="bottom"/>
          </w:tcPr>
          <w:p w14:paraId="46953E96"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-0,7</w:t>
            </w:r>
          </w:p>
        </w:tc>
        <w:tc>
          <w:tcPr>
            <w:tcW w:w="743" w:type="dxa"/>
            <w:tcBorders>
              <w:top w:val="nil"/>
              <w:left w:val="nil"/>
              <w:bottom w:val="nil"/>
              <w:right w:val="nil"/>
            </w:tcBorders>
            <w:noWrap/>
            <w:vAlign w:val="bottom"/>
          </w:tcPr>
          <w:p w14:paraId="668EE079"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2,1</w:t>
            </w:r>
          </w:p>
        </w:tc>
        <w:tc>
          <w:tcPr>
            <w:tcW w:w="721" w:type="dxa"/>
            <w:tcBorders>
              <w:top w:val="nil"/>
              <w:left w:val="nil"/>
              <w:bottom w:val="nil"/>
              <w:right w:val="nil"/>
            </w:tcBorders>
            <w:noWrap/>
            <w:vAlign w:val="bottom"/>
          </w:tcPr>
          <w:p w14:paraId="124675F3"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0,2</w:t>
            </w:r>
          </w:p>
        </w:tc>
        <w:tc>
          <w:tcPr>
            <w:tcW w:w="752" w:type="dxa"/>
            <w:tcBorders>
              <w:top w:val="nil"/>
              <w:left w:val="nil"/>
              <w:bottom w:val="nil"/>
              <w:right w:val="nil"/>
            </w:tcBorders>
            <w:noWrap/>
            <w:vAlign w:val="bottom"/>
          </w:tcPr>
          <w:p w14:paraId="3427A5A6"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0,7</w:t>
            </w:r>
          </w:p>
        </w:tc>
        <w:tc>
          <w:tcPr>
            <w:tcW w:w="754" w:type="dxa"/>
            <w:gridSpan w:val="2"/>
            <w:tcBorders>
              <w:top w:val="nil"/>
              <w:left w:val="nil"/>
              <w:bottom w:val="nil"/>
            </w:tcBorders>
            <w:noWrap/>
            <w:vAlign w:val="bottom"/>
          </w:tcPr>
          <w:p w14:paraId="700A97E2"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0,8</w:t>
            </w:r>
          </w:p>
        </w:tc>
      </w:tr>
      <w:tr w:rsidR="001C1318" w:rsidRPr="001C1318" w14:paraId="65F6AE60" w14:textId="77777777" w:rsidTr="001C1318">
        <w:tblPrEx>
          <w:jc w:val="center"/>
        </w:tblPrEx>
        <w:trPr>
          <w:trHeight w:val="227"/>
          <w:jc w:val="center"/>
        </w:trPr>
        <w:tc>
          <w:tcPr>
            <w:tcW w:w="4648" w:type="dxa"/>
            <w:tcBorders>
              <w:top w:val="nil"/>
              <w:bottom w:val="nil"/>
              <w:right w:val="nil"/>
            </w:tcBorders>
            <w:noWrap/>
            <w:vAlign w:val="center"/>
            <w:hideMark/>
          </w:tcPr>
          <w:p w14:paraId="6379F019" w14:textId="77777777" w:rsidR="001C1318" w:rsidRPr="001C1318" w:rsidRDefault="001C1318" w:rsidP="001C1318">
            <w:pPr>
              <w:spacing w:after="0" w:line="240" w:lineRule="auto"/>
              <w:jc w:val="left"/>
              <w:rPr>
                <w:rFonts w:eastAsia="Times New Roman" w:cs="Times New Roman"/>
                <w:sz w:val="18"/>
                <w:szCs w:val="18"/>
                <w:lang w:eastAsia="sk-SK"/>
              </w:rPr>
            </w:pPr>
            <w:r w:rsidRPr="001C1318">
              <w:rPr>
                <w:rFonts w:eastAsia="Times New Roman" w:cs="Times New Roman"/>
                <w:sz w:val="18"/>
                <w:szCs w:val="18"/>
                <w:lang w:eastAsia="sk-SK"/>
              </w:rPr>
              <w:t>Mzdy, nominálne</w:t>
            </w:r>
          </w:p>
        </w:tc>
        <w:tc>
          <w:tcPr>
            <w:tcW w:w="798" w:type="dxa"/>
            <w:tcBorders>
              <w:top w:val="nil"/>
              <w:left w:val="nil"/>
              <w:bottom w:val="nil"/>
              <w:right w:val="nil"/>
            </w:tcBorders>
            <w:noWrap/>
            <w:vAlign w:val="bottom"/>
          </w:tcPr>
          <w:p w14:paraId="57FCD715"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3,8</w:t>
            </w:r>
          </w:p>
        </w:tc>
        <w:tc>
          <w:tcPr>
            <w:tcW w:w="798" w:type="dxa"/>
            <w:tcBorders>
              <w:top w:val="nil"/>
              <w:left w:val="nil"/>
              <w:bottom w:val="nil"/>
              <w:right w:val="nil"/>
            </w:tcBorders>
            <w:vAlign w:val="bottom"/>
          </w:tcPr>
          <w:p w14:paraId="19D41EF7"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6,9</w:t>
            </w:r>
          </w:p>
        </w:tc>
        <w:tc>
          <w:tcPr>
            <w:tcW w:w="743" w:type="dxa"/>
            <w:tcBorders>
              <w:top w:val="nil"/>
              <w:left w:val="nil"/>
              <w:bottom w:val="nil"/>
              <w:right w:val="nil"/>
            </w:tcBorders>
            <w:noWrap/>
            <w:vAlign w:val="bottom"/>
          </w:tcPr>
          <w:p w14:paraId="79B4B781"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8,3</w:t>
            </w:r>
          </w:p>
        </w:tc>
        <w:tc>
          <w:tcPr>
            <w:tcW w:w="721" w:type="dxa"/>
            <w:tcBorders>
              <w:top w:val="nil"/>
              <w:left w:val="nil"/>
              <w:bottom w:val="nil"/>
              <w:right w:val="nil"/>
            </w:tcBorders>
            <w:noWrap/>
            <w:vAlign w:val="bottom"/>
          </w:tcPr>
          <w:p w14:paraId="24F0BE89"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10,4</w:t>
            </w:r>
          </w:p>
        </w:tc>
        <w:tc>
          <w:tcPr>
            <w:tcW w:w="752" w:type="dxa"/>
            <w:tcBorders>
              <w:top w:val="nil"/>
              <w:left w:val="nil"/>
              <w:bottom w:val="nil"/>
              <w:right w:val="nil"/>
            </w:tcBorders>
            <w:noWrap/>
            <w:vAlign w:val="bottom"/>
          </w:tcPr>
          <w:p w14:paraId="42CA4C2F"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7,5</w:t>
            </w:r>
          </w:p>
        </w:tc>
        <w:tc>
          <w:tcPr>
            <w:tcW w:w="754" w:type="dxa"/>
            <w:gridSpan w:val="2"/>
            <w:tcBorders>
              <w:top w:val="nil"/>
              <w:left w:val="nil"/>
              <w:bottom w:val="nil"/>
            </w:tcBorders>
            <w:noWrap/>
            <w:vAlign w:val="bottom"/>
          </w:tcPr>
          <w:p w14:paraId="65D98CAD"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6,0</w:t>
            </w:r>
          </w:p>
        </w:tc>
      </w:tr>
      <w:tr w:rsidR="001C1318" w:rsidRPr="001C1318" w14:paraId="5F379D92" w14:textId="77777777" w:rsidTr="001C1318">
        <w:tblPrEx>
          <w:jc w:val="center"/>
        </w:tblPrEx>
        <w:trPr>
          <w:trHeight w:val="227"/>
          <w:jc w:val="center"/>
        </w:trPr>
        <w:tc>
          <w:tcPr>
            <w:tcW w:w="4648" w:type="dxa"/>
            <w:tcBorders>
              <w:top w:val="nil"/>
              <w:bottom w:val="nil"/>
              <w:right w:val="nil"/>
            </w:tcBorders>
            <w:noWrap/>
            <w:vAlign w:val="center"/>
            <w:hideMark/>
          </w:tcPr>
          <w:p w14:paraId="438C776F" w14:textId="77777777" w:rsidR="001C1318" w:rsidRPr="001C1318" w:rsidRDefault="001C1318" w:rsidP="001C1318">
            <w:pPr>
              <w:spacing w:after="0" w:line="240" w:lineRule="auto"/>
              <w:jc w:val="left"/>
              <w:rPr>
                <w:rFonts w:eastAsia="Times New Roman" w:cs="Times New Roman"/>
                <w:sz w:val="18"/>
                <w:szCs w:val="18"/>
                <w:lang w:eastAsia="sk-SK"/>
              </w:rPr>
            </w:pPr>
            <w:r w:rsidRPr="001C1318">
              <w:rPr>
                <w:rFonts w:eastAsia="Times New Roman" w:cs="Times New Roman"/>
                <w:sz w:val="18"/>
                <w:szCs w:val="18"/>
                <w:lang w:eastAsia="sk-SK"/>
              </w:rPr>
              <w:t>Mzdy, reálne</w:t>
            </w:r>
          </w:p>
        </w:tc>
        <w:tc>
          <w:tcPr>
            <w:tcW w:w="798" w:type="dxa"/>
            <w:tcBorders>
              <w:top w:val="nil"/>
              <w:left w:val="nil"/>
              <w:bottom w:val="nil"/>
              <w:right w:val="nil"/>
            </w:tcBorders>
            <w:noWrap/>
            <w:vAlign w:val="bottom"/>
          </w:tcPr>
          <w:p w14:paraId="7ECEC000"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1,8</w:t>
            </w:r>
          </w:p>
        </w:tc>
        <w:tc>
          <w:tcPr>
            <w:tcW w:w="798" w:type="dxa"/>
            <w:tcBorders>
              <w:top w:val="nil"/>
              <w:left w:val="nil"/>
              <w:bottom w:val="nil"/>
              <w:right w:val="nil"/>
            </w:tcBorders>
            <w:vAlign w:val="bottom"/>
          </w:tcPr>
          <w:p w14:paraId="5CA8C8AB"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3,6</w:t>
            </w:r>
          </w:p>
        </w:tc>
        <w:tc>
          <w:tcPr>
            <w:tcW w:w="743" w:type="dxa"/>
            <w:tcBorders>
              <w:top w:val="nil"/>
              <w:left w:val="nil"/>
              <w:bottom w:val="nil"/>
              <w:right w:val="nil"/>
            </w:tcBorders>
            <w:noWrap/>
            <w:vAlign w:val="bottom"/>
          </w:tcPr>
          <w:p w14:paraId="52272DF3"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-3,6</w:t>
            </w:r>
          </w:p>
        </w:tc>
        <w:tc>
          <w:tcPr>
            <w:tcW w:w="721" w:type="dxa"/>
            <w:tcBorders>
              <w:top w:val="nil"/>
              <w:left w:val="nil"/>
              <w:bottom w:val="nil"/>
              <w:right w:val="nil"/>
            </w:tcBorders>
            <w:noWrap/>
            <w:vAlign w:val="bottom"/>
          </w:tcPr>
          <w:p w14:paraId="441A9759"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-2,7</w:t>
            </w:r>
          </w:p>
        </w:tc>
        <w:tc>
          <w:tcPr>
            <w:tcW w:w="752" w:type="dxa"/>
            <w:tcBorders>
              <w:top w:val="nil"/>
              <w:left w:val="nil"/>
              <w:bottom w:val="nil"/>
              <w:right w:val="nil"/>
            </w:tcBorders>
            <w:noWrap/>
            <w:vAlign w:val="bottom"/>
          </w:tcPr>
          <w:p w14:paraId="4B2D0387"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3,9</w:t>
            </w:r>
          </w:p>
        </w:tc>
        <w:tc>
          <w:tcPr>
            <w:tcW w:w="754" w:type="dxa"/>
            <w:gridSpan w:val="2"/>
            <w:tcBorders>
              <w:top w:val="nil"/>
              <w:left w:val="nil"/>
              <w:bottom w:val="nil"/>
            </w:tcBorders>
            <w:noWrap/>
            <w:vAlign w:val="bottom"/>
          </w:tcPr>
          <w:p w14:paraId="18ED35DA"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2,1</w:t>
            </w:r>
          </w:p>
        </w:tc>
      </w:tr>
      <w:tr w:rsidR="001C1318" w:rsidRPr="001C1318" w14:paraId="220EDA0E" w14:textId="77777777" w:rsidTr="001C1318">
        <w:tblPrEx>
          <w:jc w:val="center"/>
        </w:tblPrEx>
        <w:trPr>
          <w:trHeight w:val="227"/>
          <w:jc w:val="center"/>
        </w:trPr>
        <w:tc>
          <w:tcPr>
            <w:tcW w:w="4648" w:type="dxa"/>
            <w:tcBorders>
              <w:top w:val="nil"/>
              <w:bottom w:val="nil"/>
              <w:right w:val="nil"/>
            </w:tcBorders>
            <w:noWrap/>
            <w:vAlign w:val="center"/>
            <w:hideMark/>
          </w:tcPr>
          <w:p w14:paraId="73A4DEC6" w14:textId="77777777" w:rsidR="001C1318" w:rsidRPr="001C1318" w:rsidRDefault="001C1318" w:rsidP="001C1318">
            <w:pPr>
              <w:spacing w:after="0" w:line="240" w:lineRule="auto"/>
              <w:jc w:val="left"/>
              <w:rPr>
                <w:rFonts w:eastAsia="Times New Roman" w:cs="Times New Roman"/>
                <w:sz w:val="18"/>
                <w:szCs w:val="18"/>
                <w:lang w:eastAsia="sk-SK"/>
              </w:rPr>
            </w:pPr>
            <w:r w:rsidRPr="001C1318">
              <w:rPr>
                <w:rFonts w:eastAsia="Times New Roman" w:cs="Times New Roman"/>
                <w:sz w:val="18"/>
                <w:szCs w:val="18"/>
                <w:lang w:eastAsia="sk-SK"/>
              </w:rPr>
              <w:t>Miera nezamestnanosti</w:t>
            </w:r>
          </w:p>
        </w:tc>
        <w:tc>
          <w:tcPr>
            <w:tcW w:w="798" w:type="dxa"/>
            <w:tcBorders>
              <w:top w:val="nil"/>
              <w:left w:val="nil"/>
              <w:bottom w:val="nil"/>
              <w:right w:val="nil"/>
            </w:tcBorders>
            <w:noWrap/>
            <w:vAlign w:val="bottom"/>
          </w:tcPr>
          <w:p w14:paraId="170351FC"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6,7</w:t>
            </w:r>
          </w:p>
        </w:tc>
        <w:tc>
          <w:tcPr>
            <w:tcW w:w="798" w:type="dxa"/>
            <w:tcBorders>
              <w:top w:val="nil"/>
              <w:left w:val="nil"/>
              <w:bottom w:val="nil"/>
              <w:right w:val="nil"/>
            </w:tcBorders>
            <w:vAlign w:val="bottom"/>
          </w:tcPr>
          <w:p w14:paraId="756CF45B"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6,9</w:t>
            </w:r>
          </w:p>
        </w:tc>
        <w:tc>
          <w:tcPr>
            <w:tcW w:w="743" w:type="dxa"/>
            <w:tcBorders>
              <w:top w:val="nil"/>
              <w:left w:val="nil"/>
              <w:bottom w:val="nil"/>
              <w:right w:val="nil"/>
            </w:tcBorders>
            <w:noWrap/>
            <w:vAlign w:val="bottom"/>
          </w:tcPr>
          <w:p w14:paraId="6FE72FA8"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6,1</w:t>
            </w:r>
          </w:p>
        </w:tc>
        <w:tc>
          <w:tcPr>
            <w:tcW w:w="721" w:type="dxa"/>
            <w:tcBorders>
              <w:top w:val="nil"/>
              <w:left w:val="nil"/>
              <w:bottom w:val="nil"/>
              <w:right w:val="nil"/>
            </w:tcBorders>
            <w:noWrap/>
            <w:vAlign w:val="bottom"/>
          </w:tcPr>
          <w:p w14:paraId="131C2FC1"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6,1</w:t>
            </w:r>
          </w:p>
        </w:tc>
        <w:tc>
          <w:tcPr>
            <w:tcW w:w="752" w:type="dxa"/>
            <w:tcBorders>
              <w:top w:val="nil"/>
              <w:left w:val="nil"/>
              <w:bottom w:val="nil"/>
              <w:right w:val="nil"/>
            </w:tcBorders>
            <w:noWrap/>
            <w:vAlign w:val="bottom"/>
          </w:tcPr>
          <w:p w14:paraId="3B60ABFF"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5,6</w:t>
            </w:r>
          </w:p>
        </w:tc>
        <w:tc>
          <w:tcPr>
            <w:tcW w:w="754" w:type="dxa"/>
            <w:gridSpan w:val="2"/>
            <w:tcBorders>
              <w:top w:val="nil"/>
              <w:left w:val="nil"/>
              <w:bottom w:val="nil"/>
            </w:tcBorders>
            <w:noWrap/>
            <w:vAlign w:val="bottom"/>
          </w:tcPr>
          <w:p w14:paraId="06B327E9"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4,8</w:t>
            </w:r>
          </w:p>
        </w:tc>
      </w:tr>
      <w:tr w:rsidR="001C1318" w:rsidRPr="001C1318" w14:paraId="0136D482" w14:textId="77777777" w:rsidTr="001C1318">
        <w:tblPrEx>
          <w:jc w:val="center"/>
        </w:tblPrEx>
        <w:trPr>
          <w:trHeight w:val="227"/>
          <w:jc w:val="center"/>
        </w:trPr>
        <w:tc>
          <w:tcPr>
            <w:tcW w:w="9214" w:type="dxa"/>
            <w:gridSpan w:val="8"/>
            <w:tcBorders>
              <w:top w:val="nil"/>
              <w:bottom w:val="nil"/>
            </w:tcBorders>
            <w:noWrap/>
            <w:vAlign w:val="center"/>
            <w:hideMark/>
          </w:tcPr>
          <w:p w14:paraId="2ED01EB5" w14:textId="77777777" w:rsidR="001C1318" w:rsidRPr="001C1318" w:rsidRDefault="001C1318" w:rsidP="001C1318">
            <w:pPr>
              <w:spacing w:after="0" w:line="240" w:lineRule="auto"/>
              <w:jc w:val="left"/>
              <w:rPr>
                <w:rFonts w:eastAsia="Times New Roman" w:cs="Times New Roman"/>
                <w:b/>
                <w:bCs/>
                <w:sz w:val="18"/>
                <w:szCs w:val="18"/>
                <w:lang w:eastAsia="sk-SK"/>
              </w:rPr>
            </w:pPr>
            <w:r w:rsidRPr="001C1318">
              <w:rPr>
                <w:rFonts w:eastAsia="Times New Roman" w:cs="Times New Roman"/>
                <w:b/>
                <w:bCs/>
                <w:sz w:val="18"/>
                <w:szCs w:val="18"/>
                <w:lang w:eastAsia="sk-SK"/>
              </w:rPr>
              <w:t>Inflácia</w:t>
            </w:r>
            <w:r w:rsidRPr="001C1318">
              <w:rPr>
                <w:rFonts w:eastAsia="Times New Roman" w:cs="Times New Roman"/>
                <w:sz w:val="18"/>
                <w:szCs w:val="18"/>
                <w:lang w:eastAsia="sk-SK"/>
              </w:rPr>
              <w:t> </w:t>
            </w:r>
          </w:p>
        </w:tc>
      </w:tr>
      <w:tr w:rsidR="001C1318" w:rsidRPr="001C1318" w14:paraId="72597B64" w14:textId="77777777" w:rsidTr="001C1318">
        <w:tblPrEx>
          <w:jc w:val="center"/>
        </w:tblPrEx>
        <w:trPr>
          <w:trHeight w:val="227"/>
          <w:jc w:val="center"/>
        </w:trPr>
        <w:tc>
          <w:tcPr>
            <w:tcW w:w="4648" w:type="dxa"/>
            <w:tcBorders>
              <w:top w:val="nil"/>
              <w:bottom w:val="single" w:sz="4" w:space="0" w:color="auto"/>
              <w:right w:val="nil"/>
            </w:tcBorders>
            <w:noWrap/>
            <w:vAlign w:val="center"/>
            <w:hideMark/>
          </w:tcPr>
          <w:p w14:paraId="2F832F08" w14:textId="77777777" w:rsidR="001C1318" w:rsidRPr="001C1318" w:rsidRDefault="001C1318" w:rsidP="001C1318">
            <w:pPr>
              <w:spacing w:after="0" w:line="240" w:lineRule="auto"/>
              <w:jc w:val="left"/>
              <w:rPr>
                <w:rFonts w:eastAsia="Times New Roman" w:cs="Times New Roman"/>
                <w:sz w:val="18"/>
                <w:szCs w:val="18"/>
                <w:lang w:eastAsia="sk-SK"/>
              </w:rPr>
            </w:pPr>
            <w:r w:rsidRPr="001C1318">
              <w:rPr>
                <w:rFonts w:eastAsia="Times New Roman" w:cs="Times New Roman"/>
                <w:sz w:val="18"/>
                <w:szCs w:val="18"/>
                <w:lang w:eastAsia="sk-SK"/>
              </w:rPr>
              <w:t>Index spotrebiteľských cien</w:t>
            </w:r>
          </w:p>
        </w:tc>
        <w:tc>
          <w:tcPr>
            <w:tcW w:w="798" w:type="dxa"/>
            <w:tcBorders>
              <w:top w:val="nil"/>
              <w:left w:val="nil"/>
              <w:bottom w:val="single" w:sz="4" w:space="0" w:color="auto"/>
              <w:right w:val="nil"/>
            </w:tcBorders>
            <w:noWrap/>
            <w:vAlign w:val="bottom"/>
          </w:tcPr>
          <w:p w14:paraId="56B01B66"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1,9</w:t>
            </w:r>
          </w:p>
        </w:tc>
        <w:tc>
          <w:tcPr>
            <w:tcW w:w="798" w:type="dxa"/>
            <w:tcBorders>
              <w:top w:val="nil"/>
              <w:left w:val="nil"/>
              <w:bottom w:val="single" w:sz="4" w:space="0" w:color="auto"/>
              <w:right w:val="nil"/>
            </w:tcBorders>
            <w:vAlign w:val="bottom"/>
          </w:tcPr>
          <w:p w14:paraId="3D180710"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3,2</w:t>
            </w:r>
          </w:p>
        </w:tc>
        <w:tc>
          <w:tcPr>
            <w:tcW w:w="743" w:type="dxa"/>
            <w:tcBorders>
              <w:top w:val="nil"/>
              <w:left w:val="nil"/>
              <w:bottom w:val="single" w:sz="4" w:space="0" w:color="auto"/>
              <w:right w:val="nil"/>
            </w:tcBorders>
            <w:noWrap/>
            <w:vAlign w:val="bottom"/>
          </w:tcPr>
          <w:p w14:paraId="5DD3BB4A"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12,4</w:t>
            </w:r>
          </w:p>
        </w:tc>
        <w:tc>
          <w:tcPr>
            <w:tcW w:w="721" w:type="dxa"/>
            <w:tcBorders>
              <w:top w:val="nil"/>
              <w:left w:val="nil"/>
              <w:bottom w:val="single" w:sz="4" w:space="0" w:color="auto"/>
              <w:right w:val="nil"/>
            </w:tcBorders>
            <w:noWrap/>
            <w:vAlign w:val="bottom"/>
          </w:tcPr>
          <w:p w14:paraId="1EC4F4DB"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13,5</w:t>
            </w:r>
          </w:p>
        </w:tc>
        <w:tc>
          <w:tcPr>
            <w:tcW w:w="752" w:type="dxa"/>
            <w:tcBorders>
              <w:top w:val="nil"/>
              <w:left w:val="nil"/>
              <w:bottom w:val="single" w:sz="4" w:space="0" w:color="auto"/>
              <w:right w:val="nil"/>
            </w:tcBorders>
            <w:noWrap/>
            <w:vAlign w:val="bottom"/>
          </w:tcPr>
          <w:p w14:paraId="04F2296A"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3,4</w:t>
            </w:r>
          </w:p>
        </w:tc>
        <w:tc>
          <w:tcPr>
            <w:tcW w:w="754" w:type="dxa"/>
            <w:gridSpan w:val="2"/>
            <w:tcBorders>
              <w:top w:val="nil"/>
              <w:left w:val="nil"/>
              <w:bottom w:val="single" w:sz="4" w:space="0" w:color="auto"/>
            </w:tcBorders>
            <w:noWrap/>
            <w:vAlign w:val="bottom"/>
          </w:tcPr>
          <w:p w14:paraId="592B6F4B" w14:textId="77777777" w:rsidR="001C1318" w:rsidRPr="001C1318" w:rsidRDefault="001C1318" w:rsidP="001C1318">
            <w:pPr>
              <w:spacing w:after="0" w:line="240" w:lineRule="auto"/>
              <w:jc w:val="center"/>
              <w:rPr>
                <w:rFonts w:eastAsia="Times New Roman" w:cs="Times New Roman"/>
                <w:sz w:val="18"/>
                <w:szCs w:val="18"/>
                <w:lang w:eastAsia="sk-SK"/>
              </w:rPr>
            </w:pPr>
            <w:r w:rsidRPr="001C1318">
              <w:rPr>
                <w:rFonts w:eastAsia="Times New Roman" w:cs="Times New Roman"/>
                <w:sz w:val="18"/>
                <w:szCs w:val="18"/>
                <w:lang w:eastAsia="sk-SK"/>
              </w:rPr>
              <w:t>3,8</w:t>
            </w:r>
          </w:p>
        </w:tc>
      </w:tr>
    </w:tbl>
    <w:p w14:paraId="6132CD1F" w14:textId="4ED730A3" w:rsidR="001C1318" w:rsidRDefault="001C1318" w:rsidP="00A32E02"/>
    <w:tbl>
      <w:tblPr>
        <w:tblW w:w="5000" w:type="pct"/>
        <w:tblCellMar>
          <w:left w:w="70" w:type="dxa"/>
          <w:right w:w="70" w:type="dxa"/>
        </w:tblCellMar>
        <w:tblLook w:val="04A0" w:firstRow="1" w:lastRow="0" w:firstColumn="1" w:lastColumn="0" w:noHBand="0" w:noVBand="1"/>
      </w:tblPr>
      <w:tblGrid>
        <w:gridCol w:w="4105"/>
        <w:gridCol w:w="2381"/>
        <w:gridCol w:w="715"/>
        <w:gridCol w:w="715"/>
        <w:gridCol w:w="647"/>
        <w:gridCol w:w="651"/>
      </w:tblGrid>
      <w:tr w:rsidR="001C1318" w:rsidRPr="001737A0" w14:paraId="43AE24A8" w14:textId="77777777" w:rsidTr="00BD4088">
        <w:trPr>
          <w:trHeight w:val="227"/>
        </w:trPr>
        <w:tc>
          <w:tcPr>
            <w:tcW w:w="5000" w:type="pct"/>
            <w:gridSpan w:val="6"/>
            <w:tcBorders>
              <w:bottom w:val="single" w:sz="4" w:space="0" w:color="auto"/>
            </w:tcBorders>
            <w:shd w:val="clear" w:color="auto" w:fill="auto"/>
            <w:noWrap/>
            <w:vAlign w:val="center"/>
            <w:hideMark/>
          </w:tcPr>
          <w:p w14:paraId="7204F815" w14:textId="77777777" w:rsidR="001C1318" w:rsidRPr="001737A0" w:rsidRDefault="001C1318" w:rsidP="000B69FA">
            <w:pPr>
              <w:spacing w:line="240" w:lineRule="auto"/>
              <w:jc w:val="left"/>
              <w:rPr>
                <w:rFonts w:cs="Times New Roman"/>
                <w:b/>
                <w:bCs/>
                <w:color w:val="5B9BD5" w:themeColor="accent1"/>
                <w:sz w:val="20"/>
                <w:szCs w:val="20"/>
              </w:rPr>
            </w:pPr>
            <w:r>
              <w:rPr>
                <w:rFonts w:cs="Times New Roman"/>
                <w:b/>
                <w:bCs/>
                <w:color w:val="5B9BD5" w:themeColor="accent1"/>
                <w:sz w:val="20"/>
                <w:szCs w:val="20"/>
              </w:rPr>
              <w:t xml:space="preserve">Tabuľka 5 - </w:t>
            </w:r>
            <w:r w:rsidRPr="001737A0">
              <w:rPr>
                <w:rFonts w:cs="Times New Roman"/>
                <w:b/>
                <w:bCs/>
                <w:color w:val="5B9BD5" w:themeColor="accent1"/>
                <w:sz w:val="20"/>
                <w:szCs w:val="20"/>
              </w:rPr>
              <w:t>Porovnanie prognóz Európskej komisie (EK) a MF SR</w:t>
            </w:r>
          </w:p>
        </w:tc>
      </w:tr>
      <w:tr w:rsidR="001C1318" w:rsidRPr="001C1318" w14:paraId="526F50E8" w14:textId="77777777" w:rsidTr="00BD4088">
        <w:tblPrEx>
          <w:jc w:val="center"/>
        </w:tblPrEx>
        <w:trPr>
          <w:trHeight w:val="227"/>
          <w:jc w:val="center"/>
        </w:trPr>
        <w:tc>
          <w:tcPr>
            <w:tcW w:w="2228" w:type="pct"/>
            <w:tcBorders>
              <w:top w:val="nil"/>
              <w:bottom w:val="single" w:sz="4" w:space="0" w:color="auto"/>
              <w:right w:val="nil"/>
            </w:tcBorders>
            <w:shd w:val="clear" w:color="auto" w:fill="auto"/>
            <w:noWrap/>
            <w:vAlign w:val="center"/>
            <w:hideMark/>
          </w:tcPr>
          <w:p w14:paraId="60652BCC"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 </w:t>
            </w:r>
            <w:r w:rsidRPr="001C1318">
              <w:rPr>
                <w:rFonts w:eastAsia="Times New Roman" w:cs="Times New Roman"/>
                <w:b/>
                <w:bCs/>
                <w:sz w:val="18"/>
                <w:szCs w:val="18"/>
                <w:lang w:eastAsia="sk-SK"/>
              </w:rPr>
              <w:t xml:space="preserve">Ukazovateľ </w:t>
            </w:r>
            <w:r w:rsidRPr="001C1318">
              <w:rPr>
                <w:rFonts w:eastAsia="Times New Roman" w:cs="Times New Roman"/>
                <w:b/>
                <w:sz w:val="18"/>
                <w:szCs w:val="18"/>
                <w:lang w:eastAsia="sk-SK"/>
              </w:rPr>
              <w:t>(rast v %, ak nie je uvedené inak)</w:t>
            </w:r>
          </w:p>
        </w:tc>
        <w:tc>
          <w:tcPr>
            <w:tcW w:w="1292" w:type="pct"/>
            <w:tcBorders>
              <w:top w:val="nil"/>
              <w:left w:val="nil"/>
              <w:bottom w:val="single" w:sz="4" w:space="0" w:color="auto"/>
              <w:right w:val="single" w:sz="4" w:space="0" w:color="auto"/>
            </w:tcBorders>
            <w:shd w:val="clear" w:color="auto" w:fill="auto"/>
            <w:noWrap/>
            <w:vAlign w:val="bottom"/>
            <w:hideMark/>
          </w:tcPr>
          <w:p w14:paraId="244E23D4"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 </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13303" w14:textId="77777777" w:rsidR="001C1318" w:rsidRPr="001C1318" w:rsidRDefault="001C1318" w:rsidP="001C1318">
            <w:pPr>
              <w:spacing w:after="0" w:line="240" w:lineRule="auto"/>
              <w:jc w:val="center"/>
              <w:rPr>
                <w:rFonts w:eastAsia="Times New Roman" w:cs="Times New Roman"/>
                <w:b/>
                <w:bCs/>
                <w:color w:val="000000"/>
                <w:sz w:val="18"/>
                <w:szCs w:val="18"/>
                <w:lang w:eastAsia="sk-SK"/>
              </w:rPr>
            </w:pPr>
            <w:r w:rsidRPr="001C1318">
              <w:rPr>
                <w:rFonts w:eastAsia="Times New Roman" w:cs="Times New Roman"/>
                <w:b/>
                <w:bCs/>
                <w:color w:val="000000"/>
                <w:sz w:val="18"/>
                <w:szCs w:val="18"/>
                <w:lang w:eastAsia="sk-SK"/>
              </w:rPr>
              <w:t>2020</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EE05D" w14:textId="77777777" w:rsidR="001C1318" w:rsidRPr="001C1318" w:rsidRDefault="001C1318" w:rsidP="001C1318">
            <w:pPr>
              <w:spacing w:after="0" w:line="240" w:lineRule="auto"/>
              <w:jc w:val="center"/>
              <w:rPr>
                <w:rFonts w:eastAsia="Times New Roman" w:cs="Times New Roman"/>
                <w:b/>
                <w:bCs/>
                <w:color w:val="000000"/>
                <w:sz w:val="18"/>
                <w:szCs w:val="18"/>
                <w:lang w:eastAsia="sk-SK"/>
              </w:rPr>
            </w:pPr>
            <w:r w:rsidRPr="001C1318">
              <w:rPr>
                <w:rFonts w:eastAsia="Times New Roman" w:cs="Times New Roman"/>
                <w:b/>
                <w:bCs/>
                <w:color w:val="000000"/>
                <w:sz w:val="18"/>
                <w:szCs w:val="18"/>
                <w:lang w:eastAsia="sk-SK"/>
              </w:rPr>
              <w:t>2021</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24DAA" w14:textId="77777777" w:rsidR="001C1318" w:rsidRPr="001C1318" w:rsidRDefault="001C1318" w:rsidP="001C1318">
            <w:pPr>
              <w:spacing w:after="0" w:line="240" w:lineRule="auto"/>
              <w:jc w:val="center"/>
              <w:rPr>
                <w:rFonts w:eastAsia="Times New Roman" w:cs="Times New Roman"/>
                <w:b/>
                <w:bCs/>
                <w:color w:val="000000"/>
                <w:sz w:val="18"/>
                <w:szCs w:val="18"/>
                <w:lang w:eastAsia="sk-SK"/>
              </w:rPr>
            </w:pPr>
            <w:r w:rsidRPr="001C1318">
              <w:rPr>
                <w:rFonts w:eastAsia="Times New Roman" w:cs="Times New Roman"/>
                <w:b/>
                <w:bCs/>
                <w:color w:val="000000"/>
                <w:sz w:val="18"/>
                <w:szCs w:val="18"/>
                <w:lang w:eastAsia="sk-SK"/>
              </w:rPr>
              <w:t>2022</w:t>
            </w:r>
          </w:p>
        </w:tc>
        <w:tc>
          <w:tcPr>
            <w:tcW w:w="353" w:type="pct"/>
            <w:tcBorders>
              <w:top w:val="single" w:sz="4" w:space="0" w:color="auto"/>
              <w:left w:val="single" w:sz="4" w:space="0" w:color="auto"/>
              <w:bottom w:val="single" w:sz="4" w:space="0" w:color="auto"/>
            </w:tcBorders>
            <w:shd w:val="clear" w:color="auto" w:fill="auto"/>
            <w:noWrap/>
            <w:vAlign w:val="bottom"/>
            <w:hideMark/>
          </w:tcPr>
          <w:p w14:paraId="62EA5297" w14:textId="77777777" w:rsidR="001C1318" w:rsidRPr="001C1318" w:rsidRDefault="001C1318" w:rsidP="001C1318">
            <w:pPr>
              <w:spacing w:after="0" w:line="240" w:lineRule="auto"/>
              <w:jc w:val="center"/>
              <w:rPr>
                <w:rFonts w:eastAsia="Times New Roman" w:cs="Times New Roman"/>
                <w:b/>
                <w:bCs/>
                <w:color w:val="000000"/>
                <w:sz w:val="18"/>
                <w:szCs w:val="18"/>
                <w:lang w:eastAsia="sk-SK"/>
              </w:rPr>
            </w:pPr>
            <w:r w:rsidRPr="001C1318">
              <w:rPr>
                <w:rFonts w:eastAsia="Times New Roman" w:cs="Times New Roman"/>
                <w:b/>
                <w:bCs/>
                <w:color w:val="000000"/>
                <w:sz w:val="18"/>
                <w:szCs w:val="18"/>
                <w:lang w:eastAsia="sk-SK"/>
              </w:rPr>
              <w:t>2023</w:t>
            </w:r>
          </w:p>
        </w:tc>
      </w:tr>
      <w:tr w:rsidR="001C1318" w:rsidRPr="001C1318" w14:paraId="75CBAC40" w14:textId="77777777" w:rsidTr="00BD4088">
        <w:tblPrEx>
          <w:jc w:val="center"/>
        </w:tblPrEx>
        <w:trPr>
          <w:trHeight w:val="227"/>
          <w:jc w:val="center"/>
        </w:trPr>
        <w:tc>
          <w:tcPr>
            <w:tcW w:w="2228" w:type="pct"/>
            <w:vMerge w:val="restart"/>
            <w:tcBorders>
              <w:top w:val="nil"/>
              <w:bottom w:val="single" w:sz="4" w:space="0" w:color="000000"/>
              <w:right w:val="single" w:sz="4" w:space="0" w:color="auto"/>
            </w:tcBorders>
            <w:shd w:val="clear" w:color="auto" w:fill="auto"/>
            <w:noWrap/>
            <w:vAlign w:val="center"/>
            <w:hideMark/>
          </w:tcPr>
          <w:p w14:paraId="137FBD42"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Reálne HDP</w:t>
            </w:r>
          </w:p>
        </w:tc>
        <w:tc>
          <w:tcPr>
            <w:tcW w:w="1292" w:type="pct"/>
            <w:tcBorders>
              <w:top w:val="nil"/>
              <w:left w:val="nil"/>
              <w:bottom w:val="nil"/>
              <w:right w:val="single" w:sz="4" w:space="0" w:color="auto"/>
            </w:tcBorders>
            <w:shd w:val="clear" w:color="auto" w:fill="auto"/>
            <w:noWrap/>
            <w:vAlign w:val="bottom"/>
            <w:hideMark/>
          </w:tcPr>
          <w:p w14:paraId="268C52D0"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Prognóza EK (jar 2022)</w:t>
            </w:r>
          </w:p>
        </w:tc>
        <w:tc>
          <w:tcPr>
            <w:tcW w:w="388" w:type="pct"/>
            <w:tcBorders>
              <w:top w:val="nil"/>
              <w:left w:val="nil"/>
              <w:bottom w:val="nil"/>
              <w:right w:val="single" w:sz="4" w:space="0" w:color="auto"/>
            </w:tcBorders>
            <w:shd w:val="clear" w:color="auto" w:fill="auto"/>
            <w:noWrap/>
            <w:vAlign w:val="bottom"/>
          </w:tcPr>
          <w:p w14:paraId="7051B420"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-4,4</w:t>
            </w:r>
          </w:p>
        </w:tc>
        <w:tc>
          <w:tcPr>
            <w:tcW w:w="388" w:type="pct"/>
            <w:tcBorders>
              <w:top w:val="single" w:sz="4" w:space="0" w:color="auto"/>
              <w:left w:val="single" w:sz="4" w:space="0" w:color="auto"/>
              <w:bottom w:val="nil"/>
              <w:right w:val="single" w:sz="4" w:space="0" w:color="auto"/>
            </w:tcBorders>
            <w:shd w:val="clear" w:color="auto" w:fill="auto"/>
            <w:noWrap/>
            <w:vAlign w:val="bottom"/>
          </w:tcPr>
          <w:p w14:paraId="0978232B"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3,0</w:t>
            </w:r>
          </w:p>
        </w:tc>
        <w:tc>
          <w:tcPr>
            <w:tcW w:w="351" w:type="pct"/>
            <w:tcBorders>
              <w:top w:val="single" w:sz="4" w:space="0" w:color="auto"/>
              <w:left w:val="single" w:sz="4" w:space="0" w:color="auto"/>
              <w:bottom w:val="nil"/>
              <w:right w:val="single" w:sz="4" w:space="0" w:color="auto"/>
            </w:tcBorders>
            <w:shd w:val="clear" w:color="auto" w:fill="auto"/>
            <w:noWrap/>
            <w:vAlign w:val="bottom"/>
          </w:tcPr>
          <w:p w14:paraId="60E9DFB1"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2,3</w:t>
            </w:r>
          </w:p>
        </w:tc>
        <w:tc>
          <w:tcPr>
            <w:tcW w:w="353" w:type="pct"/>
            <w:tcBorders>
              <w:top w:val="nil"/>
              <w:left w:val="single" w:sz="4" w:space="0" w:color="auto"/>
              <w:bottom w:val="nil"/>
            </w:tcBorders>
            <w:shd w:val="clear" w:color="auto" w:fill="auto"/>
            <w:noWrap/>
            <w:vAlign w:val="bottom"/>
          </w:tcPr>
          <w:p w14:paraId="0737768D"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3,6</w:t>
            </w:r>
          </w:p>
        </w:tc>
      </w:tr>
      <w:tr w:rsidR="001C1318" w:rsidRPr="001C1318" w14:paraId="33A55BDA" w14:textId="77777777" w:rsidTr="00BD4088">
        <w:tblPrEx>
          <w:jc w:val="center"/>
        </w:tblPrEx>
        <w:trPr>
          <w:trHeight w:val="227"/>
          <w:jc w:val="center"/>
        </w:trPr>
        <w:tc>
          <w:tcPr>
            <w:tcW w:w="2228" w:type="pct"/>
            <w:vMerge/>
            <w:tcBorders>
              <w:top w:val="nil"/>
              <w:bottom w:val="single" w:sz="4" w:space="0" w:color="000000"/>
              <w:right w:val="single" w:sz="4" w:space="0" w:color="auto"/>
            </w:tcBorders>
            <w:vAlign w:val="center"/>
            <w:hideMark/>
          </w:tcPr>
          <w:p w14:paraId="219C19D3" w14:textId="77777777" w:rsidR="001C1318" w:rsidRPr="001C1318" w:rsidRDefault="001C1318" w:rsidP="001C1318">
            <w:pPr>
              <w:spacing w:after="0" w:line="240" w:lineRule="auto"/>
              <w:jc w:val="left"/>
              <w:rPr>
                <w:rFonts w:eastAsia="Times New Roman" w:cs="Times New Roman"/>
                <w:color w:val="000000"/>
                <w:sz w:val="18"/>
                <w:szCs w:val="18"/>
                <w:lang w:eastAsia="sk-SK"/>
              </w:rPr>
            </w:pPr>
          </w:p>
        </w:tc>
        <w:tc>
          <w:tcPr>
            <w:tcW w:w="1292" w:type="pct"/>
            <w:tcBorders>
              <w:top w:val="nil"/>
              <w:left w:val="nil"/>
              <w:bottom w:val="nil"/>
              <w:right w:val="single" w:sz="4" w:space="0" w:color="auto"/>
            </w:tcBorders>
            <w:shd w:val="clear" w:color="auto" w:fill="auto"/>
            <w:noWrap/>
            <w:vAlign w:val="bottom"/>
            <w:hideMark/>
          </w:tcPr>
          <w:p w14:paraId="7C976FD1"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Prognóza EK (leto 2022)</w:t>
            </w:r>
          </w:p>
        </w:tc>
        <w:tc>
          <w:tcPr>
            <w:tcW w:w="388" w:type="pct"/>
            <w:tcBorders>
              <w:top w:val="nil"/>
              <w:left w:val="nil"/>
              <w:bottom w:val="nil"/>
              <w:right w:val="single" w:sz="4" w:space="0" w:color="auto"/>
            </w:tcBorders>
            <w:shd w:val="clear" w:color="auto" w:fill="auto"/>
            <w:noWrap/>
            <w:vAlign w:val="bottom"/>
          </w:tcPr>
          <w:p w14:paraId="58A99FA8"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-4,4</w:t>
            </w:r>
          </w:p>
        </w:tc>
        <w:tc>
          <w:tcPr>
            <w:tcW w:w="388" w:type="pct"/>
            <w:tcBorders>
              <w:top w:val="nil"/>
              <w:left w:val="single" w:sz="4" w:space="0" w:color="auto"/>
              <w:bottom w:val="nil"/>
              <w:right w:val="single" w:sz="4" w:space="0" w:color="auto"/>
            </w:tcBorders>
            <w:shd w:val="clear" w:color="auto" w:fill="auto"/>
            <w:noWrap/>
            <w:vAlign w:val="bottom"/>
          </w:tcPr>
          <w:p w14:paraId="7E5EDE3F"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3,0</w:t>
            </w:r>
          </w:p>
        </w:tc>
        <w:tc>
          <w:tcPr>
            <w:tcW w:w="351" w:type="pct"/>
            <w:tcBorders>
              <w:top w:val="nil"/>
              <w:left w:val="single" w:sz="4" w:space="0" w:color="auto"/>
              <w:bottom w:val="nil"/>
              <w:right w:val="single" w:sz="4" w:space="0" w:color="auto"/>
            </w:tcBorders>
            <w:shd w:val="clear" w:color="auto" w:fill="auto"/>
            <w:noWrap/>
            <w:vAlign w:val="bottom"/>
          </w:tcPr>
          <w:p w14:paraId="18811E82"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1,9</w:t>
            </w:r>
          </w:p>
        </w:tc>
        <w:tc>
          <w:tcPr>
            <w:tcW w:w="353" w:type="pct"/>
            <w:tcBorders>
              <w:top w:val="nil"/>
              <w:left w:val="single" w:sz="4" w:space="0" w:color="auto"/>
              <w:bottom w:val="nil"/>
            </w:tcBorders>
            <w:shd w:val="clear" w:color="auto" w:fill="auto"/>
            <w:noWrap/>
            <w:vAlign w:val="bottom"/>
          </w:tcPr>
          <w:p w14:paraId="2C7C3260"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2,7</w:t>
            </w:r>
          </w:p>
        </w:tc>
      </w:tr>
      <w:tr w:rsidR="001C1318" w:rsidRPr="001C1318" w14:paraId="2462D539" w14:textId="77777777" w:rsidTr="00BD4088">
        <w:tblPrEx>
          <w:jc w:val="center"/>
        </w:tblPrEx>
        <w:trPr>
          <w:trHeight w:val="227"/>
          <w:jc w:val="center"/>
        </w:trPr>
        <w:tc>
          <w:tcPr>
            <w:tcW w:w="2228" w:type="pct"/>
            <w:vMerge/>
            <w:tcBorders>
              <w:top w:val="nil"/>
              <w:bottom w:val="single" w:sz="4" w:space="0" w:color="000000"/>
              <w:right w:val="single" w:sz="4" w:space="0" w:color="auto"/>
            </w:tcBorders>
            <w:vAlign w:val="center"/>
            <w:hideMark/>
          </w:tcPr>
          <w:p w14:paraId="69C17EE7" w14:textId="77777777" w:rsidR="001C1318" w:rsidRPr="001C1318" w:rsidRDefault="001C1318" w:rsidP="001C1318">
            <w:pPr>
              <w:spacing w:after="0" w:line="240" w:lineRule="auto"/>
              <w:jc w:val="left"/>
              <w:rPr>
                <w:rFonts w:eastAsia="Times New Roman" w:cs="Times New Roman"/>
                <w:color w:val="000000"/>
                <w:sz w:val="18"/>
                <w:szCs w:val="18"/>
                <w:lang w:eastAsia="sk-SK"/>
              </w:rPr>
            </w:pPr>
          </w:p>
        </w:tc>
        <w:tc>
          <w:tcPr>
            <w:tcW w:w="1292" w:type="pct"/>
            <w:tcBorders>
              <w:top w:val="nil"/>
              <w:left w:val="nil"/>
              <w:bottom w:val="single" w:sz="4" w:space="0" w:color="auto"/>
              <w:right w:val="single" w:sz="4" w:space="0" w:color="auto"/>
            </w:tcBorders>
            <w:shd w:val="clear" w:color="auto" w:fill="auto"/>
            <w:noWrap/>
            <w:vAlign w:val="bottom"/>
            <w:hideMark/>
          </w:tcPr>
          <w:p w14:paraId="3F2E5369"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Prognóza MF SR (</w:t>
            </w:r>
            <w:proofErr w:type="spellStart"/>
            <w:r w:rsidRPr="001C1318">
              <w:rPr>
                <w:rFonts w:eastAsia="Times New Roman" w:cs="Times New Roman"/>
                <w:color w:val="000000"/>
                <w:sz w:val="18"/>
                <w:szCs w:val="18"/>
                <w:lang w:eastAsia="sk-SK"/>
              </w:rPr>
              <w:t>sep</w:t>
            </w:r>
            <w:proofErr w:type="spellEnd"/>
            <w:r w:rsidRPr="001C1318">
              <w:rPr>
                <w:rFonts w:eastAsia="Times New Roman" w:cs="Times New Roman"/>
                <w:color w:val="000000"/>
                <w:sz w:val="18"/>
                <w:szCs w:val="18"/>
                <w:lang w:eastAsia="sk-SK"/>
              </w:rPr>
              <w:t xml:space="preserve"> 2022)</w:t>
            </w:r>
          </w:p>
        </w:tc>
        <w:tc>
          <w:tcPr>
            <w:tcW w:w="388" w:type="pct"/>
            <w:tcBorders>
              <w:top w:val="nil"/>
              <w:left w:val="nil"/>
              <w:bottom w:val="single" w:sz="4" w:space="0" w:color="auto"/>
              <w:right w:val="single" w:sz="4" w:space="0" w:color="auto"/>
            </w:tcBorders>
            <w:shd w:val="clear" w:color="auto" w:fill="auto"/>
            <w:noWrap/>
            <w:vAlign w:val="bottom"/>
          </w:tcPr>
          <w:p w14:paraId="6F42C7C5"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-4,4</w:t>
            </w:r>
          </w:p>
        </w:tc>
        <w:tc>
          <w:tcPr>
            <w:tcW w:w="388" w:type="pct"/>
            <w:tcBorders>
              <w:top w:val="nil"/>
              <w:left w:val="single" w:sz="4" w:space="0" w:color="auto"/>
              <w:bottom w:val="single" w:sz="4" w:space="0" w:color="auto"/>
              <w:right w:val="single" w:sz="4" w:space="0" w:color="auto"/>
            </w:tcBorders>
            <w:shd w:val="clear" w:color="auto" w:fill="auto"/>
            <w:noWrap/>
            <w:vAlign w:val="bottom"/>
          </w:tcPr>
          <w:p w14:paraId="6FF6CE98"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3,0</w:t>
            </w:r>
          </w:p>
        </w:tc>
        <w:tc>
          <w:tcPr>
            <w:tcW w:w="351" w:type="pct"/>
            <w:tcBorders>
              <w:top w:val="nil"/>
              <w:left w:val="single" w:sz="4" w:space="0" w:color="auto"/>
              <w:bottom w:val="single" w:sz="4" w:space="0" w:color="auto"/>
              <w:right w:val="single" w:sz="4" w:space="0" w:color="auto"/>
            </w:tcBorders>
            <w:shd w:val="clear" w:color="auto" w:fill="auto"/>
            <w:noWrap/>
            <w:vAlign w:val="bottom"/>
          </w:tcPr>
          <w:p w14:paraId="6A608B23"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1,9</w:t>
            </w:r>
          </w:p>
        </w:tc>
        <w:tc>
          <w:tcPr>
            <w:tcW w:w="353" w:type="pct"/>
            <w:tcBorders>
              <w:top w:val="nil"/>
              <w:left w:val="single" w:sz="4" w:space="0" w:color="auto"/>
              <w:bottom w:val="single" w:sz="4" w:space="0" w:color="auto"/>
            </w:tcBorders>
            <w:shd w:val="clear" w:color="auto" w:fill="auto"/>
            <w:noWrap/>
            <w:vAlign w:val="bottom"/>
          </w:tcPr>
          <w:p w14:paraId="14C6A98A"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0,6</w:t>
            </w:r>
          </w:p>
        </w:tc>
      </w:tr>
      <w:tr w:rsidR="001C1318" w:rsidRPr="001C1318" w14:paraId="48455435" w14:textId="77777777" w:rsidTr="00BD4088">
        <w:tblPrEx>
          <w:jc w:val="center"/>
        </w:tblPrEx>
        <w:trPr>
          <w:trHeight w:val="227"/>
          <w:jc w:val="center"/>
        </w:trPr>
        <w:tc>
          <w:tcPr>
            <w:tcW w:w="2228" w:type="pct"/>
            <w:vMerge w:val="restart"/>
            <w:tcBorders>
              <w:top w:val="nil"/>
              <w:bottom w:val="single" w:sz="4" w:space="0" w:color="000000"/>
              <w:right w:val="single" w:sz="4" w:space="0" w:color="auto"/>
            </w:tcBorders>
            <w:shd w:val="clear" w:color="auto" w:fill="auto"/>
            <w:noWrap/>
            <w:vAlign w:val="center"/>
            <w:hideMark/>
          </w:tcPr>
          <w:p w14:paraId="7E9AA71F" w14:textId="77777777" w:rsidR="001C1318" w:rsidRPr="001C1318" w:rsidRDefault="001C1318" w:rsidP="001C1318">
            <w:pPr>
              <w:spacing w:after="0" w:line="240" w:lineRule="auto"/>
              <w:ind w:firstLineChars="300" w:firstLine="540"/>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Súkromná spotreba</w:t>
            </w:r>
          </w:p>
        </w:tc>
        <w:tc>
          <w:tcPr>
            <w:tcW w:w="1292" w:type="pct"/>
            <w:tcBorders>
              <w:top w:val="nil"/>
              <w:left w:val="nil"/>
              <w:bottom w:val="nil"/>
              <w:right w:val="single" w:sz="4" w:space="0" w:color="auto"/>
            </w:tcBorders>
            <w:shd w:val="clear" w:color="auto" w:fill="auto"/>
            <w:noWrap/>
            <w:vAlign w:val="bottom"/>
            <w:hideMark/>
          </w:tcPr>
          <w:p w14:paraId="0E0A520A"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Prognóza EK (jar 2022)</w:t>
            </w:r>
          </w:p>
        </w:tc>
        <w:tc>
          <w:tcPr>
            <w:tcW w:w="388" w:type="pct"/>
            <w:tcBorders>
              <w:top w:val="nil"/>
              <w:left w:val="nil"/>
              <w:bottom w:val="nil"/>
              <w:right w:val="single" w:sz="4" w:space="0" w:color="auto"/>
            </w:tcBorders>
            <w:shd w:val="clear" w:color="auto" w:fill="auto"/>
            <w:noWrap/>
            <w:vAlign w:val="bottom"/>
          </w:tcPr>
          <w:p w14:paraId="3CFA1430"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-1,3</w:t>
            </w:r>
          </w:p>
        </w:tc>
        <w:tc>
          <w:tcPr>
            <w:tcW w:w="388" w:type="pct"/>
            <w:tcBorders>
              <w:top w:val="nil"/>
              <w:left w:val="single" w:sz="4" w:space="0" w:color="auto"/>
              <w:bottom w:val="nil"/>
              <w:right w:val="single" w:sz="4" w:space="0" w:color="auto"/>
            </w:tcBorders>
            <w:shd w:val="clear" w:color="auto" w:fill="auto"/>
            <w:noWrap/>
            <w:vAlign w:val="bottom"/>
          </w:tcPr>
          <w:p w14:paraId="60E54502"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1,2</w:t>
            </w:r>
          </w:p>
        </w:tc>
        <w:tc>
          <w:tcPr>
            <w:tcW w:w="351" w:type="pct"/>
            <w:tcBorders>
              <w:top w:val="nil"/>
              <w:left w:val="single" w:sz="4" w:space="0" w:color="auto"/>
              <w:bottom w:val="nil"/>
              <w:right w:val="single" w:sz="4" w:space="0" w:color="auto"/>
            </w:tcBorders>
            <w:shd w:val="clear" w:color="auto" w:fill="auto"/>
            <w:noWrap/>
            <w:vAlign w:val="bottom"/>
          </w:tcPr>
          <w:p w14:paraId="56955A2E"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1,9</w:t>
            </w:r>
          </w:p>
        </w:tc>
        <w:tc>
          <w:tcPr>
            <w:tcW w:w="353" w:type="pct"/>
            <w:tcBorders>
              <w:top w:val="nil"/>
              <w:left w:val="single" w:sz="4" w:space="0" w:color="auto"/>
              <w:bottom w:val="nil"/>
            </w:tcBorders>
            <w:shd w:val="clear" w:color="auto" w:fill="auto"/>
            <w:noWrap/>
            <w:vAlign w:val="bottom"/>
          </w:tcPr>
          <w:p w14:paraId="3AB18B9A"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1,9</w:t>
            </w:r>
          </w:p>
        </w:tc>
      </w:tr>
      <w:tr w:rsidR="001C1318" w:rsidRPr="001C1318" w14:paraId="1D9E9232" w14:textId="77777777" w:rsidTr="00BD4088">
        <w:tblPrEx>
          <w:jc w:val="center"/>
        </w:tblPrEx>
        <w:trPr>
          <w:trHeight w:val="227"/>
          <w:jc w:val="center"/>
        </w:trPr>
        <w:tc>
          <w:tcPr>
            <w:tcW w:w="2228" w:type="pct"/>
            <w:vMerge/>
            <w:tcBorders>
              <w:top w:val="nil"/>
              <w:bottom w:val="single" w:sz="4" w:space="0" w:color="000000"/>
              <w:right w:val="single" w:sz="4" w:space="0" w:color="auto"/>
            </w:tcBorders>
            <w:vAlign w:val="center"/>
            <w:hideMark/>
          </w:tcPr>
          <w:p w14:paraId="26BC571D" w14:textId="77777777" w:rsidR="001C1318" w:rsidRPr="001C1318" w:rsidRDefault="001C1318" w:rsidP="001C1318">
            <w:pPr>
              <w:spacing w:after="0" w:line="240" w:lineRule="auto"/>
              <w:jc w:val="left"/>
              <w:rPr>
                <w:rFonts w:eastAsia="Times New Roman" w:cs="Times New Roman"/>
                <w:color w:val="000000"/>
                <w:sz w:val="18"/>
                <w:szCs w:val="18"/>
                <w:lang w:eastAsia="sk-SK"/>
              </w:rPr>
            </w:pPr>
          </w:p>
        </w:tc>
        <w:tc>
          <w:tcPr>
            <w:tcW w:w="1292" w:type="pct"/>
            <w:tcBorders>
              <w:top w:val="nil"/>
              <w:left w:val="nil"/>
              <w:bottom w:val="single" w:sz="4" w:space="0" w:color="auto"/>
              <w:right w:val="single" w:sz="4" w:space="0" w:color="auto"/>
            </w:tcBorders>
            <w:shd w:val="clear" w:color="auto" w:fill="auto"/>
            <w:noWrap/>
            <w:vAlign w:val="bottom"/>
            <w:hideMark/>
          </w:tcPr>
          <w:p w14:paraId="2266AF8E"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Prognóza MF SR (</w:t>
            </w:r>
            <w:proofErr w:type="spellStart"/>
            <w:r w:rsidRPr="001C1318">
              <w:rPr>
                <w:rFonts w:eastAsia="Times New Roman" w:cs="Times New Roman"/>
                <w:color w:val="000000"/>
                <w:sz w:val="18"/>
                <w:szCs w:val="18"/>
                <w:lang w:eastAsia="sk-SK"/>
              </w:rPr>
              <w:t>sep</w:t>
            </w:r>
            <w:proofErr w:type="spellEnd"/>
            <w:r w:rsidRPr="001C1318">
              <w:rPr>
                <w:rFonts w:eastAsia="Times New Roman" w:cs="Times New Roman"/>
                <w:color w:val="000000"/>
                <w:sz w:val="18"/>
                <w:szCs w:val="18"/>
                <w:lang w:eastAsia="sk-SK"/>
              </w:rPr>
              <w:t xml:space="preserve"> 2022)</w:t>
            </w:r>
          </w:p>
        </w:tc>
        <w:tc>
          <w:tcPr>
            <w:tcW w:w="388" w:type="pct"/>
            <w:tcBorders>
              <w:top w:val="nil"/>
              <w:left w:val="nil"/>
              <w:bottom w:val="single" w:sz="4" w:space="0" w:color="auto"/>
              <w:right w:val="single" w:sz="4" w:space="0" w:color="auto"/>
            </w:tcBorders>
            <w:shd w:val="clear" w:color="auto" w:fill="auto"/>
            <w:noWrap/>
            <w:vAlign w:val="bottom"/>
          </w:tcPr>
          <w:p w14:paraId="5869A104"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-1,3</w:t>
            </w:r>
          </w:p>
        </w:tc>
        <w:tc>
          <w:tcPr>
            <w:tcW w:w="388" w:type="pct"/>
            <w:tcBorders>
              <w:top w:val="nil"/>
              <w:left w:val="single" w:sz="4" w:space="0" w:color="auto"/>
              <w:bottom w:val="single" w:sz="4" w:space="0" w:color="auto"/>
              <w:right w:val="single" w:sz="4" w:space="0" w:color="auto"/>
            </w:tcBorders>
            <w:shd w:val="clear" w:color="auto" w:fill="auto"/>
            <w:noWrap/>
            <w:vAlign w:val="bottom"/>
          </w:tcPr>
          <w:p w14:paraId="67530CC3"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1,2</w:t>
            </w:r>
          </w:p>
        </w:tc>
        <w:tc>
          <w:tcPr>
            <w:tcW w:w="351" w:type="pct"/>
            <w:tcBorders>
              <w:top w:val="nil"/>
              <w:left w:val="single" w:sz="4" w:space="0" w:color="auto"/>
              <w:bottom w:val="single" w:sz="4" w:space="0" w:color="auto"/>
              <w:right w:val="single" w:sz="4" w:space="0" w:color="auto"/>
            </w:tcBorders>
            <w:shd w:val="clear" w:color="auto" w:fill="auto"/>
            <w:noWrap/>
            <w:vAlign w:val="bottom"/>
          </w:tcPr>
          <w:p w14:paraId="781D8DC5"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4,6</w:t>
            </w:r>
          </w:p>
        </w:tc>
        <w:tc>
          <w:tcPr>
            <w:tcW w:w="353" w:type="pct"/>
            <w:tcBorders>
              <w:top w:val="nil"/>
              <w:left w:val="single" w:sz="4" w:space="0" w:color="auto"/>
              <w:bottom w:val="single" w:sz="4" w:space="0" w:color="auto"/>
            </w:tcBorders>
            <w:shd w:val="clear" w:color="auto" w:fill="auto"/>
            <w:noWrap/>
            <w:vAlign w:val="bottom"/>
          </w:tcPr>
          <w:p w14:paraId="20D4C537"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3,7</w:t>
            </w:r>
          </w:p>
        </w:tc>
      </w:tr>
      <w:tr w:rsidR="001C1318" w:rsidRPr="001C1318" w14:paraId="2AD53FBF" w14:textId="77777777" w:rsidTr="00BD4088">
        <w:tblPrEx>
          <w:jc w:val="center"/>
        </w:tblPrEx>
        <w:trPr>
          <w:trHeight w:val="227"/>
          <w:jc w:val="center"/>
        </w:trPr>
        <w:tc>
          <w:tcPr>
            <w:tcW w:w="2228" w:type="pct"/>
            <w:vMerge w:val="restart"/>
            <w:tcBorders>
              <w:top w:val="nil"/>
              <w:bottom w:val="single" w:sz="4" w:space="0" w:color="000000"/>
              <w:right w:val="single" w:sz="4" w:space="0" w:color="auto"/>
            </w:tcBorders>
            <w:shd w:val="clear" w:color="auto" w:fill="auto"/>
            <w:noWrap/>
            <w:vAlign w:val="center"/>
            <w:hideMark/>
          </w:tcPr>
          <w:p w14:paraId="675B3904" w14:textId="77777777" w:rsidR="001C1318" w:rsidRPr="001C1318" w:rsidRDefault="001C1318" w:rsidP="001C1318">
            <w:pPr>
              <w:spacing w:after="0" w:line="240" w:lineRule="auto"/>
              <w:ind w:firstLineChars="300" w:firstLine="540"/>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Verejná spotreba</w:t>
            </w:r>
          </w:p>
        </w:tc>
        <w:tc>
          <w:tcPr>
            <w:tcW w:w="1292" w:type="pct"/>
            <w:tcBorders>
              <w:top w:val="nil"/>
              <w:left w:val="nil"/>
              <w:bottom w:val="nil"/>
              <w:right w:val="single" w:sz="4" w:space="0" w:color="auto"/>
            </w:tcBorders>
            <w:shd w:val="clear" w:color="auto" w:fill="auto"/>
            <w:noWrap/>
            <w:vAlign w:val="bottom"/>
            <w:hideMark/>
          </w:tcPr>
          <w:p w14:paraId="31A738C7"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Prognóza EK (jar 2022)</w:t>
            </w:r>
          </w:p>
        </w:tc>
        <w:tc>
          <w:tcPr>
            <w:tcW w:w="388" w:type="pct"/>
            <w:tcBorders>
              <w:top w:val="nil"/>
              <w:left w:val="nil"/>
              <w:bottom w:val="nil"/>
              <w:right w:val="single" w:sz="4" w:space="0" w:color="auto"/>
            </w:tcBorders>
            <w:shd w:val="clear" w:color="auto" w:fill="auto"/>
            <w:noWrap/>
            <w:vAlign w:val="bottom"/>
          </w:tcPr>
          <w:p w14:paraId="7739FA77"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0,9</w:t>
            </w:r>
          </w:p>
        </w:tc>
        <w:tc>
          <w:tcPr>
            <w:tcW w:w="388" w:type="pct"/>
            <w:tcBorders>
              <w:top w:val="nil"/>
              <w:left w:val="single" w:sz="4" w:space="0" w:color="auto"/>
              <w:bottom w:val="nil"/>
              <w:right w:val="single" w:sz="4" w:space="0" w:color="auto"/>
            </w:tcBorders>
            <w:shd w:val="clear" w:color="auto" w:fill="auto"/>
            <w:noWrap/>
            <w:vAlign w:val="bottom"/>
          </w:tcPr>
          <w:p w14:paraId="064A8EB6"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1,9</w:t>
            </w:r>
          </w:p>
        </w:tc>
        <w:tc>
          <w:tcPr>
            <w:tcW w:w="351" w:type="pct"/>
            <w:tcBorders>
              <w:top w:val="nil"/>
              <w:left w:val="single" w:sz="4" w:space="0" w:color="auto"/>
              <w:bottom w:val="nil"/>
              <w:right w:val="single" w:sz="4" w:space="0" w:color="auto"/>
            </w:tcBorders>
            <w:shd w:val="clear" w:color="auto" w:fill="auto"/>
            <w:noWrap/>
            <w:vAlign w:val="bottom"/>
          </w:tcPr>
          <w:p w14:paraId="755189BF"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-1,7</w:t>
            </w:r>
          </w:p>
        </w:tc>
        <w:tc>
          <w:tcPr>
            <w:tcW w:w="353" w:type="pct"/>
            <w:tcBorders>
              <w:top w:val="nil"/>
              <w:left w:val="single" w:sz="4" w:space="0" w:color="auto"/>
              <w:bottom w:val="nil"/>
            </w:tcBorders>
            <w:shd w:val="clear" w:color="auto" w:fill="auto"/>
            <w:noWrap/>
            <w:vAlign w:val="bottom"/>
          </w:tcPr>
          <w:p w14:paraId="541E55FA"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0,2</w:t>
            </w:r>
          </w:p>
        </w:tc>
      </w:tr>
      <w:tr w:rsidR="001C1318" w:rsidRPr="001C1318" w14:paraId="2E7CA100" w14:textId="77777777" w:rsidTr="00BD4088">
        <w:tblPrEx>
          <w:jc w:val="center"/>
        </w:tblPrEx>
        <w:trPr>
          <w:trHeight w:val="227"/>
          <w:jc w:val="center"/>
        </w:trPr>
        <w:tc>
          <w:tcPr>
            <w:tcW w:w="2228" w:type="pct"/>
            <w:vMerge/>
            <w:tcBorders>
              <w:top w:val="nil"/>
              <w:bottom w:val="single" w:sz="4" w:space="0" w:color="000000"/>
              <w:right w:val="single" w:sz="4" w:space="0" w:color="auto"/>
            </w:tcBorders>
            <w:vAlign w:val="center"/>
            <w:hideMark/>
          </w:tcPr>
          <w:p w14:paraId="51FB59C1" w14:textId="77777777" w:rsidR="001C1318" w:rsidRPr="001C1318" w:rsidRDefault="001C1318" w:rsidP="001C1318">
            <w:pPr>
              <w:spacing w:after="0" w:line="240" w:lineRule="auto"/>
              <w:jc w:val="left"/>
              <w:rPr>
                <w:rFonts w:eastAsia="Times New Roman" w:cs="Times New Roman"/>
                <w:color w:val="000000"/>
                <w:sz w:val="18"/>
                <w:szCs w:val="18"/>
                <w:lang w:eastAsia="sk-SK"/>
              </w:rPr>
            </w:pPr>
          </w:p>
        </w:tc>
        <w:tc>
          <w:tcPr>
            <w:tcW w:w="1292" w:type="pct"/>
            <w:tcBorders>
              <w:top w:val="nil"/>
              <w:left w:val="nil"/>
              <w:bottom w:val="single" w:sz="4" w:space="0" w:color="auto"/>
              <w:right w:val="single" w:sz="4" w:space="0" w:color="auto"/>
            </w:tcBorders>
            <w:shd w:val="clear" w:color="auto" w:fill="auto"/>
            <w:noWrap/>
            <w:vAlign w:val="bottom"/>
            <w:hideMark/>
          </w:tcPr>
          <w:p w14:paraId="32AF1303"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Prognóza MF SR (</w:t>
            </w:r>
            <w:proofErr w:type="spellStart"/>
            <w:r w:rsidRPr="001C1318">
              <w:rPr>
                <w:rFonts w:eastAsia="Times New Roman" w:cs="Times New Roman"/>
                <w:color w:val="000000"/>
                <w:sz w:val="18"/>
                <w:szCs w:val="18"/>
                <w:lang w:eastAsia="sk-SK"/>
              </w:rPr>
              <w:t>sep</w:t>
            </w:r>
            <w:proofErr w:type="spellEnd"/>
            <w:r w:rsidRPr="001C1318">
              <w:rPr>
                <w:rFonts w:eastAsia="Times New Roman" w:cs="Times New Roman"/>
                <w:color w:val="000000"/>
                <w:sz w:val="18"/>
                <w:szCs w:val="18"/>
                <w:lang w:eastAsia="sk-SK"/>
              </w:rPr>
              <w:t xml:space="preserve"> 2022)</w:t>
            </w:r>
          </w:p>
        </w:tc>
        <w:tc>
          <w:tcPr>
            <w:tcW w:w="388" w:type="pct"/>
            <w:tcBorders>
              <w:top w:val="nil"/>
              <w:left w:val="nil"/>
              <w:bottom w:val="single" w:sz="4" w:space="0" w:color="auto"/>
              <w:right w:val="single" w:sz="4" w:space="0" w:color="auto"/>
            </w:tcBorders>
            <w:shd w:val="clear" w:color="auto" w:fill="auto"/>
            <w:noWrap/>
            <w:vAlign w:val="bottom"/>
          </w:tcPr>
          <w:p w14:paraId="01792206"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0,9</w:t>
            </w:r>
          </w:p>
        </w:tc>
        <w:tc>
          <w:tcPr>
            <w:tcW w:w="388" w:type="pct"/>
            <w:tcBorders>
              <w:top w:val="nil"/>
              <w:left w:val="single" w:sz="4" w:space="0" w:color="auto"/>
              <w:bottom w:val="single" w:sz="4" w:space="0" w:color="auto"/>
              <w:right w:val="single" w:sz="4" w:space="0" w:color="auto"/>
            </w:tcBorders>
            <w:shd w:val="clear" w:color="auto" w:fill="auto"/>
            <w:noWrap/>
            <w:vAlign w:val="bottom"/>
          </w:tcPr>
          <w:p w14:paraId="1F1B020B"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1,9</w:t>
            </w:r>
          </w:p>
        </w:tc>
        <w:tc>
          <w:tcPr>
            <w:tcW w:w="351" w:type="pct"/>
            <w:tcBorders>
              <w:top w:val="nil"/>
              <w:left w:val="single" w:sz="4" w:space="0" w:color="auto"/>
              <w:bottom w:val="single" w:sz="4" w:space="0" w:color="auto"/>
              <w:right w:val="single" w:sz="4" w:space="0" w:color="auto"/>
            </w:tcBorders>
            <w:shd w:val="clear" w:color="auto" w:fill="auto"/>
            <w:noWrap/>
            <w:vAlign w:val="bottom"/>
          </w:tcPr>
          <w:p w14:paraId="6A2A2CDF"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-1,5</w:t>
            </w:r>
          </w:p>
        </w:tc>
        <w:tc>
          <w:tcPr>
            <w:tcW w:w="353" w:type="pct"/>
            <w:tcBorders>
              <w:top w:val="nil"/>
              <w:left w:val="single" w:sz="4" w:space="0" w:color="auto"/>
              <w:bottom w:val="single" w:sz="4" w:space="0" w:color="auto"/>
            </w:tcBorders>
            <w:shd w:val="clear" w:color="auto" w:fill="auto"/>
            <w:noWrap/>
            <w:vAlign w:val="bottom"/>
          </w:tcPr>
          <w:p w14:paraId="6F085A49"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-0,7</w:t>
            </w:r>
          </w:p>
        </w:tc>
      </w:tr>
      <w:tr w:rsidR="001C1318" w:rsidRPr="001C1318" w14:paraId="7006134A" w14:textId="77777777" w:rsidTr="00BD4088">
        <w:tblPrEx>
          <w:jc w:val="center"/>
        </w:tblPrEx>
        <w:trPr>
          <w:trHeight w:val="227"/>
          <w:jc w:val="center"/>
        </w:trPr>
        <w:tc>
          <w:tcPr>
            <w:tcW w:w="2228" w:type="pct"/>
            <w:vMerge w:val="restart"/>
            <w:tcBorders>
              <w:top w:val="nil"/>
              <w:bottom w:val="single" w:sz="4" w:space="0" w:color="000000"/>
              <w:right w:val="single" w:sz="4" w:space="0" w:color="auto"/>
            </w:tcBorders>
            <w:shd w:val="clear" w:color="auto" w:fill="auto"/>
            <w:noWrap/>
            <w:vAlign w:val="center"/>
            <w:hideMark/>
          </w:tcPr>
          <w:p w14:paraId="7E3947DA" w14:textId="77777777" w:rsidR="001C1318" w:rsidRPr="001C1318" w:rsidRDefault="001C1318" w:rsidP="001C1318">
            <w:pPr>
              <w:spacing w:after="0" w:line="240" w:lineRule="auto"/>
              <w:ind w:firstLineChars="300" w:firstLine="540"/>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Investície</w:t>
            </w:r>
          </w:p>
        </w:tc>
        <w:tc>
          <w:tcPr>
            <w:tcW w:w="1292" w:type="pct"/>
            <w:tcBorders>
              <w:top w:val="nil"/>
              <w:left w:val="nil"/>
              <w:bottom w:val="nil"/>
              <w:right w:val="single" w:sz="4" w:space="0" w:color="auto"/>
            </w:tcBorders>
            <w:shd w:val="clear" w:color="auto" w:fill="auto"/>
            <w:noWrap/>
            <w:vAlign w:val="bottom"/>
            <w:hideMark/>
          </w:tcPr>
          <w:p w14:paraId="768661A4"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Prognóza EK (jar 2022)</w:t>
            </w:r>
          </w:p>
        </w:tc>
        <w:tc>
          <w:tcPr>
            <w:tcW w:w="388" w:type="pct"/>
            <w:tcBorders>
              <w:top w:val="nil"/>
              <w:left w:val="nil"/>
              <w:bottom w:val="nil"/>
              <w:right w:val="single" w:sz="4" w:space="0" w:color="auto"/>
            </w:tcBorders>
            <w:shd w:val="clear" w:color="auto" w:fill="auto"/>
            <w:noWrap/>
            <w:vAlign w:val="bottom"/>
          </w:tcPr>
          <w:p w14:paraId="1C5CBCB4"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-11,6</w:t>
            </w:r>
          </w:p>
        </w:tc>
        <w:tc>
          <w:tcPr>
            <w:tcW w:w="388" w:type="pct"/>
            <w:tcBorders>
              <w:top w:val="nil"/>
              <w:left w:val="single" w:sz="4" w:space="0" w:color="auto"/>
              <w:bottom w:val="nil"/>
              <w:right w:val="single" w:sz="4" w:space="0" w:color="auto"/>
            </w:tcBorders>
            <w:shd w:val="clear" w:color="auto" w:fill="auto"/>
            <w:noWrap/>
            <w:vAlign w:val="bottom"/>
          </w:tcPr>
          <w:p w14:paraId="2CBFFD10"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0,6</w:t>
            </w:r>
          </w:p>
        </w:tc>
        <w:tc>
          <w:tcPr>
            <w:tcW w:w="351" w:type="pct"/>
            <w:tcBorders>
              <w:top w:val="nil"/>
              <w:left w:val="single" w:sz="4" w:space="0" w:color="auto"/>
              <w:bottom w:val="nil"/>
              <w:right w:val="single" w:sz="4" w:space="0" w:color="auto"/>
            </w:tcBorders>
            <w:shd w:val="clear" w:color="auto" w:fill="auto"/>
            <w:noWrap/>
            <w:vAlign w:val="bottom"/>
          </w:tcPr>
          <w:p w14:paraId="5C5C2714"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10,8</w:t>
            </w:r>
          </w:p>
        </w:tc>
        <w:tc>
          <w:tcPr>
            <w:tcW w:w="353" w:type="pct"/>
            <w:tcBorders>
              <w:top w:val="nil"/>
              <w:left w:val="single" w:sz="4" w:space="0" w:color="auto"/>
              <w:bottom w:val="nil"/>
            </w:tcBorders>
            <w:shd w:val="clear" w:color="auto" w:fill="auto"/>
            <w:noWrap/>
            <w:vAlign w:val="bottom"/>
          </w:tcPr>
          <w:p w14:paraId="5654030E"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13,4</w:t>
            </w:r>
          </w:p>
        </w:tc>
      </w:tr>
      <w:tr w:rsidR="001C1318" w:rsidRPr="001C1318" w14:paraId="420CD324" w14:textId="77777777" w:rsidTr="00BD4088">
        <w:tblPrEx>
          <w:jc w:val="center"/>
        </w:tblPrEx>
        <w:trPr>
          <w:trHeight w:val="227"/>
          <w:jc w:val="center"/>
        </w:trPr>
        <w:tc>
          <w:tcPr>
            <w:tcW w:w="2228" w:type="pct"/>
            <w:vMerge/>
            <w:tcBorders>
              <w:top w:val="nil"/>
              <w:bottom w:val="single" w:sz="4" w:space="0" w:color="000000"/>
              <w:right w:val="single" w:sz="4" w:space="0" w:color="auto"/>
            </w:tcBorders>
            <w:vAlign w:val="center"/>
            <w:hideMark/>
          </w:tcPr>
          <w:p w14:paraId="341EEA9B" w14:textId="77777777" w:rsidR="001C1318" w:rsidRPr="001C1318" w:rsidRDefault="001C1318" w:rsidP="001C1318">
            <w:pPr>
              <w:spacing w:after="0" w:line="240" w:lineRule="auto"/>
              <w:jc w:val="left"/>
              <w:rPr>
                <w:rFonts w:eastAsia="Times New Roman" w:cs="Times New Roman"/>
                <w:color w:val="000000"/>
                <w:sz w:val="18"/>
                <w:szCs w:val="18"/>
                <w:lang w:eastAsia="sk-SK"/>
              </w:rPr>
            </w:pPr>
          </w:p>
        </w:tc>
        <w:tc>
          <w:tcPr>
            <w:tcW w:w="1292" w:type="pct"/>
            <w:tcBorders>
              <w:top w:val="nil"/>
              <w:left w:val="nil"/>
              <w:bottom w:val="single" w:sz="4" w:space="0" w:color="auto"/>
              <w:right w:val="single" w:sz="4" w:space="0" w:color="auto"/>
            </w:tcBorders>
            <w:shd w:val="clear" w:color="auto" w:fill="auto"/>
            <w:noWrap/>
            <w:vAlign w:val="bottom"/>
            <w:hideMark/>
          </w:tcPr>
          <w:p w14:paraId="211B055E"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Prognóza MF SR (</w:t>
            </w:r>
            <w:proofErr w:type="spellStart"/>
            <w:r w:rsidRPr="001C1318">
              <w:rPr>
                <w:rFonts w:eastAsia="Times New Roman" w:cs="Times New Roman"/>
                <w:color w:val="000000"/>
                <w:sz w:val="18"/>
                <w:szCs w:val="18"/>
                <w:lang w:eastAsia="sk-SK"/>
              </w:rPr>
              <w:t>sep</w:t>
            </w:r>
            <w:proofErr w:type="spellEnd"/>
            <w:r w:rsidRPr="001C1318">
              <w:rPr>
                <w:rFonts w:eastAsia="Times New Roman" w:cs="Times New Roman"/>
                <w:color w:val="000000"/>
                <w:sz w:val="18"/>
                <w:szCs w:val="18"/>
                <w:lang w:eastAsia="sk-SK"/>
              </w:rPr>
              <w:t xml:space="preserve"> 2022)</w:t>
            </w:r>
          </w:p>
        </w:tc>
        <w:tc>
          <w:tcPr>
            <w:tcW w:w="388" w:type="pct"/>
            <w:tcBorders>
              <w:top w:val="nil"/>
              <w:left w:val="nil"/>
              <w:bottom w:val="single" w:sz="4" w:space="0" w:color="auto"/>
              <w:right w:val="single" w:sz="4" w:space="0" w:color="auto"/>
            </w:tcBorders>
            <w:shd w:val="clear" w:color="auto" w:fill="auto"/>
            <w:noWrap/>
            <w:vAlign w:val="bottom"/>
          </w:tcPr>
          <w:p w14:paraId="24A99E73"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-11,6</w:t>
            </w:r>
          </w:p>
        </w:tc>
        <w:tc>
          <w:tcPr>
            <w:tcW w:w="388" w:type="pct"/>
            <w:tcBorders>
              <w:top w:val="nil"/>
              <w:left w:val="single" w:sz="4" w:space="0" w:color="auto"/>
              <w:bottom w:val="single" w:sz="4" w:space="0" w:color="auto"/>
              <w:right w:val="single" w:sz="4" w:space="0" w:color="auto"/>
            </w:tcBorders>
            <w:shd w:val="clear" w:color="auto" w:fill="auto"/>
            <w:noWrap/>
            <w:vAlign w:val="bottom"/>
          </w:tcPr>
          <w:p w14:paraId="1A305734"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0,6</w:t>
            </w:r>
          </w:p>
        </w:tc>
        <w:tc>
          <w:tcPr>
            <w:tcW w:w="351" w:type="pct"/>
            <w:tcBorders>
              <w:top w:val="nil"/>
              <w:left w:val="single" w:sz="4" w:space="0" w:color="auto"/>
              <w:bottom w:val="single" w:sz="4" w:space="0" w:color="auto"/>
              <w:right w:val="single" w:sz="4" w:space="0" w:color="auto"/>
            </w:tcBorders>
            <w:shd w:val="clear" w:color="auto" w:fill="auto"/>
            <w:noWrap/>
            <w:vAlign w:val="bottom"/>
          </w:tcPr>
          <w:p w14:paraId="4B8E2CEC"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5,4</w:t>
            </w:r>
          </w:p>
        </w:tc>
        <w:tc>
          <w:tcPr>
            <w:tcW w:w="353" w:type="pct"/>
            <w:tcBorders>
              <w:top w:val="nil"/>
              <w:left w:val="single" w:sz="4" w:space="0" w:color="auto"/>
              <w:bottom w:val="single" w:sz="4" w:space="0" w:color="auto"/>
            </w:tcBorders>
            <w:shd w:val="clear" w:color="auto" w:fill="auto"/>
            <w:noWrap/>
            <w:vAlign w:val="bottom"/>
          </w:tcPr>
          <w:p w14:paraId="285E3B11"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16,3</w:t>
            </w:r>
          </w:p>
        </w:tc>
      </w:tr>
      <w:tr w:rsidR="001C1318" w:rsidRPr="001C1318" w14:paraId="04CDEEAF" w14:textId="77777777" w:rsidTr="00BD4088">
        <w:tblPrEx>
          <w:jc w:val="center"/>
        </w:tblPrEx>
        <w:trPr>
          <w:trHeight w:val="227"/>
          <w:jc w:val="center"/>
        </w:trPr>
        <w:tc>
          <w:tcPr>
            <w:tcW w:w="2228" w:type="pct"/>
            <w:vMerge w:val="restart"/>
            <w:tcBorders>
              <w:top w:val="nil"/>
              <w:bottom w:val="single" w:sz="4" w:space="0" w:color="000000"/>
              <w:right w:val="single" w:sz="4" w:space="0" w:color="auto"/>
            </w:tcBorders>
            <w:shd w:val="clear" w:color="auto" w:fill="auto"/>
            <w:noWrap/>
            <w:vAlign w:val="center"/>
            <w:hideMark/>
          </w:tcPr>
          <w:p w14:paraId="010CEF5D" w14:textId="77777777" w:rsidR="001C1318" w:rsidRPr="001C1318" w:rsidRDefault="001C1318" w:rsidP="001C1318">
            <w:pPr>
              <w:spacing w:after="0" w:line="240" w:lineRule="auto"/>
              <w:ind w:firstLineChars="300" w:firstLine="540"/>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Export</w:t>
            </w:r>
          </w:p>
        </w:tc>
        <w:tc>
          <w:tcPr>
            <w:tcW w:w="1292" w:type="pct"/>
            <w:tcBorders>
              <w:top w:val="nil"/>
              <w:left w:val="nil"/>
              <w:bottom w:val="nil"/>
              <w:right w:val="single" w:sz="4" w:space="0" w:color="auto"/>
            </w:tcBorders>
            <w:shd w:val="clear" w:color="auto" w:fill="auto"/>
            <w:noWrap/>
            <w:vAlign w:val="bottom"/>
            <w:hideMark/>
          </w:tcPr>
          <w:p w14:paraId="684769BF"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Prognóza EK (jar 2022)</w:t>
            </w:r>
          </w:p>
        </w:tc>
        <w:tc>
          <w:tcPr>
            <w:tcW w:w="388" w:type="pct"/>
            <w:tcBorders>
              <w:top w:val="nil"/>
              <w:left w:val="nil"/>
              <w:bottom w:val="nil"/>
              <w:right w:val="single" w:sz="4" w:space="0" w:color="auto"/>
            </w:tcBorders>
            <w:shd w:val="clear" w:color="auto" w:fill="auto"/>
            <w:noWrap/>
            <w:vAlign w:val="bottom"/>
          </w:tcPr>
          <w:p w14:paraId="16B0AF9D"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-7,3</w:t>
            </w:r>
          </w:p>
        </w:tc>
        <w:tc>
          <w:tcPr>
            <w:tcW w:w="388" w:type="pct"/>
            <w:tcBorders>
              <w:top w:val="nil"/>
              <w:left w:val="single" w:sz="4" w:space="0" w:color="auto"/>
              <w:bottom w:val="nil"/>
              <w:right w:val="single" w:sz="4" w:space="0" w:color="auto"/>
            </w:tcBorders>
            <w:shd w:val="clear" w:color="auto" w:fill="auto"/>
            <w:noWrap/>
            <w:vAlign w:val="bottom"/>
          </w:tcPr>
          <w:p w14:paraId="134DD635"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10,2</w:t>
            </w:r>
          </w:p>
        </w:tc>
        <w:tc>
          <w:tcPr>
            <w:tcW w:w="351" w:type="pct"/>
            <w:tcBorders>
              <w:top w:val="nil"/>
              <w:left w:val="single" w:sz="4" w:space="0" w:color="auto"/>
              <w:bottom w:val="nil"/>
              <w:right w:val="single" w:sz="4" w:space="0" w:color="auto"/>
            </w:tcBorders>
            <w:shd w:val="clear" w:color="auto" w:fill="auto"/>
            <w:noWrap/>
            <w:vAlign w:val="bottom"/>
          </w:tcPr>
          <w:p w14:paraId="2C1F5D43"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2,9</w:t>
            </w:r>
          </w:p>
        </w:tc>
        <w:tc>
          <w:tcPr>
            <w:tcW w:w="353" w:type="pct"/>
            <w:tcBorders>
              <w:top w:val="nil"/>
              <w:left w:val="single" w:sz="4" w:space="0" w:color="auto"/>
              <w:bottom w:val="nil"/>
            </w:tcBorders>
            <w:shd w:val="clear" w:color="auto" w:fill="auto"/>
            <w:noWrap/>
            <w:vAlign w:val="bottom"/>
          </w:tcPr>
          <w:p w14:paraId="4A499B0C"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7,4</w:t>
            </w:r>
          </w:p>
        </w:tc>
      </w:tr>
      <w:tr w:rsidR="001C1318" w:rsidRPr="001C1318" w14:paraId="1CEDF205" w14:textId="77777777" w:rsidTr="00BD4088">
        <w:tblPrEx>
          <w:jc w:val="center"/>
        </w:tblPrEx>
        <w:trPr>
          <w:trHeight w:val="227"/>
          <w:jc w:val="center"/>
        </w:trPr>
        <w:tc>
          <w:tcPr>
            <w:tcW w:w="2228" w:type="pct"/>
            <w:vMerge/>
            <w:tcBorders>
              <w:top w:val="nil"/>
              <w:bottom w:val="single" w:sz="4" w:space="0" w:color="000000"/>
              <w:right w:val="single" w:sz="4" w:space="0" w:color="auto"/>
            </w:tcBorders>
            <w:vAlign w:val="center"/>
            <w:hideMark/>
          </w:tcPr>
          <w:p w14:paraId="6B4A6273" w14:textId="77777777" w:rsidR="001C1318" w:rsidRPr="001C1318" w:rsidRDefault="001C1318" w:rsidP="001C1318">
            <w:pPr>
              <w:spacing w:after="0" w:line="240" w:lineRule="auto"/>
              <w:jc w:val="left"/>
              <w:rPr>
                <w:rFonts w:eastAsia="Times New Roman" w:cs="Times New Roman"/>
                <w:color w:val="000000"/>
                <w:sz w:val="18"/>
                <w:szCs w:val="18"/>
                <w:lang w:eastAsia="sk-SK"/>
              </w:rPr>
            </w:pPr>
          </w:p>
        </w:tc>
        <w:tc>
          <w:tcPr>
            <w:tcW w:w="1292" w:type="pct"/>
            <w:tcBorders>
              <w:top w:val="nil"/>
              <w:left w:val="nil"/>
              <w:bottom w:val="single" w:sz="4" w:space="0" w:color="auto"/>
              <w:right w:val="single" w:sz="4" w:space="0" w:color="auto"/>
            </w:tcBorders>
            <w:shd w:val="clear" w:color="auto" w:fill="auto"/>
            <w:noWrap/>
            <w:vAlign w:val="bottom"/>
            <w:hideMark/>
          </w:tcPr>
          <w:p w14:paraId="1FAFBC6E"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Prognóza MF SR (</w:t>
            </w:r>
            <w:proofErr w:type="spellStart"/>
            <w:r w:rsidRPr="001C1318">
              <w:rPr>
                <w:rFonts w:eastAsia="Times New Roman" w:cs="Times New Roman"/>
                <w:color w:val="000000"/>
                <w:sz w:val="18"/>
                <w:szCs w:val="18"/>
                <w:lang w:eastAsia="sk-SK"/>
              </w:rPr>
              <w:t>sep</w:t>
            </w:r>
            <w:proofErr w:type="spellEnd"/>
            <w:r w:rsidRPr="001C1318">
              <w:rPr>
                <w:rFonts w:eastAsia="Times New Roman" w:cs="Times New Roman"/>
                <w:color w:val="000000"/>
                <w:sz w:val="18"/>
                <w:szCs w:val="18"/>
                <w:lang w:eastAsia="sk-SK"/>
              </w:rPr>
              <w:t xml:space="preserve"> 2022)</w:t>
            </w:r>
          </w:p>
        </w:tc>
        <w:tc>
          <w:tcPr>
            <w:tcW w:w="388" w:type="pct"/>
            <w:tcBorders>
              <w:top w:val="nil"/>
              <w:left w:val="nil"/>
              <w:bottom w:val="single" w:sz="4" w:space="0" w:color="auto"/>
              <w:right w:val="single" w:sz="4" w:space="0" w:color="auto"/>
            </w:tcBorders>
            <w:shd w:val="clear" w:color="auto" w:fill="auto"/>
            <w:noWrap/>
            <w:vAlign w:val="bottom"/>
          </w:tcPr>
          <w:p w14:paraId="33DC9C1B"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-7,3</w:t>
            </w:r>
          </w:p>
        </w:tc>
        <w:tc>
          <w:tcPr>
            <w:tcW w:w="388" w:type="pct"/>
            <w:tcBorders>
              <w:top w:val="nil"/>
              <w:left w:val="single" w:sz="4" w:space="0" w:color="auto"/>
              <w:bottom w:val="single" w:sz="4" w:space="0" w:color="auto"/>
              <w:right w:val="single" w:sz="4" w:space="0" w:color="auto"/>
            </w:tcBorders>
            <w:shd w:val="clear" w:color="auto" w:fill="auto"/>
            <w:noWrap/>
            <w:vAlign w:val="bottom"/>
          </w:tcPr>
          <w:p w14:paraId="315D90F9"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10,2</w:t>
            </w:r>
          </w:p>
        </w:tc>
        <w:tc>
          <w:tcPr>
            <w:tcW w:w="351" w:type="pct"/>
            <w:tcBorders>
              <w:top w:val="nil"/>
              <w:left w:val="single" w:sz="4" w:space="0" w:color="auto"/>
              <w:bottom w:val="single" w:sz="4" w:space="0" w:color="auto"/>
              <w:right w:val="single" w:sz="4" w:space="0" w:color="auto"/>
            </w:tcBorders>
            <w:shd w:val="clear" w:color="auto" w:fill="auto"/>
            <w:noWrap/>
            <w:vAlign w:val="bottom"/>
          </w:tcPr>
          <w:p w14:paraId="6D8F8023"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-1,6</w:t>
            </w:r>
          </w:p>
        </w:tc>
        <w:tc>
          <w:tcPr>
            <w:tcW w:w="353" w:type="pct"/>
            <w:tcBorders>
              <w:top w:val="nil"/>
              <w:left w:val="single" w:sz="4" w:space="0" w:color="auto"/>
              <w:bottom w:val="single" w:sz="4" w:space="0" w:color="auto"/>
            </w:tcBorders>
            <w:shd w:val="clear" w:color="auto" w:fill="auto"/>
            <w:noWrap/>
            <w:vAlign w:val="bottom"/>
          </w:tcPr>
          <w:p w14:paraId="3533BD32"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1,7</w:t>
            </w:r>
          </w:p>
        </w:tc>
      </w:tr>
      <w:tr w:rsidR="001C1318" w:rsidRPr="001C1318" w14:paraId="37A7503D" w14:textId="77777777" w:rsidTr="00BD4088">
        <w:tblPrEx>
          <w:jc w:val="center"/>
        </w:tblPrEx>
        <w:trPr>
          <w:trHeight w:val="227"/>
          <w:jc w:val="center"/>
        </w:trPr>
        <w:tc>
          <w:tcPr>
            <w:tcW w:w="2228" w:type="pct"/>
            <w:vMerge w:val="restart"/>
            <w:tcBorders>
              <w:top w:val="nil"/>
              <w:bottom w:val="single" w:sz="4" w:space="0" w:color="000000"/>
              <w:right w:val="single" w:sz="4" w:space="0" w:color="auto"/>
            </w:tcBorders>
            <w:shd w:val="clear" w:color="auto" w:fill="auto"/>
            <w:noWrap/>
            <w:vAlign w:val="center"/>
            <w:hideMark/>
          </w:tcPr>
          <w:p w14:paraId="6F6A6EE6" w14:textId="77777777" w:rsidR="001C1318" w:rsidRPr="001C1318" w:rsidRDefault="001C1318" w:rsidP="001C1318">
            <w:pPr>
              <w:spacing w:after="0" w:line="240" w:lineRule="auto"/>
              <w:ind w:firstLineChars="300" w:firstLine="540"/>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Import</w:t>
            </w:r>
          </w:p>
        </w:tc>
        <w:tc>
          <w:tcPr>
            <w:tcW w:w="1292" w:type="pct"/>
            <w:tcBorders>
              <w:top w:val="nil"/>
              <w:left w:val="nil"/>
              <w:bottom w:val="nil"/>
              <w:right w:val="single" w:sz="4" w:space="0" w:color="auto"/>
            </w:tcBorders>
            <w:shd w:val="clear" w:color="auto" w:fill="auto"/>
            <w:noWrap/>
            <w:vAlign w:val="bottom"/>
            <w:hideMark/>
          </w:tcPr>
          <w:p w14:paraId="612D5986"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Prognóza EK (jar 2022)</w:t>
            </w:r>
          </w:p>
        </w:tc>
        <w:tc>
          <w:tcPr>
            <w:tcW w:w="388" w:type="pct"/>
            <w:tcBorders>
              <w:top w:val="nil"/>
              <w:left w:val="nil"/>
              <w:bottom w:val="nil"/>
              <w:right w:val="single" w:sz="4" w:space="0" w:color="auto"/>
            </w:tcBorders>
            <w:shd w:val="clear" w:color="auto" w:fill="auto"/>
            <w:noWrap/>
            <w:vAlign w:val="bottom"/>
          </w:tcPr>
          <w:p w14:paraId="23D06025"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-8,2</w:t>
            </w:r>
          </w:p>
        </w:tc>
        <w:tc>
          <w:tcPr>
            <w:tcW w:w="388" w:type="pct"/>
            <w:tcBorders>
              <w:top w:val="nil"/>
              <w:left w:val="single" w:sz="4" w:space="0" w:color="auto"/>
              <w:bottom w:val="nil"/>
              <w:right w:val="single" w:sz="4" w:space="0" w:color="auto"/>
            </w:tcBorders>
            <w:shd w:val="clear" w:color="auto" w:fill="auto"/>
            <w:noWrap/>
            <w:vAlign w:val="bottom"/>
          </w:tcPr>
          <w:p w14:paraId="0C052597"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11,2</w:t>
            </w:r>
          </w:p>
        </w:tc>
        <w:tc>
          <w:tcPr>
            <w:tcW w:w="351" w:type="pct"/>
            <w:tcBorders>
              <w:top w:val="nil"/>
              <w:left w:val="single" w:sz="4" w:space="0" w:color="auto"/>
              <w:bottom w:val="nil"/>
              <w:right w:val="single" w:sz="4" w:space="0" w:color="auto"/>
            </w:tcBorders>
            <w:shd w:val="clear" w:color="auto" w:fill="auto"/>
            <w:noWrap/>
            <w:vAlign w:val="bottom"/>
          </w:tcPr>
          <w:p w14:paraId="3C7FC389"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3,4</w:t>
            </w:r>
          </w:p>
        </w:tc>
        <w:tc>
          <w:tcPr>
            <w:tcW w:w="353" w:type="pct"/>
            <w:tcBorders>
              <w:top w:val="nil"/>
              <w:left w:val="single" w:sz="4" w:space="0" w:color="auto"/>
              <w:bottom w:val="nil"/>
            </w:tcBorders>
            <w:shd w:val="clear" w:color="auto" w:fill="auto"/>
            <w:noWrap/>
            <w:vAlign w:val="bottom"/>
          </w:tcPr>
          <w:p w14:paraId="0C7D22A8"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7,6</w:t>
            </w:r>
          </w:p>
        </w:tc>
      </w:tr>
      <w:tr w:rsidR="001C1318" w:rsidRPr="001C1318" w14:paraId="2077FBD9" w14:textId="77777777" w:rsidTr="00BD4088">
        <w:tblPrEx>
          <w:jc w:val="center"/>
        </w:tblPrEx>
        <w:trPr>
          <w:trHeight w:val="227"/>
          <w:jc w:val="center"/>
        </w:trPr>
        <w:tc>
          <w:tcPr>
            <w:tcW w:w="2228" w:type="pct"/>
            <w:vMerge/>
            <w:tcBorders>
              <w:top w:val="nil"/>
              <w:bottom w:val="single" w:sz="4" w:space="0" w:color="000000"/>
              <w:right w:val="single" w:sz="4" w:space="0" w:color="auto"/>
            </w:tcBorders>
            <w:vAlign w:val="center"/>
            <w:hideMark/>
          </w:tcPr>
          <w:p w14:paraId="28BDF965" w14:textId="77777777" w:rsidR="001C1318" w:rsidRPr="001C1318" w:rsidRDefault="001C1318" w:rsidP="001C1318">
            <w:pPr>
              <w:spacing w:after="0" w:line="240" w:lineRule="auto"/>
              <w:jc w:val="left"/>
              <w:rPr>
                <w:rFonts w:eastAsia="Times New Roman" w:cs="Times New Roman"/>
                <w:color w:val="000000"/>
                <w:sz w:val="18"/>
                <w:szCs w:val="18"/>
                <w:lang w:eastAsia="sk-SK"/>
              </w:rPr>
            </w:pPr>
          </w:p>
        </w:tc>
        <w:tc>
          <w:tcPr>
            <w:tcW w:w="1292" w:type="pct"/>
            <w:tcBorders>
              <w:top w:val="nil"/>
              <w:left w:val="nil"/>
              <w:bottom w:val="single" w:sz="4" w:space="0" w:color="auto"/>
              <w:right w:val="single" w:sz="4" w:space="0" w:color="auto"/>
            </w:tcBorders>
            <w:shd w:val="clear" w:color="auto" w:fill="auto"/>
            <w:noWrap/>
            <w:vAlign w:val="bottom"/>
            <w:hideMark/>
          </w:tcPr>
          <w:p w14:paraId="1B156B3D"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Prognóza MF SR (</w:t>
            </w:r>
            <w:proofErr w:type="spellStart"/>
            <w:r w:rsidRPr="001C1318">
              <w:rPr>
                <w:rFonts w:eastAsia="Times New Roman" w:cs="Times New Roman"/>
                <w:color w:val="000000"/>
                <w:sz w:val="18"/>
                <w:szCs w:val="18"/>
                <w:lang w:eastAsia="sk-SK"/>
              </w:rPr>
              <w:t>sep</w:t>
            </w:r>
            <w:proofErr w:type="spellEnd"/>
            <w:r w:rsidRPr="001C1318">
              <w:rPr>
                <w:rFonts w:eastAsia="Times New Roman" w:cs="Times New Roman"/>
                <w:color w:val="000000"/>
                <w:sz w:val="18"/>
                <w:szCs w:val="18"/>
                <w:lang w:eastAsia="sk-SK"/>
              </w:rPr>
              <w:t xml:space="preserve"> 2022)</w:t>
            </w:r>
          </w:p>
        </w:tc>
        <w:tc>
          <w:tcPr>
            <w:tcW w:w="388" w:type="pct"/>
            <w:tcBorders>
              <w:top w:val="nil"/>
              <w:left w:val="nil"/>
              <w:bottom w:val="single" w:sz="4" w:space="0" w:color="auto"/>
              <w:right w:val="single" w:sz="4" w:space="0" w:color="auto"/>
            </w:tcBorders>
            <w:shd w:val="clear" w:color="auto" w:fill="auto"/>
            <w:noWrap/>
            <w:vAlign w:val="bottom"/>
          </w:tcPr>
          <w:p w14:paraId="1FBFCAF2"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-8,2</w:t>
            </w:r>
          </w:p>
        </w:tc>
        <w:tc>
          <w:tcPr>
            <w:tcW w:w="388" w:type="pct"/>
            <w:tcBorders>
              <w:top w:val="nil"/>
              <w:left w:val="single" w:sz="4" w:space="0" w:color="auto"/>
              <w:bottom w:val="single" w:sz="4" w:space="0" w:color="auto"/>
              <w:right w:val="single" w:sz="4" w:space="0" w:color="auto"/>
            </w:tcBorders>
            <w:shd w:val="clear" w:color="auto" w:fill="auto"/>
            <w:noWrap/>
            <w:vAlign w:val="bottom"/>
          </w:tcPr>
          <w:p w14:paraId="1BD959D8"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11,2</w:t>
            </w:r>
          </w:p>
        </w:tc>
        <w:tc>
          <w:tcPr>
            <w:tcW w:w="351" w:type="pct"/>
            <w:tcBorders>
              <w:top w:val="nil"/>
              <w:left w:val="single" w:sz="4" w:space="0" w:color="auto"/>
              <w:bottom w:val="single" w:sz="4" w:space="0" w:color="auto"/>
              <w:right w:val="single" w:sz="4" w:space="0" w:color="auto"/>
            </w:tcBorders>
            <w:shd w:val="clear" w:color="auto" w:fill="auto"/>
            <w:noWrap/>
            <w:vAlign w:val="bottom"/>
          </w:tcPr>
          <w:p w14:paraId="7C586238"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-0,9</w:t>
            </w:r>
          </w:p>
        </w:tc>
        <w:tc>
          <w:tcPr>
            <w:tcW w:w="353" w:type="pct"/>
            <w:tcBorders>
              <w:top w:val="nil"/>
              <w:left w:val="single" w:sz="4" w:space="0" w:color="auto"/>
              <w:bottom w:val="single" w:sz="4" w:space="0" w:color="auto"/>
            </w:tcBorders>
            <w:shd w:val="clear" w:color="auto" w:fill="auto"/>
            <w:noWrap/>
            <w:vAlign w:val="bottom"/>
          </w:tcPr>
          <w:p w14:paraId="65BD0BBB"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2,4</w:t>
            </w:r>
          </w:p>
        </w:tc>
      </w:tr>
      <w:tr w:rsidR="001C1318" w:rsidRPr="001C1318" w14:paraId="5E46A3D0" w14:textId="77777777" w:rsidTr="00BD4088">
        <w:tblPrEx>
          <w:jc w:val="center"/>
        </w:tblPrEx>
        <w:trPr>
          <w:trHeight w:val="227"/>
          <w:jc w:val="center"/>
        </w:trPr>
        <w:tc>
          <w:tcPr>
            <w:tcW w:w="2228" w:type="pct"/>
            <w:vMerge w:val="restart"/>
            <w:tcBorders>
              <w:top w:val="nil"/>
              <w:bottom w:val="single" w:sz="4" w:space="0" w:color="000000"/>
              <w:right w:val="single" w:sz="4" w:space="0" w:color="auto"/>
            </w:tcBorders>
            <w:shd w:val="clear" w:color="auto" w:fill="auto"/>
            <w:noWrap/>
            <w:vAlign w:val="center"/>
            <w:hideMark/>
          </w:tcPr>
          <w:p w14:paraId="3605716D"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Inflácia (HICP)</w:t>
            </w:r>
          </w:p>
        </w:tc>
        <w:tc>
          <w:tcPr>
            <w:tcW w:w="1292" w:type="pct"/>
            <w:tcBorders>
              <w:top w:val="nil"/>
              <w:left w:val="nil"/>
              <w:bottom w:val="nil"/>
              <w:right w:val="single" w:sz="4" w:space="0" w:color="auto"/>
            </w:tcBorders>
            <w:shd w:val="clear" w:color="auto" w:fill="auto"/>
            <w:noWrap/>
            <w:vAlign w:val="bottom"/>
            <w:hideMark/>
          </w:tcPr>
          <w:p w14:paraId="09DD21EA"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Prognóza EK (jar 2022)</w:t>
            </w:r>
          </w:p>
        </w:tc>
        <w:tc>
          <w:tcPr>
            <w:tcW w:w="388" w:type="pct"/>
            <w:tcBorders>
              <w:top w:val="nil"/>
              <w:left w:val="nil"/>
              <w:bottom w:val="nil"/>
              <w:right w:val="single" w:sz="4" w:space="0" w:color="auto"/>
            </w:tcBorders>
            <w:shd w:val="clear" w:color="auto" w:fill="auto"/>
            <w:noWrap/>
            <w:vAlign w:val="bottom"/>
          </w:tcPr>
          <w:p w14:paraId="036AD425"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2,0</w:t>
            </w:r>
          </w:p>
        </w:tc>
        <w:tc>
          <w:tcPr>
            <w:tcW w:w="388" w:type="pct"/>
            <w:tcBorders>
              <w:top w:val="nil"/>
              <w:left w:val="single" w:sz="4" w:space="0" w:color="auto"/>
              <w:bottom w:val="nil"/>
              <w:right w:val="single" w:sz="4" w:space="0" w:color="auto"/>
            </w:tcBorders>
            <w:shd w:val="clear" w:color="auto" w:fill="auto"/>
            <w:noWrap/>
            <w:vAlign w:val="bottom"/>
          </w:tcPr>
          <w:p w14:paraId="34594385"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2,8</w:t>
            </w:r>
          </w:p>
        </w:tc>
        <w:tc>
          <w:tcPr>
            <w:tcW w:w="351" w:type="pct"/>
            <w:tcBorders>
              <w:top w:val="nil"/>
              <w:left w:val="single" w:sz="4" w:space="0" w:color="auto"/>
              <w:bottom w:val="nil"/>
              <w:right w:val="single" w:sz="4" w:space="0" w:color="auto"/>
            </w:tcBorders>
            <w:shd w:val="clear" w:color="auto" w:fill="auto"/>
            <w:noWrap/>
            <w:vAlign w:val="bottom"/>
          </w:tcPr>
          <w:p w14:paraId="5F800202"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9,8</w:t>
            </w:r>
          </w:p>
        </w:tc>
        <w:tc>
          <w:tcPr>
            <w:tcW w:w="353" w:type="pct"/>
            <w:tcBorders>
              <w:top w:val="nil"/>
              <w:left w:val="single" w:sz="4" w:space="0" w:color="auto"/>
              <w:bottom w:val="nil"/>
            </w:tcBorders>
            <w:shd w:val="clear" w:color="auto" w:fill="auto"/>
            <w:noWrap/>
            <w:vAlign w:val="bottom"/>
          </w:tcPr>
          <w:p w14:paraId="4CD9E583"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6,8</w:t>
            </w:r>
          </w:p>
        </w:tc>
      </w:tr>
      <w:tr w:rsidR="001C1318" w:rsidRPr="001C1318" w14:paraId="01E79647" w14:textId="77777777" w:rsidTr="00BD4088">
        <w:tblPrEx>
          <w:jc w:val="center"/>
        </w:tblPrEx>
        <w:trPr>
          <w:trHeight w:val="227"/>
          <w:jc w:val="center"/>
        </w:trPr>
        <w:tc>
          <w:tcPr>
            <w:tcW w:w="2228" w:type="pct"/>
            <w:vMerge/>
            <w:tcBorders>
              <w:top w:val="nil"/>
              <w:bottom w:val="single" w:sz="4" w:space="0" w:color="000000"/>
              <w:right w:val="single" w:sz="4" w:space="0" w:color="auto"/>
            </w:tcBorders>
            <w:vAlign w:val="center"/>
            <w:hideMark/>
          </w:tcPr>
          <w:p w14:paraId="57073881" w14:textId="77777777" w:rsidR="001C1318" w:rsidRPr="001C1318" w:rsidRDefault="001C1318" w:rsidP="001C1318">
            <w:pPr>
              <w:spacing w:after="0" w:line="240" w:lineRule="auto"/>
              <w:jc w:val="left"/>
              <w:rPr>
                <w:rFonts w:eastAsia="Times New Roman" w:cs="Times New Roman"/>
                <w:color w:val="000000"/>
                <w:sz w:val="18"/>
                <w:szCs w:val="18"/>
                <w:lang w:eastAsia="sk-SK"/>
              </w:rPr>
            </w:pPr>
          </w:p>
        </w:tc>
        <w:tc>
          <w:tcPr>
            <w:tcW w:w="1292" w:type="pct"/>
            <w:tcBorders>
              <w:top w:val="nil"/>
              <w:left w:val="nil"/>
              <w:bottom w:val="nil"/>
              <w:right w:val="single" w:sz="4" w:space="0" w:color="auto"/>
            </w:tcBorders>
            <w:shd w:val="clear" w:color="auto" w:fill="auto"/>
            <w:noWrap/>
            <w:vAlign w:val="bottom"/>
            <w:hideMark/>
          </w:tcPr>
          <w:p w14:paraId="4B0F93D0"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Prognóza EK (leto 2022)</w:t>
            </w:r>
          </w:p>
        </w:tc>
        <w:tc>
          <w:tcPr>
            <w:tcW w:w="388" w:type="pct"/>
            <w:tcBorders>
              <w:top w:val="nil"/>
              <w:left w:val="nil"/>
              <w:bottom w:val="nil"/>
              <w:right w:val="single" w:sz="4" w:space="0" w:color="auto"/>
            </w:tcBorders>
            <w:shd w:val="clear" w:color="auto" w:fill="auto"/>
            <w:noWrap/>
            <w:vAlign w:val="bottom"/>
          </w:tcPr>
          <w:p w14:paraId="2FA6826F"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2,0</w:t>
            </w:r>
          </w:p>
        </w:tc>
        <w:tc>
          <w:tcPr>
            <w:tcW w:w="388" w:type="pct"/>
            <w:tcBorders>
              <w:top w:val="nil"/>
              <w:left w:val="single" w:sz="4" w:space="0" w:color="auto"/>
              <w:bottom w:val="nil"/>
              <w:right w:val="single" w:sz="4" w:space="0" w:color="auto"/>
            </w:tcBorders>
            <w:shd w:val="clear" w:color="auto" w:fill="auto"/>
            <w:noWrap/>
            <w:vAlign w:val="bottom"/>
          </w:tcPr>
          <w:p w14:paraId="21E69712"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2,8</w:t>
            </w:r>
          </w:p>
        </w:tc>
        <w:tc>
          <w:tcPr>
            <w:tcW w:w="351" w:type="pct"/>
            <w:tcBorders>
              <w:top w:val="nil"/>
              <w:left w:val="single" w:sz="4" w:space="0" w:color="auto"/>
              <w:bottom w:val="nil"/>
              <w:right w:val="single" w:sz="4" w:space="0" w:color="auto"/>
            </w:tcBorders>
            <w:shd w:val="clear" w:color="auto" w:fill="auto"/>
            <w:noWrap/>
            <w:vAlign w:val="bottom"/>
          </w:tcPr>
          <w:p w14:paraId="263E509A"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10,5</w:t>
            </w:r>
          </w:p>
        </w:tc>
        <w:tc>
          <w:tcPr>
            <w:tcW w:w="353" w:type="pct"/>
            <w:tcBorders>
              <w:top w:val="nil"/>
              <w:left w:val="single" w:sz="4" w:space="0" w:color="auto"/>
              <w:bottom w:val="nil"/>
            </w:tcBorders>
            <w:shd w:val="clear" w:color="auto" w:fill="auto"/>
            <w:noWrap/>
            <w:vAlign w:val="bottom"/>
          </w:tcPr>
          <w:p w14:paraId="3FA6ED3A"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8,2</w:t>
            </w:r>
          </w:p>
        </w:tc>
      </w:tr>
      <w:tr w:rsidR="001C1318" w:rsidRPr="001C1318" w14:paraId="58C5BCAA" w14:textId="77777777" w:rsidTr="00BD4088">
        <w:tblPrEx>
          <w:jc w:val="center"/>
        </w:tblPrEx>
        <w:trPr>
          <w:trHeight w:val="227"/>
          <w:jc w:val="center"/>
        </w:trPr>
        <w:tc>
          <w:tcPr>
            <w:tcW w:w="2228" w:type="pct"/>
            <w:vMerge/>
            <w:tcBorders>
              <w:top w:val="nil"/>
              <w:bottom w:val="single" w:sz="4" w:space="0" w:color="000000"/>
              <w:right w:val="single" w:sz="4" w:space="0" w:color="auto"/>
            </w:tcBorders>
            <w:vAlign w:val="center"/>
            <w:hideMark/>
          </w:tcPr>
          <w:p w14:paraId="2C7CCADB" w14:textId="77777777" w:rsidR="001C1318" w:rsidRPr="001C1318" w:rsidRDefault="001C1318" w:rsidP="001C1318">
            <w:pPr>
              <w:spacing w:after="0" w:line="240" w:lineRule="auto"/>
              <w:jc w:val="left"/>
              <w:rPr>
                <w:rFonts w:eastAsia="Times New Roman" w:cs="Times New Roman"/>
                <w:color w:val="000000"/>
                <w:sz w:val="18"/>
                <w:szCs w:val="18"/>
                <w:lang w:eastAsia="sk-SK"/>
              </w:rPr>
            </w:pPr>
          </w:p>
        </w:tc>
        <w:tc>
          <w:tcPr>
            <w:tcW w:w="1292" w:type="pct"/>
            <w:tcBorders>
              <w:top w:val="nil"/>
              <w:left w:val="nil"/>
              <w:bottom w:val="single" w:sz="4" w:space="0" w:color="auto"/>
              <w:right w:val="single" w:sz="4" w:space="0" w:color="auto"/>
            </w:tcBorders>
            <w:shd w:val="clear" w:color="auto" w:fill="auto"/>
            <w:noWrap/>
            <w:vAlign w:val="bottom"/>
            <w:hideMark/>
          </w:tcPr>
          <w:p w14:paraId="4A7EFBB7"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Prognóza MF SR (</w:t>
            </w:r>
            <w:proofErr w:type="spellStart"/>
            <w:r w:rsidRPr="001C1318">
              <w:rPr>
                <w:rFonts w:eastAsia="Times New Roman" w:cs="Times New Roman"/>
                <w:color w:val="000000"/>
                <w:sz w:val="18"/>
                <w:szCs w:val="18"/>
                <w:lang w:eastAsia="sk-SK"/>
              </w:rPr>
              <w:t>sep</w:t>
            </w:r>
            <w:proofErr w:type="spellEnd"/>
            <w:r w:rsidRPr="001C1318">
              <w:rPr>
                <w:rFonts w:eastAsia="Times New Roman" w:cs="Times New Roman"/>
                <w:color w:val="000000"/>
                <w:sz w:val="18"/>
                <w:szCs w:val="18"/>
                <w:lang w:eastAsia="sk-SK"/>
              </w:rPr>
              <w:t xml:space="preserve"> 2022)</w:t>
            </w:r>
          </w:p>
        </w:tc>
        <w:tc>
          <w:tcPr>
            <w:tcW w:w="388" w:type="pct"/>
            <w:tcBorders>
              <w:top w:val="nil"/>
              <w:left w:val="nil"/>
              <w:bottom w:val="single" w:sz="4" w:space="0" w:color="auto"/>
              <w:right w:val="single" w:sz="4" w:space="0" w:color="auto"/>
            </w:tcBorders>
            <w:shd w:val="clear" w:color="auto" w:fill="auto"/>
            <w:noWrap/>
            <w:vAlign w:val="bottom"/>
          </w:tcPr>
          <w:p w14:paraId="048B8941"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2,0</w:t>
            </w:r>
          </w:p>
        </w:tc>
        <w:tc>
          <w:tcPr>
            <w:tcW w:w="388" w:type="pct"/>
            <w:tcBorders>
              <w:top w:val="nil"/>
              <w:left w:val="single" w:sz="4" w:space="0" w:color="auto"/>
              <w:bottom w:val="single" w:sz="4" w:space="0" w:color="auto"/>
              <w:right w:val="single" w:sz="4" w:space="0" w:color="auto"/>
            </w:tcBorders>
            <w:shd w:val="clear" w:color="auto" w:fill="auto"/>
            <w:noWrap/>
            <w:vAlign w:val="bottom"/>
          </w:tcPr>
          <w:p w14:paraId="781D3A0F"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2,8</w:t>
            </w:r>
          </w:p>
        </w:tc>
        <w:tc>
          <w:tcPr>
            <w:tcW w:w="351" w:type="pct"/>
            <w:tcBorders>
              <w:top w:val="nil"/>
              <w:left w:val="single" w:sz="4" w:space="0" w:color="auto"/>
              <w:bottom w:val="single" w:sz="4" w:space="0" w:color="auto"/>
              <w:right w:val="single" w:sz="4" w:space="0" w:color="auto"/>
            </w:tcBorders>
            <w:shd w:val="clear" w:color="auto" w:fill="auto"/>
            <w:noWrap/>
            <w:vAlign w:val="bottom"/>
          </w:tcPr>
          <w:p w14:paraId="14493B2D"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11,6</w:t>
            </w:r>
          </w:p>
        </w:tc>
        <w:tc>
          <w:tcPr>
            <w:tcW w:w="353" w:type="pct"/>
            <w:tcBorders>
              <w:top w:val="nil"/>
              <w:left w:val="single" w:sz="4" w:space="0" w:color="auto"/>
              <w:bottom w:val="single" w:sz="4" w:space="0" w:color="auto"/>
            </w:tcBorders>
            <w:shd w:val="clear" w:color="auto" w:fill="auto"/>
            <w:noWrap/>
            <w:vAlign w:val="bottom"/>
          </w:tcPr>
          <w:p w14:paraId="586FEC36"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13,5</w:t>
            </w:r>
          </w:p>
        </w:tc>
      </w:tr>
      <w:tr w:rsidR="001C1318" w:rsidRPr="001C1318" w14:paraId="1F9CA265" w14:textId="77777777" w:rsidTr="00BD4088">
        <w:tblPrEx>
          <w:jc w:val="center"/>
        </w:tblPrEx>
        <w:trPr>
          <w:trHeight w:val="227"/>
          <w:jc w:val="center"/>
        </w:trPr>
        <w:tc>
          <w:tcPr>
            <w:tcW w:w="2228" w:type="pct"/>
            <w:vMerge w:val="restart"/>
            <w:tcBorders>
              <w:top w:val="nil"/>
              <w:bottom w:val="single" w:sz="4" w:space="0" w:color="000000"/>
              <w:right w:val="single" w:sz="4" w:space="0" w:color="auto"/>
            </w:tcBorders>
            <w:shd w:val="clear" w:color="auto" w:fill="auto"/>
            <w:noWrap/>
            <w:vAlign w:val="center"/>
            <w:hideMark/>
          </w:tcPr>
          <w:p w14:paraId="34E3B8EC"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Zamestnanosť (ESA)</w:t>
            </w:r>
          </w:p>
        </w:tc>
        <w:tc>
          <w:tcPr>
            <w:tcW w:w="1292" w:type="pct"/>
            <w:tcBorders>
              <w:top w:val="nil"/>
              <w:left w:val="nil"/>
              <w:bottom w:val="nil"/>
              <w:right w:val="single" w:sz="4" w:space="0" w:color="auto"/>
            </w:tcBorders>
            <w:shd w:val="clear" w:color="auto" w:fill="auto"/>
            <w:noWrap/>
            <w:vAlign w:val="bottom"/>
            <w:hideMark/>
          </w:tcPr>
          <w:p w14:paraId="1F3A168B"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Prognóza EK (jar 2022)</w:t>
            </w:r>
          </w:p>
        </w:tc>
        <w:tc>
          <w:tcPr>
            <w:tcW w:w="388" w:type="pct"/>
            <w:tcBorders>
              <w:top w:val="nil"/>
              <w:left w:val="nil"/>
              <w:bottom w:val="nil"/>
              <w:right w:val="single" w:sz="4" w:space="0" w:color="auto"/>
            </w:tcBorders>
            <w:shd w:val="clear" w:color="auto" w:fill="auto"/>
            <w:noWrap/>
            <w:vAlign w:val="bottom"/>
          </w:tcPr>
          <w:p w14:paraId="127FA00D"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-1,9</w:t>
            </w:r>
          </w:p>
        </w:tc>
        <w:tc>
          <w:tcPr>
            <w:tcW w:w="388" w:type="pct"/>
            <w:tcBorders>
              <w:top w:val="nil"/>
              <w:left w:val="single" w:sz="4" w:space="0" w:color="auto"/>
              <w:bottom w:val="nil"/>
              <w:right w:val="single" w:sz="4" w:space="0" w:color="auto"/>
            </w:tcBorders>
            <w:shd w:val="clear" w:color="auto" w:fill="auto"/>
            <w:noWrap/>
            <w:vAlign w:val="bottom"/>
          </w:tcPr>
          <w:p w14:paraId="452BC620"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-0,6</w:t>
            </w:r>
          </w:p>
        </w:tc>
        <w:tc>
          <w:tcPr>
            <w:tcW w:w="351" w:type="pct"/>
            <w:tcBorders>
              <w:top w:val="nil"/>
              <w:left w:val="single" w:sz="4" w:space="0" w:color="auto"/>
              <w:bottom w:val="nil"/>
              <w:right w:val="single" w:sz="4" w:space="0" w:color="auto"/>
            </w:tcBorders>
            <w:shd w:val="clear" w:color="auto" w:fill="auto"/>
            <w:noWrap/>
            <w:vAlign w:val="bottom"/>
          </w:tcPr>
          <w:p w14:paraId="3B5C8454"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1,9</w:t>
            </w:r>
          </w:p>
        </w:tc>
        <w:tc>
          <w:tcPr>
            <w:tcW w:w="353" w:type="pct"/>
            <w:tcBorders>
              <w:top w:val="nil"/>
              <w:left w:val="single" w:sz="4" w:space="0" w:color="auto"/>
              <w:bottom w:val="nil"/>
            </w:tcBorders>
            <w:shd w:val="clear" w:color="auto" w:fill="auto"/>
            <w:noWrap/>
            <w:vAlign w:val="bottom"/>
          </w:tcPr>
          <w:p w14:paraId="674D6806"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0,6</w:t>
            </w:r>
          </w:p>
        </w:tc>
      </w:tr>
      <w:tr w:rsidR="001C1318" w:rsidRPr="001C1318" w14:paraId="44CEBCC0" w14:textId="77777777" w:rsidTr="00BD4088">
        <w:tblPrEx>
          <w:jc w:val="center"/>
        </w:tblPrEx>
        <w:trPr>
          <w:trHeight w:val="227"/>
          <w:jc w:val="center"/>
        </w:trPr>
        <w:tc>
          <w:tcPr>
            <w:tcW w:w="2228" w:type="pct"/>
            <w:vMerge/>
            <w:tcBorders>
              <w:top w:val="nil"/>
              <w:bottom w:val="single" w:sz="4" w:space="0" w:color="000000"/>
              <w:right w:val="single" w:sz="4" w:space="0" w:color="auto"/>
            </w:tcBorders>
            <w:vAlign w:val="center"/>
            <w:hideMark/>
          </w:tcPr>
          <w:p w14:paraId="570ECBF7" w14:textId="77777777" w:rsidR="001C1318" w:rsidRPr="001C1318" w:rsidRDefault="001C1318" w:rsidP="001C1318">
            <w:pPr>
              <w:spacing w:after="0" w:line="240" w:lineRule="auto"/>
              <w:jc w:val="left"/>
              <w:rPr>
                <w:rFonts w:eastAsia="Times New Roman" w:cs="Times New Roman"/>
                <w:color w:val="000000"/>
                <w:sz w:val="18"/>
                <w:szCs w:val="18"/>
                <w:lang w:eastAsia="sk-SK"/>
              </w:rPr>
            </w:pPr>
          </w:p>
        </w:tc>
        <w:tc>
          <w:tcPr>
            <w:tcW w:w="1292" w:type="pct"/>
            <w:tcBorders>
              <w:top w:val="nil"/>
              <w:left w:val="nil"/>
              <w:bottom w:val="single" w:sz="4" w:space="0" w:color="auto"/>
              <w:right w:val="single" w:sz="4" w:space="0" w:color="auto"/>
            </w:tcBorders>
            <w:shd w:val="clear" w:color="auto" w:fill="auto"/>
            <w:noWrap/>
            <w:vAlign w:val="bottom"/>
            <w:hideMark/>
          </w:tcPr>
          <w:p w14:paraId="6DB3A350"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Prognóza MF SR (</w:t>
            </w:r>
            <w:proofErr w:type="spellStart"/>
            <w:r w:rsidRPr="001C1318">
              <w:rPr>
                <w:rFonts w:eastAsia="Times New Roman" w:cs="Times New Roman"/>
                <w:color w:val="000000"/>
                <w:sz w:val="18"/>
                <w:szCs w:val="18"/>
                <w:lang w:eastAsia="sk-SK"/>
              </w:rPr>
              <w:t>sep</w:t>
            </w:r>
            <w:proofErr w:type="spellEnd"/>
            <w:r w:rsidRPr="001C1318">
              <w:rPr>
                <w:rFonts w:eastAsia="Times New Roman" w:cs="Times New Roman"/>
                <w:color w:val="000000"/>
                <w:sz w:val="18"/>
                <w:szCs w:val="18"/>
                <w:lang w:eastAsia="sk-SK"/>
              </w:rPr>
              <w:t xml:space="preserve"> 2022)</w:t>
            </w:r>
          </w:p>
        </w:tc>
        <w:tc>
          <w:tcPr>
            <w:tcW w:w="388" w:type="pct"/>
            <w:tcBorders>
              <w:top w:val="nil"/>
              <w:left w:val="nil"/>
              <w:bottom w:val="single" w:sz="4" w:space="0" w:color="auto"/>
              <w:right w:val="single" w:sz="4" w:space="0" w:color="auto"/>
            </w:tcBorders>
            <w:shd w:val="clear" w:color="auto" w:fill="auto"/>
            <w:noWrap/>
            <w:vAlign w:val="bottom"/>
          </w:tcPr>
          <w:p w14:paraId="1F8D1313"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-1,9</w:t>
            </w:r>
          </w:p>
        </w:tc>
        <w:tc>
          <w:tcPr>
            <w:tcW w:w="388" w:type="pct"/>
            <w:tcBorders>
              <w:top w:val="nil"/>
              <w:left w:val="single" w:sz="4" w:space="0" w:color="auto"/>
              <w:bottom w:val="single" w:sz="4" w:space="0" w:color="auto"/>
              <w:right w:val="single" w:sz="4" w:space="0" w:color="auto"/>
            </w:tcBorders>
            <w:shd w:val="clear" w:color="auto" w:fill="auto"/>
            <w:noWrap/>
            <w:vAlign w:val="bottom"/>
          </w:tcPr>
          <w:p w14:paraId="02217FAC"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-0,6</w:t>
            </w:r>
          </w:p>
        </w:tc>
        <w:tc>
          <w:tcPr>
            <w:tcW w:w="351" w:type="pct"/>
            <w:tcBorders>
              <w:top w:val="nil"/>
              <w:left w:val="single" w:sz="4" w:space="0" w:color="auto"/>
              <w:bottom w:val="single" w:sz="4" w:space="0" w:color="auto"/>
              <w:right w:val="single" w:sz="4" w:space="0" w:color="auto"/>
            </w:tcBorders>
            <w:shd w:val="clear" w:color="auto" w:fill="auto"/>
            <w:noWrap/>
            <w:vAlign w:val="bottom"/>
          </w:tcPr>
          <w:p w14:paraId="5A2B8CB3"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1,9</w:t>
            </w:r>
          </w:p>
        </w:tc>
        <w:tc>
          <w:tcPr>
            <w:tcW w:w="353" w:type="pct"/>
            <w:tcBorders>
              <w:top w:val="nil"/>
              <w:left w:val="single" w:sz="4" w:space="0" w:color="auto"/>
              <w:bottom w:val="single" w:sz="4" w:space="0" w:color="auto"/>
            </w:tcBorders>
            <w:shd w:val="clear" w:color="auto" w:fill="auto"/>
            <w:noWrap/>
            <w:vAlign w:val="bottom"/>
          </w:tcPr>
          <w:p w14:paraId="53C1971B"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0,2</w:t>
            </w:r>
          </w:p>
        </w:tc>
      </w:tr>
      <w:tr w:rsidR="001C1318" w:rsidRPr="001C1318" w14:paraId="762A1505" w14:textId="77777777" w:rsidTr="00BD4088">
        <w:tblPrEx>
          <w:jc w:val="center"/>
        </w:tblPrEx>
        <w:trPr>
          <w:trHeight w:val="227"/>
          <w:jc w:val="center"/>
        </w:trPr>
        <w:tc>
          <w:tcPr>
            <w:tcW w:w="2228" w:type="pct"/>
            <w:vMerge w:val="restart"/>
            <w:tcBorders>
              <w:top w:val="nil"/>
              <w:bottom w:val="single" w:sz="4" w:space="0" w:color="000000"/>
              <w:right w:val="single" w:sz="4" w:space="0" w:color="auto"/>
            </w:tcBorders>
            <w:shd w:val="clear" w:color="auto" w:fill="auto"/>
            <w:vAlign w:val="center"/>
            <w:hideMark/>
          </w:tcPr>
          <w:p w14:paraId="4A2BF8B4"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Produkčná medzera</w:t>
            </w:r>
            <w:r w:rsidRPr="001C1318">
              <w:rPr>
                <w:rFonts w:eastAsia="Times New Roman" w:cs="Times New Roman"/>
                <w:color w:val="000000"/>
                <w:sz w:val="18"/>
                <w:szCs w:val="18"/>
                <w:lang w:eastAsia="sk-SK"/>
              </w:rPr>
              <w:br/>
              <w:t>(% z pot. HDP)</w:t>
            </w:r>
          </w:p>
        </w:tc>
        <w:tc>
          <w:tcPr>
            <w:tcW w:w="1292" w:type="pct"/>
            <w:tcBorders>
              <w:top w:val="nil"/>
              <w:left w:val="nil"/>
              <w:bottom w:val="nil"/>
              <w:right w:val="single" w:sz="4" w:space="0" w:color="auto"/>
            </w:tcBorders>
            <w:shd w:val="clear" w:color="auto" w:fill="auto"/>
            <w:noWrap/>
            <w:vAlign w:val="bottom"/>
            <w:hideMark/>
          </w:tcPr>
          <w:p w14:paraId="13F0DAE6"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Prognóza EK (jar 2022)</w:t>
            </w:r>
          </w:p>
        </w:tc>
        <w:tc>
          <w:tcPr>
            <w:tcW w:w="388" w:type="pct"/>
            <w:tcBorders>
              <w:top w:val="nil"/>
              <w:left w:val="nil"/>
              <w:bottom w:val="nil"/>
              <w:right w:val="single" w:sz="4" w:space="0" w:color="auto"/>
            </w:tcBorders>
            <w:shd w:val="clear" w:color="auto" w:fill="auto"/>
            <w:noWrap/>
            <w:vAlign w:val="bottom"/>
          </w:tcPr>
          <w:p w14:paraId="1A0A644D"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-2,7</w:t>
            </w:r>
          </w:p>
        </w:tc>
        <w:tc>
          <w:tcPr>
            <w:tcW w:w="388" w:type="pct"/>
            <w:tcBorders>
              <w:top w:val="nil"/>
              <w:left w:val="single" w:sz="4" w:space="0" w:color="auto"/>
              <w:bottom w:val="nil"/>
              <w:right w:val="single" w:sz="4" w:space="0" w:color="auto"/>
            </w:tcBorders>
            <w:shd w:val="clear" w:color="auto" w:fill="auto"/>
            <w:noWrap/>
            <w:vAlign w:val="bottom"/>
          </w:tcPr>
          <w:p w14:paraId="1BB6A109"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-1,1</w:t>
            </w:r>
          </w:p>
        </w:tc>
        <w:tc>
          <w:tcPr>
            <w:tcW w:w="351" w:type="pct"/>
            <w:tcBorders>
              <w:top w:val="nil"/>
              <w:left w:val="single" w:sz="4" w:space="0" w:color="auto"/>
              <w:bottom w:val="nil"/>
              <w:right w:val="single" w:sz="4" w:space="0" w:color="auto"/>
            </w:tcBorders>
            <w:shd w:val="clear" w:color="auto" w:fill="auto"/>
            <w:noWrap/>
            <w:vAlign w:val="bottom"/>
          </w:tcPr>
          <w:p w14:paraId="484C9F8D"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-0,8</w:t>
            </w:r>
          </w:p>
        </w:tc>
        <w:tc>
          <w:tcPr>
            <w:tcW w:w="353" w:type="pct"/>
            <w:tcBorders>
              <w:top w:val="nil"/>
              <w:left w:val="single" w:sz="4" w:space="0" w:color="auto"/>
              <w:bottom w:val="nil"/>
            </w:tcBorders>
            <w:shd w:val="clear" w:color="auto" w:fill="auto"/>
            <w:noWrap/>
            <w:vAlign w:val="bottom"/>
          </w:tcPr>
          <w:p w14:paraId="3E91B06D"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0,0</w:t>
            </w:r>
          </w:p>
        </w:tc>
      </w:tr>
      <w:tr w:rsidR="001C1318" w:rsidRPr="001C1318" w14:paraId="2EDABA7C" w14:textId="77777777" w:rsidTr="00BD4088">
        <w:tblPrEx>
          <w:jc w:val="center"/>
        </w:tblPrEx>
        <w:trPr>
          <w:trHeight w:val="227"/>
          <w:jc w:val="center"/>
        </w:trPr>
        <w:tc>
          <w:tcPr>
            <w:tcW w:w="2228" w:type="pct"/>
            <w:vMerge/>
            <w:tcBorders>
              <w:top w:val="nil"/>
              <w:bottom w:val="single" w:sz="4" w:space="0" w:color="auto"/>
              <w:right w:val="single" w:sz="4" w:space="0" w:color="auto"/>
            </w:tcBorders>
            <w:vAlign w:val="center"/>
            <w:hideMark/>
          </w:tcPr>
          <w:p w14:paraId="47754F56" w14:textId="77777777" w:rsidR="001C1318" w:rsidRPr="001C1318" w:rsidRDefault="001C1318" w:rsidP="001C1318">
            <w:pPr>
              <w:spacing w:after="0" w:line="240" w:lineRule="auto"/>
              <w:jc w:val="left"/>
              <w:rPr>
                <w:rFonts w:eastAsia="Times New Roman" w:cs="Times New Roman"/>
                <w:color w:val="000000"/>
                <w:sz w:val="18"/>
                <w:szCs w:val="18"/>
                <w:lang w:eastAsia="sk-SK"/>
              </w:rPr>
            </w:pPr>
          </w:p>
        </w:tc>
        <w:tc>
          <w:tcPr>
            <w:tcW w:w="1292" w:type="pct"/>
            <w:tcBorders>
              <w:top w:val="nil"/>
              <w:left w:val="nil"/>
              <w:bottom w:val="single" w:sz="4" w:space="0" w:color="auto"/>
              <w:right w:val="single" w:sz="4" w:space="0" w:color="auto"/>
            </w:tcBorders>
            <w:shd w:val="clear" w:color="auto" w:fill="auto"/>
            <w:noWrap/>
            <w:vAlign w:val="bottom"/>
            <w:hideMark/>
          </w:tcPr>
          <w:p w14:paraId="7A716D15" w14:textId="77777777" w:rsidR="001C1318" w:rsidRPr="001C1318" w:rsidRDefault="001C1318" w:rsidP="001C1318">
            <w:pPr>
              <w:spacing w:after="0" w:line="240" w:lineRule="auto"/>
              <w:jc w:val="left"/>
              <w:rPr>
                <w:rFonts w:eastAsia="Times New Roman" w:cs="Times New Roman"/>
                <w:color w:val="000000"/>
                <w:sz w:val="18"/>
                <w:szCs w:val="18"/>
                <w:lang w:eastAsia="sk-SK"/>
              </w:rPr>
            </w:pPr>
            <w:r w:rsidRPr="001C1318">
              <w:rPr>
                <w:rFonts w:eastAsia="Times New Roman" w:cs="Times New Roman"/>
                <w:color w:val="000000"/>
                <w:sz w:val="18"/>
                <w:szCs w:val="18"/>
                <w:lang w:eastAsia="sk-SK"/>
              </w:rPr>
              <w:t>Prognóza MF SR (</w:t>
            </w:r>
            <w:proofErr w:type="spellStart"/>
            <w:r w:rsidRPr="001C1318">
              <w:rPr>
                <w:rFonts w:eastAsia="Times New Roman" w:cs="Times New Roman"/>
                <w:color w:val="000000"/>
                <w:sz w:val="18"/>
                <w:szCs w:val="18"/>
                <w:lang w:eastAsia="sk-SK"/>
              </w:rPr>
              <w:t>sep</w:t>
            </w:r>
            <w:proofErr w:type="spellEnd"/>
            <w:r w:rsidRPr="001C1318">
              <w:rPr>
                <w:rFonts w:eastAsia="Times New Roman" w:cs="Times New Roman"/>
                <w:color w:val="000000"/>
                <w:sz w:val="18"/>
                <w:szCs w:val="18"/>
                <w:lang w:eastAsia="sk-SK"/>
              </w:rPr>
              <w:t xml:space="preserve"> 2022)</w:t>
            </w:r>
          </w:p>
        </w:tc>
        <w:tc>
          <w:tcPr>
            <w:tcW w:w="388" w:type="pct"/>
            <w:tcBorders>
              <w:top w:val="nil"/>
              <w:left w:val="nil"/>
              <w:bottom w:val="single" w:sz="4" w:space="0" w:color="auto"/>
              <w:right w:val="single" w:sz="4" w:space="0" w:color="auto"/>
            </w:tcBorders>
            <w:shd w:val="clear" w:color="auto" w:fill="auto"/>
            <w:noWrap/>
            <w:vAlign w:val="bottom"/>
          </w:tcPr>
          <w:p w14:paraId="6C72AC79"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-2,7</w:t>
            </w:r>
          </w:p>
        </w:tc>
        <w:tc>
          <w:tcPr>
            <w:tcW w:w="388" w:type="pct"/>
            <w:tcBorders>
              <w:top w:val="nil"/>
              <w:left w:val="single" w:sz="4" w:space="0" w:color="auto"/>
              <w:bottom w:val="single" w:sz="4" w:space="0" w:color="auto"/>
              <w:right w:val="single" w:sz="4" w:space="0" w:color="auto"/>
            </w:tcBorders>
            <w:shd w:val="clear" w:color="auto" w:fill="auto"/>
            <w:noWrap/>
            <w:vAlign w:val="bottom"/>
          </w:tcPr>
          <w:p w14:paraId="064F82E4"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-1,3</w:t>
            </w:r>
          </w:p>
        </w:tc>
        <w:tc>
          <w:tcPr>
            <w:tcW w:w="351" w:type="pct"/>
            <w:tcBorders>
              <w:top w:val="nil"/>
              <w:left w:val="single" w:sz="4" w:space="0" w:color="auto"/>
              <w:bottom w:val="single" w:sz="4" w:space="0" w:color="auto"/>
              <w:right w:val="single" w:sz="4" w:space="0" w:color="auto"/>
            </w:tcBorders>
            <w:shd w:val="clear" w:color="auto" w:fill="auto"/>
            <w:noWrap/>
            <w:vAlign w:val="bottom"/>
          </w:tcPr>
          <w:p w14:paraId="335D0BB8"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-0,7</w:t>
            </w:r>
          </w:p>
        </w:tc>
        <w:tc>
          <w:tcPr>
            <w:tcW w:w="353" w:type="pct"/>
            <w:tcBorders>
              <w:top w:val="nil"/>
              <w:left w:val="single" w:sz="4" w:space="0" w:color="auto"/>
              <w:bottom w:val="single" w:sz="4" w:space="0" w:color="auto"/>
            </w:tcBorders>
            <w:shd w:val="clear" w:color="auto" w:fill="auto"/>
            <w:noWrap/>
            <w:vAlign w:val="bottom"/>
          </w:tcPr>
          <w:p w14:paraId="13974FBD" w14:textId="77777777" w:rsidR="001C1318" w:rsidRPr="001C1318" w:rsidRDefault="001C1318" w:rsidP="001C1318">
            <w:pPr>
              <w:spacing w:after="0" w:line="240" w:lineRule="auto"/>
              <w:jc w:val="right"/>
              <w:rPr>
                <w:rFonts w:eastAsia="Times New Roman" w:cs="Times New Roman"/>
                <w:color w:val="000000"/>
                <w:sz w:val="18"/>
                <w:szCs w:val="18"/>
                <w:lang w:eastAsia="sk-SK"/>
              </w:rPr>
            </w:pPr>
            <w:r w:rsidRPr="001C1318">
              <w:rPr>
                <w:rFonts w:eastAsia="Times New Roman" w:cs="Times New Roman"/>
                <w:color w:val="000000"/>
                <w:sz w:val="18"/>
                <w:szCs w:val="18"/>
                <w:lang w:eastAsia="sk-SK"/>
              </w:rPr>
              <w:t>-1,8</w:t>
            </w:r>
          </w:p>
        </w:tc>
      </w:tr>
      <w:tr w:rsidR="001C1318" w:rsidRPr="001C1318" w14:paraId="2B4F3263" w14:textId="77777777" w:rsidTr="00BD4088">
        <w:tblPrEx>
          <w:jc w:val="center"/>
        </w:tblPrEx>
        <w:trPr>
          <w:trHeight w:val="227"/>
          <w:jc w:val="center"/>
        </w:trPr>
        <w:tc>
          <w:tcPr>
            <w:tcW w:w="5000" w:type="pct"/>
            <w:gridSpan w:val="6"/>
            <w:tcBorders>
              <w:top w:val="single" w:sz="4" w:space="0" w:color="auto"/>
              <w:left w:val="nil"/>
              <w:bottom w:val="nil"/>
              <w:right w:val="nil"/>
            </w:tcBorders>
            <w:shd w:val="clear" w:color="auto" w:fill="auto"/>
            <w:noWrap/>
            <w:vAlign w:val="bottom"/>
            <w:hideMark/>
          </w:tcPr>
          <w:p w14:paraId="18310310" w14:textId="77777777" w:rsidR="001C1318" w:rsidRPr="001C1318" w:rsidRDefault="001C1318" w:rsidP="001C1318">
            <w:pPr>
              <w:spacing w:after="0" w:line="240" w:lineRule="auto"/>
              <w:jc w:val="right"/>
              <w:rPr>
                <w:rFonts w:eastAsia="Times New Roman" w:cs="Times New Roman"/>
                <w:i/>
                <w:iCs/>
                <w:color w:val="000000"/>
                <w:sz w:val="18"/>
                <w:szCs w:val="18"/>
                <w:lang w:eastAsia="sk-SK"/>
              </w:rPr>
            </w:pPr>
            <w:r w:rsidRPr="001C1318">
              <w:rPr>
                <w:rFonts w:eastAsia="Times New Roman" w:cs="Times New Roman"/>
                <w:iCs/>
                <w:color w:val="000000"/>
                <w:sz w:val="18"/>
                <w:szCs w:val="18"/>
                <w:lang w:eastAsia="sk-SK"/>
              </w:rPr>
              <w:t>Zdroj: MF SR, EK</w:t>
            </w:r>
          </w:p>
        </w:tc>
      </w:tr>
    </w:tbl>
    <w:p w14:paraId="3071AAFE" w14:textId="77777777" w:rsidR="001C1318" w:rsidRPr="00A32E02" w:rsidRDefault="001C1318" w:rsidP="00A32E02"/>
    <w:p w14:paraId="3C706C9F" w14:textId="77777777" w:rsidR="001C1318" w:rsidRDefault="001C1318">
      <w:pPr>
        <w:spacing w:after="160" w:line="259" w:lineRule="auto"/>
        <w:jc w:val="left"/>
        <w:rPr>
          <w:rFonts w:eastAsiaTheme="majorEastAsia" w:cstheme="majorBidi"/>
          <w:b/>
          <w:sz w:val="26"/>
          <w:szCs w:val="32"/>
        </w:rPr>
      </w:pPr>
      <w:bookmarkStart w:id="17" w:name="_Toc6415634"/>
      <w:r>
        <w:br w:type="page"/>
      </w:r>
    </w:p>
    <w:p w14:paraId="1C9FB002" w14:textId="1AEE20E3" w:rsidR="005F5B88" w:rsidRDefault="005F5B88" w:rsidP="00387B36">
      <w:pPr>
        <w:pStyle w:val="Nadpis1"/>
        <w:ind w:left="426"/>
      </w:pPr>
      <w:bookmarkStart w:id="18" w:name="_Toc164846930"/>
      <w:r w:rsidRPr="00344297">
        <w:lastRenderedPageBreak/>
        <w:t>Hospodárenie verejnej správy v metodike ESA 2010</w:t>
      </w:r>
      <w:bookmarkEnd w:id="17"/>
      <w:bookmarkEnd w:id="18"/>
    </w:p>
    <w:p w14:paraId="33C02B3C" w14:textId="2F91615B" w:rsidR="00CB3C45" w:rsidRDefault="00CB3C45" w:rsidP="00005A9B">
      <w:pPr>
        <w:pStyle w:val="Nadpis2"/>
      </w:pPr>
      <w:bookmarkStart w:id="19" w:name="_Toc164846931"/>
      <w:r w:rsidRPr="009669CD">
        <w:t xml:space="preserve">Zámery, ciele a opatrenia rozpočtovej politiky v </w:t>
      </w:r>
      <w:r w:rsidRPr="00005A9B">
        <w:t>roku</w:t>
      </w:r>
      <w:r w:rsidRPr="009669CD">
        <w:t xml:space="preserve"> </w:t>
      </w:r>
      <w:r>
        <w:t>202</w:t>
      </w:r>
      <w:r w:rsidR="0019388B">
        <w:t>3</w:t>
      </w:r>
      <w:bookmarkEnd w:id="19"/>
    </w:p>
    <w:p w14:paraId="1CBB8830" w14:textId="0933482D" w:rsidR="004C6700" w:rsidRPr="00512F20" w:rsidRDefault="004C6700" w:rsidP="004C6700">
      <w:pPr>
        <w:spacing w:line="240" w:lineRule="auto"/>
        <w:rPr>
          <w:sz w:val="24"/>
          <w:szCs w:val="24"/>
        </w:rPr>
      </w:pPr>
      <w:r w:rsidRPr="00AF5C06">
        <w:rPr>
          <w:sz w:val="24"/>
          <w:szCs w:val="24"/>
        </w:rPr>
        <w:t>Medzi hlavné priority vlády SR,</w:t>
      </w:r>
      <w:r w:rsidRPr="0068188F">
        <w:rPr>
          <w:sz w:val="24"/>
          <w:szCs w:val="24"/>
        </w:rPr>
        <w:t xml:space="preserve"> ku ktorým sa zaviazala vo svojom programovom vyhlásení, patril návrat ku zdravým verejným financiám pri rešpektovaní európskych aj národných rozpočtových pravidiel, s cieľom stabilizácie verejného dlhu v pomere k HDP a zlepšením ukazovateľa dlhodobej udržateľnosti verejných financií. Rozpočet verejnej správy na roky 2023 až 2025 však bol</w:t>
      </w:r>
      <w:r w:rsidRPr="00512F20">
        <w:rPr>
          <w:sz w:val="24"/>
          <w:szCs w:val="24"/>
        </w:rPr>
        <w:t xml:space="preserve"> pripravovaný v mimoriadne komplikovaných podmienkach kulminujúcej </w:t>
      </w:r>
      <w:proofErr w:type="spellStart"/>
      <w:r w:rsidRPr="00512F20">
        <w:rPr>
          <w:sz w:val="24"/>
          <w:szCs w:val="24"/>
        </w:rPr>
        <w:t>polykrízy</w:t>
      </w:r>
      <w:proofErr w:type="spellEnd"/>
      <w:r w:rsidRPr="00512F20">
        <w:rPr>
          <w:sz w:val="24"/>
          <w:szCs w:val="24"/>
        </w:rPr>
        <w:t>, v rámci ktorej ekonomika a obyvateľstvo museli čeliť kombinácii bezprecedentného rastu cien energií, vysokej inflácii a zároveň boli postihnutí rôznymi ďalšími dopadmi a nákladmi vojnového konfliktu na území Ukrajiny, a to navyše po dvoch rokoch ekonomicky poznačených stále ešte doznievajúcou pandémiou ochorenia COVID-19. Hlavným cieľom rozpočtu na rok 2023 preto bola čo najvýznamnejšia kompenzácia, resp. eliminácia negatívnych dopadov existujúcich kríz, a to hlavne vplyvov súvisiacich s energetickou krízou. Rozpočet preto obsahoval mimoriadn</w:t>
      </w:r>
      <w:r>
        <w:rPr>
          <w:sz w:val="24"/>
          <w:szCs w:val="24"/>
        </w:rPr>
        <w:t>e vysoký</w:t>
      </w:r>
      <w:r w:rsidRPr="00512F20">
        <w:rPr>
          <w:sz w:val="24"/>
          <w:szCs w:val="24"/>
        </w:rPr>
        <w:t xml:space="preserve"> objem výdavkov v rámci trvalých ako aj jednorazových opatrení, ktoré mali obyvateľstvu, firmám a verejným inštitúciám pomôcť vysporiadať sa s enormným nárastom cien energií. Zároveň s ohľadom na nárast zadlženia v dôsledku pandémie ochorenia COVID-19 bolo potrebné hľadať kompromis medzi potrebou mimoriadnych zdrojov a udržateľnou úrovňou deficitu. Vzhľadom na vyhliadky stagnujúcej ekonomiky plánovala vláda pre rok 2023 približne neutrálnu fiškálnu politiku, keď jej cieľom bolo udržanie úrovne štrukturálneho deficitu z predchádzajúcich rokov. Rozpočet na rok 2023 sa riadil aj usmerneniami Európskej komisie, ktorá nepožadovala aktívne ozdravenie verejných financií v roku 2023. </w:t>
      </w:r>
    </w:p>
    <w:p w14:paraId="61645D05" w14:textId="4B1A4742" w:rsidR="004C6700" w:rsidRPr="00512F20" w:rsidRDefault="004C6700" w:rsidP="004C6700">
      <w:pPr>
        <w:spacing w:line="240" w:lineRule="auto"/>
        <w:rPr>
          <w:sz w:val="24"/>
          <w:szCs w:val="24"/>
        </w:rPr>
      </w:pPr>
      <w:r w:rsidRPr="00512F20">
        <w:rPr>
          <w:sz w:val="24"/>
          <w:szCs w:val="24"/>
        </w:rPr>
        <w:t>Rozpočet verejnej správy na roky 2023 až 2025 vychádzal z aktuálnej prognózy makroekonomického vývoja a prognózy daňových a odvodových príjmov do roku 2025. Zároveň zohľadňoval aj aktuálny predpoklad vývoja rozpočtu verejnej správy v priebehu roku 2022.</w:t>
      </w:r>
    </w:p>
    <w:p w14:paraId="625182DF" w14:textId="5268FCCC" w:rsidR="004C6700" w:rsidRPr="00512F20" w:rsidRDefault="004C6700" w:rsidP="004C6700">
      <w:pPr>
        <w:spacing w:line="240" w:lineRule="auto"/>
        <w:rPr>
          <w:sz w:val="24"/>
          <w:szCs w:val="24"/>
        </w:rPr>
      </w:pPr>
      <w:r w:rsidRPr="003431AA">
        <w:rPr>
          <w:b/>
          <w:sz w:val="24"/>
          <w:szCs w:val="24"/>
        </w:rPr>
        <w:t>Rozpočet verejnej správy na roky 2023 až 2025 v kontexte prognózy oslabenia hospodárskeho rastu a</w:t>
      </w:r>
      <w:r w:rsidR="00DA486C">
        <w:rPr>
          <w:b/>
          <w:sz w:val="24"/>
          <w:szCs w:val="24"/>
        </w:rPr>
        <w:t xml:space="preserve"> </w:t>
      </w:r>
      <w:r w:rsidRPr="003431AA">
        <w:rPr>
          <w:b/>
          <w:sz w:val="24"/>
          <w:szCs w:val="24"/>
        </w:rPr>
        <w:t>prudkého rastu cien predpokladal deficitné hospodárenie na celom trojročnom horizonte. Hlavný rozpočtový cieľ vlády SR v rámci rozpočtu verejnej správy na roky 2023 až 2025 bol schválený v podobe deficitu verejných financií v roku 2023 vo</w:t>
      </w:r>
      <w:r>
        <w:rPr>
          <w:b/>
          <w:sz w:val="24"/>
          <w:szCs w:val="24"/>
        </w:rPr>
        <w:t> </w:t>
      </w:r>
      <w:r w:rsidRPr="003431AA">
        <w:rPr>
          <w:b/>
          <w:sz w:val="24"/>
          <w:szCs w:val="24"/>
        </w:rPr>
        <w:t>výške 6,44 % HDP.</w:t>
      </w:r>
      <w:r w:rsidRPr="00512F20">
        <w:rPr>
          <w:sz w:val="24"/>
          <w:szCs w:val="24"/>
        </w:rPr>
        <w:t xml:space="preserve"> Splnenie cieľov pre ďalšie roky si vyžadovalo prijatie konsolidačných opatrení, pričom do roku 2025 mali slovenské verejné financie na základe stanoveného cieľa deficitu klesnúť pod 3 % HDP. </w:t>
      </w:r>
    </w:p>
    <w:p w14:paraId="6C16A117" w14:textId="7F6E3C8B" w:rsidR="004C6700" w:rsidRPr="00512F20" w:rsidRDefault="004C6700" w:rsidP="004C6700">
      <w:pPr>
        <w:spacing w:line="240" w:lineRule="auto"/>
        <w:rPr>
          <w:sz w:val="24"/>
          <w:szCs w:val="24"/>
        </w:rPr>
      </w:pPr>
      <w:r w:rsidRPr="00512F20">
        <w:rPr>
          <w:sz w:val="24"/>
          <w:szCs w:val="24"/>
        </w:rPr>
        <w:t>Rozpočet verejnej správy na roky 2023 až 2025 bol vypracovaný v metodike ESA 2010 a</w:t>
      </w:r>
      <w:r>
        <w:rPr>
          <w:sz w:val="24"/>
          <w:szCs w:val="24"/>
        </w:rPr>
        <w:t> </w:t>
      </w:r>
      <w:r w:rsidRPr="00512F20">
        <w:rPr>
          <w:sz w:val="24"/>
          <w:szCs w:val="24"/>
        </w:rPr>
        <w:t>vo</w:t>
      </w:r>
      <w:r>
        <w:rPr>
          <w:sz w:val="24"/>
          <w:szCs w:val="24"/>
        </w:rPr>
        <w:t> </w:t>
      </w:r>
      <w:r w:rsidRPr="00512F20">
        <w:rPr>
          <w:sz w:val="24"/>
          <w:szCs w:val="24"/>
        </w:rPr>
        <w:t>viacerých aspektoch bol zostavený s ohľadom na programové vyhlásenie</w:t>
      </w:r>
      <w:r w:rsidR="00A14E4C">
        <w:rPr>
          <w:sz w:val="24"/>
          <w:szCs w:val="24"/>
        </w:rPr>
        <w:t xml:space="preserve"> predchádzajúcej vlády</w:t>
      </w:r>
      <w:r w:rsidRPr="00512F20">
        <w:rPr>
          <w:sz w:val="24"/>
          <w:szCs w:val="24"/>
        </w:rPr>
        <w:t>, ktorým sa vláda SR okrem iného zaviazala k zníženiu podielu časti prí</w:t>
      </w:r>
      <w:r>
        <w:rPr>
          <w:sz w:val="24"/>
          <w:szCs w:val="24"/>
        </w:rPr>
        <w:t>jmov a výdavkov, ktoré neboli v </w:t>
      </w:r>
      <w:r w:rsidRPr="00512F20">
        <w:rPr>
          <w:sz w:val="24"/>
          <w:szCs w:val="24"/>
        </w:rPr>
        <w:t xml:space="preserve">minulých rokoch zahrnuté v rozpočte. Na príjmovej a výdavkovej strane boli už v predchádzajúcich rozpočtoch zapracované položky vychádzajúce z metodických úprav ESA 2010. K týmto položkám patrili </w:t>
      </w:r>
      <w:proofErr w:type="spellStart"/>
      <w:r w:rsidRPr="00512F20">
        <w:rPr>
          <w:sz w:val="24"/>
          <w:szCs w:val="24"/>
        </w:rPr>
        <w:t>inputy</w:t>
      </w:r>
      <w:proofErr w:type="spellEnd"/>
      <w:r w:rsidRPr="00512F20">
        <w:rPr>
          <w:sz w:val="24"/>
          <w:szCs w:val="24"/>
        </w:rPr>
        <w:t xml:space="preserve"> naturálnych miezd, </w:t>
      </w:r>
      <w:r w:rsidRPr="00AF5C06">
        <w:rPr>
          <w:sz w:val="24"/>
          <w:szCs w:val="24"/>
        </w:rPr>
        <w:t>FISIM</w:t>
      </w:r>
      <w:r w:rsidRPr="00AF5C06">
        <w:rPr>
          <w:sz w:val="24"/>
          <w:szCs w:val="24"/>
          <w:vertAlign w:val="superscript"/>
        </w:rPr>
        <w:footnoteReference w:id="4"/>
      </w:r>
      <w:r w:rsidRPr="00AF5C06">
        <w:rPr>
          <w:sz w:val="24"/>
          <w:szCs w:val="24"/>
        </w:rPr>
        <w:t xml:space="preserve">, </w:t>
      </w:r>
      <w:r>
        <w:rPr>
          <w:sz w:val="24"/>
          <w:szCs w:val="24"/>
        </w:rPr>
        <w:t>umeleckej produkcie na </w:t>
      </w:r>
      <w:r w:rsidRPr="00512F20">
        <w:rPr>
          <w:sz w:val="24"/>
          <w:szCs w:val="24"/>
        </w:rPr>
        <w:t>vlastné použitie a</w:t>
      </w:r>
      <w:r>
        <w:rPr>
          <w:sz w:val="24"/>
          <w:szCs w:val="24"/>
        </w:rPr>
        <w:t> </w:t>
      </w:r>
      <w:r w:rsidRPr="00512F20">
        <w:rPr>
          <w:sz w:val="24"/>
          <w:szCs w:val="24"/>
        </w:rPr>
        <w:t xml:space="preserve">výroby softvéru na vlastné použitie. </w:t>
      </w:r>
      <w:r w:rsidRPr="00A96DA9">
        <w:rPr>
          <w:sz w:val="24"/>
          <w:szCs w:val="24"/>
        </w:rPr>
        <w:t xml:space="preserve">Zároveň boli rozpočtované aj príjmy a výdavky spoločnosti Slovak </w:t>
      </w:r>
      <w:proofErr w:type="spellStart"/>
      <w:r w:rsidRPr="00A96DA9">
        <w:rPr>
          <w:sz w:val="24"/>
          <w:szCs w:val="24"/>
        </w:rPr>
        <w:t>Investment</w:t>
      </w:r>
      <w:proofErr w:type="spellEnd"/>
      <w:r w:rsidRPr="00A96DA9">
        <w:rPr>
          <w:sz w:val="24"/>
          <w:szCs w:val="24"/>
        </w:rPr>
        <w:t xml:space="preserve"> Holding, </w:t>
      </w:r>
      <w:proofErr w:type="spellStart"/>
      <w:r w:rsidRPr="00A96DA9">
        <w:rPr>
          <w:sz w:val="24"/>
          <w:szCs w:val="24"/>
        </w:rPr>
        <w:t>a.s</w:t>
      </w:r>
      <w:proofErr w:type="spellEnd"/>
      <w:r w:rsidRPr="00A96DA9">
        <w:rPr>
          <w:sz w:val="24"/>
          <w:szCs w:val="24"/>
        </w:rPr>
        <w:t>. V rámci rozpoč</w:t>
      </w:r>
      <w:r>
        <w:rPr>
          <w:sz w:val="24"/>
          <w:szCs w:val="24"/>
        </w:rPr>
        <w:t>tu verejnej správy na </w:t>
      </w:r>
      <w:r w:rsidRPr="00A96DA9">
        <w:rPr>
          <w:sz w:val="24"/>
          <w:szCs w:val="24"/>
        </w:rPr>
        <w:t>roky 2023 až 2025 sa uvažovalo s hodnotami na úrovni jarnej notifikácie skutočnosti za rok 2021. Rozpočet tiež počítal so zaradením systému podpory obnoviteľných zdrojov energie a vysoko účinnej kombinovanej výroby energie, tzv. zelenej energie, ktorá je v zmysle metodiky ESA 2010 presmerov</w:t>
      </w:r>
      <w:r w:rsidR="00716CF7">
        <w:rPr>
          <w:sz w:val="24"/>
          <w:szCs w:val="24"/>
        </w:rPr>
        <w:t>aná cez sektor verejnej správy.</w:t>
      </w:r>
    </w:p>
    <w:p w14:paraId="3B2EE7C4" w14:textId="43B969ED" w:rsidR="004C6700" w:rsidRPr="00512F20" w:rsidRDefault="004C6700" w:rsidP="004C6700">
      <w:pPr>
        <w:spacing w:line="240" w:lineRule="auto"/>
        <w:rPr>
          <w:sz w:val="24"/>
          <w:szCs w:val="24"/>
        </w:rPr>
      </w:pPr>
      <w:r w:rsidRPr="00512F20">
        <w:rPr>
          <w:sz w:val="24"/>
          <w:szCs w:val="24"/>
        </w:rPr>
        <w:lastRenderedPageBreak/>
        <w:t>Súčasťou rozpočtu verejnej správy na roky 2023 až 2025 bo</w:t>
      </w:r>
      <w:r>
        <w:rPr>
          <w:sz w:val="24"/>
          <w:szCs w:val="24"/>
        </w:rPr>
        <w:t>li, na strane príjmov ako aj na </w:t>
      </w:r>
      <w:r w:rsidRPr="00512F20">
        <w:rPr>
          <w:sz w:val="24"/>
          <w:szCs w:val="24"/>
        </w:rPr>
        <w:t>strane výdavkov, viaceré tituly vyplývajúce jednak z legislatívnych zmien a na druhej strane z prijatých opatrení a zámerov vlády SR. Mierny vplyv v rámci novej legislatívy na príjmovú stranu rozpočtu v rámci prognózy daňových a odvodových príjmov malo napríklad zavádzanie implementácie účtovného štandardu IFRS týkajúceho sa poisťovníctva do národnej legislatívy či zavedenie odvodovo-odpočítateľnej položky na vybrané sezónne práce v poľnohospodárstve, cestovnom ruchu a potravinárstve. Do nedaňových príjmov boli zapracované aj očakávané príjmy na základe nariadení EÚ, ktorými sa dočasne zaviedol tzv. solidárny príspevok z nadmerného zisku spo</w:t>
      </w:r>
      <w:r w:rsidR="00351CAB">
        <w:rPr>
          <w:sz w:val="24"/>
          <w:szCs w:val="24"/>
        </w:rPr>
        <w:t>ločností vo vybraných sektoroch.</w:t>
      </w:r>
    </w:p>
    <w:p w14:paraId="117E2026" w14:textId="1019AD9C" w:rsidR="004C6700" w:rsidRDefault="004C6700" w:rsidP="004C6700">
      <w:pPr>
        <w:spacing w:line="240" w:lineRule="auto"/>
        <w:rPr>
          <w:sz w:val="24"/>
          <w:szCs w:val="24"/>
        </w:rPr>
      </w:pPr>
      <w:r w:rsidRPr="00512F20">
        <w:rPr>
          <w:sz w:val="24"/>
          <w:szCs w:val="24"/>
        </w:rPr>
        <w:t>Legislatívne</w:t>
      </w:r>
      <w:r w:rsidR="000840E0">
        <w:rPr>
          <w:sz w:val="24"/>
          <w:szCs w:val="24"/>
        </w:rPr>
        <w:t xml:space="preserve"> zmeny a priority prijaté vládami</w:t>
      </w:r>
      <w:r w:rsidRPr="00512F20">
        <w:rPr>
          <w:sz w:val="24"/>
          <w:szCs w:val="24"/>
        </w:rPr>
        <w:t xml:space="preserve"> SR sa odzrkadlili aj na strane výdavkov rozpočtu verejnej správy. V nadväznosti na dôsledky rastu cien energií a vysokej inflácie rozpočet obsahoval mimoriadny objem výdavkov na historický</w:t>
      </w:r>
      <w:r>
        <w:rPr>
          <w:sz w:val="24"/>
          <w:szCs w:val="24"/>
        </w:rPr>
        <w:t xml:space="preserve"> vysoký</w:t>
      </w:r>
      <w:r w:rsidRPr="00512F20">
        <w:rPr>
          <w:sz w:val="24"/>
          <w:szCs w:val="24"/>
        </w:rPr>
        <w:t xml:space="preserve"> rast platov učiteľov (v priebehu roka 2023 až o 23,2 %), iných štátnych zamestnancov (o 17,7 %), historický </w:t>
      </w:r>
      <w:r>
        <w:rPr>
          <w:sz w:val="24"/>
          <w:szCs w:val="24"/>
        </w:rPr>
        <w:t xml:space="preserve">vysoký </w:t>
      </w:r>
      <w:r w:rsidRPr="00512F20">
        <w:rPr>
          <w:sz w:val="24"/>
          <w:szCs w:val="24"/>
        </w:rPr>
        <w:t>nárast dôchodkov s valorizáciou 11,8 %, rodinný balík pre rodiny s deťmi, pričom reflektuje aj na</w:t>
      </w:r>
      <w:r w:rsidR="0097056E">
        <w:rPr>
          <w:sz w:val="24"/>
          <w:szCs w:val="24"/>
        </w:rPr>
        <w:t> </w:t>
      </w:r>
      <w:r w:rsidRPr="00512F20">
        <w:rPr>
          <w:sz w:val="24"/>
          <w:szCs w:val="24"/>
        </w:rPr>
        <w:t>významné zvýšenie platov zdravotníckych pracovníkov. Rozpočet obsahoval aj jednorazové zdroje na</w:t>
      </w:r>
      <w:r>
        <w:rPr>
          <w:sz w:val="24"/>
          <w:szCs w:val="24"/>
        </w:rPr>
        <w:t> </w:t>
      </w:r>
      <w:r w:rsidRPr="00512F20">
        <w:rPr>
          <w:sz w:val="24"/>
          <w:szCs w:val="24"/>
        </w:rPr>
        <w:t>kompenzačné opatrenia súvisiace s rastom cien energií v sume 3,4 mld. eur. Rozpočet verejnej správy na roky 2023 až 2025 zahŕňal väčšie mn</w:t>
      </w:r>
      <w:r>
        <w:rPr>
          <w:sz w:val="24"/>
          <w:szCs w:val="24"/>
        </w:rPr>
        <w:t>ožstvo prostriedkov určených na </w:t>
      </w:r>
      <w:r w:rsidRPr="00512F20">
        <w:rPr>
          <w:sz w:val="24"/>
          <w:szCs w:val="24"/>
        </w:rPr>
        <w:t>investície, a to hlavne z dôvodu zapracovania prostriedkov Plánu obnovy a odolnosti a </w:t>
      </w:r>
      <w:r w:rsidRPr="00DC3BFA">
        <w:rPr>
          <w:sz w:val="24"/>
          <w:szCs w:val="24"/>
        </w:rPr>
        <w:t>dočerpávania európskych fondov v rámci programov 3. programového obdobia 2014-2020.</w:t>
      </w:r>
      <w:r w:rsidRPr="00512F20">
        <w:rPr>
          <w:sz w:val="24"/>
          <w:szCs w:val="24"/>
        </w:rPr>
        <w:t xml:space="preserve"> Pokračovalo sa </w:t>
      </w:r>
      <w:r w:rsidR="000840E0">
        <w:rPr>
          <w:sz w:val="24"/>
          <w:szCs w:val="24"/>
        </w:rPr>
        <w:t>v zlepšovaní plánovania a zvyšovaní</w:t>
      </w:r>
      <w:r w:rsidRPr="00512F20">
        <w:rPr>
          <w:sz w:val="24"/>
          <w:szCs w:val="24"/>
        </w:rPr>
        <w:t xml:space="preserve"> spoločenskej návratnosti projektov. </w:t>
      </w:r>
      <w:r w:rsidR="000840E0">
        <w:rPr>
          <w:sz w:val="24"/>
          <w:szCs w:val="24"/>
        </w:rPr>
        <w:t xml:space="preserve">Hlavný dôraz sa kládol na </w:t>
      </w:r>
      <w:r w:rsidRPr="00512F20">
        <w:rPr>
          <w:sz w:val="24"/>
          <w:szCs w:val="24"/>
        </w:rPr>
        <w:t>ekonomické hodnotenia projektov pred ich realizáciou, nastavenie priorít a investičných plánov rezortov a zaraďovanie pripravených a návratných projektov do rozpočtu verejnej správy. Rozpočet významne podporoval financovanie sociálnej oblasti, v rámci ktorej sa okrem výdavkov na</w:t>
      </w:r>
      <w:r>
        <w:rPr>
          <w:sz w:val="24"/>
          <w:szCs w:val="24"/>
        </w:rPr>
        <w:t> </w:t>
      </w:r>
      <w:r w:rsidRPr="00512F20">
        <w:rPr>
          <w:sz w:val="24"/>
          <w:szCs w:val="24"/>
        </w:rPr>
        <w:t xml:space="preserve">dôchodky zvýšili aj výdavky na sociálnu inklúziu, kde medzi najvýznamnejšie opatrenia </w:t>
      </w:r>
      <w:r w:rsidRPr="007A3069">
        <w:rPr>
          <w:sz w:val="24"/>
          <w:szCs w:val="24"/>
        </w:rPr>
        <w:t xml:space="preserve">patrilo zvýšenie prídavku na dieťa na úroveň </w:t>
      </w:r>
      <w:r>
        <w:rPr>
          <w:sz w:val="24"/>
          <w:szCs w:val="24"/>
        </w:rPr>
        <w:t>60</w:t>
      </w:r>
      <w:r w:rsidRPr="007A3069">
        <w:rPr>
          <w:sz w:val="24"/>
          <w:szCs w:val="24"/>
        </w:rPr>
        <w:t xml:space="preserve"> eur. V oblasti vzdelávania sa okrem zlepšenia odmeňovania zamestnancov v školstve navýšili aj normatívne finančné prostriedky na pokrytie nárastu</w:t>
      </w:r>
      <w:r w:rsidRPr="00512F20">
        <w:rPr>
          <w:sz w:val="24"/>
          <w:szCs w:val="24"/>
        </w:rPr>
        <w:t xml:space="preserve"> počtu žiakov a zvýšených nákladov na prevádzku, došlo aj k nárastu podpory vedy a techniky. V oblasti zdravotníctva rástli výdavky na ústavnú zdravotnú starostlivosť, všeobecnú a špecializovanú ambulantnú starostlivosť, ako aj na zdravotnú záchrannú službu a kúpeľnú zdravotnú starostlivosť. V oblasti dopravy rozpočet smeroval na investície do dopravnej infraštruktúry, železničnej dopravy či do údržby a veľkoplošnej opravy ciest I. triedy. V oblasti životného prostredia finančné prostriedky smerovali na projekty budovania a rekonštrukcie infraštruktúry vodného hospodárstva, na nákladovo-efektívnu podporu dekarbonizácie priemyslu, na projekty v oblasti podpory výroby energie z obnoviteľných zdrojov a na zvýšenie energetickej efektívnosti v podnikoch a verejných budovách. </w:t>
      </w:r>
    </w:p>
    <w:p w14:paraId="4425E07C" w14:textId="249F6FF2" w:rsidR="008A3610" w:rsidRDefault="008A3610">
      <w:pPr>
        <w:spacing w:after="160" w:line="259" w:lineRule="auto"/>
        <w:jc w:val="left"/>
        <w:rPr>
          <w:sz w:val="24"/>
          <w:szCs w:val="24"/>
        </w:rPr>
      </w:pPr>
      <w:r>
        <w:rPr>
          <w:sz w:val="24"/>
          <w:szCs w:val="24"/>
        </w:rPr>
        <w:br w:type="page"/>
      </w:r>
    </w:p>
    <w:p w14:paraId="0DCF274C" w14:textId="410C2F4D" w:rsidR="003A0696" w:rsidRDefault="003A0696" w:rsidP="003A0696">
      <w:pPr>
        <w:pStyle w:val="Nadpis2"/>
        <w:spacing w:before="240"/>
      </w:pPr>
      <w:bookmarkStart w:id="20" w:name="_Toc6415635"/>
      <w:bookmarkStart w:id="21" w:name="_Toc164846932"/>
      <w:bookmarkStart w:id="22" w:name="_Toc6415640"/>
      <w:r>
        <w:lastRenderedPageBreak/>
        <w:t>Saldo verejnej správy</w:t>
      </w:r>
      <w:bookmarkEnd w:id="20"/>
      <w:bookmarkEnd w:id="21"/>
    </w:p>
    <w:p w14:paraId="355D2AE6" w14:textId="77777777" w:rsidR="004C6700" w:rsidRPr="00FC6A62" w:rsidRDefault="004C6700" w:rsidP="004C6700">
      <w:pPr>
        <w:spacing w:after="0" w:line="240" w:lineRule="auto"/>
        <w:rPr>
          <w:sz w:val="24"/>
          <w:szCs w:val="24"/>
        </w:rPr>
      </w:pPr>
      <w:r w:rsidRPr="00FC6A62">
        <w:rPr>
          <w:sz w:val="24"/>
          <w:szCs w:val="24"/>
        </w:rPr>
        <w:t>Rozpočet verejnej správy na rok 2023, ktorý bol schválený vládou SR</w:t>
      </w:r>
      <w:r w:rsidRPr="00FC6A62">
        <w:rPr>
          <w:rStyle w:val="Odkaznapoznmkupodiarou"/>
          <w:sz w:val="24"/>
          <w:szCs w:val="24"/>
        </w:rPr>
        <w:footnoteReference w:id="5"/>
      </w:r>
      <w:r w:rsidRPr="00FC6A62">
        <w:rPr>
          <w:sz w:val="24"/>
          <w:szCs w:val="24"/>
        </w:rPr>
        <w:t xml:space="preserve"> a vzatý na vedomie v Národnej rade SR</w:t>
      </w:r>
      <w:r w:rsidRPr="00FC6A62">
        <w:rPr>
          <w:rStyle w:val="Odkaznapoznmkupodiarou"/>
          <w:sz w:val="24"/>
          <w:szCs w:val="24"/>
        </w:rPr>
        <w:footnoteReference w:id="6"/>
      </w:r>
      <w:r w:rsidRPr="00FC6A62">
        <w:rPr>
          <w:sz w:val="24"/>
          <w:szCs w:val="24"/>
        </w:rPr>
        <w:t xml:space="preserve">, predpokladal hospodárenie verejnej správy so schodkom 7 871 196 tis. eur (6,4 % </w:t>
      </w:r>
      <w:r>
        <w:rPr>
          <w:sz w:val="24"/>
          <w:szCs w:val="24"/>
        </w:rPr>
        <w:t xml:space="preserve">predpokladaného </w:t>
      </w:r>
      <w:r w:rsidRPr="00FC6A62">
        <w:rPr>
          <w:sz w:val="24"/>
          <w:szCs w:val="24"/>
        </w:rPr>
        <w:t>HDP</w:t>
      </w:r>
      <w:r w:rsidRPr="00FC6A62">
        <w:rPr>
          <w:b/>
          <w:sz w:val="24"/>
          <w:szCs w:val="24"/>
        </w:rPr>
        <w:t xml:space="preserve">). </w:t>
      </w:r>
    </w:p>
    <w:p w14:paraId="52438CB9" w14:textId="54EF20F0" w:rsidR="004C6700" w:rsidRDefault="004C6700" w:rsidP="004C6700">
      <w:pPr>
        <w:spacing w:line="240" w:lineRule="auto"/>
        <w:rPr>
          <w:sz w:val="24"/>
          <w:szCs w:val="24"/>
        </w:rPr>
      </w:pPr>
      <w:r w:rsidRPr="00F25543">
        <w:rPr>
          <w:b/>
          <w:sz w:val="24"/>
          <w:szCs w:val="24"/>
        </w:rPr>
        <w:t>Podľa prvého kola</w:t>
      </w:r>
      <w:r>
        <w:rPr>
          <w:b/>
          <w:sz w:val="24"/>
          <w:szCs w:val="24"/>
        </w:rPr>
        <w:t xml:space="preserve"> notifikácie výsledkov roku 2023</w:t>
      </w:r>
      <w:r w:rsidRPr="00F25543">
        <w:rPr>
          <w:b/>
          <w:sz w:val="24"/>
          <w:szCs w:val="24"/>
        </w:rPr>
        <w:t xml:space="preserve">, hospodárenie s verejnými financiami v metodike ESA 2010 dosiahlo schodok vo výške </w:t>
      </w:r>
      <w:r w:rsidRPr="003E3594">
        <w:rPr>
          <w:rFonts w:eastAsia="Times New Roman" w:cs="Times New Roman"/>
          <w:b/>
          <w:bCs/>
          <w:sz w:val="24"/>
          <w:szCs w:val="24"/>
          <w:lang w:eastAsia="sk-SK"/>
        </w:rPr>
        <w:t>6 009 813</w:t>
      </w:r>
      <w:r w:rsidRPr="003E3594">
        <w:rPr>
          <w:b/>
          <w:sz w:val="24"/>
          <w:szCs w:val="24"/>
        </w:rPr>
        <w:t> tis. eur (4,9 % HDP)</w:t>
      </w:r>
      <w:r w:rsidRPr="003E3594">
        <w:rPr>
          <w:sz w:val="24"/>
          <w:szCs w:val="24"/>
        </w:rPr>
        <w:t>.</w:t>
      </w:r>
    </w:p>
    <w:tbl>
      <w:tblPr>
        <w:tblW w:w="8789" w:type="dxa"/>
        <w:tblCellMar>
          <w:left w:w="70" w:type="dxa"/>
          <w:right w:w="70" w:type="dxa"/>
        </w:tblCellMar>
        <w:tblLook w:val="04A0" w:firstRow="1" w:lastRow="0" w:firstColumn="1" w:lastColumn="0" w:noHBand="0" w:noVBand="1"/>
      </w:tblPr>
      <w:tblGrid>
        <w:gridCol w:w="3438"/>
        <w:gridCol w:w="1095"/>
        <w:gridCol w:w="1095"/>
        <w:gridCol w:w="1095"/>
        <w:gridCol w:w="1095"/>
        <w:gridCol w:w="971"/>
      </w:tblGrid>
      <w:tr w:rsidR="00A34FE2" w:rsidRPr="00A34FE2" w14:paraId="57A5E8E1" w14:textId="77777777" w:rsidTr="00A34FE2">
        <w:trPr>
          <w:trHeight w:val="300"/>
        </w:trPr>
        <w:tc>
          <w:tcPr>
            <w:tcW w:w="7818" w:type="dxa"/>
            <w:gridSpan w:val="5"/>
            <w:tcBorders>
              <w:top w:val="nil"/>
              <w:left w:val="nil"/>
              <w:bottom w:val="nil"/>
              <w:right w:val="nil"/>
            </w:tcBorders>
            <w:shd w:val="clear" w:color="auto" w:fill="auto"/>
            <w:noWrap/>
            <w:vAlign w:val="bottom"/>
            <w:hideMark/>
          </w:tcPr>
          <w:p w14:paraId="54256AD2" w14:textId="77777777" w:rsidR="00A34FE2" w:rsidRPr="00A34FE2" w:rsidRDefault="00A34FE2" w:rsidP="00E71244">
            <w:pPr>
              <w:spacing w:after="0" w:line="240" w:lineRule="auto"/>
              <w:jc w:val="left"/>
              <w:rPr>
                <w:rFonts w:eastAsia="Times New Roman" w:cs="Times New Roman"/>
                <w:b/>
                <w:bCs/>
                <w:color w:val="5B9BD5"/>
                <w:sz w:val="20"/>
                <w:szCs w:val="20"/>
                <w:lang w:eastAsia="sk-SK"/>
              </w:rPr>
            </w:pPr>
            <w:r w:rsidRPr="00A34FE2">
              <w:rPr>
                <w:rFonts w:eastAsia="Times New Roman" w:cs="Times New Roman"/>
                <w:b/>
                <w:bCs/>
                <w:color w:val="5B9BD5"/>
                <w:sz w:val="20"/>
                <w:szCs w:val="20"/>
                <w:lang w:eastAsia="sk-SK"/>
              </w:rPr>
              <w:t>Tabuľka 6 - Konsolidované príjmy a výdavky verejnej správy v metodike ESA 2010</w:t>
            </w:r>
          </w:p>
        </w:tc>
        <w:tc>
          <w:tcPr>
            <w:tcW w:w="971" w:type="dxa"/>
            <w:tcBorders>
              <w:top w:val="nil"/>
              <w:left w:val="nil"/>
              <w:bottom w:val="nil"/>
              <w:right w:val="nil"/>
            </w:tcBorders>
            <w:shd w:val="clear" w:color="auto" w:fill="auto"/>
            <w:noWrap/>
            <w:vAlign w:val="bottom"/>
            <w:hideMark/>
          </w:tcPr>
          <w:p w14:paraId="3A7FE5F6" w14:textId="77777777" w:rsidR="00A34FE2" w:rsidRPr="00A34FE2" w:rsidRDefault="00A34FE2" w:rsidP="00E71244">
            <w:pPr>
              <w:spacing w:after="0" w:line="240" w:lineRule="auto"/>
              <w:jc w:val="left"/>
              <w:rPr>
                <w:rFonts w:eastAsia="Times New Roman" w:cs="Times New Roman"/>
                <w:b/>
                <w:bCs/>
                <w:color w:val="5B9BD5"/>
                <w:sz w:val="20"/>
                <w:szCs w:val="20"/>
                <w:lang w:eastAsia="sk-SK"/>
              </w:rPr>
            </w:pPr>
          </w:p>
        </w:tc>
      </w:tr>
      <w:tr w:rsidR="00A34FE2" w:rsidRPr="00A34FE2" w14:paraId="7841A90F" w14:textId="77777777" w:rsidTr="00A34FE2">
        <w:trPr>
          <w:trHeight w:val="300"/>
        </w:trPr>
        <w:tc>
          <w:tcPr>
            <w:tcW w:w="3438" w:type="dxa"/>
            <w:vMerge w:val="restart"/>
            <w:tcBorders>
              <w:top w:val="single" w:sz="4" w:space="0" w:color="auto"/>
              <w:left w:val="nil"/>
              <w:bottom w:val="single" w:sz="4" w:space="0" w:color="000000"/>
              <w:right w:val="nil"/>
            </w:tcBorders>
            <w:shd w:val="clear" w:color="auto" w:fill="auto"/>
            <w:noWrap/>
            <w:vAlign w:val="center"/>
            <w:hideMark/>
          </w:tcPr>
          <w:p w14:paraId="12E3E9C4" w14:textId="77777777" w:rsidR="00A34FE2" w:rsidRPr="00A34FE2" w:rsidRDefault="00A34FE2" w:rsidP="00E71244">
            <w:pPr>
              <w:spacing w:after="0" w:line="240" w:lineRule="auto"/>
              <w:jc w:val="lef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v tis. eur</w:t>
            </w:r>
          </w:p>
        </w:tc>
        <w:tc>
          <w:tcPr>
            <w:tcW w:w="1095" w:type="dxa"/>
            <w:tcBorders>
              <w:top w:val="single" w:sz="4" w:space="0" w:color="auto"/>
              <w:left w:val="nil"/>
              <w:bottom w:val="nil"/>
              <w:right w:val="nil"/>
            </w:tcBorders>
            <w:shd w:val="clear" w:color="auto" w:fill="auto"/>
            <w:noWrap/>
            <w:vAlign w:val="bottom"/>
            <w:hideMark/>
          </w:tcPr>
          <w:p w14:paraId="4C8BB881" w14:textId="77777777" w:rsidR="00A34FE2" w:rsidRPr="00A34FE2" w:rsidRDefault="00A34FE2" w:rsidP="00E71244">
            <w:pPr>
              <w:spacing w:after="0" w:line="240" w:lineRule="auto"/>
              <w:jc w:val="center"/>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2021</w:t>
            </w:r>
          </w:p>
        </w:tc>
        <w:tc>
          <w:tcPr>
            <w:tcW w:w="1095" w:type="dxa"/>
            <w:tcBorders>
              <w:top w:val="single" w:sz="4" w:space="0" w:color="auto"/>
              <w:left w:val="nil"/>
              <w:bottom w:val="nil"/>
              <w:right w:val="nil"/>
            </w:tcBorders>
            <w:shd w:val="clear" w:color="auto" w:fill="auto"/>
            <w:noWrap/>
            <w:vAlign w:val="bottom"/>
            <w:hideMark/>
          </w:tcPr>
          <w:p w14:paraId="2731FE76" w14:textId="77777777" w:rsidR="00A34FE2" w:rsidRPr="00A34FE2" w:rsidRDefault="00A34FE2" w:rsidP="00E71244">
            <w:pPr>
              <w:spacing w:after="0" w:line="240" w:lineRule="auto"/>
              <w:jc w:val="center"/>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2022</w:t>
            </w:r>
          </w:p>
        </w:tc>
        <w:tc>
          <w:tcPr>
            <w:tcW w:w="1095" w:type="dxa"/>
            <w:tcBorders>
              <w:top w:val="single" w:sz="4" w:space="0" w:color="auto"/>
              <w:left w:val="nil"/>
              <w:bottom w:val="nil"/>
              <w:right w:val="nil"/>
            </w:tcBorders>
            <w:shd w:val="clear" w:color="auto" w:fill="auto"/>
            <w:noWrap/>
            <w:vAlign w:val="bottom"/>
            <w:hideMark/>
          </w:tcPr>
          <w:p w14:paraId="43FBC74A" w14:textId="77777777" w:rsidR="00A34FE2" w:rsidRPr="00A34FE2" w:rsidRDefault="00A34FE2" w:rsidP="00E71244">
            <w:pPr>
              <w:spacing w:after="0" w:line="240" w:lineRule="auto"/>
              <w:jc w:val="center"/>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2023 R</w:t>
            </w:r>
          </w:p>
        </w:tc>
        <w:tc>
          <w:tcPr>
            <w:tcW w:w="1095" w:type="dxa"/>
            <w:tcBorders>
              <w:top w:val="single" w:sz="4" w:space="0" w:color="auto"/>
              <w:left w:val="nil"/>
              <w:bottom w:val="nil"/>
              <w:right w:val="nil"/>
            </w:tcBorders>
            <w:shd w:val="clear" w:color="auto" w:fill="auto"/>
            <w:noWrap/>
            <w:vAlign w:val="bottom"/>
            <w:hideMark/>
          </w:tcPr>
          <w:p w14:paraId="2D19343B" w14:textId="77777777" w:rsidR="00A34FE2" w:rsidRPr="00A34FE2" w:rsidRDefault="00A34FE2" w:rsidP="00E71244">
            <w:pPr>
              <w:spacing w:after="0" w:line="240" w:lineRule="auto"/>
              <w:jc w:val="center"/>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2023 S</w:t>
            </w:r>
          </w:p>
        </w:tc>
        <w:tc>
          <w:tcPr>
            <w:tcW w:w="971" w:type="dxa"/>
            <w:tcBorders>
              <w:top w:val="single" w:sz="4" w:space="0" w:color="auto"/>
              <w:left w:val="nil"/>
              <w:bottom w:val="nil"/>
              <w:right w:val="nil"/>
            </w:tcBorders>
            <w:shd w:val="clear" w:color="auto" w:fill="auto"/>
            <w:noWrap/>
            <w:vAlign w:val="bottom"/>
            <w:hideMark/>
          </w:tcPr>
          <w:p w14:paraId="3AF586D0" w14:textId="77777777" w:rsidR="00A34FE2" w:rsidRPr="00A34FE2" w:rsidRDefault="00A34FE2" w:rsidP="00A34FE2">
            <w:pPr>
              <w:spacing w:after="0" w:line="240" w:lineRule="auto"/>
              <w:ind w:left="149"/>
              <w:jc w:val="center"/>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Rozdiel</w:t>
            </w:r>
          </w:p>
        </w:tc>
      </w:tr>
      <w:tr w:rsidR="00A34FE2" w:rsidRPr="00A34FE2" w14:paraId="2806C03B" w14:textId="77777777" w:rsidTr="00A34FE2">
        <w:trPr>
          <w:trHeight w:val="197"/>
        </w:trPr>
        <w:tc>
          <w:tcPr>
            <w:tcW w:w="3438" w:type="dxa"/>
            <w:vMerge/>
            <w:tcBorders>
              <w:top w:val="single" w:sz="4" w:space="0" w:color="auto"/>
              <w:left w:val="nil"/>
              <w:bottom w:val="single" w:sz="4" w:space="0" w:color="000000"/>
              <w:right w:val="nil"/>
            </w:tcBorders>
            <w:vAlign w:val="center"/>
            <w:hideMark/>
          </w:tcPr>
          <w:p w14:paraId="09FF99F1" w14:textId="77777777" w:rsidR="00A34FE2" w:rsidRPr="00A34FE2" w:rsidRDefault="00A34FE2" w:rsidP="00E71244">
            <w:pPr>
              <w:spacing w:after="0" w:line="240" w:lineRule="auto"/>
              <w:jc w:val="left"/>
              <w:rPr>
                <w:rFonts w:eastAsia="Times New Roman" w:cs="Times New Roman"/>
                <w:b/>
                <w:bCs/>
                <w:color w:val="000000"/>
                <w:sz w:val="18"/>
                <w:szCs w:val="18"/>
                <w:lang w:eastAsia="sk-SK"/>
              </w:rPr>
            </w:pPr>
          </w:p>
        </w:tc>
        <w:tc>
          <w:tcPr>
            <w:tcW w:w="1095" w:type="dxa"/>
            <w:tcBorders>
              <w:top w:val="nil"/>
              <w:left w:val="nil"/>
              <w:bottom w:val="single" w:sz="4" w:space="0" w:color="auto"/>
              <w:right w:val="nil"/>
            </w:tcBorders>
            <w:shd w:val="clear" w:color="auto" w:fill="auto"/>
            <w:noWrap/>
            <w:vAlign w:val="bottom"/>
            <w:hideMark/>
          </w:tcPr>
          <w:p w14:paraId="2DC15ED6" w14:textId="77777777" w:rsidR="00A34FE2" w:rsidRPr="00A34FE2" w:rsidRDefault="00A34FE2" w:rsidP="00E71244">
            <w:pPr>
              <w:spacing w:after="0" w:line="240" w:lineRule="auto"/>
              <w:jc w:val="center"/>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1</w:t>
            </w:r>
          </w:p>
        </w:tc>
        <w:tc>
          <w:tcPr>
            <w:tcW w:w="1095" w:type="dxa"/>
            <w:tcBorders>
              <w:top w:val="nil"/>
              <w:left w:val="nil"/>
              <w:bottom w:val="single" w:sz="4" w:space="0" w:color="auto"/>
              <w:right w:val="nil"/>
            </w:tcBorders>
            <w:shd w:val="clear" w:color="auto" w:fill="auto"/>
            <w:noWrap/>
            <w:vAlign w:val="bottom"/>
            <w:hideMark/>
          </w:tcPr>
          <w:p w14:paraId="6E5FF8A1" w14:textId="77777777" w:rsidR="00A34FE2" w:rsidRPr="00A34FE2" w:rsidRDefault="00A34FE2" w:rsidP="00E71244">
            <w:pPr>
              <w:spacing w:after="0" w:line="240" w:lineRule="auto"/>
              <w:jc w:val="center"/>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2</w:t>
            </w:r>
          </w:p>
        </w:tc>
        <w:tc>
          <w:tcPr>
            <w:tcW w:w="1095" w:type="dxa"/>
            <w:tcBorders>
              <w:top w:val="nil"/>
              <w:left w:val="nil"/>
              <w:bottom w:val="single" w:sz="4" w:space="0" w:color="auto"/>
              <w:right w:val="nil"/>
            </w:tcBorders>
            <w:shd w:val="clear" w:color="auto" w:fill="auto"/>
            <w:noWrap/>
            <w:vAlign w:val="bottom"/>
            <w:hideMark/>
          </w:tcPr>
          <w:p w14:paraId="72D21DDD" w14:textId="77777777" w:rsidR="00A34FE2" w:rsidRPr="00A34FE2" w:rsidRDefault="00A34FE2" w:rsidP="00E71244">
            <w:pPr>
              <w:spacing w:after="0" w:line="240" w:lineRule="auto"/>
              <w:jc w:val="center"/>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3</w:t>
            </w:r>
          </w:p>
        </w:tc>
        <w:tc>
          <w:tcPr>
            <w:tcW w:w="1095" w:type="dxa"/>
            <w:tcBorders>
              <w:top w:val="nil"/>
              <w:left w:val="nil"/>
              <w:bottom w:val="single" w:sz="4" w:space="0" w:color="auto"/>
              <w:right w:val="nil"/>
            </w:tcBorders>
            <w:shd w:val="clear" w:color="auto" w:fill="auto"/>
            <w:noWrap/>
            <w:vAlign w:val="bottom"/>
            <w:hideMark/>
          </w:tcPr>
          <w:p w14:paraId="01D09E5A" w14:textId="77777777" w:rsidR="00A34FE2" w:rsidRPr="00A34FE2" w:rsidRDefault="00A34FE2" w:rsidP="00E71244">
            <w:pPr>
              <w:spacing w:after="0" w:line="240" w:lineRule="auto"/>
              <w:jc w:val="center"/>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4</w:t>
            </w:r>
          </w:p>
        </w:tc>
        <w:tc>
          <w:tcPr>
            <w:tcW w:w="971" w:type="dxa"/>
            <w:tcBorders>
              <w:top w:val="nil"/>
              <w:left w:val="nil"/>
              <w:bottom w:val="single" w:sz="4" w:space="0" w:color="auto"/>
              <w:right w:val="nil"/>
            </w:tcBorders>
            <w:shd w:val="clear" w:color="auto" w:fill="auto"/>
            <w:noWrap/>
            <w:vAlign w:val="bottom"/>
            <w:hideMark/>
          </w:tcPr>
          <w:p w14:paraId="3B5787EF" w14:textId="77777777" w:rsidR="00A34FE2" w:rsidRPr="00A34FE2" w:rsidRDefault="00A34FE2" w:rsidP="00A34FE2">
            <w:pPr>
              <w:spacing w:after="0" w:line="240" w:lineRule="auto"/>
              <w:ind w:left="149"/>
              <w:jc w:val="center"/>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5=4-3</w:t>
            </w:r>
          </w:p>
        </w:tc>
      </w:tr>
      <w:tr w:rsidR="00A34FE2" w:rsidRPr="00A34FE2" w14:paraId="351137EE" w14:textId="77777777" w:rsidTr="00A34FE2">
        <w:trPr>
          <w:trHeight w:val="257"/>
        </w:trPr>
        <w:tc>
          <w:tcPr>
            <w:tcW w:w="3438" w:type="dxa"/>
            <w:tcBorders>
              <w:top w:val="nil"/>
              <w:left w:val="nil"/>
              <w:bottom w:val="nil"/>
              <w:right w:val="nil"/>
            </w:tcBorders>
            <w:shd w:val="clear" w:color="auto" w:fill="auto"/>
            <w:noWrap/>
            <w:vAlign w:val="center"/>
            <w:hideMark/>
          </w:tcPr>
          <w:p w14:paraId="26097133" w14:textId="77777777" w:rsidR="00A34FE2" w:rsidRPr="00A34FE2" w:rsidRDefault="00A34FE2" w:rsidP="00E71244">
            <w:pPr>
              <w:spacing w:after="0" w:line="240" w:lineRule="auto"/>
              <w:jc w:val="lef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 xml:space="preserve">ESA príjmy </w:t>
            </w:r>
          </w:p>
        </w:tc>
        <w:tc>
          <w:tcPr>
            <w:tcW w:w="1095" w:type="dxa"/>
            <w:tcBorders>
              <w:top w:val="nil"/>
              <w:left w:val="nil"/>
              <w:bottom w:val="nil"/>
              <w:right w:val="nil"/>
            </w:tcBorders>
            <w:shd w:val="clear" w:color="auto" w:fill="auto"/>
            <w:noWrap/>
            <w:vAlign w:val="bottom"/>
            <w:hideMark/>
          </w:tcPr>
          <w:p w14:paraId="53487C3B"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40 264 363</w:t>
            </w:r>
          </w:p>
        </w:tc>
        <w:tc>
          <w:tcPr>
            <w:tcW w:w="1095" w:type="dxa"/>
            <w:tcBorders>
              <w:top w:val="nil"/>
              <w:left w:val="nil"/>
              <w:bottom w:val="nil"/>
              <w:right w:val="nil"/>
            </w:tcBorders>
            <w:shd w:val="clear" w:color="auto" w:fill="auto"/>
            <w:noWrap/>
            <w:vAlign w:val="bottom"/>
            <w:hideMark/>
          </w:tcPr>
          <w:p w14:paraId="1ED2C0F2"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44 654 736</w:t>
            </w:r>
          </w:p>
        </w:tc>
        <w:tc>
          <w:tcPr>
            <w:tcW w:w="1095" w:type="dxa"/>
            <w:tcBorders>
              <w:top w:val="nil"/>
              <w:left w:val="nil"/>
              <w:bottom w:val="nil"/>
              <w:right w:val="nil"/>
            </w:tcBorders>
            <w:shd w:val="clear" w:color="auto" w:fill="auto"/>
            <w:noWrap/>
            <w:vAlign w:val="bottom"/>
            <w:hideMark/>
          </w:tcPr>
          <w:p w14:paraId="1640D1C4"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51 094 493</w:t>
            </w:r>
          </w:p>
        </w:tc>
        <w:tc>
          <w:tcPr>
            <w:tcW w:w="1095" w:type="dxa"/>
            <w:tcBorders>
              <w:top w:val="nil"/>
              <w:left w:val="nil"/>
              <w:bottom w:val="nil"/>
              <w:right w:val="nil"/>
            </w:tcBorders>
            <w:shd w:val="clear" w:color="auto" w:fill="auto"/>
            <w:noWrap/>
            <w:vAlign w:val="bottom"/>
            <w:hideMark/>
          </w:tcPr>
          <w:p w14:paraId="4FBC1B7A"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52 842 829</w:t>
            </w:r>
          </w:p>
        </w:tc>
        <w:tc>
          <w:tcPr>
            <w:tcW w:w="971" w:type="dxa"/>
            <w:tcBorders>
              <w:top w:val="nil"/>
              <w:left w:val="nil"/>
              <w:bottom w:val="nil"/>
              <w:right w:val="nil"/>
            </w:tcBorders>
            <w:shd w:val="clear" w:color="auto" w:fill="auto"/>
            <w:noWrap/>
            <w:vAlign w:val="bottom"/>
            <w:hideMark/>
          </w:tcPr>
          <w:p w14:paraId="7E76F7E6"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1 748 336</w:t>
            </w:r>
          </w:p>
        </w:tc>
      </w:tr>
      <w:tr w:rsidR="00A34FE2" w:rsidRPr="00A34FE2" w14:paraId="3E7E7FC1" w14:textId="77777777" w:rsidTr="00A34FE2">
        <w:trPr>
          <w:trHeight w:val="243"/>
        </w:trPr>
        <w:tc>
          <w:tcPr>
            <w:tcW w:w="3438" w:type="dxa"/>
            <w:tcBorders>
              <w:top w:val="nil"/>
              <w:left w:val="nil"/>
              <w:bottom w:val="single" w:sz="4" w:space="0" w:color="auto"/>
              <w:right w:val="nil"/>
            </w:tcBorders>
            <w:shd w:val="clear" w:color="auto" w:fill="auto"/>
            <w:noWrap/>
            <w:vAlign w:val="center"/>
            <w:hideMark/>
          </w:tcPr>
          <w:p w14:paraId="709B6539" w14:textId="77777777" w:rsidR="00A34FE2" w:rsidRPr="00A34FE2" w:rsidRDefault="00A34FE2" w:rsidP="00E71244">
            <w:pPr>
              <w:spacing w:after="0" w:line="240" w:lineRule="auto"/>
              <w:jc w:val="lef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v % HDP</w:t>
            </w:r>
          </w:p>
        </w:tc>
        <w:tc>
          <w:tcPr>
            <w:tcW w:w="1095" w:type="dxa"/>
            <w:tcBorders>
              <w:top w:val="nil"/>
              <w:left w:val="nil"/>
              <w:bottom w:val="single" w:sz="4" w:space="0" w:color="auto"/>
              <w:right w:val="nil"/>
            </w:tcBorders>
            <w:shd w:val="clear" w:color="auto" w:fill="auto"/>
            <w:noWrap/>
            <w:vAlign w:val="bottom"/>
            <w:hideMark/>
          </w:tcPr>
          <w:p w14:paraId="14872BA7"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40,2</w:t>
            </w:r>
          </w:p>
        </w:tc>
        <w:tc>
          <w:tcPr>
            <w:tcW w:w="1095" w:type="dxa"/>
            <w:tcBorders>
              <w:top w:val="nil"/>
              <w:left w:val="nil"/>
              <w:bottom w:val="single" w:sz="4" w:space="0" w:color="auto"/>
              <w:right w:val="nil"/>
            </w:tcBorders>
            <w:shd w:val="clear" w:color="auto" w:fill="auto"/>
            <w:noWrap/>
            <w:vAlign w:val="bottom"/>
            <w:hideMark/>
          </w:tcPr>
          <w:p w14:paraId="20A26788"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40,7</w:t>
            </w:r>
          </w:p>
        </w:tc>
        <w:tc>
          <w:tcPr>
            <w:tcW w:w="1095" w:type="dxa"/>
            <w:tcBorders>
              <w:top w:val="nil"/>
              <w:left w:val="nil"/>
              <w:bottom w:val="single" w:sz="4" w:space="0" w:color="auto"/>
              <w:right w:val="nil"/>
            </w:tcBorders>
            <w:shd w:val="clear" w:color="auto" w:fill="auto"/>
            <w:noWrap/>
            <w:vAlign w:val="bottom"/>
            <w:hideMark/>
          </w:tcPr>
          <w:p w14:paraId="116A9949"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41,8</w:t>
            </w:r>
          </w:p>
        </w:tc>
        <w:tc>
          <w:tcPr>
            <w:tcW w:w="1095" w:type="dxa"/>
            <w:tcBorders>
              <w:top w:val="nil"/>
              <w:left w:val="nil"/>
              <w:bottom w:val="single" w:sz="4" w:space="0" w:color="auto"/>
              <w:right w:val="nil"/>
            </w:tcBorders>
            <w:shd w:val="clear" w:color="auto" w:fill="auto"/>
            <w:noWrap/>
            <w:vAlign w:val="bottom"/>
            <w:hideMark/>
          </w:tcPr>
          <w:p w14:paraId="418746EF"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43,0</w:t>
            </w:r>
          </w:p>
        </w:tc>
        <w:tc>
          <w:tcPr>
            <w:tcW w:w="971" w:type="dxa"/>
            <w:tcBorders>
              <w:top w:val="nil"/>
              <w:left w:val="nil"/>
              <w:bottom w:val="single" w:sz="4" w:space="0" w:color="auto"/>
              <w:right w:val="nil"/>
            </w:tcBorders>
            <w:shd w:val="clear" w:color="auto" w:fill="auto"/>
            <w:noWrap/>
            <w:vAlign w:val="bottom"/>
            <w:hideMark/>
          </w:tcPr>
          <w:p w14:paraId="7DB90840"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1,3</w:t>
            </w:r>
          </w:p>
        </w:tc>
      </w:tr>
      <w:tr w:rsidR="00A34FE2" w:rsidRPr="00A34FE2" w14:paraId="78F8E1C4" w14:textId="77777777" w:rsidTr="00A34FE2">
        <w:trPr>
          <w:trHeight w:val="300"/>
        </w:trPr>
        <w:tc>
          <w:tcPr>
            <w:tcW w:w="3438" w:type="dxa"/>
            <w:tcBorders>
              <w:top w:val="nil"/>
              <w:left w:val="nil"/>
              <w:bottom w:val="nil"/>
              <w:right w:val="nil"/>
            </w:tcBorders>
            <w:shd w:val="clear" w:color="auto" w:fill="auto"/>
            <w:noWrap/>
            <w:vAlign w:val="center"/>
            <w:hideMark/>
          </w:tcPr>
          <w:p w14:paraId="15F7D65F" w14:textId="77777777" w:rsidR="00A34FE2" w:rsidRPr="00A34FE2" w:rsidRDefault="00A34FE2" w:rsidP="00E71244">
            <w:pPr>
              <w:spacing w:after="0" w:line="240" w:lineRule="auto"/>
              <w:jc w:val="left"/>
              <w:rPr>
                <w:rFonts w:eastAsia="Times New Roman" w:cs="Times New Roman"/>
                <w:color w:val="000000"/>
                <w:sz w:val="18"/>
                <w:szCs w:val="18"/>
                <w:lang w:eastAsia="sk-SK"/>
              </w:rPr>
            </w:pPr>
            <w:r w:rsidRPr="00A34FE2">
              <w:rPr>
                <w:rFonts w:eastAsia="Times New Roman" w:cs="Times New Roman"/>
                <w:color w:val="000000"/>
                <w:sz w:val="18"/>
                <w:szCs w:val="18"/>
                <w:lang w:eastAsia="sk-SK"/>
              </w:rPr>
              <w:t>Daňové príjmy</w:t>
            </w:r>
          </w:p>
        </w:tc>
        <w:tc>
          <w:tcPr>
            <w:tcW w:w="1095" w:type="dxa"/>
            <w:tcBorders>
              <w:top w:val="nil"/>
              <w:left w:val="nil"/>
              <w:bottom w:val="nil"/>
              <w:right w:val="nil"/>
            </w:tcBorders>
            <w:shd w:val="clear" w:color="auto" w:fill="auto"/>
            <w:noWrap/>
            <w:vAlign w:val="bottom"/>
            <w:hideMark/>
          </w:tcPr>
          <w:p w14:paraId="5FE7CA62"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19 884 148</w:t>
            </w:r>
          </w:p>
        </w:tc>
        <w:tc>
          <w:tcPr>
            <w:tcW w:w="1095" w:type="dxa"/>
            <w:tcBorders>
              <w:top w:val="nil"/>
              <w:left w:val="nil"/>
              <w:bottom w:val="nil"/>
              <w:right w:val="nil"/>
            </w:tcBorders>
            <w:shd w:val="clear" w:color="auto" w:fill="auto"/>
            <w:noWrap/>
            <w:vAlign w:val="bottom"/>
            <w:hideMark/>
          </w:tcPr>
          <w:p w14:paraId="5A4C0391"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22 082 977</w:t>
            </w:r>
          </w:p>
        </w:tc>
        <w:tc>
          <w:tcPr>
            <w:tcW w:w="1095" w:type="dxa"/>
            <w:tcBorders>
              <w:top w:val="nil"/>
              <w:left w:val="nil"/>
              <w:bottom w:val="nil"/>
              <w:right w:val="nil"/>
            </w:tcBorders>
            <w:shd w:val="clear" w:color="auto" w:fill="auto"/>
            <w:noWrap/>
            <w:vAlign w:val="bottom"/>
            <w:hideMark/>
          </w:tcPr>
          <w:p w14:paraId="3131B615"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23 893 690</w:t>
            </w:r>
          </w:p>
        </w:tc>
        <w:tc>
          <w:tcPr>
            <w:tcW w:w="1095" w:type="dxa"/>
            <w:tcBorders>
              <w:top w:val="nil"/>
              <w:left w:val="nil"/>
              <w:bottom w:val="nil"/>
              <w:right w:val="nil"/>
            </w:tcBorders>
            <w:shd w:val="clear" w:color="auto" w:fill="auto"/>
            <w:noWrap/>
            <w:vAlign w:val="bottom"/>
            <w:hideMark/>
          </w:tcPr>
          <w:p w14:paraId="5B230664"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24 653 510</w:t>
            </w:r>
          </w:p>
        </w:tc>
        <w:tc>
          <w:tcPr>
            <w:tcW w:w="971" w:type="dxa"/>
            <w:tcBorders>
              <w:top w:val="nil"/>
              <w:left w:val="nil"/>
              <w:bottom w:val="nil"/>
              <w:right w:val="nil"/>
            </w:tcBorders>
            <w:shd w:val="clear" w:color="auto" w:fill="auto"/>
            <w:noWrap/>
            <w:vAlign w:val="bottom"/>
            <w:hideMark/>
          </w:tcPr>
          <w:p w14:paraId="69B8FE19"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759 820</w:t>
            </w:r>
          </w:p>
        </w:tc>
      </w:tr>
      <w:tr w:rsidR="00A34FE2" w:rsidRPr="00A34FE2" w14:paraId="5CA980DD" w14:textId="77777777" w:rsidTr="00A34FE2">
        <w:trPr>
          <w:trHeight w:val="300"/>
        </w:trPr>
        <w:tc>
          <w:tcPr>
            <w:tcW w:w="3438" w:type="dxa"/>
            <w:tcBorders>
              <w:top w:val="nil"/>
              <w:left w:val="nil"/>
              <w:bottom w:val="nil"/>
              <w:right w:val="nil"/>
            </w:tcBorders>
            <w:shd w:val="clear" w:color="auto" w:fill="auto"/>
            <w:noWrap/>
            <w:vAlign w:val="center"/>
            <w:hideMark/>
          </w:tcPr>
          <w:p w14:paraId="7EFA107D" w14:textId="77777777" w:rsidR="00A34FE2" w:rsidRPr="00A34FE2" w:rsidRDefault="00A34FE2" w:rsidP="00E71244">
            <w:pPr>
              <w:spacing w:after="0" w:line="240" w:lineRule="auto"/>
              <w:jc w:val="left"/>
              <w:rPr>
                <w:rFonts w:eastAsia="Times New Roman" w:cs="Times New Roman"/>
                <w:color w:val="000000"/>
                <w:sz w:val="18"/>
                <w:szCs w:val="18"/>
                <w:lang w:eastAsia="sk-SK"/>
              </w:rPr>
            </w:pPr>
            <w:r w:rsidRPr="00A34FE2">
              <w:rPr>
                <w:rFonts w:eastAsia="Times New Roman" w:cs="Times New Roman"/>
                <w:color w:val="000000"/>
                <w:sz w:val="18"/>
                <w:szCs w:val="18"/>
                <w:lang w:eastAsia="sk-SK"/>
              </w:rPr>
              <w:t>Príspevky na sociálne zabezpečenie</w:t>
            </w:r>
          </w:p>
        </w:tc>
        <w:tc>
          <w:tcPr>
            <w:tcW w:w="1095" w:type="dxa"/>
            <w:tcBorders>
              <w:top w:val="nil"/>
              <w:left w:val="nil"/>
              <w:bottom w:val="nil"/>
              <w:right w:val="nil"/>
            </w:tcBorders>
            <w:shd w:val="clear" w:color="auto" w:fill="auto"/>
            <w:noWrap/>
            <w:vAlign w:val="bottom"/>
            <w:hideMark/>
          </w:tcPr>
          <w:p w14:paraId="5A578804"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15 634 922</w:t>
            </w:r>
          </w:p>
        </w:tc>
        <w:tc>
          <w:tcPr>
            <w:tcW w:w="1095" w:type="dxa"/>
            <w:tcBorders>
              <w:top w:val="nil"/>
              <w:left w:val="nil"/>
              <w:bottom w:val="nil"/>
              <w:right w:val="nil"/>
            </w:tcBorders>
            <w:shd w:val="clear" w:color="auto" w:fill="auto"/>
            <w:noWrap/>
            <w:vAlign w:val="bottom"/>
            <w:hideMark/>
          </w:tcPr>
          <w:p w14:paraId="6B09DDFD"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16 338 521</w:t>
            </w:r>
          </w:p>
        </w:tc>
        <w:tc>
          <w:tcPr>
            <w:tcW w:w="1095" w:type="dxa"/>
            <w:tcBorders>
              <w:top w:val="nil"/>
              <w:left w:val="nil"/>
              <w:bottom w:val="nil"/>
              <w:right w:val="nil"/>
            </w:tcBorders>
            <w:shd w:val="clear" w:color="auto" w:fill="auto"/>
            <w:noWrap/>
            <w:vAlign w:val="bottom"/>
            <w:hideMark/>
          </w:tcPr>
          <w:p w14:paraId="74961942"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18 424 157</w:t>
            </w:r>
          </w:p>
        </w:tc>
        <w:tc>
          <w:tcPr>
            <w:tcW w:w="1095" w:type="dxa"/>
            <w:tcBorders>
              <w:top w:val="nil"/>
              <w:left w:val="nil"/>
              <w:bottom w:val="nil"/>
              <w:right w:val="nil"/>
            </w:tcBorders>
            <w:shd w:val="clear" w:color="auto" w:fill="auto"/>
            <w:noWrap/>
            <w:vAlign w:val="bottom"/>
            <w:hideMark/>
          </w:tcPr>
          <w:p w14:paraId="3D53FDFA"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18 876 288</w:t>
            </w:r>
          </w:p>
        </w:tc>
        <w:tc>
          <w:tcPr>
            <w:tcW w:w="971" w:type="dxa"/>
            <w:tcBorders>
              <w:top w:val="nil"/>
              <w:left w:val="nil"/>
              <w:bottom w:val="nil"/>
              <w:right w:val="nil"/>
            </w:tcBorders>
            <w:shd w:val="clear" w:color="auto" w:fill="auto"/>
            <w:noWrap/>
            <w:vAlign w:val="bottom"/>
            <w:hideMark/>
          </w:tcPr>
          <w:p w14:paraId="5A43232E"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452 131</w:t>
            </w:r>
          </w:p>
        </w:tc>
      </w:tr>
      <w:tr w:rsidR="00A34FE2" w:rsidRPr="00A34FE2" w14:paraId="3D69284B" w14:textId="77777777" w:rsidTr="00A34FE2">
        <w:trPr>
          <w:trHeight w:val="300"/>
        </w:trPr>
        <w:tc>
          <w:tcPr>
            <w:tcW w:w="3438" w:type="dxa"/>
            <w:tcBorders>
              <w:top w:val="nil"/>
              <w:left w:val="nil"/>
              <w:bottom w:val="nil"/>
              <w:right w:val="nil"/>
            </w:tcBorders>
            <w:shd w:val="clear" w:color="auto" w:fill="auto"/>
            <w:noWrap/>
            <w:vAlign w:val="center"/>
            <w:hideMark/>
          </w:tcPr>
          <w:p w14:paraId="6DC1805D" w14:textId="77777777" w:rsidR="00A34FE2" w:rsidRPr="00A34FE2" w:rsidRDefault="00A34FE2" w:rsidP="00E71244">
            <w:pPr>
              <w:spacing w:after="0" w:line="240" w:lineRule="auto"/>
              <w:jc w:val="left"/>
              <w:rPr>
                <w:rFonts w:eastAsia="Times New Roman" w:cs="Times New Roman"/>
                <w:color w:val="000000"/>
                <w:sz w:val="18"/>
                <w:szCs w:val="18"/>
                <w:lang w:eastAsia="sk-SK"/>
              </w:rPr>
            </w:pPr>
            <w:r w:rsidRPr="00A34FE2">
              <w:rPr>
                <w:rFonts w:eastAsia="Times New Roman" w:cs="Times New Roman"/>
                <w:color w:val="000000"/>
                <w:sz w:val="18"/>
                <w:szCs w:val="18"/>
                <w:lang w:eastAsia="sk-SK"/>
              </w:rPr>
              <w:t>Nedaňové príjmy</w:t>
            </w:r>
          </w:p>
        </w:tc>
        <w:tc>
          <w:tcPr>
            <w:tcW w:w="1095" w:type="dxa"/>
            <w:tcBorders>
              <w:top w:val="nil"/>
              <w:left w:val="nil"/>
              <w:bottom w:val="nil"/>
              <w:right w:val="nil"/>
            </w:tcBorders>
            <w:shd w:val="clear" w:color="auto" w:fill="auto"/>
            <w:noWrap/>
            <w:vAlign w:val="bottom"/>
            <w:hideMark/>
          </w:tcPr>
          <w:p w14:paraId="33666712"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3 206 213</w:t>
            </w:r>
          </w:p>
        </w:tc>
        <w:tc>
          <w:tcPr>
            <w:tcW w:w="1095" w:type="dxa"/>
            <w:tcBorders>
              <w:top w:val="nil"/>
              <w:left w:val="nil"/>
              <w:bottom w:val="nil"/>
              <w:right w:val="nil"/>
            </w:tcBorders>
            <w:shd w:val="clear" w:color="auto" w:fill="auto"/>
            <w:noWrap/>
            <w:vAlign w:val="bottom"/>
            <w:hideMark/>
          </w:tcPr>
          <w:p w14:paraId="7A8CFDF8"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3 593 315</w:t>
            </w:r>
          </w:p>
        </w:tc>
        <w:tc>
          <w:tcPr>
            <w:tcW w:w="1095" w:type="dxa"/>
            <w:tcBorders>
              <w:top w:val="nil"/>
              <w:left w:val="nil"/>
              <w:bottom w:val="nil"/>
              <w:right w:val="nil"/>
            </w:tcBorders>
            <w:shd w:val="clear" w:color="auto" w:fill="auto"/>
            <w:noWrap/>
            <w:vAlign w:val="bottom"/>
            <w:hideMark/>
          </w:tcPr>
          <w:p w14:paraId="0DF80A88"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3 637 360</w:t>
            </w:r>
          </w:p>
        </w:tc>
        <w:tc>
          <w:tcPr>
            <w:tcW w:w="1095" w:type="dxa"/>
            <w:tcBorders>
              <w:top w:val="nil"/>
              <w:left w:val="nil"/>
              <w:bottom w:val="nil"/>
              <w:right w:val="nil"/>
            </w:tcBorders>
            <w:shd w:val="clear" w:color="auto" w:fill="auto"/>
            <w:noWrap/>
            <w:vAlign w:val="bottom"/>
            <w:hideMark/>
          </w:tcPr>
          <w:p w14:paraId="7FB8CB8F"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4 618 132</w:t>
            </w:r>
          </w:p>
        </w:tc>
        <w:tc>
          <w:tcPr>
            <w:tcW w:w="971" w:type="dxa"/>
            <w:tcBorders>
              <w:top w:val="nil"/>
              <w:left w:val="nil"/>
              <w:bottom w:val="nil"/>
              <w:right w:val="nil"/>
            </w:tcBorders>
            <w:shd w:val="clear" w:color="auto" w:fill="auto"/>
            <w:noWrap/>
            <w:vAlign w:val="bottom"/>
            <w:hideMark/>
          </w:tcPr>
          <w:p w14:paraId="6F662A14"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980 772</w:t>
            </w:r>
          </w:p>
        </w:tc>
      </w:tr>
      <w:tr w:rsidR="00A34FE2" w:rsidRPr="00A34FE2" w14:paraId="49485E64" w14:textId="77777777" w:rsidTr="00A34FE2">
        <w:trPr>
          <w:trHeight w:val="300"/>
        </w:trPr>
        <w:tc>
          <w:tcPr>
            <w:tcW w:w="3438" w:type="dxa"/>
            <w:tcBorders>
              <w:top w:val="nil"/>
              <w:left w:val="nil"/>
              <w:bottom w:val="nil"/>
              <w:right w:val="nil"/>
            </w:tcBorders>
            <w:shd w:val="clear" w:color="auto" w:fill="auto"/>
            <w:noWrap/>
            <w:vAlign w:val="center"/>
            <w:hideMark/>
          </w:tcPr>
          <w:p w14:paraId="063B95CC" w14:textId="77777777" w:rsidR="00A34FE2" w:rsidRPr="00A34FE2" w:rsidRDefault="00A34FE2" w:rsidP="00E71244">
            <w:pPr>
              <w:spacing w:after="0" w:line="240" w:lineRule="auto"/>
              <w:jc w:val="left"/>
              <w:rPr>
                <w:rFonts w:eastAsia="Times New Roman" w:cs="Times New Roman"/>
                <w:color w:val="000000"/>
                <w:sz w:val="18"/>
                <w:szCs w:val="18"/>
                <w:lang w:eastAsia="sk-SK"/>
              </w:rPr>
            </w:pPr>
            <w:r w:rsidRPr="00A34FE2">
              <w:rPr>
                <w:rFonts w:eastAsia="Times New Roman" w:cs="Times New Roman"/>
                <w:color w:val="000000"/>
                <w:sz w:val="18"/>
                <w:szCs w:val="18"/>
                <w:lang w:eastAsia="sk-SK"/>
              </w:rPr>
              <w:t>Granty a transfery</w:t>
            </w:r>
          </w:p>
        </w:tc>
        <w:tc>
          <w:tcPr>
            <w:tcW w:w="1095" w:type="dxa"/>
            <w:tcBorders>
              <w:top w:val="nil"/>
              <w:left w:val="nil"/>
              <w:bottom w:val="nil"/>
              <w:right w:val="nil"/>
            </w:tcBorders>
            <w:shd w:val="clear" w:color="auto" w:fill="auto"/>
            <w:noWrap/>
            <w:vAlign w:val="bottom"/>
            <w:hideMark/>
          </w:tcPr>
          <w:p w14:paraId="36EE70B4"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1 539 080</w:t>
            </w:r>
          </w:p>
        </w:tc>
        <w:tc>
          <w:tcPr>
            <w:tcW w:w="1095" w:type="dxa"/>
            <w:tcBorders>
              <w:top w:val="nil"/>
              <w:left w:val="nil"/>
              <w:bottom w:val="nil"/>
              <w:right w:val="nil"/>
            </w:tcBorders>
            <w:shd w:val="clear" w:color="auto" w:fill="auto"/>
            <w:noWrap/>
            <w:vAlign w:val="bottom"/>
            <w:hideMark/>
          </w:tcPr>
          <w:p w14:paraId="746668B4"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2 639 923</w:t>
            </w:r>
          </w:p>
        </w:tc>
        <w:tc>
          <w:tcPr>
            <w:tcW w:w="1095" w:type="dxa"/>
            <w:tcBorders>
              <w:top w:val="nil"/>
              <w:left w:val="nil"/>
              <w:bottom w:val="nil"/>
              <w:right w:val="nil"/>
            </w:tcBorders>
            <w:shd w:val="clear" w:color="auto" w:fill="auto"/>
            <w:noWrap/>
            <w:vAlign w:val="bottom"/>
            <w:hideMark/>
          </w:tcPr>
          <w:p w14:paraId="17CBADE4"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5 139 286</w:t>
            </w:r>
          </w:p>
        </w:tc>
        <w:tc>
          <w:tcPr>
            <w:tcW w:w="1095" w:type="dxa"/>
            <w:tcBorders>
              <w:top w:val="nil"/>
              <w:left w:val="nil"/>
              <w:bottom w:val="nil"/>
              <w:right w:val="nil"/>
            </w:tcBorders>
            <w:shd w:val="clear" w:color="auto" w:fill="auto"/>
            <w:noWrap/>
            <w:vAlign w:val="bottom"/>
            <w:hideMark/>
          </w:tcPr>
          <w:p w14:paraId="7BDAB7E6"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4 694 899</w:t>
            </w:r>
          </w:p>
        </w:tc>
        <w:tc>
          <w:tcPr>
            <w:tcW w:w="971" w:type="dxa"/>
            <w:tcBorders>
              <w:top w:val="nil"/>
              <w:left w:val="nil"/>
              <w:bottom w:val="nil"/>
              <w:right w:val="nil"/>
            </w:tcBorders>
            <w:shd w:val="clear" w:color="auto" w:fill="auto"/>
            <w:noWrap/>
            <w:vAlign w:val="bottom"/>
            <w:hideMark/>
          </w:tcPr>
          <w:p w14:paraId="10CDFBFA"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-444 387</w:t>
            </w:r>
          </w:p>
        </w:tc>
      </w:tr>
      <w:tr w:rsidR="00A34FE2" w:rsidRPr="00A34FE2" w14:paraId="7938BAED" w14:textId="77777777" w:rsidTr="00A34FE2">
        <w:trPr>
          <w:trHeight w:val="197"/>
        </w:trPr>
        <w:tc>
          <w:tcPr>
            <w:tcW w:w="3438" w:type="dxa"/>
            <w:tcBorders>
              <w:top w:val="single" w:sz="4" w:space="0" w:color="auto"/>
              <w:left w:val="nil"/>
              <w:bottom w:val="nil"/>
              <w:right w:val="nil"/>
            </w:tcBorders>
            <w:shd w:val="clear" w:color="auto" w:fill="auto"/>
            <w:noWrap/>
            <w:vAlign w:val="center"/>
            <w:hideMark/>
          </w:tcPr>
          <w:p w14:paraId="785A017C" w14:textId="77777777" w:rsidR="00A34FE2" w:rsidRPr="00A34FE2" w:rsidRDefault="00A34FE2" w:rsidP="00E71244">
            <w:pPr>
              <w:spacing w:after="0" w:line="240" w:lineRule="auto"/>
              <w:jc w:val="lef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ESA výdavky</w:t>
            </w:r>
          </w:p>
        </w:tc>
        <w:tc>
          <w:tcPr>
            <w:tcW w:w="1095" w:type="dxa"/>
            <w:tcBorders>
              <w:top w:val="single" w:sz="4" w:space="0" w:color="auto"/>
              <w:left w:val="nil"/>
              <w:bottom w:val="nil"/>
              <w:right w:val="nil"/>
            </w:tcBorders>
            <w:shd w:val="clear" w:color="auto" w:fill="auto"/>
            <w:noWrap/>
            <w:vAlign w:val="bottom"/>
            <w:hideMark/>
          </w:tcPr>
          <w:p w14:paraId="2FF7E61D"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45 459 037</w:t>
            </w:r>
          </w:p>
        </w:tc>
        <w:tc>
          <w:tcPr>
            <w:tcW w:w="1095" w:type="dxa"/>
            <w:tcBorders>
              <w:top w:val="single" w:sz="4" w:space="0" w:color="auto"/>
              <w:left w:val="nil"/>
              <w:bottom w:val="nil"/>
              <w:right w:val="nil"/>
            </w:tcBorders>
            <w:shd w:val="clear" w:color="auto" w:fill="auto"/>
            <w:noWrap/>
            <w:vAlign w:val="bottom"/>
            <w:hideMark/>
          </w:tcPr>
          <w:p w14:paraId="5443A7F2"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46 490 682</w:t>
            </w:r>
          </w:p>
        </w:tc>
        <w:tc>
          <w:tcPr>
            <w:tcW w:w="1095" w:type="dxa"/>
            <w:tcBorders>
              <w:top w:val="single" w:sz="4" w:space="0" w:color="auto"/>
              <w:left w:val="nil"/>
              <w:bottom w:val="nil"/>
              <w:right w:val="nil"/>
            </w:tcBorders>
            <w:shd w:val="clear" w:color="auto" w:fill="auto"/>
            <w:noWrap/>
            <w:vAlign w:val="bottom"/>
            <w:hideMark/>
          </w:tcPr>
          <w:p w14:paraId="428EDEB5"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58 965 689</w:t>
            </w:r>
          </w:p>
        </w:tc>
        <w:tc>
          <w:tcPr>
            <w:tcW w:w="1095" w:type="dxa"/>
            <w:tcBorders>
              <w:top w:val="single" w:sz="4" w:space="0" w:color="auto"/>
              <w:left w:val="nil"/>
              <w:bottom w:val="nil"/>
              <w:right w:val="nil"/>
            </w:tcBorders>
            <w:shd w:val="clear" w:color="auto" w:fill="auto"/>
            <w:noWrap/>
            <w:vAlign w:val="bottom"/>
            <w:hideMark/>
          </w:tcPr>
          <w:p w14:paraId="7E029FE4"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58 852 642</w:t>
            </w:r>
          </w:p>
        </w:tc>
        <w:tc>
          <w:tcPr>
            <w:tcW w:w="971" w:type="dxa"/>
            <w:tcBorders>
              <w:top w:val="single" w:sz="4" w:space="0" w:color="auto"/>
              <w:left w:val="nil"/>
              <w:bottom w:val="nil"/>
              <w:right w:val="nil"/>
            </w:tcBorders>
            <w:shd w:val="clear" w:color="auto" w:fill="auto"/>
            <w:noWrap/>
            <w:vAlign w:val="bottom"/>
            <w:hideMark/>
          </w:tcPr>
          <w:p w14:paraId="45BCDB60"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-113 047</w:t>
            </w:r>
          </w:p>
        </w:tc>
      </w:tr>
      <w:tr w:rsidR="00A34FE2" w:rsidRPr="00A34FE2" w14:paraId="600B9374" w14:textId="77777777" w:rsidTr="00A34FE2">
        <w:trPr>
          <w:trHeight w:val="183"/>
        </w:trPr>
        <w:tc>
          <w:tcPr>
            <w:tcW w:w="3438" w:type="dxa"/>
            <w:tcBorders>
              <w:top w:val="nil"/>
              <w:left w:val="nil"/>
              <w:bottom w:val="single" w:sz="4" w:space="0" w:color="auto"/>
              <w:right w:val="nil"/>
            </w:tcBorders>
            <w:shd w:val="clear" w:color="auto" w:fill="auto"/>
            <w:noWrap/>
            <w:vAlign w:val="center"/>
            <w:hideMark/>
          </w:tcPr>
          <w:p w14:paraId="10681A20" w14:textId="77777777" w:rsidR="00A34FE2" w:rsidRPr="00A34FE2" w:rsidRDefault="00A34FE2" w:rsidP="00E71244">
            <w:pPr>
              <w:spacing w:after="0" w:line="240" w:lineRule="auto"/>
              <w:jc w:val="lef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v % HDP</w:t>
            </w:r>
          </w:p>
        </w:tc>
        <w:tc>
          <w:tcPr>
            <w:tcW w:w="1095" w:type="dxa"/>
            <w:tcBorders>
              <w:top w:val="nil"/>
              <w:left w:val="nil"/>
              <w:bottom w:val="single" w:sz="4" w:space="0" w:color="auto"/>
              <w:right w:val="nil"/>
            </w:tcBorders>
            <w:shd w:val="clear" w:color="auto" w:fill="auto"/>
            <w:noWrap/>
            <w:vAlign w:val="bottom"/>
            <w:hideMark/>
          </w:tcPr>
          <w:p w14:paraId="04BEF334"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45,3</w:t>
            </w:r>
          </w:p>
        </w:tc>
        <w:tc>
          <w:tcPr>
            <w:tcW w:w="1095" w:type="dxa"/>
            <w:tcBorders>
              <w:top w:val="nil"/>
              <w:left w:val="nil"/>
              <w:bottom w:val="single" w:sz="4" w:space="0" w:color="auto"/>
              <w:right w:val="nil"/>
            </w:tcBorders>
            <w:shd w:val="clear" w:color="auto" w:fill="auto"/>
            <w:noWrap/>
            <w:vAlign w:val="bottom"/>
            <w:hideMark/>
          </w:tcPr>
          <w:p w14:paraId="2C84C07F"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42,4</w:t>
            </w:r>
          </w:p>
        </w:tc>
        <w:tc>
          <w:tcPr>
            <w:tcW w:w="1095" w:type="dxa"/>
            <w:tcBorders>
              <w:top w:val="nil"/>
              <w:left w:val="nil"/>
              <w:bottom w:val="single" w:sz="4" w:space="0" w:color="auto"/>
              <w:right w:val="nil"/>
            </w:tcBorders>
            <w:shd w:val="clear" w:color="auto" w:fill="auto"/>
            <w:noWrap/>
            <w:vAlign w:val="bottom"/>
            <w:hideMark/>
          </w:tcPr>
          <w:p w14:paraId="7BD9A139"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48,2</w:t>
            </w:r>
          </w:p>
        </w:tc>
        <w:tc>
          <w:tcPr>
            <w:tcW w:w="1095" w:type="dxa"/>
            <w:tcBorders>
              <w:top w:val="nil"/>
              <w:left w:val="nil"/>
              <w:bottom w:val="single" w:sz="4" w:space="0" w:color="auto"/>
              <w:right w:val="nil"/>
            </w:tcBorders>
            <w:shd w:val="clear" w:color="auto" w:fill="auto"/>
            <w:noWrap/>
            <w:vAlign w:val="bottom"/>
            <w:hideMark/>
          </w:tcPr>
          <w:p w14:paraId="670B06C9"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47,9</w:t>
            </w:r>
          </w:p>
        </w:tc>
        <w:tc>
          <w:tcPr>
            <w:tcW w:w="971" w:type="dxa"/>
            <w:tcBorders>
              <w:top w:val="nil"/>
              <w:left w:val="nil"/>
              <w:bottom w:val="single" w:sz="4" w:space="0" w:color="auto"/>
              <w:right w:val="nil"/>
            </w:tcBorders>
            <w:shd w:val="clear" w:color="auto" w:fill="auto"/>
            <w:noWrap/>
            <w:vAlign w:val="bottom"/>
            <w:hideMark/>
          </w:tcPr>
          <w:p w14:paraId="2D102942"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-0,3</w:t>
            </w:r>
          </w:p>
        </w:tc>
      </w:tr>
      <w:tr w:rsidR="00A34FE2" w:rsidRPr="00A34FE2" w14:paraId="18158E51" w14:textId="77777777" w:rsidTr="00A34FE2">
        <w:trPr>
          <w:trHeight w:val="300"/>
        </w:trPr>
        <w:tc>
          <w:tcPr>
            <w:tcW w:w="3438" w:type="dxa"/>
            <w:tcBorders>
              <w:top w:val="nil"/>
              <w:left w:val="nil"/>
              <w:bottom w:val="nil"/>
              <w:right w:val="nil"/>
            </w:tcBorders>
            <w:shd w:val="clear" w:color="auto" w:fill="auto"/>
            <w:noWrap/>
            <w:vAlign w:val="center"/>
            <w:hideMark/>
          </w:tcPr>
          <w:p w14:paraId="3724B81C" w14:textId="77777777" w:rsidR="00A34FE2" w:rsidRPr="00A34FE2" w:rsidRDefault="00A34FE2" w:rsidP="00E71244">
            <w:pPr>
              <w:spacing w:after="0" w:line="240" w:lineRule="auto"/>
              <w:jc w:val="left"/>
              <w:rPr>
                <w:rFonts w:eastAsia="Times New Roman" w:cs="Times New Roman"/>
                <w:color w:val="000000"/>
                <w:sz w:val="18"/>
                <w:szCs w:val="18"/>
                <w:lang w:eastAsia="sk-SK"/>
              </w:rPr>
            </w:pPr>
            <w:r w:rsidRPr="00A34FE2">
              <w:rPr>
                <w:rFonts w:eastAsia="Times New Roman" w:cs="Times New Roman"/>
                <w:color w:val="000000"/>
                <w:sz w:val="18"/>
                <w:szCs w:val="18"/>
                <w:lang w:eastAsia="sk-SK"/>
              </w:rPr>
              <w:t>Bežné výdavky</w:t>
            </w:r>
          </w:p>
        </w:tc>
        <w:tc>
          <w:tcPr>
            <w:tcW w:w="1095" w:type="dxa"/>
            <w:tcBorders>
              <w:top w:val="nil"/>
              <w:left w:val="nil"/>
              <w:bottom w:val="nil"/>
              <w:right w:val="nil"/>
            </w:tcBorders>
            <w:shd w:val="clear" w:color="auto" w:fill="auto"/>
            <w:noWrap/>
            <w:vAlign w:val="bottom"/>
            <w:hideMark/>
          </w:tcPr>
          <w:p w14:paraId="16B7E463"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41 852 121</w:t>
            </w:r>
          </w:p>
        </w:tc>
        <w:tc>
          <w:tcPr>
            <w:tcW w:w="1095" w:type="dxa"/>
            <w:tcBorders>
              <w:top w:val="nil"/>
              <w:left w:val="nil"/>
              <w:bottom w:val="nil"/>
              <w:right w:val="nil"/>
            </w:tcBorders>
            <w:shd w:val="clear" w:color="auto" w:fill="auto"/>
            <w:noWrap/>
            <w:vAlign w:val="bottom"/>
            <w:hideMark/>
          </w:tcPr>
          <w:p w14:paraId="27C1781E"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42 306 607</w:t>
            </w:r>
          </w:p>
        </w:tc>
        <w:tc>
          <w:tcPr>
            <w:tcW w:w="1095" w:type="dxa"/>
            <w:tcBorders>
              <w:top w:val="nil"/>
              <w:left w:val="nil"/>
              <w:bottom w:val="nil"/>
              <w:right w:val="nil"/>
            </w:tcBorders>
            <w:shd w:val="clear" w:color="auto" w:fill="auto"/>
            <w:noWrap/>
            <w:vAlign w:val="bottom"/>
            <w:hideMark/>
          </w:tcPr>
          <w:p w14:paraId="4429DBAF"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53 390 285</w:t>
            </w:r>
          </w:p>
        </w:tc>
        <w:tc>
          <w:tcPr>
            <w:tcW w:w="1095" w:type="dxa"/>
            <w:tcBorders>
              <w:top w:val="nil"/>
              <w:left w:val="nil"/>
              <w:bottom w:val="nil"/>
              <w:right w:val="nil"/>
            </w:tcBorders>
            <w:shd w:val="clear" w:color="auto" w:fill="auto"/>
            <w:noWrap/>
            <w:vAlign w:val="bottom"/>
            <w:hideMark/>
          </w:tcPr>
          <w:p w14:paraId="14DD98AD"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52 653 474</w:t>
            </w:r>
          </w:p>
        </w:tc>
        <w:tc>
          <w:tcPr>
            <w:tcW w:w="971" w:type="dxa"/>
            <w:tcBorders>
              <w:top w:val="nil"/>
              <w:left w:val="nil"/>
              <w:bottom w:val="nil"/>
              <w:right w:val="nil"/>
            </w:tcBorders>
            <w:shd w:val="clear" w:color="auto" w:fill="auto"/>
            <w:noWrap/>
            <w:vAlign w:val="bottom"/>
            <w:hideMark/>
          </w:tcPr>
          <w:p w14:paraId="1436DEFF"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-736 811</w:t>
            </w:r>
          </w:p>
        </w:tc>
      </w:tr>
      <w:tr w:rsidR="00A34FE2" w:rsidRPr="00A34FE2" w14:paraId="137C2686" w14:textId="77777777" w:rsidTr="00A34FE2">
        <w:trPr>
          <w:trHeight w:val="300"/>
        </w:trPr>
        <w:tc>
          <w:tcPr>
            <w:tcW w:w="3438" w:type="dxa"/>
            <w:tcBorders>
              <w:top w:val="nil"/>
              <w:left w:val="nil"/>
              <w:bottom w:val="nil"/>
              <w:right w:val="nil"/>
            </w:tcBorders>
            <w:shd w:val="clear" w:color="auto" w:fill="auto"/>
            <w:noWrap/>
            <w:vAlign w:val="center"/>
            <w:hideMark/>
          </w:tcPr>
          <w:p w14:paraId="0E017D50" w14:textId="77777777" w:rsidR="00A34FE2" w:rsidRPr="00A34FE2" w:rsidRDefault="00A34FE2" w:rsidP="00E71244">
            <w:pPr>
              <w:spacing w:after="0" w:line="240" w:lineRule="auto"/>
              <w:jc w:val="left"/>
              <w:rPr>
                <w:rFonts w:eastAsia="Times New Roman" w:cs="Times New Roman"/>
                <w:color w:val="000000"/>
                <w:sz w:val="18"/>
                <w:szCs w:val="18"/>
                <w:lang w:eastAsia="sk-SK"/>
              </w:rPr>
            </w:pPr>
            <w:r w:rsidRPr="00A34FE2">
              <w:rPr>
                <w:rFonts w:eastAsia="Times New Roman" w:cs="Times New Roman"/>
                <w:color w:val="000000"/>
                <w:sz w:val="18"/>
                <w:szCs w:val="18"/>
                <w:lang w:eastAsia="sk-SK"/>
              </w:rPr>
              <w:t>Kapitálové výdavky</w:t>
            </w:r>
          </w:p>
        </w:tc>
        <w:tc>
          <w:tcPr>
            <w:tcW w:w="1095" w:type="dxa"/>
            <w:tcBorders>
              <w:top w:val="nil"/>
              <w:left w:val="nil"/>
              <w:bottom w:val="nil"/>
              <w:right w:val="nil"/>
            </w:tcBorders>
            <w:shd w:val="clear" w:color="auto" w:fill="auto"/>
            <w:noWrap/>
            <w:vAlign w:val="bottom"/>
            <w:hideMark/>
          </w:tcPr>
          <w:p w14:paraId="6A312F44"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3 606 916</w:t>
            </w:r>
          </w:p>
        </w:tc>
        <w:tc>
          <w:tcPr>
            <w:tcW w:w="1095" w:type="dxa"/>
            <w:tcBorders>
              <w:top w:val="nil"/>
              <w:left w:val="nil"/>
              <w:bottom w:val="nil"/>
              <w:right w:val="nil"/>
            </w:tcBorders>
            <w:shd w:val="clear" w:color="auto" w:fill="auto"/>
            <w:noWrap/>
            <w:vAlign w:val="bottom"/>
            <w:hideMark/>
          </w:tcPr>
          <w:p w14:paraId="7BEF2F4C"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4 184 075</w:t>
            </w:r>
          </w:p>
        </w:tc>
        <w:tc>
          <w:tcPr>
            <w:tcW w:w="1095" w:type="dxa"/>
            <w:tcBorders>
              <w:top w:val="nil"/>
              <w:left w:val="nil"/>
              <w:bottom w:val="nil"/>
              <w:right w:val="nil"/>
            </w:tcBorders>
            <w:shd w:val="clear" w:color="auto" w:fill="auto"/>
            <w:noWrap/>
            <w:vAlign w:val="bottom"/>
            <w:hideMark/>
          </w:tcPr>
          <w:p w14:paraId="21F67085"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5 575 404</w:t>
            </w:r>
          </w:p>
        </w:tc>
        <w:tc>
          <w:tcPr>
            <w:tcW w:w="1095" w:type="dxa"/>
            <w:tcBorders>
              <w:top w:val="nil"/>
              <w:left w:val="nil"/>
              <w:bottom w:val="nil"/>
              <w:right w:val="nil"/>
            </w:tcBorders>
            <w:shd w:val="clear" w:color="auto" w:fill="auto"/>
            <w:noWrap/>
            <w:vAlign w:val="bottom"/>
            <w:hideMark/>
          </w:tcPr>
          <w:p w14:paraId="0647662D"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6 199 168</w:t>
            </w:r>
          </w:p>
        </w:tc>
        <w:tc>
          <w:tcPr>
            <w:tcW w:w="971" w:type="dxa"/>
            <w:tcBorders>
              <w:top w:val="nil"/>
              <w:left w:val="nil"/>
              <w:bottom w:val="nil"/>
              <w:right w:val="nil"/>
            </w:tcBorders>
            <w:shd w:val="clear" w:color="auto" w:fill="auto"/>
            <w:noWrap/>
            <w:vAlign w:val="bottom"/>
            <w:hideMark/>
          </w:tcPr>
          <w:p w14:paraId="7C27873D"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623 764</w:t>
            </w:r>
          </w:p>
        </w:tc>
      </w:tr>
      <w:tr w:rsidR="00A34FE2" w:rsidRPr="00A34FE2" w14:paraId="3B18CE43" w14:textId="77777777" w:rsidTr="00A34FE2">
        <w:trPr>
          <w:trHeight w:val="197"/>
        </w:trPr>
        <w:tc>
          <w:tcPr>
            <w:tcW w:w="3438" w:type="dxa"/>
            <w:tcBorders>
              <w:top w:val="single" w:sz="4" w:space="0" w:color="auto"/>
              <w:left w:val="nil"/>
              <w:bottom w:val="nil"/>
              <w:right w:val="nil"/>
            </w:tcBorders>
            <w:shd w:val="clear" w:color="auto" w:fill="auto"/>
            <w:vAlign w:val="center"/>
            <w:hideMark/>
          </w:tcPr>
          <w:p w14:paraId="1CDEA3CB" w14:textId="77777777" w:rsidR="00A34FE2" w:rsidRPr="00A34FE2" w:rsidRDefault="00A34FE2" w:rsidP="00E71244">
            <w:pPr>
              <w:spacing w:after="0" w:line="240" w:lineRule="auto"/>
              <w:jc w:val="lef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Čisté pôžičky poskytnuté (+) / prijaté (-)</w:t>
            </w:r>
          </w:p>
        </w:tc>
        <w:tc>
          <w:tcPr>
            <w:tcW w:w="1095" w:type="dxa"/>
            <w:tcBorders>
              <w:top w:val="single" w:sz="4" w:space="0" w:color="auto"/>
              <w:left w:val="nil"/>
              <w:bottom w:val="nil"/>
              <w:right w:val="nil"/>
            </w:tcBorders>
            <w:shd w:val="clear" w:color="auto" w:fill="auto"/>
            <w:noWrap/>
            <w:vAlign w:val="bottom"/>
            <w:hideMark/>
          </w:tcPr>
          <w:p w14:paraId="243E76AB"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-5 194 674</w:t>
            </w:r>
          </w:p>
        </w:tc>
        <w:tc>
          <w:tcPr>
            <w:tcW w:w="1095" w:type="dxa"/>
            <w:tcBorders>
              <w:top w:val="single" w:sz="4" w:space="0" w:color="auto"/>
              <w:left w:val="nil"/>
              <w:bottom w:val="nil"/>
              <w:right w:val="nil"/>
            </w:tcBorders>
            <w:shd w:val="clear" w:color="auto" w:fill="auto"/>
            <w:noWrap/>
            <w:vAlign w:val="bottom"/>
            <w:hideMark/>
          </w:tcPr>
          <w:p w14:paraId="0B5B4262"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-1 835 946</w:t>
            </w:r>
          </w:p>
        </w:tc>
        <w:tc>
          <w:tcPr>
            <w:tcW w:w="1095" w:type="dxa"/>
            <w:tcBorders>
              <w:top w:val="single" w:sz="4" w:space="0" w:color="auto"/>
              <w:left w:val="nil"/>
              <w:bottom w:val="nil"/>
              <w:right w:val="nil"/>
            </w:tcBorders>
            <w:shd w:val="clear" w:color="auto" w:fill="auto"/>
            <w:noWrap/>
            <w:vAlign w:val="bottom"/>
            <w:hideMark/>
          </w:tcPr>
          <w:p w14:paraId="470E6F49"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-7 871 196</w:t>
            </w:r>
          </w:p>
        </w:tc>
        <w:tc>
          <w:tcPr>
            <w:tcW w:w="1095" w:type="dxa"/>
            <w:tcBorders>
              <w:top w:val="single" w:sz="4" w:space="0" w:color="auto"/>
              <w:left w:val="nil"/>
              <w:bottom w:val="nil"/>
              <w:right w:val="nil"/>
            </w:tcBorders>
            <w:shd w:val="clear" w:color="auto" w:fill="auto"/>
            <w:noWrap/>
            <w:vAlign w:val="bottom"/>
            <w:hideMark/>
          </w:tcPr>
          <w:p w14:paraId="0FD01A84"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-6 009 813</w:t>
            </w:r>
          </w:p>
        </w:tc>
        <w:tc>
          <w:tcPr>
            <w:tcW w:w="971" w:type="dxa"/>
            <w:tcBorders>
              <w:top w:val="single" w:sz="4" w:space="0" w:color="auto"/>
              <w:left w:val="nil"/>
              <w:bottom w:val="nil"/>
              <w:right w:val="nil"/>
            </w:tcBorders>
            <w:shd w:val="clear" w:color="auto" w:fill="auto"/>
            <w:noWrap/>
            <w:vAlign w:val="bottom"/>
            <w:hideMark/>
          </w:tcPr>
          <w:p w14:paraId="3D95E902"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1 861 383</w:t>
            </w:r>
          </w:p>
        </w:tc>
      </w:tr>
      <w:tr w:rsidR="00A34FE2" w:rsidRPr="00A34FE2" w14:paraId="697EF088" w14:textId="77777777" w:rsidTr="00A34FE2">
        <w:trPr>
          <w:trHeight w:val="300"/>
        </w:trPr>
        <w:tc>
          <w:tcPr>
            <w:tcW w:w="3438" w:type="dxa"/>
            <w:tcBorders>
              <w:top w:val="nil"/>
              <w:left w:val="nil"/>
              <w:bottom w:val="single" w:sz="4" w:space="0" w:color="auto"/>
              <w:right w:val="nil"/>
            </w:tcBorders>
            <w:shd w:val="clear" w:color="auto" w:fill="auto"/>
            <w:noWrap/>
            <w:vAlign w:val="center"/>
            <w:hideMark/>
          </w:tcPr>
          <w:p w14:paraId="41ADC6B1" w14:textId="77777777" w:rsidR="00A34FE2" w:rsidRPr="00A34FE2" w:rsidRDefault="00A34FE2" w:rsidP="00E71244">
            <w:pPr>
              <w:spacing w:after="0" w:line="240" w:lineRule="auto"/>
              <w:jc w:val="lef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v % HDP</w:t>
            </w:r>
          </w:p>
        </w:tc>
        <w:tc>
          <w:tcPr>
            <w:tcW w:w="1095" w:type="dxa"/>
            <w:tcBorders>
              <w:top w:val="nil"/>
              <w:left w:val="nil"/>
              <w:bottom w:val="single" w:sz="4" w:space="0" w:color="auto"/>
              <w:right w:val="nil"/>
            </w:tcBorders>
            <w:shd w:val="clear" w:color="auto" w:fill="auto"/>
            <w:noWrap/>
            <w:vAlign w:val="bottom"/>
            <w:hideMark/>
          </w:tcPr>
          <w:p w14:paraId="42AC52C9"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-5,2</w:t>
            </w:r>
          </w:p>
        </w:tc>
        <w:tc>
          <w:tcPr>
            <w:tcW w:w="1095" w:type="dxa"/>
            <w:tcBorders>
              <w:top w:val="nil"/>
              <w:left w:val="nil"/>
              <w:bottom w:val="single" w:sz="4" w:space="0" w:color="auto"/>
              <w:right w:val="nil"/>
            </w:tcBorders>
            <w:shd w:val="clear" w:color="auto" w:fill="auto"/>
            <w:noWrap/>
            <w:vAlign w:val="bottom"/>
            <w:hideMark/>
          </w:tcPr>
          <w:p w14:paraId="67F0C4BB"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-1,7</w:t>
            </w:r>
          </w:p>
        </w:tc>
        <w:tc>
          <w:tcPr>
            <w:tcW w:w="1095" w:type="dxa"/>
            <w:tcBorders>
              <w:top w:val="nil"/>
              <w:left w:val="nil"/>
              <w:bottom w:val="single" w:sz="4" w:space="0" w:color="auto"/>
              <w:right w:val="nil"/>
            </w:tcBorders>
            <w:shd w:val="clear" w:color="auto" w:fill="auto"/>
            <w:noWrap/>
            <w:vAlign w:val="bottom"/>
            <w:hideMark/>
          </w:tcPr>
          <w:p w14:paraId="1AB8205D"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-6,4</w:t>
            </w:r>
          </w:p>
        </w:tc>
        <w:tc>
          <w:tcPr>
            <w:tcW w:w="1095" w:type="dxa"/>
            <w:tcBorders>
              <w:top w:val="nil"/>
              <w:left w:val="nil"/>
              <w:bottom w:val="single" w:sz="4" w:space="0" w:color="auto"/>
              <w:right w:val="nil"/>
            </w:tcBorders>
            <w:shd w:val="clear" w:color="auto" w:fill="auto"/>
            <w:noWrap/>
            <w:vAlign w:val="bottom"/>
            <w:hideMark/>
          </w:tcPr>
          <w:p w14:paraId="24BE4EE0"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-4,9</w:t>
            </w:r>
          </w:p>
        </w:tc>
        <w:tc>
          <w:tcPr>
            <w:tcW w:w="971" w:type="dxa"/>
            <w:tcBorders>
              <w:top w:val="nil"/>
              <w:left w:val="nil"/>
              <w:bottom w:val="single" w:sz="4" w:space="0" w:color="auto"/>
              <w:right w:val="nil"/>
            </w:tcBorders>
            <w:shd w:val="clear" w:color="auto" w:fill="auto"/>
            <w:noWrap/>
            <w:vAlign w:val="bottom"/>
            <w:hideMark/>
          </w:tcPr>
          <w:p w14:paraId="33E4BEF8" w14:textId="77777777" w:rsidR="00A34FE2" w:rsidRPr="00A34FE2" w:rsidRDefault="00A34FE2" w:rsidP="00E71244">
            <w:pPr>
              <w:spacing w:after="0" w:line="240" w:lineRule="auto"/>
              <w:jc w:val="right"/>
              <w:rPr>
                <w:rFonts w:eastAsia="Times New Roman" w:cs="Times New Roman"/>
                <w:b/>
                <w:bCs/>
                <w:color w:val="000000"/>
                <w:sz w:val="18"/>
                <w:szCs w:val="18"/>
                <w:lang w:eastAsia="sk-SK"/>
              </w:rPr>
            </w:pPr>
            <w:r w:rsidRPr="00A34FE2">
              <w:rPr>
                <w:rFonts w:eastAsia="Times New Roman" w:cs="Times New Roman"/>
                <w:b/>
                <w:bCs/>
                <w:color w:val="000000"/>
                <w:sz w:val="18"/>
                <w:szCs w:val="18"/>
                <w:lang w:eastAsia="sk-SK"/>
              </w:rPr>
              <w:t>1,5</w:t>
            </w:r>
          </w:p>
        </w:tc>
      </w:tr>
      <w:tr w:rsidR="00A34FE2" w:rsidRPr="00A34FE2" w14:paraId="4C9BBE83" w14:textId="77777777" w:rsidTr="00A34FE2">
        <w:trPr>
          <w:trHeight w:val="300"/>
        </w:trPr>
        <w:tc>
          <w:tcPr>
            <w:tcW w:w="3438" w:type="dxa"/>
            <w:tcBorders>
              <w:top w:val="single" w:sz="4" w:space="0" w:color="auto"/>
              <w:left w:val="nil"/>
              <w:bottom w:val="single" w:sz="4" w:space="0" w:color="auto"/>
              <w:right w:val="nil"/>
            </w:tcBorders>
            <w:shd w:val="clear" w:color="auto" w:fill="auto"/>
            <w:noWrap/>
            <w:vAlign w:val="bottom"/>
            <w:hideMark/>
          </w:tcPr>
          <w:p w14:paraId="45DE7356" w14:textId="77777777" w:rsidR="00A34FE2" w:rsidRPr="00A34FE2" w:rsidRDefault="00A34FE2" w:rsidP="00E71244">
            <w:pPr>
              <w:spacing w:after="0" w:line="240" w:lineRule="auto"/>
              <w:jc w:val="left"/>
              <w:rPr>
                <w:rFonts w:eastAsia="Times New Roman" w:cs="Times New Roman"/>
                <w:color w:val="000000"/>
                <w:sz w:val="18"/>
                <w:szCs w:val="18"/>
                <w:lang w:eastAsia="sk-SK"/>
              </w:rPr>
            </w:pPr>
            <w:r w:rsidRPr="00A34FE2">
              <w:rPr>
                <w:rFonts w:eastAsia="Times New Roman" w:cs="Times New Roman"/>
                <w:color w:val="000000"/>
                <w:sz w:val="18"/>
                <w:szCs w:val="18"/>
                <w:lang w:eastAsia="sk-SK"/>
              </w:rPr>
              <w:t xml:space="preserve">HDP v </w:t>
            </w:r>
            <w:proofErr w:type="spellStart"/>
            <w:r w:rsidRPr="00A34FE2">
              <w:rPr>
                <w:rFonts w:eastAsia="Times New Roman" w:cs="Times New Roman"/>
                <w:color w:val="000000"/>
                <w:sz w:val="18"/>
                <w:szCs w:val="18"/>
                <w:lang w:eastAsia="sk-SK"/>
              </w:rPr>
              <w:t>b.c</w:t>
            </w:r>
            <w:proofErr w:type="spellEnd"/>
            <w:r w:rsidRPr="00A34FE2">
              <w:rPr>
                <w:rFonts w:eastAsia="Times New Roman" w:cs="Times New Roman"/>
                <w:color w:val="000000"/>
                <w:sz w:val="18"/>
                <w:szCs w:val="18"/>
                <w:lang w:eastAsia="sk-SK"/>
              </w:rPr>
              <w:t>.</w:t>
            </w:r>
          </w:p>
        </w:tc>
        <w:tc>
          <w:tcPr>
            <w:tcW w:w="1095" w:type="dxa"/>
            <w:tcBorders>
              <w:top w:val="single" w:sz="4" w:space="0" w:color="auto"/>
              <w:left w:val="nil"/>
              <w:bottom w:val="single" w:sz="4" w:space="0" w:color="auto"/>
              <w:right w:val="nil"/>
            </w:tcBorders>
            <w:shd w:val="clear" w:color="auto" w:fill="auto"/>
            <w:noWrap/>
            <w:vAlign w:val="bottom"/>
            <w:hideMark/>
          </w:tcPr>
          <w:p w14:paraId="01FB9398" w14:textId="77777777" w:rsidR="00A34FE2" w:rsidRPr="00A34FE2" w:rsidRDefault="00A34FE2" w:rsidP="00E71244">
            <w:pPr>
              <w:spacing w:after="0" w:line="240" w:lineRule="auto"/>
              <w:jc w:val="right"/>
              <w:rPr>
                <w:rFonts w:eastAsia="Times New Roman" w:cs="Times New Roman"/>
                <w:sz w:val="18"/>
                <w:szCs w:val="18"/>
                <w:lang w:eastAsia="sk-SK"/>
              </w:rPr>
            </w:pPr>
            <w:r w:rsidRPr="00A34FE2">
              <w:rPr>
                <w:rFonts w:eastAsia="Times New Roman" w:cs="Times New Roman"/>
                <w:sz w:val="18"/>
                <w:szCs w:val="18"/>
                <w:lang w:eastAsia="sk-SK"/>
              </w:rPr>
              <w:t>100 244 547</w:t>
            </w:r>
          </w:p>
        </w:tc>
        <w:tc>
          <w:tcPr>
            <w:tcW w:w="1095" w:type="dxa"/>
            <w:tcBorders>
              <w:top w:val="single" w:sz="4" w:space="0" w:color="auto"/>
              <w:left w:val="nil"/>
              <w:bottom w:val="single" w:sz="4" w:space="0" w:color="auto"/>
              <w:right w:val="nil"/>
            </w:tcBorders>
            <w:shd w:val="clear" w:color="auto" w:fill="auto"/>
            <w:noWrap/>
            <w:vAlign w:val="bottom"/>
            <w:hideMark/>
          </w:tcPr>
          <w:p w14:paraId="2B59F088" w14:textId="77777777" w:rsidR="00A34FE2" w:rsidRPr="00A34FE2" w:rsidRDefault="00A34FE2" w:rsidP="00E71244">
            <w:pPr>
              <w:spacing w:after="0" w:line="240" w:lineRule="auto"/>
              <w:jc w:val="right"/>
              <w:rPr>
                <w:rFonts w:eastAsia="Times New Roman" w:cs="Times New Roman"/>
                <w:sz w:val="18"/>
                <w:szCs w:val="18"/>
                <w:lang w:eastAsia="sk-SK"/>
              </w:rPr>
            </w:pPr>
            <w:r w:rsidRPr="00A34FE2">
              <w:rPr>
                <w:rFonts w:eastAsia="Times New Roman" w:cs="Times New Roman"/>
                <w:sz w:val="18"/>
                <w:szCs w:val="18"/>
                <w:lang w:eastAsia="sk-SK"/>
              </w:rPr>
              <w:t>109 762 018</w:t>
            </w:r>
          </w:p>
        </w:tc>
        <w:tc>
          <w:tcPr>
            <w:tcW w:w="1095" w:type="dxa"/>
            <w:tcBorders>
              <w:top w:val="single" w:sz="4" w:space="0" w:color="auto"/>
              <w:left w:val="nil"/>
              <w:bottom w:val="single" w:sz="4" w:space="0" w:color="auto"/>
              <w:right w:val="nil"/>
            </w:tcBorders>
            <w:shd w:val="clear" w:color="auto" w:fill="auto"/>
            <w:noWrap/>
            <w:vAlign w:val="bottom"/>
            <w:hideMark/>
          </w:tcPr>
          <w:p w14:paraId="346D61BC" w14:textId="77777777" w:rsidR="00A34FE2" w:rsidRPr="00A34FE2" w:rsidRDefault="00A34FE2" w:rsidP="00E71244">
            <w:pPr>
              <w:spacing w:after="0" w:line="240" w:lineRule="auto"/>
              <w:jc w:val="right"/>
              <w:rPr>
                <w:rFonts w:eastAsia="Times New Roman" w:cs="Times New Roman"/>
                <w:sz w:val="18"/>
                <w:szCs w:val="18"/>
                <w:lang w:eastAsia="sk-SK"/>
              </w:rPr>
            </w:pPr>
            <w:r w:rsidRPr="00A34FE2">
              <w:rPr>
                <w:rFonts w:eastAsia="Times New Roman" w:cs="Times New Roman"/>
                <w:sz w:val="18"/>
                <w:szCs w:val="18"/>
                <w:lang w:eastAsia="sk-SK"/>
              </w:rPr>
              <w:t>122 307 729</w:t>
            </w:r>
          </w:p>
        </w:tc>
        <w:tc>
          <w:tcPr>
            <w:tcW w:w="1095" w:type="dxa"/>
            <w:tcBorders>
              <w:top w:val="single" w:sz="4" w:space="0" w:color="auto"/>
              <w:left w:val="nil"/>
              <w:bottom w:val="single" w:sz="4" w:space="0" w:color="auto"/>
              <w:right w:val="nil"/>
            </w:tcBorders>
            <w:shd w:val="clear" w:color="auto" w:fill="auto"/>
            <w:noWrap/>
            <w:vAlign w:val="bottom"/>
            <w:hideMark/>
          </w:tcPr>
          <w:p w14:paraId="634B28FC" w14:textId="77777777" w:rsidR="00A34FE2" w:rsidRPr="00A34FE2" w:rsidRDefault="00A34FE2" w:rsidP="00E71244">
            <w:pPr>
              <w:spacing w:after="0" w:line="240" w:lineRule="auto"/>
              <w:jc w:val="right"/>
              <w:rPr>
                <w:rFonts w:eastAsia="Times New Roman" w:cs="Times New Roman"/>
                <w:sz w:val="18"/>
                <w:szCs w:val="18"/>
                <w:lang w:eastAsia="sk-SK"/>
              </w:rPr>
            </w:pPr>
            <w:r w:rsidRPr="00A34FE2">
              <w:rPr>
                <w:rFonts w:eastAsia="Times New Roman" w:cs="Times New Roman"/>
                <w:sz w:val="18"/>
                <w:szCs w:val="18"/>
                <w:lang w:eastAsia="sk-SK"/>
              </w:rPr>
              <w:t>122 812 795</w:t>
            </w:r>
          </w:p>
        </w:tc>
        <w:tc>
          <w:tcPr>
            <w:tcW w:w="971" w:type="dxa"/>
            <w:tcBorders>
              <w:top w:val="single" w:sz="4" w:space="0" w:color="auto"/>
              <w:left w:val="nil"/>
              <w:bottom w:val="single" w:sz="4" w:space="0" w:color="auto"/>
              <w:right w:val="nil"/>
            </w:tcBorders>
            <w:shd w:val="clear" w:color="auto" w:fill="auto"/>
            <w:noWrap/>
            <w:vAlign w:val="bottom"/>
            <w:hideMark/>
          </w:tcPr>
          <w:p w14:paraId="55703485" w14:textId="77777777" w:rsidR="00A34FE2" w:rsidRPr="00A34FE2" w:rsidRDefault="00A34FE2" w:rsidP="00E71244">
            <w:pPr>
              <w:spacing w:after="0" w:line="240" w:lineRule="auto"/>
              <w:jc w:val="right"/>
              <w:rPr>
                <w:rFonts w:eastAsia="Times New Roman" w:cs="Times New Roman"/>
                <w:color w:val="000000"/>
                <w:sz w:val="18"/>
                <w:szCs w:val="18"/>
                <w:lang w:eastAsia="sk-SK"/>
              </w:rPr>
            </w:pPr>
            <w:r w:rsidRPr="00A34FE2">
              <w:rPr>
                <w:rFonts w:eastAsia="Times New Roman" w:cs="Times New Roman"/>
                <w:color w:val="000000"/>
                <w:sz w:val="18"/>
                <w:szCs w:val="18"/>
                <w:lang w:eastAsia="sk-SK"/>
              </w:rPr>
              <w:t>505 066</w:t>
            </w:r>
          </w:p>
        </w:tc>
      </w:tr>
    </w:tbl>
    <w:p w14:paraId="3137D5A9" w14:textId="4377258C" w:rsidR="00A34FE2" w:rsidRDefault="00A34FE2" w:rsidP="00A34FE2">
      <w:pPr>
        <w:spacing w:after="160" w:line="259" w:lineRule="auto"/>
        <w:jc w:val="center"/>
        <w:rPr>
          <w:b/>
          <w:sz w:val="24"/>
          <w:szCs w:val="24"/>
        </w:rPr>
      </w:pPr>
      <w:r w:rsidRPr="00A34FE2">
        <w:rPr>
          <w:rFonts w:eastAsia="Times New Roman" w:cs="Times New Roman"/>
          <w:color w:val="000000"/>
          <w:sz w:val="18"/>
          <w:szCs w:val="18"/>
          <w:lang w:eastAsia="sk-SK"/>
        </w:rPr>
        <w:t xml:space="preserve">                                                                                                                          </w:t>
      </w:r>
      <w:r>
        <w:rPr>
          <w:rFonts w:eastAsia="Times New Roman" w:cs="Times New Roman"/>
          <w:color w:val="000000"/>
          <w:sz w:val="18"/>
          <w:szCs w:val="18"/>
          <w:lang w:eastAsia="sk-SK"/>
        </w:rPr>
        <w:t xml:space="preserve">                            </w:t>
      </w:r>
      <w:r w:rsidR="00BA40BC">
        <w:rPr>
          <w:rFonts w:eastAsia="Times New Roman" w:cs="Times New Roman"/>
          <w:color w:val="000000"/>
          <w:sz w:val="18"/>
          <w:szCs w:val="18"/>
          <w:lang w:eastAsia="sk-SK"/>
        </w:rPr>
        <w:t xml:space="preserve"> zdroj: ŠÚ </w:t>
      </w:r>
      <w:r w:rsidRPr="00A34FE2">
        <w:rPr>
          <w:rFonts w:eastAsia="Times New Roman" w:cs="Times New Roman"/>
          <w:color w:val="000000"/>
          <w:sz w:val="18"/>
          <w:szCs w:val="18"/>
          <w:lang w:eastAsia="sk-SK"/>
        </w:rPr>
        <w:t>SR, MF</w:t>
      </w:r>
      <w:r w:rsidR="00BA40BC">
        <w:rPr>
          <w:rFonts w:eastAsia="Times New Roman" w:cs="Times New Roman"/>
          <w:color w:val="000000"/>
          <w:sz w:val="18"/>
          <w:szCs w:val="18"/>
          <w:lang w:eastAsia="sk-SK"/>
        </w:rPr>
        <w:t xml:space="preserve"> </w:t>
      </w:r>
      <w:r w:rsidRPr="00A34FE2">
        <w:rPr>
          <w:rFonts w:eastAsia="Times New Roman" w:cs="Times New Roman"/>
          <w:color w:val="000000"/>
          <w:sz w:val="18"/>
          <w:szCs w:val="18"/>
          <w:lang w:eastAsia="sk-SK"/>
        </w:rPr>
        <w:t>SR</w:t>
      </w:r>
    </w:p>
    <w:p w14:paraId="3B18F544" w14:textId="096567E9" w:rsidR="004C6700" w:rsidRPr="00092ACB" w:rsidRDefault="004C6700" w:rsidP="004C6700">
      <w:pPr>
        <w:spacing w:line="240" w:lineRule="auto"/>
        <w:rPr>
          <w:sz w:val="24"/>
          <w:szCs w:val="24"/>
          <w:highlight w:val="yellow"/>
        </w:rPr>
      </w:pPr>
      <w:r w:rsidRPr="00F25543">
        <w:rPr>
          <w:b/>
          <w:sz w:val="24"/>
          <w:szCs w:val="24"/>
        </w:rPr>
        <w:t xml:space="preserve">Na úrovni celej verejnej správy bola oproti rozpočtu </w:t>
      </w:r>
      <w:r w:rsidRPr="001A70F8">
        <w:rPr>
          <w:b/>
          <w:sz w:val="24"/>
          <w:szCs w:val="24"/>
        </w:rPr>
        <w:t>zaznamenaná pozitívna odchýlka v</w:t>
      </w:r>
      <w:r w:rsidR="001C116E">
        <w:rPr>
          <w:b/>
          <w:sz w:val="24"/>
          <w:szCs w:val="24"/>
        </w:rPr>
        <w:t> sume 1 861 383 tis. eur resp. o 1,5 p. b.</w:t>
      </w:r>
      <w:r w:rsidRPr="00A63FFA">
        <w:rPr>
          <w:sz w:val="24"/>
          <w:szCs w:val="24"/>
        </w:rPr>
        <w:t xml:space="preserve"> najmä vplyvom nižšieho hotovostného schodku štátneho rozpočtu (opisovaný v 3. kapitole</w:t>
      </w:r>
      <w:r w:rsidRPr="000B75A3">
        <w:rPr>
          <w:sz w:val="24"/>
          <w:szCs w:val="24"/>
        </w:rPr>
        <w:t xml:space="preserve">) a vyšších prebytkov niektorých ostatných zložiek </w:t>
      </w:r>
      <w:r w:rsidRPr="001E4E1B">
        <w:rPr>
          <w:sz w:val="24"/>
          <w:szCs w:val="24"/>
        </w:rPr>
        <w:t>verejnej správy (obce, Sociálna poisťovňa, ostatné podniky</w:t>
      </w:r>
      <w:r>
        <w:rPr>
          <w:sz w:val="24"/>
          <w:szCs w:val="24"/>
        </w:rPr>
        <w:t xml:space="preserve"> štátu</w:t>
      </w:r>
      <w:r w:rsidRPr="001E4E1B">
        <w:rPr>
          <w:sz w:val="24"/>
          <w:szCs w:val="24"/>
        </w:rPr>
        <w:t xml:space="preserve"> a </w:t>
      </w:r>
      <w:r>
        <w:rPr>
          <w:sz w:val="24"/>
          <w:szCs w:val="24"/>
        </w:rPr>
        <w:t>z</w:t>
      </w:r>
      <w:r w:rsidRPr="001E4E1B">
        <w:rPr>
          <w:sz w:val="24"/>
          <w:szCs w:val="24"/>
        </w:rPr>
        <w:t>dravotné poisťovne). Negatívny vývoj zaznamenali najmä ústredné zdravotnícke zariadenia.</w:t>
      </w:r>
    </w:p>
    <w:p w14:paraId="4786167B" w14:textId="7180C037" w:rsidR="004C6700" w:rsidRPr="00092ACB" w:rsidRDefault="004C6700" w:rsidP="004C6700">
      <w:pPr>
        <w:spacing w:before="120" w:after="0" w:line="240" w:lineRule="auto"/>
        <w:rPr>
          <w:sz w:val="24"/>
          <w:szCs w:val="24"/>
          <w:highlight w:val="yellow"/>
        </w:rPr>
      </w:pPr>
      <w:r w:rsidRPr="001A70F8">
        <w:rPr>
          <w:sz w:val="24"/>
          <w:szCs w:val="24"/>
        </w:rPr>
        <w:t xml:space="preserve">Nezanedbateľným faktorom v porovnávaní očakávaného salda verejných financií a dosiahnutej skutočnosti mal </w:t>
      </w:r>
      <w:r w:rsidRPr="004350A0">
        <w:rPr>
          <w:sz w:val="24"/>
          <w:szCs w:val="24"/>
        </w:rPr>
        <w:t xml:space="preserve">ekonomický vývoj. </w:t>
      </w:r>
      <w:r>
        <w:rPr>
          <w:sz w:val="24"/>
          <w:szCs w:val="24"/>
        </w:rPr>
        <w:t>Reálny r</w:t>
      </w:r>
      <w:r w:rsidRPr="004350A0">
        <w:rPr>
          <w:sz w:val="24"/>
          <w:szCs w:val="24"/>
        </w:rPr>
        <w:t>as</w:t>
      </w:r>
      <w:r>
        <w:rPr>
          <w:sz w:val="24"/>
          <w:szCs w:val="24"/>
        </w:rPr>
        <w:t>t</w:t>
      </w:r>
      <w:r w:rsidRPr="004350A0">
        <w:rPr>
          <w:sz w:val="24"/>
          <w:szCs w:val="24"/>
        </w:rPr>
        <w:t xml:space="preserve"> HDP bol v rámci zostaveného rozpočtu predpokladaný na </w:t>
      </w:r>
      <w:r w:rsidRPr="00A23D78">
        <w:rPr>
          <w:sz w:val="24"/>
          <w:szCs w:val="24"/>
        </w:rPr>
        <w:t xml:space="preserve">úrovni 0,6 %, v priebehu roka 2023 nastal jeho nárast </w:t>
      </w:r>
      <w:r>
        <w:rPr>
          <w:sz w:val="24"/>
          <w:szCs w:val="24"/>
        </w:rPr>
        <w:t xml:space="preserve">prevažne </w:t>
      </w:r>
      <w:r w:rsidRPr="00A23D78">
        <w:rPr>
          <w:sz w:val="24"/>
          <w:szCs w:val="24"/>
        </w:rPr>
        <w:t>v dôsledku čerpania eurofondov.</w:t>
      </w:r>
      <w:r w:rsidRPr="004350A0">
        <w:rPr>
          <w:sz w:val="24"/>
          <w:szCs w:val="24"/>
        </w:rPr>
        <w:t xml:space="preserve"> V skutočnosti Štatistický úrad SR vyčíslil medziročný </w:t>
      </w:r>
      <w:r>
        <w:rPr>
          <w:sz w:val="24"/>
          <w:szCs w:val="24"/>
        </w:rPr>
        <w:t xml:space="preserve">reálny </w:t>
      </w:r>
      <w:r w:rsidRPr="004350A0">
        <w:rPr>
          <w:sz w:val="24"/>
          <w:szCs w:val="24"/>
        </w:rPr>
        <w:t>rast HDP za</w:t>
      </w:r>
      <w:r w:rsidR="0097056E">
        <w:rPr>
          <w:sz w:val="24"/>
          <w:szCs w:val="24"/>
        </w:rPr>
        <w:t> </w:t>
      </w:r>
      <w:r w:rsidRPr="004350A0">
        <w:rPr>
          <w:sz w:val="24"/>
          <w:szCs w:val="24"/>
        </w:rPr>
        <w:t>rok 2023 na úrovni 1,</w:t>
      </w:r>
      <w:r w:rsidR="006C1451">
        <w:rPr>
          <w:sz w:val="24"/>
          <w:szCs w:val="24"/>
        </w:rPr>
        <w:t>6</w:t>
      </w:r>
      <w:r w:rsidRPr="004350A0">
        <w:rPr>
          <w:sz w:val="24"/>
          <w:szCs w:val="24"/>
        </w:rPr>
        <w:t> %.</w:t>
      </w:r>
      <w:r w:rsidRPr="00312394">
        <w:rPr>
          <w:sz w:val="24"/>
          <w:szCs w:val="24"/>
        </w:rPr>
        <w:t xml:space="preserve"> </w:t>
      </w:r>
    </w:p>
    <w:p w14:paraId="7E195248" w14:textId="77777777" w:rsidR="004C6700" w:rsidRPr="00F25543" w:rsidRDefault="004C6700" w:rsidP="004C6700">
      <w:pPr>
        <w:spacing w:before="120" w:after="0" w:line="240" w:lineRule="auto"/>
        <w:rPr>
          <w:sz w:val="24"/>
          <w:szCs w:val="24"/>
        </w:rPr>
      </w:pPr>
      <w:r w:rsidRPr="00F25543">
        <w:rPr>
          <w:sz w:val="24"/>
          <w:szCs w:val="24"/>
          <w:u w:val="single"/>
        </w:rPr>
        <w:t>Pre základný obraz o vývoji príjmov ako aj výdavkov sú opisované nedaňové príjmy, granty a transfery, bežné výdavky a kapitálové výdavky na konsolidovanej báze. Vyčíslenie konsolidácie vzájomných príjmov a výdavkov medzi subjektmi verejnej správy sa uvádza na</w:t>
      </w:r>
      <w:r>
        <w:rPr>
          <w:sz w:val="24"/>
          <w:szCs w:val="24"/>
          <w:u w:val="single"/>
        </w:rPr>
        <w:t> </w:t>
      </w:r>
      <w:r w:rsidRPr="00F25543">
        <w:rPr>
          <w:sz w:val="24"/>
          <w:szCs w:val="24"/>
          <w:u w:val="single"/>
        </w:rPr>
        <w:t>úrovni celej verejnej správy, bez konsolidácie na konkrétne subjekty verejnej správy.</w:t>
      </w:r>
      <w:r w:rsidRPr="00F25543">
        <w:rPr>
          <w:rStyle w:val="Odkaznapoznmkupodiarou"/>
          <w:sz w:val="24"/>
          <w:szCs w:val="24"/>
        </w:rPr>
        <w:footnoteReference w:id="7"/>
      </w:r>
      <w:r w:rsidRPr="00F25543">
        <w:rPr>
          <w:sz w:val="24"/>
          <w:szCs w:val="24"/>
        </w:rPr>
        <w:t xml:space="preserve"> </w:t>
      </w:r>
    </w:p>
    <w:p w14:paraId="342158F4" w14:textId="77777777" w:rsidR="002A6E4B" w:rsidRPr="002A6E4B" w:rsidRDefault="002A6E4B" w:rsidP="002A6E4B">
      <w:pPr>
        <w:spacing w:before="120" w:line="240" w:lineRule="auto"/>
        <w:rPr>
          <w:sz w:val="24"/>
          <w:szCs w:val="24"/>
        </w:rPr>
      </w:pPr>
      <w:r w:rsidRPr="002A6E4B">
        <w:rPr>
          <w:b/>
          <w:sz w:val="24"/>
          <w:szCs w:val="24"/>
        </w:rPr>
        <w:t>Príjmy verejnej správy</w:t>
      </w:r>
      <w:r w:rsidRPr="002A6E4B">
        <w:rPr>
          <w:sz w:val="24"/>
          <w:szCs w:val="24"/>
        </w:rPr>
        <w:t xml:space="preserve"> </w:t>
      </w:r>
      <w:r w:rsidRPr="002A6E4B">
        <w:rPr>
          <w:b/>
          <w:sz w:val="24"/>
          <w:szCs w:val="24"/>
        </w:rPr>
        <w:t>v metodike ESA 2010</w:t>
      </w:r>
      <w:r w:rsidRPr="002A6E4B">
        <w:rPr>
          <w:sz w:val="24"/>
          <w:szCs w:val="24"/>
        </w:rPr>
        <w:t xml:space="preserve"> boli oproti rozpočtu na rok 2023 úhrnom vyššie o 1 748 336 tis. eur (1,25 % HDP), z toho daňové príjmy vzrástli o 759 820 tis. eur, príspevky na sociálne zabezpečenie o 452 131 tis. eur a nedaňové príjmy vzrástli o 980 772 tis. eur. Granty a transfery poklesli o 444 387 tis. eur.</w:t>
      </w:r>
    </w:p>
    <w:p w14:paraId="6C3592C1" w14:textId="77777777" w:rsidR="002A6E4B" w:rsidRDefault="002A6E4B" w:rsidP="002A6E4B">
      <w:pPr>
        <w:spacing w:line="240" w:lineRule="auto"/>
        <w:rPr>
          <w:sz w:val="24"/>
          <w:szCs w:val="24"/>
        </w:rPr>
      </w:pPr>
      <w:r w:rsidRPr="002A6E4B">
        <w:rPr>
          <w:b/>
          <w:sz w:val="24"/>
          <w:szCs w:val="24"/>
        </w:rPr>
        <w:lastRenderedPageBreak/>
        <w:t>Výdavky verejnej správy v metodike ESA 2010</w:t>
      </w:r>
      <w:r w:rsidRPr="002A6E4B">
        <w:rPr>
          <w:sz w:val="24"/>
          <w:szCs w:val="24"/>
        </w:rPr>
        <w:t xml:space="preserve"> boli nižšie o 113 047 tis. eur oproti rozpočtu (0,29 % HDP), z toho bežné výdavky poklesli o 736 811 tis. eur a kapitálové výdavky vzrástli o 623 764 tis. eur.</w:t>
      </w:r>
    </w:p>
    <w:p w14:paraId="7A065BEB" w14:textId="0B84441C" w:rsidR="004C6700" w:rsidRPr="00FB63AD" w:rsidRDefault="004C6700" w:rsidP="002A6E4B">
      <w:pPr>
        <w:spacing w:line="240" w:lineRule="auto"/>
        <w:rPr>
          <w:sz w:val="24"/>
          <w:szCs w:val="24"/>
        </w:rPr>
      </w:pPr>
      <w:r w:rsidRPr="00C17596">
        <w:rPr>
          <w:b/>
          <w:color w:val="5B9BD5" w:themeColor="accent1"/>
          <w:sz w:val="24"/>
          <w:szCs w:val="24"/>
        </w:rPr>
        <w:t>Celkové daňové a odvodové príjmy verejnej správy</w:t>
      </w:r>
      <w:r w:rsidRPr="00C17596">
        <w:rPr>
          <w:color w:val="5B9BD5" w:themeColor="accent1"/>
          <w:sz w:val="24"/>
          <w:szCs w:val="24"/>
        </w:rPr>
        <w:t xml:space="preserve"> </w:t>
      </w:r>
      <w:r w:rsidRPr="00C17596">
        <w:rPr>
          <w:sz w:val="24"/>
          <w:szCs w:val="24"/>
        </w:rPr>
        <w:t xml:space="preserve">boli v hotovostnom vyjadrení oproti rozpočtu vyššie o 1 037 050 tis. eur, z toho daňové príjmy boli oproti rozpočtu vyššie o 763 587 tis. eur a odvodové príjmy boli oproti rozpočtu vyššie o 273 463 tis. eur. </w:t>
      </w:r>
      <w:r w:rsidRPr="00354EEA">
        <w:rPr>
          <w:sz w:val="24"/>
          <w:szCs w:val="24"/>
        </w:rPr>
        <w:t xml:space="preserve">(V rámci hotovostných odvodových príjmov sú zahrnuté aj odvodové príjmy </w:t>
      </w:r>
      <w:r>
        <w:rPr>
          <w:sz w:val="24"/>
          <w:szCs w:val="24"/>
        </w:rPr>
        <w:t xml:space="preserve">vyberané </w:t>
      </w:r>
      <w:r w:rsidRPr="00354EEA">
        <w:rPr>
          <w:sz w:val="24"/>
          <w:szCs w:val="24"/>
        </w:rPr>
        <w:t>súkromný</w:t>
      </w:r>
      <w:r>
        <w:rPr>
          <w:sz w:val="24"/>
          <w:szCs w:val="24"/>
        </w:rPr>
        <w:t>mi</w:t>
      </w:r>
      <w:r w:rsidRPr="00354EEA">
        <w:rPr>
          <w:sz w:val="24"/>
          <w:szCs w:val="24"/>
        </w:rPr>
        <w:t xml:space="preserve"> poisťov</w:t>
      </w:r>
      <w:r>
        <w:rPr>
          <w:sz w:val="24"/>
          <w:szCs w:val="24"/>
        </w:rPr>
        <w:t>ňami</w:t>
      </w:r>
      <w:r w:rsidRPr="00E75CB3">
        <w:rPr>
          <w:sz w:val="24"/>
          <w:szCs w:val="24"/>
        </w:rPr>
        <w:t>.) V</w:t>
      </w:r>
      <w:r w:rsidRPr="00354EEA">
        <w:rPr>
          <w:sz w:val="24"/>
          <w:szCs w:val="24"/>
        </w:rPr>
        <w:t xml:space="preserve"> akruálnom vyjadrení boli celkové daňové a odvodové príjmy oproti rozpočtu vyššie o 1 247 963 tis. eur, z toho daňové príjmy boli vyššie o 842 539 tis. eur a odvodové príjmy boli vyššie o 405 424 tis. eur. Vplyv časového rozlíšenia </w:t>
      </w:r>
      <w:r>
        <w:rPr>
          <w:sz w:val="24"/>
          <w:szCs w:val="24"/>
        </w:rPr>
        <w:t xml:space="preserve">oboch príjmových kategórií, daní a odvodov, bol oproti rozpočtu na rok 2023 nižší. V prípade </w:t>
      </w:r>
      <w:r w:rsidRPr="00354EEA">
        <w:rPr>
          <w:sz w:val="24"/>
          <w:szCs w:val="24"/>
        </w:rPr>
        <w:t xml:space="preserve">daňových príjmov o 73 126 tis. eur </w:t>
      </w:r>
      <w:r w:rsidRPr="00B11026">
        <w:rPr>
          <w:sz w:val="24"/>
          <w:szCs w:val="24"/>
        </w:rPr>
        <w:t>a</w:t>
      </w:r>
      <w:r>
        <w:rPr>
          <w:sz w:val="24"/>
          <w:szCs w:val="24"/>
        </w:rPr>
        <w:t xml:space="preserve"> v prípade </w:t>
      </w:r>
      <w:r w:rsidRPr="00B11026">
        <w:rPr>
          <w:sz w:val="24"/>
          <w:szCs w:val="24"/>
        </w:rPr>
        <w:t>odvodových príjmov o 75 206 tis. eur</w:t>
      </w:r>
      <w:r>
        <w:rPr>
          <w:sz w:val="24"/>
          <w:szCs w:val="24"/>
        </w:rPr>
        <w:t>.</w:t>
      </w:r>
    </w:p>
    <w:p w14:paraId="61014AEB" w14:textId="12BC57AF" w:rsidR="004C6700" w:rsidRPr="00092ACB" w:rsidRDefault="004C6700" w:rsidP="004C6700">
      <w:pPr>
        <w:spacing w:line="240" w:lineRule="auto"/>
        <w:rPr>
          <w:sz w:val="24"/>
          <w:szCs w:val="24"/>
          <w:highlight w:val="yellow"/>
        </w:rPr>
      </w:pPr>
      <w:r w:rsidRPr="00976DC8">
        <w:rPr>
          <w:sz w:val="24"/>
          <w:szCs w:val="24"/>
        </w:rPr>
        <w:t xml:space="preserve">Okrem časového rozlíšenia mali na rozdiel </w:t>
      </w:r>
      <w:r>
        <w:rPr>
          <w:sz w:val="24"/>
          <w:szCs w:val="24"/>
        </w:rPr>
        <w:t xml:space="preserve">skutočných </w:t>
      </w:r>
      <w:r w:rsidRPr="00976DC8">
        <w:rPr>
          <w:sz w:val="24"/>
          <w:szCs w:val="24"/>
        </w:rPr>
        <w:t xml:space="preserve">daňových príjmov oproti rozpočtu vplyv aj ostatné metodické úpravy ako príjmy dosahované z podpory obnoviteľných zdrojov energie a vysoko účinnej kombinovanej výroby </w:t>
      </w:r>
      <w:r>
        <w:rPr>
          <w:sz w:val="24"/>
          <w:szCs w:val="24"/>
        </w:rPr>
        <w:t>elektriny a tepla</w:t>
      </w:r>
      <w:r w:rsidRPr="00976DC8">
        <w:rPr>
          <w:sz w:val="24"/>
          <w:szCs w:val="24"/>
        </w:rPr>
        <w:t xml:space="preserve"> (</w:t>
      </w:r>
      <w:r>
        <w:rPr>
          <w:sz w:val="24"/>
          <w:szCs w:val="24"/>
        </w:rPr>
        <w:t>nárast</w:t>
      </w:r>
      <w:r w:rsidR="006243D7">
        <w:rPr>
          <w:sz w:val="24"/>
          <w:szCs w:val="24"/>
        </w:rPr>
        <w:t xml:space="preserve"> príjmov z podpory tzv. „</w:t>
      </w:r>
      <w:r w:rsidRPr="00976DC8">
        <w:rPr>
          <w:sz w:val="24"/>
          <w:szCs w:val="24"/>
        </w:rPr>
        <w:t>zelenej energie“</w:t>
      </w:r>
      <w:r w:rsidRPr="00FB63AD">
        <w:rPr>
          <w:sz w:val="24"/>
          <w:szCs w:val="24"/>
        </w:rPr>
        <w:t xml:space="preserve"> </w:t>
      </w:r>
      <w:r w:rsidRPr="00976DC8">
        <w:rPr>
          <w:sz w:val="24"/>
          <w:szCs w:val="24"/>
        </w:rPr>
        <w:t xml:space="preserve">o 162 308 tis. eur), príjmy zo spotreby emisných kvót (nárast o 12 569 tis. eur) a príjmy z príspevkov prevádzkovateľov hazardných hier (nárast o 600 tis. eur). </w:t>
      </w:r>
      <w:r>
        <w:rPr>
          <w:sz w:val="24"/>
          <w:szCs w:val="24"/>
        </w:rPr>
        <w:t xml:space="preserve">V prípade </w:t>
      </w:r>
      <w:r w:rsidRPr="00976DC8">
        <w:rPr>
          <w:sz w:val="24"/>
          <w:szCs w:val="24"/>
        </w:rPr>
        <w:t xml:space="preserve">odvodových príjmov oproti rozpočtu pozitívne vplývalo imputovanie nových pohľadávok Sociálnej poisťovne na poistnom voči zdravotníckym </w:t>
      </w:r>
      <w:r w:rsidRPr="006251E0">
        <w:rPr>
          <w:sz w:val="24"/>
          <w:szCs w:val="24"/>
        </w:rPr>
        <w:t>zariadeniam (nárast o 207 167 tis. eur)</w:t>
      </w:r>
      <w:r>
        <w:rPr>
          <w:sz w:val="24"/>
          <w:szCs w:val="24"/>
        </w:rPr>
        <w:t>.</w:t>
      </w:r>
    </w:p>
    <w:p w14:paraId="09A3FFA7" w14:textId="24B8F527" w:rsidR="004C6700" w:rsidRPr="004108E4" w:rsidRDefault="004C6700" w:rsidP="004C6700">
      <w:pPr>
        <w:spacing w:line="240" w:lineRule="auto"/>
        <w:rPr>
          <w:sz w:val="24"/>
          <w:szCs w:val="24"/>
        </w:rPr>
      </w:pPr>
      <w:r w:rsidRPr="004108E4">
        <w:rPr>
          <w:b/>
          <w:sz w:val="24"/>
          <w:szCs w:val="24"/>
        </w:rPr>
        <w:t>Celkové daňové a odvodové príjmy (prognózované Výborom pre daňové prognózy</w:t>
      </w:r>
      <w:r>
        <w:rPr>
          <w:rStyle w:val="Odkaznapoznmkupodiarou"/>
          <w:b/>
          <w:sz w:val="24"/>
          <w:szCs w:val="24"/>
        </w:rPr>
        <w:footnoteReference w:id="8"/>
      </w:r>
      <w:r w:rsidRPr="004108E4">
        <w:rPr>
          <w:sz w:val="24"/>
          <w:szCs w:val="24"/>
        </w:rPr>
        <w:t>) boli rozpočtované v objeme 38 460 175 tis. eur. Skutočné príjmy boli o 318</w:t>
      </w:r>
      <w:r>
        <w:rPr>
          <w:sz w:val="24"/>
          <w:szCs w:val="24"/>
        </w:rPr>
        <w:t> 6</w:t>
      </w:r>
      <w:r w:rsidR="00524216">
        <w:rPr>
          <w:sz w:val="24"/>
          <w:szCs w:val="24"/>
        </w:rPr>
        <w:t>79</w:t>
      </w:r>
      <w:r>
        <w:rPr>
          <w:sz w:val="24"/>
          <w:szCs w:val="24"/>
        </w:rPr>
        <w:t> tis. </w:t>
      </w:r>
      <w:r w:rsidRPr="004108E4">
        <w:rPr>
          <w:sz w:val="24"/>
          <w:szCs w:val="24"/>
        </w:rPr>
        <w:t>eur vyššie a dosiahli výšku 38 778</w:t>
      </w:r>
      <w:r>
        <w:rPr>
          <w:sz w:val="24"/>
          <w:szCs w:val="24"/>
        </w:rPr>
        <w:t> 8</w:t>
      </w:r>
      <w:r w:rsidR="00524216">
        <w:rPr>
          <w:sz w:val="24"/>
          <w:szCs w:val="24"/>
        </w:rPr>
        <w:t>54</w:t>
      </w:r>
      <w:r>
        <w:rPr>
          <w:sz w:val="24"/>
          <w:szCs w:val="24"/>
        </w:rPr>
        <w:t xml:space="preserve"> </w:t>
      </w:r>
      <w:r w:rsidRPr="004108E4">
        <w:rPr>
          <w:sz w:val="24"/>
          <w:szCs w:val="24"/>
        </w:rPr>
        <w:t>tis. eur. Za nárastom je najmä zavedenie Solidárneho príspevku z</w:t>
      </w:r>
      <w:r>
        <w:rPr>
          <w:sz w:val="24"/>
          <w:szCs w:val="24"/>
        </w:rPr>
        <w:t> </w:t>
      </w:r>
      <w:r w:rsidRPr="004108E4">
        <w:rPr>
          <w:sz w:val="24"/>
          <w:szCs w:val="24"/>
        </w:rPr>
        <w:t xml:space="preserve">činností v odvetviach ropy, zemného plynu, uhlia a rafinérií aj pre rok 2023, ktorý by mal navýšiť akruálny príjem o približne 330 mil. eur (po započítaní negatívneho vplyvu na výnos DPPO). Z prognózovaných daní bol najväčší nárast pri </w:t>
      </w:r>
      <w:proofErr w:type="spellStart"/>
      <w:r w:rsidRPr="004108E4">
        <w:rPr>
          <w:sz w:val="24"/>
          <w:szCs w:val="24"/>
        </w:rPr>
        <w:t>korporátnej</w:t>
      </w:r>
      <w:proofErr w:type="spellEnd"/>
      <w:r w:rsidRPr="004108E4">
        <w:rPr>
          <w:sz w:val="24"/>
          <w:szCs w:val="24"/>
        </w:rPr>
        <w:t xml:space="preserve"> dani.</w:t>
      </w:r>
    </w:p>
    <w:p w14:paraId="73935AD1" w14:textId="77777777" w:rsidR="004C6700" w:rsidRPr="004108E4" w:rsidRDefault="004C6700" w:rsidP="004C6700">
      <w:pPr>
        <w:spacing w:line="240" w:lineRule="auto"/>
        <w:rPr>
          <w:sz w:val="24"/>
          <w:szCs w:val="24"/>
        </w:rPr>
      </w:pPr>
      <w:r w:rsidRPr="009C782D">
        <w:rPr>
          <w:sz w:val="24"/>
          <w:szCs w:val="24"/>
        </w:rPr>
        <w:t>Naopak, DPH ani dane a odvody z práce nedosiahli prognózované výnosy a spôsobili výpadok</w:t>
      </w:r>
      <w:r>
        <w:rPr>
          <w:sz w:val="24"/>
          <w:szCs w:val="24"/>
        </w:rPr>
        <w:t xml:space="preserve"> príjmov </w:t>
      </w:r>
      <w:r w:rsidRPr="009C782D">
        <w:rPr>
          <w:sz w:val="24"/>
          <w:szCs w:val="24"/>
        </w:rPr>
        <w:t>viac ako 500 mil. eur oproti rozpočtu.</w:t>
      </w:r>
    </w:p>
    <w:tbl>
      <w:tblPr>
        <w:tblW w:w="5000" w:type="pct"/>
        <w:tblCellMar>
          <w:left w:w="70" w:type="dxa"/>
          <w:right w:w="70" w:type="dxa"/>
        </w:tblCellMar>
        <w:tblLook w:val="04A0" w:firstRow="1" w:lastRow="0" w:firstColumn="1" w:lastColumn="0" w:noHBand="0" w:noVBand="1"/>
      </w:tblPr>
      <w:tblGrid>
        <w:gridCol w:w="5569"/>
        <w:gridCol w:w="1139"/>
        <w:gridCol w:w="1568"/>
        <w:gridCol w:w="938"/>
      </w:tblGrid>
      <w:tr w:rsidR="004C6700" w:rsidRPr="00F80AC2" w14:paraId="3D612D64" w14:textId="77777777" w:rsidTr="00836EB5">
        <w:trPr>
          <w:trHeight w:val="286"/>
        </w:trPr>
        <w:tc>
          <w:tcPr>
            <w:tcW w:w="5000" w:type="pct"/>
            <w:gridSpan w:val="4"/>
            <w:tcBorders>
              <w:top w:val="nil"/>
              <w:left w:val="nil"/>
              <w:bottom w:val="single" w:sz="4" w:space="0" w:color="auto"/>
              <w:right w:val="nil"/>
            </w:tcBorders>
            <w:shd w:val="clear" w:color="auto" w:fill="auto"/>
            <w:noWrap/>
            <w:vAlign w:val="center"/>
            <w:hideMark/>
          </w:tcPr>
          <w:p w14:paraId="77100A1F" w14:textId="343260CC" w:rsidR="004C6700" w:rsidRPr="00F434A0" w:rsidRDefault="004C6700" w:rsidP="00836EB5">
            <w:pPr>
              <w:spacing w:line="240" w:lineRule="auto"/>
              <w:jc w:val="left"/>
              <w:rPr>
                <w:rFonts w:eastAsia="Times New Roman" w:cs="Times New Roman"/>
                <w:b/>
                <w:bCs/>
                <w:color w:val="5B9BD5"/>
                <w:sz w:val="20"/>
                <w:szCs w:val="20"/>
                <w:lang w:eastAsia="sk-SK"/>
              </w:rPr>
            </w:pPr>
            <w:r w:rsidRPr="00F434A0">
              <w:rPr>
                <w:rFonts w:eastAsia="Times New Roman" w:cs="Times New Roman"/>
                <w:b/>
                <w:bCs/>
                <w:color w:val="5B9BD5"/>
                <w:sz w:val="20"/>
                <w:szCs w:val="20"/>
                <w:lang w:eastAsia="sk-SK"/>
              </w:rPr>
              <w:t>Tabuľka 7 - Vybrané daňové a odvodové príjmy podľa ESA2010</w:t>
            </w:r>
          </w:p>
        </w:tc>
      </w:tr>
      <w:tr w:rsidR="004C6700" w:rsidRPr="00200377" w14:paraId="0666661B" w14:textId="77777777" w:rsidTr="00836EB5">
        <w:trPr>
          <w:trHeight w:val="286"/>
        </w:trPr>
        <w:tc>
          <w:tcPr>
            <w:tcW w:w="3022" w:type="pct"/>
            <w:vMerge w:val="restart"/>
            <w:tcBorders>
              <w:top w:val="nil"/>
              <w:left w:val="nil"/>
              <w:bottom w:val="single" w:sz="4" w:space="0" w:color="000000"/>
              <w:right w:val="nil"/>
            </w:tcBorders>
            <w:shd w:val="clear" w:color="auto" w:fill="auto"/>
            <w:noWrap/>
            <w:vAlign w:val="center"/>
            <w:hideMark/>
          </w:tcPr>
          <w:p w14:paraId="54171EFB" w14:textId="77777777" w:rsidR="004C6700" w:rsidRPr="00200377" w:rsidRDefault="004C6700" w:rsidP="00836EB5">
            <w:pPr>
              <w:spacing w:after="0" w:line="240" w:lineRule="auto"/>
              <w:jc w:val="left"/>
              <w:rPr>
                <w:rFonts w:eastAsia="Times New Roman" w:cs="Times New Roman"/>
                <w:b/>
                <w:bCs/>
                <w:color w:val="000000"/>
                <w:sz w:val="18"/>
                <w:szCs w:val="18"/>
                <w:lang w:eastAsia="sk-SK"/>
              </w:rPr>
            </w:pPr>
            <w:r w:rsidRPr="00200377">
              <w:rPr>
                <w:rFonts w:eastAsia="Times New Roman" w:cs="Times New Roman"/>
                <w:b/>
                <w:bCs/>
                <w:color w:val="000000"/>
                <w:sz w:val="18"/>
                <w:szCs w:val="18"/>
                <w:lang w:eastAsia="sk-SK"/>
              </w:rPr>
              <w:t xml:space="preserve">v tis. eur </w:t>
            </w:r>
          </w:p>
        </w:tc>
        <w:tc>
          <w:tcPr>
            <w:tcW w:w="618" w:type="pct"/>
            <w:tcBorders>
              <w:top w:val="nil"/>
              <w:left w:val="nil"/>
              <w:bottom w:val="nil"/>
              <w:right w:val="nil"/>
            </w:tcBorders>
            <w:shd w:val="clear" w:color="auto" w:fill="auto"/>
            <w:noWrap/>
            <w:hideMark/>
          </w:tcPr>
          <w:p w14:paraId="160C723B" w14:textId="77777777" w:rsidR="004C6700" w:rsidRPr="00200377" w:rsidRDefault="004C6700" w:rsidP="00836EB5">
            <w:pPr>
              <w:spacing w:after="0" w:line="240" w:lineRule="auto"/>
              <w:jc w:val="center"/>
              <w:rPr>
                <w:rFonts w:eastAsia="Times New Roman" w:cs="Times New Roman"/>
                <w:b/>
                <w:bCs/>
                <w:color w:val="000000"/>
                <w:sz w:val="18"/>
                <w:szCs w:val="18"/>
                <w:lang w:eastAsia="sk-SK"/>
              </w:rPr>
            </w:pPr>
            <w:bookmarkStart w:id="23" w:name="RANGE!B3"/>
            <w:r w:rsidRPr="00200377">
              <w:rPr>
                <w:rFonts w:eastAsia="Times New Roman" w:cs="Times New Roman"/>
                <w:b/>
                <w:bCs/>
                <w:color w:val="000000"/>
                <w:sz w:val="18"/>
                <w:szCs w:val="18"/>
                <w:lang w:eastAsia="sk-SK"/>
              </w:rPr>
              <w:t>2023 R</w:t>
            </w:r>
            <w:bookmarkEnd w:id="23"/>
          </w:p>
        </w:tc>
        <w:tc>
          <w:tcPr>
            <w:tcW w:w="851" w:type="pct"/>
            <w:tcBorders>
              <w:top w:val="nil"/>
              <w:left w:val="nil"/>
              <w:bottom w:val="nil"/>
              <w:right w:val="nil"/>
            </w:tcBorders>
            <w:shd w:val="clear" w:color="auto" w:fill="auto"/>
            <w:noWrap/>
            <w:hideMark/>
          </w:tcPr>
          <w:p w14:paraId="7686FC40" w14:textId="77777777" w:rsidR="004C6700" w:rsidRPr="00200377" w:rsidRDefault="004C6700" w:rsidP="00836EB5">
            <w:pPr>
              <w:spacing w:after="0" w:line="240" w:lineRule="auto"/>
              <w:jc w:val="center"/>
              <w:rPr>
                <w:rFonts w:eastAsia="Times New Roman" w:cs="Times New Roman"/>
                <w:b/>
                <w:bCs/>
                <w:color w:val="000000"/>
                <w:sz w:val="18"/>
                <w:szCs w:val="18"/>
                <w:lang w:eastAsia="sk-SK"/>
              </w:rPr>
            </w:pPr>
            <w:r w:rsidRPr="00200377">
              <w:rPr>
                <w:rFonts w:eastAsia="Times New Roman" w:cs="Times New Roman"/>
                <w:b/>
                <w:bCs/>
                <w:color w:val="000000"/>
                <w:sz w:val="18"/>
                <w:szCs w:val="18"/>
                <w:lang w:eastAsia="sk-SK"/>
              </w:rPr>
              <w:t>2023 S</w:t>
            </w:r>
          </w:p>
        </w:tc>
        <w:tc>
          <w:tcPr>
            <w:tcW w:w="509" w:type="pct"/>
            <w:tcBorders>
              <w:top w:val="nil"/>
              <w:left w:val="nil"/>
              <w:bottom w:val="nil"/>
              <w:right w:val="nil"/>
            </w:tcBorders>
            <w:shd w:val="clear" w:color="auto" w:fill="auto"/>
            <w:noWrap/>
            <w:hideMark/>
          </w:tcPr>
          <w:p w14:paraId="338813A5" w14:textId="77777777" w:rsidR="004C6700" w:rsidRPr="00200377" w:rsidRDefault="004C6700" w:rsidP="00836EB5">
            <w:pPr>
              <w:spacing w:after="0" w:line="240" w:lineRule="auto"/>
              <w:jc w:val="center"/>
              <w:rPr>
                <w:rFonts w:eastAsia="Times New Roman" w:cs="Times New Roman"/>
                <w:b/>
                <w:bCs/>
                <w:color w:val="000000"/>
                <w:sz w:val="18"/>
                <w:szCs w:val="18"/>
                <w:lang w:eastAsia="sk-SK"/>
              </w:rPr>
            </w:pPr>
            <w:r w:rsidRPr="00200377">
              <w:rPr>
                <w:rFonts w:eastAsia="Times New Roman" w:cs="Times New Roman"/>
                <w:b/>
                <w:bCs/>
                <w:color w:val="000000"/>
                <w:sz w:val="18"/>
                <w:szCs w:val="18"/>
                <w:lang w:eastAsia="sk-SK"/>
              </w:rPr>
              <w:t>Rozdiel</w:t>
            </w:r>
          </w:p>
        </w:tc>
      </w:tr>
      <w:tr w:rsidR="004C6700" w:rsidRPr="00200377" w14:paraId="3A165DFC" w14:textId="77777777" w:rsidTr="00836EB5">
        <w:trPr>
          <w:trHeight w:val="286"/>
        </w:trPr>
        <w:tc>
          <w:tcPr>
            <w:tcW w:w="3022" w:type="pct"/>
            <w:vMerge/>
            <w:tcBorders>
              <w:top w:val="nil"/>
              <w:left w:val="nil"/>
              <w:bottom w:val="single" w:sz="4" w:space="0" w:color="000000"/>
              <w:right w:val="nil"/>
            </w:tcBorders>
            <w:vAlign w:val="center"/>
            <w:hideMark/>
          </w:tcPr>
          <w:p w14:paraId="2167C006" w14:textId="77777777" w:rsidR="004C6700" w:rsidRPr="00200377" w:rsidRDefault="004C6700" w:rsidP="00836EB5">
            <w:pPr>
              <w:spacing w:after="0" w:line="240" w:lineRule="auto"/>
              <w:jc w:val="left"/>
              <w:rPr>
                <w:rFonts w:eastAsia="Times New Roman" w:cs="Times New Roman"/>
                <w:b/>
                <w:bCs/>
                <w:color w:val="000000"/>
                <w:sz w:val="18"/>
                <w:szCs w:val="18"/>
                <w:lang w:eastAsia="sk-SK"/>
              </w:rPr>
            </w:pPr>
          </w:p>
        </w:tc>
        <w:tc>
          <w:tcPr>
            <w:tcW w:w="618" w:type="pct"/>
            <w:tcBorders>
              <w:top w:val="nil"/>
              <w:left w:val="nil"/>
              <w:bottom w:val="single" w:sz="4" w:space="0" w:color="auto"/>
              <w:right w:val="nil"/>
            </w:tcBorders>
            <w:shd w:val="clear" w:color="auto" w:fill="auto"/>
            <w:noWrap/>
            <w:vAlign w:val="bottom"/>
            <w:hideMark/>
          </w:tcPr>
          <w:p w14:paraId="243E7216" w14:textId="77777777" w:rsidR="004C6700" w:rsidRPr="00200377" w:rsidRDefault="004C6700" w:rsidP="00836EB5">
            <w:pPr>
              <w:spacing w:after="0" w:line="240" w:lineRule="auto"/>
              <w:jc w:val="center"/>
              <w:rPr>
                <w:rFonts w:eastAsia="Times New Roman" w:cs="Times New Roman"/>
                <w:b/>
                <w:bCs/>
                <w:color w:val="000000"/>
                <w:sz w:val="18"/>
                <w:szCs w:val="18"/>
                <w:lang w:eastAsia="sk-SK"/>
              </w:rPr>
            </w:pPr>
            <w:r w:rsidRPr="00200377">
              <w:rPr>
                <w:rFonts w:eastAsia="Times New Roman" w:cs="Times New Roman"/>
                <w:b/>
                <w:bCs/>
                <w:color w:val="000000"/>
                <w:sz w:val="18"/>
                <w:szCs w:val="18"/>
                <w:lang w:eastAsia="sk-SK"/>
              </w:rPr>
              <w:t>1</w:t>
            </w:r>
          </w:p>
        </w:tc>
        <w:tc>
          <w:tcPr>
            <w:tcW w:w="851" w:type="pct"/>
            <w:tcBorders>
              <w:top w:val="nil"/>
              <w:left w:val="nil"/>
              <w:bottom w:val="single" w:sz="4" w:space="0" w:color="auto"/>
              <w:right w:val="nil"/>
            </w:tcBorders>
            <w:shd w:val="clear" w:color="auto" w:fill="auto"/>
            <w:noWrap/>
            <w:vAlign w:val="bottom"/>
            <w:hideMark/>
          </w:tcPr>
          <w:p w14:paraId="0AAB698C" w14:textId="77777777" w:rsidR="004C6700" w:rsidRPr="00200377" w:rsidRDefault="004C6700" w:rsidP="00836EB5">
            <w:pPr>
              <w:spacing w:after="0" w:line="240" w:lineRule="auto"/>
              <w:jc w:val="center"/>
              <w:rPr>
                <w:rFonts w:eastAsia="Times New Roman" w:cs="Times New Roman"/>
                <w:b/>
                <w:bCs/>
                <w:color w:val="000000"/>
                <w:sz w:val="18"/>
                <w:szCs w:val="18"/>
                <w:lang w:eastAsia="sk-SK"/>
              </w:rPr>
            </w:pPr>
            <w:r w:rsidRPr="00200377">
              <w:rPr>
                <w:rFonts w:eastAsia="Times New Roman" w:cs="Times New Roman"/>
                <w:b/>
                <w:bCs/>
                <w:color w:val="000000"/>
                <w:sz w:val="18"/>
                <w:szCs w:val="18"/>
                <w:lang w:eastAsia="sk-SK"/>
              </w:rPr>
              <w:t>2</w:t>
            </w:r>
          </w:p>
        </w:tc>
        <w:tc>
          <w:tcPr>
            <w:tcW w:w="509" w:type="pct"/>
            <w:tcBorders>
              <w:top w:val="nil"/>
              <w:left w:val="nil"/>
              <w:bottom w:val="single" w:sz="4" w:space="0" w:color="auto"/>
              <w:right w:val="nil"/>
            </w:tcBorders>
            <w:shd w:val="clear" w:color="auto" w:fill="auto"/>
            <w:noWrap/>
            <w:vAlign w:val="bottom"/>
            <w:hideMark/>
          </w:tcPr>
          <w:p w14:paraId="6CFCD222" w14:textId="77777777" w:rsidR="004C6700" w:rsidRPr="00200377" w:rsidRDefault="004C6700" w:rsidP="00836EB5">
            <w:pPr>
              <w:spacing w:after="0" w:line="240" w:lineRule="auto"/>
              <w:jc w:val="center"/>
              <w:rPr>
                <w:rFonts w:eastAsia="Times New Roman" w:cs="Times New Roman"/>
                <w:b/>
                <w:bCs/>
                <w:color w:val="000000"/>
                <w:sz w:val="18"/>
                <w:szCs w:val="18"/>
                <w:lang w:eastAsia="sk-SK"/>
              </w:rPr>
            </w:pPr>
            <w:r w:rsidRPr="00200377">
              <w:rPr>
                <w:rFonts w:eastAsia="Times New Roman" w:cs="Times New Roman"/>
                <w:b/>
                <w:bCs/>
                <w:color w:val="000000"/>
                <w:sz w:val="18"/>
                <w:szCs w:val="18"/>
                <w:lang w:eastAsia="sk-SK"/>
              </w:rPr>
              <w:t>3=2-1</w:t>
            </w:r>
          </w:p>
        </w:tc>
      </w:tr>
      <w:tr w:rsidR="004C6700" w:rsidRPr="00200377" w14:paraId="6BE017DB" w14:textId="77777777" w:rsidTr="00836EB5">
        <w:trPr>
          <w:trHeight w:val="310"/>
        </w:trPr>
        <w:tc>
          <w:tcPr>
            <w:tcW w:w="3022" w:type="pct"/>
            <w:tcBorders>
              <w:top w:val="nil"/>
              <w:left w:val="nil"/>
              <w:bottom w:val="nil"/>
              <w:right w:val="nil"/>
            </w:tcBorders>
            <w:shd w:val="clear" w:color="auto" w:fill="auto"/>
            <w:noWrap/>
            <w:vAlign w:val="center"/>
            <w:hideMark/>
          </w:tcPr>
          <w:p w14:paraId="07205B4D" w14:textId="77777777" w:rsidR="004C6700" w:rsidRPr="00200377" w:rsidRDefault="004C6700" w:rsidP="00836EB5">
            <w:pPr>
              <w:spacing w:after="0" w:line="240" w:lineRule="auto"/>
              <w:jc w:val="left"/>
              <w:rPr>
                <w:rFonts w:eastAsia="Times New Roman" w:cs="Times New Roman"/>
                <w:color w:val="000000"/>
                <w:sz w:val="18"/>
                <w:szCs w:val="18"/>
                <w:lang w:eastAsia="sk-SK"/>
              </w:rPr>
            </w:pPr>
            <w:r w:rsidRPr="00200377">
              <w:rPr>
                <w:rFonts w:eastAsia="Times New Roman" w:cs="Times New Roman"/>
                <w:color w:val="000000"/>
                <w:sz w:val="18"/>
                <w:szCs w:val="18"/>
                <w:lang w:eastAsia="sk-SK"/>
              </w:rPr>
              <w:t>Daň z príjmov fyzických osôb</w:t>
            </w:r>
          </w:p>
        </w:tc>
        <w:tc>
          <w:tcPr>
            <w:tcW w:w="618" w:type="pct"/>
            <w:tcBorders>
              <w:top w:val="nil"/>
              <w:left w:val="nil"/>
              <w:bottom w:val="nil"/>
              <w:right w:val="nil"/>
            </w:tcBorders>
            <w:shd w:val="clear" w:color="auto" w:fill="auto"/>
            <w:noWrap/>
            <w:vAlign w:val="center"/>
            <w:hideMark/>
          </w:tcPr>
          <w:p w14:paraId="7F5B48C6"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rFonts w:eastAsia="Times New Roman" w:cs="Times New Roman"/>
                <w:color w:val="000000"/>
                <w:sz w:val="18"/>
                <w:szCs w:val="18"/>
                <w:lang w:eastAsia="sk-SK"/>
              </w:rPr>
              <w:t>4 837 552</w:t>
            </w:r>
          </w:p>
        </w:tc>
        <w:tc>
          <w:tcPr>
            <w:tcW w:w="851" w:type="pct"/>
            <w:tcBorders>
              <w:top w:val="nil"/>
              <w:left w:val="nil"/>
              <w:bottom w:val="nil"/>
              <w:right w:val="nil"/>
            </w:tcBorders>
            <w:shd w:val="clear" w:color="auto" w:fill="auto"/>
            <w:noWrap/>
            <w:vAlign w:val="center"/>
            <w:hideMark/>
          </w:tcPr>
          <w:p w14:paraId="6C03CFC9" w14:textId="75C0363D" w:rsidR="004C6700" w:rsidRPr="00200377" w:rsidRDefault="004C6700" w:rsidP="00524216">
            <w:pPr>
              <w:spacing w:after="0" w:line="240" w:lineRule="auto"/>
              <w:jc w:val="right"/>
              <w:rPr>
                <w:rFonts w:eastAsia="Times New Roman" w:cs="Times New Roman"/>
                <w:color w:val="000000"/>
                <w:sz w:val="18"/>
                <w:szCs w:val="18"/>
                <w:lang w:eastAsia="sk-SK"/>
              </w:rPr>
            </w:pPr>
            <w:r w:rsidRPr="00200377">
              <w:rPr>
                <w:rFonts w:eastAsia="Times New Roman" w:cs="Times New Roman"/>
                <w:color w:val="000000"/>
                <w:sz w:val="18"/>
                <w:szCs w:val="18"/>
                <w:lang w:eastAsia="sk-SK"/>
              </w:rPr>
              <w:t>4 624 26</w:t>
            </w:r>
            <w:r w:rsidR="00524216" w:rsidRPr="00200377">
              <w:rPr>
                <w:rFonts w:eastAsia="Times New Roman" w:cs="Times New Roman"/>
                <w:color w:val="000000"/>
                <w:sz w:val="18"/>
                <w:szCs w:val="18"/>
                <w:lang w:eastAsia="sk-SK"/>
              </w:rPr>
              <w:t>5</w:t>
            </w:r>
          </w:p>
        </w:tc>
        <w:tc>
          <w:tcPr>
            <w:tcW w:w="509" w:type="pct"/>
            <w:tcBorders>
              <w:top w:val="nil"/>
              <w:left w:val="nil"/>
              <w:bottom w:val="nil"/>
              <w:right w:val="nil"/>
            </w:tcBorders>
            <w:shd w:val="clear" w:color="auto" w:fill="auto"/>
            <w:noWrap/>
            <w:vAlign w:val="center"/>
            <w:hideMark/>
          </w:tcPr>
          <w:p w14:paraId="69473599" w14:textId="5B29DA12" w:rsidR="004C6700" w:rsidRPr="00200377" w:rsidRDefault="004C6700" w:rsidP="00524216">
            <w:pPr>
              <w:spacing w:after="0" w:line="240" w:lineRule="auto"/>
              <w:jc w:val="right"/>
              <w:rPr>
                <w:rFonts w:eastAsia="Times New Roman" w:cs="Times New Roman"/>
                <w:color w:val="000000"/>
                <w:sz w:val="18"/>
                <w:szCs w:val="18"/>
                <w:lang w:eastAsia="sk-SK"/>
              </w:rPr>
            </w:pPr>
            <w:r w:rsidRPr="00200377">
              <w:rPr>
                <w:rFonts w:eastAsia="Times New Roman" w:cs="Times New Roman"/>
                <w:color w:val="000000"/>
                <w:sz w:val="18"/>
                <w:szCs w:val="18"/>
                <w:lang w:eastAsia="sk-SK"/>
              </w:rPr>
              <w:t>-213 28</w:t>
            </w:r>
            <w:r w:rsidR="00524216" w:rsidRPr="00200377">
              <w:rPr>
                <w:rFonts w:eastAsia="Times New Roman" w:cs="Times New Roman"/>
                <w:color w:val="000000"/>
                <w:sz w:val="18"/>
                <w:szCs w:val="18"/>
                <w:lang w:eastAsia="sk-SK"/>
              </w:rPr>
              <w:t>7</w:t>
            </w:r>
          </w:p>
        </w:tc>
      </w:tr>
      <w:tr w:rsidR="004C6700" w:rsidRPr="00200377" w14:paraId="29A4E7B8" w14:textId="77777777" w:rsidTr="00836EB5">
        <w:trPr>
          <w:trHeight w:val="286"/>
        </w:trPr>
        <w:tc>
          <w:tcPr>
            <w:tcW w:w="3022" w:type="pct"/>
            <w:tcBorders>
              <w:top w:val="nil"/>
              <w:left w:val="nil"/>
              <w:bottom w:val="nil"/>
              <w:right w:val="nil"/>
            </w:tcBorders>
            <w:shd w:val="clear" w:color="auto" w:fill="auto"/>
            <w:noWrap/>
            <w:vAlign w:val="center"/>
            <w:hideMark/>
          </w:tcPr>
          <w:p w14:paraId="0F000E45" w14:textId="77777777" w:rsidR="004C6700" w:rsidRPr="00200377" w:rsidRDefault="004C6700" w:rsidP="00836EB5">
            <w:pPr>
              <w:spacing w:after="0" w:line="240" w:lineRule="auto"/>
              <w:jc w:val="left"/>
              <w:rPr>
                <w:rFonts w:eastAsia="Times New Roman" w:cs="Times New Roman"/>
                <w:color w:val="000000"/>
                <w:sz w:val="18"/>
                <w:szCs w:val="18"/>
                <w:lang w:eastAsia="sk-SK"/>
              </w:rPr>
            </w:pPr>
            <w:r w:rsidRPr="00200377">
              <w:rPr>
                <w:rFonts w:eastAsia="Times New Roman" w:cs="Times New Roman"/>
                <w:color w:val="000000"/>
                <w:sz w:val="18"/>
                <w:szCs w:val="18"/>
                <w:lang w:eastAsia="sk-SK"/>
              </w:rPr>
              <w:t xml:space="preserve">      - závislá činnosť</w:t>
            </w:r>
          </w:p>
        </w:tc>
        <w:tc>
          <w:tcPr>
            <w:tcW w:w="618" w:type="pct"/>
            <w:tcBorders>
              <w:top w:val="nil"/>
              <w:left w:val="nil"/>
              <w:bottom w:val="nil"/>
              <w:right w:val="nil"/>
            </w:tcBorders>
            <w:shd w:val="clear" w:color="auto" w:fill="auto"/>
            <w:noWrap/>
            <w:vAlign w:val="center"/>
            <w:hideMark/>
          </w:tcPr>
          <w:p w14:paraId="10301B27" w14:textId="77777777" w:rsidR="004C6700" w:rsidRPr="00200377" w:rsidRDefault="004C6700" w:rsidP="00836EB5">
            <w:pPr>
              <w:spacing w:after="0" w:line="240" w:lineRule="auto"/>
              <w:jc w:val="right"/>
              <w:rPr>
                <w:rFonts w:eastAsia="Times New Roman" w:cs="Times New Roman"/>
                <w:color w:val="000000"/>
                <w:sz w:val="18"/>
                <w:szCs w:val="18"/>
                <w:lang w:eastAsia="sk-SK"/>
              </w:rPr>
            </w:pPr>
            <w:bookmarkStart w:id="24" w:name="RANGE!B6"/>
            <w:r w:rsidRPr="00200377">
              <w:rPr>
                <w:color w:val="000000"/>
                <w:sz w:val="18"/>
                <w:szCs w:val="18"/>
              </w:rPr>
              <w:t>4 677 851</w:t>
            </w:r>
            <w:bookmarkEnd w:id="24"/>
          </w:p>
        </w:tc>
        <w:tc>
          <w:tcPr>
            <w:tcW w:w="851" w:type="pct"/>
            <w:tcBorders>
              <w:top w:val="nil"/>
              <w:left w:val="nil"/>
              <w:bottom w:val="nil"/>
              <w:right w:val="nil"/>
            </w:tcBorders>
            <w:shd w:val="clear" w:color="auto" w:fill="auto"/>
            <w:noWrap/>
            <w:vAlign w:val="center"/>
            <w:hideMark/>
          </w:tcPr>
          <w:p w14:paraId="208E4F7B"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4 436 022</w:t>
            </w:r>
          </w:p>
        </w:tc>
        <w:tc>
          <w:tcPr>
            <w:tcW w:w="509" w:type="pct"/>
            <w:tcBorders>
              <w:top w:val="nil"/>
              <w:left w:val="nil"/>
              <w:bottom w:val="nil"/>
              <w:right w:val="nil"/>
            </w:tcBorders>
            <w:shd w:val="clear" w:color="auto" w:fill="auto"/>
            <w:noWrap/>
            <w:vAlign w:val="center"/>
            <w:hideMark/>
          </w:tcPr>
          <w:p w14:paraId="0E8BF0E3"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-241 829</w:t>
            </w:r>
          </w:p>
        </w:tc>
      </w:tr>
      <w:tr w:rsidR="004C6700" w:rsidRPr="00200377" w14:paraId="02F6E267" w14:textId="77777777" w:rsidTr="00836EB5">
        <w:trPr>
          <w:trHeight w:val="286"/>
        </w:trPr>
        <w:tc>
          <w:tcPr>
            <w:tcW w:w="3022" w:type="pct"/>
            <w:tcBorders>
              <w:top w:val="nil"/>
              <w:left w:val="nil"/>
              <w:bottom w:val="nil"/>
              <w:right w:val="nil"/>
            </w:tcBorders>
            <w:shd w:val="clear" w:color="auto" w:fill="auto"/>
            <w:noWrap/>
            <w:vAlign w:val="center"/>
            <w:hideMark/>
          </w:tcPr>
          <w:p w14:paraId="365A3A9D" w14:textId="77777777" w:rsidR="004C6700" w:rsidRPr="00200377" w:rsidRDefault="004C6700" w:rsidP="00836EB5">
            <w:pPr>
              <w:spacing w:after="0" w:line="240" w:lineRule="auto"/>
              <w:jc w:val="left"/>
              <w:rPr>
                <w:rFonts w:eastAsia="Times New Roman" w:cs="Times New Roman"/>
                <w:color w:val="000000"/>
                <w:sz w:val="18"/>
                <w:szCs w:val="18"/>
                <w:lang w:eastAsia="sk-SK"/>
              </w:rPr>
            </w:pPr>
            <w:r w:rsidRPr="00200377">
              <w:rPr>
                <w:rFonts w:eastAsia="Times New Roman" w:cs="Times New Roman"/>
                <w:color w:val="000000"/>
                <w:sz w:val="18"/>
                <w:szCs w:val="18"/>
                <w:lang w:eastAsia="sk-SK"/>
              </w:rPr>
              <w:t xml:space="preserve">      - podnikanie</w:t>
            </w:r>
          </w:p>
        </w:tc>
        <w:tc>
          <w:tcPr>
            <w:tcW w:w="618" w:type="pct"/>
            <w:tcBorders>
              <w:top w:val="nil"/>
              <w:left w:val="nil"/>
              <w:bottom w:val="nil"/>
              <w:right w:val="nil"/>
            </w:tcBorders>
            <w:shd w:val="clear" w:color="auto" w:fill="auto"/>
            <w:noWrap/>
            <w:vAlign w:val="center"/>
            <w:hideMark/>
          </w:tcPr>
          <w:p w14:paraId="3E87586D"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159 701</w:t>
            </w:r>
          </w:p>
        </w:tc>
        <w:tc>
          <w:tcPr>
            <w:tcW w:w="851" w:type="pct"/>
            <w:tcBorders>
              <w:top w:val="nil"/>
              <w:left w:val="nil"/>
              <w:bottom w:val="nil"/>
              <w:right w:val="nil"/>
            </w:tcBorders>
            <w:shd w:val="clear" w:color="auto" w:fill="auto"/>
            <w:noWrap/>
            <w:vAlign w:val="center"/>
            <w:hideMark/>
          </w:tcPr>
          <w:p w14:paraId="69581AB2"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188 243</w:t>
            </w:r>
          </w:p>
        </w:tc>
        <w:tc>
          <w:tcPr>
            <w:tcW w:w="509" w:type="pct"/>
            <w:tcBorders>
              <w:top w:val="nil"/>
              <w:left w:val="nil"/>
              <w:bottom w:val="nil"/>
              <w:right w:val="nil"/>
            </w:tcBorders>
            <w:shd w:val="clear" w:color="auto" w:fill="auto"/>
            <w:noWrap/>
            <w:vAlign w:val="center"/>
            <w:hideMark/>
          </w:tcPr>
          <w:p w14:paraId="74051B58"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28 542</w:t>
            </w:r>
          </w:p>
        </w:tc>
      </w:tr>
      <w:tr w:rsidR="004C6700" w:rsidRPr="00200377" w14:paraId="46FFF878" w14:textId="77777777" w:rsidTr="00836EB5">
        <w:trPr>
          <w:trHeight w:val="286"/>
        </w:trPr>
        <w:tc>
          <w:tcPr>
            <w:tcW w:w="3022" w:type="pct"/>
            <w:tcBorders>
              <w:top w:val="nil"/>
              <w:left w:val="nil"/>
              <w:bottom w:val="nil"/>
              <w:right w:val="nil"/>
            </w:tcBorders>
            <w:shd w:val="clear" w:color="auto" w:fill="auto"/>
            <w:noWrap/>
            <w:vAlign w:val="center"/>
            <w:hideMark/>
          </w:tcPr>
          <w:p w14:paraId="54583E64" w14:textId="77777777" w:rsidR="004C6700" w:rsidRPr="00200377" w:rsidRDefault="004C6700" w:rsidP="00836EB5">
            <w:pPr>
              <w:spacing w:after="0" w:line="240" w:lineRule="auto"/>
              <w:jc w:val="left"/>
              <w:rPr>
                <w:rFonts w:eastAsia="Times New Roman" w:cs="Times New Roman"/>
                <w:color w:val="000000"/>
                <w:sz w:val="18"/>
                <w:szCs w:val="18"/>
                <w:lang w:eastAsia="sk-SK"/>
              </w:rPr>
            </w:pPr>
            <w:r w:rsidRPr="00200377">
              <w:rPr>
                <w:rFonts w:eastAsia="Times New Roman" w:cs="Times New Roman"/>
                <w:color w:val="000000"/>
                <w:sz w:val="18"/>
                <w:szCs w:val="18"/>
                <w:lang w:eastAsia="sk-SK"/>
              </w:rPr>
              <w:t>Daň z príjmov právnických osôb</w:t>
            </w:r>
          </w:p>
        </w:tc>
        <w:tc>
          <w:tcPr>
            <w:tcW w:w="618" w:type="pct"/>
            <w:tcBorders>
              <w:top w:val="nil"/>
              <w:left w:val="nil"/>
              <w:bottom w:val="nil"/>
              <w:right w:val="nil"/>
            </w:tcBorders>
            <w:shd w:val="clear" w:color="auto" w:fill="auto"/>
            <w:noWrap/>
            <w:vAlign w:val="center"/>
            <w:hideMark/>
          </w:tcPr>
          <w:p w14:paraId="585E6C47"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3 920 041</w:t>
            </w:r>
          </w:p>
        </w:tc>
        <w:tc>
          <w:tcPr>
            <w:tcW w:w="851" w:type="pct"/>
            <w:tcBorders>
              <w:top w:val="nil"/>
              <w:left w:val="nil"/>
              <w:bottom w:val="nil"/>
              <w:right w:val="nil"/>
            </w:tcBorders>
            <w:shd w:val="clear" w:color="auto" w:fill="auto"/>
            <w:noWrap/>
            <w:vAlign w:val="center"/>
            <w:hideMark/>
          </w:tcPr>
          <w:p w14:paraId="396CCA7E"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4 263 250</w:t>
            </w:r>
          </w:p>
        </w:tc>
        <w:tc>
          <w:tcPr>
            <w:tcW w:w="509" w:type="pct"/>
            <w:tcBorders>
              <w:top w:val="nil"/>
              <w:left w:val="nil"/>
              <w:bottom w:val="nil"/>
              <w:right w:val="nil"/>
            </w:tcBorders>
            <w:shd w:val="clear" w:color="auto" w:fill="auto"/>
            <w:noWrap/>
            <w:vAlign w:val="center"/>
            <w:hideMark/>
          </w:tcPr>
          <w:p w14:paraId="1DA1106D"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343 209</w:t>
            </w:r>
          </w:p>
        </w:tc>
      </w:tr>
      <w:tr w:rsidR="004C6700" w:rsidRPr="00200377" w14:paraId="58EB6164" w14:textId="77777777" w:rsidTr="00836EB5">
        <w:trPr>
          <w:trHeight w:val="286"/>
        </w:trPr>
        <w:tc>
          <w:tcPr>
            <w:tcW w:w="3022" w:type="pct"/>
            <w:tcBorders>
              <w:top w:val="nil"/>
              <w:left w:val="nil"/>
              <w:bottom w:val="nil"/>
              <w:right w:val="nil"/>
            </w:tcBorders>
            <w:shd w:val="clear" w:color="auto" w:fill="auto"/>
            <w:noWrap/>
            <w:vAlign w:val="center"/>
            <w:hideMark/>
          </w:tcPr>
          <w:p w14:paraId="64EBE962" w14:textId="77777777" w:rsidR="004C6700" w:rsidRPr="00200377" w:rsidRDefault="004C6700" w:rsidP="00836EB5">
            <w:pPr>
              <w:spacing w:after="0" w:line="240" w:lineRule="auto"/>
              <w:jc w:val="left"/>
              <w:rPr>
                <w:rFonts w:eastAsia="Times New Roman" w:cs="Times New Roman"/>
                <w:color w:val="000000"/>
                <w:sz w:val="18"/>
                <w:szCs w:val="18"/>
                <w:lang w:eastAsia="sk-SK"/>
              </w:rPr>
            </w:pPr>
            <w:r w:rsidRPr="00200377">
              <w:rPr>
                <w:rFonts w:eastAsia="Times New Roman" w:cs="Times New Roman"/>
                <w:color w:val="000000"/>
                <w:sz w:val="18"/>
                <w:szCs w:val="18"/>
                <w:lang w:eastAsia="sk-SK"/>
              </w:rPr>
              <w:t>Daň z príjmov vyberaná zrážkou</w:t>
            </w:r>
          </w:p>
        </w:tc>
        <w:tc>
          <w:tcPr>
            <w:tcW w:w="618" w:type="pct"/>
            <w:tcBorders>
              <w:top w:val="nil"/>
              <w:left w:val="nil"/>
              <w:bottom w:val="nil"/>
              <w:right w:val="nil"/>
            </w:tcBorders>
            <w:shd w:val="clear" w:color="auto" w:fill="auto"/>
            <w:noWrap/>
            <w:vAlign w:val="center"/>
            <w:hideMark/>
          </w:tcPr>
          <w:p w14:paraId="496553FB"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368 670</w:t>
            </w:r>
          </w:p>
        </w:tc>
        <w:tc>
          <w:tcPr>
            <w:tcW w:w="851" w:type="pct"/>
            <w:tcBorders>
              <w:top w:val="nil"/>
              <w:left w:val="nil"/>
              <w:bottom w:val="nil"/>
              <w:right w:val="nil"/>
            </w:tcBorders>
            <w:shd w:val="clear" w:color="auto" w:fill="auto"/>
            <w:noWrap/>
            <w:vAlign w:val="center"/>
            <w:hideMark/>
          </w:tcPr>
          <w:p w14:paraId="4F5395EE"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430 574</w:t>
            </w:r>
          </w:p>
        </w:tc>
        <w:tc>
          <w:tcPr>
            <w:tcW w:w="509" w:type="pct"/>
            <w:tcBorders>
              <w:top w:val="nil"/>
              <w:left w:val="nil"/>
              <w:bottom w:val="nil"/>
              <w:right w:val="nil"/>
            </w:tcBorders>
            <w:shd w:val="clear" w:color="auto" w:fill="auto"/>
            <w:noWrap/>
            <w:vAlign w:val="center"/>
            <w:hideMark/>
          </w:tcPr>
          <w:p w14:paraId="54ABABD1"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61 904</w:t>
            </w:r>
          </w:p>
        </w:tc>
      </w:tr>
      <w:tr w:rsidR="004C6700" w:rsidRPr="00200377" w14:paraId="77F30A33" w14:textId="77777777" w:rsidTr="00836EB5">
        <w:trPr>
          <w:trHeight w:val="286"/>
        </w:trPr>
        <w:tc>
          <w:tcPr>
            <w:tcW w:w="3022" w:type="pct"/>
            <w:tcBorders>
              <w:top w:val="nil"/>
              <w:left w:val="nil"/>
              <w:bottom w:val="nil"/>
              <w:right w:val="nil"/>
            </w:tcBorders>
            <w:shd w:val="clear" w:color="auto" w:fill="auto"/>
            <w:noWrap/>
            <w:vAlign w:val="center"/>
            <w:hideMark/>
          </w:tcPr>
          <w:p w14:paraId="59042BD1" w14:textId="77777777" w:rsidR="004C6700" w:rsidRPr="00200377" w:rsidRDefault="004C6700" w:rsidP="00836EB5">
            <w:pPr>
              <w:spacing w:after="0" w:line="240" w:lineRule="auto"/>
              <w:jc w:val="left"/>
              <w:rPr>
                <w:rFonts w:eastAsia="Times New Roman" w:cs="Times New Roman"/>
                <w:color w:val="000000"/>
                <w:sz w:val="18"/>
                <w:szCs w:val="18"/>
                <w:lang w:eastAsia="sk-SK"/>
              </w:rPr>
            </w:pPr>
            <w:r w:rsidRPr="00200377">
              <w:rPr>
                <w:rFonts w:eastAsia="Times New Roman" w:cs="Times New Roman"/>
                <w:color w:val="000000"/>
                <w:sz w:val="18"/>
                <w:szCs w:val="18"/>
                <w:lang w:eastAsia="sk-SK"/>
              </w:rPr>
              <w:t>Daň z pridanej hodnoty</w:t>
            </w:r>
          </w:p>
        </w:tc>
        <w:tc>
          <w:tcPr>
            <w:tcW w:w="618" w:type="pct"/>
            <w:tcBorders>
              <w:top w:val="nil"/>
              <w:left w:val="nil"/>
              <w:bottom w:val="nil"/>
              <w:right w:val="nil"/>
            </w:tcBorders>
            <w:shd w:val="clear" w:color="auto" w:fill="auto"/>
            <w:noWrap/>
            <w:vAlign w:val="center"/>
            <w:hideMark/>
          </w:tcPr>
          <w:p w14:paraId="1011DFBF"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9 883 679</w:t>
            </w:r>
          </w:p>
        </w:tc>
        <w:tc>
          <w:tcPr>
            <w:tcW w:w="851" w:type="pct"/>
            <w:tcBorders>
              <w:top w:val="nil"/>
              <w:left w:val="nil"/>
              <w:bottom w:val="nil"/>
              <w:right w:val="nil"/>
            </w:tcBorders>
            <w:shd w:val="clear" w:color="auto" w:fill="auto"/>
            <w:noWrap/>
            <w:vAlign w:val="center"/>
            <w:hideMark/>
          </w:tcPr>
          <w:p w14:paraId="18C16EAB"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9 799 764</w:t>
            </w:r>
          </w:p>
        </w:tc>
        <w:tc>
          <w:tcPr>
            <w:tcW w:w="509" w:type="pct"/>
            <w:tcBorders>
              <w:top w:val="nil"/>
              <w:left w:val="nil"/>
              <w:bottom w:val="nil"/>
              <w:right w:val="nil"/>
            </w:tcBorders>
            <w:shd w:val="clear" w:color="auto" w:fill="auto"/>
            <w:noWrap/>
            <w:vAlign w:val="center"/>
            <w:hideMark/>
          </w:tcPr>
          <w:p w14:paraId="4FBF4626"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-83 915</w:t>
            </w:r>
          </w:p>
        </w:tc>
      </w:tr>
      <w:tr w:rsidR="004C6700" w:rsidRPr="00200377" w14:paraId="6F5C5148" w14:textId="77777777" w:rsidTr="00836EB5">
        <w:trPr>
          <w:trHeight w:val="286"/>
        </w:trPr>
        <w:tc>
          <w:tcPr>
            <w:tcW w:w="3022" w:type="pct"/>
            <w:tcBorders>
              <w:top w:val="nil"/>
              <w:left w:val="nil"/>
              <w:bottom w:val="nil"/>
              <w:right w:val="nil"/>
            </w:tcBorders>
            <w:shd w:val="clear" w:color="auto" w:fill="auto"/>
            <w:noWrap/>
            <w:vAlign w:val="center"/>
            <w:hideMark/>
          </w:tcPr>
          <w:p w14:paraId="41DB4408" w14:textId="77777777" w:rsidR="004C6700" w:rsidRPr="00200377" w:rsidRDefault="004C6700" w:rsidP="00836EB5">
            <w:pPr>
              <w:spacing w:after="0" w:line="240" w:lineRule="auto"/>
              <w:jc w:val="left"/>
              <w:rPr>
                <w:rFonts w:eastAsia="Times New Roman" w:cs="Times New Roman"/>
                <w:color w:val="000000"/>
                <w:sz w:val="18"/>
                <w:szCs w:val="18"/>
                <w:lang w:eastAsia="sk-SK"/>
              </w:rPr>
            </w:pPr>
            <w:r w:rsidRPr="00200377">
              <w:rPr>
                <w:rFonts w:eastAsia="Times New Roman" w:cs="Times New Roman"/>
                <w:color w:val="000000"/>
                <w:sz w:val="18"/>
                <w:szCs w:val="18"/>
                <w:lang w:eastAsia="sk-SK"/>
              </w:rPr>
              <w:t>Spotrebné dane</w:t>
            </w:r>
            <w:r w:rsidRPr="00200377">
              <w:rPr>
                <w:rFonts w:eastAsia="Times New Roman" w:cs="Times New Roman"/>
                <w:color w:val="000000"/>
                <w:sz w:val="18"/>
                <w:szCs w:val="18"/>
                <w:vertAlign w:val="superscript"/>
                <w:lang w:eastAsia="sk-SK"/>
              </w:rPr>
              <w:t>1</w:t>
            </w:r>
          </w:p>
        </w:tc>
        <w:tc>
          <w:tcPr>
            <w:tcW w:w="618" w:type="pct"/>
            <w:tcBorders>
              <w:top w:val="nil"/>
              <w:left w:val="nil"/>
              <w:bottom w:val="nil"/>
              <w:right w:val="nil"/>
            </w:tcBorders>
            <w:shd w:val="clear" w:color="auto" w:fill="auto"/>
            <w:noWrap/>
            <w:vAlign w:val="center"/>
            <w:hideMark/>
          </w:tcPr>
          <w:p w14:paraId="13CDCA57"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2 548 050</w:t>
            </w:r>
          </w:p>
        </w:tc>
        <w:tc>
          <w:tcPr>
            <w:tcW w:w="851" w:type="pct"/>
            <w:tcBorders>
              <w:top w:val="nil"/>
              <w:left w:val="nil"/>
              <w:bottom w:val="nil"/>
              <w:right w:val="nil"/>
            </w:tcBorders>
            <w:shd w:val="clear" w:color="auto" w:fill="auto"/>
            <w:noWrap/>
            <w:vAlign w:val="center"/>
            <w:hideMark/>
          </w:tcPr>
          <w:p w14:paraId="58D82081"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2 600 048</w:t>
            </w:r>
          </w:p>
        </w:tc>
        <w:tc>
          <w:tcPr>
            <w:tcW w:w="509" w:type="pct"/>
            <w:tcBorders>
              <w:top w:val="nil"/>
              <w:left w:val="nil"/>
              <w:bottom w:val="nil"/>
              <w:right w:val="nil"/>
            </w:tcBorders>
            <w:shd w:val="clear" w:color="auto" w:fill="auto"/>
            <w:noWrap/>
            <w:vAlign w:val="center"/>
            <w:hideMark/>
          </w:tcPr>
          <w:p w14:paraId="7663D7D7"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51 998</w:t>
            </w:r>
          </w:p>
        </w:tc>
      </w:tr>
      <w:tr w:rsidR="004C6700" w:rsidRPr="00200377" w14:paraId="52386941" w14:textId="77777777" w:rsidTr="00836EB5">
        <w:trPr>
          <w:trHeight w:val="286"/>
        </w:trPr>
        <w:tc>
          <w:tcPr>
            <w:tcW w:w="3022" w:type="pct"/>
            <w:tcBorders>
              <w:top w:val="nil"/>
              <w:left w:val="nil"/>
              <w:bottom w:val="nil"/>
              <w:right w:val="nil"/>
            </w:tcBorders>
            <w:shd w:val="clear" w:color="auto" w:fill="auto"/>
            <w:noWrap/>
            <w:vAlign w:val="center"/>
            <w:hideMark/>
          </w:tcPr>
          <w:p w14:paraId="43A732DD" w14:textId="77777777" w:rsidR="004C6700" w:rsidRPr="00200377" w:rsidRDefault="004C6700" w:rsidP="00836EB5">
            <w:pPr>
              <w:spacing w:after="0" w:line="240" w:lineRule="auto"/>
              <w:jc w:val="left"/>
              <w:rPr>
                <w:rFonts w:eastAsia="Times New Roman" w:cs="Times New Roman"/>
                <w:color w:val="000000"/>
                <w:sz w:val="18"/>
                <w:szCs w:val="18"/>
                <w:lang w:eastAsia="sk-SK"/>
              </w:rPr>
            </w:pPr>
            <w:r w:rsidRPr="00200377">
              <w:rPr>
                <w:rFonts w:eastAsia="Times New Roman" w:cs="Times New Roman"/>
                <w:color w:val="000000"/>
                <w:sz w:val="18"/>
                <w:szCs w:val="18"/>
                <w:lang w:eastAsia="sk-SK"/>
              </w:rPr>
              <w:t xml:space="preserve">     - Minerálny olej</w:t>
            </w:r>
          </w:p>
        </w:tc>
        <w:tc>
          <w:tcPr>
            <w:tcW w:w="618" w:type="pct"/>
            <w:tcBorders>
              <w:top w:val="nil"/>
              <w:left w:val="nil"/>
              <w:bottom w:val="nil"/>
              <w:right w:val="nil"/>
            </w:tcBorders>
            <w:shd w:val="clear" w:color="auto" w:fill="auto"/>
            <w:noWrap/>
            <w:vAlign w:val="center"/>
            <w:hideMark/>
          </w:tcPr>
          <w:p w14:paraId="00571DEF"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1 294 178</w:t>
            </w:r>
          </w:p>
        </w:tc>
        <w:tc>
          <w:tcPr>
            <w:tcW w:w="851" w:type="pct"/>
            <w:tcBorders>
              <w:top w:val="nil"/>
              <w:left w:val="nil"/>
              <w:bottom w:val="nil"/>
              <w:right w:val="nil"/>
            </w:tcBorders>
            <w:shd w:val="clear" w:color="auto" w:fill="auto"/>
            <w:noWrap/>
            <w:vAlign w:val="center"/>
            <w:hideMark/>
          </w:tcPr>
          <w:p w14:paraId="2923FE8A"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1 315 052</w:t>
            </w:r>
          </w:p>
        </w:tc>
        <w:tc>
          <w:tcPr>
            <w:tcW w:w="509" w:type="pct"/>
            <w:tcBorders>
              <w:top w:val="nil"/>
              <w:left w:val="nil"/>
              <w:bottom w:val="nil"/>
              <w:right w:val="nil"/>
            </w:tcBorders>
            <w:shd w:val="clear" w:color="auto" w:fill="auto"/>
            <w:noWrap/>
            <w:vAlign w:val="center"/>
            <w:hideMark/>
          </w:tcPr>
          <w:p w14:paraId="64E8CE1F"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20 874</w:t>
            </w:r>
          </w:p>
        </w:tc>
      </w:tr>
      <w:tr w:rsidR="004C6700" w:rsidRPr="00200377" w14:paraId="5F2223E8" w14:textId="77777777" w:rsidTr="00836EB5">
        <w:trPr>
          <w:trHeight w:val="286"/>
        </w:trPr>
        <w:tc>
          <w:tcPr>
            <w:tcW w:w="3022" w:type="pct"/>
            <w:tcBorders>
              <w:top w:val="nil"/>
              <w:left w:val="nil"/>
              <w:bottom w:val="nil"/>
              <w:right w:val="nil"/>
            </w:tcBorders>
            <w:shd w:val="clear" w:color="auto" w:fill="auto"/>
            <w:noWrap/>
            <w:vAlign w:val="center"/>
            <w:hideMark/>
          </w:tcPr>
          <w:p w14:paraId="592AD554" w14:textId="77777777" w:rsidR="004C6700" w:rsidRPr="00200377" w:rsidRDefault="004C6700" w:rsidP="00836EB5">
            <w:pPr>
              <w:spacing w:after="0" w:line="240" w:lineRule="auto"/>
              <w:jc w:val="left"/>
              <w:rPr>
                <w:rFonts w:eastAsia="Times New Roman" w:cs="Times New Roman"/>
                <w:color w:val="000000"/>
                <w:sz w:val="18"/>
                <w:szCs w:val="18"/>
                <w:lang w:eastAsia="sk-SK"/>
              </w:rPr>
            </w:pPr>
            <w:r w:rsidRPr="00200377">
              <w:rPr>
                <w:rFonts w:eastAsia="Times New Roman" w:cs="Times New Roman"/>
                <w:color w:val="000000"/>
                <w:sz w:val="18"/>
                <w:szCs w:val="18"/>
                <w:lang w:eastAsia="sk-SK"/>
              </w:rPr>
              <w:t xml:space="preserve">     - Tabak a tabakové výrobky</w:t>
            </w:r>
          </w:p>
        </w:tc>
        <w:tc>
          <w:tcPr>
            <w:tcW w:w="618" w:type="pct"/>
            <w:tcBorders>
              <w:top w:val="nil"/>
              <w:left w:val="nil"/>
              <w:bottom w:val="nil"/>
              <w:right w:val="nil"/>
            </w:tcBorders>
            <w:shd w:val="clear" w:color="auto" w:fill="auto"/>
            <w:noWrap/>
            <w:vAlign w:val="center"/>
            <w:hideMark/>
          </w:tcPr>
          <w:p w14:paraId="5B46D4E0"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942 227</w:t>
            </w:r>
          </w:p>
        </w:tc>
        <w:tc>
          <w:tcPr>
            <w:tcW w:w="851" w:type="pct"/>
            <w:tcBorders>
              <w:top w:val="nil"/>
              <w:left w:val="nil"/>
              <w:bottom w:val="nil"/>
              <w:right w:val="nil"/>
            </w:tcBorders>
            <w:shd w:val="clear" w:color="auto" w:fill="auto"/>
            <w:noWrap/>
            <w:vAlign w:val="center"/>
            <w:hideMark/>
          </w:tcPr>
          <w:p w14:paraId="47617BA7"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936 553</w:t>
            </w:r>
          </w:p>
        </w:tc>
        <w:tc>
          <w:tcPr>
            <w:tcW w:w="509" w:type="pct"/>
            <w:tcBorders>
              <w:top w:val="nil"/>
              <w:left w:val="nil"/>
              <w:bottom w:val="nil"/>
              <w:right w:val="nil"/>
            </w:tcBorders>
            <w:shd w:val="clear" w:color="auto" w:fill="auto"/>
            <w:noWrap/>
            <w:vAlign w:val="center"/>
            <w:hideMark/>
          </w:tcPr>
          <w:p w14:paraId="01D18D30"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-5 674</w:t>
            </w:r>
          </w:p>
        </w:tc>
      </w:tr>
      <w:tr w:rsidR="004C6700" w:rsidRPr="00200377" w14:paraId="516E9567" w14:textId="77777777" w:rsidTr="00836EB5">
        <w:trPr>
          <w:trHeight w:val="286"/>
        </w:trPr>
        <w:tc>
          <w:tcPr>
            <w:tcW w:w="3022" w:type="pct"/>
            <w:tcBorders>
              <w:top w:val="nil"/>
              <w:left w:val="nil"/>
              <w:bottom w:val="nil"/>
              <w:right w:val="nil"/>
            </w:tcBorders>
            <w:shd w:val="clear" w:color="auto" w:fill="auto"/>
            <w:noWrap/>
            <w:vAlign w:val="center"/>
            <w:hideMark/>
          </w:tcPr>
          <w:p w14:paraId="3BC86156" w14:textId="77777777" w:rsidR="004C6700" w:rsidRPr="00200377" w:rsidRDefault="004C6700" w:rsidP="00836EB5">
            <w:pPr>
              <w:spacing w:after="0" w:line="240" w:lineRule="auto"/>
              <w:jc w:val="left"/>
              <w:rPr>
                <w:rFonts w:eastAsia="Times New Roman" w:cs="Times New Roman"/>
                <w:color w:val="000000"/>
                <w:sz w:val="18"/>
                <w:szCs w:val="18"/>
                <w:lang w:eastAsia="sk-SK"/>
              </w:rPr>
            </w:pPr>
            <w:r w:rsidRPr="00200377">
              <w:rPr>
                <w:rFonts w:eastAsia="Times New Roman" w:cs="Times New Roman"/>
                <w:color w:val="000000"/>
                <w:sz w:val="18"/>
                <w:szCs w:val="18"/>
                <w:lang w:eastAsia="sk-SK"/>
              </w:rPr>
              <w:t xml:space="preserve">     - Ostatné spotrebné dane</w:t>
            </w:r>
          </w:p>
        </w:tc>
        <w:tc>
          <w:tcPr>
            <w:tcW w:w="618" w:type="pct"/>
            <w:tcBorders>
              <w:top w:val="nil"/>
              <w:left w:val="nil"/>
              <w:bottom w:val="nil"/>
              <w:right w:val="nil"/>
            </w:tcBorders>
            <w:shd w:val="clear" w:color="auto" w:fill="auto"/>
            <w:noWrap/>
            <w:vAlign w:val="center"/>
            <w:hideMark/>
          </w:tcPr>
          <w:p w14:paraId="114AF9DC"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311 645</w:t>
            </w:r>
          </w:p>
        </w:tc>
        <w:tc>
          <w:tcPr>
            <w:tcW w:w="851" w:type="pct"/>
            <w:tcBorders>
              <w:top w:val="nil"/>
              <w:left w:val="nil"/>
              <w:bottom w:val="nil"/>
              <w:right w:val="nil"/>
            </w:tcBorders>
            <w:shd w:val="clear" w:color="auto" w:fill="auto"/>
            <w:noWrap/>
            <w:vAlign w:val="center"/>
            <w:hideMark/>
          </w:tcPr>
          <w:p w14:paraId="046029B1"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348 443</w:t>
            </w:r>
          </w:p>
        </w:tc>
        <w:tc>
          <w:tcPr>
            <w:tcW w:w="509" w:type="pct"/>
            <w:tcBorders>
              <w:top w:val="nil"/>
              <w:left w:val="nil"/>
              <w:bottom w:val="nil"/>
              <w:right w:val="nil"/>
            </w:tcBorders>
            <w:shd w:val="clear" w:color="auto" w:fill="auto"/>
            <w:noWrap/>
            <w:vAlign w:val="center"/>
            <w:hideMark/>
          </w:tcPr>
          <w:p w14:paraId="782C2AB0"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36 798</w:t>
            </w:r>
          </w:p>
        </w:tc>
      </w:tr>
      <w:tr w:rsidR="004C6700" w:rsidRPr="00200377" w14:paraId="4B0AE9C2" w14:textId="77777777" w:rsidTr="00836EB5">
        <w:trPr>
          <w:trHeight w:val="286"/>
        </w:trPr>
        <w:tc>
          <w:tcPr>
            <w:tcW w:w="3022" w:type="pct"/>
            <w:tcBorders>
              <w:top w:val="nil"/>
              <w:left w:val="nil"/>
              <w:bottom w:val="nil"/>
              <w:right w:val="nil"/>
            </w:tcBorders>
            <w:shd w:val="clear" w:color="auto" w:fill="auto"/>
            <w:noWrap/>
            <w:vAlign w:val="center"/>
            <w:hideMark/>
          </w:tcPr>
          <w:p w14:paraId="1A6666D0" w14:textId="77777777" w:rsidR="004C6700" w:rsidRPr="00200377" w:rsidRDefault="004C6700" w:rsidP="00836EB5">
            <w:pPr>
              <w:spacing w:after="0" w:line="240" w:lineRule="auto"/>
              <w:jc w:val="left"/>
              <w:rPr>
                <w:rFonts w:eastAsia="Times New Roman" w:cs="Times New Roman"/>
                <w:color w:val="000000"/>
                <w:sz w:val="18"/>
                <w:szCs w:val="18"/>
                <w:lang w:eastAsia="sk-SK"/>
              </w:rPr>
            </w:pPr>
            <w:r w:rsidRPr="00200377">
              <w:rPr>
                <w:rFonts w:eastAsia="Times New Roman" w:cs="Times New Roman"/>
                <w:color w:val="000000"/>
                <w:sz w:val="18"/>
                <w:szCs w:val="18"/>
                <w:lang w:eastAsia="sk-SK"/>
              </w:rPr>
              <w:t>Dane z majetku (nehnuteľnosti)</w:t>
            </w:r>
          </w:p>
        </w:tc>
        <w:tc>
          <w:tcPr>
            <w:tcW w:w="618" w:type="pct"/>
            <w:tcBorders>
              <w:top w:val="nil"/>
              <w:left w:val="nil"/>
              <w:bottom w:val="nil"/>
              <w:right w:val="nil"/>
            </w:tcBorders>
            <w:shd w:val="clear" w:color="auto" w:fill="auto"/>
            <w:noWrap/>
            <w:vAlign w:val="center"/>
            <w:hideMark/>
          </w:tcPr>
          <w:p w14:paraId="6582FD98"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483 510</w:t>
            </w:r>
          </w:p>
        </w:tc>
        <w:tc>
          <w:tcPr>
            <w:tcW w:w="851" w:type="pct"/>
            <w:tcBorders>
              <w:top w:val="nil"/>
              <w:left w:val="nil"/>
              <w:bottom w:val="nil"/>
              <w:right w:val="nil"/>
            </w:tcBorders>
            <w:shd w:val="clear" w:color="auto" w:fill="auto"/>
            <w:noWrap/>
            <w:vAlign w:val="center"/>
            <w:hideMark/>
          </w:tcPr>
          <w:p w14:paraId="6D47ADB9" w14:textId="100BBD43" w:rsidR="004C6700" w:rsidRPr="00200377" w:rsidRDefault="004C6700" w:rsidP="00524216">
            <w:pPr>
              <w:spacing w:after="0" w:line="240" w:lineRule="auto"/>
              <w:jc w:val="right"/>
              <w:rPr>
                <w:rFonts w:eastAsia="Times New Roman" w:cs="Times New Roman"/>
                <w:color w:val="000000"/>
                <w:sz w:val="18"/>
                <w:szCs w:val="18"/>
                <w:lang w:eastAsia="sk-SK"/>
              </w:rPr>
            </w:pPr>
            <w:r w:rsidRPr="00200377">
              <w:rPr>
                <w:color w:val="000000"/>
                <w:sz w:val="18"/>
                <w:szCs w:val="18"/>
              </w:rPr>
              <w:t>496 60</w:t>
            </w:r>
            <w:r w:rsidR="00524216" w:rsidRPr="00200377">
              <w:rPr>
                <w:color w:val="000000"/>
                <w:sz w:val="18"/>
                <w:szCs w:val="18"/>
              </w:rPr>
              <w:t>2</w:t>
            </w:r>
          </w:p>
        </w:tc>
        <w:tc>
          <w:tcPr>
            <w:tcW w:w="509" w:type="pct"/>
            <w:tcBorders>
              <w:top w:val="nil"/>
              <w:left w:val="nil"/>
              <w:bottom w:val="nil"/>
              <w:right w:val="nil"/>
            </w:tcBorders>
            <w:shd w:val="clear" w:color="auto" w:fill="auto"/>
            <w:noWrap/>
            <w:vAlign w:val="center"/>
            <w:hideMark/>
          </w:tcPr>
          <w:p w14:paraId="71E0758F"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13 097</w:t>
            </w:r>
          </w:p>
        </w:tc>
      </w:tr>
      <w:tr w:rsidR="004C6700" w:rsidRPr="00200377" w14:paraId="5808E576" w14:textId="77777777" w:rsidTr="00836EB5">
        <w:trPr>
          <w:trHeight w:val="286"/>
        </w:trPr>
        <w:tc>
          <w:tcPr>
            <w:tcW w:w="3022" w:type="pct"/>
            <w:tcBorders>
              <w:top w:val="nil"/>
              <w:left w:val="nil"/>
              <w:bottom w:val="nil"/>
              <w:right w:val="nil"/>
            </w:tcBorders>
            <w:shd w:val="clear" w:color="auto" w:fill="auto"/>
            <w:noWrap/>
            <w:vAlign w:val="center"/>
            <w:hideMark/>
          </w:tcPr>
          <w:p w14:paraId="7CB68639" w14:textId="77777777" w:rsidR="004C6700" w:rsidRPr="00200377" w:rsidRDefault="004C6700" w:rsidP="00836EB5">
            <w:pPr>
              <w:spacing w:after="0" w:line="240" w:lineRule="auto"/>
              <w:jc w:val="left"/>
              <w:rPr>
                <w:rFonts w:eastAsia="Times New Roman" w:cs="Times New Roman"/>
                <w:color w:val="000000"/>
                <w:sz w:val="18"/>
                <w:szCs w:val="18"/>
                <w:lang w:eastAsia="sk-SK"/>
              </w:rPr>
            </w:pPr>
            <w:r w:rsidRPr="00200377">
              <w:rPr>
                <w:rFonts w:eastAsia="Times New Roman" w:cs="Times New Roman"/>
                <w:color w:val="000000"/>
                <w:sz w:val="18"/>
                <w:szCs w:val="18"/>
                <w:lang w:eastAsia="sk-SK"/>
              </w:rPr>
              <w:t>Dane z medzinárodného obchodu</w:t>
            </w:r>
          </w:p>
        </w:tc>
        <w:tc>
          <w:tcPr>
            <w:tcW w:w="618" w:type="pct"/>
            <w:tcBorders>
              <w:top w:val="nil"/>
              <w:left w:val="nil"/>
              <w:bottom w:val="nil"/>
              <w:right w:val="nil"/>
            </w:tcBorders>
            <w:shd w:val="clear" w:color="auto" w:fill="auto"/>
            <w:noWrap/>
            <w:vAlign w:val="center"/>
            <w:hideMark/>
          </w:tcPr>
          <w:p w14:paraId="0148353E"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41 232</w:t>
            </w:r>
          </w:p>
        </w:tc>
        <w:tc>
          <w:tcPr>
            <w:tcW w:w="851" w:type="pct"/>
            <w:tcBorders>
              <w:top w:val="nil"/>
              <w:left w:val="nil"/>
              <w:bottom w:val="nil"/>
              <w:right w:val="nil"/>
            </w:tcBorders>
            <w:shd w:val="clear" w:color="auto" w:fill="auto"/>
            <w:noWrap/>
            <w:vAlign w:val="center"/>
            <w:hideMark/>
          </w:tcPr>
          <w:p w14:paraId="4A2F3ACE"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37 917</w:t>
            </w:r>
          </w:p>
        </w:tc>
        <w:tc>
          <w:tcPr>
            <w:tcW w:w="509" w:type="pct"/>
            <w:tcBorders>
              <w:top w:val="nil"/>
              <w:left w:val="nil"/>
              <w:bottom w:val="nil"/>
              <w:right w:val="nil"/>
            </w:tcBorders>
            <w:shd w:val="clear" w:color="auto" w:fill="auto"/>
            <w:noWrap/>
            <w:vAlign w:val="center"/>
            <w:hideMark/>
          </w:tcPr>
          <w:p w14:paraId="10EFBBEB"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-3 315</w:t>
            </w:r>
          </w:p>
        </w:tc>
      </w:tr>
      <w:tr w:rsidR="004C6700" w:rsidRPr="00200377" w14:paraId="5DF18165" w14:textId="77777777" w:rsidTr="00836EB5">
        <w:trPr>
          <w:trHeight w:val="286"/>
        </w:trPr>
        <w:tc>
          <w:tcPr>
            <w:tcW w:w="3022" w:type="pct"/>
            <w:tcBorders>
              <w:top w:val="nil"/>
              <w:left w:val="nil"/>
              <w:bottom w:val="nil"/>
              <w:right w:val="nil"/>
            </w:tcBorders>
            <w:shd w:val="clear" w:color="auto" w:fill="auto"/>
            <w:noWrap/>
            <w:vAlign w:val="center"/>
            <w:hideMark/>
          </w:tcPr>
          <w:p w14:paraId="6857B775" w14:textId="77777777" w:rsidR="004C6700" w:rsidRPr="00200377" w:rsidRDefault="004C6700" w:rsidP="00836EB5">
            <w:pPr>
              <w:spacing w:after="0" w:line="240" w:lineRule="auto"/>
              <w:jc w:val="left"/>
              <w:rPr>
                <w:rFonts w:eastAsia="Times New Roman" w:cs="Times New Roman"/>
                <w:color w:val="000000"/>
                <w:sz w:val="18"/>
                <w:szCs w:val="18"/>
                <w:lang w:eastAsia="sk-SK"/>
              </w:rPr>
            </w:pPr>
            <w:r w:rsidRPr="00200377">
              <w:rPr>
                <w:rFonts w:eastAsia="Times New Roman" w:cs="Times New Roman"/>
                <w:color w:val="000000"/>
                <w:sz w:val="18"/>
                <w:szCs w:val="18"/>
                <w:lang w:eastAsia="sk-SK"/>
              </w:rPr>
              <w:t>Ostatné dane</w:t>
            </w:r>
          </w:p>
        </w:tc>
        <w:tc>
          <w:tcPr>
            <w:tcW w:w="618" w:type="pct"/>
            <w:tcBorders>
              <w:top w:val="nil"/>
              <w:left w:val="nil"/>
              <w:bottom w:val="nil"/>
              <w:right w:val="nil"/>
            </w:tcBorders>
            <w:shd w:val="clear" w:color="auto" w:fill="auto"/>
            <w:noWrap/>
            <w:vAlign w:val="center"/>
            <w:hideMark/>
          </w:tcPr>
          <w:p w14:paraId="0825EA4F"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725 623</w:t>
            </w:r>
          </w:p>
        </w:tc>
        <w:tc>
          <w:tcPr>
            <w:tcW w:w="851" w:type="pct"/>
            <w:tcBorders>
              <w:top w:val="nil"/>
              <w:left w:val="nil"/>
              <w:bottom w:val="nil"/>
              <w:right w:val="nil"/>
            </w:tcBorders>
            <w:shd w:val="clear" w:color="auto" w:fill="auto"/>
            <w:noWrap/>
            <w:vAlign w:val="center"/>
            <w:hideMark/>
          </w:tcPr>
          <w:p w14:paraId="319A9445"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1 186 379</w:t>
            </w:r>
          </w:p>
        </w:tc>
        <w:tc>
          <w:tcPr>
            <w:tcW w:w="509" w:type="pct"/>
            <w:tcBorders>
              <w:top w:val="nil"/>
              <w:left w:val="nil"/>
              <w:bottom w:val="nil"/>
              <w:right w:val="nil"/>
            </w:tcBorders>
            <w:shd w:val="clear" w:color="auto" w:fill="auto"/>
            <w:noWrap/>
            <w:vAlign w:val="center"/>
            <w:hideMark/>
          </w:tcPr>
          <w:p w14:paraId="1236DE0E"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460 756</w:t>
            </w:r>
          </w:p>
        </w:tc>
      </w:tr>
      <w:tr w:rsidR="004C6700" w:rsidRPr="00200377" w14:paraId="13024389" w14:textId="77777777" w:rsidTr="00836EB5">
        <w:trPr>
          <w:trHeight w:val="286"/>
        </w:trPr>
        <w:tc>
          <w:tcPr>
            <w:tcW w:w="3022" w:type="pct"/>
            <w:tcBorders>
              <w:top w:val="nil"/>
              <w:left w:val="nil"/>
              <w:bottom w:val="nil"/>
              <w:right w:val="nil"/>
            </w:tcBorders>
            <w:shd w:val="clear" w:color="auto" w:fill="auto"/>
            <w:noWrap/>
            <w:vAlign w:val="center"/>
            <w:hideMark/>
          </w:tcPr>
          <w:p w14:paraId="14FDF661" w14:textId="77777777" w:rsidR="004C6700" w:rsidRPr="00200377" w:rsidRDefault="004C6700" w:rsidP="00836EB5">
            <w:pPr>
              <w:spacing w:after="0" w:line="240" w:lineRule="auto"/>
              <w:jc w:val="left"/>
              <w:rPr>
                <w:rFonts w:eastAsia="Times New Roman" w:cs="Times New Roman"/>
                <w:color w:val="000000"/>
                <w:sz w:val="18"/>
                <w:szCs w:val="18"/>
                <w:lang w:eastAsia="sk-SK"/>
              </w:rPr>
            </w:pPr>
            <w:r w:rsidRPr="00200377">
              <w:rPr>
                <w:rFonts w:eastAsia="Times New Roman" w:cs="Times New Roman"/>
                <w:color w:val="000000"/>
                <w:sz w:val="18"/>
                <w:szCs w:val="18"/>
                <w:lang w:eastAsia="sk-SK"/>
              </w:rPr>
              <w:t xml:space="preserve">     - Daň z motorových vozidiel</w:t>
            </w:r>
          </w:p>
        </w:tc>
        <w:tc>
          <w:tcPr>
            <w:tcW w:w="618" w:type="pct"/>
            <w:tcBorders>
              <w:top w:val="nil"/>
              <w:left w:val="nil"/>
              <w:bottom w:val="nil"/>
              <w:right w:val="nil"/>
            </w:tcBorders>
            <w:shd w:val="clear" w:color="auto" w:fill="auto"/>
            <w:noWrap/>
            <w:vAlign w:val="center"/>
            <w:hideMark/>
          </w:tcPr>
          <w:p w14:paraId="6DE1B649"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131 000</w:t>
            </w:r>
          </w:p>
        </w:tc>
        <w:tc>
          <w:tcPr>
            <w:tcW w:w="851" w:type="pct"/>
            <w:tcBorders>
              <w:top w:val="nil"/>
              <w:left w:val="nil"/>
              <w:bottom w:val="nil"/>
              <w:right w:val="nil"/>
            </w:tcBorders>
            <w:shd w:val="clear" w:color="auto" w:fill="auto"/>
            <w:noWrap/>
            <w:vAlign w:val="center"/>
            <w:hideMark/>
          </w:tcPr>
          <w:p w14:paraId="071B0090" w14:textId="2699CB93" w:rsidR="004C6700" w:rsidRPr="00200377" w:rsidRDefault="004C6700" w:rsidP="00524216">
            <w:pPr>
              <w:spacing w:after="0" w:line="240" w:lineRule="auto"/>
              <w:jc w:val="right"/>
              <w:rPr>
                <w:rFonts w:eastAsia="Times New Roman" w:cs="Times New Roman"/>
                <w:color w:val="000000"/>
                <w:sz w:val="18"/>
                <w:szCs w:val="18"/>
                <w:lang w:eastAsia="sk-SK"/>
              </w:rPr>
            </w:pPr>
            <w:r w:rsidRPr="00200377">
              <w:rPr>
                <w:color w:val="000000"/>
                <w:sz w:val="18"/>
                <w:szCs w:val="18"/>
              </w:rPr>
              <w:t>13</w:t>
            </w:r>
            <w:r w:rsidR="00524216" w:rsidRPr="00200377">
              <w:rPr>
                <w:color w:val="000000"/>
                <w:sz w:val="18"/>
                <w:szCs w:val="18"/>
              </w:rPr>
              <w:t>6</w:t>
            </w:r>
            <w:r w:rsidRPr="00200377">
              <w:rPr>
                <w:color w:val="000000"/>
                <w:sz w:val="18"/>
                <w:szCs w:val="18"/>
              </w:rPr>
              <w:t xml:space="preserve"> </w:t>
            </w:r>
            <w:r w:rsidR="00524216" w:rsidRPr="00200377">
              <w:rPr>
                <w:color w:val="000000"/>
                <w:sz w:val="18"/>
                <w:szCs w:val="18"/>
              </w:rPr>
              <w:t>225</w:t>
            </w:r>
          </w:p>
        </w:tc>
        <w:tc>
          <w:tcPr>
            <w:tcW w:w="509" w:type="pct"/>
            <w:tcBorders>
              <w:top w:val="nil"/>
              <w:left w:val="nil"/>
              <w:bottom w:val="nil"/>
              <w:right w:val="nil"/>
            </w:tcBorders>
            <w:shd w:val="clear" w:color="auto" w:fill="auto"/>
            <w:noWrap/>
            <w:vAlign w:val="center"/>
            <w:hideMark/>
          </w:tcPr>
          <w:p w14:paraId="31F15979" w14:textId="750BF2CA" w:rsidR="004C6700" w:rsidRPr="00200377" w:rsidRDefault="00524216" w:rsidP="00524216">
            <w:pPr>
              <w:spacing w:after="0" w:line="240" w:lineRule="auto"/>
              <w:jc w:val="right"/>
              <w:rPr>
                <w:rFonts w:eastAsia="Times New Roman" w:cs="Times New Roman"/>
                <w:color w:val="000000"/>
                <w:sz w:val="18"/>
                <w:szCs w:val="18"/>
                <w:lang w:eastAsia="sk-SK"/>
              </w:rPr>
            </w:pPr>
            <w:r w:rsidRPr="00200377">
              <w:rPr>
                <w:color w:val="000000"/>
                <w:sz w:val="18"/>
                <w:szCs w:val="18"/>
              </w:rPr>
              <w:t>5</w:t>
            </w:r>
            <w:r w:rsidR="004C6700" w:rsidRPr="00200377">
              <w:rPr>
                <w:color w:val="000000"/>
                <w:sz w:val="18"/>
                <w:szCs w:val="18"/>
              </w:rPr>
              <w:t xml:space="preserve"> </w:t>
            </w:r>
            <w:r w:rsidRPr="00200377">
              <w:rPr>
                <w:color w:val="000000"/>
                <w:sz w:val="18"/>
                <w:szCs w:val="18"/>
              </w:rPr>
              <w:t>225</w:t>
            </w:r>
          </w:p>
        </w:tc>
      </w:tr>
      <w:tr w:rsidR="004C6700" w:rsidRPr="00200377" w14:paraId="51CD2F4B" w14:textId="77777777" w:rsidTr="00836EB5">
        <w:trPr>
          <w:trHeight w:val="286"/>
        </w:trPr>
        <w:tc>
          <w:tcPr>
            <w:tcW w:w="3022" w:type="pct"/>
            <w:tcBorders>
              <w:top w:val="nil"/>
              <w:left w:val="nil"/>
              <w:bottom w:val="nil"/>
              <w:right w:val="nil"/>
            </w:tcBorders>
            <w:shd w:val="clear" w:color="auto" w:fill="auto"/>
            <w:noWrap/>
            <w:vAlign w:val="center"/>
            <w:hideMark/>
          </w:tcPr>
          <w:p w14:paraId="58E5AAAC" w14:textId="77777777" w:rsidR="004C6700" w:rsidRPr="00200377" w:rsidRDefault="004C6700" w:rsidP="00836EB5">
            <w:pPr>
              <w:spacing w:after="0" w:line="240" w:lineRule="auto"/>
              <w:jc w:val="left"/>
              <w:rPr>
                <w:rFonts w:eastAsia="Times New Roman" w:cs="Times New Roman"/>
                <w:color w:val="000000"/>
                <w:sz w:val="18"/>
                <w:szCs w:val="18"/>
                <w:lang w:eastAsia="sk-SK"/>
              </w:rPr>
            </w:pPr>
            <w:r w:rsidRPr="00200377">
              <w:rPr>
                <w:rFonts w:eastAsia="Times New Roman" w:cs="Times New Roman"/>
                <w:color w:val="000000"/>
                <w:sz w:val="18"/>
                <w:szCs w:val="18"/>
                <w:lang w:eastAsia="sk-SK"/>
              </w:rPr>
              <w:t xml:space="preserve">     - Osobitný odvod z podnikania v regulovaných odvetviach </w:t>
            </w:r>
          </w:p>
        </w:tc>
        <w:tc>
          <w:tcPr>
            <w:tcW w:w="618" w:type="pct"/>
            <w:tcBorders>
              <w:top w:val="nil"/>
              <w:left w:val="nil"/>
              <w:bottom w:val="nil"/>
              <w:right w:val="nil"/>
            </w:tcBorders>
            <w:shd w:val="clear" w:color="auto" w:fill="auto"/>
            <w:noWrap/>
            <w:vAlign w:val="center"/>
            <w:hideMark/>
          </w:tcPr>
          <w:p w14:paraId="7DD16265"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98 552</w:t>
            </w:r>
          </w:p>
        </w:tc>
        <w:tc>
          <w:tcPr>
            <w:tcW w:w="851" w:type="pct"/>
            <w:tcBorders>
              <w:top w:val="nil"/>
              <w:left w:val="nil"/>
              <w:bottom w:val="nil"/>
              <w:right w:val="nil"/>
            </w:tcBorders>
            <w:shd w:val="clear" w:color="auto" w:fill="auto"/>
            <w:noWrap/>
            <w:vAlign w:val="center"/>
            <w:hideMark/>
          </w:tcPr>
          <w:p w14:paraId="64B8BBB1"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88 032</w:t>
            </w:r>
          </w:p>
        </w:tc>
        <w:tc>
          <w:tcPr>
            <w:tcW w:w="509" w:type="pct"/>
            <w:tcBorders>
              <w:top w:val="nil"/>
              <w:left w:val="nil"/>
              <w:bottom w:val="nil"/>
              <w:right w:val="nil"/>
            </w:tcBorders>
            <w:shd w:val="clear" w:color="auto" w:fill="auto"/>
            <w:noWrap/>
            <w:vAlign w:val="center"/>
            <w:hideMark/>
          </w:tcPr>
          <w:p w14:paraId="1E057103"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-10 520</w:t>
            </w:r>
          </w:p>
        </w:tc>
      </w:tr>
      <w:tr w:rsidR="004C6700" w:rsidRPr="00200377" w14:paraId="08FC4894" w14:textId="77777777" w:rsidTr="00836EB5">
        <w:trPr>
          <w:trHeight w:val="286"/>
        </w:trPr>
        <w:tc>
          <w:tcPr>
            <w:tcW w:w="3022" w:type="pct"/>
            <w:tcBorders>
              <w:top w:val="nil"/>
              <w:left w:val="nil"/>
              <w:bottom w:val="nil"/>
              <w:right w:val="nil"/>
            </w:tcBorders>
            <w:shd w:val="clear" w:color="auto" w:fill="auto"/>
            <w:noWrap/>
            <w:vAlign w:val="center"/>
            <w:hideMark/>
          </w:tcPr>
          <w:p w14:paraId="479C3AB8" w14:textId="77777777" w:rsidR="004C6700" w:rsidRPr="00200377" w:rsidRDefault="004C6700" w:rsidP="00836EB5">
            <w:pPr>
              <w:spacing w:after="0" w:line="240" w:lineRule="auto"/>
              <w:jc w:val="left"/>
              <w:rPr>
                <w:rFonts w:eastAsia="Times New Roman" w:cs="Times New Roman"/>
                <w:color w:val="000000"/>
                <w:sz w:val="18"/>
                <w:szCs w:val="18"/>
                <w:lang w:eastAsia="sk-SK"/>
              </w:rPr>
            </w:pPr>
            <w:r w:rsidRPr="00200377">
              <w:rPr>
                <w:rFonts w:eastAsia="Times New Roman" w:cs="Times New Roman"/>
                <w:color w:val="000000"/>
                <w:sz w:val="18"/>
                <w:szCs w:val="18"/>
                <w:lang w:eastAsia="sk-SK"/>
              </w:rPr>
              <w:lastRenderedPageBreak/>
              <w:t xml:space="preserve">     - Príjem z odvodu z nadmerných príjmov - elektrárne</w:t>
            </w:r>
          </w:p>
        </w:tc>
        <w:tc>
          <w:tcPr>
            <w:tcW w:w="618" w:type="pct"/>
            <w:tcBorders>
              <w:top w:val="nil"/>
              <w:left w:val="nil"/>
              <w:bottom w:val="nil"/>
              <w:right w:val="nil"/>
            </w:tcBorders>
            <w:shd w:val="clear" w:color="auto" w:fill="auto"/>
            <w:noWrap/>
            <w:vAlign w:val="center"/>
            <w:hideMark/>
          </w:tcPr>
          <w:p w14:paraId="4F8582F4"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268 618</w:t>
            </w:r>
          </w:p>
        </w:tc>
        <w:tc>
          <w:tcPr>
            <w:tcW w:w="851" w:type="pct"/>
            <w:tcBorders>
              <w:top w:val="nil"/>
              <w:left w:val="nil"/>
              <w:bottom w:val="nil"/>
              <w:right w:val="nil"/>
            </w:tcBorders>
            <w:shd w:val="clear" w:color="auto" w:fill="auto"/>
            <w:noWrap/>
            <w:vAlign w:val="center"/>
            <w:hideMark/>
          </w:tcPr>
          <w:p w14:paraId="4FFDA9E0"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294 587</w:t>
            </w:r>
          </w:p>
        </w:tc>
        <w:tc>
          <w:tcPr>
            <w:tcW w:w="509" w:type="pct"/>
            <w:tcBorders>
              <w:top w:val="nil"/>
              <w:left w:val="nil"/>
              <w:bottom w:val="nil"/>
              <w:right w:val="nil"/>
            </w:tcBorders>
            <w:shd w:val="clear" w:color="auto" w:fill="auto"/>
            <w:noWrap/>
            <w:vAlign w:val="center"/>
            <w:hideMark/>
          </w:tcPr>
          <w:p w14:paraId="516ACB0B"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25 969</w:t>
            </w:r>
          </w:p>
        </w:tc>
      </w:tr>
      <w:tr w:rsidR="004C6700" w:rsidRPr="00200377" w14:paraId="3C6942F6" w14:textId="77777777" w:rsidTr="00836EB5">
        <w:trPr>
          <w:trHeight w:val="286"/>
        </w:trPr>
        <w:tc>
          <w:tcPr>
            <w:tcW w:w="3022" w:type="pct"/>
            <w:tcBorders>
              <w:top w:val="nil"/>
              <w:left w:val="nil"/>
              <w:bottom w:val="nil"/>
              <w:right w:val="nil"/>
            </w:tcBorders>
            <w:shd w:val="clear" w:color="auto" w:fill="auto"/>
            <w:noWrap/>
            <w:vAlign w:val="center"/>
            <w:hideMark/>
          </w:tcPr>
          <w:p w14:paraId="5179189A" w14:textId="77777777" w:rsidR="004C6700" w:rsidRPr="00200377" w:rsidRDefault="004C6700" w:rsidP="00836EB5">
            <w:pPr>
              <w:spacing w:after="0" w:line="240" w:lineRule="auto"/>
              <w:jc w:val="left"/>
              <w:rPr>
                <w:rFonts w:eastAsia="Times New Roman" w:cs="Times New Roman"/>
                <w:color w:val="000000"/>
                <w:sz w:val="18"/>
                <w:szCs w:val="18"/>
                <w:lang w:eastAsia="sk-SK"/>
              </w:rPr>
            </w:pPr>
            <w:r w:rsidRPr="00200377">
              <w:rPr>
                <w:rFonts w:eastAsia="Times New Roman" w:cs="Times New Roman"/>
                <w:color w:val="000000"/>
                <w:sz w:val="18"/>
                <w:szCs w:val="18"/>
                <w:lang w:eastAsia="sk-SK"/>
              </w:rPr>
              <w:t xml:space="preserve">     - Dane za špecifické služby</w:t>
            </w:r>
          </w:p>
        </w:tc>
        <w:tc>
          <w:tcPr>
            <w:tcW w:w="618" w:type="pct"/>
            <w:tcBorders>
              <w:top w:val="nil"/>
              <w:left w:val="nil"/>
              <w:bottom w:val="nil"/>
              <w:right w:val="nil"/>
            </w:tcBorders>
            <w:shd w:val="clear" w:color="auto" w:fill="auto"/>
            <w:noWrap/>
            <w:vAlign w:val="center"/>
            <w:hideMark/>
          </w:tcPr>
          <w:p w14:paraId="2DB1A6AF"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0</w:t>
            </w:r>
          </w:p>
        </w:tc>
        <w:tc>
          <w:tcPr>
            <w:tcW w:w="851" w:type="pct"/>
            <w:tcBorders>
              <w:top w:val="nil"/>
              <w:left w:val="nil"/>
              <w:bottom w:val="nil"/>
              <w:right w:val="nil"/>
            </w:tcBorders>
            <w:shd w:val="clear" w:color="auto" w:fill="auto"/>
            <w:noWrap/>
            <w:vAlign w:val="center"/>
            <w:hideMark/>
          </w:tcPr>
          <w:p w14:paraId="13546024"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37 624</w:t>
            </w:r>
          </w:p>
        </w:tc>
        <w:tc>
          <w:tcPr>
            <w:tcW w:w="509" w:type="pct"/>
            <w:tcBorders>
              <w:top w:val="nil"/>
              <w:left w:val="nil"/>
              <w:bottom w:val="nil"/>
              <w:right w:val="nil"/>
            </w:tcBorders>
            <w:shd w:val="clear" w:color="auto" w:fill="auto"/>
            <w:noWrap/>
            <w:vAlign w:val="center"/>
            <w:hideMark/>
          </w:tcPr>
          <w:p w14:paraId="26F91361"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37 624</w:t>
            </w:r>
          </w:p>
        </w:tc>
      </w:tr>
      <w:tr w:rsidR="004C6700" w:rsidRPr="00200377" w14:paraId="2CE16569" w14:textId="77777777" w:rsidTr="00836EB5">
        <w:trPr>
          <w:trHeight w:val="513"/>
        </w:trPr>
        <w:tc>
          <w:tcPr>
            <w:tcW w:w="3022" w:type="pct"/>
            <w:tcBorders>
              <w:top w:val="nil"/>
              <w:left w:val="nil"/>
              <w:bottom w:val="nil"/>
              <w:right w:val="nil"/>
            </w:tcBorders>
            <w:shd w:val="clear" w:color="auto" w:fill="auto"/>
            <w:vAlign w:val="center"/>
            <w:hideMark/>
          </w:tcPr>
          <w:p w14:paraId="2D3A9F3A" w14:textId="77777777" w:rsidR="004C6700" w:rsidRPr="00200377" w:rsidRDefault="004C6700" w:rsidP="00836EB5">
            <w:pPr>
              <w:spacing w:after="0" w:line="240" w:lineRule="auto"/>
              <w:jc w:val="left"/>
              <w:rPr>
                <w:rFonts w:eastAsia="Times New Roman" w:cs="Times New Roman"/>
                <w:color w:val="000000"/>
                <w:sz w:val="18"/>
                <w:szCs w:val="18"/>
                <w:lang w:eastAsia="sk-SK"/>
              </w:rPr>
            </w:pPr>
            <w:r w:rsidRPr="00200377">
              <w:rPr>
                <w:rFonts w:eastAsia="Times New Roman" w:cs="Times New Roman"/>
                <w:color w:val="000000"/>
                <w:sz w:val="18"/>
                <w:szCs w:val="18"/>
                <w:lang w:eastAsia="sk-SK"/>
              </w:rPr>
              <w:t xml:space="preserve">      - Solidárny príspevok z činností v odvetviach ropy,     </w:t>
            </w:r>
            <w:r w:rsidRPr="00200377">
              <w:rPr>
                <w:rFonts w:eastAsia="Times New Roman" w:cs="Times New Roman"/>
                <w:color w:val="000000"/>
                <w:sz w:val="18"/>
                <w:szCs w:val="18"/>
                <w:lang w:eastAsia="sk-SK"/>
              </w:rPr>
              <w:br/>
              <w:t xml:space="preserve">        zemného plynu, uhlia a rafinérií</w:t>
            </w:r>
          </w:p>
        </w:tc>
        <w:tc>
          <w:tcPr>
            <w:tcW w:w="618" w:type="pct"/>
            <w:tcBorders>
              <w:top w:val="nil"/>
              <w:left w:val="nil"/>
              <w:bottom w:val="nil"/>
              <w:right w:val="nil"/>
            </w:tcBorders>
            <w:shd w:val="clear" w:color="auto" w:fill="auto"/>
            <w:noWrap/>
            <w:vAlign w:val="center"/>
            <w:hideMark/>
          </w:tcPr>
          <w:p w14:paraId="3CFB2EF7"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0</w:t>
            </w:r>
          </w:p>
        </w:tc>
        <w:tc>
          <w:tcPr>
            <w:tcW w:w="851" w:type="pct"/>
            <w:tcBorders>
              <w:top w:val="nil"/>
              <w:left w:val="nil"/>
              <w:bottom w:val="nil"/>
              <w:right w:val="nil"/>
            </w:tcBorders>
            <w:shd w:val="clear" w:color="auto" w:fill="auto"/>
            <w:noWrap/>
            <w:vAlign w:val="center"/>
            <w:hideMark/>
          </w:tcPr>
          <w:p w14:paraId="0B458ABB" w14:textId="6A69B9A3" w:rsidR="004C6700" w:rsidRPr="00200377" w:rsidRDefault="004C6700" w:rsidP="00524216">
            <w:pPr>
              <w:spacing w:after="0" w:line="240" w:lineRule="auto"/>
              <w:jc w:val="right"/>
              <w:rPr>
                <w:rFonts w:eastAsia="Times New Roman" w:cs="Times New Roman"/>
                <w:color w:val="000000"/>
                <w:sz w:val="18"/>
                <w:szCs w:val="18"/>
                <w:lang w:eastAsia="sk-SK"/>
              </w:rPr>
            </w:pPr>
            <w:r w:rsidRPr="00200377">
              <w:rPr>
                <w:color w:val="000000"/>
                <w:sz w:val="18"/>
                <w:szCs w:val="18"/>
              </w:rPr>
              <w:t xml:space="preserve">416 </w:t>
            </w:r>
            <w:r w:rsidR="00524216" w:rsidRPr="00200377">
              <w:rPr>
                <w:color w:val="000000"/>
                <w:sz w:val="18"/>
                <w:szCs w:val="18"/>
              </w:rPr>
              <w:t>020</w:t>
            </w:r>
          </w:p>
        </w:tc>
        <w:tc>
          <w:tcPr>
            <w:tcW w:w="509" w:type="pct"/>
            <w:tcBorders>
              <w:top w:val="nil"/>
              <w:left w:val="nil"/>
              <w:bottom w:val="nil"/>
              <w:right w:val="nil"/>
            </w:tcBorders>
            <w:shd w:val="clear" w:color="auto" w:fill="auto"/>
            <w:noWrap/>
            <w:vAlign w:val="center"/>
            <w:hideMark/>
          </w:tcPr>
          <w:p w14:paraId="05E7E8FA" w14:textId="19F5DC29" w:rsidR="004C6700" w:rsidRPr="00200377" w:rsidRDefault="004C6700" w:rsidP="00524216">
            <w:pPr>
              <w:spacing w:after="0" w:line="240" w:lineRule="auto"/>
              <w:jc w:val="right"/>
              <w:rPr>
                <w:rFonts w:eastAsia="Times New Roman" w:cs="Times New Roman"/>
                <w:color w:val="000000"/>
                <w:sz w:val="18"/>
                <w:szCs w:val="18"/>
                <w:lang w:eastAsia="sk-SK"/>
              </w:rPr>
            </w:pPr>
            <w:r w:rsidRPr="00200377">
              <w:rPr>
                <w:color w:val="000000"/>
                <w:sz w:val="18"/>
                <w:szCs w:val="18"/>
              </w:rPr>
              <w:t xml:space="preserve">416 </w:t>
            </w:r>
            <w:r w:rsidR="00524216" w:rsidRPr="00200377">
              <w:rPr>
                <w:color w:val="000000"/>
                <w:sz w:val="18"/>
                <w:szCs w:val="18"/>
              </w:rPr>
              <w:t>020</w:t>
            </w:r>
          </w:p>
        </w:tc>
      </w:tr>
      <w:tr w:rsidR="004C6700" w:rsidRPr="00200377" w14:paraId="50F5A175" w14:textId="77777777" w:rsidTr="00836EB5">
        <w:trPr>
          <w:trHeight w:val="286"/>
        </w:trPr>
        <w:tc>
          <w:tcPr>
            <w:tcW w:w="3022" w:type="pct"/>
            <w:tcBorders>
              <w:top w:val="nil"/>
              <w:left w:val="nil"/>
              <w:bottom w:val="nil"/>
              <w:right w:val="nil"/>
            </w:tcBorders>
            <w:shd w:val="clear" w:color="auto" w:fill="auto"/>
            <w:noWrap/>
            <w:vAlign w:val="center"/>
            <w:hideMark/>
          </w:tcPr>
          <w:p w14:paraId="5DFC3586" w14:textId="77777777" w:rsidR="004C6700" w:rsidRPr="00200377" w:rsidRDefault="004C6700" w:rsidP="00836EB5">
            <w:pPr>
              <w:spacing w:after="0" w:line="240" w:lineRule="auto"/>
              <w:jc w:val="left"/>
              <w:rPr>
                <w:rFonts w:eastAsia="Times New Roman" w:cs="Times New Roman"/>
                <w:color w:val="000000"/>
                <w:sz w:val="18"/>
                <w:szCs w:val="18"/>
                <w:lang w:eastAsia="sk-SK"/>
              </w:rPr>
            </w:pPr>
            <w:r w:rsidRPr="00200377">
              <w:rPr>
                <w:rFonts w:eastAsia="Times New Roman" w:cs="Times New Roman"/>
                <w:color w:val="000000"/>
                <w:sz w:val="18"/>
                <w:szCs w:val="18"/>
                <w:lang w:eastAsia="sk-SK"/>
              </w:rPr>
              <w:t xml:space="preserve">     - Ostatné</w:t>
            </w:r>
          </w:p>
        </w:tc>
        <w:tc>
          <w:tcPr>
            <w:tcW w:w="618" w:type="pct"/>
            <w:tcBorders>
              <w:top w:val="nil"/>
              <w:left w:val="nil"/>
              <w:bottom w:val="single" w:sz="4" w:space="0" w:color="auto"/>
              <w:right w:val="nil"/>
            </w:tcBorders>
            <w:shd w:val="clear" w:color="auto" w:fill="auto"/>
            <w:noWrap/>
            <w:vAlign w:val="center"/>
            <w:hideMark/>
          </w:tcPr>
          <w:p w14:paraId="2F9E415A"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227 453</w:t>
            </w:r>
          </w:p>
        </w:tc>
        <w:tc>
          <w:tcPr>
            <w:tcW w:w="851" w:type="pct"/>
            <w:tcBorders>
              <w:top w:val="nil"/>
              <w:left w:val="nil"/>
              <w:bottom w:val="nil"/>
              <w:right w:val="nil"/>
            </w:tcBorders>
            <w:shd w:val="clear" w:color="auto" w:fill="auto"/>
            <w:noWrap/>
            <w:vAlign w:val="center"/>
            <w:hideMark/>
          </w:tcPr>
          <w:p w14:paraId="653DF435"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213 892</w:t>
            </w:r>
          </w:p>
        </w:tc>
        <w:tc>
          <w:tcPr>
            <w:tcW w:w="509" w:type="pct"/>
            <w:tcBorders>
              <w:top w:val="nil"/>
              <w:left w:val="nil"/>
              <w:bottom w:val="nil"/>
              <w:right w:val="nil"/>
            </w:tcBorders>
            <w:shd w:val="clear" w:color="auto" w:fill="auto"/>
            <w:noWrap/>
            <w:vAlign w:val="center"/>
            <w:hideMark/>
          </w:tcPr>
          <w:p w14:paraId="14CE7F48"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-13 561</w:t>
            </w:r>
          </w:p>
        </w:tc>
      </w:tr>
      <w:tr w:rsidR="004C6700" w:rsidRPr="00200377" w14:paraId="1F3C62E6" w14:textId="77777777" w:rsidTr="00836EB5">
        <w:trPr>
          <w:trHeight w:val="295"/>
        </w:trPr>
        <w:tc>
          <w:tcPr>
            <w:tcW w:w="3022" w:type="pct"/>
            <w:tcBorders>
              <w:top w:val="single" w:sz="4" w:space="0" w:color="auto"/>
              <w:left w:val="nil"/>
              <w:bottom w:val="single" w:sz="4" w:space="0" w:color="auto"/>
              <w:right w:val="nil"/>
            </w:tcBorders>
            <w:shd w:val="clear" w:color="auto" w:fill="auto"/>
            <w:noWrap/>
            <w:vAlign w:val="center"/>
            <w:hideMark/>
          </w:tcPr>
          <w:p w14:paraId="7A3FD719" w14:textId="0DD66104" w:rsidR="004C6700" w:rsidRPr="00200377" w:rsidRDefault="004C6700" w:rsidP="00836EB5">
            <w:pPr>
              <w:spacing w:after="0" w:line="240" w:lineRule="auto"/>
              <w:jc w:val="left"/>
              <w:rPr>
                <w:rFonts w:eastAsia="Times New Roman" w:cs="Times New Roman"/>
                <w:b/>
                <w:bCs/>
                <w:color w:val="000000"/>
                <w:sz w:val="18"/>
                <w:szCs w:val="18"/>
                <w:lang w:eastAsia="sk-SK"/>
              </w:rPr>
            </w:pPr>
            <w:r w:rsidRPr="00200377">
              <w:rPr>
                <w:rFonts w:eastAsia="Times New Roman" w:cs="Times New Roman"/>
                <w:b/>
                <w:bCs/>
                <w:color w:val="000000"/>
                <w:sz w:val="18"/>
                <w:szCs w:val="18"/>
                <w:lang w:eastAsia="sk-SK"/>
              </w:rPr>
              <w:t>Daňové príjmy</w:t>
            </w:r>
            <w:r w:rsidR="00524216" w:rsidRPr="00200377">
              <w:rPr>
                <w:rFonts w:eastAsia="Times New Roman" w:cs="Times New Roman"/>
                <w:b/>
                <w:bCs/>
                <w:color w:val="000000"/>
                <w:sz w:val="18"/>
                <w:szCs w:val="18"/>
                <w:vertAlign w:val="superscript"/>
                <w:lang w:eastAsia="sk-SK"/>
              </w:rPr>
              <w:t>2</w:t>
            </w:r>
          </w:p>
        </w:tc>
        <w:tc>
          <w:tcPr>
            <w:tcW w:w="618" w:type="pct"/>
            <w:tcBorders>
              <w:top w:val="single" w:sz="4" w:space="0" w:color="auto"/>
              <w:left w:val="nil"/>
              <w:bottom w:val="single" w:sz="4" w:space="0" w:color="auto"/>
              <w:right w:val="nil"/>
            </w:tcBorders>
            <w:shd w:val="clear" w:color="auto" w:fill="auto"/>
            <w:noWrap/>
            <w:vAlign w:val="center"/>
            <w:hideMark/>
          </w:tcPr>
          <w:p w14:paraId="7E2BD2DD" w14:textId="77777777" w:rsidR="004C6700" w:rsidRPr="00200377" w:rsidRDefault="004C6700" w:rsidP="00836EB5">
            <w:pPr>
              <w:spacing w:after="0" w:line="240" w:lineRule="auto"/>
              <w:jc w:val="right"/>
              <w:rPr>
                <w:rFonts w:eastAsia="Times New Roman" w:cs="Times New Roman"/>
                <w:b/>
                <w:bCs/>
                <w:color w:val="000000"/>
                <w:sz w:val="18"/>
                <w:szCs w:val="18"/>
                <w:lang w:eastAsia="sk-SK"/>
              </w:rPr>
            </w:pPr>
            <w:r w:rsidRPr="00200377">
              <w:rPr>
                <w:b/>
                <w:bCs/>
                <w:color w:val="000000"/>
                <w:sz w:val="18"/>
                <w:szCs w:val="18"/>
              </w:rPr>
              <w:t>22 808 357</w:t>
            </w:r>
          </w:p>
        </w:tc>
        <w:tc>
          <w:tcPr>
            <w:tcW w:w="851" w:type="pct"/>
            <w:tcBorders>
              <w:top w:val="single" w:sz="4" w:space="0" w:color="auto"/>
              <w:left w:val="nil"/>
              <w:bottom w:val="single" w:sz="4" w:space="0" w:color="auto"/>
              <w:right w:val="nil"/>
            </w:tcBorders>
            <w:shd w:val="clear" w:color="auto" w:fill="auto"/>
            <w:noWrap/>
            <w:vAlign w:val="center"/>
            <w:hideMark/>
          </w:tcPr>
          <w:p w14:paraId="724560FE" w14:textId="4BAFB67D" w:rsidR="004C6700" w:rsidRPr="00200377" w:rsidRDefault="004C6700" w:rsidP="00524216">
            <w:pPr>
              <w:spacing w:after="0" w:line="240" w:lineRule="auto"/>
              <w:jc w:val="right"/>
              <w:rPr>
                <w:rFonts w:eastAsia="Times New Roman" w:cs="Times New Roman"/>
                <w:b/>
                <w:bCs/>
                <w:color w:val="000000"/>
                <w:sz w:val="18"/>
                <w:szCs w:val="18"/>
                <w:lang w:eastAsia="sk-SK"/>
              </w:rPr>
            </w:pPr>
            <w:r w:rsidRPr="00200377">
              <w:rPr>
                <w:b/>
                <w:bCs/>
                <w:color w:val="000000"/>
                <w:sz w:val="18"/>
                <w:szCs w:val="18"/>
              </w:rPr>
              <w:t xml:space="preserve">23 438 </w:t>
            </w:r>
            <w:r w:rsidR="00524216" w:rsidRPr="00200377">
              <w:rPr>
                <w:b/>
                <w:bCs/>
                <w:color w:val="000000"/>
                <w:sz w:val="18"/>
                <w:szCs w:val="18"/>
              </w:rPr>
              <w:t>797</w:t>
            </w:r>
          </w:p>
        </w:tc>
        <w:tc>
          <w:tcPr>
            <w:tcW w:w="509" w:type="pct"/>
            <w:tcBorders>
              <w:top w:val="single" w:sz="4" w:space="0" w:color="auto"/>
              <w:left w:val="nil"/>
              <w:bottom w:val="single" w:sz="4" w:space="0" w:color="auto"/>
              <w:right w:val="nil"/>
            </w:tcBorders>
            <w:shd w:val="clear" w:color="auto" w:fill="auto"/>
            <w:noWrap/>
            <w:vAlign w:val="center"/>
            <w:hideMark/>
          </w:tcPr>
          <w:p w14:paraId="6AA6E216" w14:textId="55D4B441" w:rsidR="004C6700" w:rsidRPr="00200377" w:rsidRDefault="007A49DD" w:rsidP="00836EB5">
            <w:pPr>
              <w:spacing w:after="0" w:line="240" w:lineRule="auto"/>
              <w:jc w:val="right"/>
              <w:rPr>
                <w:rFonts w:eastAsia="Times New Roman" w:cs="Times New Roman"/>
                <w:b/>
                <w:bCs/>
                <w:color w:val="000000"/>
                <w:sz w:val="18"/>
                <w:szCs w:val="18"/>
                <w:lang w:eastAsia="sk-SK"/>
              </w:rPr>
            </w:pPr>
            <w:r>
              <w:rPr>
                <w:b/>
                <w:bCs/>
                <w:color w:val="000000"/>
                <w:sz w:val="18"/>
                <w:szCs w:val="18"/>
              </w:rPr>
              <w:t>630 440</w:t>
            </w:r>
          </w:p>
        </w:tc>
      </w:tr>
      <w:tr w:rsidR="004C6700" w:rsidRPr="00200377" w14:paraId="59BBC969" w14:textId="77777777" w:rsidTr="00836EB5">
        <w:trPr>
          <w:trHeight w:val="310"/>
        </w:trPr>
        <w:tc>
          <w:tcPr>
            <w:tcW w:w="3022" w:type="pct"/>
            <w:tcBorders>
              <w:top w:val="nil"/>
              <w:left w:val="nil"/>
              <w:bottom w:val="nil"/>
              <w:right w:val="nil"/>
            </w:tcBorders>
            <w:shd w:val="clear" w:color="auto" w:fill="auto"/>
            <w:noWrap/>
            <w:vAlign w:val="center"/>
            <w:hideMark/>
          </w:tcPr>
          <w:p w14:paraId="6AAAE386" w14:textId="5BA7A79F" w:rsidR="004C6700" w:rsidRPr="00200377" w:rsidRDefault="004C6700" w:rsidP="00524216">
            <w:pPr>
              <w:spacing w:after="0" w:line="240" w:lineRule="auto"/>
              <w:jc w:val="left"/>
              <w:rPr>
                <w:rFonts w:eastAsia="Times New Roman" w:cs="Times New Roman"/>
                <w:color w:val="000000"/>
                <w:sz w:val="18"/>
                <w:szCs w:val="18"/>
                <w:lang w:eastAsia="sk-SK"/>
              </w:rPr>
            </w:pPr>
            <w:r w:rsidRPr="00200377">
              <w:rPr>
                <w:rFonts w:eastAsia="Times New Roman" w:cs="Times New Roman"/>
                <w:color w:val="000000"/>
                <w:sz w:val="18"/>
                <w:szCs w:val="18"/>
                <w:lang w:eastAsia="sk-SK"/>
              </w:rPr>
              <w:t>Sociálne odvody (EAO + dlžné)</w:t>
            </w:r>
            <w:r w:rsidR="00524216" w:rsidRPr="00200377">
              <w:rPr>
                <w:rFonts w:eastAsia="Times New Roman" w:cs="Times New Roman"/>
                <w:color w:val="000000"/>
                <w:sz w:val="18"/>
                <w:szCs w:val="18"/>
                <w:vertAlign w:val="superscript"/>
                <w:lang w:eastAsia="sk-SK"/>
              </w:rPr>
              <w:t>3</w:t>
            </w:r>
          </w:p>
        </w:tc>
        <w:tc>
          <w:tcPr>
            <w:tcW w:w="618" w:type="pct"/>
            <w:tcBorders>
              <w:top w:val="nil"/>
              <w:left w:val="nil"/>
              <w:bottom w:val="nil"/>
              <w:right w:val="nil"/>
            </w:tcBorders>
            <w:shd w:val="clear" w:color="auto" w:fill="auto"/>
            <w:noWrap/>
            <w:vAlign w:val="center"/>
            <w:hideMark/>
          </w:tcPr>
          <w:p w14:paraId="38E780F1"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10 366 641</w:t>
            </w:r>
          </w:p>
        </w:tc>
        <w:tc>
          <w:tcPr>
            <w:tcW w:w="851" w:type="pct"/>
            <w:tcBorders>
              <w:top w:val="nil"/>
              <w:left w:val="nil"/>
              <w:bottom w:val="nil"/>
              <w:right w:val="nil"/>
            </w:tcBorders>
            <w:shd w:val="clear" w:color="auto" w:fill="auto"/>
            <w:noWrap/>
            <w:vAlign w:val="center"/>
            <w:hideMark/>
          </w:tcPr>
          <w:p w14:paraId="244A81A8"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10 135 747</w:t>
            </w:r>
          </w:p>
        </w:tc>
        <w:tc>
          <w:tcPr>
            <w:tcW w:w="509" w:type="pct"/>
            <w:tcBorders>
              <w:top w:val="nil"/>
              <w:left w:val="nil"/>
              <w:bottom w:val="nil"/>
              <w:right w:val="nil"/>
            </w:tcBorders>
            <w:shd w:val="clear" w:color="auto" w:fill="auto"/>
            <w:noWrap/>
            <w:vAlign w:val="center"/>
            <w:hideMark/>
          </w:tcPr>
          <w:p w14:paraId="595CD748"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-230 894</w:t>
            </w:r>
          </w:p>
        </w:tc>
      </w:tr>
      <w:tr w:rsidR="004C6700" w:rsidRPr="00200377" w14:paraId="30475F3A" w14:textId="77777777" w:rsidTr="00836EB5">
        <w:trPr>
          <w:trHeight w:val="310"/>
        </w:trPr>
        <w:tc>
          <w:tcPr>
            <w:tcW w:w="3022" w:type="pct"/>
            <w:tcBorders>
              <w:top w:val="nil"/>
              <w:left w:val="nil"/>
              <w:bottom w:val="single" w:sz="4" w:space="0" w:color="auto"/>
              <w:right w:val="nil"/>
            </w:tcBorders>
            <w:shd w:val="clear" w:color="auto" w:fill="auto"/>
            <w:noWrap/>
            <w:vAlign w:val="center"/>
            <w:hideMark/>
          </w:tcPr>
          <w:p w14:paraId="142A9C56" w14:textId="60D96FA7" w:rsidR="004C6700" w:rsidRPr="00200377" w:rsidRDefault="004C6700" w:rsidP="00524216">
            <w:pPr>
              <w:spacing w:after="0" w:line="240" w:lineRule="auto"/>
              <w:jc w:val="left"/>
              <w:rPr>
                <w:rFonts w:eastAsia="Times New Roman" w:cs="Times New Roman"/>
                <w:color w:val="000000"/>
                <w:sz w:val="18"/>
                <w:szCs w:val="18"/>
                <w:lang w:eastAsia="sk-SK"/>
              </w:rPr>
            </w:pPr>
            <w:r w:rsidRPr="00200377">
              <w:rPr>
                <w:rFonts w:eastAsia="Times New Roman" w:cs="Times New Roman"/>
                <w:color w:val="000000"/>
                <w:sz w:val="18"/>
                <w:szCs w:val="18"/>
                <w:lang w:eastAsia="sk-SK"/>
              </w:rPr>
              <w:t>Zdravotné odvody (EAO + dlžné)</w:t>
            </w:r>
            <w:r w:rsidR="00524216" w:rsidRPr="00200377">
              <w:rPr>
                <w:rFonts w:eastAsia="Times New Roman" w:cs="Times New Roman"/>
                <w:color w:val="000000"/>
                <w:sz w:val="18"/>
                <w:szCs w:val="18"/>
                <w:vertAlign w:val="superscript"/>
                <w:lang w:eastAsia="sk-SK"/>
              </w:rPr>
              <w:t>4</w:t>
            </w:r>
          </w:p>
        </w:tc>
        <w:tc>
          <w:tcPr>
            <w:tcW w:w="618" w:type="pct"/>
            <w:tcBorders>
              <w:top w:val="nil"/>
              <w:left w:val="nil"/>
              <w:bottom w:val="single" w:sz="4" w:space="0" w:color="auto"/>
              <w:right w:val="nil"/>
            </w:tcBorders>
            <w:shd w:val="clear" w:color="auto" w:fill="auto"/>
            <w:noWrap/>
            <w:vAlign w:val="center"/>
            <w:hideMark/>
          </w:tcPr>
          <w:p w14:paraId="41BC44E4"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5 285 177</w:t>
            </w:r>
          </w:p>
        </w:tc>
        <w:tc>
          <w:tcPr>
            <w:tcW w:w="851" w:type="pct"/>
            <w:tcBorders>
              <w:top w:val="nil"/>
              <w:left w:val="nil"/>
              <w:bottom w:val="single" w:sz="4" w:space="0" w:color="auto"/>
              <w:right w:val="nil"/>
            </w:tcBorders>
            <w:shd w:val="clear" w:color="auto" w:fill="auto"/>
            <w:noWrap/>
            <w:vAlign w:val="center"/>
            <w:hideMark/>
          </w:tcPr>
          <w:p w14:paraId="6EABBAC3"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5 204 310</w:t>
            </w:r>
          </w:p>
        </w:tc>
        <w:tc>
          <w:tcPr>
            <w:tcW w:w="509" w:type="pct"/>
            <w:tcBorders>
              <w:top w:val="nil"/>
              <w:left w:val="nil"/>
              <w:bottom w:val="single" w:sz="4" w:space="0" w:color="auto"/>
              <w:right w:val="nil"/>
            </w:tcBorders>
            <w:shd w:val="clear" w:color="auto" w:fill="auto"/>
            <w:noWrap/>
            <w:vAlign w:val="center"/>
            <w:hideMark/>
          </w:tcPr>
          <w:p w14:paraId="4D28C62C" w14:textId="77777777" w:rsidR="004C6700" w:rsidRPr="00200377" w:rsidRDefault="004C6700" w:rsidP="00836EB5">
            <w:pPr>
              <w:spacing w:after="0" w:line="240" w:lineRule="auto"/>
              <w:jc w:val="right"/>
              <w:rPr>
                <w:rFonts w:eastAsia="Times New Roman" w:cs="Times New Roman"/>
                <w:color w:val="000000"/>
                <w:sz w:val="18"/>
                <w:szCs w:val="18"/>
                <w:lang w:eastAsia="sk-SK"/>
              </w:rPr>
            </w:pPr>
            <w:r w:rsidRPr="00200377">
              <w:rPr>
                <w:color w:val="000000"/>
                <w:sz w:val="18"/>
                <w:szCs w:val="18"/>
              </w:rPr>
              <w:t>-80 867</w:t>
            </w:r>
          </w:p>
        </w:tc>
      </w:tr>
      <w:tr w:rsidR="004C6700" w:rsidRPr="00200377" w14:paraId="6B068817" w14:textId="77777777" w:rsidTr="00836EB5">
        <w:trPr>
          <w:trHeight w:val="286"/>
        </w:trPr>
        <w:tc>
          <w:tcPr>
            <w:tcW w:w="3022" w:type="pct"/>
            <w:tcBorders>
              <w:top w:val="single" w:sz="4" w:space="0" w:color="auto"/>
              <w:left w:val="nil"/>
              <w:bottom w:val="single" w:sz="4" w:space="0" w:color="auto"/>
              <w:right w:val="nil"/>
            </w:tcBorders>
            <w:shd w:val="clear" w:color="auto" w:fill="auto"/>
            <w:noWrap/>
            <w:vAlign w:val="center"/>
            <w:hideMark/>
          </w:tcPr>
          <w:p w14:paraId="3D1CF45C" w14:textId="77777777" w:rsidR="004C6700" w:rsidRPr="00200377" w:rsidRDefault="004C6700" w:rsidP="00836EB5">
            <w:pPr>
              <w:spacing w:after="0" w:line="240" w:lineRule="auto"/>
              <w:jc w:val="left"/>
              <w:rPr>
                <w:rFonts w:eastAsia="Times New Roman" w:cs="Times New Roman"/>
                <w:b/>
                <w:bCs/>
                <w:color w:val="000000"/>
                <w:sz w:val="18"/>
                <w:szCs w:val="18"/>
                <w:lang w:eastAsia="sk-SK"/>
              </w:rPr>
            </w:pPr>
            <w:r w:rsidRPr="00200377">
              <w:rPr>
                <w:rFonts w:eastAsia="Times New Roman" w:cs="Times New Roman"/>
                <w:b/>
                <w:bCs/>
                <w:color w:val="000000"/>
                <w:sz w:val="18"/>
                <w:szCs w:val="18"/>
                <w:lang w:eastAsia="sk-SK"/>
              </w:rPr>
              <w:t xml:space="preserve">Fondy sociálneho zabezpečenia </w:t>
            </w:r>
          </w:p>
        </w:tc>
        <w:tc>
          <w:tcPr>
            <w:tcW w:w="618" w:type="pct"/>
            <w:tcBorders>
              <w:top w:val="single" w:sz="4" w:space="0" w:color="auto"/>
              <w:left w:val="nil"/>
              <w:bottom w:val="single" w:sz="4" w:space="0" w:color="auto"/>
              <w:right w:val="nil"/>
            </w:tcBorders>
            <w:shd w:val="clear" w:color="auto" w:fill="auto"/>
            <w:noWrap/>
            <w:vAlign w:val="center"/>
            <w:hideMark/>
          </w:tcPr>
          <w:p w14:paraId="1AD7416B" w14:textId="77777777" w:rsidR="004C6700" w:rsidRPr="00200377" w:rsidRDefault="004C6700" w:rsidP="00836EB5">
            <w:pPr>
              <w:spacing w:after="0" w:line="240" w:lineRule="auto"/>
              <w:jc w:val="right"/>
              <w:rPr>
                <w:rFonts w:eastAsia="Times New Roman" w:cs="Times New Roman"/>
                <w:b/>
                <w:bCs/>
                <w:color w:val="000000"/>
                <w:sz w:val="18"/>
                <w:szCs w:val="18"/>
                <w:lang w:eastAsia="sk-SK"/>
              </w:rPr>
            </w:pPr>
            <w:r w:rsidRPr="00200377">
              <w:rPr>
                <w:b/>
                <w:bCs/>
                <w:color w:val="000000"/>
                <w:sz w:val="18"/>
                <w:szCs w:val="18"/>
              </w:rPr>
              <w:t>15 651 818</w:t>
            </w:r>
          </w:p>
        </w:tc>
        <w:tc>
          <w:tcPr>
            <w:tcW w:w="851" w:type="pct"/>
            <w:tcBorders>
              <w:top w:val="single" w:sz="4" w:space="0" w:color="auto"/>
              <w:left w:val="nil"/>
              <w:bottom w:val="single" w:sz="4" w:space="0" w:color="auto"/>
              <w:right w:val="nil"/>
            </w:tcBorders>
            <w:shd w:val="clear" w:color="auto" w:fill="auto"/>
            <w:noWrap/>
            <w:vAlign w:val="center"/>
            <w:hideMark/>
          </w:tcPr>
          <w:p w14:paraId="4EF57119" w14:textId="77777777" w:rsidR="004C6700" w:rsidRPr="00200377" w:rsidRDefault="004C6700" w:rsidP="00836EB5">
            <w:pPr>
              <w:spacing w:after="0" w:line="240" w:lineRule="auto"/>
              <w:jc w:val="right"/>
              <w:rPr>
                <w:rFonts w:eastAsia="Times New Roman" w:cs="Times New Roman"/>
                <w:b/>
                <w:bCs/>
                <w:color w:val="000000"/>
                <w:sz w:val="18"/>
                <w:szCs w:val="18"/>
                <w:lang w:eastAsia="sk-SK"/>
              </w:rPr>
            </w:pPr>
            <w:r w:rsidRPr="00200377">
              <w:rPr>
                <w:b/>
                <w:bCs/>
                <w:color w:val="000000"/>
                <w:sz w:val="18"/>
                <w:szCs w:val="18"/>
              </w:rPr>
              <w:t>15 340 057</w:t>
            </w:r>
          </w:p>
        </w:tc>
        <w:tc>
          <w:tcPr>
            <w:tcW w:w="509" w:type="pct"/>
            <w:tcBorders>
              <w:top w:val="single" w:sz="4" w:space="0" w:color="auto"/>
              <w:left w:val="nil"/>
              <w:bottom w:val="single" w:sz="4" w:space="0" w:color="auto"/>
              <w:right w:val="nil"/>
            </w:tcBorders>
            <w:shd w:val="clear" w:color="auto" w:fill="auto"/>
            <w:noWrap/>
            <w:vAlign w:val="center"/>
            <w:hideMark/>
          </w:tcPr>
          <w:p w14:paraId="3900B402" w14:textId="77777777" w:rsidR="004C6700" w:rsidRPr="00200377" w:rsidRDefault="004C6700" w:rsidP="00836EB5">
            <w:pPr>
              <w:spacing w:after="0" w:line="240" w:lineRule="auto"/>
              <w:jc w:val="right"/>
              <w:rPr>
                <w:rFonts w:eastAsia="Times New Roman" w:cs="Times New Roman"/>
                <w:b/>
                <w:bCs/>
                <w:color w:val="000000"/>
                <w:sz w:val="18"/>
                <w:szCs w:val="18"/>
                <w:lang w:eastAsia="sk-SK"/>
              </w:rPr>
            </w:pPr>
            <w:r w:rsidRPr="00200377">
              <w:rPr>
                <w:b/>
                <w:bCs/>
                <w:color w:val="000000"/>
                <w:sz w:val="18"/>
                <w:szCs w:val="18"/>
              </w:rPr>
              <w:t>-311 761</w:t>
            </w:r>
          </w:p>
        </w:tc>
      </w:tr>
      <w:tr w:rsidR="004C6700" w:rsidRPr="00200377" w14:paraId="5C1ED36C" w14:textId="77777777" w:rsidTr="00836EB5">
        <w:trPr>
          <w:trHeight w:val="286"/>
        </w:trPr>
        <w:tc>
          <w:tcPr>
            <w:tcW w:w="3022" w:type="pct"/>
            <w:tcBorders>
              <w:top w:val="single" w:sz="4" w:space="0" w:color="auto"/>
              <w:left w:val="nil"/>
              <w:bottom w:val="single" w:sz="4" w:space="0" w:color="auto"/>
              <w:right w:val="nil"/>
            </w:tcBorders>
            <w:shd w:val="clear" w:color="auto" w:fill="auto"/>
            <w:noWrap/>
            <w:vAlign w:val="center"/>
            <w:hideMark/>
          </w:tcPr>
          <w:p w14:paraId="749FD29D" w14:textId="77777777" w:rsidR="004C6700" w:rsidRPr="00200377" w:rsidRDefault="004C6700" w:rsidP="00836EB5">
            <w:pPr>
              <w:spacing w:after="0" w:line="240" w:lineRule="auto"/>
              <w:jc w:val="left"/>
              <w:rPr>
                <w:rFonts w:eastAsia="Times New Roman" w:cs="Times New Roman"/>
                <w:b/>
                <w:bCs/>
                <w:color w:val="000000"/>
                <w:sz w:val="18"/>
                <w:szCs w:val="18"/>
                <w:lang w:eastAsia="sk-SK"/>
              </w:rPr>
            </w:pPr>
            <w:r w:rsidRPr="00200377">
              <w:rPr>
                <w:rFonts w:eastAsia="Times New Roman" w:cs="Times New Roman"/>
                <w:b/>
                <w:bCs/>
                <w:color w:val="000000"/>
                <w:sz w:val="18"/>
                <w:szCs w:val="18"/>
                <w:lang w:eastAsia="sk-SK"/>
              </w:rPr>
              <w:t>Daňové a odvodové príjmy spolu</w:t>
            </w:r>
          </w:p>
        </w:tc>
        <w:tc>
          <w:tcPr>
            <w:tcW w:w="618" w:type="pct"/>
            <w:tcBorders>
              <w:top w:val="single" w:sz="4" w:space="0" w:color="auto"/>
              <w:left w:val="nil"/>
              <w:bottom w:val="single" w:sz="4" w:space="0" w:color="auto"/>
              <w:right w:val="nil"/>
            </w:tcBorders>
            <w:shd w:val="clear" w:color="auto" w:fill="auto"/>
            <w:noWrap/>
            <w:vAlign w:val="center"/>
            <w:hideMark/>
          </w:tcPr>
          <w:p w14:paraId="325FBF68" w14:textId="77777777" w:rsidR="004C6700" w:rsidRPr="00200377" w:rsidRDefault="004C6700" w:rsidP="00836EB5">
            <w:pPr>
              <w:spacing w:after="0" w:line="240" w:lineRule="auto"/>
              <w:jc w:val="right"/>
              <w:rPr>
                <w:rFonts w:eastAsia="Times New Roman" w:cs="Times New Roman"/>
                <w:b/>
                <w:bCs/>
                <w:color w:val="000000"/>
                <w:sz w:val="18"/>
                <w:szCs w:val="18"/>
                <w:lang w:eastAsia="sk-SK"/>
              </w:rPr>
            </w:pPr>
            <w:r w:rsidRPr="00200377">
              <w:rPr>
                <w:b/>
                <w:bCs/>
                <w:color w:val="000000"/>
                <w:sz w:val="18"/>
                <w:szCs w:val="18"/>
              </w:rPr>
              <w:t>38 460 175</w:t>
            </w:r>
          </w:p>
        </w:tc>
        <w:tc>
          <w:tcPr>
            <w:tcW w:w="851" w:type="pct"/>
            <w:tcBorders>
              <w:top w:val="single" w:sz="4" w:space="0" w:color="auto"/>
              <w:left w:val="nil"/>
              <w:bottom w:val="single" w:sz="4" w:space="0" w:color="auto"/>
              <w:right w:val="nil"/>
            </w:tcBorders>
            <w:shd w:val="clear" w:color="auto" w:fill="auto"/>
            <w:noWrap/>
            <w:vAlign w:val="center"/>
            <w:hideMark/>
          </w:tcPr>
          <w:p w14:paraId="1E3EC1B0" w14:textId="1E210E45" w:rsidR="004C6700" w:rsidRPr="00200377" w:rsidRDefault="004C6700" w:rsidP="00524216">
            <w:pPr>
              <w:spacing w:after="0" w:line="240" w:lineRule="auto"/>
              <w:jc w:val="right"/>
              <w:rPr>
                <w:rFonts w:eastAsia="Times New Roman" w:cs="Times New Roman"/>
                <w:b/>
                <w:bCs/>
                <w:color w:val="000000"/>
                <w:sz w:val="18"/>
                <w:szCs w:val="18"/>
                <w:lang w:eastAsia="sk-SK"/>
              </w:rPr>
            </w:pPr>
            <w:r w:rsidRPr="00200377">
              <w:rPr>
                <w:b/>
                <w:bCs/>
                <w:color w:val="000000"/>
                <w:sz w:val="18"/>
                <w:szCs w:val="18"/>
              </w:rPr>
              <w:t>38 778 8</w:t>
            </w:r>
            <w:r w:rsidR="00524216" w:rsidRPr="00200377">
              <w:rPr>
                <w:b/>
                <w:bCs/>
                <w:color w:val="000000"/>
                <w:sz w:val="18"/>
                <w:szCs w:val="18"/>
              </w:rPr>
              <w:t>54</w:t>
            </w:r>
          </w:p>
        </w:tc>
        <w:tc>
          <w:tcPr>
            <w:tcW w:w="509" w:type="pct"/>
            <w:tcBorders>
              <w:top w:val="single" w:sz="4" w:space="0" w:color="auto"/>
              <w:left w:val="nil"/>
              <w:bottom w:val="single" w:sz="4" w:space="0" w:color="auto"/>
              <w:right w:val="nil"/>
            </w:tcBorders>
            <w:shd w:val="clear" w:color="auto" w:fill="auto"/>
            <w:noWrap/>
            <w:vAlign w:val="center"/>
            <w:hideMark/>
          </w:tcPr>
          <w:p w14:paraId="68994CA9" w14:textId="1E1FDCD3" w:rsidR="004C6700" w:rsidRPr="00200377" w:rsidRDefault="004C6700" w:rsidP="00524216">
            <w:pPr>
              <w:spacing w:after="0" w:line="240" w:lineRule="auto"/>
              <w:jc w:val="right"/>
              <w:rPr>
                <w:rFonts w:eastAsia="Times New Roman" w:cs="Times New Roman"/>
                <w:b/>
                <w:bCs/>
                <w:color w:val="000000"/>
                <w:sz w:val="18"/>
                <w:szCs w:val="18"/>
                <w:lang w:eastAsia="sk-SK"/>
              </w:rPr>
            </w:pPr>
            <w:r w:rsidRPr="00200377">
              <w:rPr>
                <w:b/>
                <w:bCs/>
                <w:color w:val="000000"/>
                <w:sz w:val="18"/>
                <w:szCs w:val="18"/>
              </w:rPr>
              <w:t>318 6</w:t>
            </w:r>
            <w:r w:rsidR="00524216" w:rsidRPr="00200377">
              <w:rPr>
                <w:b/>
                <w:bCs/>
                <w:color w:val="000000"/>
                <w:sz w:val="18"/>
                <w:szCs w:val="18"/>
              </w:rPr>
              <w:t>79</w:t>
            </w:r>
          </w:p>
        </w:tc>
      </w:tr>
    </w:tbl>
    <w:p w14:paraId="25A1C2E2" w14:textId="2484B995" w:rsidR="004C6700" w:rsidRPr="00200377" w:rsidRDefault="004C6700" w:rsidP="004C6700">
      <w:pPr>
        <w:keepNext/>
        <w:spacing w:after="0" w:line="240" w:lineRule="auto"/>
        <w:ind w:right="142"/>
        <w:rPr>
          <w:sz w:val="18"/>
          <w:szCs w:val="18"/>
        </w:rPr>
      </w:pPr>
      <w:r w:rsidRPr="00200377">
        <w:rPr>
          <w:sz w:val="18"/>
          <w:szCs w:val="18"/>
          <w:vertAlign w:val="superscript"/>
        </w:rPr>
        <w:footnoteRef/>
      </w:r>
      <w:r w:rsidRPr="00200377">
        <w:rPr>
          <w:sz w:val="18"/>
          <w:szCs w:val="18"/>
        </w:rPr>
        <w:t xml:space="preserve"> </w:t>
      </w:r>
      <w:r w:rsidR="00524216" w:rsidRPr="00200377">
        <w:rPr>
          <w:sz w:val="18"/>
          <w:szCs w:val="18"/>
        </w:rPr>
        <w:t xml:space="preserve">Bez vplyvu </w:t>
      </w:r>
      <w:r w:rsidRPr="00200377">
        <w:rPr>
          <w:sz w:val="18"/>
          <w:szCs w:val="18"/>
        </w:rPr>
        <w:t>zelenej energie</w:t>
      </w:r>
      <w:r w:rsidR="00524216" w:rsidRPr="00200377">
        <w:rPr>
          <w:sz w:val="18"/>
          <w:szCs w:val="18"/>
        </w:rPr>
        <w:t xml:space="preserve"> (420 800 tis. eur).</w:t>
      </w:r>
      <w:r w:rsidR="00524216" w:rsidRPr="00200377">
        <w:rPr>
          <w:sz w:val="18"/>
          <w:szCs w:val="18"/>
        </w:rPr>
        <w:tab/>
      </w:r>
      <w:r w:rsidR="00524216" w:rsidRPr="00200377">
        <w:rPr>
          <w:sz w:val="18"/>
          <w:szCs w:val="18"/>
        </w:rPr>
        <w:tab/>
      </w:r>
      <w:r w:rsidRPr="00200377">
        <w:rPr>
          <w:sz w:val="18"/>
          <w:szCs w:val="18"/>
        </w:rPr>
        <w:t xml:space="preserve">                                                                              </w:t>
      </w:r>
      <w:r w:rsidRPr="00200377">
        <w:rPr>
          <w:rFonts w:cs="Times New Roman"/>
          <w:sz w:val="18"/>
          <w:szCs w:val="18"/>
        </w:rPr>
        <w:t>Zdroj: IFP, MF SR</w:t>
      </w:r>
    </w:p>
    <w:p w14:paraId="2EC6928C" w14:textId="37FD282E" w:rsidR="00524216" w:rsidRPr="00200377" w:rsidRDefault="004C6700" w:rsidP="004C6700">
      <w:pPr>
        <w:spacing w:after="0" w:line="240" w:lineRule="auto"/>
        <w:rPr>
          <w:sz w:val="18"/>
          <w:szCs w:val="18"/>
        </w:rPr>
      </w:pPr>
      <w:r w:rsidRPr="00200377">
        <w:rPr>
          <w:sz w:val="18"/>
          <w:szCs w:val="18"/>
          <w:vertAlign w:val="superscript"/>
        </w:rPr>
        <w:t>2</w:t>
      </w:r>
      <w:r w:rsidRPr="00200377">
        <w:rPr>
          <w:sz w:val="18"/>
          <w:szCs w:val="18"/>
        </w:rPr>
        <w:t xml:space="preserve"> </w:t>
      </w:r>
      <w:r w:rsidR="00524216" w:rsidRPr="00200377">
        <w:rPr>
          <w:sz w:val="18"/>
          <w:szCs w:val="18"/>
        </w:rPr>
        <w:t>Nezrovnalosť v súčte je z dôvodu zaokrúhľovania.</w:t>
      </w:r>
    </w:p>
    <w:p w14:paraId="1CFCA55A" w14:textId="4EA36B61" w:rsidR="004C6700" w:rsidRPr="00200377" w:rsidRDefault="00524216" w:rsidP="004C6700">
      <w:pPr>
        <w:spacing w:after="0" w:line="240" w:lineRule="auto"/>
        <w:rPr>
          <w:sz w:val="18"/>
          <w:szCs w:val="18"/>
        </w:rPr>
      </w:pPr>
      <w:r w:rsidRPr="00200377">
        <w:rPr>
          <w:sz w:val="18"/>
          <w:szCs w:val="18"/>
          <w:vertAlign w:val="superscript"/>
        </w:rPr>
        <w:t xml:space="preserve">3 </w:t>
      </w:r>
      <w:r w:rsidR="004C6700" w:rsidRPr="00200377">
        <w:rPr>
          <w:sz w:val="18"/>
          <w:szCs w:val="18"/>
        </w:rPr>
        <w:t>Príspevky na sociálne zabezpečenie, neobsahujú okrem štátom plateného poistného aj príjmy z odvodov za ozbrojené zložky, penále a imputované poistné.</w:t>
      </w:r>
    </w:p>
    <w:p w14:paraId="236026DE" w14:textId="03D56E29" w:rsidR="004C6700" w:rsidRPr="00200377" w:rsidRDefault="00524216" w:rsidP="004C6700">
      <w:pPr>
        <w:spacing w:after="0" w:line="240" w:lineRule="auto"/>
        <w:rPr>
          <w:sz w:val="18"/>
          <w:szCs w:val="18"/>
        </w:rPr>
      </w:pPr>
      <w:r w:rsidRPr="00200377">
        <w:rPr>
          <w:sz w:val="18"/>
          <w:szCs w:val="18"/>
          <w:vertAlign w:val="superscript"/>
        </w:rPr>
        <w:t>4</w:t>
      </w:r>
      <w:r w:rsidR="004C6700" w:rsidRPr="00200377">
        <w:rPr>
          <w:sz w:val="18"/>
          <w:szCs w:val="18"/>
        </w:rPr>
        <w:t xml:space="preserve"> Zdravotné odvody neobsahujú štátom platené poistné.</w:t>
      </w:r>
    </w:p>
    <w:p w14:paraId="3ABFDCD4" w14:textId="675CFC0E" w:rsidR="004C6700" w:rsidRDefault="004C6700" w:rsidP="004C6700">
      <w:pPr>
        <w:spacing w:before="120" w:line="240" w:lineRule="auto"/>
        <w:rPr>
          <w:sz w:val="24"/>
          <w:szCs w:val="24"/>
        </w:rPr>
      </w:pPr>
      <w:r w:rsidRPr="005448CC">
        <w:rPr>
          <w:sz w:val="24"/>
          <w:szCs w:val="24"/>
        </w:rPr>
        <w:t xml:space="preserve">Prognózy pre rozpočet na rok 2023 boli tvorené v septembri 2022. Avšak do konca roka 2022 bolo v parlamente prijatých ešte niekoľko legislatívnych zmien, ktoré sa nepremietli do </w:t>
      </w:r>
      <w:r w:rsidRPr="00F53E19">
        <w:rPr>
          <w:sz w:val="24"/>
          <w:szCs w:val="24"/>
        </w:rPr>
        <w:t>rozpočtu. Taktiež neboli v rozpočte zahrnuté zmeny sadzieb miestnych daní, ktoré majú v</w:t>
      </w:r>
      <w:r>
        <w:rPr>
          <w:sz w:val="24"/>
          <w:szCs w:val="24"/>
        </w:rPr>
        <w:t> </w:t>
      </w:r>
      <w:r w:rsidRPr="005448CC">
        <w:rPr>
          <w:sz w:val="24"/>
          <w:szCs w:val="24"/>
        </w:rPr>
        <w:t xml:space="preserve">kompetencii </w:t>
      </w:r>
      <w:r>
        <w:rPr>
          <w:sz w:val="24"/>
          <w:szCs w:val="24"/>
        </w:rPr>
        <w:t xml:space="preserve">mestá a </w:t>
      </w:r>
      <w:r w:rsidRPr="005448CC">
        <w:rPr>
          <w:sz w:val="24"/>
          <w:szCs w:val="24"/>
        </w:rPr>
        <w:t>obce. V nasledujúcej tabuľke je prehľad všetkých legislatívnych opatrení nezahrnutých v</w:t>
      </w:r>
      <w:r>
        <w:rPr>
          <w:sz w:val="24"/>
          <w:szCs w:val="24"/>
        </w:rPr>
        <w:t> </w:t>
      </w:r>
      <w:r w:rsidRPr="005448CC">
        <w:rPr>
          <w:sz w:val="24"/>
          <w:szCs w:val="24"/>
        </w:rPr>
        <w:t>rozpočt</w:t>
      </w:r>
      <w:r w:rsidR="00524216">
        <w:rPr>
          <w:sz w:val="24"/>
          <w:szCs w:val="24"/>
        </w:rPr>
        <w:t>e</w:t>
      </w:r>
      <w:r w:rsidRPr="005448CC">
        <w:rPr>
          <w:sz w:val="24"/>
          <w:szCs w:val="24"/>
        </w:rPr>
        <w:t>, ale s vplyvom na výnos v roku 2023.</w:t>
      </w:r>
    </w:p>
    <w:tbl>
      <w:tblPr>
        <w:tblW w:w="5000" w:type="pct"/>
        <w:tblCellMar>
          <w:left w:w="70" w:type="dxa"/>
          <w:right w:w="70" w:type="dxa"/>
        </w:tblCellMar>
        <w:tblLook w:val="04A0" w:firstRow="1" w:lastRow="0" w:firstColumn="1" w:lastColumn="0" w:noHBand="0" w:noVBand="1"/>
      </w:tblPr>
      <w:tblGrid>
        <w:gridCol w:w="8383"/>
        <w:gridCol w:w="831"/>
      </w:tblGrid>
      <w:tr w:rsidR="004C6700" w:rsidRPr="00166BE5" w14:paraId="02E410E0" w14:textId="77777777" w:rsidTr="00836EB5">
        <w:trPr>
          <w:trHeight w:val="290"/>
        </w:trPr>
        <w:tc>
          <w:tcPr>
            <w:tcW w:w="5000" w:type="pct"/>
            <w:gridSpan w:val="2"/>
            <w:tcBorders>
              <w:top w:val="nil"/>
              <w:left w:val="nil"/>
              <w:bottom w:val="single" w:sz="4" w:space="0" w:color="auto"/>
              <w:right w:val="nil"/>
            </w:tcBorders>
            <w:shd w:val="clear" w:color="auto" w:fill="auto"/>
            <w:noWrap/>
            <w:vAlign w:val="bottom"/>
            <w:hideMark/>
          </w:tcPr>
          <w:p w14:paraId="6D87841C" w14:textId="77777777" w:rsidR="004C6700" w:rsidRPr="00F53E19" w:rsidRDefault="004C6700" w:rsidP="00836EB5">
            <w:pPr>
              <w:spacing w:line="240" w:lineRule="auto"/>
              <w:jc w:val="left"/>
              <w:rPr>
                <w:rFonts w:eastAsia="Times New Roman" w:cs="Times New Roman"/>
                <w:b/>
                <w:bCs/>
                <w:color w:val="5B9BD5"/>
                <w:sz w:val="20"/>
                <w:szCs w:val="20"/>
                <w:lang w:eastAsia="sk-SK"/>
              </w:rPr>
            </w:pPr>
            <w:r w:rsidRPr="00F53E19">
              <w:rPr>
                <w:rFonts w:eastAsia="Times New Roman" w:cs="Times New Roman"/>
                <w:b/>
                <w:bCs/>
                <w:color w:val="5B9BD5"/>
                <w:sz w:val="20"/>
                <w:szCs w:val="20"/>
                <w:lang w:eastAsia="sk-SK"/>
              </w:rPr>
              <w:t>Tabuľka 8 - Legislatívne zmeny nezapracované v rozpočte VS na roky 2023-2025 podľa ESA2010</w:t>
            </w:r>
          </w:p>
        </w:tc>
      </w:tr>
      <w:tr w:rsidR="004C6700" w:rsidRPr="00836EB5" w14:paraId="112F2848" w14:textId="77777777" w:rsidTr="00836EB5">
        <w:trPr>
          <w:trHeight w:val="290"/>
        </w:trPr>
        <w:tc>
          <w:tcPr>
            <w:tcW w:w="4549" w:type="pct"/>
            <w:tcBorders>
              <w:top w:val="single" w:sz="4" w:space="0" w:color="auto"/>
              <w:left w:val="nil"/>
              <w:bottom w:val="single" w:sz="4" w:space="0" w:color="auto"/>
              <w:right w:val="nil"/>
            </w:tcBorders>
            <w:shd w:val="clear" w:color="auto" w:fill="auto"/>
            <w:noWrap/>
            <w:vAlign w:val="center"/>
            <w:hideMark/>
          </w:tcPr>
          <w:p w14:paraId="026807AB" w14:textId="77777777" w:rsidR="004C6700" w:rsidRPr="00836EB5" w:rsidRDefault="004C6700" w:rsidP="00836EB5">
            <w:pPr>
              <w:spacing w:after="0" w:line="240" w:lineRule="auto"/>
              <w:jc w:val="left"/>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 xml:space="preserve">v tis. eur </w:t>
            </w:r>
          </w:p>
        </w:tc>
        <w:tc>
          <w:tcPr>
            <w:tcW w:w="451" w:type="pct"/>
            <w:tcBorders>
              <w:top w:val="single" w:sz="4" w:space="0" w:color="auto"/>
              <w:left w:val="nil"/>
              <w:bottom w:val="single" w:sz="4" w:space="0" w:color="auto"/>
              <w:right w:val="nil"/>
            </w:tcBorders>
            <w:shd w:val="clear" w:color="auto" w:fill="auto"/>
            <w:noWrap/>
            <w:vAlign w:val="center"/>
            <w:hideMark/>
          </w:tcPr>
          <w:p w14:paraId="6BFAD7A1"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w:t>
            </w:r>
          </w:p>
        </w:tc>
      </w:tr>
      <w:tr w:rsidR="004C6700" w:rsidRPr="00836EB5" w14:paraId="1B146475" w14:textId="77777777" w:rsidTr="00836EB5">
        <w:trPr>
          <w:trHeight w:val="290"/>
        </w:trPr>
        <w:tc>
          <w:tcPr>
            <w:tcW w:w="4549" w:type="pct"/>
            <w:tcBorders>
              <w:top w:val="nil"/>
              <w:left w:val="nil"/>
              <w:bottom w:val="nil"/>
              <w:right w:val="nil"/>
            </w:tcBorders>
            <w:shd w:val="clear" w:color="auto" w:fill="auto"/>
            <w:noWrap/>
            <w:vAlign w:val="center"/>
            <w:hideMark/>
          </w:tcPr>
          <w:p w14:paraId="59291A9C"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Zmeny v II. pilieri (vplyv na I. pilier)</w:t>
            </w:r>
          </w:p>
        </w:tc>
        <w:tc>
          <w:tcPr>
            <w:tcW w:w="451" w:type="pct"/>
            <w:tcBorders>
              <w:top w:val="nil"/>
              <w:left w:val="nil"/>
              <w:bottom w:val="nil"/>
              <w:right w:val="nil"/>
            </w:tcBorders>
            <w:shd w:val="clear" w:color="auto" w:fill="auto"/>
            <w:noWrap/>
            <w:vAlign w:val="bottom"/>
            <w:hideMark/>
          </w:tcPr>
          <w:p w14:paraId="18EEC551" w14:textId="77777777" w:rsidR="004C6700" w:rsidRPr="00836EB5" w:rsidRDefault="004C6700" w:rsidP="00836EB5">
            <w:pPr>
              <w:spacing w:after="0" w:line="240" w:lineRule="auto"/>
              <w:jc w:val="left"/>
              <w:rPr>
                <w:rFonts w:eastAsia="Times New Roman" w:cs="Times New Roman"/>
                <w:color w:val="000000"/>
                <w:sz w:val="18"/>
                <w:szCs w:val="18"/>
                <w:lang w:eastAsia="sk-SK"/>
              </w:rPr>
            </w:pPr>
          </w:p>
        </w:tc>
      </w:tr>
      <w:tr w:rsidR="004C6700" w:rsidRPr="00836EB5" w14:paraId="2E6E51DC" w14:textId="77777777" w:rsidTr="00836EB5">
        <w:trPr>
          <w:trHeight w:val="290"/>
        </w:trPr>
        <w:tc>
          <w:tcPr>
            <w:tcW w:w="4549" w:type="pct"/>
            <w:tcBorders>
              <w:top w:val="nil"/>
              <w:left w:val="nil"/>
              <w:bottom w:val="nil"/>
              <w:right w:val="nil"/>
            </w:tcBorders>
            <w:shd w:val="clear" w:color="auto" w:fill="auto"/>
            <w:noWrap/>
            <w:vAlign w:val="center"/>
            <w:hideMark/>
          </w:tcPr>
          <w:p w14:paraId="785EA089" w14:textId="77777777" w:rsidR="004C6700" w:rsidRPr="00836EB5" w:rsidRDefault="004C6700" w:rsidP="00836EB5">
            <w:pPr>
              <w:spacing w:after="0" w:line="240" w:lineRule="auto"/>
              <w:ind w:firstLineChars="200" w:firstLine="360"/>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Zmrazenie odvodov do II. piliera na 2 roky</w:t>
            </w:r>
          </w:p>
        </w:tc>
        <w:tc>
          <w:tcPr>
            <w:tcW w:w="451" w:type="pct"/>
            <w:tcBorders>
              <w:top w:val="nil"/>
              <w:left w:val="nil"/>
              <w:bottom w:val="nil"/>
              <w:right w:val="nil"/>
            </w:tcBorders>
            <w:shd w:val="clear" w:color="auto" w:fill="auto"/>
            <w:noWrap/>
            <w:vAlign w:val="center"/>
            <w:hideMark/>
          </w:tcPr>
          <w:p w14:paraId="6141A546"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49 884</w:t>
            </w:r>
          </w:p>
        </w:tc>
      </w:tr>
      <w:tr w:rsidR="004C6700" w:rsidRPr="00836EB5" w14:paraId="59D1A6E7" w14:textId="77777777" w:rsidTr="00836EB5">
        <w:trPr>
          <w:trHeight w:val="290"/>
        </w:trPr>
        <w:tc>
          <w:tcPr>
            <w:tcW w:w="4549" w:type="pct"/>
            <w:tcBorders>
              <w:top w:val="nil"/>
              <w:left w:val="nil"/>
              <w:bottom w:val="nil"/>
              <w:right w:val="nil"/>
            </w:tcBorders>
            <w:shd w:val="clear" w:color="auto" w:fill="auto"/>
            <w:noWrap/>
            <w:vAlign w:val="center"/>
            <w:hideMark/>
          </w:tcPr>
          <w:p w14:paraId="5947402F" w14:textId="77777777" w:rsidR="004C6700" w:rsidRPr="00836EB5" w:rsidRDefault="004C6700" w:rsidP="00836EB5">
            <w:pPr>
              <w:spacing w:after="0" w:line="240" w:lineRule="auto"/>
              <w:ind w:firstLineChars="200" w:firstLine="360"/>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Reforma 2. piliera 2022 (automatický vstup)</w:t>
            </w:r>
          </w:p>
        </w:tc>
        <w:tc>
          <w:tcPr>
            <w:tcW w:w="451" w:type="pct"/>
            <w:tcBorders>
              <w:top w:val="nil"/>
              <w:left w:val="nil"/>
              <w:bottom w:val="nil"/>
              <w:right w:val="nil"/>
            </w:tcBorders>
            <w:shd w:val="clear" w:color="auto" w:fill="auto"/>
            <w:noWrap/>
            <w:vAlign w:val="center"/>
            <w:hideMark/>
          </w:tcPr>
          <w:p w14:paraId="1D762E0F"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-9 748</w:t>
            </w:r>
          </w:p>
        </w:tc>
      </w:tr>
      <w:tr w:rsidR="004C6700" w:rsidRPr="00836EB5" w14:paraId="61893AC1" w14:textId="77777777" w:rsidTr="00836EB5">
        <w:trPr>
          <w:trHeight w:val="290"/>
        </w:trPr>
        <w:tc>
          <w:tcPr>
            <w:tcW w:w="4549" w:type="pct"/>
            <w:tcBorders>
              <w:top w:val="nil"/>
              <w:left w:val="nil"/>
              <w:bottom w:val="nil"/>
              <w:right w:val="nil"/>
            </w:tcBorders>
            <w:shd w:val="clear" w:color="auto" w:fill="auto"/>
            <w:noWrap/>
            <w:vAlign w:val="center"/>
            <w:hideMark/>
          </w:tcPr>
          <w:p w14:paraId="5AFCC143" w14:textId="77777777" w:rsidR="004C6700" w:rsidRPr="00836EB5" w:rsidRDefault="004C6700" w:rsidP="00836EB5">
            <w:pPr>
              <w:spacing w:after="0" w:line="240" w:lineRule="auto"/>
              <w:ind w:firstLineChars="200" w:firstLine="360"/>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Reforma 2. piliera 2022 (zníženie poplatkov)</w:t>
            </w:r>
          </w:p>
        </w:tc>
        <w:tc>
          <w:tcPr>
            <w:tcW w:w="451" w:type="pct"/>
            <w:tcBorders>
              <w:top w:val="nil"/>
              <w:left w:val="nil"/>
              <w:bottom w:val="nil"/>
              <w:right w:val="nil"/>
            </w:tcBorders>
            <w:shd w:val="clear" w:color="auto" w:fill="auto"/>
            <w:noWrap/>
            <w:vAlign w:val="center"/>
            <w:hideMark/>
          </w:tcPr>
          <w:p w14:paraId="2D8EFCE9"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-1 227</w:t>
            </w:r>
          </w:p>
        </w:tc>
      </w:tr>
      <w:tr w:rsidR="004C6700" w:rsidRPr="00836EB5" w14:paraId="6E7DD338" w14:textId="77777777" w:rsidTr="00836EB5">
        <w:trPr>
          <w:trHeight w:val="290"/>
        </w:trPr>
        <w:tc>
          <w:tcPr>
            <w:tcW w:w="4549" w:type="pct"/>
            <w:tcBorders>
              <w:top w:val="nil"/>
              <w:left w:val="nil"/>
              <w:bottom w:val="nil"/>
              <w:right w:val="nil"/>
            </w:tcBorders>
            <w:shd w:val="clear" w:color="auto" w:fill="auto"/>
            <w:noWrap/>
            <w:vAlign w:val="center"/>
            <w:hideMark/>
          </w:tcPr>
          <w:p w14:paraId="689FDC39"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Trvalé zníženie sadzby DPH na 10% na </w:t>
            </w:r>
            <w:proofErr w:type="spellStart"/>
            <w:r w:rsidRPr="00836EB5">
              <w:rPr>
                <w:rFonts w:eastAsia="Times New Roman" w:cs="Times New Roman"/>
                <w:color w:val="000000"/>
                <w:sz w:val="18"/>
                <w:szCs w:val="18"/>
                <w:lang w:eastAsia="sk-SK"/>
              </w:rPr>
              <w:t>gastro</w:t>
            </w:r>
            <w:proofErr w:type="spellEnd"/>
            <w:r w:rsidRPr="00836EB5">
              <w:rPr>
                <w:rFonts w:eastAsia="Times New Roman" w:cs="Times New Roman"/>
                <w:color w:val="000000"/>
                <w:sz w:val="18"/>
                <w:szCs w:val="18"/>
                <w:lang w:eastAsia="sk-SK"/>
              </w:rPr>
              <w:t xml:space="preserve">, vleky, </w:t>
            </w:r>
            <w:proofErr w:type="spellStart"/>
            <w:r w:rsidRPr="00836EB5">
              <w:rPr>
                <w:rFonts w:eastAsia="Times New Roman" w:cs="Times New Roman"/>
                <w:color w:val="000000"/>
                <w:sz w:val="18"/>
                <w:szCs w:val="18"/>
                <w:lang w:eastAsia="sk-SK"/>
              </w:rPr>
              <w:t>aquaparky</w:t>
            </w:r>
            <w:proofErr w:type="spellEnd"/>
            <w:r w:rsidRPr="00836EB5">
              <w:rPr>
                <w:rFonts w:eastAsia="Times New Roman" w:cs="Times New Roman"/>
                <w:color w:val="000000"/>
                <w:sz w:val="18"/>
                <w:szCs w:val="18"/>
                <w:lang w:eastAsia="sk-SK"/>
              </w:rPr>
              <w:t xml:space="preserve"> a športoviská</w:t>
            </w:r>
          </w:p>
        </w:tc>
        <w:tc>
          <w:tcPr>
            <w:tcW w:w="451" w:type="pct"/>
            <w:tcBorders>
              <w:top w:val="nil"/>
              <w:left w:val="nil"/>
              <w:bottom w:val="nil"/>
              <w:right w:val="nil"/>
            </w:tcBorders>
            <w:shd w:val="clear" w:color="auto" w:fill="auto"/>
            <w:noWrap/>
            <w:vAlign w:val="center"/>
            <w:hideMark/>
          </w:tcPr>
          <w:p w14:paraId="57D055F1"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-149 253</w:t>
            </w:r>
          </w:p>
        </w:tc>
      </w:tr>
      <w:tr w:rsidR="004C6700" w:rsidRPr="00836EB5" w14:paraId="768DD781" w14:textId="77777777" w:rsidTr="00836EB5">
        <w:trPr>
          <w:trHeight w:val="290"/>
        </w:trPr>
        <w:tc>
          <w:tcPr>
            <w:tcW w:w="4549" w:type="pct"/>
            <w:tcBorders>
              <w:top w:val="nil"/>
              <w:left w:val="nil"/>
              <w:bottom w:val="nil"/>
              <w:right w:val="nil"/>
            </w:tcBorders>
            <w:shd w:val="clear" w:color="auto" w:fill="auto"/>
            <w:noWrap/>
            <w:vAlign w:val="center"/>
            <w:hideMark/>
          </w:tcPr>
          <w:p w14:paraId="6C1CEEEC"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Nájomné bývanie – zavedenie zníženej sadzby na DPH 5%</w:t>
            </w:r>
          </w:p>
        </w:tc>
        <w:tc>
          <w:tcPr>
            <w:tcW w:w="451" w:type="pct"/>
            <w:tcBorders>
              <w:top w:val="nil"/>
              <w:left w:val="nil"/>
              <w:bottom w:val="nil"/>
              <w:right w:val="nil"/>
            </w:tcBorders>
            <w:shd w:val="clear" w:color="auto" w:fill="auto"/>
            <w:noWrap/>
            <w:vAlign w:val="center"/>
            <w:hideMark/>
          </w:tcPr>
          <w:p w14:paraId="2D06BD03"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-9 187</w:t>
            </w:r>
          </w:p>
        </w:tc>
      </w:tr>
      <w:tr w:rsidR="004C6700" w:rsidRPr="00836EB5" w14:paraId="2F37C6ED" w14:textId="77777777" w:rsidTr="00836EB5">
        <w:trPr>
          <w:trHeight w:val="290"/>
        </w:trPr>
        <w:tc>
          <w:tcPr>
            <w:tcW w:w="4549" w:type="pct"/>
            <w:tcBorders>
              <w:top w:val="nil"/>
              <w:left w:val="nil"/>
              <w:bottom w:val="nil"/>
              <w:right w:val="nil"/>
            </w:tcBorders>
            <w:shd w:val="clear" w:color="auto" w:fill="auto"/>
            <w:noWrap/>
            <w:vAlign w:val="center"/>
            <w:hideMark/>
          </w:tcPr>
          <w:p w14:paraId="3A9171A4"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Zvýšenie sadzby SD z liehu o 30 % (vrátane vplyvu na DPH)</w:t>
            </w:r>
          </w:p>
        </w:tc>
        <w:tc>
          <w:tcPr>
            <w:tcW w:w="451" w:type="pct"/>
            <w:tcBorders>
              <w:top w:val="nil"/>
              <w:left w:val="nil"/>
              <w:bottom w:val="nil"/>
              <w:right w:val="nil"/>
            </w:tcBorders>
            <w:shd w:val="clear" w:color="auto" w:fill="auto"/>
            <w:noWrap/>
            <w:vAlign w:val="center"/>
            <w:hideMark/>
          </w:tcPr>
          <w:p w14:paraId="78C16B21"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39 877</w:t>
            </w:r>
          </w:p>
        </w:tc>
      </w:tr>
      <w:tr w:rsidR="004C6700" w:rsidRPr="00836EB5" w14:paraId="2DCB8190" w14:textId="77777777" w:rsidTr="00836EB5">
        <w:trPr>
          <w:trHeight w:val="290"/>
        </w:trPr>
        <w:tc>
          <w:tcPr>
            <w:tcW w:w="4549" w:type="pct"/>
            <w:tcBorders>
              <w:top w:val="nil"/>
              <w:left w:val="nil"/>
              <w:bottom w:val="nil"/>
              <w:right w:val="nil"/>
            </w:tcBorders>
            <w:shd w:val="clear" w:color="auto" w:fill="auto"/>
            <w:noWrap/>
            <w:vAlign w:val="center"/>
            <w:hideMark/>
          </w:tcPr>
          <w:p w14:paraId="09D74858"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Zrušenie koncesionárskych poplatkov RTVS</w:t>
            </w:r>
          </w:p>
        </w:tc>
        <w:tc>
          <w:tcPr>
            <w:tcW w:w="451" w:type="pct"/>
            <w:tcBorders>
              <w:top w:val="nil"/>
              <w:left w:val="nil"/>
              <w:bottom w:val="nil"/>
              <w:right w:val="nil"/>
            </w:tcBorders>
            <w:shd w:val="clear" w:color="auto" w:fill="auto"/>
            <w:noWrap/>
            <w:vAlign w:val="center"/>
            <w:hideMark/>
          </w:tcPr>
          <w:p w14:paraId="22FF0E12"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-34 836</w:t>
            </w:r>
          </w:p>
        </w:tc>
      </w:tr>
      <w:tr w:rsidR="004C6700" w:rsidRPr="00836EB5" w14:paraId="0F64F6C3" w14:textId="77777777" w:rsidTr="00836EB5">
        <w:trPr>
          <w:trHeight w:val="290"/>
        </w:trPr>
        <w:tc>
          <w:tcPr>
            <w:tcW w:w="4549" w:type="pct"/>
            <w:tcBorders>
              <w:top w:val="nil"/>
              <w:left w:val="nil"/>
              <w:bottom w:val="nil"/>
              <w:right w:val="nil"/>
            </w:tcBorders>
            <w:shd w:val="clear" w:color="auto" w:fill="auto"/>
            <w:noWrap/>
            <w:vAlign w:val="center"/>
            <w:hideMark/>
          </w:tcPr>
          <w:p w14:paraId="73362D8D"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Príjem z odvodu z nadmerných príjmov - elektrárne (čistý vplyv)</w:t>
            </w:r>
          </w:p>
        </w:tc>
        <w:tc>
          <w:tcPr>
            <w:tcW w:w="451" w:type="pct"/>
            <w:tcBorders>
              <w:top w:val="nil"/>
              <w:left w:val="nil"/>
              <w:bottom w:val="nil"/>
              <w:right w:val="nil"/>
            </w:tcBorders>
            <w:shd w:val="clear" w:color="auto" w:fill="auto"/>
            <w:noWrap/>
            <w:vAlign w:val="center"/>
            <w:hideMark/>
          </w:tcPr>
          <w:p w14:paraId="007E7BEE"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29 647</w:t>
            </w:r>
          </w:p>
        </w:tc>
      </w:tr>
      <w:tr w:rsidR="004C6700" w:rsidRPr="00836EB5" w14:paraId="308E7C6B" w14:textId="77777777" w:rsidTr="00836EB5">
        <w:trPr>
          <w:trHeight w:val="290"/>
        </w:trPr>
        <w:tc>
          <w:tcPr>
            <w:tcW w:w="4549" w:type="pct"/>
            <w:tcBorders>
              <w:top w:val="nil"/>
              <w:left w:val="nil"/>
              <w:bottom w:val="nil"/>
              <w:right w:val="nil"/>
            </w:tcBorders>
            <w:shd w:val="clear" w:color="auto" w:fill="auto"/>
            <w:noWrap/>
            <w:vAlign w:val="center"/>
            <w:hideMark/>
          </w:tcPr>
          <w:p w14:paraId="2F5B4B24"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Solidárny príspevok (70% na rok 2023) (čistý vplyv)</w:t>
            </w:r>
          </w:p>
        </w:tc>
        <w:tc>
          <w:tcPr>
            <w:tcW w:w="451" w:type="pct"/>
            <w:tcBorders>
              <w:top w:val="nil"/>
              <w:left w:val="nil"/>
              <w:bottom w:val="nil"/>
              <w:right w:val="nil"/>
            </w:tcBorders>
            <w:shd w:val="clear" w:color="auto" w:fill="auto"/>
            <w:noWrap/>
            <w:vAlign w:val="center"/>
            <w:hideMark/>
          </w:tcPr>
          <w:p w14:paraId="5C5E812D"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328 656</w:t>
            </w:r>
          </w:p>
        </w:tc>
      </w:tr>
      <w:tr w:rsidR="004C6700" w:rsidRPr="00836EB5" w14:paraId="32340C29" w14:textId="77777777" w:rsidTr="00836EB5">
        <w:trPr>
          <w:trHeight w:val="290"/>
        </w:trPr>
        <w:tc>
          <w:tcPr>
            <w:tcW w:w="4549" w:type="pct"/>
            <w:tcBorders>
              <w:top w:val="nil"/>
              <w:left w:val="nil"/>
              <w:bottom w:val="nil"/>
              <w:right w:val="nil"/>
            </w:tcBorders>
            <w:shd w:val="clear" w:color="auto" w:fill="auto"/>
            <w:noWrap/>
            <w:vAlign w:val="center"/>
            <w:hideMark/>
          </w:tcPr>
          <w:p w14:paraId="6547E797"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Oslobodenia cestovných nákladov lekárov od dane</w:t>
            </w:r>
          </w:p>
        </w:tc>
        <w:tc>
          <w:tcPr>
            <w:tcW w:w="451" w:type="pct"/>
            <w:tcBorders>
              <w:top w:val="nil"/>
              <w:left w:val="nil"/>
              <w:bottom w:val="nil"/>
              <w:right w:val="nil"/>
            </w:tcBorders>
            <w:shd w:val="clear" w:color="auto" w:fill="auto"/>
            <w:noWrap/>
            <w:vAlign w:val="center"/>
            <w:hideMark/>
          </w:tcPr>
          <w:p w14:paraId="128C7A14"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-1 000</w:t>
            </w:r>
          </w:p>
        </w:tc>
      </w:tr>
      <w:tr w:rsidR="004C6700" w:rsidRPr="00836EB5" w14:paraId="0C02C763" w14:textId="77777777" w:rsidTr="00836EB5">
        <w:trPr>
          <w:trHeight w:val="290"/>
        </w:trPr>
        <w:tc>
          <w:tcPr>
            <w:tcW w:w="4549" w:type="pct"/>
            <w:tcBorders>
              <w:top w:val="nil"/>
              <w:left w:val="nil"/>
              <w:bottom w:val="nil"/>
              <w:right w:val="nil"/>
            </w:tcBorders>
            <w:shd w:val="clear" w:color="auto" w:fill="auto"/>
            <w:noWrap/>
            <w:vAlign w:val="center"/>
            <w:hideMark/>
          </w:tcPr>
          <w:p w14:paraId="11C351E5"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Zdanenie dlhopisov emitovaných domácimi emitentmi na zahraničných trhoch</w:t>
            </w:r>
          </w:p>
        </w:tc>
        <w:tc>
          <w:tcPr>
            <w:tcW w:w="451" w:type="pct"/>
            <w:tcBorders>
              <w:top w:val="nil"/>
              <w:left w:val="nil"/>
              <w:bottom w:val="nil"/>
              <w:right w:val="nil"/>
            </w:tcBorders>
            <w:shd w:val="clear" w:color="auto" w:fill="auto"/>
            <w:noWrap/>
            <w:vAlign w:val="center"/>
            <w:hideMark/>
          </w:tcPr>
          <w:p w14:paraId="0D297F3C"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3 711</w:t>
            </w:r>
          </w:p>
        </w:tc>
      </w:tr>
      <w:tr w:rsidR="004C6700" w:rsidRPr="00836EB5" w14:paraId="4E7E2E17" w14:textId="77777777" w:rsidTr="00836EB5">
        <w:trPr>
          <w:trHeight w:val="290"/>
        </w:trPr>
        <w:tc>
          <w:tcPr>
            <w:tcW w:w="4549" w:type="pct"/>
            <w:tcBorders>
              <w:top w:val="nil"/>
              <w:left w:val="nil"/>
              <w:bottom w:val="nil"/>
              <w:right w:val="nil"/>
            </w:tcBorders>
            <w:shd w:val="clear" w:color="auto" w:fill="auto"/>
            <w:noWrap/>
            <w:vAlign w:val="center"/>
            <w:hideMark/>
          </w:tcPr>
          <w:p w14:paraId="61A7E958"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Odpustenie sociálnych odvodov zamestnávateľa za zamestnancov v potravinárskom priemysle (2023)</w:t>
            </w:r>
          </w:p>
        </w:tc>
        <w:tc>
          <w:tcPr>
            <w:tcW w:w="451" w:type="pct"/>
            <w:tcBorders>
              <w:top w:val="nil"/>
              <w:left w:val="nil"/>
              <w:bottom w:val="nil"/>
              <w:right w:val="nil"/>
            </w:tcBorders>
            <w:shd w:val="clear" w:color="auto" w:fill="auto"/>
            <w:noWrap/>
            <w:vAlign w:val="center"/>
            <w:hideMark/>
          </w:tcPr>
          <w:p w14:paraId="01AFC0A5"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-24 478</w:t>
            </w:r>
          </w:p>
        </w:tc>
      </w:tr>
      <w:tr w:rsidR="004C6700" w:rsidRPr="00836EB5" w14:paraId="067200D1" w14:textId="77777777" w:rsidTr="00836EB5">
        <w:trPr>
          <w:trHeight w:val="290"/>
        </w:trPr>
        <w:tc>
          <w:tcPr>
            <w:tcW w:w="4549" w:type="pct"/>
            <w:tcBorders>
              <w:top w:val="nil"/>
              <w:left w:val="nil"/>
              <w:bottom w:val="nil"/>
              <w:right w:val="nil"/>
            </w:tcBorders>
            <w:shd w:val="clear" w:color="auto" w:fill="auto"/>
            <w:noWrap/>
            <w:vAlign w:val="center"/>
            <w:hideMark/>
          </w:tcPr>
          <w:p w14:paraId="59BB1261"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Minimálne poistné zo zdravotných odvodov</w:t>
            </w:r>
          </w:p>
        </w:tc>
        <w:tc>
          <w:tcPr>
            <w:tcW w:w="451" w:type="pct"/>
            <w:tcBorders>
              <w:top w:val="nil"/>
              <w:left w:val="nil"/>
              <w:bottom w:val="nil"/>
              <w:right w:val="nil"/>
            </w:tcBorders>
            <w:shd w:val="clear" w:color="auto" w:fill="auto"/>
            <w:noWrap/>
            <w:vAlign w:val="center"/>
            <w:hideMark/>
          </w:tcPr>
          <w:p w14:paraId="78BD04E7"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20 306</w:t>
            </w:r>
          </w:p>
        </w:tc>
      </w:tr>
      <w:tr w:rsidR="004C6700" w:rsidRPr="00836EB5" w14:paraId="7E406F5D" w14:textId="77777777" w:rsidTr="00836EB5">
        <w:trPr>
          <w:trHeight w:val="290"/>
        </w:trPr>
        <w:tc>
          <w:tcPr>
            <w:tcW w:w="4549" w:type="pct"/>
            <w:tcBorders>
              <w:top w:val="nil"/>
              <w:left w:val="nil"/>
              <w:bottom w:val="nil"/>
              <w:right w:val="nil"/>
            </w:tcBorders>
            <w:shd w:val="clear" w:color="auto" w:fill="auto"/>
            <w:noWrap/>
            <w:vAlign w:val="center"/>
            <w:hideMark/>
          </w:tcPr>
          <w:p w14:paraId="5E95FECE"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Miestne dane</w:t>
            </w:r>
          </w:p>
        </w:tc>
        <w:tc>
          <w:tcPr>
            <w:tcW w:w="451" w:type="pct"/>
            <w:tcBorders>
              <w:top w:val="nil"/>
              <w:left w:val="nil"/>
              <w:bottom w:val="nil"/>
              <w:right w:val="nil"/>
            </w:tcBorders>
            <w:shd w:val="clear" w:color="auto" w:fill="auto"/>
            <w:noWrap/>
            <w:vAlign w:val="bottom"/>
            <w:hideMark/>
          </w:tcPr>
          <w:p w14:paraId="3B5D1D79" w14:textId="77777777" w:rsidR="004C6700" w:rsidRPr="00836EB5" w:rsidRDefault="004C6700" w:rsidP="00836EB5">
            <w:pPr>
              <w:spacing w:after="0" w:line="240" w:lineRule="auto"/>
              <w:jc w:val="left"/>
              <w:rPr>
                <w:rFonts w:eastAsia="Times New Roman" w:cs="Times New Roman"/>
                <w:color w:val="000000"/>
                <w:sz w:val="18"/>
                <w:szCs w:val="18"/>
                <w:lang w:eastAsia="sk-SK"/>
              </w:rPr>
            </w:pPr>
          </w:p>
        </w:tc>
      </w:tr>
      <w:tr w:rsidR="004C6700" w:rsidRPr="00836EB5" w14:paraId="0A119999" w14:textId="77777777" w:rsidTr="00836EB5">
        <w:trPr>
          <w:trHeight w:val="290"/>
        </w:trPr>
        <w:tc>
          <w:tcPr>
            <w:tcW w:w="4549" w:type="pct"/>
            <w:tcBorders>
              <w:top w:val="nil"/>
              <w:left w:val="nil"/>
              <w:bottom w:val="nil"/>
              <w:right w:val="nil"/>
            </w:tcBorders>
            <w:shd w:val="clear" w:color="auto" w:fill="auto"/>
            <w:noWrap/>
            <w:vAlign w:val="center"/>
            <w:hideMark/>
          </w:tcPr>
          <w:p w14:paraId="08FD3CC6" w14:textId="77777777" w:rsidR="004C6700" w:rsidRPr="00836EB5" w:rsidRDefault="004C6700" w:rsidP="00836EB5">
            <w:pPr>
              <w:spacing w:after="0" w:line="240" w:lineRule="auto"/>
              <w:ind w:firstLineChars="200" w:firstLine="360"/>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Zmena sadzieb daní z nehnuteľností podľa VZN od 2023</w:t>
            </w:r>
          </w:p>
        </w:tc>
        <w:tc>
          <w:tcPr>
            <w:tcW w:w="451" w:type="pct"/>
            <w:tcBorders>
              <w:top w:val="nil"/>
              <w:left w:val="nil"/>
              <w:bottom w:val="nil"/>
              <w:right w:val="nil"/>
            </w:tcBorders>
            <w:shd w:val="clear" w:color="auto" w:fill="auto"/>
            <w:noWrap/>
            <w:vAlign w:val="center"/>
            <w:hideMark/>
          </w:tcPr>
          <w:p w14:paraId="76112050"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34 250</w:t>
            </w:r>
          </w:p>
        </w:tc>
      </w:tr>
      <w:tr w:rsidR="004C6700" w:rsidRPr="00836EB5" w14:paraId="555FE7C6" w14:textId="77777777" w:rsidTr="00836EB5">
        <w:trPr>
          <w:trHeight w:val="290"/>
        </w:trPr>
        <w:tc>
          <w:tcPr>
            <w:tcW w:w="4549" w:type="pct"/>
            <w:tcBorders>
              <w:top w:val="nil"/>
              <w:left w:val="nil"/>
              <w:bottom w:val="nil"/>
              <w:right w:val="nil"/>
            </w:tcBorders>
            <w:shd w:val="clear" w:color="auto" w:fill="auto"/>
            <w:noWrap/>
            <w:vAlign w:val="center"/>
            <w:hideMark/>
          </w:tcPr>
          <w:p w14:paraId="603E31DC" w14:textId="77777777" w:rsidR="004C6700" w:rsidRPr="00836EB5" w:rsidRDefault="004C6700" w:rsidP="00836EB5">
            <w:pPr>
              <w:spacing w:after="0" w:line="240" w:lineRule="auto"/>
              <w:ind w:firstLineChars="200" w:firstLine="360"/>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Poplatok za komunálny odpad (dane za špecifické služby) - zvýšenie sadzieb od 1.1.2023 podľa VZN</w:t>
            </w:r>
          </w:p>
        </w:tc>
        <w:tc>
          <w:tcPr>
            <w:tcW w:w="451" w:type="pct"/>
            <w:tcBorders>
              <w:top w:val="nil"/>
              <w:left w:val="nil"/>
              <w:bottom w:val="nil"/>
              <w:right w:val="nil"/>
            </w:tcBorders>
            <w:shd w:val="clear" w:color="auto" w:fill="auto"/>
            <w:noWrap/>
            <w:vAlign w:val="center"/>
            <w:hideMark/>
          </w:tcPr>
          <w:p w14:paraId="4D0BB65D"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36 463</w:t>
            </w:r>
          </w:p>
        </w:tc>
      </w:tr>
      <w:tr w:rsidR="004C6700" w:rsidRPr="00836EB5" w14:paraId="5D7A6221" w14:textId="77777777" w:rsidTr="00836EB5">
        <w:trPr>
          <w:trHeight w:val="290"/>
        </w:trPr>
        <w:tc>
          <w:tcPr>
            <w:tcW w:w="4549" w:type="pct"/>
            <w:tcBorders>
              <w:top w:val="nil"/>
              <w:left w:val="nil"/>
              <w:bottom w:val="nil"/>
              <w:right w:val="nil"/>
            </w:tcBorders>
            <w:shd w:val="clear" w:color="auto" w:fill="auto"/>
            <w:noWrap/>
            <w:vAlign w:val="center"/>
            <w:hideMark/>
          </w:tcPr>
          <w:p w14:paraId="5B4B7689" w14:textId="77777777" w:rsidR="004C6700" w:rsidRPr="00836EB5" w:rsidRDefault="004C6700" w:rsidP="00836EB5">
            <w:pPr>
              <w:spacing w:after="0" w:line="240" w:lineRule="auto"/>
              <w:ind w:firstLineChars="200" w:firstLine="360"/>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Daň z ubytovania (dane za špecifické služby) - zvýšenie sadzieb od 1.1.2023 podľa VZN</w:t>
            </w:r>
          </w:p>
        </w:tc>
        <w:tc>
          <w:tcPr>
            <w:tcW w:w="451" w:type="pct"/>
            <w:tcBorders>
              <w:top w:val="nil"/>
              <w:left w:val="nil"/>
              <w:bottom w:val="nil"/>
              <w:right w:val="nil"/>
            </w:tcBorders>
            <w:shd w:val="clear" w:color="auto" w:fill="auto"/>
            <w:noWrap/>
            <w:vAlign w:val="center"/>
            <w:hideMark/>
          </w:tcPr>
          <w:p w14:paraId="790F5D47"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3 262</w:t>
            </w:r>
          </w:p>
        </w:tc>
      </w:tr>
      <w:tr w:rsidR="004C6700" w:rsidRPr="00836EB5" w14:paraId="1738FAF7" w14:textId="77777777" w:rsidTr="00836EB5">
        <w:trPr>
          <w:trHeight w:val="290"/>
        </w:trPr>
        <w:tc>
          <w:tcPr>
            <w:tcW w:w="4549" w:type="pct"/>
            <w:tcBorders>
              <w:top w:val="single" w:sz="4" w:space="0" w:color="auto"/>
              <w:left w:val="nil"/>
              <w:bottom w:val="single" w:sz="4" w:space="0" w:color="auto"/>
              <w:right w:val="nil"/>
            </w:tcBorders>
            <w:shd w:val="clear" w:color="auto" w:fill="auto"/>
            <w:noWrap/>
            <w:vAlign w:val="center"/>
            <w:hideMark/>
          </w:tcPr>
          <w:p w14:paraId="3B137736" w14:textId="77777777" w:rsidR="004C6700" w:rsidRPr="00836EB5" w:rsidRDefault="004C6700" w:rsidP="00836EB5">
            <w:pPr>
              <w:spacing w:after="0" w:line="240" w:lineRule="auto"/>
              <w:jc w:val="left"/>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Celkový vplyv na príjmy verejnej správy</w:t>
            </w:r>
          </w:p>
        </w:tc>
        <w:tc>
          <w:tcPr>
            <w:tcW w:w="451" w:type="pct"/>
            <w:tcBorders>
              <w:top w:val="single" w:sz="4" w:space="0" w:color="auto"/>
              <w:left w:val="nil"/>
              <w:bottom w:val="single" w:sz="4" w:space="0" w:color="auto"/>
              <w:right w:val="nil"/>
            </w:tcBorders>
            <w:shd w:val="clear" w:color="auto" w:fill="auto"/>
            <w:noWrap/>
            <w:vAlign w:val="center"/>
            <w:hideMark/>
          </w:tcPr>
          <w:p w14:paraId="74D129AE" w14:textId="77777777" w:rsidR="004C6700" w:rsidRPr="00836EB5" w:rsidRDefault="004C6700" w:rsidP="00836EB5">
            <w:pPr>
              <w:spacing w:after="0" w:line="240" w:lineRule="auto"/>
              <w:jc w:val="right"/>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316 327</w:t>
            </w:r>
          </w:p>
        </w:tc>
      </w:tr>
    </w:tbl>
    <w:p w14:paraId="000087DD" w14:textId="692F15B2" w:rsidR="004C6700" w:rsidRPr="0091017E" w:rsidRDefault="004C6700" w:rsidP="004C6700">
      <w:pPr>
        <w:keepNext/>
        <w:spacing w:after="0" w:line="240" w:lineRule="auto"/>
        <w:ind w:right="142"/>
        <w:rPr>
          <w:sz w:val="16"/>
          <w:szCs w:val="16"/>
        </w:rPr>
      </w:pPr>
      <w:r w:rsidRPr="00836EB5">
        <w:rPr>
          <w:rFonts w:cs="Times New Roman"/>
          <w:sz w:val="18"/>
          <w:szCs w:val="18"/>
        </w:rPr>
        <w:t>Pozn.: (+) znamená pozitívny vplyv a (-) negatívny vplyv oproti rozpočtu VS</w:t>
      </w:r>
      <w:r w:rsidRPr="00836EB5">
        <w:rPr>
          <w:rFonts w:cs="Times New Roman"/>
          <w:sz w:val="18"/>
          <w:szCs w:val="18"/>
        </w:rPr>
        <w:tab/>
      </w:r>
      <w:r w:rsidRPr="00836EB5">
        <w:rPr>
          <w:rFonts w:cs="Times New Roman"/>
          <w:sz w:val="18"/>
          <w:szCs w:val="18"/>
        </w:rPr>
        <w:tab/>
      </w:r>
      <w:r w:rsidRPr="00836EB5">
        <w:rPr>
          <w:rFonts w:cs="Times New Roman"/>
          <w:sz w:val="18"/>
          <w:szCs w:val="18"/>
        </w:rPr>
        <w:tab/>
      </w:r>
      <w:r w:rsidRPr="00836EB5">
        <w:rPr>
          <w:rFonts w:cs="Times New Roman"/>
          <w:sz w:val="18"/>
          <w:szCs w:val="18"/>
        </w:rPr>
        <w:tab/>
      </w:r>
      <w:r w:rsidRPr="00836EB5">
        <w:rPr>
          <w:rFonts w:cs="Times New Roman"/>
          <w:sz w:val="18"/>
          <w:szCs w:val="18"/>
        </w:rPr>
        <w:tab/>
        <w:t>Zdroj: IFP, MF SR</w:t>
      </w:r>
    </w:p>
    <w:p w14:paraId="2F68CA41" w14:textId="77777777" w:rsidR="004C6700" w:rsidRPr="00104BD1" w:rsidRDefault="004C6700" w:rsidP="004C6700">
      <w:pPr>
        <w:spacing w:before="120" w:line="240" w:lineRule="auto"/>
        <w:rPr>
          <w:sz w:val="24"/>
          <w:szCs w:val="24"/>
        </w:rPr>
      </w:pPr>
      <w:r w:rsidRPr="00104BD1">
        <w:rPr>
          <w:b/>
          <w:sz w:val="24"/>
          <w:szCs w:val="24"/>
        </w:rPr>
        <w:t>Daň z príjmu fyzických osôb zo závislej činnosti</w:t>
      </w:r>
      <w:r w:rsidRPr="00104BD1">
        <w:rPr>
          <w:sz w:val="24"/>
          <w:szCs w:val="24"/>
        </w:rPr>
        <w:t xml:space="preserve"> je oproti rozpočtu nižšia o</w:t>
      </w:r>
      <w:r>
        <w:rPr>
          <w:sz w:val="24"/>
          <w:szCs w:val="24"/>
        </w:rPr>
        <w:t> 241 829 </w:t>
      </w:r>
      <w:r w:rsidRPr="00104BD1">
        <w:rPr>
          <w:sz w:val="24"/>
          <w:szCs w:val="24"/>
        </w:rPr>
        <w:t>tis.</w:t>
      </w:r>
      <w:r>
        <w:rPr>
          <w:sz w:val="24"/>
          <w:szCs w:val="24"/>
        </w:rPr>
        <w:t> </w:t>
      </w:r>
      <w:r w:rsidRPr="00104BD1">
        <w:rPr>
          <w:sz w:val="24"/>
          <w:szCs w:val="24"/>
        </w:rPr>
        <w:t>eur. Trh práce počas roka dosahoval slabšie hodnoty ako predpokladal rozpočet, čo z časti stojí za nižším výnosom. Samotný výnos dane však rovnako počas roka zaostával aj za slabšou mzdovou bázou. To sa prejavilo na slabšom plnení dane, ktoré bolo nižšie o 169 082 tis. eur.</w:t>
      </w:r>
    </w:p>
    <w:p w14:paraId="6223F674" w14:textId="77777777" w:rsidR="004C6700" w:rsidRPr="00D56E42" w:rsidRDefault="004C6700" w:rsidP="004C6700">
      <w:pPr>
        <w:spacing w:before="120" w:line="240" w:lineRule="auto"/>
        <w:rPr>
          <w:sz w:val="24"/>
          <w:szCs w:val="24"/>
        </w:rPr>
      </w:pPr>
      <w:r w:rsidRPr="00F021C8">
        <w:rPr>
          <w:sz w:val="24"/>
          <w:szCs w:val="24"/>
        </w:rPr>
        <w:lastRenderedPageBreak/>
        <w:t xml:space="preserve">Odhad výnosu </w:t>
      </w:r>
      <w:r w:rsidRPr="00F021C8">
        <w:rPr>
          <w:b/>
          <w:sz w:val="24"/>
          <w:szCs w:val="24"/>
        </w:rPr>
        <w:t>dane z príjmov fyzických osôb z podnikania</w:t>
      </w:r>
      <w:r w:rsidRPr="00F021C8">
        <w:rPr>
          <w:rStyle w:val="Odkaznapoznmkupodiarou"/>
          <w:sz w:val="24"/>
          <w:szCs w:val="24"/>
        </w:rPr>
        <w:footnoteReference w:id="9"/>
      </w:r>
      <w:r w:rsidRPr="00F021C8">
        <w:rPr>
          <w:sz w:val="24"/>
          <w:szCs w:val="24"/>
        </w:rPr>
        <w:t xml:space="preserve"> je</w:t>
      </w:r>
      <w:r w:rsidRPr="000C7E3C">
        <w:rPr>
          <w:sz w:val="24"/>
          <w:szCs w:val="24"/>
        </w:rPr>
        <w:t xml:space="preserve"> za rok 2023 o 28 5</w:t>
      </w:r>
      <w:r>
        <w:rPr>
          <w:sz w:val="24"/>
          <w:szCs w:val="24"/>
        </w:rPr>
        <w:t>4</w:t>
      </w:r>
      <w:r w:rsidRPr="000C7E3C">
        <w:rPr>
          <w:sz w:val="24"/>
          <w:szCs w:val="24"/>
        </w:rPr>
        <w:t xml:space="preserve">2 tis. eur vyšší ako </w:t>
      </w:r>
      <w:r>
        <w:rPr>
          <w:sz w:val="24"/>
          <w:szCs w:val="24"/>
        </w:rPr>
        <w:t xml:space="preserve">predpokladal </w:t>
      </w:r>
      <w:r w:rsidRPr="000C7E3C">
        <w:rPr>
          <w:sz w:val="24"/>
          <w:szCs w:val="24"/>
        </w:rPr>
        <w:t xml:space="preserve">rozpočet. </w:t>
      </w:r>
      <w:r w:rsidRPr="008D3693">
        <w:rPr>
          <w:sz w:val="24"/>
          <w:szCs w:val="24"/>
        </w:rPr>
        <w:t xml:space="preserve">Hlavným dôvodom je vyššia ziskovosť živnostníkov </w:t>
      </w:r>
      <w:r>
        <w:rPr>
          <w:sz w:val="24"/>
          <w:szCs w:val="24"/>
        </w:rPr>
        <w:t>z dôvodu</w:t>
      </w:r>
      <w:r w:rsidRPr="008D3693">
        <w:rPr>
          <w:sz w:val="24"/>
          <w:szCs w:val="24"/>
        </w:rPr>
        <w:t xml:space="preserve"> pretrvávajúcej </w:t>
      </w:r>
      <w:r w:rsidRPr="00D56E42">
        <w:rPr>
          <w:sz w:val="24"/>
          <w:szCs w:val="24"/>
        </w:rPr>
        <w:t>infláci</w:t>
      </w:r>
      <w:r>
        <w:rPr>
          <w:sz w:val="24"/>
          <w:szCs w:val="24"/>
        </w:rPr>
        <w:t>e</w:t>
      </w:r>
      <w:r w:rsidRPr="00D56E42">
        <w:rPr>
          <w:sz w:val="24"/>
          <w:szCs w:val="24"/>
        </w:rPr>
        <w:t xml:space="preserve"> a vyšš</w:t>
      </w:r>
      <w:r>
        <w:rPr>
          <w:sz w:val="24"/>
          <w:szCs w:val="24"/>
        </w:rPr>
        <w:t>ieho počtu</w:t>
      </w:r>
      <w:r w:rsidRPr="00D56E42">
        <w:rPr>
          <w:sz w:val="24"/>
          <w:szCs w:val="24"/>
        </w:rPr>
        <w:t xml:space="preserve"> živnostníkov, ktorí pravidelne rastú medziročne na</w:t>
      </w:r>
      <w:r>
        <w:rPr>
          <w:sz w:val="24"/>
          <w:szCs w:val="24"/>
        </w:rPr>
        <w:t> </w:t>
      </w:r>
      <w:r w:rsidRPr="00D56E42">
        <w:rPr>
          <w:sz w:val="24"/>
          <w:szCs w:val="24"/>
        </w:rPr>
        <w:t>úrovni 1 až 2 percent.</w:t>
      </w:r>
    </w:p>
    <w:p w14:paraId="18B2BBC6" w14:textId="3E4A9E1D" w:rsidR="004C6700" w:rsidRPr="00092ACB" w:rsidRDefault="004C6700" w:rsidP="004C6700">
      <w:pPr>
        <w:spacing w:line="240" w:lineRule="auto"/>
        <w:rPr>
          <w:sz w:val="24"/>
          <w:szCs w:val="24"/>
          <w:highlight w:val="yellow"/>
        </w:rPr>
      </w:pPr>
      <w:r w:rsidRPr="00254798">
        <w:rPr>
          <w:sz w:val="24"/>
          <w:szCs w:val="24"/>
        </w:rPr>
        <w:t xml:space="preserve">Odhad výnosu </w:t>
      </w:r>
      <w:r w:rsidRPr="00254798">
        <w:rPr>
          <w:b/>
          <w:sz w:val="24"/>
          <w:szCs w:val="24"/>
        </w:rPr>
        <w:t>dane z príjmov právnických osôb</w:t>
      </w:r>
      <w:r w:rsidRPr="00254798">
        <w:rPr>
          <w:sz w:val="24"/>
          <w:szCs w:val="24"/>
          <w:vertAlign w:val="superscript"/>
        </w:rPr>
        <w:footnoteReference w:id="10"/>
      </w:r>
      <w:r w:rsidRPr="00254798">
        <w:rPr>
          <w:sz w:val="24"/>
          <w:szCs w:val="24"/>
          <w:vertAlign w:val="superscript"/>
        </w:rPr>
        <w:t xml:space="preserve"> </w:t>
      </w:r>
      <w:r w:rsidRPr="00254798">
        <w:rPr>
          <w:sz w:val="24"/>
          <w:szCs w:val="24"/>
        </w:rPr>
        <w:t>za</w:t>
      </w:r>
      <w:r w:rsidRPr="00B30089">
        <w:rPr>
          <w:sz w:val="24"/>
          <w:szCs w:val="24"/>
        </w:rPr>
        <w:t xml:space="preserve"> rok 2023 je oproti rozpočtu vyšší o 343</w:t>
      </w:r>
      <w:r>
        <w:rPr>
          <w:sz w:val="24"/>
          <w:szCs w:val="24"/>
        </w:rPr>
        <w:t> </w:t>
      </w:r>
      <w:r w:rsidRPr="00B30089">
        <w:rPr>
          <w:sz w:val="24"/>
          <w:szCs w:val="24"/>
        </w:rPr>
        <w:t>20</w:t>
      </w:r>
      <w:r>
        <w:rPr>
          <w:sz w:val="24"/>
          <w:szCs w:val="24"/>
        </w:rPr>
        <w:t>9 tis. </w:t>
      </w:r>
      <w:r w:rsidRPr="00B30089">
        <w:rPr>
          <w:sz w:val="24"/>
          <w:szCs w:val="24"/>
        </w:rPr>
        <w:t>eur. Revízia je postavená najmä na dátach o výsledku hospodárenia firiem, poskytovaných Štatistickým úradom Slovenskej republiky. Prudké oživenie firemného prostredia po pandémi</w:t>
      </w:r>
      <w:r>
        <w:rPr>
          <w:sz w:val="24"/>
          <w:szCs w:val="24"/>
        </w:rPr>
        <w:t>i</w:t>
      </w:r>
      <w:r w:rsidRPr="00B30089">
        <w:rPr>
          <w:sz w:val="24"/>
          <w:szCs w:val="24"/>
        </w:rPr>
        <w:t xml:space="preserve"> pokračuje aj naďalej a nebolo výrazne zasiahnuté ani energetickou krízou. Očakávania z pohľadu firiem sú preto nastavené pozitívne aj do budúcna. V roku 2023 očakávame síce mierny pokles v oblasti priemyslu, ale dariť by sa naopak malo firmám v oblasti dodávok elektriny a plynu, stavebníctva a firmám v oblasti nehnuteľností, odborných, vedeckých a technických činností a administratívnych služieb.</w:t>
      </w:r>
    </w:p>
    <w:p w14:paraId="1BDA6988" w14:textId="77777777" w:rsidR="004C6700" w:rsidRPr="005965D2" w:rsidRDefault="004C6700" w:rsidP="004C6700">
      <w:pPr>
        <w:spacing w:line="240" w:lineRule="auto"/>
        <w:rPr>
          <w:rFonts w:cs="Times New Roman"/>
          <w:sz w:val="24"/>
          <w:szCs w:val="24"/>
        </w:rPr>
      </w:pPr>
      <w:r w:rsidRPr="00D8138C">
        <w:rPr>
          <w:sz w:val="24"/>
          <w:szCs w:val="24"/>
        </w:rPr>
        <w:t xml:space="preserve">Výnos </w:t>
      </w:r>
      <w:r w:rsidRPr="00D8138C">
        <w:rPr>
          <w:b/>
          <w:sz w:val="24"/>
          <w:szCs w:val="24"/>
        </w:rPr>
        <w:t>dane z pridanej hodnoty</w:t>
      </w:r>
      <w:r w:rsidRPr="00D8138C">
        <w:rPr>
          <w:sz w:val="24"/>
          <w:szCs w:val="24"/>
          <w:vertAlign w:val="superscript"/>
        </w:rPr>
        <w:footnoteReference w:id="11"/>
      </w:r>
      <w:r w:rsidRPr="00D8138C">
        <w:rPr>
          <w:sz w:val="24"/>
          <w:szCs w:val="24"/>
        </w:rPr>
        <w:t xml:space="preserve"> </w:t>
      </w:r>
      <w:r w:rsidRPr="00B30089">
        <w:rPr>
          <w:sz w:val="24"/>
          <w:szCs w:val="24"/>
        </w:rPr>
        <w:t>je oproti rozpočtu nižší o 83 91</w:t>
      </w:r>
      <w:r>
        <w:rPr>
          <w:sz w:val="24"/>
          <w:szCs w:val="24"/>
        </w:rPr>
        <w:t>5</w:t>
      </w:r>
      <w:r w:rsidRPr="00B30089">
        <w:rPr>
          <w:sz w:val="24"/>
          <w:szCs w:val="24"/>
        </w:rPr>
        <w:t xml:space="preserve"> tis. eur. Výsledný rozdiel je výslednicou vplyvov viacerých dlhodobých, ale aj jednorazových faktorov. Horší než predpokladaný makroekonomický vývoj (60 % slabšieho výnosu), pozvoľn</w:t>
      </w:r>
      <w:r>
        <w:rPr>
          <w:sz w:val="24"/>
          <w:szCs w:val="24"/>
        </w:rPr>
        <w:t>ý</w:t>
      </w:r>
      <w:r w:rsidRPr="00B30089">
        <w:rPr>
          <w:sz w:val="24"/>
          <w:szCs w:val="24"/>
        </w:rPr>
        <w:t xml:space="preserve"> </w:t>
      </w:r>
      <w:r>
        <w:rPr>
          <w:sz w:val="24"/>
          <w:szCs w:val="24"/>
        </w:rPr>
        <w:t>návrat</w:t>
      </w:r>
      <w:r w:rsidRPr="00B30089">
        <w:rPr>
          <w:sz w:val="24"/>
          <w:szCs w:val="24"/>
        </w:rPr>
        <w:t xml:space="preserve"> a</w:t>
      </w:r>
      <w:r>
        <w:rPr>
          <w:sz w:val="24"/>
          <w:szCs w:val="24"/>
        </w:rPr>
        <w:t> </w:t>
      </w:r>
      <w:r w:rsidRPr="00B30089">
        <w:rPr>
          <w:sz w:val="24"/>
          <w:szCs w:val="24"/>
        </w:rPr>
        <w:t xml:space="preserve">stabilizácia </w:t>
      </w:r>
      <w:r>
        <w:rPr>
          <w:sz w:val="24"/>
          <w:szCs w:val="24"/>
        </w:rPr>
        <w:t xml:space="preserve">efektívnej daňovej sadzby </w:t>
      </w:r>
      <w:r w:rsidRPr="00B30089">
        <w:rPr>
          <w:sz w:val="24"/>
          <w:szCs w:val="24"/>
        </w:rPr>
        <w:t xml:space="preserve">na </w:t>
      </w:r>
      <w:proofErr w:type="spellStart"/>
      <w:r w:rsidRPr="00B30089">
        <w:rPr>
          <w:sz w:val="24"/>
          <w:szCs w:val="24"/>
        </w:rPr>
        <w:t>predpandemických</w:t>
      </w:r>
      <w:proofErr w:type="spellEnd"/>
      <w:r w:rsidRPr="00B30089">
        <w:rPr>
          <w:sz w:val="24"/>
          <w:szCs w:val="24"/>
        </w:rPr>
        <w:t xml:space="preserve"> úrovniach (19 % slabšieho výnosu) a nová legislatíva schválená v decembri 2022 (zavedenie zníženej sadzby 10 % pre </w:t>
      </w:r>
      <w:proofErr w:type="spellStart"/>
      <w:r w:rsidRPr="00B30089">
        <w:rPr>
          <w:sz w:val="24"/>
          <w:szCs w:val="24"/>
        </w:rPr>
        <w:t>gastro</w:t>
      </w:r>
      <w:proofErr w:type="spellEnd"/>
      <w:r w:rsidRPr="00B30089">
        <w:rPr>
          <w:sz w:val="24"/>
          <w:szCs w:val="24"/>
        </w:rPr>
        <w:t xml:space="preserve">, športoviská a vleky tvoriace 21 % z poklesu) boli vo výnose takmer plne vykompenzované vplyvom jednorazových faktorov v podobe DPH z udelenej </w:t>
      </w:r>
      <w:proofErr w:type="spellStart"/>
      <w:r w:rsidRPr="00B30089">
        <w:rPr>
          <w:sz w:val="24"/>
          <w:szCs w:val="24"/>
        </w:rPr>
        <w:t>energopomoci</w:t>
      </w:r>
      <w:proofErr w:type="spellEnd"/>
      <w:r w:rsidRPr="00B30089">
        <w:rPr>
          <w:sz w:val="24"/>
          <w:szCs w:val="24"/>
        </w:rPr>
        <w:t xml:space="preserve"> domácnostiam</w:t>
      </w:r>
      <w:r w:rsidRPr="000B57EB">
        <w:rPr>
          <w:sz w:val="24"/>
          <w:szCs w:val="24"/>
          <w:vertAlign w:val="superscript"/>
        </w:rPr>
        <w:footnoteReference w:id="12"/>
      </w:r>
      <w:r w:rsidRPr="00B30089">
        <w:rPr>
          <w:sz w:val="24"/>
          <w:szCs w:val="24"/>
        </w:rPr>
        <w:t xml:space="preserve"> (71 % nárastu) </w:t>
      </w:r>
      <w:r w:rsidRPr="005965D2">
        <w:rPr>
          <w:sz w:val="24"/>
          <w:szCs w:val="24"/>
        </w:rPr>
        <w:t>a splátkami platieb DPH vybraného subjektu v rámci individuálne nastaveného splátkového kalendára (29 % nárastu).</w:t>
      </w:r>
    </w:p>
    <w:p w14:paraId="250F4EA4" w14:textId="77777777" w:rsidR="004C6700" w:rsidRPr="00AE2849" w:rsidRDefault="004C6700" w:rsidP="004C6700">
      <w:pPr>
        <w:spacing w:line="240" w:lineRule="auto"/>
        <w:rPr>
          <w:sz w:val="24"/>
          <w:szCs w:val="24"/>
        </w:rPr>
      </w:pPr>
      <w:r w:rsidRPr="00232F18">
        <w:rPr>
          <w:sz w:val="24"/>
          <w:szCs w:val="24"/>
        </w:rPr>
        <w:t xml:space="preserve">Výnos </w:t>
      </w:r>
      <w:r w:rsidRPr="00232F18">
        <w:rPr>
          <w:b/>
          <w:sz w:val="24"/>
          <w:szCs w:val="24"/>
        </w:rPr>
        <w:t>spotrebných daní</w:t>
      </w:r>
      <w:r w:rsidRPr="00232F18">
        <w:rPr>
          <w:sz w:val="24"/>
          <w:szCs w:val="24"/>
        </w:rPr>
        <w:t xml:space="preserve"> za</w:t>
      </w:r>
      <w:r w:rsidRPr="00471A47">
        <w:rPr>
          <w:sz w:val="24"/>
          <w:szCs w:val="24"/>
        </w:rPr>
        <w:t xml:space="preserve"> rok 2023 je oproti rozpočtu vyšší o 51 99</w:t>
      </w:r>
      <w:r>
        <w:rPr>
          <w:sz w:val="24"/>
          <w:szCs w:val="24"/>
        </w:rPr>
        <w:t>8</w:t>
      </w:r>
      <w:r w:rsidRPr="00471A47">
        <w:rPr>
          <w:sz w:val="24"/>
          <w:szCs w:val="24"/>
        </w:rPr>
        <w:t xml:space="preserve"> tis. eur. Plnenie spotrebnej dane z minerálneho oleja bolo vyššie o 20 87</w:t>
      </w:r>
      <w:r>
        <w:rPr>
          <w:sz w:val="24"/>
          <w:szCs w:val="24"/>
        </w:rPr>
        <w:t>4</w:t>
      </w:r>
      <w:r w:rsidRPr="00471A47">
        <w:rPr>
          <w:sz w:val="24"/>
          <w:szCs w:val="24"/>
        </w:rPr>
        <w:t xml:space="preserve"> tis. eur, najmä z titulu vyššieho rastu ekonomiky než sa čakalo pri tvorbe rozpočtu. Výnos spotrebnej dane z tabakových výrobkov je </w:t>
      </w:r>
      <w:r>
        <w:rPr>
          <w:sz w:val="24"/>
          <w:szCs w:val="24"/>
        </w:rPr>
        <w:t>o 5 </w:t>
      </w:r>
      <w:r w:rsidRPr="00471A47">
        <w:rPr>
          <w:sz w:val="24"/>
          <w:szCs w:val="24"/>
        </w:rPr>
        <w:t>67</w:t>
      </w:r>
      <w:r>
        <w:rPr>
          <w:sz w:val="24"/>
          <w:szCs w:val="24"/>
        </w:rPr>
        <w:t>4 tis. </w:t>
      </w:r>
      <w:r w:rsidRPr="00471A47">
        <w:rPr>
          <w:sz w:val="24"/>
          <w:szCs w:val="24"/>
        </w:rPr>
        <w:t>eur nižší v porovnaní s rozpočtom. Pozitívne na výnos vplývalo zvýšenie sadzieb spotrebnej dane a</w:t>
      </w:r>
      <w:r>
        <w:rPr>
          <w:sz w:val="24"/>
          <w:szCs w:val="24"/>
        </w:rPr>
        <w:t xml:space="preserve"> lepší </w:t>
      </w:r>
      <w:r w:rsidRPr="00471A47">
        <w:rPr>
          <w:sz w:val="24"/>
          <w:szCs w:val="24"/>
        </w:rPr>
        <w:t xml:space="preserve">vývoj makroekonomickej základne (spotreba domácností). Medziročne však došlo k poklesu počtu </w:t>
      </w:r>
      <w:r>
        <w:rPr>
          <w:sz w:val="24"/>
          <w:szCs w:val="24"/>
        </w:rPr>
        <w:t xml:space="preserve">vyskladnených </w:t>
      </w:r>
      <w:r w:rsidRPr="00471A47">
        <w:rPr>
          <w:sz w:val="24"/>
          <w:szCs w:val="24"/>
        </w:rPr>
        <w:t>cigariet o viac ako 5 %, čo malo negatívny vplyv na</w:t>
      </w:r>
      <w:r>
        <w:rPr>
          <w:sz w:val="24"/>
          <w:szCs w:val="24"/>
        </w:rPr>
        <w:t> </w:t>
      </w:r>
      <w:r w:rsidRPr="00471A47">
        <w:rPr>
          <w:sz w:val="24"/>
          <w:szCs w:val="24"/>
        </w:rPr>
        <w:t>výnos. Výnos spotrebnej dane z liehu pre</w:t>
      </w:r>
      <w:r>
        <w:rPr>
          <w:sz w:val="24"/>
          <w:szCs w:val="24"/>
        </w:rPr>
        <w:t>výšil rozpočtovanú hodnotu o 40 047 tis. </w:t>
      </w:r>
      <w:r w:rsidRPr="00471A47">
        <w:rPr>
          <w:sz w:val="24"/>
          <w:szCs w:val="24"/>
        </w:rPr>
        <w:t>eur. Na</w:t>
      </w:r>
      <w:r>
        <w:rPr>
          <w:sz w:val="24"/>
          <w:szCs w:val="24"/>
        </w:rPr>
        <w:t> </w:t>
      </w:r>
      <w:r w:rsidRPr="00471A47">
        <w:rPr>
          <w:sz w:val="24"/>
          <w:szCs w:val="24"/>
        </w:rPr>
        <w:t xml:space="preserve">výnos malo pozitívny vplyv </w:t>
      </w:r>
      <w:r>
        <w:rPr>
          <w:sz w:val="24"/>
          <w:szCs w:val="24"/>
        </w:rPr>
        <w:t xml:space="preserve">najmä </w:t>
      </w:r>
      <w:r w:rsidRPr="00471A47">
        <w:rPr>
          <w:sz w:val="24"/>
          <w:szCs w:val="24"/>
        </w:rPr>
        <w:t>zvýšenie sadzieb</w:t>
      </w:r>
      <w:r>
        <w:rPr>
          <w:sz w:val="24"/>
          <w:szCs w:val="24"/>
        </w:rPr>
        <w:t xml:space="preserve"> z</w:t>
      </w:r>
      <w:r w:rsidRPr="00471A47">
        <w:rPr>
          <w:sz w:val="24"/>
          <w:szCs w:val="24"/>
        </w:rPr>
        <w:t xml:space="preserve"> </w:t>
      </w:r>
      <w:r>
        <w:rPr>
          <w:sz w:val="24"/>
          <w:szCs w:val="24"/>
        </w:rPr>
        <w:t xml:space="preserve">liehu </w:t>
      </w:r>
      <w:r w:rsidRPr="00471A47">
        <w:rPr>
          <w:sz w:val="24"/>
          <w:szCs w:val="24"/>
        </w:rPr>
        <w:t>od 1.4.</w:t>
      </w:r>
      <w:r w:rsidRPr="00AE2849">
        <w:rPr>
          <w:sz w:val="24"/>
          <w:szCs w:val="24"/>
        </w:rPr>
        <w:t>2023 o 30 %, s ktorým</w:t>
      </w:r>
      <w:r w:rsidRPr="00471A47">
        <w:rPr>
          <w:sz w:val="24"/>
          <w:szCs w:val="24"/>
        </w:rPr>
        <w:t xml:space="preserve"> </w:t>
      </w:r>
      <w:r>
        <w:rPr>
          <w:sz w:val="24"/>
          <w:szCs w:val="24"/>
        </w:rPr>
        <w:t>s</w:t>
      </w:r>
      <w:r w:rsidRPr="00471A47">
        <w:rPr>
          <w:sz w:val="24"/>
          <w:szCs w:val="24"/>
        </w:rPr>
        <w:t>a pri</w:t>
      </w:r>
      <w:r>
        <w:rPr>
          <w:sz w:val="24"/>
          <w:szCs w:val="24"/>
        </w:rPr>
        <w:t> zostavovaní</w:t>
      </w:r>
      <w:r w:rsidRPr="00471A47">
        <w:rPr>
          <w:sz w:val="24"/>
          <w:szCs w:val="24"/>
        </w:rPr>
        <w:t xml:space="preserve"> rozpočtu nepočítalo. </w:t>
      </w:r>
      <w:r>
        <w:rPr>
          <w:sz w:val="24"/>
          <w:szCs w:val="24"/>
        </w:rPr>
        <w:t xml:space="preserve">Celkovo bol výnos z titulu zvýšenia sadzieb vyšší o 32 965 tis. eur. Výnos bol ovplyvnený aj predzásobením obchodníkov, negatívne predzásobením pred aprílovým zvýšením sadzieb a pozitívne pred </w:t>
      </w:r>
      <w:r w:rsidRPr="00B30089">
        <w:rPr>
          <w:sz w:val="24"/>
          <w:szCs w:val="24"/>
        </w:rPr>
        <w:t>ďalším zvýšením sadzieb, ktoré nastalo od 1.1.2024.</w:t>
      </w:r>
    </w:p>
    <w:p w14:paraId="5748A0F3" w14:textId="77777777" w:rsidR="004C6700" w:rsidRPr="008D17D0" w:rsidRDefault="004C6700" w:rsidP="004C6700">
      <w:pPr>
        <w:spacing w:line="240" w:lineRule="auto"/>
        <w:rPr>
          <w:sz w:val="24"/>
          <w:szCs w:val="24"/>
        </w:rPr>
      </w:pPr>
      <w:r w:rsidRPr="00AE2849">
        <w:rPr>
          <w:b/>
          <w:sz w:val="24"/>
          <w:szCs w:val="24"/>
        </w:rPr>
        <w:t>Solidárny príspevok z činností v odvetviach ropy, zemného plynu, uhlia a rafinérií</w:t>
      </w:r>
      <w:r w:rsidRPr="00AE2849">
        <w:rPr>
          <w:rStyle w:val="Odkaznapoznmkupodiarou"/>
          <w:b/>
          <w:sz w:val="24"/>
          <w:szCs w:val="24"/>
        </w:rPr>
        <w:footnoteReference w:id="13"/>
      </w:r>
      <w:r w:rsidRPr="00AE2849">
        <w:rPr>
          <w:sz w:val="24"/>
          <w:szCs w:val="24"/>
        </w:rPr>
        <w:t>,</w:t>
      </w:r>
      <w:r w:rsidRPr="001A1519">
        <w:rPr>
          <w:sz w:val="24"/>
          <w:szCs w:val="24"/>
        </w:rPr>
        <w:t xml:space="preserve"> </w:t>
      </w:r>
      <w:r w:rsidRPr="00B30089">
        <w:rPr>
          <w:sz w:val="24"/>
          <w:szCs w:val="24"/>
        </w:rPr>
        <w:t>ktorý bol účinný v roku 2023 (s akruálnym vplyvom na rok 2022) sa predĺžil aj na rok 2024 (s</w:t>
      </w:r>
      <w:r>
        <w:rPr>
          <w:sz w:val="24"/>
          <w:szCs w:val="24"/>
        </w:rPr>
        <w:t> </w:t>
      </w:r>
      <w:r w:rsidRPr="00B30089">
        <w:rPr>
          <w:sz w:val="24"/>
          <w:szCs w:val="24"/>
        </w:rPr>
        <w:t>akruálnym vplyvom na rok 2023). Z hľadiska rozpočtu ide o nové opatrenie</w:t>
      </w:r>
      <w:r>
        <w:rPr>
          <w:sz w:val="24"/>
          <w:szCs w:val="24"/>
        </w:rPr>
        <w:t>.</w:t>
      </w:r>
      <w:r w:rsidRPr="00B30089">
        <w:rPr>
          <w:sz w:val="24"/>
          <w:szCs w:val="24"/>
        </w:rPr>
        <w:t xml:space="preserve"> Výnos solidárneho príspevku tvorí </w:t>
      </w:r>
      <w:proofErr w:type="spellStart"/>
      <w:r w:rsidRPr="00B30089">
        <w:rPr>
          <w:sz w:val="24"/>
          <w:szCs w:val="24"/>
        </w:rPr>
        <w:t>nadzisk</w:t>
      </w:r>
      <w:proofErr w:type="spellEnd"/>
      <w:r w:rsidRPr="00B30089">
        <w:rPr>
          <w:sz w:val="24"/>
          <w:szCs w:val="24"/>
        </w:rPr>
        <w:t xml:space="preserve"> firiem z predaja vymedzených produktov. Napriek predĺženej</w:t>
      </w:r>
      <w:r>
        <w:rPr>
          <w:sz w:val="24"/>
          <w:szCs w:val="24"/>
        </w:rPr>
        <w:t xml:space="preserve"> platnosti však očakávame v porovnaní s predošlým rokom nižší výnos z opatrenia. </w:t>
      </w:r>
      <w:r>
        <w:rPr>
          <w:sz w:val="24"/>
          <w:szCs w:val="24"/>
        </w:rPr>
        <w:lastRenderedPageBreak/>
        <w:t xml:space="preserve">Spomínaný </w:t>
      </w:r>
      <w:proofErr w:type="spellStart"/>
      <w:r>
        <w:rPr>
          <w:sz w:val="24"/>
          <w:szCs w:val="24"/>
        </w:rPr>
        <w:t>nadzisk</w:t>
      </w:r>
      <w:proofErr w:type="spellEnd"/>
      <w:r>
        <w:rPr>
          <w:sz w:val="24"/>
          <w:szCs w:val="24"/>
        </w:rPr>
        <w:t xml:space="preserve"> je totiž spôsobený najmä cenovým rozdielom medzi hodnotou ruskej ropy a trhovej ceny ropy vo zvyšku sveta, ktorý sa postupne uzatvára</w:t>
      </w:r>
      <w:r w:rsidRPr="008D17D0">
        <w:rPr>
          <w:sz w:val="24"/>
          <w:szCs w:val="24"/>
        </w:rPr>
        <w:t xml:space="preserve">. Na Slovensku pod solidárny príspevok spadá 13 subjektov, pričom aktuálny odhad zohľadňuje len najvýznamnejší subjekt - Slovnaft. </w:t>
      </w:r>
    </w:p>
    <w:p w14:paraId="18536D09" w14:textId="5C9D73EC" w:rsidR="004C6700" w:rsidRPr="00EB603E" w:rsidRDefault="004C6700" w:rsidP="004C6700">
      <w:pPr>
        <w:spacing w:line="240" w:lineRule="auto"/>
        <w:rPr>
          <w:sz w:val="24"/>
          <w:szCs w:val="24"/>
        </w:rPr>
      </w:pPr>
      <w:r w:rsidRPr="00EB603E">
        <w:rPr>
          <w:sz w:val="24"/>
          <w:szCs w:val="24"/>
        </w:rPr>
        <w:t xml:space="preserve">Výnos </w:t>
      </w:r>
      <w:r w:rsidRPr="00EB603E">
        <w:rPr>
          <w:b/>
          <w:sz w:val="24"/>
          <w:szCs w:val="24"/>
        </w:rPr>
        <w:t>sociálnych aj zdravotných odvodov</w:t>
      </w:r>
      <w:r w:rsidRPr="00EB603E">
        <w:rPr>
          <w:sz w:val="24"/>
          <w:szCs w:val="24"/>
        </w:rPr>
        <w:t xml:space="preserve"> bol</w:t>
      </w:r>
      <w:r w:rsidRPr="00A53675">
        <w:rPr>
          <w:sz w:val="24"/>
          <w:szCs w:val="24"/>
        </w:rPr>
        <w:t xml:space="preserve"> podobne ako pri DPFO negatívne ovplyvnený najmä slabším ako očakávaným vývojom na trhu práce. </w:t>
      </w:r>
      <w:r>
        <w:rPr>
          <w:sz w:val="24"/>
          <w:szCs w:val="24"/>
        </w:rPr>
        <w:t>Výber zdravotných odvodov počas roka zaostával za vývojom mzdovej bázy a napriek lepšiemu plneniu cez ročné zúčtovanie. Oproti rozpočtu bol nižší o 80 867 tis. eur.</w:t>
      </w:r>
      <w:r w:rsidRPr="00B61700">
        <w:rPr>
          <w:sz w:val="24"/>
          <w:szCs w:val="24"/>
        </w:rPr>
        <w:t xml:space="preserve"> </w:t>
      </w:r>
      <w:r w:rsidRPr="00A53675">
        <w:rPr>
          <w:sz w:val="24"/>
          <w:szCs w:val="24"/>
        </w:rPr>
        <w:t>Akruálny výnos sociálnych odvodov nedosiahol rozpočtova</w:t>
      </w:r>
      <w:r>
        <w:rPr>
          <w:sz w:val="24"/>
          <w:szCs w:val="24"/>
        </w:rPr>
        <w:t>nú sumu a výnos bol nižší o 230 894 </w:t>
      </w:r>
      <w:r w:rsidRPr="00A53675">
        <w:rPr>
          <w:sz w:val="24"/>
          <w:szCs w:val="24"/>
        </w:rPr>
        <w:t>tis.</w:t>
      </w:r>
      <w:r>
        <w:rPr>
          <w:sz w:val="24"/>
          <w:szCs w:val="24"/>
        </w:rPr>
        <w:t> eur.</w:t>
      </w:r>
      <w:r w:rsidRPr="00A53675">
        <w:rPr>
          <w:sz w:val="24"/>
          <w:szCs w:val="24"/>
        </w:rPr>
        <w:t xml:space="preserve"> Výnos okrem nižšej</w:t>
      </w:r>
      <w:r>
        <w:rPr>
          <w:sz w:val="24"/>
          <w:szCs w:val="24"/>
        </w:rPr>
        <w:t xml:space="preserve"> ako prognózovanej</w:t>
      </w:r>
      <w:r w:rsidRPr="00A53675">
        <w:rPr>
          <w:sz w:val="24"/>
          <w:szCs w:val="24"/>
        </w:rPr>
        <w:t xml:space="preserve"> mzdovej bázy negatívne ovplyvnila aj legislatíva v</w:t>
      </w:r>
      <w:r>
        <w:rPr>
          <w:sz w:val="24"/>
          <w:szCs w:val="24"/>
        </w:rPr>
        <w:t> </w:t>
      </w:r>
      <w:r w:rsidRPr="00A53675">
        <w:rPr>
          <w:sz w:val="24"/>
          <w:szCs w:val="24"/>
        </w:rPr>
        <w:t>podobe odpustenia sociálnych odvodov v </w:t>
      </w:r>
      <w:r w:rsidRPr="0096156C">
        <w:rPr>
          <w:sz w:val="24"/>
          <w:szCs w:val="24"/>
        </w:rPr>
        <w:t>potravinárskej výrobe (druhý polrok 2023) a zavedenie automatického vstupu do 2. piliera. Naopak, zmrazenie rastu odvodu do 2. piliera kompenzovalo negatívny vplyv legislatívnych opatrení spomenutých vyššie</w:t>
      </w:r>
      <w:r w:rsidRPr="0096156C">
        <w:rPr>
          <w:rStyle w:val="Odkaznapoznmkupodiarou"/>
          <w:sz w:val="24"/>
          <w:szCs w:val="24"/>
        </w:rPr>
        <w:footnoteReference w:id="14"/>
      </w:r>
      <w:r w:rsidRPr="0096156C">
        <w:rPr>
          <w:sz w:val="24"/>
          <w:szCs w:val="24"/>
        </w:rPr>
        <w:t>.</w:t>
      </w:r>
    </w:p>
    <w:p w14:paraId="538AB52E" w14:textId="27B9EC9A" w:rsidR="004C6700" w:rsidRPr="00D77C90" w:rsidRDefault="004C6700" w:rsidP="004C6700">
      <w:pPr>
        <w:spacing w:line="240" w:lineRule="auto"/>
        <w:rPr>
          <w:sz w:val="24"/>
          <w:szCs w:val="24"/>
        </w:rPr>
      </w:pPr>
      <w:r w:rsidRPr="00C06787">
        <w:rPr>
          <w:b/>
          <w:color w:val="5B9BD5" w:themeColor="accent1"/>
          <w:sz w:val="24"/>
          <w:szCs w:val="24"/>
        </w:rPr>
        <w:t>Nedaňové príjmy</w:t>
      </w:r>
      <w:r w:rsidRPr="00C06787">
        <w:rPr>
          <w:color w:val="5B9BD5" w:themeColor="accent1"/>
          <w:sz w:val="24"/>
          <w:szCs w:val="24"/>
        </w:rPr>
        <w:t xml:space="preserve"> </w:t>
      </w:r>
      <w:r w:rsidRPr="00C06787">
        <w:rPr>
          <w:sz w:val="24"/>
          <w:szCs w:val="24"/>
        </w:rPr>
        <w:t xml:space="preserve">vznikajú z činnosti subjektov verejnej správy a môžu to byť príjmy z podnikania a vlastníctva majetku, poplatky a platby, </w:t>
      </w:r>
      <w:r w:rsidRPr="00381C0E">
        <w:rPr>
          <w:sz w:val="24"/>
          <w:szCs w:val="24"/>
        </w:rPr>
        <w:t xml:space="preserve">kapitálové príjmy, úroky a iné nedaňové príjmy. V roku 2023 boli nedaňové príjmy oproti rozpočtu vyššie o 1 199 377 tis. eur vplyvom vyšších hotovostných nedaňových príjmov </w:t>
      </w:r>
      <w:r w:rsidRPr="00F6056C">
        <w:rPr>
          <w:sz w:val="24"/>
          <w:szCs w:val="24"/>
        </w:rPr>
        <w:t>o 681</w:t>
      </w:r>
      <w:r w:rsidR="00171F51" w:rsidRPr="00F6056C">
        <w:rPr>
          <w:sz w:val="24"/>
          <w:szCs w:val="24"/>
        </w:rPr>
        <w:t xml:space="preserve"> 5</w:t>
      </w:r>
      <w:r w:rsidR="0055649B" w:rsidRPr="00F6056C">
        <w:rPr>
          <w:sz w:val="24"/>
          <w:szCs w:val="24"/>
        </w:rPr>
        <w:t>61</w:t>
      </w:r>
      <w:r w:rsidRPr="00F6056C">
        <w:rPr>
          <w:sz w:val="24"/>
          <w:szCs w:val="24"/>
        </w:rPr>
        <w:t> tis. eur</w:t>
      </w:r>
      <w:r w:rsidRPr="00381C0E">
        <w:rPr>
          <w:sz w:val="24"/>
          <w:szCs w:val="24"/>
        </w:rPr>
        <w:t xml:space="preserve"> </w:t>
      </w:r>
      <w:r w:rsidRPr="00381C0E">
        <w:rPr>
          <w:b/>
          <w:sz w:val="24"/>
          <w:szCs w:val="24"/>
        </w:rPr>
        <w:t>a vyšších úprav v sú</w:t>
      </w:r>
      <w:r w:rsidR="00CC2327">
        <w:rPr>
          <w:b/>
          <w:sz w:val="24"/>
          <w:szCs w:val="24"/>
        </w:rPr>
        <w:t>lade s metodikou ESA 2010 o 517 </w:t>
      </w:r>
      <w:r w:rsidRPr="00381C0E">
        <w:rPr>
          <w:b/>
          <w:sz w:val="24"/>
          <w:szCs w:val="24"/>
        </w:rPr>
        <w:t>8</w:t>
      </w:r>
      <w:r w:rsidR="00CC2327">
        <w:rPr>
          <w:b/>
          <w:sz w:val="24"/>
          <w:szCs w:val="24"/>
        </w:rPr>
        <w:t>16</w:t>
      </w:r>
      <w:r w:rsidRPr="00381C0E">
        <w:rPr>
          <w:b/>
          <w:sz w:val="24"/>
          <w:szCs w:val="24"/>
        </w:rPr>
        <w:t> tis. eur.</w:t>
      </w:r>
      <w:r w:rsidRPr="00381C0E">
        <w:rPr>
          <w:sz w:val="24"/>
          <w:szCs w:val="24"/>
        </w:rPr>
        <w:t xml:space="preserve"> </w:t>
      </w:r>
      <w:r w:rsidRPr="00E15263">
        <w:rPr>
          <w:sz w:val="24"/>
          <w:szCs w:val="24"/>
        </w:rPr>
        <w:t xml:space="preserve">Hotovostné nedaňové príjmy boli pozitívne ovplyvnené </w:t>
      </w:r>
      <w:r w:rsidR="00B06F71" w:rsidRPr="00E15263">
        <w:rPr>
          <w:sz w:val="24"/>
          <w:szCs w:val="24"/>
        </w:rPr>
        <w:t xml:space="preserve">najmä </w:t>
      </w:r>
      <w:r w:rsidRPr="00E15263">
        <w:rPr>
          <w:sz w:val="24"/>
          <w:szCs w:val="24"/>
        </w:rPr>
        <w:t>nárastom príjmov z</w:t>
      </w:r>
      <w:r w:rsidR="003F1357" w:rsidRPr="00E15263">
        <w:rPr>
          <w:sz w:val="24"/>
          <w:szCs w:val="24"/>
        </w:rPr>
        <w:t> </w:t>
      </w:r>
      <w:r w:rsidRPr="00E15263">
        <w:rPr>
          <w:sz w:val="24"/>
          <w:szCs w:val="24"/>
        </w:rPr>
        <w:t>administratívnych</w:t>
      </w:r>
      <w:r w:rsidR="003F1357" w:rsidRPr="00E15263">
        <w:rPr>
          <w:sz w:val="24"/>
          <w:szCs w:val="24"/>
        </w:rPr>
        <w:t xml:space="preserve"> poplatkov</w:t>
      </w:r>
      <w:r w:rsidRPr="00E15263">
        <w:rPr>
          <w:sz w:val="24"/>
          <w:szCs w:val="24"/>
        </w:rPr>
        <w:t xml:space="preserve"> a iných poplatkov a platieb </w:t>
      </w:r>
      <w:r w:rsidR="003F1357" w:rsidRPr="00E15263">
        <w:rPr>
          <w:sz w:val="24"/>
          <w:szCs w:val="24"/>
        </w:rPr>
        <w:t>(</w:t>
      </w:r>
      <w:r w:rsidR="00B06F71" w:rsidRPr="00E15263">
        <w:rPr>
          <w:sz w:val="24"/>
          <w:szCs w:val="24"/>
        </w:rPr>
        <w:t>na položke ekonomickej klasifikácie 220</w:t>
      </w:r>
      <w:r w:rsidR="003F1357" w:rsidRPr="00E15263">
        <w:rPr>
          <w:sz w:val="24"/>
          <w:szCs w:val="24"/>
        </w:rPr>
        <w:t>)</w:t>
      </w:r>
      <w:r w:rsidR="00B06F71" w:rsidRPr="00E15263">
        <w:rPr>
          <w:sz w:val="24"/>
          <w:szCs w:val="24"/>
        </w:rPr>
        <w:t xml:space="preserve"> </w:t>
      </w:r>
      <w:r w:rsidRPr="00E15263">
        <w:rPr>
          <w:sz w:val="24"/>
          <w:szCs w:val="24"/>
        </w:rPr>
        <w:t>o</w:t>
      </w:r>
      <w:r w:rsidR="00B06F71" w:rsidRPr="00E15263">
        <w:rPr>
          <w:sz w:val="24"/>
          <w:szCs w:val="24"/>
        </w:rPr>
        <w:t> </w:t>
      </w:r>
      <w:r w:rsidRPr="00E15263">
        <w:rPr>
          <w:sz w:val="24"/>
          <w:szCs w:val="24"/>
        </w:rPr>
        <w:t>752</w:t>
      </w:r>
      <w:r w:rsidR="00B06F71" w:rsidRPr="00E15263">
        <w:rPr>
          <w:sz w:val="24"/>
          <w:szCs w:val="24"/>
        </w:rPr>
        <w:t> </w:t>
      </w:r>
      <w:r w:rsidRPr="00E15263">
        <w:rPr>
          <w:sz w:val="24"/>
          <w:szCs w:val="24"/>
        </w:rPr>
        <w:t>030 tis. eur</w:t>
      </w:r>
      <w:r w:rsidR="00B06F71" w:rsidRPr="00E15263">
        <w:rPr>
          <w:sz w:val="24"/>
          <w:szCs w:val="24"/>
        </w:rPr>
        <w:t>. N</w:t>
      </w:r>
      <w:r w:rsidRPr="00E15263">
        <w:rPr>
          <w:sz w:val="24"/>
          <w:szCs w:val="24"/>
        </w:rPr>
        <w:t>ajviac</w:t>
      </w:r>
      <w:r w:rsidR="00B06F71" w:rsidRPr="00E15263">
        <w:rPr>
          <w:sz w:val="24"/>
          <w:szCs w:val="24"/>
        </w:rPr>
        <w:t xml:space="preserve"> na tomto náraste podieľali  príjmy</w:t>
      </w:r>
      <w:r w:rsidRPr="00E15263">
        <w:rPr>
          <w:sz w:val="24"/>
          <w:szCs w:val="24"/>
        </w:rPr>
        <w:t xml:space="preserve"> zdravotníck</w:t>
      </w:r>
      <w:r w:rsidR="00B06F71" w:rsidRPr="00E15263">
        <w:rPr>
          <w:sz w:val="24"/>
          <w:szCs w:val="24"/>
        </w:rPr>
        <w:t>ych zariadení</w:t>
      </w:r>
      <w:r w:rsidR="00B06F71" w:rsidRPr="00E15263">
        <w:t xml:space="preserve"> </w:t>
      </w:r>
      <w:r w:rsidR="00B06F71" w:rsidRPr="00E15263">
        <w:rPr>
          <w:sz w:val="24"/>
          <w:szCs w:val="24"/>
        </w:rPr>
        <w:t xml:space="preserve">najmä za lekárske výkony a poskytnutú zdravotnú starostlivosť od zdravotných poisťovní </w:t>
      </w:r>
      <w:r w:rsidRPr="00E15263">
        <w:rPr>
          <w:sz w:val="24"/>
          <w:szCs w:val="24"/>
        </w:rPr>
        <w:t>o 375 782 tis. eur, rozpočtových organizácií obcí o 101 575 tis. eur</w:t>
      </w:r>
      <w:r w:rsidR="00E71244" w:rsidRPr="00E15263">
        <w:rPr>
          <w:sz w:val="24"/>
          <w:szCs w:val="24"/>
        </w:rPr>
        <w:t xml:space="preserve"> najmä z administratívnych a správnych poplatkov platených prostredníctvom integrovaných obslužných miest, </w:t>
      </w:r>
      <w:r w:rsidR="007730E7" w:rsidRPr="00E15263">
        <w:rPr>
          <w:rFonts w:cs="Times New Roman"/>
          <w:sz w:val="24"/>
          <w:szCs w:val="24"/>
        </w:rPr>
        <w:t>príjmov za stravné</w:t>
      </w:r>
      <w:r w:rsidR="007730E7" w:rsidRPr="00E15263">
        <w:rPr>
          <w:sz w:val="24"/>
          <w:szCs w:val="24"/>
        </w:rPr>
        <w:t xml:space="preserve">, za predaj výrobkov a služieb, </w:t>
      </w:r>
      <w:r w:rsidR="00E71244" w:rsidRPr="00E15263">
        <w:rPr>
          <w:sz w:val="24"/>
          <w:szCs w:val="24"/>
        </w:rPr>
        <w:t>a príjmov od rodičov na</w:t>
      </w:r>
      <w:r w:rsidR="00ED676A" w:rsidRPr="00E15263">
        <w:rPr>
          <w:sz w:val="24"/>
          <w:szCs w:val="24"/>
        </w:rPr>
        <w:t> </w:t>
      </w:r>
      <w:r w:rsidR="00E71244" w:rsidRPr="00E15263">
        <w:rPr>
          <w:sz w:val="24"/>
          <w:szCs w:val="24"/>
        </w:rPr>
        <w:t>úhradu nákladov v súlade s osobitnými</w:t>
      </w:r>
      <w:r w:rsidR="007730E7" w:rsidRPr="00E15263">
        <w:rPr>
          <w:sz w:val="24"/>
          <w:szCs w:val="24"/>
        </w:rPr>
        <w:t xml:space="preserve"> predpismi v školách a</w:t>
      </w:r>
      <w:r w:rsidR="00ED676A" w:rsidRPr="00E15263">
        <w:rPr>
          <w:sz w:val="24"/>
          <w:szCs w:val="24"/>
        </w:rPr>
        <w:t> </w:t>
      </w:r>
      <w:r w:rsidR="007730E7" w:rsidRPr="00E15263">
        <w:rPr>
          <w:sz w:val="24"/>
          <w:szCs w:val="24"/>
        </w:rPr>
        <w:t>školských</w:t>
      </w:r>
      <w:r w:rsidR="00ED676A" w:rsidRPr="00E15263">
        <w:rPr>
          <w:sz w:val="24"/>
          <w:szCs w:val="24"/>
        </w:rPr>
        <w:t xml:space="preserve"> zariadení</w:t>
      </w:r>
      <w:r w:rsidR="007730E7" w:rsidRPr="00E15263">
        <w:rPr>
          <w:sz w:val="24"/>
          <w:szCs w:val="24"/>
        </w:rPr>
        <w:t>. Na náraste iných nedaňových príjmov oproti rozpočtu sa podieľal aj Národný jadrový</w:t>
      </w:r>
      <w:r w:rsidRPr="00E15263">
        <w:rPr>
          <w:sz w:val="24"/>
          <w:szCs w:val="24"/>
        </w:rPr>
        <w:t xml:space="preserve"> fond</w:t>
      </w:r>
      <w:r w:rsidR="007730E7" w:rsidRPr="00E15263">
        <w:rPr>
          <w:sz w:val="24"/>
          <w:szCs w:val="24"/>
        </w:rPr>
        <w:t xml:space="preserve"> o 50</w:t>
      </w:r>
      <w:r w:rsidRPr="00E15263">
        <w:rPr>
          <w:sz w:val="24"/>
          <w:szCs w:val="24"/>
        </w:rPr>
        <w:t xml:space="preserve"> </w:t>
      </w:r>
      <w:r w:rsidR="007730E7" w:rsidRPr="00E15263">
        <w:rPr>
          <w:sz w:val="24"/>
          <w:szCs w:val="24"/>
        </w:rPr>
        <w:t>613</w:t>
      </w:r>
      <w:r w:rsidRPr="00E15263">
        <w:rPr>
          <w:sz w:val="24"/>
          <w:szCs w:val="24"/>
        </w:rPr>
        <w:t> tis. eur</w:t>
      </w:r>
      <w:r w:rsidR="007730E7" w:rsidRPr="00E15263">
        <w:rPr>
          <w:sz w:val="24"/>
          <w:szCs w:val="24"/>
        </w:rPr>
        <w:t>, čo bolo spôsobené predovšetkým vyplatením povinných príspevkov od spoločnosti SE, a. s., za</w:t>
      </w:r>
      <w:r w:rsidR="00ED676A" w:rsidRPr="00E15263">
        <w:rPr>
          <w:sz w:val="24"/>
          <w:szCs w:val="24"/>
        </w:rPr>
        <w:t> </w:t>
      </w:r>
      <w:r w:rsidR="007730E7" w:rsidRPr="00E15263">
        <w:rPr>
          <w:sz w:val="24"/>
          <w:szCs w:val="24"/>
        </w:rPr>
        <w:t>jadrové elektrárne V2 a EMO1,2.</w:t>
      </w:r>
      <w:r w:rsidR="007246CA" w:rsidRPr="00E15263">
        <w:rPr>
          <w:sz w:val="24"/>
          <w:szCs w:val="24"/>
        </w:rPr>
        <w:t xml:space="preserve"> Ďalší</w:t>
      </w:r>
      <w:r w:rsidRPr="00E15263">
        <w:rPr>
          <w:sz w:val="24"/>
          <w:szCs w:val="24"/>
        </w:rPr>
        <w:t> </w:t>
      </w:r>
      <w:r w:rsidR="007246CA" w:rsidRPr="00E15263">
        <w:rPr>
          <w:sz w:val="24"/>
          <w:szCs w:val="24"/>
        </w:rPr>
        <w:t>pozitívny</w:t>
      </w:r>
      <w:r w:rsidRPr="00E15263">
        <w:rPr>
          <w:sz w:val="24"/>
          <w:szCs w:val="24"/>
        </w:rPr>
        <w:t xml:space="preserve"> </w:t>
      </w:r>
      <w:r w:rsidR="007246CA" w:rsidRPr="00E15263">
        <w:rPr>
          <w:sz w:val="24"/>
          <w:szCs w:val="24"/>
        </w:rPr>
        <w:t xml:space="preserve">vplyv predstavoval </w:t>
      </w:r>
      <w:r w:rsidR="00FD2544" w:rsidRPr="00E15263">
        <w:rPr>
          <w:sz w:val="24"/>
          <w:szCs w:val="24"/>
        </w:rPr>
        <w:t>nárast</w:t>
      </w:r>
      <w:r w:rsidRPr="00E15263">
        <w:rPr>
          <w:sz w:val="24"/>
          <w:szCs w:val="24"/>
        </w:rPr>
        <w:t xml:space="preserve"> príjmov z úrokov o 264 158 tis. eur, najmä v kapitole štátny dlh o </w:t>
      </w:r>
      <w:r w:rsidR="00503FC8" w:rsidRPr="00E15263">
        <w:rPr>
          <w:sz w:val="24"/>
          <w:szCs w:val="24"/>
        </w:rPr>
        <w:t>350</w:t>
      </w:r>
      <w:r w:rsidRPr="00E15263">
        <w:rPr>
          <w:sz w:val="24"/>
          <w:szCs w:val="24"/>
        </w:rPr>
        <w:t> </w:t>
      </w:r>
      <w:r w:rsidR="00503FC8" w:rsidRPr="00E15263">
        <w:rPr>
          <w:sz w:val="24"/>
          <w:szCs w:val="24"/>
        </w:rPr>
        <w:t>498 tis. eur.</w:t>
      </w:r>
      <w:r w:rsidRPr="00E15263">
        <w:rPr>
          <w:sz w:val="24"/>
          <w:szCs w:val="24"/>
        </w:rPr>
        <w:t xml:space="preserve"> Hotovostné príjmy z úrokov boli ďalej upravované v súlade s metodikou ESA 2010, a to pozitívne časovým rozlíšením prijatých úrokov v</w:t>
      </w:r>
      <w:r w:rsidR="00503FC8" w:rsidRPr="00E15263">
        <w:rPr>
          <w:sz w:val="24"/>
          <w:szCs w:val="24"/>
        </w:rPr>
        <w:t xml:space="preserve"> celkovej </w:t>
      </w:r>
      <w:r w:rsidRPr="00E15263">
        <w:rPr>
          <w:sz w:val="24"/>
          <w:szCs w:val="24"/>
        </w:rPr>
        <w:t xml:space="preserve">sume </w:t>
      </w:r>
      <w:r w:rsidR="00503FC8" w:rsidRPr="00E15263">
        <w:rPr>
          <w:sz w:val="24"/>
          <w:szCs w:val="24"/>
        </w:rPr>
        <w:t>135</w:t>
      </w:r>
      <w:r w:rsidRPr="00E15263">
        <w:rPr>
          <w:sz w:val="24"/>
          <w:szCs w:val="24"/>
        </w:rPr>
        <w:t> </w:t>
      </w:r>
      <w:r w:rsidR="00503FC8" w:rsidRPr="00E15263">
        <w:rPr>
          <w:sz w:val="24"/>
          <w:szCs w:val="24"/>
        </w:rPr>
        <w:t>718 tis. eur.</w:t>
      </w:r>
    </w:p>
    <w:p w14:paraId="0B55876C" w14:textId="1565E4DD" w:rsidR="004C6700" w:rsidRPr="00751359" w:rsidRDefault="004C6700" w:rsidP="004C6700">
      <w:pPr>
        <w:spacing w:line="240" w:lineRule="auto"/>
        <w:rPr>
          <w:sz w:val="24"/>
          <w:szCs w:val="24"/>
        </w:rPr>
      </w:pPr>
      <w:r w:rsidRPr="001568EF">
        <w:rPr>
          <w:sz w:val="24"/>
          <w:szCs w:val="24"/>
        </w:rPr>
        <w:t xml:space="preserve">Na rozdiel </w:t>
      </w:r>
      <w:r>
        <w:rPr>
          <w:sz w:val="24"/>
          <w:szCs w:val="24"/>
        </w:rPr>
        <w:t xml:space="preserve">hodnoty dosiahnutých </w:t>
      </w:r>
      <w:r w:rsidRPr="001568EF">
        <w:rPr>
          <w:sz w:val="24"/>
          <w:szCs w:val="24"/>
        </w:rPr>
        <w:t xml:space="preserve">nedaňových príjmov oproti rozpočtu vplývali aj ďalšie metodické úpravy, pozitívne medziročná zmena stavu pohľadávok sumou </w:t>
      </w:r>
      <w:r>
        <w:rPr>
          <w:sz w:val="24"/>
          <w:szCs w:val="24"/>
        </w:rPr>
        <w:t>323 </w:t>
      </w:r>
      <w:r w:rsidRPr="001568EF">
        <w:rPr>
          <w:sz w:val="24"/>
          <w:szCs w:val="24"/>
        </w:rPr>
        <w:t xml:space="preserve">808 tis. eur, nižšie vylúčenie </w:t>
      </w:r>
      <w:proofErr w:type="spellStart"/>
      <w:r w:rsidRPr="001568EF">
        <w:rPr>
          <w:sz w:val="24"/>
          <w:szCs w:val="24"/>
        </w:rPr>
        <w:t>superdividendy</w:t>
      </w:r>
      <w:proofErr w:type="spellEnd"/>
      <w:r w:rsidRPr="001568EF">
        <w:rPr>
          <w:rStyle w:val="Odkaznapoznmkupodiarou"/>
          <w:sz w:val="24"/>
          <w:szCs w:val="24"/>
        </w:rPr>
        <w:footnoteReference w:id="15"/>
      </w:r>
      <w:r w:rsidRPr="001568EF">
        <w:rPr>
          <w:sz w:val="24"/>
          <w:szCs w:val="24"/>
        </w:rPr>
        <w:t xml:space="preserve"> z príjmov z vlastníctva majetku v</w:t>
      </w:r>
      <w:r w:rsidRPr="005B70AF">
        <w:rPr>
          <w:sz w:val="24"/>
          <w:szCs w:val="24"/>
        </w:rPr>
        <w:t> štátnych rozpočtových organizáciách o</w:t>
      </w:r>
      <w:r>
        <w:rPr>
          <w:sz w:val="24"/>
          <w:szCs w:val="24"/>
        </w:rPr>
        <w:t> 56 </w:t>
      </w:r>
      <w:r w:rsidRPr="005B70AF">
        <w:rPr>
          <w:sz w:val="24"/>
          <w:szCs w:val="24"/>
        </w:rPr>
        <w:t>805 tis. eur</w:t>
      </w:r>
      <w:r w:rsidRPr="00D77C90">
        <w:rPr>
          <w:sz w:val="24"/>
          <w:szCs w:val="24"/>
        </w:rPr>
        <w:t>, ako aj nižšia suma úpravy vylučujúca príspevky prevádzkovateľov jadrových zariadení z príjmov Národného jadrového fondu (NJF) o</w:t>
      </w:r>
      <w:r>
        <w:rPr>
          <w:sz w:val="24"/>
          <w:szCs w:val="24"/>
        </w:rPr>
        <w:t> 15 </w:t>
      </w:r>
      <w:r w:rsidRPr="00D77C90">
        <w:rPr>
          <w:sz w:val="24"/>
          <w:szCs w:val="24"/>
        </w:rPr>
        <w:t>183 tis. eur (z dôvodu nenaplnenia plánu spustenia prevádzky 3. a</w:t>
      </w:r>
      <w:r w:rsidR="00836EB5">
        <w:rPr>
          <w:sz w:val="24"/>
          <w:szCs w:val="24"/>
        </w:rPr>
        <w:t xml:space="preserve"> </w:t>
      </w:r>
      <w:r w:rsidRPr="00D77C90">
        <w:rPr>
          <w:sz w:val="24"/>
          <w:szCs w:val="24"/>
        </w:rPr>
        <w:t>4. bloku jadrovej elektrárne v Mochovciach v rok</w:t>
      </w:r>
      <w:r>
        <w:rPr>
          <w:sz w:val="24"/>
          <w:szCs w:val="24"/>
        </w:rPr>
        <w:t>u 2023</w:t>
      </w:r>
      <w:r w:rsidRPr="00D77C90">
        <w:rPr>
          <w:sz w:val="24"/>
          <w:szCs w:val="24"/>
        </w:rPr>
        <w:t>, ako sa očakávalo v rozpočte). Táto úprava vylučuje príjmy</w:t>
      </w:r>
      <w:r>
        <w:rPr>
          <w:sz w:val="24"/>
          <w:szCs w:val="24"/>
        </w:rPr>
        <w:t>, ktoré sa podľa metodiky ESA považujú za finančné operácie</w:t>
      </w:r>
      <w:r w:rsidRPr="00751359">
        <w:rPr>
          <w:sz w:val="24"/>
          <w:szCs w:val="24"/>
        </w:rPr>
        <w:t>. Negatívny vplyv na rozdiel oproti rozpočtu malo vylúčenie príjmov z predaja emisných kvót v sume 383 184 tis. eur z nedaňových príjmov, čo je o 90 356 tis. eur viac oproti rozpočtu (príjmy z predaja emisných kvót sa podľa metodiky ESA zatrieďujú medzi daňové príjmy).</w:t>
      </w:r>
    </w:p>
    <w:p w14:paraId="6B38E850" w14:textId="1C930C63" w:rsidR="004C6700" w:rsidRPr="00381C0E" w:rsidRDefault="004C6700" w:rsidP="004C6700">
      <w:pPr>
        <w:spacing w:line="240" w:lineRule="auto"/>
        <w:rPr>
          <w:sz w:val="24"/>
          <w:szCs w:val="24"/>
        </w:rPr>
      </w:pPr>
      <w:r w:rsidRPr="00C06787">
        <w:rPr>
          <w:b/>
          <w:color w:val="5B9BD5" w:themeColor="accent1"/>
          <w:sz w:val="24"/>
          <w:szCs w:val="24"/>
        </w:rPr>
        <w:lastRenderedPageBreak/>
        <w:t xml:space="preserve">V rámci príjmových grantov a transferov </w:t>
      </w:r>
      <w:r w:rsidRPr="00C06787">
        <w:rPr>
          <w:sz w:val="24"/>
          <w:szCs w:val="24"/>
        </w:rPr>
        <w:t xml:space="preserve">sa triedia tuzemské a zahraničné granty a transfery určené na financovanie tak bežných, ako aj kapitálových potrieb štátu. Granty a transfery realizované medzi subjektami verejnej správy sa navzájom konsolidujú. V porovnaní s rozpočtom bola hodnota konsolidovaných grantov a transferov v súlade s metodikou ESA 2010 </w:t>
      </w:r>
      <w:r w:rsidRPr="005053CD">
        <w:rPr>
          <w:sz w:val="24"/>
          <w:szCs w:val="24"/>
        </w:rPr>
        <w:t>vyššia o</w:t>
      </w:r>
      <w:r>
        <w:rPr>
          <w:sz w:val="24"/>
          <w:szCs w:val="24"/>
        </w:rPr>
        <w:t> 2 765 </w:t>
      </w:r>
      <w:r w:rsidRPr="005053CD">
        <w:rPr>
          <w:sz w:val="24"/>
          <w:szCs w:val="24"/>
        </w:rPr>
        <w:t>776 tis. eur</w:t>
      </w:r>
      <w:r>
        <w:rPr>
          <w:sz w:val="24"/>
          <w:szCs w:val="24"/>
        </w:rPr>
        <w:t>, najmä vplyvom vyššieho čerpania EÚ prostriedkov z 3. programového obdobia</w:t>
      </w:r>
      <w:r w:rsidRPr="005053CD">
        <w:rPr>
          <w:sz w:val="24"/>
          <w:szCs w:val="24"/>
        </w:rPr>
        <w:t xml:space="preserve">. </w:t>
      </w:r>
      <w:r w:rsidRPr="00C06787">
        <w:rPr>
          <w:sz w:val="24"/>
          <w:szCs w:val="24"/>
        </w:rPr>
        <w:t xml:space="preserve">Hodnota nekonsolidovaných grantov a transferov </w:t>
      </w:r>
      <w:r w:rsidRPr="005053CD">
        <w:rPr>
          <w:sz w:val="24"/>
          <w:szCs w:val="24"/>
        </w:rPr>
        <w:t>vzrástla oproti rozpočtu o</w:t>
      </w:r>
      <w:r>
        <w:rPr>
          <w:sz w:val="24"/>
          <w:szCs w:val="24"/>
        </w:rPr>
        <w:t> 4 707 </w:t>
      </w:r>
      <w:r w:rsidRPr="005053CD">
        <w:rPr>
          <w:sz w:val="24"/>
          <w:szCs w:val="24"/>
        </w:rPr>
        <w:t xml:space="preserve">027 tis. eur, išlo najmä o bežné a kapitálové transfery </w:t>
      </w:r>
      <w:r>
        <w:rPr>
          <w:sz w:val="24"/>
          <w:szCs w:val="24"/>
        </w:rPr>
        <w:t xml:space="preserve">poskytnuté </w:t>
      </w:r>
      <w:r w:rsidRPr="005053CD">
        <w:rPr>
          <w:sz w:val="24"/>
          <w:szCs w:val="24"/>
        </w:rPr>
        <w:t>zo štátneho rozpočtu</w:t>
      </w:r>
      <w:r>
        <w:rPr>
          <w:sz w:val="24"/>
          <w:szCs w:val="24"/>
        </w:rPr>
        <w:t xml:space="preserve"> prijaté do rozpočtov iných zložiek verejnej správy</w:t>
      </w:r>
      <w:r w:rsidRPr="005053CD">
        <w:rPr>
          <w:sz w:val="24"/>
          <w:szCs w:val="24"/>
        </w:rPr>
        <w:t xml:space="preserve">. </w:t>
      </w:r>
      <w:r w:rsidRPr="00C06787">
        <w:rPr>
          <w:sz w:val="24"/>
          <w:szCs w:val="24"/>
        </w:rPr>
        <w:t xml:space="preserve">Nárast oproti rozpočtu </w:t>
      </w:r>
      <w:r w:rsidRPr="00B43AE0">
        <w:rPr>
          <w:sz w:val="24"/>
          <w:szCs w:val="24"/>
        </w:rPr>
        <w:t>zaznamenali najmä obce a ich rozpočtové a príspevkové organizácie spolu o</w:t>
      </w:r>
      <w:r>
        <w:rPr>
          <w:sz w:val="24"/>
          <w:szCs w:val="24"/>
        </w:rPr>
        <w:t> 1 574 </w:t>
      </w:r>
      <w:r w:rsidRPr="00B43AE0">
        <w:rPr>
          <w:sz w:val="24"/>
          <w:szCs w:val="24"/>
        </w:rPr>
        <w:t xml:space="preserve">238 tis. eur, </w:t>
      </w:r>
      <w:r>
        <w:rPr>
          <w:sz w:val="24"/>
          <w:szCs w:val="24"/>
        </w:rPr>
        <w:t>Sociálna poisťovňa o 1 314 </w:t>
      </w:r>
      <w:r w:rsidRPr="00B43AE0">
        <w:rPr>
          <w:sz w:val="24"/>
          <w:szCs w:val="24"/>
        </w:rPr>
        <w:t>062 tis. eur, vyššie územné celky a ich rozpočtové a prís</w:t>
      </w:r>
      <w:r>
        <w:rPr>
          <w:sz w:val="24"/>
          <w:szCs w:val="24"/>
        </w:rPr>
        <w:t>pevkové organizácie spolu o 676 </w:t>
      </w:r>
      <w:r w:rsidRPr="00B43AE0">
        <w:rPr>
          <w:sz w:val="24"/>
          <w:szCs w:val="24"/>
        </w:rPr>
        <w:t>602 tis. eur, prís</w:t>
      </w:r>
      <w:r>
        <w:rPr>
          <w:sz w:val="24"/>
          <w:szCs w:val="24"/>
        </w:rPr>
        <w:t>pevkové organizácie štátu o 597 </w:t>
      </w:r>
      <w:r w:rsidRPr="00B43AE0">
        <w:rPr>
          <w:sz w:val="24"/>
          <w:szCs w:val="24"/>
        </w:rPr>
        <w:t>840 tis. </w:t>
      </w:r>
      <w:r>
        <w:rPr>
          <w:sz w:val="24"/>
          <w:szCs w:val="24"/>
        </w:rPr>
        <w:t>eur, verejné vysoké školy o 200 </w:t>
      </w:r>
      <w:r w:rsidRPr="00B43AE0">
        <w:rPr>
          <w:sz w:val="24"/>
          <w:szCs w:val="24"/>
        </w:rPr>
        <w:t>452 tis. eur</w:t>
      </w:r>
      <w:r>
        <w:rPr>
          <w:sz w:val="24"/>
          <w:szCs w:val="24"/>
        </w:rPr>
        <w:t xml:space="preserve"> a </w:t>
      </w:r>
      <w:r w:rsidRPr="00617134">
        <w:rPr>
          <w:sz w:val="24"/>
          <w:szCs w:val="24"/>
        </w:rPr>
        <w:t>zdravotnícke zariadenia spolu o</w:t>
      </w:r>
      <w:r>
        <w:rPr>
          <w:sz w:val="24"/>
          <w:szCs w:val="24"/>
        </w:rPr>
        <w:t> </w:t>
      </w:r>
      <w:r w:rsidRPr="00617134">
        <w:rPr>
          <w:sz w:val="24"/>
          <w:szCs w:val="24"/>
        </w:rPr>
        <w:t>168</w:t>
      </w:r>
      <w:r>
        <w:rPr>
          <w:sz w:val="24"/>
          <w:szCs w:val="24"/>
        </w:rPr>
        <w:t> </w:t>
      </w:r>
      <w:r w:rsidRPr="00617134">
        <w:rPr>
          <w:sz w:val="24"/>
          <w:szCs w:val="24"/>
        </w:rPr>
        <w:t>624 tis. eur na základe zvýšených požiadaviek na plnenie svojich úloh. Z</w:t>
      </w:r>
      <w:r>
        <w:rPr>
          <w:sz w:val="24"/>
          <w:szCs w:val="24"/>
        </w:rPr>
        <w:t> </w:t>
      </w:r>
      <w:r w:rsidRPr="00617134">
        <w:rPr>
          <w:sz w:val="24"/>
          <w:szCs w:val="24"/>
        </w:rPr>
        <w:t xml:space="preserve">obchodných spoločností štátu zaznamenali vyššie granty a transfery oproti rozpočtu Národná diaľničná spoločnosť, </w:t>
      </w:r>
      <w:proofErr w:type="spellStart"/>
      <w:r w:rsidRPr="00617134">
        <w:rPr>
          <w:sz w:val="24"/>
          <w:szCs w:val="24"/>
        </w:rPr>
        <w:t>a.s</w:t>
      </w:r>
      <w:proofErr w:type="spellEnd"/>
      <w:r w:rsidRPr="00617134">
        <w:rPr>
          <w:sz w:val="24"/>
          <w:szCs w:val="24"/>
        </w:rPr>
        <w:t>.</w:t>
      </w:r>
      <w:r>
        <w:rPr>
          <w:sz w:val="24"/>
          <w:szCs w:val="24"/>
        </w:rPr>
        <w:t xml:space="preserve"> o 497 656 tis. </w:t>
      </w:r>
      <w:r w:rsidRPr="00617134">
        <w:rPr>
          <w:sz w:val="24"/>
          <w:szCs w:val="24"/>
        </w:rPr>
        <w:t>eur, Žele</w:t>
      </w:r>
      <w:r w:rsidR="006243D7">
        <w:rPr>
          <w:sz w:val="24"/>
          <w:szCs w:val="24"/>
        </w:rPr>
        <w:t xml:space="preserve">zničná spoločnosť Slovensko, </w:t>
      </w:r>
      <w:proofErr w:type="spellStart"/>
      <w:r w:rsidR="006243D7">
        <w:rPr>
          <w:sz w:val="24"/>
          <w:szCs w:val="24"/>
        </w:rPr>
        <w:t>a.</w:t>
      </w:r>
      <w:r w:rsidRPr="00617134">
        <w:rPr>
          <w:sz w:val="24"/>
          <w:szCs w:val="24"/>
        </w:rPr>
        <w:t>s</w:t>
      </w:r>
      <w:proofErr w:type="spellEnd"/>
      <w:r w:rsidRPr="00617134">
        <w:rPr>
          <w:sz w:val="24"/>
          <w:szCs w:val="24"/>
        </w:rPr>
        <w:t>. o 213</w:t>
      </w:r>
      <w:r>
        <w:rPr>
          <w:sz w:val="24"/>
          <w:szCs w:val="24"/>
        </w:rPr>
        <w:t> </w:t>
      </w:r>
      <w:r w:rsidRPr="00617134">
        <w:rPr>
          <w:sz w:val="24"/>
          <w:szCs w:val="24"/>
        </w:rPr>
        <w:t>475</w:t>
      </w:r>
      <w:r>
        <w:rPr>
          <w:sz w:val="24"/>
          <w:szCs w:val="24"/>
        </w:rPr>
        <w:t> </w:t>
      </w:r>
      <w:r w:rsidRPr="00617134">
        <w:rPr>
          <w:sz w:val="24"/>
          <w:szCs w:val="24"/>
        </w:rPr>
        <w:t xml:space="preserve">tis. eur a Železnice </w:t>
      </w:r>
      <w:r>
        <w:rPr>
          <w:sz w:val="24"/>
          <w:szCs w:val="24"/>
        </w:rPr>
        <w:t>S</w:t>
      </w:r>
      <w:r w:rsidRPr="00617134">
        <w:rPr>
          <w:sz w:val="24"/>
          <w:szCs w:val="24"/>
        </w:rPr>
        <w:t>lovenskej republiky o</w:t>
      </w:r>
      <w:r>
        <w:rPr>
          <w:sz w:val="24"/>
          <w:szCs w:val="24"/>
        </w:rPr>
        <w:t> </w:t>
      </w:r>
      <w:r w:rsidRPr="00617134">
        <w:rPr>
          <w:sz w:val="24"/>
          <w:szCs w:val="24"/>
        </w:rPr>
        <w:t>126</w:t>
      </w:r>
      <w:r>
        <w:rPr>
          <w:sz w:val="24"/>
          <w:szCs w:val="24"/>
        </w:rPr>
        <w:t> </w:t>
      </w:r>
      <w:r w:rsidRPr="00617134">
        <w:rPr>
          <w:sz w:val="24"/>
          <w:szCs w:val="24"/>
        </w:rPr>
        <w:t xml:space="preserve">909 tis. eur v nadväznosti na vyššiu refundáciu investičných výdavkov oproti plánom a na dofinancovanie prevádzky železničnej infraštruktúry. Valaliky Industrial Park, </w:t>
      </w:r>
      <w:proofErr w:type="spellStart"/>
      <w:r w:rsidR="00837EB9">
        <w:rPr>
          <w:sz w:val="24"/>
          <w:szCs w:val="24"/>
        </w:rPr>
        <w:t>s.r.o</w:t>
      </w:r>
      <w:proofErr w:type="spellEnd"/>
      <w:r w:rsidR="00837EB9">
        <w:rPr>
          <w:sz w:val="24"/>
          <w:szCs w:val="24"/>
        </w:rPr>
        <w:t>.</w:t>
      </w:r>
      <w:r w:rsidRPr="00617134">
        <w:rPr>
          <w:sz w:val="24"/>
          <w:szCs w:val="24"/>
        </w:rPr>
        <w:t xml:space="preserve"> dosiahli vyššie granty a transfery v sume 88</w:t>
      </w:r>
      <w:r>
        <w:rPr>
          <w:sz w:val="24"/>
          <w:szCs w:val="24"/>
        </w:rPr>
        <w:t> </w:t>
      </w:r>
      <w:r w:rsidRPr="00617134">
        <w:rPr>
          <w:sz w:val="24"/>
          <w:szCs w:val="24"/>
        </w:rPr>
        <w:t>629 tis. eur v súvislosti s</w:t>
      </w:r>
      <w:r>
        <w:rPr>
          <w:sz w:val="24"/>
          <w:szCs w:val="24"/>
        </w:rPr>
        <w:t> výstavbou priemyselného parku.</w:t>
      </w:r>
    </w:p>
    <w:p w14:paraId="01353A1B" w14:textId="32C080CE" w:rsidR="004C6700" w:rsidRPr="005D1944" w:rsidRDefault="004C6700" w:rsidP="004C6700">
      <w:pPr>
        <w:spacing w:line="240" w:lineRule="auto"/>
        <w:rPr>
          <w:sz w:val="24"/>
          <w:szCs w:val="24"/>
        </w:rPr>
      </w:pPr>
      <w:r w:rsidRPr="00381C0E">
        <w:rPr>
          <w:b/>
          <w:color w:val="5B9BD5" w:themeColor="accent1"/>
          <w:sz w:val="24"/>
          <w:szCs w:val="24"/>
        </w:rPr>
        <w:t>Bežné výdavky</w:t>
      </w:r>
      <w:r w:rsidRPr="00381C0E">
        <w:rPr>
          <w:color w:val="5B9BD5" w:themeColor="accent1"/>
          <w:sz w:val="24"/>
          <w:szCs w:val="24"/>
        </w:rPr>
        <w:t xml:space="preserve"> </w:t>
      </w:r>
      <w:r w:rsidRPr="00381C0E">
        <w:rPr>
          <w:sz w:val="24"/>
          <w:szCs w:val="24"/>
        </w:rPr>
        <w:t>verejnej správy boli vyššie o 2 454 841 tis</w:t>
      </w:r>
      <w:r w:rsidRPr="00D57CF1">
        <w:rPr>
          <w:sz w:val="24"/>
          <w:szCs w:val="24"/>
        </w:rPr>
        <w:t xml:space="preserve">. eur </w:t>
      </w:r>
      <w:r w:rsidRPr="00C06787">
        <w:rPr>
          <w:sz w:val="24"/>
          <w:szCs w:val="24"/>
        </w:rPr>
        <w:t>oproti rozpočtu a zahŕňajú mzdové a odvodové výdavky, výdavky na tovary a služby, bežné transfery a úroky. Pri</w:t>
      </w:r>
      <w:r>
        <w:rPr>
          <w:sz w:val="24"/>
          <w:szCs w:val="24"/>
        </w:rPr>
        <w:t> </w:t>
      </w:r>
      <w:r w:rsidRPr="00C06787">
        <w:rPr>
          <w:sz w:val="24"/>
          <w:szCs w:val="24"/>
        </w:rPr>
        <w:t>výdavkoch na</w:t>
      </w:r>
      <w:r>
        <w:rPr>
          <w:sz w:val="24"/>
          <w:szCs w:val="24"/>
        </w:rPr>
        <w:t> </w:t>
      </w:r>
      <w:r w:rsidRPr="00C06787">
        <w:rPr>
          <w:sz w:val="24"/>
          <w:szCs w:val="24"/>
          <w:u w:val="single"/>
        </w:rPr>
        <w:t>mzdy</w:t>
      </w:r>
      <w:r w:rsidRPr="00C06787">
        <w:rPr>
          <w:sz w:val="24"/>
          <w:szCs w:val="24"/>
        </w:rPr>
        <w:t xml:space="preserve">, ktoré </w:t>
      </w:r>
      <w:r w:rsidRPr="001171E4">
        <w:rPr>
          <w:sz w:val="24"/>
          <w:szCs w:val="24"/>
        </w:rPr>
        <w:t>dosiahli nárast oproti rozpočtu o 585 820 tis. eur, zaznamenali</w:t>
      </w:r>
      <w:r w:rsidRPr="00C06787">
        <w:rPr>
          <w:sz w:val="24"/>
          <w:szCs w:val="24"/>
        </w:rPr>
        <w:t xml:space="preserve"> najväčší </w:t>
      </w:r>
      <w:r w:rsidRPr="00CD68C3">
        <w:rPr>
          <w:sz w:val="24"/>
          <w:szCs w:val="24"/>
        </w:rPr>
        <w:t xml:space="preserve">nárast </w:t>
      </w:r>
      <w:r>
        <w:rPr>
          <w:sz w:val="24"/>
          <w:szCs w:val="24"/>
        </w:rPr>
        <w:t>zdravotnícke zariadenia o 230 </w:t>
      </w:r>
      <w:r w:rsidRPr="00CD68C3">
        <w:rPr>
          <w:sz w:val="24"/>
          <w:szCs w:val="24"/>
        </w:rPr>
        <w:t>123 tis. eur (z toho v ústrednej správe 203</w:t>
      </w:r>
      <w:r>
        <w:rPr>
          <w:sz w:val="24"/>
          <w:szCs w:val="24"/>
        </w:rPr>
        <w:t> </w:t>
      </w:r>
      <w:r w:rsidRPr="00CD68C3">
        <w:rPr>
          <w:sz w:val="24"/>
          <w:szCs w:val="24"/>
        </w:rPr>
        <w:t>503 tis.</w:t>
      </w:r>
      <w:r>
        <w:rPr>
          <w:sz w:val="24"/>
          <w:szCs w:val="24"/>
        </w:rPr>
        <w:t> </w:t>
      </w:r>
      <w:r w:rsidRPr="00CD68C3">
        <w:rPr>
          <w:sz w:val="24"/>
          <w:szCs w:val="24"/>
        </w:rPr>
        <w:t>eur), obce o</w:t>
      </w:r>
      <w:r>
        <w:rPr>
          <w:sz w:val="24"/>
          <w:szCs w:val="24"/>
        </w:rPr>
        <w:t> 99 637</w:t>
      </w:r>
      <w:r w:rsidRPr="00CD68C3">
        <w:rPr>
          <w:sz w:val="24"/>
          <w:szCs w:val="24"/>
        </w:rPr>
        <w:t> tis. eur, príspevkové organizácie VÚC o</w:t>
      </w:r>
      <w:r>
        <w:rPr>
          <w:sz w:val="24"/>
          <w:szCs w:val="24"/>
        </w:rPr>
        <w:t> 27 </w:t>
      </w:r>
      <w:r w:rsidR="0040034C">
        <w:rPr>
          <w:sz w:val="24"/>
          <w:szCs w:val="24"/>
        </w:rPr>
        <w:t xml:space="preserve">443 tis. eur a </w:t>
      </w:r>
      <w:r w:rsidRPr="00CD68C3">
        <w:rPr>
          <w:sz w:val="24"/>
          <w:szCs w:val="24"/>
        </w:rPr>
        <w:t xml:space="preserve">Železničná spoločnosť Slovensko </w:t>
      </w:r>
      <w:proofErr w:type="spellStart"/>
      <w:r w:rsidRPr="00CD68C3">
        <w:rPr>
          <w:sz w:val="24"/>
          <w:szCs w:val="24"/>
        </w:rPr>
        <w:t>a.s</w:t>
      </w:r>
      <w:proofErr w:type="spellEnd"/>
      <w:r w:rsidRPr="00CD68C3">
        <w:rPr>
          <w:sz w:val="24"/>
          <w:szCs w:val="24"/>
        </w:rPr>
        <w:t xml:space="preserve">. a Železnice </w:t>
      </w:r>
      <w:r>
        <w:rPr>
          <w:sz w:val="24"/>
          <w:szCs w:val="24"/>
        </w:rPr>
        <w:t>S</w:t>
      </w:r>
      <w:r w:rsidRPr="00CD68C3">
        <w:rPr>
          <w:sz w:val="24"/>
          <w:szCs w:val="24"/>
        </w:rPr>
        <w:t>lovenskej republiky spolu o</w:t>
      </w:r>
      <w:r>
        <w:rPr>
          <w:sz w:val="24"/>
          <w:szCs w:val="24"/>
        </w:rPr>
        <w:t> 39 </w:t>
      </w:r>
      <w:r w:rsidRPr="00CD68C3">
        <w:rPr>
          <w:sz w:val="24"/>
          <w:szCs w:val="24"/>
        </w:rPr>
        <w:t xml:space="preserve">155 tis. eur. </w:t>
      </w:r>
      <w:r w:rsidRPr="000602B8">
        <w:rPr>
          <w:sz w:val="24"/>
          <w:szCs w:val="24"/>
        </w:rPr>
        <w:t>S tým súvisel aj nárast výdavkov na poistné o</w:t>
      </w:r>
      <w:r>
        <w:rPr>
          <w:sz w:val="24"/>
          <w:szCs w:val="24"/>
        </w:rPr>
        <w:t> 168 </w:t>
      </w:r>
      <w:r w:rsidRPr="000602B8">
        <w:rPr>
          <w:sz w:val="24"/>
          <w:szCs w:val="24"/>
        </w:rPr>
        <w:t>808 tis. eur v rámci celej verejnej správy. V</w:t>
      </w:r>
      <w:r w:rsidRPr="00C06787">
        <w:rPr>
          <w:sz w:val="24"/>
          <w:szCs w:val="24"/>
        </w:rPr>
        <w:t xml:space="preserve">ýdavky na </w:t>
      </w:r>
      <w:r w:rsidRPr="00C06787">
        <w:rPr>
          <w:sz w:val="24"/>
          <w:szCs w:val="24"/>
          <w:u w:val="single"/>
        </w:rPr>
        <w:t>tovary a služby</w:t>
      </w:r>
      <w:r w:rsidRPr="00C06787">
        <w:rPr>
          <w:sz w:val="24"/>
          <w:szCs w:val="24"/>
        </w:rPr>
        <w:t xml:space="preserve"> zaznamenali v hotovostnom vyjadrení </w:t>
      </w:r>
      <w:r w:rsidRPr="004221EA">
        <w:rPr>
          <w:sz w:val="24"/>
          <w:szCs w:val="24"/>
        </w:rPr>
        <w:t xml:space="preserve">zníženie o 8 184 251 tis. eur </w:t>
      </w:r>
      <w:r w:rsidRPr="00C06787">
        <w:rPr>
          <w:sz w:val="24"/>
          <w:szCs w:val="24"/>
        </w:rPr>
        <w:t xml:space="preserve">oproti rozpočtu, a to najmä </w:t>
      </w:r>
      <w:r w:rsidRPr="0022499B">
        <w:rPr>
          <w:sz w:val="24"/>
          <w:szCs w:val="24"/>
        </w:rPr>
        <w:t xml:space="preserve">u štátnych rozpočtových organizácií. Na ich vývoj malo do veľkej miery vplyv čerpanie výdavkov v rámci konkrétnych výdavkových titulov, pričom sú rozpočtované v rámci </w:t>
      </w:r>
      <w:r w:rsidRPr="003D1E73">
        <w:rPr>
          <w:sz w:val="24"/>
          <w:szCs w:val="24"/>
        </w:rPr>
        <w:t xml:space="preserve">bežných </w:t>
      </w:r>
      <w:r w:rsidRPr="00A37C24">
        <w:rPr>
          <w:sz w:val="24"/>
          <w:szCs w:val="24"/>
        </w:rPr>
        <w:t>výdavkov na tovary a služby (</w:t>
      </w:r>
      <w:r w:rsidRPr="0022499B">
        <w:rPr>
          <w:sz w:val="24"/>
          <w:szCs w:val="24"/>
        </w:rPr>
        <w:t>napr. zálohové platby na projekty EU a prostriedky štátneho rozpočtu na spolufinancovanie, ktorých zúčtovanie sa vykonáva na príslušných výdavko</w:t>
      </w:r>
      <w:r>
        <w:rPr>
          <w:sz w:val="24"/>
          <w:szCs w:val="24"/>
        </w:rPr>
        <w:t>vý</w:t>
      </w:r>
      <w:r w:rsidRPr="0022499B">
        <w:rPr>
          <w:sz w:val="24"/>
          <w:szCs w:val="24"/>
        </w:rPr>
        <w:t>ch</w:t>
      </w:r>
      <w:r>
        <w:rPr>
          <w:sz w:val="24"/>
          <w:szCs w:val="24"/>
        </w:rPr>
        <w:t xml:space="preserve"> tituloch</w:t>
      </w:r>
      <w:r w:rsidRPr="007D094A">
        <w:rPr>
          <w:sz w:val="24"/>
          <w:szCs w:val="24"/>
        </w:rPr>
        <w:t>). Na</w:t>
      </w:r>
      <w:r>
        <w:rPr>
          <w:sz w:val="24"/>
          <w:szCs w:val="24"/>
        </w:rPr>
        <w:t> </w:t>
      </w:r>
      <w:r w:rsidRPr="007D094A">
        <w:rPr>
          <w:sz w:val="24"/>
          <w:szCs w:val="24"/>
        </w:rPr>
        <w:t xml:space="preserve">vývoj bežných výdavkov vplýval aj </w:t>
      </w:r>
      <w:r>
        <w:rPr>
          <w:sz w:val="24"/>
          <w:szCs w:val="24"/>
        </w:rPr>
        <w:t xml:space="preserve">akruálny </w:t>
      </w:r>
      <w:r w:rsidRPr="007D094A">
        <w:rPr>
          <w:sz w:val="24"/>
          <w:szCs w:val="24"/>
        </w:rPr>
        <w:t xml:space="preserve">odvod do rozpočtu EÚ v sume </w:t>
      </w:r>
      <w:r>
        <w:rPr>
          <w:sz w:val="24"/>
          <w:szCs w:val="24"/>
        </w:rPr>
        <w:t>1 056 938</w:t>
      </w:r>
      <w:r w:rsidRPr="007D094A">
        <w:rPr>
          <w:sz w:val="24"/>
          <w:szCs w:val="24"/>
        </w:rPr>
        <w:t> tis. eur, ktorý bol oproti rozpočtu nižší o</w:t>
      </w:r>
      <w:r>
        <w:rPr>
          <w:sz w:val="24"/>
          <w:szCs w:val="24"/>
        </w:rPr>
        <w:t> 99 443</w:t>
      </w:r>
      <w:r w:rsidRPr="007D094A">
        <w:rPr>
          <w:sz w:val="24"/>
          <w:szCs w:val="24"/>
        </w:rPr>
        <w:t> tis. eur. Hot</w:t>
      </w:r>
      <w:r w:rsidRPr="00C06787">
        <w:rPr>
          <w:sz w:val="24"/>
          <w:szCs w:val="24"/>
        </w:rPr>
        <w:t xml:space="preserve">ovostné </w:t>
      </w:r>
      <w:r w:rsidRPr="00C06787">
        <w:rPr>
          <w:sz w:val="24"/>
          <w:szCs w:val="24"/>
          <w:u w:val="single"/>
        </w:rPr>
        <w:t>výdavkové úroky</w:t>
      </w:r>
      <w:r w:rsidRPr="00C06787">
        <w:rPr>
          <w:sz w:val="24"/>
          <w:szCs w:val="24"/>
        </w:rPr>
        <w:t xml:space="preserve"> boli oproti </w:t>
      </w:r>
      <w:r w:rsidRPr="003F6C1B">
        <w:rPr>
          <w:sz w:val="24"/>
          <w:szCs w:val="24"/>
        </w:rPr>
        <w:t>rozpočtu nižšie o</w:t>
      </w:r>
      <w:r>
        <w:rPr>
          <w:sz w:val="24"/>
          <w:szCs w:val="24"/>
        </w:rPr>
        <w:t> </w:t>
      </w:r>
      <w:r w:rsidRPr="003F6C1B">
        <w:rPr>
          <w:sz w:val="24"/>
          <w:szCs w:val="24"/>
        </w:rPr>
        <w:t>166</w:t>
      </w:r>
      <w:r>
        <w:rPr>
          <w:sz w:val="24"/>
          <w:szCs w:val="24"/>
        </w:rPr>
        <w:t> </w:t>
      </w:r>
      <w:r w:rsidRPr="003F6C1B">
        <w:rPr>
          <w:sz w:val="24"/>
          <w:szCs w:val="24"/>
        </w:rPr>
        <w:t>465 tis. eur</w:t>
      </w:r>
      <w:r w:rsidRPr="005D1944">
        <w:rPr>
          <w:sz w:val="24"/>
          <w:szCs w:val="24"/>
        </w:rPr>
        <w:t>, v súlade s metodikou ESA 2010 boli hotovostné výdavky upravené časovým rozlíšením platených úrokov negatívne o</w:t>
      </w:r>
      <w:r>
        <w:rPr>
          <w:sz w:val="24"/>
          <w:szCs w:val="24"/>
        </w:rPr>
        <w:t> </w:t>
      </w:r>
      <w:r w:rsidRPr="005D1944">
        <w:rPr>
          <w:sz w:val="24"/>
          <w:szCs w:val="24"/>
        </w:rPr>
        <w:t>140</w:t>
      </w:r>
      <w:r>
        <w:rPr>
          <w:sz w:val="24"/>
          <w:szCs w:val="24"/>
        </w:rPr>
        <w:t> </w:t>
      </w:r>
      <w:r w:rsidRPr="005D1944">
        <w:rPr>
          <w:sz w:val="24"/>
          <w:szCs w:val="24"/>
        </w:rPr>
        <w:t xml:space="preserve">509 tis. eur a vylúčením </w:t>
      </w:r>
      <w:r>
        <w:rPr>
          <w:sz w:val="24"/>
          <w:szCs w:val="24"/>
        </w:rPr>
        <w:t xml:space="preserve">výdavkových </w:t>
      </w:r>
      <w:r w:rsidRPr="005D1944">
        <w:rPr>
          <w:sz w:val="24"/>
          <w:szCs w:val="24"/>
        </w:rPr>
        <w:t>úrokov zo</w:t>
      </w:r>
      <w:r>
        <w:rPr>
          <w:sz w:val="24"/>
          <w:szCs w:val="24"/>
        </w:rPr>
        <w:t> </w:t>
      </w:r>
      <w:r w:rsidRPr="005D1944">
        <w:rPr>
          <w:sz w:val="24"/>
          <w:szCs w:val="24"/>
        </w:rPr>
        <w:t>swapov pozitívne o</w:t>
      </w:r>
      <w:r>
        <w:rPr>
          <w:sz w:val="24"/>
          <w:szCs w:val="24"/>
        </w:rPr>
        <w:t> 15 </w:t>
      </w:r>
      <w:r w:rsidRPr="005D1944">
        <w:rPr>
          <w:sz w:val="24"/>
          <w:szCs w:val="24"/>
        </w:rPr>
        <w:t>929 tis. eur oproti rozpočtu.</w:t>
      </w:r>
    </w:p>
    <w:p w14:paraId="7202C6CB" w14:textId="353D9DCA" w:rsidR="004C6700" w:rsidRDefault="004C6700" w:rsidP="004C6700">
      <w:pPr>
        <w:spacing w:line="240" w:lineRule="auto"/>
        <w:rPr>
          <w:sz w:val="24"/>
          <w:szCs w:val="24"/>
        </w:rPr>
      </w:pPr>
      <w:r w:rsidRPr="00040119">
        <w:rPr>
          <w:b/>
          <w:color w:val="5B9BD5" w:themeColor="accent1"/>
          <w:sz w:val="24"/>
          <w:szCs w:val="24"/>
        </w:rPr>
        <w:t>Kapitálové výdavky</w:t>
      </w:r>
      <w:r w:rsidRPr="00040119">
        <w:rPr>
          <w:color w:val="5B9BD5" w:themeColor="accent1"/>
          <w:sz w:val="24"/>
          <w:szCs w:val="24"/>
        </w:rPr>
        <w:t xml:space="preserve"> </w:t>
      </w:r>
      <w:r w:rsidRPr="00040119">
        <w:rPr>
          <w:sz w:val="24"/>
          <w:szCs w:val="24"/>
        </w:rPr>
        <w:t xml:space="preserve">verejnej správy </w:t>
      </w:r>
      <w:r>
        <w:rPr>
          <w:sz w:val="24"/>
          <w:szCs w:val="24"/>
        </w:rPr>
        <w:t>predstavujú</w:t>
      </w:r>
      <w:r w:rsidRPr="00040119">
        <w:rPr>
          <w:sz w:val="24"/>
          <w:szCs w:val="24"/>
        </w:rPr>
        <w:t> výdavky na obstaranie kapitálových aktív a</w:t>
      </w:r>
      <w:r>
        <w:rPr>
          <w:sz w:val="24"/>
          <w:szCs w:val="24"/>
        </w:rPr>
        <w:t> </w:t>
      </w:r>
      <w:r w:rsidRPr="00040119">
        <w:rPr>
          <w:sz w:val="24"/>
          <w:szCs w:val="24"/>
        </w:rPr>
        <w:t>kapitálové transf</w:t>
      </w:r>
      <w:r>
        <w:rPr>
          <w:sz w:val="24"/>
          <w:szCs w:val="24"/>
        </w:rPr>
        <w:t xml:space="preserve">ery. Oproti rozpočtu na rok </w:t>
      </w:r>
      <w:r w:rsidR="004B4573">
        <w:rPr>
          <w:sz w:val="24"/>
          <w:szCs w:val="24"/>
        </w:rPr>
        <w:t>2023 vzrástli akruálne</w:t>
      </w:r>
      <w:r w:rsidRPr="000F4B49">
        <w:rPr>
          <w:sz w:val="24"/>
          <w:szCs w:val="24"/>
        </w:rPr>
        <w:t xml:space="preserve"> kapitálové výdavky o 896 892 tis. eur. </w:t>
      </w:r>
      <w:r w:rsidRPr="00040119">
        <w:rPr>
          <w:sz w:val="24"/>
          <w:szCs w:val="24"/>
          <w:u w:val="single"/>
        </w:rPr>
        <w:t>Výdavky na obstaranie kapitálových aktív</w:t>
      </w:r>
      <w:r w:rsidRPr="00040119">
        <w:rPr>
          <w:sz w:val="24"/>
          <w:szCs w:val="24"/>
        </w:rPr>
        <w:t xml:space="preserve"> v porovnaní s rozpočtom </w:t>
      </w:r>
      <w:r w:rsidRPr="000F4B49">
        <w:rPr>
          <w:sz w:val="24"/>
          <w:szCs w:val="24"/>
        </w:rPr>
        <w:t>vzrástli o 1 468 996 tis. eur</w:t>
      </w:r>
      <w:r w:rsidRPr="007259E5">
        <w:rPr>
          <w:sz w:val="24"/>
          <w:szCs w:val="24"/>
        </w:rPr>
        <w:t xml:space="preserve">, najvýraznejší rast </w:t>
      </w:r>
      <w:r w:rsidRPr="00342D32">
        <w:rPr>
          <w:sz w:val="24"/>
          <w:szCs w:val="24"/>
        </w:rPr>
        <w:t xml:space="preserve">zaznamenali </w:t>
      </w:r>
      <w:r>
        <w:rPr>
          <w:sz w:val="24"/>
          <w:szCs w:val="24"/>
        </w:rPr>
        <w:t>obce o 706 </w:t>
      </w:r>
      <w:r w:rsidRPr="00342D32">
        <w:rPr>
          <w:sz w:val="24"/>
          <w:szCs w:val="24"/>
        </w:rPr>
        <w:t>109 tis. </w:t>
      </w:r>
      <w:r w:rsidRPr="00D874AD">
        <w:rPr>
          <w:sz w:val="24"/>
          <w:szCs w:val="24"/>
        </w:rPr>
        <w:t xml:space="preserve">eur, Národná diaľničná spoločnosť </w:t>
      </w:r>
      <w:proofErr w:type="spellStart"/>
      <w:r w:rsidRPr="00D874AD">
        <w:rPr>
          <w:sz w:val="24"/>
          <w:szCs w:val="24"/>
        </w:rPr>
        <w:t>a.s</w:t>
      </w:r>
      <w:proofErr w:type="spellEnd"/>
      <w:r w:rsidRPr="00D874AD">
        <w:rPr>
          <w:sz w:val="24"/>
          <w:szCs w:val="24"/>
        </w:rPr>
        <w:t>. o 501 587 tis. eur, vyššie územné celky o 466 569 tis. </w:t>
      </w:r>
      <w:r w:rsidRPr="00F2464E">
        <w:rPr>
          <w:sz w:val="24"/>
          <w:szCs w:val="24"/>
        </w:rPr>
        <w:t xml:space="preserve">eur, Železničná spoločnosť Slovensko </w:t>
      </w:r>
      <w:proofErr w:type="spellStart"/>
      <w:r w:rsidRPr="00F2464E">
        <w:rPr>
          <w:sz w:val="24"/>
          <w:szCs w:val="24"/>
        </w:rPr>
        <w:t>a.s</w:t>
      </w:r>
      <w:proofErr w:type="spellEnd"/>
      <w:r w:rsidRPr="00F2464E">
        <w:rPr>
          <w:sz w:val="24"/>
          <w:szCs w:val="24"/>
        </w:rPr>
        <w:t>. o 196 795 tis. eur, dopravné podniky o 133 879 tis. eur, príspevk</w:t>
      </w:r>
      <w:r>
        <w:rPr>
          <w:sz w:val="24"/>
          <w:szCs w:val="24"/>
        </w:rPr>
        <w:t>ové organizácie štátu o 127 759 tis. </w:t>
      </w:r>
      <w:r w:rsidRPr="00F2464E">
        <w:rPr>
          <w:sz w:val="24"/>
          <w:szCs w:val="24"/>
        </w:rPr>
        <w:t>eur, ústredné zd</w:t>
      </w:r>
      <w:r>
        <w:rPr>
          <w:sz w:val="24"/>
          <w:szCs w:val="24"/>
        </w:rPr>
        <w:t>ravotnícke zariadenia o 126 452 tis. </w:t>
      </w:r>
      <w:r w:rsidRPr="00F2464E">
        <w:rPr>
          <w:sz w:val="24"/>
          <w:szCs w:val="24"/>
        </w:rPr>
        <w:t>eur a Železnic</w:t>
      </w:r>
      <w:r>
        <w:rPr>
          <w:sz w:val="24"/>
          <w:szCs w:val="24"/>
        </w:rPr>
        <w:t>e Slovenskej republiky o 12</w:t>
      </w:r>
      <w:r w:rsidR="008F10FA">
        <w:rPr>
          <w:sz w:val="24"/>
          <w:szCs w:val="24"/>
        </w:rPr>
        <w:t>1</w:t>
      </w:r>
      <w:r>
        <w:rPr>
          <w:sz w:val="24"/>
          <w:szCs w:val="24"/>
        </w:rPr>
        <w:t> 146 tis. </w:t>
      </w:r>
      <w:r w:rsidRPr="00F2464E">
        <w:rPr>
          <w:sz w:val="24"/>
          <w:szCs w:val="24"/>
        </w:rPr>
        <w:t>eur, čo však bolo čiastočne eliminované</w:t>
      </w:r>
      <w:r w:rsidRPr="007259E5">
        <w:rPr>
          <w:sz w:val="24"/>
          <w:szCs w:val="24"/>
        </w:rPr>
        <w:t xml:space="preserve"> poklesom investičných </w:t>
      </w:r>
      <w:r w:rsidRPr="00983065">
        <w:rPr>
          <w:sz w:val="24"/>
          <w:szCs w:val="24"/>
        </w:rPr>
        <w:t xml:space="preserve">výdavkov </w:t>
      </w:r>
      <w:r>
        <w:rPr>
          <w:sz w:val="24"/>
          <w:szCs w:val="24"/>
        </w:rPr>
        <w:t>štátneho rozpočtu</w:t>
      </w:r>
      <w:r w:rsidRPr="00983065">
        <w:rPr>
          <w:sz w:val="24"/>
          <w:szCs w:val="24"/>
        </w:rPr>
        <w:t xml:space="preserve"> (opisované v kapitole 3) o 1</w:t>
      </w:r>
      <w:r>
        <w:rPr>
          <w:sz w:val="24"/>
          <w:szCs w:val="24"/>
        </w:rPr>
        <w:t> </w:t>
      </w:r>
      <w:r w:rsidRPr="00983065">
        <w:rPr>
          <w:sz w:val="24"/>
          <w:szCs w:val="24"/>
        </w:rPr>
        <w:t>078</w:t>
      </w:r>
      <w:r>
        <w:rPr>
          <w:sz w:val="24"/>
          <w:szCs w:val="24"/>
        </w:rPr>
        <w:t> </w:t>
      </w:r>
      <w:r w:rsidRPr="00983065">
        <w:rPr>
          <w:sz w:val="24"/>
          <w:szCs w:val="24"/>
        </w:rPr>
        <w:t>775 tis. eur</w:t>
      </w:r>
      <w:r>
        <w:rPr>
          <w:sz w:val="24"/>
          <w:szCs w:val="24"/>
        </w:rPr>
        <w:t xml:space="preserve">. </w:t>
      </w:r>
    </w:p>
    <w:p w14:paraId="6F91414C" w14:textId="5358A469" w:rsidR="004C6700" w:rsidRPr="00092ACB" w:rsidRDefault="004C6700" w:rsidP="004C6700">
      <w:pPr>
        <w:spacing w:line="240" w:lineRule="auto"/>
        <w:rPr>
          <w:sz w:val="24"/>
          <w:szCs w:val="24"/>
          <w:highlight w:val="yellow"/>
        </w:rPr>
      </w:pPr>
      <w:r w:rsidRPr="00040119">
        <w:rPr>
          <w:sz w:val="24"/>
          <w:szCs w:val="24"/>
        </w:rPr>
        <w:t xml:space="preserve">Hotovostné </w:t>
      </w:r>
      <w:r>
        <w:rPr>
          <w:sz w:val="24"/>
          <w:szCs w:val="24"/>
        </w:rPr>
        <w:t xml:space="preserve">konsolidované </w:t>
      </w:r>
      <w:r w:rsidRPr="00040119">
        <w:rPr>
          <w:sz w:val="24"/>
          <w:szCs w:val="24"/>
          <w:u w:val="single"/>
        </w:rPr>
        <w:t xml:space="preserve">kapitálové </w:t>
      </w:r>
      <w:r w:rsidRPr="002C2B1F">
        <w:rPr>
          <w:sz w:val="24"/>
          <w:szCs w:val="24"/>
          <w:u w:val="single"/>
        </w:rPr>
        <w:t>transfery</w:t>
      </w:r>
      <w:r w:rsidRPr="002C2B1F">
        <w:rPr>
          <w:sz w:val="24"/>
          <w:szCs w:val="24"/>
        </w:rPr>
        <w:t xml:space="preserve"> </w:t>
      </w:r>
      <w:r>
        <w:rPr>
          <w:sz w:val="24"/>
          <w:szCs w:val="24"/>
        </w:rPr>
        <w:t xml:space="preserve">boli nižšie </w:t>
      </w:r>
      <w:r w:rsidRPr="002C2B1F">
        <w:rPr>
          <w:sz w:val="24"/>
          <w:szCs w:val="24"/>
        </w:rPr>
        <w:t xml:space="preserve">oproti rozpočtu </w:t>
      </w:r>
      <w:r w:rsidRPr="00151BCD">
        <w:rPr>
          <w:sz w:val="24"/>
          <w:szCs w:val="24"/>
        </w:rPr>
        <w:t>o</w:t>
      </w:r>
      <w:r>
        <w:rPr>
          <w:sz w:val="24"/>
          <w:szCs w:val="24"/>
        </w:rPr>
        <w:t> 2 374 </w:t>
      </w:r>
      <w:r w:rsidRPr="00151BCD">
        <w:rPr>
          <w:sz w:val="24"/>
          <w:szCs w:val="24"/>
        </w:rPr>
        <w:t>262 tis. eur. Najväčší pokles kapitálových transferov z pomedzi zložiek verejnej správy v hotovostnom</w:t>
      </w:r>
      <w:r w:rsidRPr="00040119">
        <w:rPr>
          <w:sz w:val="24"/>
          <w:szCs w:val="24"/>
        </w:rPr>
        <w:t xml:space="preserve"> nekonsolidovanom porovnaní oproti rozpočtu zaznamenal</w:t>
      </w:r>
      <w:r>
        <w:rPr>
          <w:sz w:val="24"/>
          <w:szCs w:val="24"/>
        </w:rPr>
        <w:t xml:space="preserve"> štátny rozpočet</w:t>
      </w:r>
      <w:r w:rsidRPr="002C2B1F">
        <w:rPr>
          <w:sz w:val="24"/>
          <w:szCs w:val="24"/>
        </w:rPr>
        <w:t xml:space="preserve"> v sume </w:t>
      </w:r>
      <w:r w:rsidRPr="002C2B1F">
        <w:rPr>
          <w:sz w:val="24"/>
          <w:szCs w:val="24"/>
        </w:rPr>
        <w:lastRenderedPageBreak/>
        <w:t>213</w:t>
      </w:r>
      <w:r>
        <w:rPr>
          <w:sz w:val="24"/>
          <w:szCs w:val="24"/>
        </w:rPr>
        <w:t> </w:t>
      </w:r>
      <w:r w:rsidRPr="002C2B1F">
        <w:rPr>
          <w:sz w:val="24"/>
          <w:szCs w:val="24"/>
        </w:rPr>
        <w:t>568 tis. </w:t>
      </w:r>
      <w:r w:rsidRPr="00754F22">
        <w:rPr>
          <w:sz w:val="24"/>
          <w:szCs w:val="24"/>
        </w:rPr>
        <w:t>eur, Environmentálny</w:t>
      </w:r>
      <w:r w:rsidRPr="00B0267E">
        <w:rPr>
          <w:sz w:val="24"/>
          <w:szCs w:val="24"/>
        </w:rPr>
        <w:t xml:space="preserve"> fond v sume 93 255 tis. eur, Národný jadrový fond v sume 15 449 tis. eur a</w:t>
      </w:r>
      <w:r>
        <w:rPr>
          <w:sz w:val="24"/>
          <w:szCs w:val="24"/>
        </w:rPr>
        <w:t> </w:t>
      </w:r>
      <w:r w:rsidRPr="00B0267E">
        <w:rPr>
          <w:sz w:val="24"/>
          <w:szCs w:val="24"/>
        </w:rPr>
        <w:t xml:space="preserve">obce v sume 15 492 tis. eur. </w:t>
      </w:r>
    </w:p>
    <w:p w14:paraId="3282E70A" w14:textId="77777777" w:rsidR="004C6700" w:rsidRPr="001F7E06" w:rsidRDefault="004C6700" w:rsidP="004C6700">
      <w:pPr>
        <w:spacing w:line="240" w:lineRule="auto"/>
        <w:rPr>
          <w:sz w:val="24"/>
          <w:szCs w:val="24"/>
          <w:highlight w:val="yellow"/>
        </w:rPr>
      </w:pPr>
      <w:r w:rsidRPr="00040119">
        <w:rPr>
          <w:sz w:val="24"/>
          <w:szCs w:val="24"/>
        </w:rPr>
        <w:t xml:space="preserve">Nasledujúca tabuľka poskytuje prehľad najvýznamnejších položiek (príjmov, výdavkov resp. </w:t>
      </w:r>
      <w:r w:rsidRPr="001F7E06">
        <w:rPr>
          <w:sz w:val="24"/>
          <w:szCs w:val="24"/>
        </w:rPr>
        <w:t>výsledok hospodárenie subjektov verejnej správy) a ich vplyv na dosiahnuté saldo verejnej správy za rok 2023 oproti rozpočtu.</w:t>
      </w:r>
    </w:p>
    <w:tbl>
      <w:tblPr>
        <w:tblW w:w="5000" w:type="pct"/>
        <w:tblCellMar>
          <w:left w:w="70" w:type="dxa"/>
          <w:right w:w="70" w:type="dxa"/>
        </w:tblCellMar>
        <w:tblLook w:val="04A0" w:firstRow="1" w:lastRow="0" w:firstColumn="1" w:lastColumn="0" w:noHBand="0" w:noVBand="1"/>
      </w:tblPr>
      <w:tblGrid>
        <w:gridCol w:w="7250"/>
        <w:gridCol w:w="1008"/>
        <w:gridCol w:w="956"/>
      </w:tblGrid>
      <w:tr w:rsidR="004C6700" w:rsidRPr="00B53BAF" w14:paraId="168963CE" w14:textId="77777777" w:rsidTr="00836EB5">
        <w:trPr>
          <w:trHeight w:val="280"/>
        </w:trPr>
        <w:tc>
          <w:tcPr>
            <w:tcW w:w="4481" w:type="pct"/>
            <w:gridSpan w:val="2"/>
            <w:tcBorders>
              <w:top w:val="nil"/>
              <w:left w:val="nil"/>
              <w:bottom w:val="nil"/>
              <w:right w:val="nil"/>
            </w:tcBorders>
            <w:shd w:val="clear" w:color="auto" w:fill="auto"/>
            <w:noWrap/>
            <w:vAlign w:val="bottom"/>
            <w:hideMark/>
          </w:tcPr>
          <w:p w14:paraId="62E629CC" w14:textId="26AF32A0" w:rsidR="004C6700" w:rsidRPr="00B53BAF" w:rsidRDefault="004C6700" w:rsidP="00EB2641">
            <w:pPr>
              <w:spacing w:line="240" w:lineRule="auto"/>
              <w:jc w:val="left"/>
              <w:rPr>
                <w:rFonts w:eastAsia="Times New Roman" w:cs="Times New Roman"/>
                <w:b/>
                <w:bCs/>
                <w:color w:val="5B9BD5"/>
                <w:sz w:val="20"/>
                <w:szCs w:val="20"/>
                <w:lang w:eastAsia="sk-SK"/>
              </w:rPr>
            </w:pPr>
            <w:r w:rsidRPr="009D37C3">
              <w:rPr>
                <w:rFonts w:eastAsia="Times New Roman" w:cs="Times New Roman"/>
                <w:b/>
                <w:bCs/>
                <w:color w:val="5B9BD5"/>
                <w:sz w:val="20"/>
                <w:szCs w:val="20"/>
                <w:lang w:eastAsia="sk-SK"/>
              </w:rPr>
              <w:t xml:space="preserve">Tabuľka 9 - </w:t>
            </w:r>
            <w:r w:rsidRPr="00B53BAF">
              <w:rPr>
                <w:rFonts w:eastAsia="Times New Roman" w:cs="Times New Roman"/>
                <w:b/>
                <w:bCs/>
                <w:color w:val="5B9BD5"/>
                <w:sz w:val="20"/>
                <w:szCs w:val="20"/>
                <w:lang w:eastAsia="sk-SK"/>
              </w:rPr>
              <w:t>Saldo verejnej správy v roku 2023 podľa ESA2010 - rozdiel oproti rozpočtu</w:t>
            </w:r>
          </w:p>
        </w:tc>
        <w:tc>
          <w:tcPr>
            <w:tcW w:w="519" w:type="pct"/>
            <w:tcBorders>
              <w:top w:val="nil"/>
              <w:left w:val="nil"/>
              <w:bottom w:val="nil"/>
              <w:right w:val="nil"/>
            </w:tcBorders>
            <w:shd w:val="clear" w:color="auto" w:fill="auto"/>
            <w:noWrap/>
            <w:vAlign w:val="bottom"/>
            <w:hideMark/>
          </w:tcPr>
          <w:p w14:paraId="32DE55AC" w14:textId="77777777" w:rsidR="004C6700" w:rsidRPr="00B53BAF" w:rsidRDefault="004C6700" w:rsidP="00836EB5">
            <w:pPr>
              <w:spacing w:after="0" w:line="240" w:lineRule="auto"/>
              <w:jc w:val="left"/>
              <w:rPr>
                <w:rFonts w:eastAsia="Times New Roman" w:cs="Times New Roman"/>
                <w:b/>
                <w:bCs/>
                <w:color w:val="5B9BD5"/>
                <w:sz w:val="20"/>
                <w:szCs w:val="20"/>
                <w:lang w:eastAsia="sk-SK"/>
              </w:rPr>
            </w:pPr>
          </w:p>
        </w:tc>
      </w:tr>
      <w:tr w:rsidR="004C6700" w:rsidRPr="00836EB5" w14:paraId="41F3D13A" w14:textId="77777777" w:rsidTr="00836EB5">
        <w:trPr>
          <w:trHeight w:val="330"/>
        </w:trPr>
        <w:tc>
          <w:tcPr>
            <w:tcW w:w="3934" w:type="pct"/>
            <w:vMerge w:val="restart"/>
            <w:tcBorders>
              <w:top w:val="single" w:sz="4" w:space="0" w:color="auto"/>
              <w:left w:val="nil"/>
              <w:bottom w:val="single" w:sz="4" w:space="0" w:color="000000"/>
              <w:right w:val="nil"/>
            </w:tcBorders>
            <w:shd w:val="clear" w:color="auto" w:fill="auto"/>
            <w:vAlign w:val="center"/>
            <w:hideMark/>
          </w:tcPr>
          <w:p w14:paraId="2FC691C8" w14:textId="77777777" w:rsidR="004C6700" w:rsidRPr="00836EB5" w:rsidRDefault="004C6700" w:rsidP="00836EB5">
            <w:pPr>
              <w:spacing w:after="0" w:line="240" w:lineRule="auto"/>
              <w:jc w:val="left"/>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v tis. eur</w:t>
            </w:r>
          </w:p>
        </w:tc>
        <w:tc>
          <w:tcPr>
            <w:tcW w:w="547" w:type="pct"/>
            <w:tcBorders>
              <w:top w:val="single" w:sz="4" w:space="0" w:color="auto"/>
              <w:left w:val="nil"/>
              <w:bottom w:val="nil"/>
              <w:right w:val="nil"/>
            </w:tcBorders>
            <w:shd w:val="clear" w:color="auto" w:fill="auto"/>
            <w:noWrap/>
            <w:vAlign w:val="center"/>
            <w:hideMark/>
          </w:tcPr>
          <w:p w14:paraId="6FD3651E" w14:textId="77777777" w:rsidR="004C6700" w:rsidRPr="00836EB5" w:rsidRDefault="004C6700" w:rsidP="00836EB5">
            <w:pPr>
              <w:spacing w:after="0" w:line="240" w:lineRule="auto"/>
              <w:jc w:val="center"/>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2023</w:t>
            </w:r>
          </w:p>
        </w:tc>
        <w:tc>
          <w:tcPr>
            <w:tcW w:w="519" w:type="pct"/>
            <w:tcBorders>
              <w:top w:val="single" w:sz="4" w:space="0" w:color="auto"/>
              <w:left w:val="nil"/>
              <w:bottom w:val="nil"/>
              <w:right w:val="nil"/>
            </w:tcBorders>
            <w:shd w:val="clear" w:color="auto" w:fill="auto"/>
            <w:noWrap/>
            <w:vAlign w:val="center"/>
            <w:hideMark/>
          </w:tcPr>
          <w:p w14:paraId="1BDB2A55" w14:textId="77777777" w:rsidR="004C6700" w:rsidRPr="00836EB5" w:rsidRDefault="004C6700" w:rsidP="00836EB5">
            <w:pPr>
              <w:spacing w:after="0" w:line="240" w:lineRule="auto"/>
              <w:jc w:val="center"/>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Rozdiel</w:t>
            </w:r>
          </w:p>
        </w:tc>
      </w:tr>
      <w:tr w:rsidR="004C6700" w:rsidRPr="00836EB5" w14:paraId="30C62405" w14:textId="77777777" w:rsidTr="00836EB5">
        <w:trPr>
          <w:trHeight w:val="410"/>
        </w:trPr>
        <w:tc>
          <w:tcPr>
            <w:tcW w:w="3934" w:type="pct"/>
            <w:vMerge/>
            <w:tcBorders>
              <w:top w:val="single" w:sz="4" w:space="0" w:color="auto"/>
              <w:left w:val="nil"/>
              <w:bottom w:val="single" w:sz="4" w:space="0" w:color="000000"/>
              <w:right w:val="nil"/>
            </w:tcBorders>
            <w:vAlign w:val="center"/>
            <w:hideMark/>
          </w:tcPr>
          <w:p w14:paraId="41AE6973" w14:textId="77777777" w:rsidR="004C6700" w:rsidRPr="00836EB5" w:rsidRDefault="004C6700" w:rsidP="00836EB5">
            <w:pPr>
              <w:spacing w:after="0" w:line="240" w:lineRule="auto"/>
              <w:jc w:val="left"/>
              <w:rPr>
                <w:rFonts w:eastAsia="Times New Roman" w:cs="Times New Roman"/>
                <w:b/>
                <w:bCs/>
                <w:color w:val="000000"/>
                <w:sz w:val="18"/>
                <w:szCs w:val="18"/>
                <w:lang w:eastAsia="sk-SK"/>
              </w:rPr>
            </w:pPr>
          </w:p>
        </w:tc>
        <w:tc>
          <w:tcPr>
            <w:tcW w:w="547" w:type="pct"/>
            <w:tcBorders>
              <w:top w:val="nil"/>
              <w:left w:val="nil"/>
              <w:bottom w:val="single" w:sz="4" w:space="0" w:color="auto"/>
              <w:right w:val="nil"/>
            </w:tcBorders>
            <w:shd w:val="clear" w:color="auto" w:fill="auto"/>
            <w:noWrap/>
            <w:vAlign w:val="center"/>
            <w:hideMark/>
          </w:tcPr>
          <w:p w14:paraId="5B103046" w14:textId="77777777" w:rsidR="004C6700" w:rsidRPr="00836EB5" w:rsidRDefault="004C6700" w:rsidP="00836EB5">
            <w:pPr>
              <w:spacing w:after="0" w:line="240" w:lineRule="auto"/>
              <w:jc w:val="center"/>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 xml:space="preserve">    S - R</w:t>
            </w:r>
          </w:p>
        </w:tc>
        <w:tc>
          <w:tcPr>
            <w:tcW w:w="519" w:type="pct"/>
            <w:tcBorders>
              <w:top w:val="nil"/>
              <w:left w:val="nil"/>
              <w:bottom w:val="single" w:sz="4" w:space="0" w:color="auto"/>
              <w:right w:val="nil"/>
            </w:tcBorders>
            <w:shd w:val="clear" w:color="auto" w:fill="auto"/>
            <w:noWrap/>
            <w:vAlign w:val="center"/>
            <w:hideMark/>
          </w:tcPr>
          <w:p w14:paraId="1718E2EC" w14:textId="77777777" w:rsidR="004C6700" w:rsidRPr="00836EB5" w:rsidRDefault="004C6700" w:rsidP="00836EB5">
            <w:pPr>
              <w:spacing w:after="0" w:line="240" w:lineRule="auto"/>
              <w:jc w:val="center"/>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 HDP)</w:t>
            </w:r>
          </w:p>
        </w:tc>
      </w:tr>
      <w:tr w:rsidR="004C6700" w:rsidRPr="00836EB5" w14:paraId="42EF8C5C" w14:textId="77777777" w:rsidTr="00836EB5">
        <w:trPr>
          <w:trHeight w:val="280"/>
        </w:trPr>
        <w:tc>
          <w:tcPr>
            <w:tcW w:w="3934" w:type="pct"/>
            <w:tcBorders>
              <w:top w:val="nil"/>
              <w:left w:val="nil"/>
              <w:bottom w:val="nil"/>
              <w:right w:val="nil"/>
            </w:tcBorders>
            <w:shd w:val="clear" w:color="auto" w:fill="auto"/>
            <w:vAlign w:val="center"/>
            <w:hideMark/>
          </w:tcPr>
          <w:p w14:paraId="3C6094B4" w14:textId="77777777" w:rsidR="004C6700" w:rsidRPr="00836EB5" w:rsidRDefault="004C6700" w:rsidP="00836EB5">
            <w:pPr>
              <w:spacing w:after="0" w:line="240" w:lineRule="auto"/>
              <w:jc w:val="left"/>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 xml:space="preserve">Saldo verejnej správy - rozpočet </w:t>
            </w:r>
          </w:p>
        </w:tc>
        <w:tc>
          <w:tcPr>
            <w:tcW w:w="547" w:type="pct"/>
            <w:tcBorders>
              <w:top w:val="nil"/>
              <w:left w:val="nil"/>
              <w:bottom w:val="nil"/>
              <w:right w:val="nil"/>
            </w:tcBorders>
            <w:shd w:val="clear" w:color="auto" w:fill="auto"/>
            <w:noWrap/>
            <w:vAlign w:val="center"/>
            <w:hideMark/>
          </w:tcPr>
          <w:p w14:paraId="6035A2C4" w14:textId="77777777" w:rsidR="004C6700" w:rsidRPr="00836EB5" w:rsidRDefault="004C6700" w:rsidP="00836EB5">
            <w:pPr>
              <w:spacing w:after="0" w:line="240" w:lineRule="auto"/>
              <w:jc w:val="right"/>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-7 871 196</w:t>
            </w:r>
          </w:p>
        </w:tc>
        <w:tc>
          <w:tcPr>
            <w:tcW w:w="519" w:type="pct"/>
            <w:tcBorders>
              <w:top w:val="nil"/>
              <w:left w:val="nil"/>
              <w:bottom w:val="nil"/>
              <w:right w:val="nil"/>
            </w:tcBorders>
            <w:shd w:val="clear" w:color="auto" w:fill="auto"/>
            <w:noWrap/>
            <w:vAlign w:val="center"/>
            <w:hideMark/>
          </w:tcPr>
          <w:p w14:paraId="04B23031" w14:textId="77777777" w:rsidR="004C6700" w:rsidRPr="00836EB5" w:rsidRDefault="004C6700" w:rsidP="00836EB5">
            <w:pPr>
              <w:spacing w:after="0" w:line="240" w:lineRule="auto"/>
              <w:jc w:val="right"/>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-6,44</w:t>
            </w:r>
          </w:p>
        </w:tc>
      </w:tr>
      <w:tr w:rsidR="004C6700" w:rsidRPr="00836EB5" w14:paraId="3C1434AA" w14:textId="77777777" w:rsidTr="00836EB5">
        <w:trPr>
          <w:trHeight w:val="280"/>
        </w:trPr>
        <w:tc>
          <w:tcPr>
            <w:tcW w:w="3934" w:type="pct"/>
            <w:tcBorders>
              <w:top w:val="nil"/>
              <w:left w:val="nil"/>
              <w:bottom w:val="nil"/>
              <w:right w:val="nil"/>
            </w:tcBorders>
            <w:shd w:val="clear" w:color="auto" w:fill="auto"/>
            <w:vAlign w:val="center"/>
            <w:hideMark/>
          </w:tcPr>
          <w:p w14:paraId="7AE886FA" w14:textId="77777777" w:rsidR="004C6700" w:rsidRPr="00836EB5" w:rsidRDefault="004C6700" w:rsidP="00836EB5">
            <w:pPr>
              <w:spacing w:after="0" w:line="240" w:lineRule="auto"/>
              <w:jc w:val="left"/>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1. Daňové a odvodové príjmy verejnej správy</w:t>
            </w:r>
          </w:p>
        </w:tc>
        <w:tc>
          <w:tcPr>
            <w:tcW w:w="547" w:type="pct"/>
            <w:tcBorders>
              <w:top w:val="nil"/>
              <w:left w:val="nil"/>
              <w:bottom w:val="nil"/>
              <w:right w:val="nil"/>
            </w:tcBorders>
            <w:shd w:val="clear" w:color="auto" w:fill="auto"/>
            <w:noWrap/>
            <w:vAlign w:val="center"/>
            <w:hideMark/>
          </w:tcPr>
          <w:p w14:paraId="458F11B1" w14:textId="77777777" w:rsidR="004C6700" w:rsidRPr="00836EB5" w:rsidRDefault="004C6700" w:rsidP="00836EB5">
            <w:pPr>
              <w:spacing w:after="0" w:line="240" w:lineRule="auto"/>
              <w:jc w:val="right"/>
              <w:rPr>
                <w:rFonts w:eastAsia="Times New Roman" w:cs="Times New Roman"/>
                <w:b/>
                <w:bCs/>
                <w:i/>
                <w:iCs/>
                <w:color w:val="000000"/>
                <w:sz w:val="18"/>
                <w:szCs w:val="18"/>
                <w:lang w:eastAsia="sk-SK"/>
              </w:rPr>
            </w:pPr>
            <w:r w:rsidRPr="00836EB5">
              <w:rPr>
                <w:rFonts w:eastAsia="Times New Roman" w:cs="Times New Roman"/>
                <w:b/>
                <w:bCs/>
                <w:i/>
                <w:iCs/>
                <w:color w:val="000000"/>
                <w:sz w:val="18"/>
                <w:szCs w:val="18"/>
                <w:lang w:eastAsia="sk-SK"/>
              </w:rPr>
              <w:t>1 247 963</w:t>
            </w:r>
          </w:p>
        </w:tc>
        <w:tc>
          <w:tcPr>
            <w:tcW w:w="519" w:type="pct"/>
            <w:tcBorders>
              <w:top w:val="nil"/>
              <w:left w:val="nil"/>
              <w:bottom w:val="nil"/>
              <w:right w:val="nil"/>
            </w:tcBorders>
            <w:shd w:val="clear" w:color="auto" w:fill="auto"/>
            <w:noWrap/>
            <w:vAlign w:val="center"/>
            <w:hideMark/>
          </w:tcPr>
          <w:p w14:paraId="1CA68A4C"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1,02</w:t>
            </w:r>
          </w:p>
        </w:tc>
      </w:tr>
      <w:tr w:rsidR="004C6700" w:rsidRPr="00836EB5" w14:paraId="0682E0A2" w14:textId="77777777" w:rsidTr="00836EB5">
        <w:trPr>
          <w:trHeight w:val="280"/>
        </w:trPr>
        <w:tc>
          <w:tcPr>
            <w:tcW w:w="3934" w:type="pct"/>
            <w:tcBorders>
              <w:top w:val="nil"/>
              <w:left w:val="nil"/>
              <w:bottom w:val="nil"/>
              <w:right w:val="nil"/>
            </w:tcBorders>
            <w:shd w:val="clear" w:color="auto" w:fill="auto"/>
            <w:vAlign w:val="center"/>
            <w:hideMark/>
          </w:tcPr>
          <w:p w14:paraId="6E353A4B"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daňové príjmy</w:t>
            </w:r>
          </w:p>
        </w:tc>
        <w:tc>
          <w:tcPr>
            <w:tcW w:w="547" w:type="pct"/>
            <w:tcBorders>
              <w:top w:val="nil"/>
              <w:left w:val="nil"/>
              <w:bottom w:val="nil"/>
              <w:right w:val="nil"/>
            </w:tcBorders>
            <w:shd w:val="clear" w:color="auto" w:fill="auto"/>
            <w:noWrap/>
            <w:vAlign w:val="center"/>
            <w:hideMark/>
          </w:tcPr>
          <w:p w14:paraId="0B0A359A"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842 539</w:t>
            </w:r>
          </w:p>
        </w:tc>
        <w:tc>
          <w:tcPr>
            <w:tcW w:w="519" w:type="pct"/>
            <w:tcBorders>
              <w:top w:val="nil"/>
              <w:left w:val="nil"/>
              <w:bottom w:val="nil"/>
              <w:right w:val="nil"/>
            </w:tcBorders>
            <w:shd w:val="clear" w:color="auto" w:fill="auto"/>
            <w:noWrap/>
            <w:vAlign w:val="center"/>
            <w:hideMark/>
          </w:tcPr>
          <w:p w14:paraId="21B70D38"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0,69</w:t>
            </w:r>
          </w:p>
        </w:tc>
      </w:tr>
      <w:tr w:rsidR="004C6700" w:rsidRPr="00836EB5" w14:paraId="3CF6CB00" w14:textId="77777777" w:rsidTr="00836EB5">
        <w:trPr>
          <w:trHeight w:val="280"/>
        </w:trPr>
        <w:tc>
          <w:tcPr>
            <w:tcW w:w="3934" w:type="pct"/>
            <w:tcBorders>
              <w:top w:val="nil"/>
              <w:left w:val="nil"/>
              <w:bottom w:val="nil"/>
              <w:right w:val="nil"/>
            </w:tcBorders>
            <w:shd w:val="clear" w:color="auto" w:fill="auto"/>
            <w:vAlign w:val="center"/>
            <w:hideMark/>
          </w:tcPr>
          <w:p w14:paraId="65F05EAC"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z toho: </w:t>
            </w:r>
            <w:proofErr w:type="spellStart"/>
            <w:r w:rsidRPr="00836EB5">
              <w:rPr>
                <w:rFonts w:eastAsia="Times New Roman" w:cs="Times New Roman"/>
                <w:color w:val="000000"/>
                <w:sz w:val="18"/>
                <w:szCs w:val="18"/>
                <w:lang w:eastAsia="sk-SK"/>
              </w:rPr>
              <w:t>imputácia</w:t>
            </w:r>
            <w:proofErr w:type="spellEnd"/>
            <w:r w:rsidRPr="00836EB5">
              <w:rPr>
                <w:rFonts w:eastAsia="Times New Roman" w:cs="Times New Roman"/>
                <w:color w:val="000000"/>
                <w:sz w:val="18"/>
                <w:szCs w:val="18"/>
                <w:lang w:eastAsia="sk-SK"/>
              </w:rPr>
              <w:t xml:space="preserve"> daňových príjmov za zelenú energiu</w:t>
            </w:r>
          </w:p>
        </w:tc>
        <w:tc>
          <w:tcPr>
            <w:tcW w:w="547" w:type="pct"/>
            <w:tcBorders>
              <w:top w:val="nil"/>
              <w:left w:val="nil"/>
              <w:bottom w:val="nil"/>
              <w:right w:val="nil"/>
            </w:tcBorders>
            <w:shd w:val="clear" w:color="auto" w:fill="auto"/>
            <w:noWrap/>
            <w:vAlign w:val="center"/>
            <w:hideMark/>
          </w:tcPr>
          <w:p w14:paraId="516CD2B0"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162 308</w:t>
            </w:r>
          </w:p>
        </w:tc>
        <w:tc>
          <w:tcPr>
            <w:tcW w:w="519" w:type="pct"/>
            <w:tcBorders>
              <w:top w:val="nil"/>
              <w:left w:val="nil"/>
              <w:bottom w:val="nil"/>
              <w:right w:val="nil"/>
            </w:tcBorders>
            <w:shd w:val="clear" w:color="auto" w:fill="auto"/>
            <w:noWrap/>
            <w:vAlign w:val="center"/>
            <w:hideMark/>
          </w:tcPr>
          <w:p w14:paraId="56DB7A7C"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0,13</w:t>
            </w:r>
          </w:p>
        </w:tc>
      </w:tr>
      <w:tr w:rsidR="004C6700" w:rsidRPr="00836EB5" w14:paraId="0214AFD7" w14:textId="77777777" w:rsidTr="00836EB5">
        <w:trPr>
          <w:trHeight w:val="280"/>
        </w:trPr>
        <w:tc>
          <w:tcPr>
            <w:tcW w:w="3934" w:type="pct"/>
            <w:tcBorders>
              <w:top w:val="nil"/>
              <w:left w:val="nil"/>
              <w:bottom w:val="nil"/>
              <w:right w:val="nil"/>
            </w:tcBorders>
            <w:shd w:val="clear" w:color="auto" w:fill="auto"/>
            <w:vAlign w:val="center"/>
            <w:hideMark/>
          </w:tcPr>
          <w:p w14:paraId="62D6A4AD"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odvodové príjmy</w:t>
            </w:r>
          </w:p>
        </w:tc>
        <w:tc>
          <w:tcPr>
            <w:tcW w:w="547" w:type="pct"/>
            <w:tcBorders>
              <w:top w:val="nil"/>
              <w:left w:val="nil"/>
              <w:bottom w:val="nil"/>
              <w:right w:val="nil"/>
            </w:tcBorders>
            <w:shd w:val="clear" w:color="auto" w:fill="auto"/>
            <w:noWrap/>
            <w:vAlign w:val="center"/>
            <w:hideMark/>
          </w:tcPr>
          <w:p w14:paraId="5F786D58" w14:textId="77777777" w:rsidR="004C6700" w:rsidRPr="00836EB5" w:rsidRDefault="004C6700" w:rsidP="00836EB5">
            <w:pPr>
              <w:spacing w:after="0" w:line="240" w:lineRule="auto"/>
              <w:jc w:val="right"/>
              <w:rPr>
                <w:rFonts w:eastAsia="Times New Roman" w:cs="Times New Roman"/>
                <w:sz w:val="18"/>
                <w:szCs w:val="18"/>
                <w:lang w:eastAsia="sk-SK"/>
              </w:rPr>
            </w:pPr>
            <w:r w:rsidRPr="00836EB5">
              <w:rPr>
                <w:rFonts w:eastAsia="Times New Roman" w:cs="Times New Roman"/>
                <w:sz w:val="18"/>
                <w:szCs w:val="18"/>
                <w:lang w:eastAsia="sk-SK"/>
              </w:rPr>
              <w:t>405 424</w:t>
            </w:r>
          </w:p>
        </w:tc>
        <w:tc>
          <w:tcPr>
            <w:tcW w:w="519" w:type="pct"/>
            <w:tcBorders>
              <w:top w:val="nil"/>
              <w:left w:val="nil"/>
              <w:bottom w:val="nil"/>
              <w:right w:val="nil"/>
            </w:tcBorders>
            <w:shd w:val="clear" w:color="auto" w:fill="auto"/>
            <w:noWrap/>
            <w:vAlign w:val="center"/>
            <w:hideMark/>
          </w:tcPr>
          <w:p w14:paraId="2A07A369"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0,33</w:t>
            </w:r>
          </w:p>
        </w:tc>
      </w:tr>
      <w:tr w:rsidR="004C6700" w:rsidRPr="00836EB5" w14:paraId="6057220F" w14:textId="77777777" w:rsidTr="00836EB5">
        <w:trPr>
          <w:trHeight w:val="280"/>
        </w:trPr>
        <w:tc>
          <w:tcPr>
            <w:tcW w:w="3934" w:type="pct"/>
            <w:tcBorders>
              <w:top w:val="nil"/>
              <w:left w:val="nil"/>
              <w:bottom w:val="nil"/>
              <w:right w:val="nil"/>
            </w:tcBorders>
            <w:shd w:val="clear" w:color="auto" w:fill="auto"/>
            <w:vAlign w:val="center"/>
            <w:hideMark/>
          </w:tcPr>
          <w:p w14:paraId="6EAA8386" w14:textId="77777777" w:rsidR="004C6700" w:rsidRPr="00836EB5" w:rsidRDefault="004C6700" w:rsidP="00836EB5">
            <w:pPr>
              <w:spacing w:after="0" w:line="240" w:lineRule="auto"/>
              <w:jc w:val="left"/>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2. Vplyv iných ako daňových príjmov štátneho rozpočtu</w:t>
            </w:r>
          </w:p>
        </w:tc>
        <w:tc>
          <w:tcPr>
            <w:tcW w:w="547" w:type="pct"/>
            <w:tcBorders>
              <w:top w:val="nil"/>
              <w:left w:val="nil"/>
              <w:bottom w:val="nil"/>
              <w:right w:val="nil"/>
            </w:tcBorders>
            <w:shd w:val="clear" w:color="auto" w:fill="auto"/>
            <w:noWrap/>
            <w:vAlign w:val="center"/>
            <w:hideMark/>
          </w:tcPr>
          <w:p w14:paraId="1E84A345" w14:textId="77777777" w:rsidR="004C6700" w:rsidRPr="00836EB5" w:rsidRDefault="004C6700" w:rsidP="00836EB5">
            <w:pPr>
              <w:spacing w:after="0" w:line="240" w:lineRule="auto"/>
              <w:jc w:val="right"/>
              <w:rPr>
                <w:rFonts w:eastAsia="Times New Roman" w:cs="Times New Roman"/>
                <w:b/>
                <w:bCs/>
                <w:i/>
                <w:iCs/>
                <w:color w:val="000000"/>
                <w:sz w:val="18"/>
                <w:szCs w:val="18"/>
                <w:lang w:eastAsia="sk-SK"/>
              </w:rPr>
            </w:pPr>
            <w:r w:rsidRPr="00836EB5">
              <w:rPr>
                <w:rFonts w:eastAsia="Times New Roman" w:cs="Times New Roman"/>
                <w:b/>
                <w:bCs/>
                <w:i/>
                <w:iCs/>
                <w:color w:val="000000"/>
                <w:sz w:val="18"/>
                <w:szCs w:val="18"/>
                <w:lang w:eastAsia="sk-SK"/>
              </w:rPr>
              <w:t>-460 641</w:t>
            </w:r>
          </w:p>
        </w:tc>
        <w:tc>
          <w:tcPr>
            <w:tcW w:w="519" w:type="pct"/>
            <w:tcBorders>
              <w:top w:val="nil"/>
              <w:left w:val="nil"/>
              <w:bottom w:val="nil"/>
              <w:right w:val="nil"/>
            </w:tcBorders>
            <w:shd w:val="clear" w:color="auto" w:fill="auto"/>
            <w:noWrap/>
            <w:vAlign w:val="center"/>
            <w:hideMark/>
          </w:tcPr>
          <w:p w14:paraId="617854B9"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-0,38</w:t>
            </w:r>
          </w:p>
        </w:tc>
      </w:tr>
      <w:tr w:rsidR="004C6700" w:rsidRPr="00836EB5" w14:paraId="278F9EBD" w14:textId="77777777" w:rsidTr="00836EB5">
        <w:trPr>
          <w:trHeight w:val="520"/>
        </w:trPr>
        <w:tc>
          <w:tcPr>
            <w:tcW w:w="3934" w:type="pct"/>
            <w:tcBorders>
              <w:top w:val="nil"/>
              <w:left w:val="nil"/>
              <w:bottom w:val="nil"/>
              <w:right w:val="nil"/>
            </w:tcBorders>
            <w:shd w:val="clear" w:color="auto" w:fill="auto"/>
            <w:vAlign w:val="center"/>
            <w:hideMark/>
          </w:tcPr>
          <w:p w14:paraId="5F8CBF44" w14:textId="77777777" w:rsidR="00F6056C"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príjmy z dividend a z odvodov zo zisku (vrátane časového rozlíšenia a po vylúčení </w:t>
            </w:r>
            <w:r w:rsidR="00F6056C">
              <w:rPr>
                <w:rFonts w:eastAsia="Times New Roman" w:cs="Times New Roman"/>
                <w:color w:val="000000"/>
                <w:sz w:val="18"/>
                <w:szCs w:val="18"/>
                <w:lang w:eastAsia="sk-SK"/>
              </w:rPr>
              <w:t xml:space="preserve"> </w:t>
            </w:r>
          </w:p>
          <w:p w14:paraId="09C28606" w14:textId="315A2E00" w:rsidR="004C6700" w:rsidRPr="00836EB5" w:rsidRDefault="00F6056C" w:rsidP="00836EB5">
            <w:pPr>
              <w:spacing w:after="0" w:line="240" w:lineRule="auto"/>
              <w:jc w:val="left"/>
              <w:rPr>
                <w:rFonts w:eastAsia="Times New Roman" w:cs="Times New Roman"/>
                <w:color w:val="000000"/>
                <w:sz w:val="18"/>
                <w:szCs w:val="18"/>
                <w:lang w:eastAsia="sk-SK"/>
              </w:rPr>
            </w:pPr>
            <w:r>
              <w:rPr>
                <w:rFonts w:eastAsia="Times New Roman" w:cs="Times New Roman"/>
                <w:color w:val="000000"/>
                <w:sz w:val="18"/>
                <w:szCs w:val="18"/>
                <w:lang w:eastAsia="sk-SK"/>
              </w:rPr>
              <w:t xml:space="preserve">       </w:t>
            </w:r>
            <w:proofErr w:type="spellStart"/>
            <w:r w:rsidR="004C6700" w:rsidRPr="00836EB5">
              <w:rPr>
                <w:rFonts w:eastAsia="Times New Roman" w:cs="Times New Roman"/>
                <w:color w:val="000000"/>
                <w:sz w:val="18"/>
                <w:szCs w:val="18"/>
                <w:lang w:eastAsia="sk-SK"/>
              </w:rPr>
              <w:t>superdividend</w:t>
            </w:r>
            <w:proofErr w:type="spellEnd"/>
            <w:r w:rsidR="004C6700" w:rsidRPr="00836EB5">
              <w:rPr>
                <w:rFonts w:eastAsia="Times New Roman" w:cs="Times New Roman"/>
                <w:color w:val="000000"/>
                <w:sz w:val="18"/>
                <w:szCs w:val="18"/>
                <w:lang w:eastAsia="sk-SK"/>
              </w:rPr>
              <w:t>)</w:t>
            </w:r>
          </w:p>
        </w:tc>
        <w:tc>
          <w:tcPr>
            <w:tcW w:w="547" w:type="pct"/>
            <w:tcBorders>
              <w:top w:val="nil"/>
              <w:left w:val="nil"/>
              <w:bottom w:val="nil"/>
              <w:right w:val="nil"/>
            </w:tcBorders>
            <w:shd w:val="clear" w:color="auto" w:fill="auto"/>
            <w:noWrap/>
            <w:vAlign w:val="center"/>
            <w:hideMark/>
          </w:tcPr>
          <w:p w14:paraId="069C4F3A"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-109 811</w:t>
            </w:r>
          </w:p>
        </w:tc>
        <w:tc>
          <w:tcPr>
            <w:tcW w:w="519" w:type="pct"/>
            <w:tcBorders>
              <w:top w:val="nil"/>
              <w:left w:val="nil"/>
              <w:bottom w:val="nil"/>
              <w:right w:val="nil"/>
            </w:tcBorders>
            <w:shd w:val="clear" w:color="auto" w:fill="auto"/>
            <w:noWrap/>
            <w:vAlign w:val="center"/>
            <w:hideMark/>
          </w:tcPr>
          <w:p w14:paraId="35981CA4"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-0,09</w:t>
            </w:r>
          </w:p>
        </w:tc>
      </w:tr>
      <w:tr w:rsidR="004C6700" w:rsidRPr="00836EB5" w14:paraId="74C65740" w14:textId="77777777" w:rsidTr="00836EB5">
        <w:trPr>
          <w:trHeight w:val="280"/>
        </w:trPr>
        <w:tc>
          <w:tcPr>
            <w:tcW w:w="3934" w:type="pct"/>
            <w:tcBorders>
              <w:top w:val="nil"/>
              <w:left w:val="nil"/>
              <w:bottom w:val="nil"/>
              <w:right w:val="nil"/>
            </w:tcBorders>
            <w:shd w:val="clear" w:color="auto" w:fill="auto"/>
            <w:vAlign w:val="center"/>
            <w:hideMark/>
          </w:tcPr>
          <w:p w14:paraId="4BC9865C"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zmena stavu pohľadávok po vylúčení preddavkov na vojen. techniku</w:t>
            </w:r>
          </w:p>
        </w:tc>
        <w:tc>
          <w:tcPr>
            <w:tcW w:w="547" w:type="pct"/>
            <w:tcBorders>
              <w:top w:val="nil"/>
              <w:left w:val="nil"/>
              <w:bottom w:val="nil"/>
              <w:right w:val="nil"/>
            </w:tcBorders>
            <w:shd w:val="clear" w:color="auto" w:fill="auto"/>
            <w:noWrap/>
            <w:vAlign w:val="center"/>
            <w:hideMark/>
          </w:tcPr>
          <w:p w14:paraId="0D345F20"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176 741</w:t>
            </w:r>
          </w:p>
        </w:tc>
        <w:tc>
          <w:tcPr>
            <w:tcW w:w="519" w:type="pct"/>
            <w:tcBorders>
              <w:top w:val="nil"/>
              <w:left w:val="nil"/>
              <w:bottom w:val="nil"/>
              <w:right w:val="nil"/>
            </w:tcBorders>
            <w:shd w:val="clear" w:color="auto" w:fill="auto"/>
            <w:noWrap/>
            <w:vAlign w:val="center"/>
            <w:hideMark/>
          </w:tcPr>
          <w:p w14:paraId="2D321116"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0,14</w:t>
            </w:r>
          </w:p>
        </w:tc>
      </w:tr>
      <w:tr w:rsidR="004C6700" w:rsidRPr="00836EB5" w14:paraId="740C8E1F" w14:textId="77777777" w:rsidTr="00836EB5">
        <w:trPr>
          <w:trHeight w:val="280"/>
        </w:trPr>
        <w:tc>
          <w:tcPr>
            <w:tcW w:w="3934" w:type="pct"/>
            <w:tcBorders>
              <w:top w:val="nil"/>
              <w:left w:val="nil"/>
              <w:bottom w:val="nil"/>
              <w:right w:val="nil"/>
            </w:tcBorders>
            <w:shd w:val="clear" w:color="auto" w:fill="auto"/>
            <w:vAlign w:val="center"/>
            <w:hideMark/>
          </w:tcPr>
          <w:p w14:paraId="780E1F6B"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EÚ príjmy po vylúčení EÚ tokov mimo sektor</w:t>
            </w:r>
          </w:p>
        </w:tc>
        <w:tc>
          <w:tcPr>
            <w:tcW w:w="547" w:type="pct"/>
            <w:tcBorders>
              <w:top w:val="nil"/>
              <w:left w:val="nil"/>
              <w:bottom w:val="nil"/>
              <w:right w:val="nil"/>
            </w:tcBorders>
            <w:shd w:val="clear" w:color="auto" w:fill="auto"/>
            <w:noWrap/>
            <w:vAlign w:val="center"/>
            <w:hideMark/>
          </w:tcPr>
          <w:p w14:paraId="50D83EBC"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1 360 603</w:t>
            </w:r>
          </w:p>
        </w:tc>
        <w:tc>
          <w:tcPr>
            <w:tcW w:w="519" w:type="pct"/>
            <w:tcBorders>
              <w:top w:val="nil"/>
              <w:left w:val="nil"/>
              <w:bottom w:val="nil"/>
              <w:right w:val="nil"/>
            </w:tcBorders>
            <w:shd w:val="clear" w:color="auto" w:fill="auto"/>
            <w:noWrap/>
            <w:vAlign w:val="center"/>
            <w:hideMark/>
          </w:tcPr>
          <w:p w14:paraId="12EB9DAC"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1,11</w:t>
            </w:r>
          </w:p>
        </w:tc>
      </w:tr>
      <w:tr w:rsidR="004C6700" w:rsidRPr="00836EB5" w14:paraId="1ADFF768" w14:textId="77777777" w:rsidTr="00836EB5">
        <w:trPr>
          <w:trHeight w:val="280"/>
        </w:trPr>
        <w:tc>
          <w:tcPr>
            <w:tcW w:w="3934" w:type="pct"/>
            <w:tcBorders>
              <w:top w:val="nil"/>
              <w:left w:val="nil"/>
              <w:bottom w:val="nil"/>
              <w:right w:val="nil"/>
            </w:tcBorders>
            <w:shd w:val="clear" w:color="auto" w:fill="auto"/>
            <w:vAlign w:val="center"/>
            <w:hideMark/>
          </w:tcPr>
          <w:p w14:paraId="20B535C6"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príjmy z POO</w:t>
            </w:r>
          </w:p>
        </w:tc>
        <w:tc>
          <w:tcPr>
            <w:tcW w:w="547" w:type="pct"/>
            <w:tcBorders>
              <w:top w:val="nil"/>
              <w:left w:val="nil"/>
              <w:bottom w:val="nil"/>
              <w:right w:val="nil"/>
            </w:tcBorders>
            <w:shd w:val="clear" w:color="auto" w:fill="auto"/>
            <w:noWrap/>
            <w:vAlign w:val="center"/>
            <w:hideMark/>
          </w:tcPr>
          <w:p w14:paraId="62DC9FCE"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-1 637 163</w:t>
            </w:r>
          </w:p>
        </w:tc>
        <w:tc>
          <w:tcPr>
            <w:tcW w:w="519" w:type="pct"/>
            <w:tcBorders>
              <w:top w:val="nil"/>
              <w:left w:val="nil"/>
              <w:bottom w:val="nil"/>
              <w:right w:val="nil"/>
            </w:tcBorders>
            <w:shd w:val="clear" w:color="auto" w:fill="auto"/>
            <w:noWrap/>
            <w:vAlign w:val="center"/>
            <w:hideMark/>
          </w:tcPr>
          <w:p w14:paraId="44EB887D"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-1,33</w:t>
            </w:r>
          </w:p>
        </w:tc>
      </w:tr>
      <w:tr w:rsidR="004C6700" w:rsidRPr="00836EB5" w14:paraId="7315312A" w14:textId="77777777" w:rsidTr="00836EB5">
        <w:trPr>
          <w:trHeight w:val="280"/>
        </w:trPr>
        <w:tc>
          <w:tcPr>
            <w:tcW w:w="3934" w:type="pct"/>
            <w:tcBorders>
              <w:top w:val="nil"/>
              <w:left w:val="nil"/>
              <w:bottom w:val="nil"/>
              <w:right w:val="nil"/>
            </w:tcBorders>
            <w:shd w:val="clear" w:color="auto" w:fill="auto"/>
            <w:vAlign w:val="center"/>
            <w:hideMark/>
          </w:tcPr>
          <w:p w14:paraId="1D231C03"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UMTS Licencie</w:t>
            </w:r>
          </w:p>
        </w:tc>
        <w:tc>
          <w:tcPr>
            <w:tcW w:w="547" w:type="pct"/>
            <w:tcBorders>
              <w:top w:val="nil"/>
              <w:left w:val="nil"/>
              <w:bottom w:val="nil"/>
              <w:right w:val="nil"/>
            </w:tcBorders>
            <w:shd w:val="clear" w:color="auto" w:fill="auto"/>
            <w:noWrap/>
            <w:vAlign w:val="center"/>
            <w:hideMark/>
          </w:tcPr>
          <w:p w14:paraId="66F660A6"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-7 542</w:t>
            </w:r>
          </w:p>
        </w:tc>
        <w:tc>
          <w:tcPr>
            <w:tcW w:w="519" w:type="pct"/>
            <w:tcBorders>
              <w:top w:val="nil"/>
              <w:left w:val="nil"/>
              <w:bottom w:val="nil"/>
              <w:right w:val="nil"/>
            </w:tcBorders>
            <w:shd w:val="clear" w:color="auto" w:fill="auto"/>
            <w:noWrap/>
            <w:vAlign w:val="center"/>
            <w:hideMark/>
          </w:tcPr>
          <w:p w14:paraId="14E6BE0A"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-0,01</w:t>
            </w:r>
          </w:p>
        </w:tc>
      </w:tr>
      <w:tr w:rsidR="004C6700" w:rsidRPr="00836EB5" w14:paraId="31890572" w14:textId="77777777" w:rsidTr="00836EB5">
        <w:trPr>
          <w:trHeight w:val="280"/>
        </w:trPr>
        <w:tc>
          <w:tcPr>
            <w:tcW w:w="3934" w:type="pct"/>
            <w:tcBorders>
              <w:top w:val="nil"/>
              <w:left w:val="nil"/>
              <w:bottom w:val="nil"/>
              <w:right w:val="nil"/>
            </w:tcBorders>
            <w:shd w:val="clear" w:color="auto" w:fill="auto"/>
            <w:vAlign w:val="center"/>
            <w:hideMark/>
          </w:tcPr>
          <w:p w14:paraId="0F0C068E"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iné nedaňové príjmy (bez EÚ zdrojov, spolufinancovania a POO)</w:t>
            </w:r>
          </w:p>
        </w:tc>
        <w:tc>
          <w:tcPr>
            <w:tcW w:w="547" w:type="pct"/>
            <w:tcBorders>
              <w:top w:val="nil"/>
              <w:left w:val="nil"/>
              <w:bottom w:val="nil"/>
              <w:right w:val="nil"/>
            </w:tcBorders>
            <w:shd w:val="clear" w:color="auto" w:fill="auto"/>
            <w:noWrap/>
            <w:vAlign w:val="center"/>
            <w:hideMark/>
          </w:tcPr>
          <w:p w14:paraId="5B643772"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-600 681</w:t>
            </w:r>
          </w:p>
        </w:tc>
        <w:tc>
          <w:tcPr>
            <w:tcW w:w="519" w:type="pct"/>
            <w:tcBorders>
              <w:top w:val="nil"/>
              <w:left w:val="nil"/>
              <w:bottom w:val="nil"/>
              <w:right w:val="nil"/>
            </w:tcBorders>
            <w:shd w:val="clear" w:color="auto" w:fill="auto"/>
            <w:noWrap/>
            <w:vAlign w:val="center"/>
            <w:hideMark/>
          </w:tcPr>
          <w:p w14:paraId="2EB003A8"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-0,49</w:t>
            </w:r>
          </w:p>
        </w:tc>
      </w:tr>
      <w:tr w:rsidR="004C6700" w:rsidRPr="00836EB5" w14:paraId="5EDB0855" w14:textId="77777777" w:rsidTr="00836EB5">
        <w:trPr>
          <w:trHeight w:val="280"/>
        </w:trPr>
        <w:tc>
          <w:tcPr>
            <w:tcW w:w="3934" w:type="pct"/>
            <w:tcBorders>
              <w:top w:val="nil"/>
              <w:left w:val="nil"/>
              <w:bottom w:val="nil"/>
              <w:right w:val="nil"/>
            </w:tcBorders>
            <w:shd w:val="clear" w:color="auto" w:fill="auto"/>
            <w:vAlign w:val="center"/>
            <w:hideMark/>
          </w:tcPr>
          <w:p w14:paraId="70A2AFD7"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ostatné</w:t>
            </w:r>
          </w:p>
        </w:tc>
        <w:tc>
          <w:tcPr>
            <w:tcW w:w="547" w:type="pct"/>
            <w:tcBorders>
              <w:top w:val="nil"/>
              <w:left w:val="nil"/>
              <w:bottom w:val="nil"/>
              <w:right w:val="nil"/>
            </w:tcBorders>
            <w:shd w:val="clear" w:color="auto" w:fill="auto"/>
            <w:noWrap/>
            <w:vAlign w:val="center"/>
            <w:hideMark/>
          </w:tcPr>
          <w:p w14:paraId="2C40CB9C"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357 212</w:t>
            </w:r>
          </w:p>
        </w:tc>
        <w:tc>
          <w:tcPr>
            <w:tcW w:w="519" w:type="pct"/>
            <w:tcBorders>
              <w:top w:val="nil"/>
              <w:left w:val="nil"/>
              <w:bottom w:val="nil"/>
              <w:right w:val="nil"/>
            </w:tcBorders>
            <w:shd w:val="clear" w:color="auto" w:fill="auto"/>
            <w:noWrap/>
            <w:vAlign w:val="center"/>
            <w:hideMark/>
          </w:tcPr>
          <w:p w14:paraId="4CCFE6EE"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0,29</w:t>
            </w:r>
          </w:p>
        </w:tc>
      </w:tr>
      <w:tr w:rsidR="004C6700" w:rsidRPr="00836EB5" w14:paraId="6C1B567B" w14:textId="77777777" w:rsidTr="00836EB5">
        <w:trPr>
          <w:trHeight w:val="280"/>
        </w:trPr>
        <w:tc>
          <w:tcPr>
            <w:tcW w:w="3934" w:type="pct"/>
            <w:tcBorders>
              <w:top w:val="nil"/>
              <w:left w:val="nil"/>
              <w:bottom w:val="nil"/>
              <w:right w:val="nil"/>
            </w:tcBorders>
            <w:shd w:val="clear" w:color="auto" w:fill="auto"/>
            <w:vAlign w:val="center"/>
            <w:hideMark/>
          </w:tcPr>
          <w:p w14:paraId="13DB96D9" w14:textId="77777777" w:rsidR="004C6700" w:rsidRPr="00836EB5" w:rsidRDefault="004C6700" w:rsidP="00836EB5">
            <w:pPr>
              <w:spacing w:after="0" w:line="240" w:lineRule="auto"/>
              <w:jc w:val="left"/>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3. Vplyv vybraných výdavkov štátneho rozpočtu</w:t>
            </w:r>
          </w:p>
        </w:tc>
        <w:tc>
          <w:tcPr>
            <w:tcW w:w="547" w:type="pct"/>
            <w:tcBorders>
              <w:top w:val="nil"/>
              <w:left w:val="nil"/>
              <w:bottom w:val="nil"/>
              <w:right w:val="nil"/>
            </w:tcBorders>
            <w:shd w:val="clear" w:color="auto" w:fill="auto"/>
            <w:noWrap/>
            <w:vAlign w:val="center"/>
            <w:hideMark/>
          </w:tcPr>
          <w:p w14:paraId="6A36C0DF" w14:textId="77777777" w:rsidR="004C6700" w:rsidRPr="00836EB5" w:rsidRDefault="004C6700" w:rsidP="00836EB5">
            <w:pPr>
              <w:spacing w:after="0" w:line="240" w:lineRule="auto"/>
              <w:jc w:val="right"/>
              <w:rPr>
                <w:rFonts w:eastAsia="Times New Roman" w:cs="Times New Roman"/>
                <w:b/>
                <w:bCs/>
                <w:i/>
                <w:iCs/>
                <w:color w:val="000000"/>
                <w:sz w:val="18"/>
                <w:szCs w:val="18"/>
                <w:lang w:eastAsia="sk-SK"/>
              </w:rPr>
            </w:pPr>
            <w:r w:rsidRPr="00836EB5">
              <w:rPr>
                <w:rFonts w:eastAsia="Times New Roman" w:cs="Times New Roman"/>
                <w:b/>
                <w:bCs/>
                <w:i/>
                <w:iCs/>
                <w:color w:val="000000"/>
                <w:sz w:val="18"/>
                <w:szCs w:val="18"/>
                <w:lang w:eastAsia="sk-SK"/>
              </w:rPr>
              <w:t>2 282 238</w:t>
            </w:r>
          </w:p>
        </w:tc>
        <w:tc>
          <w:tcPr>
            <w:tcW w:w="519" w:type="pct"/>
            <w:tcBorders>
              <w:top w:val="nil"/>
              <w:left w:val="nil"/>
              <w:bottom w:val="nil"/>
              <w:right w:val="nil"/>
            </w:tcBorders>
            <w:shd w:val="clear" w:color="auto" w:fill="auto"/>
            <w:noWrap/>
            <w:vAlign w:val="center"/>
            <w:hideMark/>
          </w:tcPr>
          <w:p w14:paraId="51921423"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1,86</w:t>
            </w:r>
          </w:p>
        </w:tc>
      </w:tr>
      <w:tr w:rsidR="004C6700" w:rsidRPr="00836EB5" w14:paraId="630D2580" w14:textId="77777777" w:rsidTr="00836EB5">
        <w:trPr>
          <w:trHeight w:val="280"/>
        </w:trPr>
        <w:tc>
          <w:tcPr>
            <w:tcW w:w="3934" w:type="pct"/>
            <w:tcBorders>
              <w:top w:val="nil"/>
              <w:left w:val="nil"/>
              <w:bottom w:val="nil"/>
              <w:right w:val="nil"/>
            </w:tcBorders>
            <w:shd w:val="clear" w:color="auto" w:fill="auto"/>
            <w:vAlign w:val="center"/>
            <w:hideMark/>
          </w:tcPr>
          <w:p w14:paraId="6FD1AFBB"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EÚ výdavky po vylúčení EÚ tokov mimo sektor</w:t>
            </w:r>
          </w:p>
        </w:tc>
        <w:tc>
          <w:tcPr>
            <w:tcW w:w="547" w:type="pct"/>
            <w:tcBorders>
              <w:top w:val="nil"/>
              <w:left w:val="nil"/>
              <w:bottom w:val="nil"/>
              <w:right w:val="nil"/>
            </w:tcBorders>
            <w:shd w:val="clear" w:color="auto" w:fill="auto"/>
            <w:noWrap/>
            <w:vAlign w:val="center"/>
            <w:hideMark/>
          </w:tcPr>
          <w:p w14:paraId="5A4F8D4C"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-1 360 603</w:t>
            </w:r>
          </w:p>
        </w:tc>
        <w:tc>
          <w:tcPr>
            <w:tcW w:w="519" w:type="pct"/>
            <w:tcBorders>
              <w:top w:val="nil"/>
              <w:left w:val="nil"/>
              <w:bottom w:val="nil"/>
              <w:right w:val="nil"/>
            </w:tcBorders>
            <w:shd w:val="clear" w:color="auto" w:fill="auto"/>
            <w:noWrap/>
            <w:vAlign w:val="center"/>
            <w:hideMark/>
          </w:tcPr>
          <w:p w14:paraId="38EC79E5"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-1,11</w:t>
            </w:r>
          </w:p>
        </w:tc>
      </w:tr>
      <w:tr w:rsidR="004C6700" w:rsidRPr="00836EB5" w14:paraId="6ECC172A" w14:textId="77777777" w:rsidTr="00836EB5">
        <w:trPr>
          <w:trHeight w:val="280"/>
        </w:trPr>
        <w:tc>
          <w:tcPr>
            <w:tcW w:w="3934" w:type="pct"/>
            <w:tcBorders>
              <w:top w:val="nil"/>
              <w:left w:val="nil"/>
              <w:bottom w:val="nil"/>
              <w:right w:val="nil"/>
            </w:tcBorders>
            <w:shd w:val="clear" w:color="auto" w:fill="auto"/>
            <w:vAlign w:val="center"/>
            <w:hideMark/>
          </w:tcPr>
          <w:p w14:paraId="0A647B24"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výdavky POO</w:t>
            </w:r>
          </w:p>
        </w:tc>
        <w:tc>
          <w:tcPr>
            <w:tcW w:w="547" w:type="pct"/>
            <w:tcBorders>
              <w:top w:val="nil"/>
              <w:left w:val="nil"/>
              <w:bottom w:val="nil"/>
              <w:right w:val="nil"/>
            </w:tcBorders>
            <w:shd w:val="clear" w:color="auto" w:fill="auto"/>
            <w:noWrap/>
            <w:vAlign w:val="center"/>
            <w:hideMark/>
          </w:tcPr>
          <w:p w14:paraId="4BD4CD2C"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1 637 163</w:t>
            </w:r>
          </w:p>
        </w:tc>
        <w:tc>
          <w:tcPr>
            <w:tcW w:w="519" w:type="pct"/>
            <w:tcBorders>
              <w:top w:val="nil"/>
              <w:left w:val="nil"/>
              <w:bottom w:val="nil"/>
              <w:right w:val="nil"/>
            </w:tcBorders>
            <w:shd w:val="clear" w:color="auto" w:fill="auto"/>
            <w:noWrap/>
            <w:vAlign w:val="center"/>
            <w:hideMark/>
          </w:tcPr>
          <w:p w14:paraId="3DCFFA8F"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1,33</w:t>
            </w:r>
          </w:p>
        </w:tc>
      </w:tr>
      <w:tr w:rsidR="004C6700" w:rsidRPr="00836EB5" w14:paraId="47DE9A96" w14:textId="77777777" w:rsidTr="00836EB5">
        <w:trPr>
          <w:trHeight w:val="280"/>
        </w:trPr>
        <w:tc>
          <w:tcPr>
            <w:tcW w:w="3934" w:type="pct"/>
            <w:tcBorders>
              <w:top w:val="nil"/>
              <w:left w:val="nil"/>
              <w:bottom w:val="nil"/>
              <w:right w:val="nil"/>
            </w:tcBorders>
            <w:shd w:val="clear" w:color="auto" w:fill="auto"/>
            <w:vAlign w:val="center"/>
            <w:hideMark/>
          </w:tcPr>
          <w:p w14:paraId="26A19095"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spolufinancovanie k EÚ zdrojom</w:t>
            </w:r>
          </w:p>
        </w:tc>
        <w:tc>
          <w:tcPr>
            <w:tcW w:w="547" w:type="pct"/>
            <w:tcBorders>
              <w:top w:val="nil"/>
              <w:left w:val="nil"/>
              <w:bottom w:val="nil"/>
              <w:right w:val="nil"/>
            </w:tcBorders>
            <w:shd w:val="clear" w:color="auto" w:fill="auto"/>
            <w:noWrap/>
            <w:vAlign w:val="center"/>
            <w:hideMark/>
          </w:tcPr>
          <w:p w14:paraId="1F347461"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239 177</w:t>
            </w:r>
          </w:p>
        </w:tc>
        <w:tc>
          <w:tcPr>
            <w:tcW w:w="519" w:type="pct"/>
            <w:tcBorders>
              <w:top w:val="nil"/>
              <w:left w:val="nil"/>
              <w:bottom w:val="nil"/>
              <w:right w:val="nil"/>
            </w:tcBorders>
            <w:shd w:val="clear" w:color="auto" w:fill="auto"/>
            <w:noWrap/>
            <w:vAlign w:val="center"/>
            <w:hideMark/>
          </w:tcPr>
          <w:p w14:paraId="3A617552"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0,19</w:t>
            </w:r>
          </w:p>
        </w:tc>
      </w:tr>
      <w:tr w:rsidR="004C6700" w:rsidRPr="00836EB5" w14:paraId="65C4C1B1" w14:textId="77777777" w:rsidTr="00836EB5">
        <w:trPr>
          <w:trHeight w:val="280"/>
        </w:trPr>
        <w:tc>
          <w:tcPr>
            <w:tcW w:w="3934" w:type="pct"/>
            <w:tcBorders>
              <w:top w:val="nil"/>
              <w:left w:val="nil"/>
              <w:bottom w:val="nil"/>
              <w:right w:val="nil"/>
            </w:tcBorders>
            <w:shd w:val="clear" w:color="auto" w:fill="auto"/>
            <w:vAlign w:val="center"/>
            <w:hideMark/>
          </w:tcPr>
          <w:p w14:paraId="41DD577D"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odvod do rozpočtu EÚ</w:t>
            </w:r>
          </w:p>
        </w:tc>
        <w:tc>
          <w:tcPr>
            <w:tcW w:w="547" w:type="pct"/>
            <w:tcBorders>
              <w:top w:val="nil"/>
              <w:left w:val="nil"/>
              <w:bottom w:val="nil"/>
              <w:right w:val="nil"/>
            </w:tcBorders>
            <w:shd w:val="clear" w:color="auto" w:fill="auto"/>
            <w:noWrap/>
            <w:vAlign w:val="center"/>
            <w:hideMark/>
          </w:tcPr>
          <w:p w14:paraId="63723EEF"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84 355</w:t>
            </w:r>
          </w:p>
        </w:tc>
        <w:tc>
          <w:tcPr>
            <w:tcW w:w="519" w:type="pct"/>
            <w:tcBorders>
              <w:top w:val="nil"/>
              <w:left w:val="nil"/>
              <w:bottom w:val="nil"/>
              <w:right w:val="nil"/>
            </w:tcBorders>
            <w:shd w:val="clear" w:color="auto" w:fill="auto"/>
            <w:noWrap/>
            <w:vAlign w:val="center"/>
            <w:hideMark/>
          </w:tcPr>
          <w:p w14:paraId="30E53F93"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0,07</w:t>
            </w:r>
          </w:p>
        </w:tc>
      </w:tr>
      <w:tr w:rsidR="004C6700" w:rsidRPr="00836EB5" w14:paraId="7650DCEB" w14:textId="77777777" w:rsidTr="00836EB5">
        <w:trPr>
          <w:trHeight w:val="280"/>
        </w:trPr>
        <w:tc>
          <w:tcPr>
            <w:tcW w:w="3934" w:type="pct"/>
            <w:tcBorders>
              <w:top w:val="nil"/>
              <w:left w:val="nil"/>
              <w:bottom w:val="nil"/>
              <w:right w:val="nil"/>
            </w:tcBorders>
            <w:shd w:val="clear" w:color="auto" w:fill="auto"/>
            <w:vAlign w:val="center"/>
            <w:hideMark/>
          </w:tcPr>
          <w:p w14:paraId="48479498"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korekcie k fondom EÚ </w:t>
            </w:r>
          </w:p>
        </w:tc>
        <w:tc>
          <w:tcPr>
            <w:tcW w:w="547" w:type="pct"/>
            <w:tcBorders>
              <w:top w:val="nil"/>
              <w:left w:val="nil"/>
              <w:bottom w:val="nil"/>
              <w:right w:val="nil"/>
            </w:tcBorders>
            <w:shd w:val="clear" w:color="auto" w:fill="auto"/>
            <w:noWrap/>
            <w:vAlign w:val="center"/>
            <w:hideMark/>
          </w:tcPr>
          <w:p w14:paraId="7D1C5744"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-73 611</w:t>
            </w:r>
          </w:p>
        </w:tc>
        <w:tc>
          <w:tcPr>
            <w:tcW w:w="519" w:type="pct"/>
            <w:tcBorders>
              <w:top w:val="nil"/>
              <w:left w:val="nil"/>
              <w:bottom w:val="nil"/>
              <w:right w:val="nil"/>
            </w:tcBorders>
            <w:shd w:val="clear" w:color="auto" w:fill="auto"/>
            <w:noWrap/>
            <w:vAlign w:val="center"/>
            <w:hideMark/>
          </w:tcPr>
          <w:p w14:paraId="434CD9EB"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-0,06</w:t>
            </w:r>
          </w:p>
        </w:tc>
      </w:tr>
      <w:tr w:rsidR="004C6700" w:rsidRPr="00836EB5" w14:paraId="5D647CCF" w14:textId="77777777" w:rsidTr="00836EB5">
        <w:trPr>
          <w:trHeight w:val="520"/>
        </w:trPr>
        <w:tc>
          <w:tcPr>
            <w:tcW w:w="3934" w:type="pct"/>
            <w:tcBorders>
              <w:top w:val="nil"/>
              <w:left w:val="nil"/>
              <w:bottom w:val="nil"/>
              <w:right w:val="nil"/>
            </w:tcBorders>
            <w:shd w:val="clear" w:color="auto" w:fill="auto"/>
            <w:vAlign w:val="center"/>
            <w:hideMark/>
          </w:tcPr>
          <w:p w14:paraId="17380754"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upravujúca položka-očistenie vplyvu príjmov PJ za prostriedky EÚ </w:t>
            </w:r>
            <w:r w:rsidRPr="00836EB5">
              <w:rPr>
                <w:rFonts w:eastAsia="Times New Roman" w:cs="Times New Roman"/>
                <w:color w:val="000000"/>
                <w:sz w:val="18"/>
                <w:szCs w:val="18"/>
                <w:lang w:eastAsia="sk-SK"/>
              </w:rPr>
              <w:br/>
              <w:t xml:space="preserve">       z uhradených korekcií nahlásených v roku rozhodnutia </w:t>
            </w:r>
          </w:p>
        </w:tc>
        <w:tc>
          <w:tcPr>
            <w:tcW w:w="547" w:type="pct"/>
            <w:tcBorders>
              <w:top w:val="nil"/>
              <w:left w:val="nil"/>
              <w:bottom w:val="nil"/>
              <w:right w:val="nil"/>
            </w:tcBorders>
            <w:shd w:val="clear" w:color="auto" w:fill="auto"/>
            <w:noWrap/>
            <w:vAlign w:val="center"/>
            <w:hideMark/>
          </w:tcPr>
          <w:p w14:paraId="5B7DE0FB"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-1 668</w:t>
            </w:r>
          </w:p>
        </w:tc>
        <w:tc>
          <w:tcPr>
            <w:tcW w:w="519" w:type="pct"/>
            <w:tcBorders>
              <w:top w:val="nil"/>
              <w:left w:val="nil"/>
              <w:bottom w:val="nil"/>
              <w:right w:val="nil"/>
            </w:tcBorders>
            <w:shd w:val="clear" w:color="auto" w:fill="auto"/>
            <w:noWrap/>
            <w:vAlign w:val="center"/>
            <w:hideMark/>
          </w:tcPr>
          <w:p w14:paraId="072CD142"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0,00</w:t>
            </w:r>
          </w:p>
        </w:tc>
      </w:tr>
      <w:tr w:rsidR="004C6700" w:rsidRPr="00836EB5" w14:paraId="551C2DA2" w14:textId="77777777" w:rsidTr="00836EB5">
        <w:trPr>
          <w:trHeight w:val="280"/>
        </w:trPr>
        <w:tc>
          <w:tcPr>
            <w:tcW w:w="3934" w:type="pct"/>
            <w:tcBorders>
              <w:top w:val="nil"/>
              <w:left w:val="nil"/>
              <w:bottom w:val="nil"/>
              <w:right w:val="nil"/>
            </w:tcBorders>
            <w:shd w:val="clear" w:color="auto" w:fill="auto"/>
            <w:vAlign w:val="center"/>
            <w:hideMark/>
          </w:tcPr>
          <w:p w14:paraId="7314F500"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transfer Sociálnej poisťovni a zdravotnej poisťovni</w:t>
            </w:r>
          </w:p>
        </w:tc>
        <w:tc>
          <w:tcPr>
            <w:tcW w:w="547" w:type="pct"/>
            <w:tcBorders>
              <w:top w:val="nil"/>
              <w:left w:val="nil"/>
              <w:bottom w:val="nil"/>
              <w:right w:val="nil"/>
            </w:tcBorders>
            <w:shd w:val="clear" w:color="auto" w:fill="auto"/>
            <w:noWrap/>
            <w:vAlign w:val="center"/>
            <w:hideMark/>
          </w:tcPr>
          <w:p w14:paraId="0607FF1C"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-1 172 439</w:t>
            </w:r>
          </w:p>
        </w:tc>
        <w:tc>
          <w:tcPr>
            <w:tcW w:w="519" w:type="pct"/>
            <w:tcBorders>
              <w:top w:val="nil"/>
              <w:left w:val="nil"/>
              <w:bottom w:val="nil"/>
              <w:right w:val="nil"/>
            </w:tcBorders>
            <w:shd w:val="clear" w:color="auto" w:fill="auto"/>
            <w:noWrap/>
            <w:vAlign w:val="center"/>
            <w:hideMark/>
          </w:tcPr>
          <w:p w14:paraId="7BD27D41"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-0,95</w:t>
            </w:r>
          </w:p>
        </w:tc>
      </w:tr>
      <w:tr w:rsidR="004C6700" w:rsidRPr="00836EB5" w14:paraId="2C534550" w14:textId="77777777" w:rsidTr="00836EB5">
        <w:trPr>
          <w:trHeight w:val="280"/>
        </w:trPr>
        <w:tc>
          <w:tcPr>
            <w:tcW w:w="3934" w:type="pct"/>
            <w:tcBorders>
              <w:top w:val="nil"/>
              <w:left w:val="nil"/>
              <w:bottom w:val="nil"/>
              <w:right w:val="nil"/>
            </w:tcBorders>
            <w:shd w:val="clear" w:color="auto" w:fill="auto"/>
            <w:vAlign w:val="center"/>
            <w:hideMark/>
          </w:tcPr>
          <w:p w14:paraId="350F85FB"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w:t>
            </w:r>
            <w:proofErr w:type="spellStart"/>
            <w:r w:rsidRPr="00836EB5">
              <w:rPr>
                <w:rFonts w:eastAsia="Times New Roman" w:cs="Times New Roman"/>
                <w:color w:val="000000"/>
                <w:sz w:val="18"/>
                <w:szCs w:val="18"/>
                <w:lang w:eastAsia="sk-SK"/>
              </w:rPr>
              <w:t>imputácia</w:t>
            </w:r>
            <w:proofErr w:type="spellEnd"/>
            <w:r w:rsidRPr="00836EB5">
              <w:rPr>
                <w:rFonts w:eastAsia="Times New Roman" w:cs="Times New Roman"/>
                <w:color w:val="000000"/>
                <w:sz w:val="18"/>
                <w:szCs w:val="18"/>
                <w:lang w:eastAsia="sk-SK"/>
              </w:rPr>
              <w:t xml:space="preserve"> výdavkových subvencií na zelenú energiu</w:t>
            </w:r>
          </w:p>
        </w:tc>
        <w:tc>
          <w:tcPr>
            <w:tcW w:w="547" w:type="pct"/>
            <w:tcBorders>
              <w:top w:val="nil"/>
              <w:left w:val="nil"/>
              <w:bottom w:val="nil"/>
              <w:right w:val="nil"/>
            </w:tcBorders>
            <w:shd w:val="clear" w:color="auto" w:fill="auto"/>
            <w:noWrap/>
            <w:vAlign w:val="center"/>
            <w:hideMark/>
          </w:tcPr>
          <w:p w14:paraId="2F93B7C4"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48 472</w:t>
            </w:r>
          </w:p>
        </w:tc>
        <w:tc>
          <w:tcPr>
            <w:tcW w:w="519" w:type="pct"/>
            <w:tcBorders>
              <w:top w:val="nil"/>
              <w:left w:val="nil"/>
              <w:bottom w:val="nil"/>
              <w:right w:val="nil"/>
            </w:tcBorders>
            <w:shd w:val="clear" w:color="auto" w:fill="auto"/>
            <w:noWrap/>
            <w:vAlign w:val="center"/>
            <w:hideMark/>
          </w:tcPr>
          <w:p w14:paraId="50FD9BEA"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0,04</w:t>
            </w:r>
          </w:p>
        </w:tc>
      </w:tr>
      <w:tr w:rsidR="004C6700" w:rsidRPr="00836EB5" w14:paraId="424D8F51" w14:textId="77777777" w:rsidTr="00836EB5">
        <w:trPr>
          <w:trHeight w:val="280"/>
        </w:trPr>
        <w:tc>
          <w:tcPr>
            <w:tcW w:w="3934" w:type="pct"/>
            <w:tcBorders>
              <w:top w:val="nil"/>
              <w:left w:val="nil"/>
              <w:bottom w:val="nil"/>
              <w:right w:val="nil"/>
            </w:tcBorders>
            <w:shd w:val="clear" w:color="auto" w:fill="auto"/>
            <w:vAlign w:val="center"/>
            <w:hideMark/>
          </w:tcPr>
          <w:p w14:paraId="1196D7B8"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zmena stavu záväzkov</w:t>
            </w:r>
          </w:p>
        </w:tc>
        <w:tc>
          <w:tcPr>
            <w:tcW w:w="547" w:type="pct"/>
            <w:tcBorders>
              <w:top w:val="nil"/>
              <w:left w:val="nil"/>
              <w:bottom w:val="nil"/>
              <w:right w:val="nil"/>
            </w:tcBorders>
            <w:shd w:val="clear" w:color="auto" w:fill="auto"/>
            <w:noWrap/>
            <w:vAlign w:val="center"/>
            <w:hideMark/>
          </w:tcPr>
          <w:p w14:paraId="62DE7686"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116 550</w:t>
            </w:r>
          </w:p>
        </w:tc>
        <w:tc>
          <w:tcPr>
            <w:tcW w:w="519" w:type="pct"/>
            <w:tcBorders>
              <w:top w:val="nil"/>
              <w:left w:val="nil"/>
              <w:bottom w:val="nil"/>
              <w:right w:val="nil"/>
            </w:tcBorders>
            <w:shd w:val="clear" w:color="auto" w:fill="auto"/>
            <w:noWrap/>
            <w:vAlign w:val="center"/>
            <w:hideMark/>
          </w:tcPr>
          <w:p w14:paraId="0B75D3DD"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0,09</w:t>
            </w:r>
          </w:p>
        </w:tc>
      </w:tr>
      <w:tr w:rsidR="004C6700" w:rsidRPr="00836EB5" w14:paraId="7A2794F6" w14:textId="77777777" w:rsidTr="00836EB5">
        <w:trPr>
          <w:trHeight w:val="280"/>
        </w:trPr>
        <w:tc>
          <w:tcPr>
            <w:tcW w:w="3934" w:type="pct"/>
            <w:tcBorders>
              <w:top w:val="nil"/>
              <w:left w:val="nil"/>
              <w:bottom w:val="nil"/>
              <w:right w:val="nil"/>
            </w:tcBorders>
            <w:shd w:val="clear" w:color="auto" w:fill="auto"/>
            <w:vAlign w:val="center"/>
            <w:hideMark/>
          </w:tcPr>
          <w:p w14:paraId="347FDB96"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zaplatené preddavky na </w:t>
            </w:r>
            <w:proofErr w:type="spellStart"/>
            <w:r w:rsidRPr="00836EB5">
              <w:rPr>
                <w:rFonts w:eastAsia="Times New Roman" w:cs="Times New Roman"/>
                <w:color w:val="000000"/>
                <w:sz w:val="18"/>
                <w:szCs w:val="18"/>
                <w:lang w:eastAsia="sk-SK"/>
              </w:rPr>
              <w:t>dlhod</w:t>
            </w:r>
            <w:proofErr w:type="spellEnd"/>
            <w:r w:rsidRPr="00836EB5">
              <w:rPr>
                <w:rFonts w:eastAsia="Times New Roman" w:cs="Times New Roman"/>
                <w:color w:val="000000"/>
                <w:sz w:val="18"/>
                <w:szCs w:val="18"/>
                <w:lang w:eastAsia="sk-SK"/>
              </w:rPr>
              <w:t>. hm. majetok na vojenskú techniku</w:t>
            </w:r>
          </w:p>
        </w:tc>
        <w:tc>
          <w:tcPr>
            <w:tcW w:w="547" w:type="pct"/>
            <w:tcBorders>
              <w:top w:val="nil"/>
              <w:left w:val="nil"/>
              <w:bottom w:val="nil"/>
              <w:right w:val="nil"/>
            </w:tcBorders>
            <w:shd w:val="clear" w:color="auto" w:fill="auto"/>
            <w:noWrap/>
            <w:vAlign w:val="center"/>
            <w:hideMark/>
          </w:tcPr>
          <w:p w14:paraId="2817D612"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572 477</w:t>
            </w:r>
          </w:p>
        </w:tc>
        <w:tc>
          <w:tcPr>
            <w:tcW w:w="519" w:type="pct"/>
            <w:tcBorders>
              <w:top w:val="nil"/>
              <w:left w:val="nil"/>
              <w:bottom w:val="nil"/>
              <w:right w:val="nil"/>
            </w:tcBorders>
            <w:shd w:val="clear" w:color="auto" w:fill="auto"/>
            <w:noWrap/>
            <w:vAlign w:val="center"/>
            <w:hideMark/>
          </w:tcPr>
          <w:p w14:paraId="357C3C71"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0,47</w:t>
            </w:r>
          </w:p>
        </w:tc>
      </w:tr>
      <w:tr w:rsidR="004C6700" w:rsidRPr="00836EB5" w14:paraId="2AF3DA40" w14:textId="77777777" w:rsidTr="00836EB5">
        <w:trPr>
          <w:trHeight w:val="280"/>
        </w:trPr>
        <w:tc>
          <w:tcPr>
            <w:tcW w:w="3934" w:type="pct"/>
            <w:tcBorders>
              <w:top w:val="nil"/>
              <w:left w:val="nil"/>
              <w:bottom w:val="nil"/>
              <w:right w:val="nil"/>
            </w:tcBorders>
            <w:shd w:val="clear" w:color="auto" w:fill="auto"/>
            <w:vAlign w:val="center"/>
            <w:hideMark/>
          </w:tcPr>
          <w:p w14:paraId="5B8AA05F"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ostatné</w:t>
            </w:r>
          </w:p>
        </w:tc>
        <w:tc>
          <w:tcPr>
            <w:tcW w:w="547" w:type="pct"/>
            <w:tcBorders>
              <w:top w:val="nil"/>
              <w:left w:val="nil"/>
              <w:bottom w:val="nil"/>
              <w:right w:val="nil"/>
            </w:tcBorders>
            <w:shd w:val="clear" w:color="auto" w:fill="auto"/>
            <w:noWrap/>
            <w:vAlign w:val="center"/>
            <w:hideMark/>
          </w:tcPr>
          <w:p w14:paraId="703731DA"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2 192 365</w:t>
            </w:r>
          </w:p>
        </w:tc>
        <w:tc>
          <w:tcPr>
            <w:tcW w:w="519" w:type="pct"/>
            <w:tcBorders>
              <w:top w:val="nil"/>
              <w:left w:val="nil"/>
              <w:bottom w:val="nil"/>
              <w:right w:val="nil"/>
            </w:tcBorders>
            <w:shd w:val="clear" w:color="auto" w:fill="auto"/>
            <w:noWrap/>
            <w:vAlign w:val="center"/>
            <w:hideMark/>
          </w:tcPr>
          <w:p w14:paraId="10807421"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1,79</w:t>
            </w:r>
          </w:p>
        </w:tc>
      </w:tr>
      <w:tr w:rsidR="004C6700" w:rsidRPr="00836EB5" w14:paraId="26871C82" w14:textId="77777777" w:rsidTr="00836EB5">
        <w:trPr>
          <w:trHeight w:val="280"/>
        </w:trPr>
        <w:tc>
          <w:tcPr>
            <w:tcW w:w="3934" w:type="pct"/>
            <w:tcBorders>
              <w:top w:val="nil"/>
              <w:left w:val="nil"/>
              <w:bottom w:val="nil"/>
              <w:right w:val="nil"/>
            </w:tcBorders>
            <w:shd w:val="clear" w:color="auto" w:fill="auto"/>
            <w:vAlign w:val="center"/>
            <w:hideMark/>
          </w:tcPr>
          <w:p w14:paraId="68088EEE" w14:textId="77777777" w:rsidR="004C6700" w:rsidRPr="00836EB5" w:rsidRDefault="004C6700" w:rsidP="00836EB5">
            <w:pPr>
              <w:spacing w:after="0" w:line="240" w:lineRule="auto"/>
              <w:jc w:val="left"/>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4. Vplyv hospodárenia samostatných účtov (vrátane ŠFA) bez daní</w:t>
            </w:r>
          </w:p>
        </w:tc>
        <w:tc>
          <w:tcPr>
            <w:tcW w:w="547" w:type="pct"/>
            <w:tcBorders>
              <w:top w:val="nil"/>
              <w:left w:val="nil"/>
              <w:bottom w:val="nil"/>
              <w:right w:val="nil"/>
            </w:tcBorders>
            <w:shd w:val="clear" w:color="auto" w:fill="auto"/>
            <w:noWrap/>
            <w:vAlign w:val="center"/>
            <w:hideMark/>
          </w:tcPr>
          <w:p w14:paraId="2B603DD1" w14:textId="77777777" w:rsidR="004C6700" w:rsidRPr="00836EB5" w:rsidRDefault="004C6700" w:rsidP="00836EB5">
            <w:pPr>
              <w:spacing w:after="0" w:line="240" w:lineRule="auto"/>
              <w:jc w:val="right"/>
              <w:rPr>
                <w:rFonts w:eastAsia="Times New Roman" w:cs="Times New Roman"/>
                <w:b/>
                <w:bCs/>
                <w:i/>
                <w:iCs/>
                <w:color w:val="000000"/>
                <w:sz w:val="18"/>
                <w:szCs w:val="18"/>
                <w:lang w:eastAsia="sk-SK"/>
              </w:rPr>
            </w:pPr>
            <w:r w:rsidRPr="00836EB5">
              <w:rPr>
                <w:rFonts w:eastAsia="Times New Roman" w:cs="Times New Roman"/>
                <w:b/>
                <w:bCs/>
                <w:i/>
                <w:iCs/>
                <w:color w:val="000000"/>
                <w:sz w:val="18"/>
                <w:szCs w:val="18"/>
                <w:lang w:eastAsia="sk-SK"/>
              </w:rPr>
              <w:t>-1 822 428</w:t>
            </w:r>
          </w:p>
        </w:tc>
        <w:tc>
          <w:tcPr>
            <w:tcW w:w="519" w:type="pct"/>
            <w:tcBorders>
              <w:top w:val="nil"/>
              <w:left w:val="nil"/>
              <w:bottom w:val="nil"/>
              <w:right w:val="nil"/>
            </w:tcBorders>
            <w:shd w:val="clear" w:color="auto" w:fill="auto"/>
            <w:noWrap/>
            <w:vAlign w:val="center"/>
            <w:hideMark/>
          </w:tcPr>
          <w:p w14:paraId="26305059"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-1,48</w:t>
            </w:r>
          </w:p>
        </w:tc>
      </w:tr>
      <w:tr w:rsidR="004C6700" w:rsidRPr="00836EB5" w14:paraId="6800F2FA" w14:textId="77777777" w:rsidTr="00836EB5">
        <w:trPr>
          <w:trHeight w:val="520"/>
        </w:trPr>
        <w:tc>
          <w:tcPr>
            <w:tcW w:w="3934" w:type="pct"/>
            <w:tcBorders>
              <w:top w:val="nil"/>
              <w:left w:val="nil"/>
              <w:bottom w:val="nil"/>
              <w:right w:val="nil"/>
            </w:tcBorders>
            <w:shd w:val="clear" w:color="auto" w:fill="auto"/>
            <w:vAlign w:val="center"/>
            <w:hideMark/>
          </w:tcPr>
          <w:p w14:paraId="285D6738" w14:textId="77777777" w:rsidR="004C6700" w:rsidRPr="00836EB5" w:rsidRDefault="004C6700" w:rsidP="00836EB5">
            <w:pPr>
              <w:spacing w:after="0" w:line="240" w:lineRule="auto"/>
              <w:jc w:val="left"/>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 xml:space="preserve">5. Vplyv akruálnych príjmov a výdavkov súvisiacich s obsluhou </w:t>
            </w:r>
            <w:r w:rsidRPr="00836EB5">
              <w:rPr>
                <w:rFonts w:eastAsia="Times New Roman" w:cs="Times New Roman"/>
                <w:b/>
                <w:bCs/>
                <w:color w:val="000000"/>
                <w:sz w:val="18"/>
                <w:szCs w:val="18"/>
                <w:lang w:eastAsia="sk-SK"/>
              </w:rPr>
              <w:br/>
              <w:t xml:space="preserve">    štátneho dlhu</w:t>
            </w:r>
          </w:p>
        </w:tc>
        <w:tc>
          <w:tcPr>
            <w:tcW w:w="547" w:type="pct"/>
            <w:tcBorders>
              <w:top w:val="nil"/>
              <w:left w:val="nil"/>
              <w:bottom w:val="nil"/>
              <w:right w:val="nil"/>
            </w:tcBorders>
            <w:shd w:val="clear" w:color="auto" w:fill="auto"/>
            <w:noWrap/>
            <w:vAlign w:val="center"/>
            <w:hideMark/>
          </w:tcPr>
          <w:p w14:paraId="224D8778" w14:textId="77777777" w:rsidR="004C6700" w:rsidRPr="00836EB5" w:rsidRDefault="004C6700" w:rsidP="00836EB5">
            <w:pPr>
              <w:spacing w:after="0" w:line="240" w:lineRule="auto"/>
              <w:jc w:val="right"/>
              <w:rPr>
                <w:rFonts w:eastAsia="Times New Roman" w:cs="Times New Roman"/>
                <w:b/>
                <w:bCs/>
                <w:i/>
                <w:iCs/>
                <w:color w:val="000000"/>
                <w:sz w:val="18"/>
                <w:szCs w:val="18"/>
                <w:lang w:eastAsia="sk-SK"/>
              </w:rPr>
            </w:pPr>
            <w:r w:rsidRPr="00836EB5">
              <w:rPr>
                <w:rFonts w:eastAsia="Times New Roman" w:cs="Times New Roman"/>
                <w:b/>
                <w:bCs/>
                <w:i/>
                <w:iCs/>
                <w:color w:val="000000"/>
                <w:sz w:val="18"/>
                <w:szCs w:val="18"/>
                <w:lang w:eastAsia="sk-SK"/>
              </w:rPr>
              <w:t>-4 139</w:t>
            </w:r>
          </w:p>
        </w:tc>
        <w:tc>
          <w:tcPr>
            <w:tcW w:w="519" w:type="pct"/>
            <w:tcBorders>
              <w:top w:val="nil"/>
              <w:left w:val="nil"/>
              <w:bottom w:val="nil"/>
              <w:right w:val="nil"/>
            </w:tcBorders>
            <w:shd w:val="clear" w:color="auto" w:fill="auto"/>
            <w:noWrap/>
            <w:vAlign w:val="center"/>
            <w:hideMark/>
          </w:tcPr>
          <w:p w14:paraId="1352BBF2"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0,00</w:t>
            </w:r>
          </w:p>
        </w:tc>
      </w:tr>
      <w:tr w:rsidR="004C6700" w:rsidRPr="00836EB5" w14:paraId="1DCFF855" w14:textId="77777777" w:rsidTr="00836EB5">
        <w:trPr>
          <w:trHeight w:val="280"/>
        </w:trPr>
        <w:tc>
          <w:tcPr>
            <w:tcW w:w="3934" w:type="pct"/>
            <w:tcBorders>
              <w:top w:val="nil"/>
              <w:left w:val="nil"/>
              <w:bottom w:val="nil"/>
              <w:right w:val="nil"/>
            </w:tcBorders>
            <w:shd w:val="clear" w:color="auto" w:fill="auto"/>
            <w:vAlign w:val="center"/>
            <w:hideMark/>
          </w:tcPr>
          <w:p w14:paraId="07764647" w14:textId="77777777" w:rsidR="004C6700" w:rsidRPr="00836EB5" w:rsidRDefault="004C6700" w:rsidP="00836EB5">
            <w:pPr>
              <w:spacing w:after="0" w:line="240" w:lineRule="auto"/>
              <w:jc w:val="left"/>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6. Výdavky sociálneho a zdravotného poistenia</w:t>
            </w:r>
          </w:p>
        </w:tc>
        <w:tc>
          <w:tcPr>
            <w:tcW w:w="547" w:type="pct"/>
            <w:tcBorders>
              <w:top w:val="nil"/>
              <w:left w:val="nil"/>
              <w:bottom w:val="nil"/>
              <w:right w:val="nil"/>
            </w:tcBorders>
            <w:shd w:val="clear" w:color="auto" w:fill="auto"/>
            <w:noWrap/>
            <w:vAlign w:val="center"/>
            <w:hideMark/>
          </w:tcPr>
          <w:p w14:paraId="5F72C305" w14:textId="77777777" w:rsidR="004C6700" w:rsidRPr="00836EB5" w:rsidRDefault="004C6700" w:rsidP="00836EB5">
            <w:pPr>
              <w:spacing w:after="0" w:line="240" w:lineRule="auto"/>
              <w:jc w:val="right"/>
              <w:rPr>
                <w:rFonts w:eastAsia="Times New Roman" w:cs="Times New Roman"/>
                <w:b/>
                <w:bCs/>
                <w:i/>
                <w:iCs/>
                <w:color w:val="000000"/>
                <w:sz w:val="18"/>
                <w:szCs w:val="18"/>
                <w:lang w:eastAsia="sk-SK"/>
              </w:rPr>
            </w:pPr>
            <w:r w:rsidRPr="00836EB5">
              <w:rPr>
                <w:rFonts w:eastAsia="Times New Roman" w:cs="Times New Roman"/>
                <w:b/>
                <w:bCs/>
                <w:i/>
                <w:iCs/>
                <w:color w:val="000000"/>
                <w:sz w:val="18"/>
                <w:szCs w:val="18"/>
                <w:lang w:eastAsia="sk-SK"/>
              </w:rPr>
              <w:t>-1 194 153</w:t>
            </w:r>
          </w:p>
        </w:tc>
        <w:tc>
          <w:tcPr>
            <w:tcW w:w="519" w:type="pct"/>
            <w:tcBorders>
              <w:top w:val="nil"/>
              <w:left w:val="nil"/>
              <w:bottom w:val="nil"/>
              <w:right w:val="nil"/>
            </w:tcBorders>
            <w:shd w:val="clear" w:color="auto" w:fill="auto"/>
            <w:noWrap/>
            <w:vAlign w:val="center"/>
            <w:hideMark/>
          </w:tcPr>
          <w:p w14:paraId="50B07D9E"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-0,97</w:t>
            </w:r>
          </w:p>
        </w:tc>
      </w:tr>
      <w:tr w:rsidR="004C6700" w:rsidRPr="00836EB5" w14:paraId="4ABAD75A" w14:textId="77777777" w:rsidTr="00836EB5">
        <w:trPr>
          <w:trHeight w:val="280"/>
        </w:trPr>
        <w:tc>
          <w:tcPr>
            <w:tcW w:w="3934" w:type="pct"/>
            <w:tcBorders>
              <w:top w:val="nil"/>
              <w:left w:val="nil"/>
              <w:bottom w:val="nil"/>
              <w:right w:val="nil"/>
            </w:tcBorders>
            <w:shd w:val="clear" w:color="auto" w:fill="auto"/>
            <w:noWrap/>
            <w:vAlign w:val="center"/>
            <w:hideMark/>
          </w:tcPr>
          <w:p w14:paraId="4E7697DD"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výdavky zo sociálneho poistenia</w:t>
            </w:r>
          </w:p>
        </w:tc>
        <w:tc>
          <w:tcPr>
            <w:tcW w:w="547" w:type="pct"/>
            <w:tcBorders>
              <w:top w:val="nil"/>
              <w:left w:val="nil"/>
              <w:bottom w:val="nil"/>
              <w:right w:val="nil"/>
            </w:tcBorders>
            <w:shd w:val="clear" w:color="auto" w:fill="auto"/>
            <w:noWrap/>
            <w:vAlign w:val="center"/>
            <w:hideMark/>
          </w:tcPr>
          <w:p w14:paraId="36ACE1F6"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-861 540</w:t>
            </w:r>
          </w:p>
        </w:tc>
        <w:tc>
          <w:tcPr>
            <w:tcW w:w="519" w:type="pct"/>
            <w:tcBorders>
              <w:top w:val="nil"/>
              <w:left w:val="nil"/>
              <w:bottom w:val="nil"/>
              <w:right w:val="nil"/>
            </w:tcBorders>
            <w:shd w:val="clear" w:color="auto" w:fill="auto"/>
            <w:noWrap/>
            <w:vAlign w:val="center"/>
            <w:hideMark/>
          </w:tcPr>
          <w:p w14:paraId="21656AB1"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-0,70</w:t>
            </w:r>
          </w:p>
        </w:tc>
      </w:tr>
      <w:tr w:rsidR="004C6700" w:rsidRPr="00836EB5" w14:paraId="4FED24D3" w14:textId="77777777" w:rsidTr="00836EB5">
        <w:trPr>
          <w:trHeight w:val="280"/>
        </w:trPr>
        <w:tc>
          <w:tcPr>
            <w:tcW w:w="3934" w:type="pct"/>
            <w:tcBorders>
              <w:top w:val="nil"/>
              <w:left w:val="nil"/>
              <w:bottom w:val="nil"/>
              <w:right w:val="nil"/>
            </w:tcBorders>
            <w:shd w:val="clear" w:color="auto" w:fill="auto"/>
            <w:noWrap/>
            <w:vAlign w:val="center"/>
            <w:hideMark/>
          </w:tcPr>
          <w:p w14:paraId="7CE4635F" w14:textId="756820C2" w:rsidR="004C6700" w:rsidRPr="00836EB5" w:rsidRDefault="004C6700" w:rsidP="00EB2641">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výdavky zo zdravotného poistenia (výdavky poistenia)</w:t>
            </w:r>
          </w:p>
        </w:tc>
        <w:tc>
          <w:tcPr>
            <w:tcW w:w="547" w:type="pct"/>
            <w:tcBorders>
              <w:top w:val="nil"/>
              <w:left w:val="nil"/>
              <w:bottom w:val="nil"/>
              <w:right w:val="nil"/>
            </w:tcBorders>
            <w:shd w:val="clear" w:color="auto" w:fill="auto"/>
            <w:noWrap/>
            <w:vAlign w:val="center"/>
            <w:hideMark/>
          </w:tcPr>
          <w:p w14:paraId="60C51EE2" w14:textId="77777777" w:rsidR="004C6700" w:rsidRPr="00836EB5" w:rsidRDefault="004C6700" w:rsidP="00836EB5">
            <w:pPr>
              <w:spacing w:after="0" w:line="240" w:lineRule="auto"/>
              <w:jc w:val="right"/>
              <w:rPr>
                <w:rFonts w:eastAsia="Times New Roman" w:cs="Times New Roman"/>
                <w:sz w:val="18"/>
                <w:szCs w:val="18"/>
                <w:lang w:eastAsia="sk-SK"/>
              </w:rPr>
            </w:pPr>
            <w:r w:rsidRPr="00836EB5">
              <w:rPr>
                <w:rFonts w:eastAsia="Times New Roman" w:cs="Times New Roman"/>
                <w:sz w:val="18"/>
                <w:szCs w:val="18"/>
                <w:lang w:eastAsia="sk-SK"/>
              </w:rPr>
              <w:t>-332 613</w:t>
            </w:r>
          </w:p>
        </w:tc>
        <w:tc>
          <w:tcPr>
            <w:tcW w:w="519" w:type="pct"/>
            <w:tcBorders>
              <w:top w:val="nil"/>
              <w:left w:val="nil"/>
              <w:bottom w:val="nil"/>
              <w:right w:val="nil"/>
            </w:tcBorders>
            <w:shd w:val="clear" w:color="auto" w:fill="auto"/>
            <w:noWrap/>
            <w:vAlign w:val="center"/>
            <w:hideMark/>
          </w:tcPr>
          <w:p w14:paraId="053EA92F"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-0,27</w:t>
            </w:r>
          </w:p>
        </w:tc>
      </w:tr>
      <w:tr w:rsidR="004C6700" w:rsidRPr="00836EB5" w14:paraId="2B0A5D16" w14:textId="77777777" w:rsidTr="00836EB5">
        <w:trPr>
          <w:trHeight w:val="780"/>
        </w:trPr>
        <w:tc>
          <w:tcPr>
            <w:tcW w:w="3934" w:type="pct"/>
            <w:tcBorders>
              <w:top w:val="nil"/>
              <w:left w:val="nil"/>
              <w:bottom w:val="nil"/>
              <w:right w:val="nil"/>
            </w:tcBorders>
            <w:shd w:val="clear" w:color="auto" w:fill="auto"/>
            <w:vAlign w:val="center"/>
            <w:hideMark/>
          </w:tcPr>
          <w:p w14:paraId="57AA87B2" w14:textId="616114B4" w:rsidR="004C6700" w:rsidRPr="00836EB5" w:rsidRDefault="004C6700" w:rsidP="0091035E">
            <w:pPr>
              <w:spacing w:after="0" w:line="240" w:lineRule="auto"/>
              <w:jc w:val="left"/>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7. Rozdiel v hospodárení fondov sociálneho zabezpečenia (okrem</w:t>
            </w:r>
            <w:r w:rsidRPr="00836EB5">
              <w:rPr>
                <w:rFonts w:eastAsia="Times New Roman" w:cs="Times New Roman"/>
                <w:b/>
                <w:bCs/>
                <w:color w:val="000000"/>
                <w:sz w:val="18"/>
                <w:szCs w:val="18"/>
                <w:lang w:eastAsia="sk-SK"/>
              </w:rPr>
              <w:br/>
              <w:t xml:space="preserve">   odvodových príjmov a výdavkov poistenia </w:t>
            </w:r>
            <w:r w:rsidR="0091035E">
              <w:rPr>
                <w:rFonts w:eastAsia="Times New Roman" w:cs="Times New Roman"/>
                <w:b/>
                <w:bCs/>
                <w:color w:val="000000"/>
                <w:sz w:val="18"/>
                <w:szCs w:val="18"/>
                <w:lang w:eastAsia="sk-SK"/>
              </w:rPr>
              <w:t>v</w:t>
            </w:r>
            <w:r w:rsidRPr="00836EB5">
              <w:rPr>
                <w:rFonts w:eastAsia="Times New Roman" w:cs="Times New Roman"/>
                <w:b/>
                <w:bCs/>
                <w:color w:val="000000"/>
                <w:sz w:val="18"/>
                <w:szCs w:val="18"/>
                <w:lang w:eastAsia="sk-SK"/>
              </w:rPr>
              <w:t>erejného zdravotného</w:t>
            </w:r>
            <w:r w:rsidRPr="00836EB5">
              <w:rPr>
                <w:rFonts w:eastAsia="Times New Roman" w:cs="Times New Roman"/>
                <w:b/>
                <w:bCs/>
                <w:color w:val="000000"/>
                <w:sz w:val="18"/>
                <w:szCs w:val="18"/>
                <w:lang w:eastAsia="sk-SK"/>
              </w:rPr>
              <w:br/>
              <w:t xml:space="preserve">   poistenia a sociálneho poistenia)</w:t>
            </w:r>
          </w:p>
        </w:tc>
        <w:tc>
          <w:tcPr>
            <w:tcW w:w="547" w:type="pct"/>
            <w:tcBorders>
              <w:top w:val="nil"/>
              <w:left w:val="nil"/>
              <w:bottom w:val="nil"/>
              <w:right w:val="nil"/>
            </w:tcBorders>
            <w:shd w:val="clear" w:color="auto" w:fill="auto"/>
            <w:noWrap/>
            <w:vAlign w:val="center"/>
            <w:hideMark/>
          </w:tcPr>
          <w:p w14:paraId="442497B9" w14:textId="77777777" w:rsidR="004C6700" w:rsidRPr="00836EB5" w:rsidRDefault="004C6700" w:rsidP="00836EB5">
            <w:pPr>
              <w:spacing w:after="0" w:line="240" w:lineRule="auto"/>
              <w:jc w:val="right"/>
              <w:rPr>
                <w:rFonts w:eastAsia="Times New Roman" w:cs="Times New Roman"/>
                <w:b/>
                <w:bCs/>
                <w:i/>
                <w:iCs/>
                <w:sz w:val="18"/>
                <w:szCs w:val="18"/>
                <w:lang w:eastAsia="sk-SK"/>
              </w:rPr>
            </w:pPr>
            <w:r w:rsidRPr="00836EB5">
              <w:rPr>
                <w:rFonts w:eastAsia="Times New Roman" w:cs="Times New Roman"/>
                <w:b/>
                <w:bCs/>
                <w:i/>
                <w:iCs/>
                <w:sz w:val="18"/>
                <w:szCs w:val="18"/>
                <w:lang w:eastAsia="sk-SK"/>
              </w:rPr>
              <w:t>1 305 707</w:t>
            </w:r>
          </w:p>
        </w:tc>
        <w:tc>
          <w:tcPr>
            <w:tcW w:w="519" w:type="pct"/>
            <w:tcBorders>
              <w:top w:val="nil"/>
              <w:left w:val="nil"/>
              <w:bottom w:val="nil"/>
              <w:right w:val="nil"/>
            </w:tcBorders>
            <w:shd w:val="clear" w:color="auto" w:fill="auto"/>
            <w:noWrap/>
            <w:vAlign w:val="center"/>
            <w:hideMark/>
          </w:tcPr>
          <w:p w14:paraId="4ADD68CD"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1,06</w:t>
            </w:r>
          </w:p>
        </w:tc>
      </w:tr>
      <w:tr w:rsidR="004C6700" w:rsidRPr="00836EB5" w14:paraId="555D5AAA" w14:textId="77777777" w:rsidTr="00836EB5">
        <w:trPr>
          <w:trHeight w:val="280"/>
        </w:trPr>
        <w:tc>
          <w:tcPr>
            <w:tcW w:w="3934" w:type="pct"/>
            <w:tcBorders>
              <w:top w:val="nil"/>
              <w:left w:val="nil"/>
              <w:bottom w:val="nil"/>
              <w:right w:val="nil"/>
            </w:tcBorders>
            <w:shd w:val="clear" w:color="auto" w:fill="auto"/>
            <w:noWrap/>
            <w:vAlign w:val="center"/>
            <w:hideMark/>
          </w:tcPr>
          <w:p w14:paraId="47A1DBF3"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transfer Sociálnej poisťovni zo štátneho rozpočtu</w:t>
            </w:r>
          </w:p>
        </w:tc>
        <w:tc>
          <w:tcPr>
            <w:tcW w:w="547" w:type="pct"/>
            <w:tcBorders>
              <w:top w:val="nil"/>
              <w:left w:val="nil"/>
              <w:bottom w:val="nil"/>
              <w:right w:val="nil"/>
            </w:tcBorders>
            <w:shd w:val="clear" w:color="auto" w:fill="auto"/>
            <w:noWrap/>
            <w:vAlign w:val="center"/>
            <w:hideMark/>
          </w:tcPr>
          <w:p w14:paraId="277FD3A5" w14:textId="77777777" w:rsidR="004C6700" w:rsidRPr="00836EB5" w:rsidRDefault="004C6700" w:rsidP="00836EB5">
            <w:pPr>
              <w:spacing w:after="0" w:line="240" w:lineRule="auto"/>
              <w:jc w:val="right"/>
              <w:rPr>
                <w:rFonts w:eastAsia="Times New Roman" w:cs="Times New Roman"/>
                <w:sz w:val="18"/>
                <w:szCs w:val="18"/>
                <w:lang w:eastAsia="sk-SK"/>
              </w:rPr>
            </w:pPr>
            <w:r w:rsidRPr="00836EB5">
              <w:rPr>
                <w:rFonts w:eastAsia="Times New Roman" w:cs="Times New Roman"/>
                <w:sz w:val="18"/>
                <w:szCs w:val="18"/>
                <w:lang w:eastAsia="sk-SK"/>
              </w:rPr>
              <w:t>1 160 000</w:t>
            </w:r>
          </w:p>
        </w:tc>
        <w:tc>
          <w:tcPr>
            <w:tcW w:w="519" w:type="pct"/>
            <w:tcBorders>
              <w:top w:val="nil"/>
              <w:left w:val="nil"/>
              <w:bottom w:val="nil"/>
              <w:right w:val="nil"/>
            </w:tcBorders>
            <w:shd w:val="clear" w:color="auto" w:fill="auto"/>
            <w:noWrap/>
            <w:vAlign w:val="center"/>
            <w:hideMark/>
          </w:tcPr>
          <w:p w14:paraId="6DE716AA"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0,94</w:t>
            </w:r>
          </w:p>
        </w:tc>
      </w:tr>
      <w:tr w:rsidR="004C6700" w:rsidRPr="00836EB5" w14:paraId="570406FF" w14:textId="77777777" w:rsidTr="00836EB5">
        <w:trPr>
          <w:trHeight w:val="520"/>
        </w:trPr>
        <w:tc>
          <w:tcPr>
            <w:tcW w:w="3934" w:type="pct"/>
            <w:tcBorders>
              <w:top w:val="nil"/>
              <w:left w:val="nil"/>
              <w:bottom w:val="nil"/>
              <w:right w:val="nil"/>
            </w:tcBorders>
            <w:shd w:val="clear" w:color="auto" w:fill="auto"/>
            <w:vAlign w:val="center"/>
            <w:hideMark/>
          </w:tcPr>
          <w:p w14:paraId="796BFC9A"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výdavkový transfer z verejnej časti ZP do súkromnej časti ZP </w:t>
            </w:r>
            <w:r w:rsidRPr="00836EB5">
              <w:rPr>
                <w:rFonts w:eastAsia="Times New Roman" w:cs="Times New Roman"/>
                <w:color w:val="000000"/>
                <w:sz w:val="18"/>
                <w:szCs w:val="18"/>
                <w:lang w:eastAsia="sk-SK"/>
              </w:rPr>
              <w:br/>
              <w:t xml:space="preserve">        na výplatu akcionárovi</w:t>
            </w:r>
          </w:p>
        </w:tc>
        <w:tc>
          <w:tcPr>
            <w:tcW w:w="547" w:type="pct"/>
            <w:tcBorders>
              <w:top w:val="nil"/>
              <w:left w:val="nil"/>
              <w:bottom w:val="nil"/>
              <w:right w:val="nil"/>
            </w:tcBorders>
            <w:shd w:val="clear" w:color="auto" w:fill="auto"/>
            <w:noWrap/>
            <w:vAlign w:val="center"/>
            <w:hideMark/>
          </w:tcPr>
          <w:p w14:paraId="3EC69FC6"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-4 900</w:t>
            </w:r>
          </w:p>
        </w:tc>
        <w:tc>
          <w:tcPr>
            <w:tcW w:w="519" w:type="pct"/>
            <w:tcBorders>
              <w:top w:val="nil"/>
              <w:left w:val="nil"/>
              <w:bottom w:val="nil"/>
              <w:right w:val="nil"/>
            </w:tcBorders>
            <w:shd w:val="clear" w:color="auto" w:fill="auto"/>
            <w:noWrap/>
            <w:vAlign w:val="center"/>
            <w:hideMark/>
          </w:tcPr>
          <w:p w14:paraId="64EC4445"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0,00</w:t>
            </w:r>
          </w:p>
        </w:tc>
      </w:tr>
      <w:tr w:rsidR="004C6700" w:rsidRPr="00836EB5" w14:paraId="547A50FF" w14:textId="77777777" w:rsidTr="00836EB5">
        <w:trPr>
          <w:trHeight w:val="520"/>
        </w:trPr>
        <w:tc>
          <w:tcPr>
            <w:tcW w:w="3934" w:type="pct"/>
            <w:tcBorders>
              <w:top w:val="nil"/>
              <w:left w:val="nil"/>
              <w:bottom w:val="nil"/>
              <w:right w:val="nil"/>
            </w:tcBorders>
            <w:shd w:val="clear" w:color="auto" w:fill="auto"/>
            <w:vAlign w:val="center"/>
            <w:hideMark/>
          </w:tcPr>
          <w:p w14:paraId="508D4F1C"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platba za správu verejného zdravotného poistenia súkromným </w:t>
            </w:r>
            <w:r w:rsidRPr="00836EB5">
              <w:rPr>
                <w:rFonts w:eastAsia="Times New Roman" w:cs="Times New Roman"/>
                <w:color w:val="000000"/>
                <w:sz w:val="18"/>
                <w:szCs w:val="18"/>
                <w:lang w:eastAsia="sk-SK"/>
              </w:rPr>
              <w:br/>
              <w:t xml:space="preserve">       zdrav. poisťovniam</w:t>
            </w:r>
          </w:p>
        </w:tc>
        <w:tc>
          <w:tcPr>
            <w:tcW w:w="547" w:type="pct"/>
            <w:tcBorders>
              <w:top w:val="nil"/>
              <w:left w:val="nil"/>
              <w:bottom w:val="nil"/>
              <w:right w:val="nil"/>
            </w:tcBorders>
            <w:shd w:val="clear" w:color="auto" w:fill="auto"/>
            <w:noWrap/>
            <w:vAlign w:val="center"/>
            <w:hideMark/>
          </w:tcPr>
          <w:p w14:paraId="5820C348"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-92 708</w:t>
            </w:r>
          </w:p>
        </w:tc>
        <w:tc>
          <w:tcPr>
            <w:tcW w:w="519" w:type="pct"/>
            <w:tcBorders>
              <w:top w:val="nil"/>
              <w:left w:val="nil"/>
              <w:bottom w:val="nil"/>
              <w:right w:val="nil"/>
            </w:tcBorders>
            <w:shd w:val="clear" w:color="auto" w:fill="auto"/>
            <w:noWrap/>
            <w:vAlign w:val="center"/>
            <w:hideMark/>
          </w:tcPr>
          <w:p w14:paraId="7BF08063"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-0,08</w:t>
            </w:r>
          </w:p>
        </w:tc>
      </w:tr>
      <w:tr w:rsidR="004C6700" w:rsidRPr="00836EB5" w14:paraId="7104487D" w14:textId="77777777" w:rsidTr="00836EB5">
        <w:trPr>
          <w:trHeight w:val="280"/>
        </w:trPr>
        <w:tc>
          <w:tcPr>
            <w:tcW w:w="3934" w:type="pct"/>
            <w:tcBorders>
              <w:top w:val="nil"/>
              <w:left w:val="nil"/>
              <w:bottom w:val="nil"/>
              <w:right w:val="nil"/>
            </w:tcBorders>
            <w:shd w:val="clear" w:color="auto" w:fill="auto"/>
            <w:noWrap/>
            <w:vAlign w:val="center"/>
            <w:hideMark/>
          </w:tcPr>
          <w:p w14:paraId="73822A5D"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lastRenderedPageBreak/>
              <w:t xml:space="preserve">     - ostatné</w:t>
            </w:r>
          </w:p>
        </w:tc>
        <w:tc>
          <w:tcPr>
            <w:tcW w:w="547" w:type="pct"/>
            <w:tcBorders>
              <w:top w:val="nil"/>
              <w:left w:val="nil"/>
              <w:bottom w:val="nil"/>
              <w:right w:val="nil"/>
            </w:tcBorders>
            <w:shd w:val="clear" w:color="auto" w:fill="auto"/>
            <w:noWrap/>
            <w:vAlign w:val="center"/>
            <w:hideMark/>
          </w:tcPr>
          <w:p w14:paraId="63A028EB" w14:textId="77777777" w:rsidR="004C6700" w:rsidRPr="00836EB5" w:rsidRDefault="004C6700" w:rsidP="00836EB5">
            <w:pPr>
              <w:spacing w:after="0" w:line="240" w:lineRule="auto"/>
              <w:jc w:val="right"/>
              <w:rPr>
                <w:rFonts w:eastAsia="Times New Roman" w:cs="Times New Roman"/>
                <w:sz w:val="18"/>
                <w:szCs w:val="18"/>
                <w:lang w:eastAsia="sk-SK"/>
              </w:rPr>
            </w:pPr>
            <w:r w:rsidRPr="00836EB5">
              <w:rPr>
                <w:rFonts w:eastAsia="Times New Roman" w:cs="Times New Roman"/>
                <w:sz w:val="18"/>
                <w:szCs w:val="18"/>
                <w:lang w:eastAsia="sk-SK"/>
              </w:rPr>
              <w:t>243 315</w:t>
            </w:r>
          </w:p>
        </w:tc>
        <w:tc>
          <w:tcPr>
            <w:tcW w:w="519" w:type="pct"/>
            <w:tcBorders>
              <w:top w:val="nil"/>
              <w:left w:val="nil"/>
              <w:bottom w:val="nil"/>
              <w:right w:val="nil"/>
            </w:tcBorders>
            <w:shd w:val="clear" w:color="auto" w:fill="auto"/>
            <w:noWrap/>
            <w:vAlign w:val="center"/>
            <w:hideMark/>
          </w:tcPr>
          <w:p w14:paraId="124EB862"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0,20</w:t>
            </w:r>
          </w:p>
        </w:tc>
      </w:tr>
      <w:tr w:rsidR="004C6700" w:rsidRPr="00836EB5" w14:paraId="75CA96F7" w14:textId="77777777" w:rsidTr="00836EB5">
        <w:trPr>
          <w:trHeight w:val="585"/>
        </w:trPr>
        <w:tc>
          <w:tcPr>
            <w:tcW w:w="3934" w:type="pct"/>
            <w:tcBorders>
              <w:top w:val="nil"/>
              <w:left w:val="nil"/>
              <w:bottom w:val="nil"/>
              <w:right w:val="nil"/>
            </w:tcBorders>
            <w:shd w:val="clear" w:color="auto" w:fill="auto"/>
            <w:vAlign w:val="center"/>
            <w:hideMark/>
          </w:tcPr>
          <w:p w14:paraId="4C5DC8CA" w14:textId="77777777" w:rsidR="004C6700" w:rsidRPr="00836EB5" w:rsidRDefault="004C6700" w:rsidP="00836EB5">
            <w:pPr>
              <w:spacing w:after="0" w:line="240" w:lineRule="auto"/>
              <w:jc w:val="left"/>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 xml:space="preserve">8. Rozdiel v hospodárení ústredných subjektov verejnej správy </w:t>
            </w:r>
            <w:r w:rsidRPr="00836EB5">
              <w:rPr>
                <w:rFonts w:eastAsia="Times New Roman" w:cs="Times New Roman"/>
                <w:b/>
                <w:bCs/>
                <w:color w:val="000000"/>
                <w:sz w:val="18"/>
                <w:szCs w:val="18"/>
                <w:lang w:eastAsia="sk-SK"/>
              </w:rPr>
              <w:br/>
              <w:t xml:space="preserve">    bez daňových príjmov</w:t>
            </w:r>
          </w:p>
        </w:tc>
        <w:tc>
          <w:tcPr>
            <w:tcW w:w="547" w:type="pct"/>
            <w:tcBorders>
              <w:top w:val="nil"/>
              <w:left w:val="nil"/>
              <w:bottom w:val="nil"/>
              <w:right w:val="nil"/>
            </w:tcBorders>
            <w:shd w:val="clear" w:color="auto" w:fill="auto"/>
            <w:noWrap/>
            <w:vAlign w:val="center"/>
            <w:hideMark/>
          </w:tcPr>
          <w:p w14:paraId="44ECBE15" w14:textId="77777777" w:rsidR="004C6700" w:rsidRPr="00836EB5" w:rsidRDefault="004C6700" w:rsidP="00836EB5">
            <w:pPr>
              <w:spacing w:after="0" w:line="240" w:lineRule="auto"/>
              <w:jc w:val="right"/>
              <w:rPr>
                <w:rFonts w:eastAsia="Times New Roman" w:cs="Times New Roman"/>
                <w:b/>
                <w:bCs/>
                <w:i/>
                <w:iCs/>
                <w:color w:val="000000"/>
                <w:sz w:val="18"/>
                <w:szCs w:val="18"/>
                <w:lang w:eastAsia="sk-SK"/>
              </w:rPr>
            </w:pPr>
            <w:r w:rsidRPr="00836EB5">
              <w:rPr>
                <w:rFonts w:eastAsia="Times New Roman" w:cs="Times New Roman"/>
                <w:b/>
                <w:bCs/>
                <w:i/>
                <w:iCs/>
                <w:color w:val="000000"/>
                <w:sz w:val="18"/>
                <w:szCs w:val="18"/>
                <w:lang w:eastAsia="sk-SK"/>
              </w:rPr>
              <w:t>126 306</w:t>
            </w:r>
          </w:p>
        </w:tc>
        <w:tc>
          <w:tcPr>
            <w:tcW w:w="519" w:type="pct"/>
            <w:tcBorders>
              <w:top w:val="nil"/>
              <w:left w:val="nil"/>
              <w:bottom w:val="nil"/>
              <w:right w:val="nil"/>
            </w:tcBorders>
            <w:shd w:val="clear" w:color="auto" w:fill="auto"/>
            <w:noWrap/>
            <w:vAlign w:val="center"/>
            <w:hideMark/>
          </w:tcPr>
          <w:p w14:paraId="4944F728"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0,10</w:t>
            </w:r>
          </w:p>
        </w:tc>
      </w:tr>
      <w:tr w:rsidR="004C6700" w:rsidRPr="00836EB5" w14:paraId="6A19ED9E" w14:textId="77777777" w:rsidTr="00836EB5">
        <w:trPr>
          <w:trHeight w:val="280"/>
        </w:trPr>
        <w:tc>
          <w:tcPr>
            <w:tcW w:w="3934" w:type="pct"/>
            <w:tcBorders>
              <w:top w:val="nil"/>
              <w:left w:val="nil"/>
              <w:bottom w:val="nil"/>
              <w:right w:val="nil"/>
            </w:tcBorders>
            <w:shd w:val="clear" w:color="auto" w:fill="auto"/>
            <w:vAlign w:val="center"/>
            <w:hideMark/>
          </w:tcPr>
          <w:p w14:paraId="780E6EF9"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obchodné spoločnosti štátu</w:t>
            </w:r>
          </w:p>
        </w:tc>
        <w:tc>
          <w:tcPr>
            <w:tcW w:w="547" w:type="pct"/>
            <w:tcBorders>
              <w:top w:val="nil"/>
              <w:left w:val="nil"/>
              <w:bottom w:val="nil"/>
              <w:right w:val="nil"/>
            </w:tcBorders>
            <w:shd w:val="clear" w:color="auto" w:fill="auto"/>
            <w:noWrap/>
            <w:vAlign w:val="center"/>
            <w:hideMark/>
          </w:tcPr>
          <w:p w14:paraId="5CC4405D"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51 595</w:t>
            </w:r>
          </w:p>
        </w:tc>
        <w:tc>
          <w:tcPr>
            <w:tcW w:w="519" w:type="pct"/>
            <w:tcBorders>
              <w:top w:val="nil"/>
              <w:left w:val="nil"/>
              <w:bottom w:val="nil"/>
              <w:right w:val="nil"/>
            </w:tcBorders>
            <w:shd w:val="clear" w:color="auto" w:fill="auto"/>
            <w:noWrap/>
            <w:vAlign w:val="center"/>
            <w:hideMark/>
          </w:tcPr>
          <w:p w14:paraId="6FE61E01"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0,04</w:t>
            </w:r>
          </w:p>
        </w:tc>
      </w:tr>
      <w:tr w:rsidR="004C6700" w:rsidRPr="00836EB5" w14:paraId="0269D4D5" w14:textId="77777777" w:rsidTr="00836EB5">
        <w:trPr>
          <w:trHeight w:val="310"/>
        </w:trPr>
        <w:tc>
          <w:tcPr>
            <w:tcW w:w="3934" w:type="pct"/>
            <w:tcBorders>
              <w:top w:val="nil"/>
              <w:left w:val="nil"/>
              <w:bottom w:val="nil"/>
              <w:right w:val="nil"/>
            </w:tcBorders>
            <w:shd w:val="clear" w:color="auto" w:fill="auto"/>
            <w:vAlign w:val="center"/>
            <w:hideMark/>
          </w:tcPr>
          <w:p w14:paraId="7FBDBDE8"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Slovak </w:t>
            </w:r>
            <w:proofErr w:type="spellStart"/>
            <w:r w:rsidRPr="00836EB5">
              <w:rPr>
                <w:rFonts w:eastAsia="Times New Roman" w:cs="Times New Roman"/>
                <w:color w:val="000000"/>
                <w:sz w:val="18"/>
                <w:szCs w:val="18"/>
                <w:lang w:eastAsia="sk-SK"/>
              </w:rPr>
              <w:t>Investment</w:t>
            </w:r>
            <w:proofErr w:type="spellEnd"/>
            <w:r w:rsidRPr="00836EB5">
              <w:rPr>
                <w:rFonts w:eastAsia="Times New Roman" w:cs="Times New Roman"/>
                <w:color w:val="000000"/>
                <w:sz w:val="18"/>
                <w:szCs w:val="18"/>
                <w:lang w:eastAsia="sk-SK"/>
              </w:rPr>
              <w:t xml:space="preserve"> Holding (SIH)</w:t>
            </w:r>
            <w:r w:rsidRPr="00836EB5">
              <w:rPr>
                <w:rFonts w:eastAsia="Times New Roman" w:cs="Times New Roman"/>
                <w:color w:val="000000"/>
                <w:sz w:val="18"/>
                <w:szCs w:val="18"/>
                <w:vertAlign w:val="superscript"/>
                <w:lang w:eastAsia="sk-SK"/>
              </w:rPr>
              <w:t>1)</w:t>
            </w:r>
          </w:p>
        </w:tc>
        <w:tc>
          <w:tcPr>
            <w:tcW w:w="547" w:type="pct"/>
            <w:tcBorders>
              <w:top w:val="nil"/>
              <w:left w:val="nil"/>
              <w:bottom w:val="nil"/>
              <w:right w:val="nil"/>
            </w:tcBorders>
            <w:shd w:val="clear" w:color="auto" w:fill="auto"/>
            <w:noWrap/>
            <w:vAlign w:val="center"/>
            <w:hideMark/>
          </w:tcPr>
          <w:p w14:paraId="2D2B629F"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89 524</w:t>
            </w:r>
          </w:p>
        </w:tc>
        <w:tc>
          <w:tcPr>
            <w:tcW w:w="519" w:type="pct"/>
            <w:tcBorders>
              <w:top w:val="nil"/>
              <w:left w:val="nil"/>
              <w:bottom w:val="nil"/>
              <w:right w:val="nil"/>
            </w:tcBorders>
            <w:shd w:val="clear" w:color="auto" w:fill="auto"/>
            <w:noWrap/>
            <w:vAlign w:val="center"/>
            <w:hideMark/>
          </w:tcPr>
          <w:p w14:paraId="7473329E"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0,07</w:t>
            </w:r>
          </w:p>
        </w:tc>
      </w:tr>
      <w:tr w:rsidR="004C6700" w:rsidRPr="00836EB5" w14:paraId="73884179" w14:textId="77777777" w:rsidTr="00836EB5">
        <w:trPr>
          <w:trHeight w:val="280"/>
        </w:trPr>
        <w:tc>
          <w:tcPr>
            <w:tcW w:w="3934" w:type="pct"/>
            <w:tcBorders>
              <w:top w:val="nil"/>
              <w:left w:val="nil"/>
              <w:bottom w:val="nil"/>
              <w:right w:val="nil"/>
            </w:tcBorders>
            <w:shd w:val="clear" w:color="auto" w:fill="auto"/>
            <w:noWrap/>
            <w:vAlign w:val="center"/>
            <w:hideMark/>
          </w:tcPr>
          <w:p w14:paraId="3116A58E" w14:textId="77777777" w:rsidR="004C6700" w:rsidRPr="00836EB5" w:rsidRDefault="004C6700" w:rsidP="00836EB5">
            <w:pPr>
              <w:spacing w:after="0" w:line="240" w:lineRule="auto"/>
              <w:jc w:val="left"/>
              <w:rPr>
                <w:rFonts w:eastAsia="Times New Roman" w:cs="Times New Roman"/>
                <w:sz w:val="18"/>
                <w:szCs w:val="18"/>
                <w:lang w:eastAsia="sk-SK"/>
              </w:rPr>
            </w:pPr>
            <w:r w:rsidRPr="00836EB5">
              <w:rPr>
                <w:rFonts w:eastAsia="Times New Roman" w:cs="Times New Roman"/>
                <w:sz w:val="18"/>
                <w:szCs w:val="18"/>
                <w:lang w:eastAsia="sk-SK"/>
              </w:rPr>
              <w:t xml:space="preserve">     - zdravotnícke zariadenia ústredné</w:t>
            </w:r>
          </w:p>
        </w:tc>
        <w:tc>
          <w:tcPr>
            <w:tcW w:w="547" w:type="pct"/>
            <w:tcBorders>
              <w:top w:val="nil"/>
              <w:left w:val="nil"/>
              <w:bottom w:val="nil"/>
              <w:right w:val="nil"/>
            </w:tcBorders>
            <w:shd w:val="clear" w:color="auto" w:fill="auto"/>
            <w:noWrap/>
            <w:vAlign w:val="center"/>
            <w:hideMark/>
          </w:tcPr>
          <w:p w14:paraId="4CD9F894"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-287 437</w:t>
            </w:r>
          </w:p>
        </w:tc>
        <w:tc>
          <w:tcPr>
            <w:tcW w:w="519" w:type="pct"/>
            <w:tcBorders>
              <w:top w:val="nil"/>
              <w:left w:val="nil"/>
              <w:bottom w:val="nil"/>
              <w:right w:val="nil"/>
            </w:tcBorders>
            <w:shd w:val="clear" w:color="auto" w:fill="auto"/>
            <w:noWrap/>
            <w:vAlign w:val="center"/>
            <w:hideMark/>
          </w:tcPr>
          <w:p w14:paraId="612214E3"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-0,23</w:t>
            </w:r>
          </w:p>
        </w:tc>
      </w:tr>
      <w:tr w:rsidR="004C6700" w:rsidRPr="00836EB5" w14:paraId="1AF07FAA" w14:textId="77777777" w:rsidTr="00836EB5">
        <w:trPr>
          <w:trHeight w:val="280"/>
        </w:trPr>
        <w:tc>
          <w:tcPr>
            <w:tcW w:w="3934" w:type="pct"/>
            <w:tcBorders>
              <w:top w:val="nil"/>
              <w:left w:val="nil"/>
              <w:bottom w:val="nil"/>
              <w:right w:val="nil"/>
            </w:tcBorders>
            <w:shd w:val="clear" w:color="auto" w:fill="auto"/>
            <w:noWrap/>
            <w:vAlign w:val="center"/>
            <w:hideMark/>
          </w:tcPr>
          <w:p w14:paraId="4D44A635" w14:textId="77777777" w:rsidR="004C6700" w:rsidRPr="00836EB5" w:rsidRDefault="004C6700" w:rsidP="00836EB5">
            <w:pPr>
              <w:spacing w:after="0" w:line="240" w:lineRule="auto"/>
              <w:jc w:val="left"/>
              <w:rPr>
                <w:rFonts w:eastAsia="Times New Roman" w:cs="Times New Roman"/>
                <w:sz w:val="18"/>
                <w:szCs w:val="18"/>
                <w:lang w:eastAsia="sk-SK"/>
              </w:rPr>
            </w:pPr>
            <w:r w:rsidRPr="00836EB5">
              <w:rPr>
                <w:rFonts w:eastAsia="Times New Roman" w:cs="Times New Roman"/>
                <w:sz w:val="18"/>
                <w:szCs w:val="18"/>
                <w:lang w:eastAsia="sk-SK"/>
              </w:rPr>
              <w:t xml:space="preserve">     - VVŠ</w:t>
            </w:r>
          </w:p>
        </w:tc>
        <w:tc>
          <w:tcPr>
            <w:tcW w:w="547" w:type="pct"/>
            <w:tcBorders>
              <w:top w:val="nil"/>
              <w:left w:val="nil"/>
              <w:bottom w:val="nil"/>
              <w:right w:val="nil"/>
            </w:tcBorders>
            <w:shd w:val="clear" w:color="auto" w:fill="auto"/>
            <w:noWrap/>
            <w:vAlign w:val="center"/>
            <w:hideMark/>
          </w:tcPr>
          <w:p w14:paraId="5DA924C8" w14:textId="77777777" w:rsidR="004C6700" w:rsidRPr="00836EB5" w:rsidRDefault="004C6700" w:rsidP="00836EB5">
            <w:pPr>
              <w:spacing w:after="0" w:line="240" w:lineRule="auto"/>
              <w:jc w:val="right"/>
              <w:rPr>
                <w:rFonts w:eastAsia="Times New Roman" w:cs="Times New Roman"/>
                <w:sz w:val="18"/>
                <w:szCs w:val="18"/>
                <w:lang w:eastAsia="sk-SK"/>
              </w:rPr>
            </w:pPr>
            <w:r w:rsidRPr="00836EB5">
              <w:rPr>
                <w:rFonts w:eastAsia="Times New Roman" w:cs="Times New Roman"/>
                <w:sz w:val="18"/>
                <w:szCs w:val="18"/>
                <w:lang w:eastAsia="sk-SK"/>
              </w:rPr>
              <w:t>27 346</w:t>
            </w:r>
          </w:p>
        </w:tc>
        <w:tc>
          <w:tcPr>
            <w:tcW w:w="519" w:type="pct"/>
            <w:tcBorders>
              <w:top w:val="nil"/>
              <w:left w:val="nil"/>
              <w:bottom w:val="nil"/>
              <w:right w:val="nil"/>
            </w:tcBorders>
            <w:shd w:val="clear" w:color="auto" w:fill="auto"/>
            <w:noWrap/>
            <w:vAlign w:val="center"/>
            <w:hideMark/>
          </w:tcPr>
          <w:p w14:paraId="3CF4EB37"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0,02</w:t>
            </w:r>
          </w:p>
        </w:tc>
      </w:tr>
      <w:tr w:rsidR="004C6700" w:rsidRPr="00836EB5" w14:paraId="5FD713AF" w14:textId="77777777" w:rsidTr="00836EB5">
        <w:trPr>
          <w:trHeight w:val="280"/>
        </w:trPr>
        <w:tc>
          <w:tcPr>
            <w:tcW w:w="3934" w:type="pct"/>
            <w:tcBorders>
              <w:top w:val="nil"/>
              <w:left w:val="nil"/>
              <w:bottom w:val="nil"/>
              <w:right w:val="nil"/>
            </w:tcBorders>
            <w:shd w:val="clear" w:color="auto" w:fill="auto"/>
            <w:noWrap/>
            <w:vAlign w:val="center"/>
            <w:hideMark/>
          </w:tcPr>
          <w:p w14:paraId="175E58B4" w14:textId="77777777" w:rsidR="004C6700" w:rsidRPr="00836EB5" w:rsidRDefault="004C6700" w:rsidP="00836EB5">
            <w:pPr>
              <w:spacing w:after="0" w:line="240" w:lineRule="auto"/>
              <w:jc w:val="left"/>
              <w:rPr>
                <w:rFonts w:eastAsia="Times New Roman" w:cs="Times New Roman"/>
                <w:sz w:val="18"/>
                <w:szCs w:val="18"/>
                <w:lang w:eastAsia="sk-SK"/>
              </w:rPr>
            </w:pPr>
            <w:r w:rsidRPr="00836EB5">
              <w:rPr>
                <w:rFonts w:eastAsia="Times New Roman" w:cs="Times New Roman"/>
                <w:sz w:val="18"/>
                <w:szCs w:val="18"/>
                <w:lang w:eastAsia="sk-SK"/>
              </w:rPr>
              <w:t xml:space="preserve">     - Slovenský pozemkový fond</w:t>
            </w:r>
          </w:p>
        </w:tc>
        <w:tc>
          <w:tcPr>
            <w:tcW w:w="547" w:type="pct"/>
            <w:tcBorders>
              <w:top w:val="nil"/>
              <w:left w:val="nil"/>
              <w:bottom w:val="nil"/>
              <w:right w:val="nil"/>
            </w:tcBorders>
            <w:shd w:val="clear" w:color="auto" w:fill="auto"/>
            <w:noWrap/>
            <w:vAlign w:val="center"/>
            <w:hideMark/>
          </w:tcPr>
          <w:p w14:paraId="197DB0DC"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28 220</w:t>
            </w:r>
          </w:p>
        </w:tc>
        <w:tc>
          <w:tcPr>
            <w:tcW w:w="519" w:type="pct"/>
            <w:tcBorders>
              <w:top w:val="nil"/>
              <w:left w:val="nil"/>
              <w:bottom w:val="nil"/>
              <w:right w:val="nil"/>
            </w:tcBorders>
            <w:shd w:val="clear" w:color="auto" w:fill="auto"/>
            <w:noWrap/>
            <w:vAlign w:val="center"/>
            <w:hideMark/>
          </w:tcPr>
          <w:p w14:paraId="05F695A2"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0,02</w:t>
            </w:r>
          </w:p>
        </w:tc>
      </w:tr>
      <w:tr w:rsidR="004C6700" w:rsidRPr="00836EB5" w14:paraId="3B5A9ACA" w14:textId="77777777" w:rsidTr="00836EB5">
        <w:trPr>
          <w:trHeight w:val="280"/>
        </w:trPr>
        <w:tc>
          <w:tcPr>
            <w:tcW w:w="3934" w:type="pct"/>
            <w:tcBorders>
              <w:top w:val="nil"/>
              <w:left w:val="nil"/>
              <w:bottom w:val="nil"/>
              <w:right w:val="nil"/>
            </w:tcBorders>
            <w:shd w:val="clear" w:color="auto" w:fill="auto"/>
            <w:noWrap/>
            <w:vAlign w:val="center"/>
            <w:hideMark/>
          </w:tcPr>
          <w:p w14:paraId="591B0461"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ostatné subjekty ústrednej správy, z toho:</w:t>
            </w:r>
          </w:p>
        </w:tc>
        <w:tc>
          <w:tcPr>
            <w:tcW w:w="547" w:type="pct"/>
            <w:tcBorders>
              <w:top w:val="nil"/>
              <w:left w:val="nil"/>
              <w:bottom w:val="nil"/>
              <w:right w:val="nil"/>
            </w:tcBorders>
            <w:shd w:val="clear" w:color="auto" w:fill="auto"/>
            <w:noWrap/>
            <w:vAlign w:val="center"/>
            <w:hideMark/>
          </w:tcPr>
          <w:p w14:paraId="7C83D4FA"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217 058</w:t>
            </w:r>
          </w:p>
        </w:tc>
        <w:tc>
          <w:tcPr>
            <w:tcW w:w="519" w:type="pct"/>
            <w:tcBorders>
              <w:top w:val="nil"/>
              <w:left w:val="nil"/>
              <w:bottom w:val="nil"/>
              <w:right w:val="nil"/>
            </w:tcBorders>
            <w:shd w:val="clear" w:color="auto" w:fill="auto"/>
            <w:noWrap/>
            <w:vAlign w:val="center"/>
            <w:hideMark/>
          </w:tcPr>
          <w:p w14:paraId="688E6F8E"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0,18</w:t>
            </w:r>
          </w:p>
        </w:tc>
      </w:tr>
      <w:tr w:rsidR="004C6700" w:rsidRPr="00836EB5" w14:paraId="37D3F39D" w14:textId="77777777" w:rsidTr="00836EB5">
        <w:trPr>
          <w:trHeight w:val="280"/>
        </w:trPr>
        <w:tc>
          <w:tcPr>
            <w:tcW w:w="3934" w:type="pct"/>
            <w:tcBorders>
              <w:top w:val="nil"/>
              <w:left w:val="nil"/>
              <w:bottom w:val="nil"/>
              <w:right w:val="nil"/>
            </w:tcBorders>
            <w:shd w:val="clear" w:color="auto" w:fill="auto"/>
            <w:noWrap/>
            <w:vAlign w:val="center"/>
            <w:hideMark/>
          </w:tcPr>
          <w:p w14:paraId="1DF1090F"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Valaliky Industrial Park, </w:t>
            </w:r>
            <w:proofErr w:type="spellStart"/>
            <w:r w:rsidRPr="00836EB5">
              <w:rPr>
                <w:rFonts w:eastAsia="Times New Roman" w:cs="Times New Roman"/>
                <w:color w:val="000000"/>
                <w:sz w:val="18"/>
                <w:szCs w:val="18"/>
                <w:lang w:eastAsia="sk-SK"/>
              </w:rPr>
              <w:t>a.s</w:t>
            </w:r>
            <w:proofErr w:type="spellEnd"/>
            <w:r w:rsidRPr="00836EB5">
              <w:rPr>
                <w:rFonts w:eastAsia="Times New Roman" w:cs="Times New Roman"/>
                <w:color w:val="000000"/>
                <w:sz w:val="18"/>
                <w:szCs w:val="18"/>
                <w:lang w:eastAsia="sk-SK"/>
              </w:rPr>
              <w:t>.</w:t>
            </w:r>
          </w:p>
        </w:tc>
        <w:tc>
          <w:tcPr>
            <w:tcW w:w="547" w:type="pct"/>
            <w:tcBorders>
              <w:top w:val="nil"/>
              <w:left w:val="nil"/>
              <w:bottom w:val="nil"/>
              <w:right w:val="nil"/>
            </w:tcBorders>
            <w:shd w:val="clear" w:color="auto" w:fill="auto"/>
            <w:noWrap/>
            <w:vAlign w:val="center"/>
            <w:hideMark/>
          </w:tcPr>
          <w:p w14:paraId="42F5377A"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177 003</w:t>
            </w:r>
          </w:p>
        </w:tc>
        <w:tc>
          <w:tcPr>
            <w:tcW w:w="519" w:type="pct"/>
            <w:tcBorders>
              <w:top w:val="nil"/>
              <w:left w:val="nil"/>
              <w:bottom w:val="nil"/>
              <w:right w:val="nil"/>
            </w:tcBorders>
            <w:shd w:val="clear" w:color="auto" w:fill="auto"/>
            <w:noWrap/>
            <w:vAlign w:val="center"/>
            <w:hideMark/>
          </w:tcPr>
          <w:p w14:paraId="545E118B"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0,14</w:t>
            </w:r>
          </w:p>
        </w:tc>
      </w:tr>
      <w:tr w:rsidR="004C6700" w:rsidRPr="00836EB5" w14:paraId="7ADA8D76" w14:textId="77777777" w:rsidTr="00836EB5">
        <w:trPr>
          <w:trHeight w:val="280"/>
        </w:trPr>
        <w:tc>
          <w:tcPr>
            <w:tcW w:w="3934" w:type="pct"/>
            <w:tcBorders>
              <w:top w:val="nil"/>
              <w:left w:val="nil"/>
              <w:bottom w:val="nil"/>
              <w:right w:val="nil"/>
            </w:tcBorders>
            <w:shd w:val="clear" w:color="auto" w:fill="auto"/>
            <w:noWrap/>
            <w:vAlign w:val="center"/>
            <w:hideMark/>
          </w:tcPr>
          <w:p w14:paraId="59359A03"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Slovenský vodohospodársky podnik, </w:t>
            </w:r>
            <w:proofErr w:type="spellStart"/>
            <w:r w:rsidRPr="00836EB5">
              <w:rPr>
                <w:rFonts w:eastAsia="Times New Roman" w:cs="Times New Roman"/>
                <w:color w:val="000000"/>
                <w:sz w:val="18"/>
                <w:szCs w:val="18"/>
                <w:lang w:eastAsia="sk-SK"/>
              </w:rPr>
              <w:t>š.p</w:t>
            </w:r>
            <w:proofErr w:type="spellEnd"/>
            <w:r w:rsidRPr="00836EB5">
              <w:rPr>
                <w:rFonts w:eastAsia="Times New Roman" w:cs="Times New Roman"/>
                <w:color w:val="000000"/>
                <w:sz w:val="18"/>
                <w:szCs w:val="18"/>
                <w:lang w:eastAsia="sk-SK"/>
              </w:rPr>
              <w:t>.</w:t>
            </w:r>
          </w:p>
        </w:tc>
        <w:tc>
          <w:tcPr>
            <w:tcW w:w="547" w:type="pct"/>
            <w:tcBorders>
              <w:top w:val="nil"/>
              <w:left w:val="nil"/>
              <w:bottom w:val="nil"/>
              <w:right w:val="nil"/>
            </w:tcBorders>
            <w:shd w:val="clear" w:color="auto" w:fill="auto"/>
            <w:noWrap/>
            <w:vAlign w:val="center"/>
            <w:hideMark/>
          </w:tcPr>
          <w:p w14:paraId="786245F8"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39 491</w:t>
            </w:r>
          </w:p>
        </w:tc>
        <w:tc>
          <w:tcPr>
            <w:tcW w:w="519" w:type="pct"/>
            <w:tcBorders>
              <w:top w:val="nil"/>
              <w:left w:val="nil"/>
              <w:bottom w:val="nil"/>
              <w:right w:val="nil"/>
            </w:tcBorders>
            <w:shd w:val="clear" w:color="auto" w:fill="auto"/>
            <w:noWrap/>
            <w:vAlign w:val="center"/>
            <w:hideMark/>
          </w:tcPr>
          <w:p w14:paraId="6D2335F9"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0,03</w:t>
            </w:r>
          </w:p>
        </w:tc>
      </w:tr>
      <w:tr w:rsidR="004C6700" w:rsidRPr="00836EB5" w14:paraId="3D63D61A" w14:textId="77777777" w:rsidTr="00836EB5">
        <w:trPr>
          <w:trHeight w:val="280"/>
        </w:trPr>
        <w:tc>
          <w:tcPr>
            <w:tcW w:w="3934" w:type="pct"/>
            <w:tcBorders>
              <w:top w:val="nil"/>
              <w:left w:val="nil"/>
              <w:bottom w:val="nil"/>
              <w:right w:val="nil"/>
            </w:tcBorders>
            <w:shd w:val="clear" w:color="auto" w:fill="auto"/>
            <w:vAlign w:val="center"/>
            <w:hideMark/>
          </w:tcPr>
          <w:p w14:paraId="2D71D963" w14:textId="77777777" w:rsidR="004C6700" w:rsidRPr="00836EB5" w:rsidRDefault="004C6700" w:rsidP="00836EB5">
            <w:pPr>
              <w:spacing w:after="0" w:line="240" w:lineRule="auto"/>
              <w:jc w:val="left"/>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9. Rozdiel v hospodárení územnej samosprávy bez daňových príjmov</w:t>
            </w:r>
          </w:p>
        </w:tc>
        <w:tc>
          <w:tcPr>
            <w:tcW w:w="547" w:type="pct"/>
            <w:tcBorders>
              <w:top w:val="nil"/>
              <w:left w:val="nil"/>
              <w:bottom w:val="nil"/>
              <w:right w:val="nil"/>
            </w:tcBorders>
            <w:shd w:val="clear" w:color="auto" w:fill="auto"/>
            <w:noWrap/>
            <w:vAlign w:val="center"/>
            <w:hideMark/>
          </w:tcPr>
          <w:p w14:paraId="03AD65A3" w14:textId="77777777" w:rsidR="004C6700" w:rsidRPr="00836EB5" w:rsidRDefault="004C6700" w:rsidP="00836EB5">
            <w:pPr>
              <w:spacing w:after="0" w:line="240" w:lineRule="auto"/>
              <w:jc w:val="right"/>
              <w:rPr>
                <w:rFonts w:eastAsia="Times New Roman" w:cs="Times New Roman"/>
                <w:b/>
                <w:bCs/>
                <w:i/>
                <w:iCs/>
                <w:color w:val="000000"/>
                <w:sz w:val="18"/>
                <w:szCs w:val="18"/>
                <w:lang w:eastAsia="sk-SK"/>
              </w:rPr>
            </w:pPr>
            <w:r w:rsidRPr="00836EB5">
              <w:rPr>
                <w:rFonts w:eastAsia="Times New Roman" w:cs="Times New Roman"/>
                <w:b/>
                <w:bCs/>
                <w:i/>
                <w:iCs/>
                <w:color w:val="000000"/>
                <w:sz w:val="18"/>
                <w:szCs w:val="18"/>
                <w:lang w:eastAsia="sk-SK"/>
              </w:rPr>
              <w:t>380 530</w:t>
            </w:r>
          </w:p>
        </w:tc>
        <w:tc>
          <w:tcPr>
            <w:tcW w:w="519" w:type="pct"/>
            <w:tcBorders>
              <w:top w:val="nil"/>
              <w:left w:val="nil"/>
              <w:bottom w:val="nil"/>
              <w:right w:val="nil"/>
            </w:tcBorders>
            <w:shd w:val="clear" w:color="auto" w:fill="auto"/>
            <w:noWrap/>
            <w:vAlign w:val="center"/>
            <w:hideMark/>
          </w:tcPr>
          <w:p w14:paraId="2E20DA4F"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0,31</w:t>
            </w:r>
          </w:p>
        </w:tc>
      </w:tr>
      <w:tr w:rsidR="004C6700" w:rsidRPr="00836EB5" w14:paraId="28FA2043" w14:textId="77777777" w:rsidTr="00836EB5">
        <w:trPr>
          <w:trHeight w:val="280"/>
        </w:trPr>
        <w:tc>
          <w:tcPr>
            <w:tcW w:w="3934" w:type="pct"/>
            <w:tcBorders>
              <w:top w:val="nil"/>
              <w:left w:val="nil"/>
              <w:bottom w:val="nil"/>
              <w:right w:val="nil"/>
            </w:tcBorders>
            <w:shd w:val="clear" w:color="auto" w:fill="auto"/>
            <w:vAlign w:val="center"/>
            <w:hideMark/>
          </w:tcPr>
          <w:p w14:paraId="3A196F46"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obce</w:t>
            </w:r>
          </w:p>
        </w:tc>
        <w:tc>
          <w:tcPr>
            <w:tcW w:w="547" w:type="pct"/>
            <w:tcBorders>
              <w:top w:val="nil"/>
              <w:left w:val="nil"/>
              <w:bottom w:val="nil"/>
              <w:right w:val="nil"/>
            </w:tcBorders>
            <w:shd w:val="clear" w:color="auto" w:fill="auto"/>
            <w:noWrap/>
            <w:vAlign w:val="center"/>
            <w:hideMark/>
          </w:tcPr>
          <w:p w14:paraId="7CCEA35F"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340 726</w:t>
            </w:r>
          </w:p>
        </w:tc>
        <w:tc>
          <w:tcPr>
            <w:tcW w:w="519" w:type="pct"/>
            <w:tcBorders>
              <w:top w:val="nil"/>
              <w:left w:val="nil"/>
              <w:bottom w:val="nil"/>
              <w:right w:val="nil"/>
            </w:tcBorders>
            <w:shd w:val="clear" w:color="auto" w:fill="auto"/>
            <w:noWrap/>
            <w:vAlign w:val="center"/>
            <w:hideMark/>
          </w:tcPr>
          <w:p w14:paraId="1E5E76A3"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0,28</w:t>
            </w:r>
          </w:p>
        </w:tc>
      </w:tr>
      <w:tr w:rsidR="004C6700" w:rsidRPr="00836EB5" w14:paraId="09FF5984" w14:textId="77777777" w:rsidTr="00836EB5">
        <w:trPr>
          <w:trHeight w:val="280"/>
        </w:trPr>
        <w:tc>
          <w:tcPr>
            <w:tcW w:w="3934" w:type="pct"/>
            <w:tcBorders>
              <w:top w:val="nil"/>
              <w:left w:val="nil"/>
              <w:bottom w:val="nil"/>
              <w:right w:val="nil"/>
            </w:tcBorders>
            <w:shd w:val="clear" w:color="auto" w:fill="auto"/>
            <w:vAlign w:val="center"/>
            <w:hideMark/>
          </w:tcPr>
          <w:p w14:paraId="1EB46409"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VÚC</w:t>
            </w:r>
          </w:p>
        </w:tc>
        <w:tc>
          <w:tcPr>
            <w:tcW w:w="547" w:type="pct"/>
            <w:tcBorders>
              <w:top w:val="nil"/>
              <w:left w:val="nil"/>
              <w:bottom w:val="nil"/>
              <w:right w:val="nil"/>
            </w:tcBorders>
            <w:shd w:val="clear" w:color="auto" w:fill="auto"/>
            <w:noWrap/>
            <w:vAlign w:val="center"/>
            <w:hideMark/>
          </w:tcPr>
          <w:p w14:paraId="096E81DE"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-39 828</w:t>
            </w:r>
          </w:p>
        </w:tc>
        <w:tc>
          <w:tcPr>
            <w:tcW w:w="519" w:type="pct"/>
            <w:tcBorders>
              <w:top w:val="nil"/>
              <w:left w:val="nil"/>
              <w:bottom w:val="nil"/>
              <w:right w:val="nil"/>
            </w:tcBorders>
            <w:shd w:val="clear" w:color="auto" w:fill="auto"/>
            <w:noWrap/>
            <w:vAlign w:val="center"/>
            <w:hideMark/>
          </w:tcPr>
          <w:p w14:paraId="6F78D7E5"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-0,03</w:t>
            </w:r>
          </w:p>
        </w:tc>
      </w:tr>
      <w:tr w:rsidR="004C6700" w:rsidRPr="00836EB5" w14:paraId="4290BF5F" w14:textId="77777777" w:rsidTr="00836EB5">
        <w:trPr>
          <w:trHeight w:val="280"/>
        </w:trPr>
        <w:tc>
          <w:tcPr>
            <w:tcW w:w="3934" w:type="pct"/>
            <w:tcBorders>
              <w:top w:val="nil"/>
              <w:left w:val="nil"/>
              <w:bottom w:val="nil"/>
              <w:right w:val="nil"/>
            </w:tcBorders>
            <w:shd w:val="clear" w:color="auto" w:fill="auto"/>
            <w:vAlign w:val="center"/>
            <w:hideMark/>
          </w:tcPr>
          <w:p w14:paraId="2419D108"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dopravné podniky</w:t>
            </w:r>
          </w:p>
        </w:tc>
        <w:tc>
          <w:tcPr>
            <w:tcW w:w="547" w:type="pct"/>
            <w:tcBorders>
              <w:top w:val="nil"/>
              <w:left w:val="nil"/>
              <w:bottom w:val="nil"/>
              <w:right w:val="nil"/>
            </w:tcBorders>
            <w:shd w:val="clear" w:color="auto" w:fill="auto"/>
            <w:noWrap/>
            <w:vAlign w:val="center"/>
            <w:hideMark/>
          </w:tcPr>
          <w:p w14:paraId="0D74DC9A"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95 569</w:t>
            </w:r>
          </w:p>
        </w:tc>
        <w:tc>
          <w:tcPr>
            <w:tcW w:w="519" w:type="pct"/>
            <w:tcBorders>
              <w:top w:val="nil"/>
              <w:left w:val="nil"/>
              <w:bottom w:val="nil"/>
              <w:right w:val="nil"/>
            </w:tcBorders>
            <w:shd w:val="clear" w:color="auto" w:fill="auto"/>
            <w:noWrap/>
            <w:vAlign w:val="center"/>
            <w:hideMark/>
          </w:tcPr>
          <w:p w14:paraId="573FB85D"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0,08</w:t>
            </w:r>
          </w:p>
        </w:tc>
      </w:tr>
      <w:tr w:rsidR="004C6700" w:rsidRPr="00836EB5" w14:paraId="74DD9FD0" w14:textId="77777777" w:rsidTr="00836EB5">
        <w:trPr>
          <w:trHeight w:val="280"/>
        </w:trPr>
        <w:tc>
          <w:tcPr>
            <w:tcW w:w="3934" w:type="pct"/>
            <w:tcBorders>
              <w:top w:val="nil"/>
              <w:left w:val="nil"/>
              <w:bottom w:val="nil"/>
              <w:right w:val="nil"/>
            </w:tcBorders>
            <w:shd w:val="clear" w:color="auto" w:fill="auto"/>
            <w:vAlign w:val="center"/>
            <w:hideMark/>
          </w:tcPr>
          <w:p w14:paraId="460A7574"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príspevkové organizácie obcí a VÚC</w:t>
            </w:r>
          </w:p>
        </w:tc>
        <w:tc>
          <w:tcPr>
            <w:tcW w:w="547" w:type="pct"/>
            <w:tcBorders>
              <w:top w:val="nil"/>
              <w:left w:val="nil"/>
              <w:bottom w:val="nil"/>
              <w:right w:val="nil"/>
            </w:tcBorders>
            <w:shd w:val="clear" w:color="auto" w:fill="auto"/>
            <w:noWrap/>
            <w:vAlign w:val="center"/>
            <w:hideMark/>
          </w:tcPr>
          <w:p w14:paraId="1A48CA18"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-2 873</w:t>
            </w:r>
          </w:p>
        </w:tc>
        <w:tc>
          <w:tcPr>
            <w:tcW w:w="519" w:type="pct"/>
            <w:tcBorders>
              <w:top w:val="nil"/>
              <w:left w:val="nil"/>
              <w:bottom w:val="nil"/>
              <w:right w:val="nil"/>
            </w:tcBorders>
            <w:shd w:val="clear" w:color="auto" w:fill="auto"/>
            <w:noWrap/>
            <w:vAlign w:val="center"/>
            <w:hideMark/>
          </w:tcPr>
          <w:p w14:paraId="757DC438"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0,00</w:t>
            </w:r>
          </w:p>
        </w:tc>
      </w:tr>
      <w:tr w:rsidR="004C6700" w:rsidRPr="00836EB5" w14:paraId="1A59118D" w14:textId="77777777" w:rsidTr="00836EB5">
        <w:trPr>
          <w:trHeight w:val="280"/>
        </w:trPr>
        <w:tc>
          <w:tcPr>
            <w:tcW w:w="3934" w:type="pct"/>
            <w:tcBorders>
              <w:top w:val="nil"/>
              <w:left w:val="nil"/>
              <w:bottom w:val="nil"/>
              <w:right w:val="nil"/>
            </w:tcBorders>
            <w:shd w:val="clear" w:color="auto" w:fill="auto"/>
            <w:vAlign w:val="center"/>
            <w:hideMark/>
          </w:tcPr>
          <w:p w14:paraId="7548D7FC"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zdravotnícke zariadenia územnej samosprávy</w:t>
            </w:r>
          </w:p>
        </w:tc>
        <w:tc>
          <w:tcPr>
            <w:tcW w:w="547" w:type="pct"/>
            <w:tcBorders>
              <w:top w:val="nil"/>
              <w:left w:val="nil"/>
              <w:bottom w:val="nil"/>
              <w:right w:val="nil"/>
            </w:tcBorders>
            <w:shd w:val="clear" w:color="auto" w:fill="auto"/>
            <w:noWrap/>
            <w:vAlign w:val="center"/>
            <w:hideMark/>
          </w:tcPr>
          <w:p w14:paraId="0692CE45"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-13 645</w:t>
            </w:r>
          </w:p>
        </w:tc>
        <w:tc>
          <w:tcPr>
            <w:tcW w:w="519" w:type="pct"/>
            <w:tcBorders>
              <w:top w:val="nil"/>
              <w:left w:val="nil"/>
              <w:bottom w:val="nil"/>
              <w:right w:val="nil"/>
            </w:tcBorders>
            <w:shd w:val="clear" w:color="auto" w:fill="auto"/>
            <w:noWrap/>
            <w:vAlign w:val="center"/>
            <w:hideMark/>
          </w:tcPr>
          <w:p w14:paraId="48FFD9F3"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-0,01</w:t>
            </w:r>
          </w:p>
        </w:tc>
      </w:tr>
      <w:tr w:rsidR="004C6700" w:rsidRPr="00836EB5" w14:paraId="6177E9EB" w14:textId="77777777" w:rsidTr="00836EB5">
        <w:trPr>
          <w:trHeight w:val="280"/>
        </w:trPr>
        <w:tc>
          <w:tcPr>
            <w:tcW w:w="3934" w:type="pct"/>
            <w:tcBorders>
              <w:top w:val="nil"/>
              <w:left w:val="nil"/>
              <w:bottom w:val="nil"/>
              <w:right w:val="nil"/>
            </w:tcBorders>
            <w:shd w:val="clear" w:color="auto" w:fill="auto"/>
            <w:vAlign w:val="center"/>
            <w:hideMark/>
          </w:tcPr>
          <w:p w14:paraId="660312A1" w14:textId="77777777" w:rsidR="004C6700" w:rsidRPr="00836EB5" w:rsidRDefault="004C6700" w:rsidP="00836EB5">
            <w:pPr>
              <w:spacing w:after="0" w:line="240" w:lineRule="auto"/>
              <w:jc w:val="left"/>
              <w:rPr>
                <w:rFonts w:eastAsia="Times New Roman" w:cs="Times New Roman"/>
                <w:color w:val="000000"/>
                <w:sz w:val="18"/>
                <w:szCs w:val="18"/>
                <w:lang w:eastAsia="sk-SK"/>
              </w:rPr>
            </w:pPr>
            <w:r w:rsidRPr="00836EB5">
              <w:rPr>
                <w:rFonts w:eastAsia="Times New Roman" w:cs="Times New Roman"/>
                <w:color w:val="000000"/>
                <w:sz w:val="18"/>
                <w:szCs w:val="18"/>
                <w:lang w:eastAsia="sk-SK"/>
              </w:rPr>
              <w:t xml:space="preserve">     - ostatné subjekty územnej samosprávy</w:t>
            </w:r>
          </w:p>
        </w:tc>
        <w:tc>
          <w:tcPr>
            <w:tcW w:w="547" w:type="pct"/>
            <w:tcBorders>
              <w:top w:val="nil"/>
              <w:left w:val="nil"/>
              <w:bottom w:val="nil"/>
              <w:right w:val="nil"/>
            </w:tcBorders>
            <w:shd w:val="clear" w:color="auto" w:fill="auto"/>
            <w:noWrap/>
            <w:vAlign w:val="center"/>
            <w:hideMark/>
          </w:tcPr>
          <w:p w14:paraId="1EEEA479"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581</w:t>
            </w:r>
          </w:p>
        </w:tc>
        <w:tc>
          <w:tcPr>
            <w:tcW w:w="519" w:type="pct"/>
            <w:tcBorders>
              <w:top w:val="nil"/>
              <w:left w:val="nil"/>
              <w:bottom w:val="nil"/>
              <w:right w:val="nil"/>
            </w:tcBorders>
            <w:shd w:val="clear" w:color="auto" w:fill="auto"/>
            <w:noWrap/>
            <w:vAlign w:val="center"/>
            <w:hideMark/>
          </w:tcPr>
          <w:p w14:paraId="442884B5" w14:textId="77777777" w:rsidR="004C6700" w:rsidRPr="00836EB5" w:rsidRDefault="004C6700" w:rsidP="00836EB5">
            <w:pPr>
              <w:spacing w:after="0" w:line="240" w:lineRule="auto"/>
              <w:jc w:val="right"/>
              <w:rPr>
                <w:rFonts w:eastAsia="Times New Roman" w:cs="Times New Roman"/>
                <w:color w:val="000000"/>
                <w:sz w:val="18"/>
                <w:szCs w:val="18"/>
                <w:lang w:eastAsia="sk-SK"/>
              </w:rPr>
            </w:pPr>
            <w:r w:rsidRPr="00836EB5">
              <w:rPr>
                <w:rFonts w:eastAsia="Times New Roman" w:cs="Times New Roman"/>
                <w:color w:val="000000"/>
                <w:sz w:val="18"/>
                <w:szCs w:val="18"/>
                <w:lang w:eastAsia="sk-SK"/>
              </w:rPr>
              <w:t>0,00</w:t>
            </w:r>
          </w:p>
        </w:tc>
      </w:tr>
      <w:tr w:rsidR="004C6700" w:rsidRPr="00836EB5" w14:paraId="6E0C36B5" w14:textId="77777777" w:rsidTr="00836EB5">
        <w:trPr>
          <w:trHeight w:val="280"/>
        </w:trPr>
        <w:tc>
          <w:tcPr>
            <w:tcW w:w="3934" w:type="pct"/>
            <w:tcBorders>
              <w:top w:val="nil"/>
              <w:left w:val="nil"/>
              <w:bottom w:val="single" w:sz="4" w:space="0" w:color="auto"/>
              <w:right w:val="nil"/>
            </w:tcBorders>
            <w:shd w:val="clear" w:color="auto" w:fill="auto"/>
            <w:vAlign w:val="center"/>
            <w:hideMark/>
          </w:tcPr>
          <w:p w14:paraId="5055D83A" w14:textId="77777777" w:rsidR="004C6700" w:rsidRPr="00836EB5" w:rsidRDefault="004C6700" w:rsidP="00836EB5">
            <w:pPr>
              <w:spacing w:after="0" w:line="240" w:lineRule="auto"/>
              <w:jc w:val="left"/>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Saldo verejnej správy - skutočnosť</w:t>
            </w:r>
          </w:p>
        </w:tc>
        <w:tc>
          <w:tcPr>
            <w:tcW w:w="547" w:type="pct"/>
            <w:tcBorders>
              <w:top w:val="nil"/>
              <w:left w:val="nil"/>
              <w:bottom w:val="single" w:sz="4" w:space="0" w:color="auto"/>
              <w:right w:val="nil"/>
            </w:tcBorders>
            <w:shd w:val="clear" w:color="auto" w:fill="auto"/>
            <w:noWrap/>
            <w:vAlign w:val="center"/>
            <w:hideMark/>
          </w:tcPr>
          <w:p w14:paraId="08550C94" w14:textId="77777777" w:rsidR="004C6700" w:rsidRPr="00836EB5" w:rsidRDefault="004C6700" w:rsidP="00836EB5">
            <w:pPr>
              <w:spacing w:after="0" w:line="240" w:lineRule="auto"/>
              <w:jc w:val="right"/>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-6 009 813</w:t>
            </w:r>
          </w:p>
        </w:tc>
        <w:tc>
          <w:tcPr>
            <w:tcW w:w="519" w:type="pct"/>
            <w:tcBorders>
              <w:top w:val="nil"/>
              <w:left w:val="nil"/>
              <w:bottom w:val="single" w:sz="4" w:space="0" w:color="auto"/>
              <w:right w:val="nil"/>
            </w:tcBorders>
            <w:shd w:val="clear" w:color="auto" w:fill="auto"/>
            <w:noWrap/>
            <w:vAlign w:val="center"/>
            <w:hideMark/>
          </w:tcPr>
          <w:p w14:paraId="41D045A2" w14:textId="77777777" w:rsidR="004C6700" w:rsidRPr="00836EB5" w:rsidRDefault="004C6700" w:rsidP="00836EB5">
            <w:pPr>
              <w:spacing w:after="0" w:line="240" w:lineRule="auto"/>
              <w:jc w:val="right"/>
              <w:rPr>
                <w:rFonts w:eastAsia="Times New Roman" w:cs="Times New Roman"/>
                <w:b/>
                <w:bCs/>
                <w:color w:val="000000"/>
                <w:sz w:val="18"/>
                <w:szCs w:val="18"/>
                <w:lang w:eastAsia="sk-SK"/>
              </w:rPr>
            </w:pPr>
            <w:r w:rsidRPr="00836EB5">
              <w:rPr>
                <w:rFonts w:eastAsia="Times New Roman" w:cs="Times New Roman"/>
                <w:b/>
                <w:bCs/>
                <w:color w:val="000000"/>
                <w:sz w:val="18"/>
                <w:szCs w:val="18"/>
                <w:lang w:eastAsia="sk-SK"/>
              </w:rPr>
              <w:t>-4,89</w:t>
            </w:r>
          </w:p>
        </w:tc>
      </w:tr>
    </w:tbl>
    <w:p w14:paraId="659BBC4E" w14:textId="1AEB9B14" w:rsidR="004C6700" w:rsidRPr="00836EB5" w:rsidRDefault="004C6700" w:rsidP="004C6700">
      <w:pPr>
        <w:keepLines/>
        <w:spacing w:after="0" w:line="240" w:lineRule="auto"/>
        <w:rPr>
          <w:rFonts w:cs="Times New Roman"/>
          <w:sz w:val="18"/>
          <w:szCs w:val="18"/>
        </w:rPr>
      </w:pPr>
      <w:r w:rsidRPr="00836EB5">
        <w:rPr>
          <w:rFonts w:cs="Times New Roman"/>
          <w:sz w:val="18"/>
          <w:szCs w:val="18"/>
        </w:rPr>
        <w:t>Pozn.: (+) znamená pozitívny vplyv a (-) negatívny vplyv na saldo VS</w:t>
      </w:r>
      <w:r w:rsidRPr="00836EB5">
        <w:rPr>
          <w:rFonts w:cs="Times New Roman"/>
          <w:sz w:val="18"/>
          <w:szCs w:val="18"/>
        </w:rPr>
        <w:tab/>
      </w:r>
      <w:r w:rsidRPr="00836EB5">
        <w:rPr>
          <w:rFonts w:cs="Times New Roman"/>
          <w:sz w:val="18"/>
          <w:szCs w:val="18"/>
        </w:rPr>
        <w:tab/>
      </w:r>
      <w:r w:rsidRPr="00836EB5">
        <w:rPr>
          <w:rFonts w:cs="Times New Roman"/>
          <w:sz w:val="18"/>
          <w:szCs w:val="18"/>
        </w:rPr>
        <w:tab/>
      </w:r>
      <w:r w:rsidRPr="00836EB5">
        <w:rPr>
          <w:rFonts w:cs="Times New Roman"/>
          <w:sz w:val="18"/>
          <w:szCs w:val="18"/>
        </w:rPr>
        <w:tab/>
      </w:r>
      <w:r w:rsidR="00836EB5">
        <w:rPr>
          <w:rFonts w:cs="Times New Roman"/>
          <w:sz w:val="18"/>
          <w:szCs w:val="18"/>
        </w:rPr>
        <w:tab/>
      </w:r>
      <w:r w:rsidRPr="00836EB5">
        <w:rPr>
          <w:rFonts w:cs="Times New Roman"/>
          <w:sz w:val="18"/>
          <w:szCs w:val="18"/>
        </w:rPr>
        <w:tab/>
      </w:r>
      <w:r w:rsidRPr="00836EB5">
        <w:rPr>
          <w:rFonts w:cs="Times New Roman"/>
          <w:sz w:val="18"/>
          <w:szCs w:val="18"/>
        </w:rPr>
        <w:tab/>
        <w:t>Zdroj: MF SR</w:t>
      </w:r>
    </w:p>
    <w:p w14:paraId="2293F499" w14:textId="5C6771C6" w:rsidR="004C6700" w:rsidRPr="00836EB5" w:rsidRDefault="004C6700" w:rsidP="004C6700">
      <w:pPr>
        <w:spacing w:after="0" w:line="240" w:lineRule="auto"/>
        <w:rPr>
          <w:rFonts w:cs="Times New Roman"/>
          <w:sz w:val="18"/>
          <w:szCs w:val="18"/>
        </w:rPr>
      </w:pPr>
      <w:r w:rsidRPr="00836EB5">
        <w:rPr>
          <w:rFonts w:cs="Times New Roman"/>
          <w:sz w:val="18"/>
          <w:szCs w:val="18"/>
          <w:vertAlign w:val="superscript"/>
        </w:rPr>
        <w:t>1)</w:t>
      </w:r>
      <w:r w:rsidRPr="00836EB5">
        <w:rPr>
          <w:rFonts w:cs="Times New Roman"/>
          <w:sz w:val="18"/>
          <w:szCs w:val="18"/>
        </w:rPr>
        <w:t xml:space="preserve"> V roku 2023 boli </w:t>
      </w:r>
      <w:r w:rsidR="00BD7F77">
        <w:rPr>
          <w:rFonts w:cs="Times New Roman"/>
          <w:sz w:val="18"/>
          <w:szCs w:val="18"/>
        </w:rPr>
        <w:t xml:space="preserve"> v rozpočte verejnej správy </w:t>
      </w:r>
      <w:r w:rsidRPr="00836EB5">
        <w:rPr>
          <w:rFonts w:cs="Times New Roman"/>
          <w:sz w:val="18"/>
          <w:szCs w:val="18"/>
        </w:rPr>
        <w:t xml:space="preserve">príjmy a výdavky SIH-u (prebytok vo výške 32 230 tis. eur) </w:t>
      </w:r>
      <w:r w:rsidR="00BD7F77">
        <w:rPr>
          <w:rFonts w:cs="Times New Roman"/>
          <w:sz w:val="18"/>
          <w:szCs w:val="18"/>
        </w:rPr>
        <w:t xml:space="preserve">rozpočtované v rámci ostatných úprav </w:t>
      </w:r>
      <w:r w:rsidRPr="00836EB5">
        <w:rPr>
          <w:rFonts w:cs="Times New Roman"/>
          <w:sz w:val="18"/>
          <w:szCs w:val="18"/>
        </w:rPr>
        <w:t>štátneho rozpočtu a skutočné plnenie SIH-u bolo vykázané samostatne.</w:t>
      </w:r>
    </w:p>
    <w:p w14:paraId="211B5984" w14:textId="77777777" w:rsidR="004C6700" w:rsidRPr="009A4B4E" w:rsidRDefault="004C6700" w:rsidP="004C6700">
      <w:pPr>
        <w:keepNext/>
        <w:spacing w:before="120" w:line="240" w:lineRule="auto"/>
        <w:rPr>
          <w:b/>
          <w:color w:val="5B9BD5" w:themeColor="accent1"/>
          <w:sz w:val="24"/>
          <w:szCs w:val="24"/>
        </w:rPr>
      </w:pPr>
      <w:r w:rsidRPr="009A4B4E">
        <w:rPr>
          <w:sz w:val="24"/>
          <w:szCs w:val="24"/>
        </w:rPr>
        <w:t xml:space="preserve">Vysvetlenie pozitívnej či negatívnej odchýlky od rozpočtu je v nasledujúcom texte pomocou opisu hotovostného plnenia rozpočtu resp. pri významných úpravách hotovostného plnenia aj pomocou vysvetlenia </w:t>
      </w:r>
      <w:proofErr w:type="spellStart"/>
      <w:r w:rsidRPr="009A4B4E">
        <w:rPr>
          <w:sz w:val="24"/>
          <w:szCs w:val="24"/>
        </w:rPr>
        <w:t>akrualizácie</w:t>
      </w:r>
      <w:proofErr w:type="spellEnd"/>
      <w:r w:rsidRPr="009A4B4E">
        <w:rPr>
          <w:sz w:val="24"/>
          <w:szCs w:val="24"/>
        </w:rPr>
        <w:t xml:space="preserve"> podľa metodiky ESA 2010.</w:t>
      </w:r>
      <w:r w:rsidRPr="009A4B4E">
        <w:rPr>
          <w:color w:val="FF0000"/>
          <w:sz w:val="24"/>
          <w:szCs w:val="24"/>
        </w:rPr>
        <w:t xml:space="preserve"> </w:t>
      </w:r>
      <w:r w:rsidRPr="009A4B4E">
        <w:rPr>
          <w:sz w:val="24"/>
          <w:szCs w:val="24"/>
        </w:rPr>
        <w:t>Výsledky hospodárenia podľa zložiek verejnej správy ako aj rozdiel medzi rozp</w:t>
      </w:r>
      <w:r>
        <w:rPr>
          <w:sz w:val="24"/>
          <w:szCs w:val="24"/>
        </w:rPr>
        <w:t>očtom a skutočnosťou za rok 2023</w:t>
      </w:r>
      <w:r w:rsidRPr="009A4B4E">
        <w:rPr>
          <w:sz w:val="24"/>
          <w:szCs w:val="24"/>
        </w:rPr>
        <w:t xml:space="preserve"> sú uvedené v tabuľke </w:t>
      </w:r>
      <w:r w:rsidRPr="009A4B4E">
        <w:rPr>
          <w:b/>
          <w:sz w:val="24"/>
          <w:szCs w:val="24"/>
        </w:rPr>
        <w:t>Schodok verejnej správy podľa jednotlivých (zložiek) subjektov</w:t>
      </w:r>
      <w:r w:rsidRPr="009A4B4E">
        <w:rPr>
          <w:rFonts w:eastAsia="Times New Roman" w:cs="Times New Roman"/>
          <w:b/>
          <w:bCs/>
          <w:color w:val="5B9BD5" w:themeColor="accent1"/>
          <w:sz w:val="20"/>
          <w:szCs w:val="20"/>
          <w:lang w:eastAsia="sk-SK"/>
        </w:rPr>
        <w:t xml:space="preserve"> </w:t>
      </w:r>
      <w:r w:rsidRPr="009A4B4E">
        <w:rPr>
          <w:rFonts w:eastAsia="Times New Roman" w:cs="Times New Roman"/>
          <w:bCs/>
          <w:color w:val="5B9BD5" w:themeColor="accent1"/>
          <w:sz w:val="20"/>
          <w:szCs w:val="20"/>
          <w:lang w:eastAsia="sk-SK"/>
        </w:rPr>
        <w:t xml:space="preserve"> </w:t>
      </w:r>
      <w:r w:rsidRPr="009A4B4E">
        <w:rPr>
          <w:sz w:val="24"/>
          <w:szCs w:val="24"/>
        </w:rPr>
        <w:t>v závere kapitoly.</w:t>
      </w:r>
    </w:p>
    <w:p w14:paraId="75B3E0CA" w14:textId="7129681B" w:rsidR="004C6700" w:rsidRPr="003A5533" w:rsidRDefault="004C6700" w:rsidP="0040034C">
      <w:pPr>
        <w:spacing w:line="240" w:lineRule="auto"/>
        <w:rPr>
          <w:rFonts w:cs="Times New Roman"/>
          <w:b/>
          <w:color w:val="5B9BD5" w:themeColor="accent1"/>
          <w:sz w:val="24"/>
          <w:szCs w:val="24"/>
        </w:rPr>
      </w:pPr>
      <w:r w:rsidRPr="003A5533">
        <w:rPr>
          <w:rFonts w:cs="Times New Roman"/>
          <w:b/>
          <w:color w:val="5B9BD5" w:themeColor="accent1"/>
          <w:sz w:val="24"/>
          <w:szCs w:val="24"/>
        </w:rPr>
        <w:t xml:space="preserve">Hospodárenie </w:t>
      </w:r>
      <w:r>
        <w:rPr>
          <w:rFonts w:cs="Times New Roman"/>
          <w:b/>
          <w:color w:val="5B9BD5" w:themeColor="accent1"/>
          <w:sz w:val="24"/>
          <w:szCs w:val="24"/>
        </w:rPr>
        <w:t>štátneho rozpočtu</w:t>
      </w:r>
      <w:r w:rsidRPr="003A5533">
        <w:rPr>
          <w:rFonts w:cs="Times New Roman"/>
          <w:b/>
          <w:color w:val="5B9BD5" w:themeColor="accent1"/>
          <w:sz w:val="24"/>
          <w:szCs w:val="24"/>
        </w:rPr>
        <w:t xml:space="preserve"> (na nekonsolidovanej báze)</w:t>
      </w:r>
    </w:p>
    <w:p w14:paraId="58853760" w14:textId="137E44FE" w:rsidR="00EB2641" w:rsidRDefault="008A5DB4" w:rsidP="00EB2641">
      <w:pPr>
        <w:spacing w:before="120" w:line="240" w:lineRule="auto"/>
        <w:rPr>
          <w:b/>
          <w:color w:val="5B9BD5" w:themeColor="accent1"/>
          <w:sz w:val="24"/>
          <w:szCs w:val="24"/>
        </w:rPr>
      </w:pPr>
      <w:r>
        <w:rPr>
          <w:b/>
          <w:color w:val="5B9BD5" w:themeColor="accent1"/>
          <w:sz w:val="24"/>
          <w:szCs w:val="24"/>
        </w:rPr>
        <w:t xml:space="preserve">Dividendy </w:t>
      </w:r>
      <w:proofErr w:type="spellStart"/>
      <w:r>
        <w:rPr>
          <w:b/>
          <w:color w:val="5B9BD5" w:themeColor="accent1"/>
          <w:sz w:val="24"/>
          <w:szCs w:val="24"/>
        </w:rPr>
        <w:t>vs</w:t>
      </w:r>
      <w:proofErr w:type="spellEnd"/>
      <w:r>
        <w:rPr>
          <w:b/>
          <w:color w:val="5B9BD5" w:themeColor="accent1"/>
          <w:sz w:val="24"/>
          <w:szCs w:val="24"/>
        </w:rPr>
        <w:t xml:space="preserve">. </w:t>
      </w:r>
      <w:proofErr w:type="spellStart"/>
      <w:r>
        <w:rPr>
          <w:b/>
          <w:color w:val="5B9BD5" w:themeColor="accent1"/>
          <w:sz w:val="24"/>
          <w:szCs w:val="24"/>
        </w:rPr>
        <w:t>s</w:t>
      </w:r>
      <w:r w:rsidR="00EB2641">
        <w:rPr>
          <w:b/>
          <w:color w:val="5B9BD5" w:themeColor="accent1"/>
          <w:sz w:val="24"/>
          <w:szCs w:val="24"/>
        </w:rPr>
        <w:t>uperdividendy</w:t>
      </w:r>
      <w:proofErr w:type="spellEnd"/>
    </w:p>
    <w:p w14:paraId="19BBACC8" w14:textId="1AF6077F" w:rsidR="00EB2641" w:rsidRDefault="004C6700" w:rsidP="00EB2641">
      <w:pPr>
        <w:spacing w:before="120" w:line="240" w:lineRule="auto"/>
        <w:rPr>
          <w:sz w:val="24"/>
          <w:szCs w:val="24"/>
        </w:rPr>
      </w:pPr>
      <w:r w:rsidRPr="007217D2">
        <w:rPr>
          <w:b/>
          <w:sz w:val="24"/>
          <w:szCs w:val="24"/>
        </w:rPr>
        <w:t>Konsolidovaný príjem štátneho rozpočtu z dividend a odvodov zo zisku pre rok 2023</w:t>
      </w:r>
      <w:r w:rsidRPr="00816E7B">
        <w:rPr>
          <w:sz w:val="24"/>
          <w:szCs w:val="24"/>
        </w:rPr>
        <w:t xml:space="preserve"> bol rozpočtovaný vo výške 535 909 tis. eur. </w:t>
      </w:r>
      <w:r>
        <w:rPr>
          <w:sz w:val="24"/>
          <w:szCs w:val="24"/>
        </w:rPr>
        <w:t>Skutočný</w:t>
      </w:r>
      <w:r w:rsidRPr="00816E7B">
        <w:rPr>
          <w:sz w:val="24"/>
          <w:szCs w:val="24"/>
        </w:rPr>
        <w:t xml:space="preserve"> príjem štátneho rozpočtu z dividend a odvodov zo zisku za rok 2023 </w:t>
      </w:r>
      <w:r>
        <w:rPr>
          <w:sz w:val="24"/>
          <w:szCs w:val="24"/>
        </w:rPr>
        <w:t>bol vo výške 590 501 tis. </w:t>
      </w:r>
      <w:r w:rsidRPr="00816E7B">
        <w:rPr>
          <w:sz w:val="24"/>
          <w:szCs w:val="24"/>
        </w:rPr>
        <w:t>eu</w:t>
      </w:r>
      <w:r>
        <w:rPr>
          <w:sz w:val="24"/>
          <w:szCs w:val="24"/>
        </w:rPr>
        <w:t>r. Časť príjmu vo výške 220 015 tis. </w:t>
      </w:r>
      <w:r w:rsidRPr="00816E7B">
        <w:rPr>
          <w:sz w:val="24"/>
          <w:szCs w:val="24"/>
        </w:rPr>
        <w:t xml:space="preserve">eur predstavovala inkaso </w:t>
      </w:r>
      <w:r w:rsidRPr="00EB2641">
        <w:rPr>
          <w:sz w:val="24"/>
          <w:szCs w:val="24"/>
        </w:rPr>
        <w:t>pohľadávky z dividend priznaných v roku 2022 s termínom úhrady v roku 2023 (z toho Slov</w:t>
      </w:r>
      <w:r w:rsidR="0040034C" w:rsidRPr="00EB2641">
        <w:rPr>
          <w:sz w:val="24"/>
          <w:szCs w:val="24"/>
        </w:rPr>
        <w:t>enský plynárenský priemysel, a.</w:t>
      </w:r>
      <w:r w:rsidR="00E5644D">
        <w:rPr>
          <w:sz w:val="24"/>
          <w:szCs w:val="24"/>
        </w:rPr>
        <w:t xml:space="preserve"> </w:t>
      </w:r>
      <w:r w:rsidRPr="00EB2641">
        <w:rPr>
          <w:sz w:val="24"/>
          <w:szCs w:val="24"/>
        </w:rPr>
        <w:t>s. vo výške 220 000 tis. eur a 365.bank, a.</w:t>
      </w:r>
      <w:r w:rsidR="00E5644D">
        <w:rPr>
          <w:sz w:val="24"/>
          <w:szCs w:val="24"/>
        </w:rPr>
        <w:t> </w:t>
      </w:r>
      <w:r w:rsidRPr="00EB2641">
        <w:rPr>
          <w:sz w:val="24"/>
          <w:szCs w:val="24"/>
        </w:rPr>
        <w:t>s</w:t>
      </w:r>
      <w:r w:rsidR="0040034C" w:rsidRPr="00EB2641">
        <w:rPr>
          <w:sz w:val="24"/>
          <w:szCs w:val="24"/>
        </w:rPr>
        <w:t>.</w:t>
      </w:r>
      <w:r w:rsidRPr="00EB2641">
        <w:rPr>
          <w:sz w:val="24"/>
          <w:szCs w:val="24"/>
        </w:rPr>
        <w:t> vo výške 15 tis. eur).</w:t>
      </w:r>
    </w:p>
    <w:p w14:paraId="02AFF5F5" w14:textId="35682ABA" w:rsidR="00EB2641" w:rsidRDefault="004C6700" w:rsidP="00EB2641">
      <w:pPr>
        <w:spacing w:before="120" w:line="240" w:lineRule="auto"/>
        <w:rPr>
          <w:sz w:val="24"/>
          <w:szCs w:val="24"/>
        </w:rPr>
      </w:pPr>
      <w:r w:rsidRPr="00EB2641">
        <w:rPr>
          <w:sz w:val="24"/>
          <w:szCs w:val="24"/>
        </w:rPr>
        <w:t xml:space="preserve">Dividendy a odvody zo zisku, ktoré sú príjmom štátneho rozpočtu podľa metodiky ESA 2010 za príslušný rok, dosiahli </w:t>
      </w:r>
      <w:r w:rsidRPr="006E5787">
        <w:rPr>
          <w:sz w:val="24"/>
          <w:szCs w:val="24"/>
        </w:rPr>
        <w:t>výšku 370 </w:t>
      </w:r>
      <w:r w:rsidR="008F10FA" w:rsidRPr="006E5787">
        <w:rPr>
          <w:sz w:val="24"/>
          <w:szCs w:val="24"/>
        </w:rPr>
        <w:t>595</w:t>
      </w:r>
      <w:r w:rsidRPr="006E5787">
        <w:rPr>
          <w:sz w:val="24"/>
          <w:szCs w:val="24"/>
        </w:rPr>
        <w:t> tis. eur, čo je oproti rozpočtu menej o 165 </w:t>
      </w:r>
      <w:r w:rsidR="008F10FA" w:rsidRPr="006E5787">
        <w:rPr>
          <w:sz w:val="24"/>
          <w:szCs w:val="24"/>
        </w:rPr>
        <w:t>314</w:t>
      </w:r>
      <w:r w:rsidRPr="006E5787">
        <w:rPr>
          <w:sz w:val="24"/>
          <w:szCs w:val="24"/>
        </w:rPr>
        <w:t> tis</w:t>
      </w:r>
      <w:r w:rsidRPr="00EB2641">
        <w:rPr>
          <w:sz w:val="24"/>
          <w:szCs w:val="24"/>
        </w:rPr>
        <w:t>. eur z dôvodu nepriznania dividendy spoločnosťou Slovenský plynárenských priemysel, a.</w:t>
      </w:r>
      <w:r w:rsidR="00E5644D">
        <w:rPr>
          <w:sz w:val="24"/>
          <w:szCs w:val="24"/>
        </w:rPr>
        <w:t xml:space="preserve"> </w:t>
      </w:r>
      <w:r w:rsidRPr="00EB2641">
        <w:rPr>
          <w:sz w:val="24"/>
          <w:szCs w:val="24"/>
        </w:rPr>
        <w:t>s. za rok 2022 a nižším dividendami vyplatenými zo spoločnosti Stredoslovenská energetika, a.</w:t>
      </w:r>
      <w:r w:rsidR="00E5644D">
        <w:rPr>
          <w:sz w:val="24"/>
          <w:szCs w:val="24"/>
        </w:rPr>
        <w:t> </w:t>
      </w:r>
      <w:r w:rsidRPr="00EB2641">
        <w:rPr>
          <w:sz w:val="24"/>
          <w:szCs w:val="24"/>
        </w:rPr>
        <w:t>s.</w:t>
      </w:r>
    </w:p>
    <w:p w14:paraId="6E116061" w14:textId="5E1C6733" w:rsidR="004C6700" w:rsidRPr="00EB2641" w:rsidRDefault="004C6700" w:rsidP="00EB2641">
      <w:pPr>
        <w:spacing w:before="120" w:line="240" w:lineRule="auto"/>
        <w:rPr>
          <w:b/>
          <w:color w:val="5B9BD5" w:themeColor="accent1"/>
          <w:sz w:val="24"/>
          <w:szCs w:val="24"/>
        </w:rPr>
      </w:pPr>
      <w:r w:rsidRPr="00EB2641">
        <w:rPr>
          <w:sz w:val="24"/>
          <w:szCs w:val="24"/>
        </w:rPr>
        <w:t>Rozdiel skutočnosti oproti rozpočtu bol vytvorený aj odlišnými výsledkami hospodárenia generovanými obchodnými spoločnosťami za rok 2022 v porovnaní s predpokladmi známymi v čase zostavovania rozpočtu pre rok 2023.</w:t>
      </w:r>
    </w:p>
    <w:p w14:paraId="43DD8E5F" w14:textId="77777777" w:rsidR="00C80201" w:rsidRDefault="00C80201">
      <w:r>
        <w:br w:type="page"/>
      </w:r>
    </w:p>
    <w:tbl>
      <w:tblPr>
        <w:tblW w:w="5000" w:type="pct"/>
        <w:tblCellMar>
          <w:left w:w="70" w:type="dxa"/>
          <w:right w:w="70" w:type="dxa"/>
        </w:tblCellMar>
        <w:tblLook w:val="04A0" w:firstRow="1" w:lastRow="0" w:firstColumn="1" w:lastColumn="0" w:noHBand="0" w:noVBand="1"/>
      </w:tblPr>
      <w:tblGrid>
        <w:gridCol w:w="3925"/>
        <w:gridCol w:w="1064"/>
        <w:gridCol w:w="1146"/>
        <w:gridCol w:w="1124"/>
        <w:gridCol w:w="1107"/>
        <w:gridCol w:w="848"/>
      </w:tblGrid>
      <w:tr w:rsidR="004C6700" w:rsidRPr="00C30A64" w14:paraId="5561DFF8" w14:textId="77777777" w:rsidTr="00C80201">
        <w:trPr>
          <w:trHeight w:val="300"/>
        </w:trPr>
        <w:tc>
          <w:tcPr>
            <w:tcW w:w="4566" w:type="pct"/>
            <w:gridSpan w:val="5"/>
            <w:tcBorders>
              <w:top w:val="nil"/>
              <w:left w:val="nil"/>
              <w:bottom w:val="nil"/>
              <w:right w:val="nil"/>
            </w:tcBorders>
            <w:shd w:val="clear" w:color="auto" w:fill="auto"/>
            <w:noWrap/>
            <w:vAlign w:val="bottom"/>
            <w:hideMark/>
          </w:tcPr>
          <w:p w14:paraId="2BAB6BD7" w14:textId="0A24E122" w:rsidR="004C6700" w:rsidRPr="00C30A64" w:rsidRDefault="004C6700" w:rsidP="00836EB5">
            <w:pPr>
              <w:spacing w:line="240" w:lineRule="auto"/>
              <w:jc w:val="left"/>
              <w:rPr>
                <w:rFonts w:eastAsia="Times New Roman" w:cs="Times New Roman"/>
                <w:b/>
                <w:bCs/>
                <w:color w:val="5B9BD5"/>
                <w:sz w:val="18"/>
                <w:szCs w:val="18"/>
                <w:lang w:eastAsia="sk-SK"/>
              </w:rPr>
            </w:pPr>
            <w:r>
              <w:rPr>
                <w:rFonts w:eastAsia="Times New Roman" w:cs="Times New Roman"/>
                <w:b/>
                <w:bCs/>
                <w:color w:val="5B9BD5" w:themeColor="accent1"/>
                <w:sz w:val="20"/>
                <w:szCs w:val="20"/>
                <w:lang w:eastAsia="sk-SK"/>
              </w:rPr>
              <w:lastRenderedPageBreak/>
              <w:t>Tabuľka 10</w:t>
            </w:r>
            <w:r w:rsidRPr="006C0BDD">
              <w:rPr>
                <w:rFonts w:eastAsia="Times New Roman" w:cs="Times New Roman"/>
                <w:b/>
                <w:bCs/>
                <w:color w:val="5B9BD5" w:themeColor="accent1"/>
                <w:sz w:val="20"/>
                <w:szCs w:val="20"/>
                <w:lang w:eastAsia="sk-SK"/>
              </w:rPr>
              <w:t xml:space="preserve"> - Príjmy štátneho rozpočtu z dividend a odvodov zo zisku podľa ESA 2010</w:t>
            </w:r>
          </w:p>
        </w:tc>
        <w:tc>
          <w:tcPr>
            <w:tcW w:w="434" w:type="pct"/>
            <w:tcBorders>
              <w:top w:val="nil"/>
              <w:left w:val="nil"/>
              <w:bottom w:val="nil"/>
              <w:right w:val="nil"/>
            </w:tcBorders>
            <w:shd w:val="clear" w:color="auto" w:fill="auto"/>
            <w:noWrap/>
            <w:vAlign w:val="bottom"/>
            <w:hideMark/>
          </w:tcPr>
          <w:p w14:paraId="6A54E1A8" w14:textId="77777777" w:rsidR="004C6700" w:rsidRPr="00C30A64" w:rsidRDefault="004C6700" w:rsidP="00836EB5">
            <w:pPr>
              <w:spacing w:after="0" w:line="240" w:lineRule="auto"/>
              <w:jc w:val="left"/>
              <w:rPr>
                <w:rFonts w:eastAsia="Times New Roman" w:cs="Times New Roman"/>
                <w:b/>
                <w:bCs/>
                <w:color w:val="5B9BD5"/>
                <w:sz w:val="18"/>
                <w:szCs w:val="18"/>
                <w:lang w:eastAsia="sk-SK"/>
              </w:rPr>
            </w:pPr>
          </w:p>
        </w:tc>
      </w:tr>
      <w:tr w:rsidR="004C6700" w:rsidRPr="00C30A64" w14:paraId="20DD5DDE" w14:textId="77777777" w:rsidTr="00C80201">
        <w:trPr>
          <w:trHeight w:val="290"/>
        </w:trPr>
        <w:tc>
          <w:tcPr>
            <w:tcW w:w="2222" w:type="pct"/>
            <w:vMerge w:val="restart"/>
            <w:tcBorders>
              <w:top w:val="single" w:sz="8" w:space="0" w:color="auto"/>
              <w:left w:val="nil"/>
              <w:bottom w:val="single" w:sz="8" w:space="0" w:color="000000"/>
              <w:right w:val="nil"/>
            </w:tcBorders>
            <w:shd w:val="clear" w:color="auto" w:fill="auto"/>
            <w:vAlign w:val="center"/>
            <w:hideMark/>
          </w:tcPr>
          <w:p w14:paraId="26DA0330" w14:textId="10E7439F" w:rsidR="004C6700" w:rsidRPr="00C30A64" w:rsidRDefault="004C6700" w:rsidP="00836EB5">
            <w:pPr>
              <w:spacing w:after="0" w:line="240" w:lineRule="auto"/>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v tis. eur</w:t>
            </w:r>
          </w:p>
        </w:tc>
        <w:tc>
          <w:tcPr>
            <w:tcW w:w="559" w:type="pct"/>
            <w:tcBorders>
              <w:top w:val="single" w:sz="8" w:space="0" w:color="auto"/>
              <w:left w:val="nil"/>
              <w:bottom w:val="nil"/>
              <w:right w:val="nil"/>
            </w:tcBorders>
            <w:shd w:val="clear" w:color="auto" w:fill="auto"/>
            <w:vAlign w:val="center"/>
            <w:hideMark/>
          </w:tcPr>
          <w:p w14:paraId="14B916F7" w14:textId="77777777" w:rsidR="004C6700" w:rsidRPr="00C30A64" w:rsidRDefault="004C6700" w:rsidP="00836EB5">
            <w:pPr>
              <w:spacing w:after="0" w:line="240" w:lineRule="auto"/>
              <w:jc w:val="center"/>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2021 S</w:t>
            </w:r>
          </w:p>
        </w:tc>
        <w:tc>
          <w:tcPr>
            <w:tcW w:w="607" w:type="pct"/>
            <w:tcBorders>
              <w:top w:val="single" w:sz="8" w:space="0" w:color="auto"/>
              <w:left w:val="nil"/>
              <w:bottom w:val="nil"/>
              <w:right w:val="nil"/>
            </w:tcBorders>
            <w:shd w:val="clear" w:color="auto" w:fill="auto"/>
            <w:vAlign w:val="center"/>
            <w:hideMark/>
          </w:tcPr>
          <w:p w14:paraId="1BB2C2FF" w14:textId="77777777" w:rsidR="004C6700" w:rsidRPr="00C30A64" w:rsidRDefault="004C6700" w:rsidP="00836EB5">
            <w:pPr>
              <w:spacing w:after="0" w:line="240" w:lineRule="auto"/>
              <w:jc w:val="center"/>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2022 S</w:t>
            </w:r>
          </w:p>
        </w:tc>
        <w:tc>
          <w:tcPr>
            <w:tcW w:w="594" w:type="pct"/>
            <w:tcBorders>
              <w:top w:val="single" w:sz="8" w:space="0" w:color="auto"/>
              <w:left w:val="nil"/>
              <w:bottom w:val="nil"/>
              <w:right w:val="nil"/>
            </w:tcBorders>
            <w:shd w:val="clear" w:color="auto" w:fill="auto"/>
            <w:vAlign w:val="center"/>
            <w:hideMark/>
          </w:tcPr>
          <w:p w14:paraId="33EF6C21" w14:textId="77777777" w:rsidR="004C6700" w:rsidRPr="00C30A64" w:rsidRDefault="004C6700" w:rsidP="00836EB5">
            <w:pPr>
              <w:spacing w:after="0" w:line="240" w:lineRule="auto"/>
              <w:jc w:val="center"/>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2023 R</w:t>
            </w:r>
          </w:p>
        </w:tc>
        <w:tc>
          <w:tcPr>
            <w:tcW w:w="584" w:type="pct"/>
            <w:tcBorders>
              <w:top w:val="single" w:sz="8" w:space="0" w:color="auto"/>
              <w:left w:val="nil"/>
              <w:bottom w:val="nil"/>
              <w:right w:val="nil"/>
            </w:tcBorders>
            <w:shd w:val="clear" w:color="auto" w:fill="auto"/>
            <w:vAlign w:val="center"/>
            <w:hideMark/>
          </w:tcPr>
          <w:p w14:paraId="03141060" w14:textId="77777777" w:rsidR="004C6700" w:rsidRPr="00C30A64" w:rsidRDefault="004C6700" w:rsidP="00836EB5">
            <w:pPr>
              <w:spacing w:after="0" w:line="240" w:lineRule="auto"/>
              <w:jc w:val="center"/>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2023 S</w:t>
            </w:r>
          </w:p>
        </w:tc>
        <w:tc>
          <w:tcPr>
            <w:tcW w:w="434" w:type="pct"/>
            <w:tcBorders>
              <w:top w:val="single" w:sz="8" w:space="0" w:color="auto"/>
              <w:left w:val="nil"/>
              <w:bottom w:val="nil"/>
              <w:right w:val="nil"/>
            </w:tcBorders>
            <w:shd w:val="clear" w:color="auto" w:fill="auto"/>
            <w:vAlign w:val="center"/>
            <w:hideMark/>
          </w:tcPr>
          <w:p w14:paraId="33C4D2F2" w14:textId="77777777" w:rsidR="004C6700" w:rsidRPr="00C30A64" w:rsidRDefault="004C6700" w:rsidP="00836EB5">
            <w:pPr>
              <w:spacing w:after="0" w:line="240" w:lineRule="auto"/>
              <w:jc w:val="center"/>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 xml:space="preserve">Rozdiel </w:t>
            </w:r>
          </w:p>
        </w:tc>
      </w:tr>
      <w:tr w:rsidR="004C6700" w:rsidRPr="00C30A64" w14:paraId="11B7D503" w14:textId="77777777" w:rsidTr="00C80201">
        <w:trPr>
          <w:trHeight w:val="300"/>
        </w:trPr>
        <w:tc>
          <w:tcPr>
            <w:tcW w:w="2222" w:type="pct"/>
            <w:vMerge/>
            <w:tcBorders>
              <w:top w:val="single" w:sz="8" w:space="0" w:color="auto"/>
              <w:left w:val="nil"/>
              <w:bottom w:val="single" w:sz="8" w:space="0" w:color="000000"/>
              <w:right w:val="nil"/>
            </w:tcBorders>
            <w:vAlign w:val="center"/>
            <w:hideMark/>
          </w:tcPr>
          <w:p w14:paraId="6766D0DB" w14:textId="77777777" w:rsidR="004C6700" w:rsidRPr="00C30A64" w:rsidRDefault="004C6700" w:rsidP="00836EB5">
            <w:pPr>
              <w:spacing w:after="0" w:line="240" w:lineRule="auto"/>
              <w:jc w:val="left"/>
              <w:rPr>
                <w:rFonts w:eastAsia="Times New Roman" w:cs="Times New Roman"/>
                <w:b/>
                <w:bCs/>
                <w:color w:val="000000"/>
                <w:sz w:val="18"/>
                <w:szCs w:val="18"/>
                <w:lang w:eastAsia="sk-SK"/>
              </w:rPr>
            </w:pPr>
          </w:p>
        </w:tc>
        <w:tc>
          <w:tcPr>
            <w:tcW w:w="559" w:type="pct"/>
            <w:tcBorders>
              <w:top w:val="nil"/>
              <w:left w:val="nil"/>
              <w:bottom w:val="single" w:sz="8" w:space="0" w:color="auto"/>
              <w:right w:val="nil"/>
            </w:tcBorders>
            <w:shd w:val="clear" w:color="auto" w:fill="auto"/>
            <w:vAlign w:val="center"/>
            <w:hideMark/>
          </w:tcPr>
          <w:p w14:paraId="6E675F23" w14:textId="77777777" w:rsidR="004C6700" w:rsidRPr="00C30A64" w:rsidRDefault="004C6700" w:rsidP="00836EB5">
            <w:pPr>
              <w:spacing w:after="0" w:line="240" w:lineRule="auto"/>
              <w:jc w:val="center"/>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1</w:t>
            </w:r>
          </w:p>
        </w:tc>
        <w:tc>
          <w:tcPr>
            <w:tcW w:w="607" w:type="pct"/>
            <w:tcBorders>
              <w:top w:val="nil"/>
              <w:left w:val="nil"/>
              <w:bottom w:val="single" w:sz="8" w:space="0" w:color="auto"/>
              <w:right w:val="nil"/>
            </w:tcBorders>
            <w:shd w:val="clear" w:color="auto" w:fill="auto"/>
            <w:vAlign w:val="center"/>
            <w:hideMark/>
          </w:tcPr>
          <w:p w14:paraId="0EB9AC0B" w14:textId="77777777" w:rsidR="004C6700" w:rsidRPr="00C30A64" w:rsidRDefault="004C6700" w:rsidP="00836EB5">
            <w:pPr>
              <w:spacing w:after="0" w:line="240" w:lineRule="auto"/>
              <w:jc w:val="center"/>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2</w:t>
            </w:r>
          </w:p>
        </w:tc>
        <w:tc>
          <w:tcPr>
            <w:tcW w:w="594" w:type="pct"/>
            <w:tcBorders>
              <w:top w:val="nil"/>
              <w:left w:val="nil"/>
              <w:bottom w:val="single" w:sz="8" w:space="0" w:color="auto"/>
              <w:right w:val="nil"/>
            </w:tcBorders>
            <w:shd w:val="clear" w:color="auto" w:fill="auto"/>
            <w:vAlign w:val="center"/>
            <w:hideMark/>
          </w:tcPr>
          <w:p w14:paraId="0409CBE3" w14:textId="77777777" w:rsidR="004C6700" w:rsidRPr="00C30A64" w:rsidRDefault="004C6700" w:rsidP="00836EB5">
            <w:pPr>
              <w:spacing w:after="0" w:line="240" w:lineRule="auto"/>
              <w:jc w:val="center"/>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3</w:t>
            </w:r>
          </w:p>
        </w:tc>
        <w:tc>
          <w:tcPr>
            <w:tcW w:w="584" w:type="pct"/>
            <w:tcBorders>
              <w:top w:val="nil"/>
              <w:left w:val="nil"/>
              <w:bottom w:val="single" w:sz="8" w:space="0" w:color="auto"/>
              <w:right w:val="nil"/>
            </w:tcBorders>
            <w:shd w:val="clear" w:color="auto" w:fill="auto"/>
            <w:vAlign w:val="center"/>
            <w:hideMark/>
          </w:tcPr>
          <w:p w14:paraId="06DF6530" w14:textId="77777777" w:rsidR="004C6700" w:rsidRPr="00C30A64" w:rsidRDefault="004C6700" w:rsidP="00836EB5">
            <w:pPr>
              <w:spacing w:after="0" w:line="240" w:lineRule="auto"/>
              <w:jc w:val="center"/>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4</w:t>
            </w:r>
          </w:p>
        </w:tc>
        <w:tc>
          <w:tcPr>
            <w:tcW w:w="434" w:type="pct"/>
            <w:tcBorders>
              <w:top w:val="nil"/>
              <w:left w:val="nil"/>
              <w:bottom w:val="single" w:sz="8" w:space="0" w:color="auto"/>
              <w:right w:val="nil"/>
            </w:tcBorders>
            <w:shd w:val="clear" w:color="auto" w:fill="auto"/>
            <w:vAlign w:val="center"/>
            <w:hideMark/>
          </w:tcPr>
          <w:p w14:paraId="43398BDF" w14:textId="77777777" w:rsidR="004C6700" w:rsidRPr="00C30A64" w:rsidRDefault="004C6700" w:rsidP="00836EB5">
            <w:pPr>
              <w:spacing w:after="0" w:line="240" w:lineRule="auto"/>
              <w:jc w:val="center"/>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5=4-3</w:t>
            </w:r>
          </w:p>
        </w:tc>
      </w:tr>
      <w:tr w:rsidR="004C6700" w:rsidRPr="00C30A64" w14:paraId="02C583F6" w14:textId="77777777" w:rsidTr="00C80201">
        <w:trPr>
          <w:trHeight w:val="460"/>
        </w:trPr>
        <w:tc>
          <w:tcPr>
            <w:tcW w:w="2222" w:type="pct"/>
            <w:tcBorders>
              <w:top w:val="nil"/>
              <w:left w:val="nil"/>
              <w:bottom w:val="nil"/>
              <w:right w:val="nil"/>
            </w:tcBorders>
            <w:shd w:val="clear" w:color="auto" w:fill="auto"/>
            <w:vAlign w:val="center"/>
            <w:hideMark/>
          </w:tcPr>
          <w:p w14:paraId="54739640" w14:textId="77777777" w:rsidR="004C6700" w:rsidRPr="00C30A64" w:rsidRDefault="004C6700" w:rsidP="00836EB5">
            <w:pPr>
              <w:spacing w:after="0" w:line="240" w:lineRule="auto"/>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Nekonsolidované príjmy z dividend a odvodov zo zisku</w:t>
            </w:r>
          </w:p>
        </w:tc>
        <w:tc>
          <w:tcPr>
            <w:tcW w:w="559" w:type="pct"/>
            <w:tcBorders>
              <w:top w:val="nil"/>
              <w:left w:val="nil"/>
              <w:bottom w:val="nil"/>
              <w:right w:val="nil"/>
            </w:tcBorders>
            <w:shd w:val="clear" w:color="auto" w:fill="auto"/>
            <w:vAlign w:val="center"/>
            <w:hideMark/>
          </w:tcPr>
          <w:p w14:paraId="7157FDFF"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489 955</w:t>
            </w:r>
          </w:p>
        </w:tc>
        <w:tc>
          <w:tcPr>
            <w:tcW w:w="607" w:type="pct"/>
            <w:tcBorders>
              <w:top w:val="nil"/>
              <w:left w:val="nil"/>
              <w:bottom w:val="nil"/>
              <w:right w:val="nil"/>
            </w:tcBorders>
            <w:shd w:val="clear" w:color="auto" w:fill="auto"/>
            <w:vAlign w:val="center"/>
            <w:hideMark/>
          </w:tcPr>
          <w:p w14:paraId="57B81D4A" w14:textId="71D89564" w:rsidR="004C6700" w:rsidRPr="006E5787" w:rsidRDefault="002E52D5" w:rsidP="002A49B4">
            <w:pPr>
              <w:spacing w:after="0" w:line="240" w:lineRule="auto"/>
              <w:jc w:val="right"/>
              <w:rPr>
                <w:rFonts w:eastAsia="Times New Roman" w:cs="Times New Roman"/>
                <w:b/>
                <w:bCs/>
                <w:color w:val="000000"/>
                <w:sz w:val="18"/>
                <w:szCs w:val="18"/>
                <w:lang w:eastAsia="sk-SK"/>
              </w:rPr>
            </w:pPr>
            <w:r w:rsidRPr="006E5787">
              <w:rPr>
                <w:rFonts w:eastAsia="Times New Roman" w:cs="Times New Roman"/>
                <w:b/>
                <w:bCs/>
                <w:color w:val="000000"/>
                <w:sz w:val="18"/>
                <w:szCs w:val="18"/>
                <w:lang w:eastAsia="sk-SK"/>
              </w:rPr>
              <w:t>3</w:t>
            </w:r>
            <w:r w:rsidR="002A49B4">
              <w:rPr>
                <w:rFonts w:eastAsia="Times New Roman" w:cs="Times New Roman"/>
                <w:b/>
                <w:bCs/>
                <w:color w:val="000000"/>
                <w:sz w:val="18"/>
                <w:szCs w:val="18"/>
                <w:lang w:eastAsia="sk-SK"/>
              </w:rPr>
              <w:t>88</w:t>
            </w:r>
            <w:r w:rsidR="00CF61F3" w:rsidRPr="006E5787">
              <w:rPr>
                <w:rFonts w:eastAsia="Times New Roman" w:cs="Times New Roman"/>
                <w:b/>
                <w:bCs/>
                <w:color w:val="000000"/>
                <w:sz w:val="18"/>
                <w:szCs w:val="18"/>
                <w:lang w:eastAsia="sk-SK"/>
              </w:rPr>
              <w:t xml:space="preserve"> </w:t>
            </w:r>
            <w:r w:rsidR="002A49B4">
              <w:rPr>
                <w:rFonts w:eastAsia="Times New Roman" w:cs="Times New Roman"/>
                <w:b/>
                <w:bCs/>
                <w:color w:val="000000"/>
                <w:sz w:val="18"/>
                <w:szCs w:val="18"/>
                <w:lang w:eastAsia="sk-SK"/>
              </w:rPr>
              <w:t>533</w:t>
            </w:r>
          </w:p>
        </w:tc>
        <w:tc>
          <w:tcPr>
            <w:tcW w:w="594" w:type="pct"/>
            <w:tcBorders>
              <w:top w:val="nil"/>
              <w:left w:val="nil"/>
              <w:bottom w:val="nil"/>
              <w:right w:val="nil"/>
            </w:tcBorders>
            <w:shd w:val="clear" w:color="auto" w:fill="auto"/>
            <w:vAlign w:val="center"/>
            <w:hideMark/>
          </w:tcPr>
          <w:p w14:paraId="4D489140" w14:textId="77777777" w:rsidR="004C6700" w:rsidRPr="006E5787" w:rsidRDefault="004C6700" w:rsidP="00836EB5">
            <w:pPr>
              <w:spacing w:after="0" w:line="240" w:lineRule="auto"/>
              <w:jc w:val="right"/>
              <w:rPr>
                <w:rFonts w:eastAsia="Times New Roman" w:cs="Times New Roman"/>
                <w:b/>
                <w:bCs/>
                <w:color w:val="000000"/>
                <w:sz w:val="18"/>
                <w:szCs w:val="18"/>
                <w:lang w:eastAsia="sk-SK"/>
              </w:rPr>
            </w:pPr>
            <w:r w:rsidRPr="006E5787">
              <w:rPr>
                <w:rFonts w:eastAsia="Times New Roman" w:cs="Times New Roman"/>
                <w:b/>
                <w:bCs/>
                <w:color w:val="000000"/>
                <w:sz w:val="18"/>
                <w:szCs w:val="18"/>
                <w:lang w:eastAsia="sk-SK"/>
              </w:rPr>
              <w:t>540 744</w:t>
            </w:r>
          </w:p>
        </w:tc>
        <w:tc>
          <w:tcPr>
            <w:tcW w:w="584" w:type="pct"/>
            <w:tcBorders>
              <w:top w:val="nil"/>
              <w:left w:val="nil"/>
              <w:bottom w:val="nil"/>
              <w:right w:val="nil"/>
            </w:tcBorders>
            <w:shd w:val="clear" w:color="auto" w:fill="auto"/>
            <w:vAlign w:val="center"/>
            <w:hideMark/>
          </w:tcPr>
          <w:p w14:paraId="73F91745" w14:textId="77777777" w:rsidR="004C6700" w:rsidRPr="006E5787" w:rsidRDefault="004C6700" w:rsidP="00836EB5">
            <w:pPr>
              <w:spacing w:after="0" w:line="240" w:lineRule="auto"/>
              <w:jc w:val="right"/>
              <w:rPr>
                <w:rFonts w:eastAsia="Times New Roman" w:cs="Times New Roman"/>
                <w:b/>
                <w:bCs/>
                <w:color w:val="000000"/>
                <w:sz w:val="18"/>
                <w:szCs w:val="18"/>
                <w:lang w:eastAsia="sk-SK"/>
              </w:rPr>
            </w:pPr>
            <w:r w:rsidRPr="006E5787">
              <w:rPr>
                <w:rFonts w:eastAsia="Times New Roman" w:cs="Times New Roman"/>
                <w:b/>
                <w:bCs/>
                <w:color w:val="000000"/>
                <w:sz w:val="18"/>
                <w:szCs w:val="18"/>
                <w:lang w:eastAsia="sk-SK"/>
              </w:rPr>
              <w:t>374 609</w:t>
            </w:r>
          </w:p>
        </w:tc>
        <w:tc>
          <w:tcPr>
            <w:tcW w:w="434" w:type="pct"/>
            <w:tcBorders>
              <w:top w:val="nil"/>
              <w:left w:val="nil"/>
              <w:bottom w:val="nil"/>
              <w:right w:val="nil"/>
            </w:tcBorders>
            <w:shd w:val="clear" w:color="auto" w:fill="auto"/>
            <w:vAlign w:val="center"/>
            <w:hideMark/>
          </w:tcPr>
          <w:p w14:paraId="35FE95CC" w14:textId="77777777" w:rsidR="004C6700" w:rsidRPr="006E5787" w:rsidRDefault="004C6700" w:rsidP="00836EB5">
            <w:pPr>
              <w:spacing w:after="0" w:line="240" w:lineRule="auto"/>
              <w:jc w:val="right"/>
              <w:rPr>
                <w:rFonts w:eastAsia="Times New Roman" w:cs="Times New Roman"/>
                <w:b/>
                <w:bCs/>
                <w:color w:val="000000"/>
                <w:sz w:val="18"/>
                <w:szCs w:val="18"/>
                <w:lang w:eastAsia="sk-SK"/>
              </w:rPr>
            </w:pPr>
            <w:r w:rsidRPr="006E5787">
              <w:rPr>
                <w:rFonts w:eastAsia="Times New Roman" w:cs="Times New Roman"/>
                <w:b/>
                <w:bCs/>
                <w:color w:val="000000"/>
                <w:sz w:val="18"/>
                <w:szCs w:val="18"/>
                <w:lang w:eastAsia="sk-SK"/>
              </w:rPr>
              <w:t>-166 135</w:t>
            </w:r>
          </w:p>
        </w:tc>
      </w:tr>
      <w:tr w:rsidR="004C6700" w:rsidRPr="00C30A64" w14:paraId="32ACF1DA" w14:textId="77777777" w:rsidTr="00C80201">
        <w:trPr>
          <w:trHeight w:val="290"/>
        </w:trPr>
        <w:tc>
          <w:tcPr>
            <w:tcW w:w="2222" w:type="pct"/>
            <w:tcBorders>
              <w:top w:val="nil"/>
              <w:left w:val="nil"/>
              <w:bottom w:val="nil"/>
              <w:right w:val="nil"/>
            </w:tcBorders>
            <w:shd w:val="clear" w:color="auto" w:fill="auto"/>
            <w:vAlign w:val="center"/>
            <w:hideMark/>
          </w:tcPr>
          <w:p w14:paraId="6E642777"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riadne dividendy a odvody zo zisku</w:t>
            </w:r>
          </w:p>
        </w:tc>
        <w:tc>
          <w:tcPr>
            <w:tcW w:w="559" w:type="pct"/>
            <w:tcBorders>
              <w:top w:val="nil"/>
              <w:left w:val="nil"/>
              <w:bottom w:val="nil"/>
              <w:right w:val="nil"/>
            </w:tcBorders>
            <w:shd w:val="clear" w:color="auto" w:fill="auto"/>
            <w:vAlign w:val="center"/>
            <w:hideMark/>
          </w:tcPr>
          <w:p w14:paraId="134AFBCB"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422 574</w:t>
            </w:r>
          </w:p>
        </w:tc>
        <w:tc>
          <w:tcPr>
            <w:tcW w:w="607" w:type="pct"/>
            <w:tcBorders>
              <w:top w:val="nil"/>
              <w:left w:val="nil"/>
              <w:bottom w:val="nil"/>
              <w:right w:val="nil"/>
            </w:tcBorders>
            <w:shd w:val="clear" w:color="auto" w:fill="auto"/>
            <w:vAlign w:val="center"/>
            <w:hideMark/>
          </w:tcPr>
          <w:p w14:paraId="3EAA5305" w14:textId="15FDFA14" w:rsidR="004C6700" w:rsidRPr="006E5787" w:rsidRDefault="002A49B4" w:rsidP="002A49B4">
            <w:pPr>
              <w:spacing w:after="0" w:line="240" w:lineRule="auto"/>
              <w:jc w:val="right"/>
              <w:rPr>
                <w:rFonts w:eastAsia="Times New Roman" w:cs="Times New Roman"/>
                <w:i/>
                <w:iCs/>
                <w:color w:val="000000"/>
                <w:sz w:val="18"/>
                <w:szCs w:val="18"/>
                <w:lang w:eastAsia="sk-SK"/>
              </w:rPr>
            </w:pPr>
            <w:r>
              <w:rPr>
                <w:rFonts w:eastAsia="Times New Roman" w:cs="Times New Roman"/>
                <w:i/>
                <w:iCs/>
                <w:color w:val="000000"/>
                <w:sz w:val="18"/>
                <w:szCs w:val="18"/>
                <w:lang w:eastAsia="sk-SK"/>
              </w:rPr>
              <w:t>318</w:t>
            </w:r>
            <w:r w:rsidR="00CF61F3" w:rsidRPr="006E5787">
              <w:rPr>
                <w:rFonts w:eastAsia="Times New Roman" w:cs="Times New Roman"/>
                <w:i/>
                <w:iCs/>
                <w:color w:val="000000"/>
                <w:sz w:val="18"/>
                <w:szCs w:val="18"/>
                <w:lang w:eastAsia="sk-SK"/>
              </w:rPr>
              <w:t xml:space="preserve"> </w:t>
            </w:r>
            <w:r>
              <w:rPr>
                <w:rFonts w:eastAsia="Times New Roman" w:cs="Times New Roman"/>
                <w:i/>
                <w:iCs/>
                <w:color w:val="000000"/>
                <w:sz w:val="18"/>
                <w:szCs w:val="18"/>
                <w:lang w:eastAsia="sk-SK"/>
              </w:rPr>
              <w:t>511</w:t>
            </w:r>
          </w:p>
        </w:tc>
        <w:tc>
          <w:tcPr>
            <w:tcW w:w="594" w:type="pct"/>
            <w:tcBorders>
              <w:top w:val="nil"/>
              <w:left w:val="nil"/>
              <w:bottom w:val="nil"/>
              <w:right w:val="nil"/>
            </w:tcBorders>
            <w:shd w:val="clear" w:color="auto" w:fill="auto"/>
            <w:vAlign w:val="center"/>
            <w:hideMark/>
          </w:tcPr>
          <w:p w14:paraId="273FAA1B"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458 368</w:t>
            </w:r>
          </w:p>
        </w:tc>
        <w:tc>
          <w:tcPr>
            <w:tcW w:w="584" w:type="pct"/>
            <w:tcBorders>
              <w:top w:val="nil"/>
              <w:left w:val="nil"/>
              <w:bottom w:val="nil"/>
              <w:right w:val="nil"/>
            </w:tcBorders>
            <w:shd w:val="clear" w:color="auto" w:fill="auto"/>
            <w:vAlign w:val="center"/>
            <w:hideMark/>
          </w:tcPr>
          <w:p w14:paraId="506D85A1"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349 038</w:t>
            </w:r>
          </w:p>
        </w:tc>
        <w:tc>
          <w:tcPr>
            <w:tcW w:w="434" w:type="pct"/>
            <w:tcBorders>
              <w:top w:val="nil"/>
              <w:left w:val="nil"/>
              <w:bottom w:val="nil"/>
              <w:right w:val="nil"/>
            </w:tcBorders>
            <w:shd w:val="clear" w:color="auto" w:fill="auto"/>
            <w:vAlign w:val="center"/>
            <w:hideMark/>
          </w:tcPr>
          <w:p w14:paraId="14AC57B2"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-109 330</w:t>
            </w:r>
          </w:p>
        </w:tc>
      </w:tr>
      <w:tr w:rsidR="004C6700" w:rsidRPr="00C30A64" w14:paraId="5E0920E5" w14:textId="77777777" w:rsidTr="00C80201">
        <w:trPr>
          <w:trHeight w:val="300"/>
        </w:trPr>
        <w:tc>
          <w:tcPr>
            <w:tcW w:w="2222" w:type="pct"/>
            <w:tcBorders>
              <w:top w:val="nil"/>
              <w:left w:val="nil"/>
              <w:bottom w:val="single" w:sz="8" w:space="0" w:color="auto"/>
              <w:right w:val="nil"/>
            </w:tcBorders>
            <w:shd w:val="clear" w:color="auto" w:fill="auto"/>
            <w:vAlign w:val="center"/>
            <w:hideMark/>
          </w:tcPr>
          <w:p w14:paraId="2FC6F5CA"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w:t>
            </w:r>
            <w:proofErr w:type="spellStart"/>
            <w:r w:rsidRPr="00C30A64">
              <w:rPr>
                <w:rFonts w:eastAsia="Times New Roman" w:cs="Times New Roman"/>
                <w:i/>
                <w:iCs/>
                <w:color w:val="000000"/>
                <w:sz w:val="18"/>
                <w:szCs w:val="18"/>
                <w:lang w:eastAsia="sk-SK"/>
              </w:rPr>
              <w:t>superdividendy</w:t>
            </w:r>
            <w:proofErr w:type="spellEnd"/>
          </w:p>
        </w:tc>
        <w:tc>
          <w:tcPr>
            <w:tcW w:w="559" w:type="pct"/>
            <w:tcBorders>
              <w:top w:val="nil"/>
              <w:left w:val="nil"/>
              <w:bottom w:val="single" w:sz="8" w:space="0" w:color="auto"/>
              <w:right w:val="nil"/>
            </w:tcBorders>
            <w:shd w:val="clear" w:color="auto" w:fill="auto"/>
            <w:vAlign w:val="center"/>
            <w:hideMark/>
          </w:tcPr>
          <w:p w14:paraId="7ED005B2"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67 381</w:t>
            </w:r>
          </w:p>
        </w:tc>
        <w:tc>
          <w:tcPr>
            <w:tcW w:w="607" w:type="pct"/>
            <w:tcBorders>
              <w:top w:val="nil"/>
              <w:left w:val="nil"/>
              <w:bottom w:val="single" w:sz="8" w:space="0" w:color="auto"/>
              <w:right w:val="nil"/>
            </w:tcBorders>
            <w:shd w:val="clear" w:color="auto" w:fill="auto"/>
            <w:vAlign w:val="center"/>
            <w:hideMark/>
          </w:tcPr>
          <w:p w14:paraId="0D776A2A" w14:textId="39F9DC28" w:rsidR="004C6700" w:rsidRPr="006E5787" w:rsidRDefault="002E52D5"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70 022</w:t>
            </w:r>
          </w:p>
        </w:tc>
        <w:tc>
          <w:tcPr>
            <w:tcW w:w="594" w:type="pct"/>
            <w:tcBorders>
              <w:top w:val="nil"/>
              <w:left w:val="nil"/>
              <w:bottom w:val="single" w:sz="8" w:space="0" w:color="auto"/>
              <w:right w:val="nil"/>
            </w:tcBorders>
            <w:shd w:val="clear" w:color="auto" w:fill="auto"/>
            <w:vAlign w:val="center"/>
            <w:hideMark/>
          </w:tcPr>
          <w:p w14:paraId="39308155"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82 376</w:t>
            </w:r>
          </w:p>
        </w:tc>
        <w:tc>
          <w:tcPr>
            <w:tcW w:w="584" w:type="pct"/>
            <w:tcBorders>
              <w:top w:val="nil"/>
              <w:left w:val="nil"/>
              <w:bottom w:val="single" w:sz="8" w:space="0" w:color="auto"/>
              <w:right w:val="nil"/>
            </w:tcBorders>
            <w:shd w:val="clear" w:color="auto" w:fill="auto"/>
            <w:vAlign w:val="center"/>
            <w:hideMark/>
          </w:tcPr>
          <w:p w14:paraId="14DE7CF0"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25 571</w:t>
            </w:r>
          </w:p>
        </w:tc>
        <w:tc>
          <w:tcPr>
            <w:tcW w:w="434" w:type="pct"/>
            <w:tcBorders>
              <w:top w:val="nil"/>
              <w:left w:val="nil"/>
              <w:bottom w:val="single" w:sz="8" w:space="0" w:color="auto"/>
              <w:right w:val="nil"/>
            </w:tcBorders>
            <w:shd w:val="clear" w:color="auto" w:fill="auto"/>
            <w:vAlign w:val="center"/>
            <w:hideMark/>
          </w:tcPr>
          <w:p w14:paraId="366BBB9C"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-56 805</w:t>
            </w:r>
          </w:p>
        </w:tc>
      </w:tr>
      <w:tr w:rsidR="004C6700" w:rsidRPr="00C30A64" w14:paraId="6C41A432" w14:textId="77777777" w:rsidTr="00C80201">
        <w:trPr>
          <w:trHeight w:val="460"/>
        </w:trPr>
        <w:tc>
          <w:tcPr>
            <w:tcW w:w="2222" w:type="pct"/>
            <w:tcBorders>
              <w:top w:val="nil"/>
              <w:left w:val="nil"/>
              <w:bottom w:val="nil"/>
              <w:right w:val="nil"/>
            </w:tcBorders>
            <w:shd w:val="clear" w:color="auto" w:fill="auto"/>
            <w:vAlign w:val="center"/>
            <w:hideMark/>
          </w:tcPr>
          <w:p w14:paraId="1F3FC723" w14:textId="77777777" w:rsidR="004C6700" w:rsidRPr="00C30A64" w:rsidRDefault="004C6700" w:rsidP="00836EB5">
            <w:pPr>
              <w:spacing w:after="0" w:line="240" w:lineRule="auto"/>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Konsolidované príjmy z dividend a odvodov zo zisku</w:t>
            </w:r>
          </w:p>
        </w:tc>
        <w:tc>
          <w:tcPr>
            <w:tcW w:w="559" w:type="pct"/>
            <w:tcBorders>
              <w:top w:val="nil"/>
              <w:left w:val="nil"/>
              <w:bottom w:val="nil"/>
              <w:right w:val="nil"/>
            </w:tcBorders>
            <w:shd w:val="clear" w:color="auto" w:fill="auto"/>
            <w:vAlign w:val="center"/>
            <w:hideMark/>
          </w:tcPr>
          <w:p w14:paraId="6CC74A4D"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481 130</w:t>
            </w:r>
          </w:p>
        </w:tc>
        <w:tc>
          <w:tcPr>
            <w:tcW w:w="607" w:type="pct"/>
            <w:tcBorders>
              <w:top w:val="nil"/>
              <w:left w:val="nil"/>
              <w:bottom w:val="nil"/>
              <w:right w:val="nil"/>
            </w:tcBorders>
            <w:shd w:val="clear" w:color="auto" w:fill="auto"/>
            <w:vAlign w:val="center"/>
            <w:hideMark/>
          </w:tcPr>
          <w:p w14:paraId="347A5BD7" w14:textId="2EB6552C" w:rsidR="004C6700" w:rsidRPr="006E5787" w:rsidRDefault="002A49B4" w:rsidP="002A49B4">
            <w:pPr>
              <w:spacing w:after="0" w:line="240" w:lineRule="auto"/>
              <w:jc w:val="right"/>
              <w:rPr>
                <w:rFonts w:eastAsia="Times New Roman" w:cs="Times New Roman"/>
                <w:b/>
                <w:bCs/>
                <w:color w:val="000000"/>
                <w:sz w:val="18"/>
                <w:szCs w:val="18"/>
                <w:lang w:eastAsia="sk-SK"/>
              </w:rPr>
            </w:pPr>
            <w:r>
              <w:rPr>
                <w:rFonts w:eastAsia="Times New Roman" w:cs="Times New Roman"/>
                <w:b/>
                <w:bCs/>
                <w:color w:val="000000"/>
                <w:sz w:val="18"/>
                <w:szCs w:val="18"/>
                <w:lang w:eastAsia="sk-SK"/>
              </w:rPr>
              <w:t>378</w:t>
            </w:r>
            <w:r w:rsidR="002E52D5" w:rsidRPr="006E5787">
              <w:rPr>
                <w:rFonts w:eastAsia="Times New Roman" w:cs="Times New Roman"/>
                <w:b/>
                <w:bCs/>
                <w:color w:val="000000"/>
                <w:sz w:val="18"/>
                <w:szCs w:val="18"/>
                <w:lang w:eastAsia="sk-SK"/>
              </w:rPr>
              <w:t xml:space="preserve"> </w:t>
            </w:r>
            <w:r>
              <w:rPr>
                <w:rFonts w:eastAsia="Times New Roman" w:cs="Times New Roman"/>
                <w:b/>
                <w:bCs/>
                <w:color w:val="000000"/>
                <w:sz w:val="18"/>
                <w:szCs w:val="18"/>
                <w:lang w:eastAsia="sk-SK"/>
              </w:rPr>
              <w:t>533</w:t>
            </w:r>
          </w:p>
        </w:tc>
        <w:tc>
          <w:tcPr>
            <w:tcW w:w="594" w:type="pct"/>
            <w:tcBorders>
              <w:top w:val="nil"/>
              <w:left w:val="nil"/>
              <w:bottom w:val="nil"/>
              <w:right w:val="nil"/>
            </w:tcBorders>
            <w:shd w:val="clear" w:color="auto" w:fill="auto"/>
            <w:vAlign w:val="center"/>
            <w:hideMark/>
          </w:tcPr>
          <w:p w14:paraId="55222849" w14:textId="77777777" w:rsidR="004C6700" w:rsidRPr="006E5787" w:rsidRDefault="004C6700" w:rsidP="00836EB5">
            <w:pPr>
              <w:spacing w:after="0" w:line="240" w:lineRule="auto"/>
              <w:jc w:val="right"/>
              <w:rPr>
                <w:rFonts w:eastAsia="Times New Roman" w:cs="Times New Roman"/>
                <w:b/>
                <w:bCs/>
                <w:color w:val="000000"/>
                <w:sz w:val="18"/>
                <w:szCs w:val="18"/>
                <w:lang w:eastAsia="sk-SK"/>
              </w:rPr>
            </w:pPr>
            <w:r w:rsidRPr="006E5787">
              <w:rPr>
                <w:rFonts w:eastAsia="Times New Roman" w:cs="Times New Roman"/>
                <w:b/>
                <w:bCs/>
                <w:color w:val="000000"/>
                <w:sz w:val="18"/>
                <w:szCs w:val="18"/>
                <w:lang w:eastAsia="sk-SK"/>
              </w:rPr>
              <w:t>535 909</w:t>
            </w:r>
          </w:p>
        </w:tc>
        <w:tc>
          <w:tcPr>
            <w:tcW w:w="584" w:type="pct"/>
            <w:tcBorders>
              <w:top w:val="nil"/>
              <w:left w:val="nil"/>
              <w:bottom w:val="nil"/>
              <w:right w:val="nil"/>
            </w:tcBorders>
            <w:shd w:val="clear" w:color="auto" w:fill="auto"/>
            <w:vAlign w:val="center"/>
            <w:hideMark/>
          </w:tcPr>
          <w:p w14:paraId="1A7068EA" w14:textId="595162BC" w:rsidR="004C6700" w:rsidRPr="006E5787" w:rsidRDefault="008F10FA" w:rsidP="00836EB5">
            <w:pPr>
              <w:spacing w:after="0" w:line="240" w:lineRule="auto"/>
              <w:jc w:val="right"/>
              <w:rPr>
                <w:rFonts w:eastAsia="Times New Roman" w:cs="Times New Roman"/>
                <w:b/>
                <w:bCs/>
                <w:color w:val="000000"/>
                <w:sz w:val="18"/>
                <w:szCs w:val="18"/>
                <w:lang w:eastAsia="sk-SK"/>
              </w:rPr>
            </w:pPr>
            <w:r w:rsidRPr="006E5787">
              <w:rPr>
                <w:rFonts w:eastAsia="Times New Roman" w:cs="Times New Roman"/>
                <w:b/>
                <w:bCs/>
                <w:color w:val="000000"/>
                <w:sz w:val="18"/>
                <w:szCs w:val="18"/>
                <w:lang w:eastAsia="sk-SK"/>
              </w:rPr>
              <w:t>370 595</w:t>
            </w:r>
          </w:p>
        </w:tc>
        <w:tc>
          <w:tcPr>
            <w:tcW w:w="434" w:type="pct"/>
            <w:tcBorders>
              <w:top w:val="nil"/>
              <w:left w:val="nil"/>
              <w:bottom w:val="nil"/>
              <w:right w:val="nil"/>
            </w:tcBorders>
            <w:shd w:val="clear" w:color="auto" w:fill="auto"/>
            <w:vAlign w:val="center"/>
            <w:hideMark/>
          </w:tcPr>
          <w:p w14:paraId="65759E2A" w14:textId="7621DA00" w:rsidR="004C6700" w:rsidRPr="006E5787" w:rsidRDefault="008F10FA" w:rsidP="00836EB5">
            <w:pPr>
              <w:spacing w:after="0" w:line="240" w:lineRule="auto"/>
              <w:jc w:val="right"/>
              <w:rPr>
                <w:rFonts w:eastAsia="Times New Roman" w:cs="Times New Roman"/>
                <w:b/>
                <w:bCs/>
                <w:color w:val="000000"/>
                <w:sz w:val="18"/>
                <w:szCs w:val="18"/>
                <w:lang w:eastAsia="sk-SK"/>
              </w:rPr>
            </w:pPr>
            <w:r w:rsidRPr="006E5787">
              <w:rPr>
                <w:rFonts w:eastAsia="Times New Roman" w:cs="Times New Roman"/>
                <w:b/>
                <w:bCs/>
                <w:color w:val="000000"/>
                <w:sz w:val="18"/>
                <w:szCs w:val="18"/>
                <w:lang w:eastAsia="sk-SK"/>
              </w:rPr>
              <w:t>-165 314</w:t>
            </w:r>
          </w:p>
        </w:tc>
      </w:tr>
      <w:tr w:rsidR="004C6700" w:rsidRPr="00C30A64" w14:paraId="04A6D99B" w14:textId="77777777" w:rsidTr="00C80201">
        <w:trPr>
          <w:trHeight w:val="290"/>
        </w:trPr>
        <w:tc>
          <w:tcPr>
            <w:tcW w:w="2222" w:type="pct"/>
            <w:tcBorders>
              <w:top w:val="nil"/>
              <w:left w:val="nil"/>
              <w:bottom w:val="nil"/>
              <w:right w:val="nil"/>
            </w:tcBorders>
            <w:shd w:val="clear" w:color="auto" w:fill="auto"/>
            <w:vAlign w:val="center"/>
            <w:hideMark/>
          </w:tcPr>
          <w:p w14:paraId="2D45046E"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riadne dividendy a odvody zo zisku</w:t>
            </w:r>
          </w:p>
        </w:tc>
        <w:tc>
          <w:tcPr>
            <w:tcW w:w="559" w:type="pct"/>
            <w:tcBorders>
              <w:top w:val="nil"/>
              <w:left w:val="nil"/>
              <w:bottom w:val="nil"/>
              <w:right w:val="nil"/>
            </w:tcBorders>
            <w:shd w:val="clear" w:color="auto" w:fill="auto"/>
            <w:vAlign w:val="center"/>
            <w:hideMark/>
          </w:tcPr>
          <w:p w14:paraId="4BC7C9F3"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416 749</w:t>
            </w:r>
          </w:p>
        </w:tc>
        <w:tc>
          <w:tcPr>
            <w:tcW w:w="607" w:type="pct"/>
            <w:tcBorders>
              <w:top w:val="nil"/>
              <w:left w:val="nil"/>
              <w:bottom w:val="nil"/>
              <w:right w:val="nil"/>
            </w:tcBorders>
            <w:shd w:val="clear" w:color="auto" w:fill="auto"/>
            <w:vAlign w:val="center"/>
            <w:hideMark/>
          </w:tcPr>
          <w:p w14:paraId="4A9B4EE3" w14:textId="3B1D9F31" w:rsidR="004C6700" w:rsidRPr="006E5787" w:rsidRDefault="002E52D5" w:rsidP="002A49B4">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3</w:t>
            </w:r>
            <w:r w:rsidR="002A49B4">
              <w:rPr>
                <w:rFonts w:eastAsia="Times New Roman" w:cs="Times New Roman"/>
                <w:i/>
                <w:iCs/>
                <w:color w:val="000000"/>
                <w:sz w:val="18"/>
                <w:szCs w:val="18"/>
                <w:lang w:eastAsia="sk-SK"/>
              </w:rPr>
              <w:t>13</w:t>
            </w:r>
            <w:r w:rsidRPr="006E5787">
              <w:rPr>
                <w:rFonts w:eastAsia="Times New Roman" w:cs="Times New Roman"/>
                <w:i/>
                <w:iCs/>
                <w:color w:val="000000"/>
                <w:sz w:val="18"/>
                <w:szCs w:val="18"/>
                <w:lang w:eastAsia="sk-SK"/>
              </w:rPr>
              <w:t xml:space="preserve"> </w:t>
            </w:r>
            <w:r w:rsidR="002A49B4">
              <w:rPr>
                <w:rFonts w:eastAsia="Times New Roman" w:cs="Times New Roman"/>
                <w:i/>
                <w:iCs/>
                <w:color w:val="000000"/>
                <w:sz w:val="18"/>
                <w:szCs w:val="18"/>
                <w:lang w:eastAsia="sk-SK"/>
              </w:rPr>
              <w:t>511</w:t>
            </w:r>
          </w:p>
        </w:tc>
        <w:tc>
          <w:tcPr>
            <w:tcW w:w="594" w:type="pct"/>
            <w:tcBorders>
              <w:top w:val="nil"/>
              <w:left w:val="nil"/>
              <w:bottom w:val="nil"/>
              <w:right w:val="nil"/>
            </w:tcBorders>
            <w:shd w:val="clear" w:color="auto" w:fill="auto"/>
            <w:vAlign w:val="center"/>
            <w:hideMark/>
          </w:tcPr>
          <w:p w14:paraId="432E2B9D"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456 302</w:t>
            </w:r>
          </w:p>
        </w:tc>
        <w:tc>
          <w:tcPr>
            <w:tcW w:w="584" w:type="pct"/>
            <w:tcBorders>
              <w:top w:val="nil"/>
              <w:left w:val="nil"/>
              <w:bottom w:val="nil"/>
              <w:right w:val="nil"/>
            </w:tcBorders>
            <w:shd w:val="clear" w:color="auto" w:fill="auto"/>
            <w:vAlign w:val="center"/>
            <w:hideMark/>
          </w:tcPr>
          <w:p w14:paraId="5D4BF502" w14:textId="70E82AA1" w:rsidR="004C6700" w:rsidRPr="006E5787" w:rsidRDefault="008F10FA" w:rsidP="008F10FA">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345 024</w:t>
            </w:r>
          </w:p>
        </w:tc>
        <w:tc>
          <w:tcPr>
            <w:tcW w:w="434" w:type="pct"/>
            <w:tcBorders>
              <w:top w:val="nil"/>
              <w:left w:val="nil"/>
              <w:bottom w:val="nil"/>
              <w:right w:val="nil"/>
            </w:tcBorders>
            <w:shd w:val="clear" w:color="auto" w:fill="auto"/>
            <w:vAlign w:val="center"/>
            <w:hideMark/>
          </w:tcPr>
          <w:p w14:paraId="460338CD" w14:textId="6EAF1768"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w:t>
            </w:r>
            <w:r w:rsidR="008F10FA" w:rsidRPr="006E5787">
              <w:rPr>
                <w:rFonts w:eastAsia="Times New Roman" w:cs="Times New Roman"/>
                <w:i/>
                <w:iCs/>
                <w:color w:val="000000"/>
                <w:sz w:val="18"/>
                <w:szCs w:val="18"/>
                <w:lang w:eastAsia="sk-SK"/>
              </w:rPr>
              <w:t>111 278</w:t>
            </w:r>
          </w:p>
        </w:tc>
      </w:tr>
      <w:tr w:rsidR="004C6700" w:rsidRPr="00C30A64" w14:paraId="5348741E" w14:textId="77777777" w:rsidTr="00C80201">
        <w:trPr>
          <w:trHeight w:val="300"/>
        </w:trPr>
        <w:tc>
          <w:tcPr>
            <w:tcW w:w="2222" w:type="pct"/>
            <w:tcBorders>
              <w:top w:val="nil"/>
              <w:left w:val="nil"/>
              <w:bottom w:val="single" w:sz="8" w:space="0" w:color="auto"/>
              <w:right w:val="nil"/>
            </w:tcBorders>
            <w:shd w:val="clear" w:color="auto" w:fill="auto"/>
            <w:vAlign w:val="center"/>
            <w:hideMark/>
          </w:tcPr>
          <w:p w14:paraId="0FF6CD94"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w:t>
            </w:r>
            <w:proofErr w:type="spellStart"/>
            <w:r w:rsidRPr="00C30A64">
              <w:rPr>
                <w:rFonts w:eastAsia="Times New Roman" w:cs="Times New Roman"/>
                <w:i/>
                <w:iCs/>
                <w:color w:val="000000"/>
                <w:sz w:val="18"/>
                <w:szCs w:val="18"/>
                <w:lang w:eastAsia="sk-SK"/>
              </w:rPr>
              <w:t>superdividendy</w:t>
            </w:r>
            <w:proofErr w:type="spellEnd"/>
          </w:p>
        </w:tc>
        <w:tc>
          <w:tcPr>
            <w:tcW w:w="559" w:type="pct"/>
            <w:tcBorders>
              <w:top w:val="nil"/>
              <w:left w:val="nil"/>
              <w:bottom w:val="single" w:sz="8" w:space="0" w:color="auto"/>
              <w:right w:val="nil"/>
            </w:tcBorders>
            <w:shd w:val="clear" w:color="auto" w:fill="auto"/>
            <w:vAlign w:val="center"/>
            <w:hideMark/>
          </w:tcPr>
          <w:p w14:paraId="0A395812"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64 381</w:t>
            </w:r>
          </w:p>
        </w:tc>
        <w:tc>
          <w:tcPr>
            <w:tcW w:w="607" w:type="pct"/>
            <w:tcBorders>
              <w:top w:val="nil"/>
              <w:left w:val="nil"/>
              <w:bottom w:val="single" w:sz="8" w:space="0" w:color="auto"/>
              <w:right w:val="nil"/>
            </w:tcBorders>
            <w:shd w:val="clear" w:color="auto" w:fill="auto"/>
            <w:vAlign w:val="center"/>
            <w:hideMark/>
          </w:tcPr>
          <w:p w14:paraId="54F471F2" w14:textId="607B2DDD" w:rsidR="004C6700" w:rsidRPr="006E5787" w:rsidRDefault="002E52D5" w:rsidP="002E52D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65 022</w:t>
            </w:r>
          </w:p>
        </w:tc>
        <w:tc>
          <w:tcPr>
            <w:tcW w:w="594" w:type="pct"/>
            <w:tcBorders>
              <w:top w:val="nil"/>
              <w:left w:val="nil"/>
              <w:bottom w:val="single" w:sz="8" w:space="0" w:color="auto"/>
              <w:right w:val="nil"/>
            </w:tcBorders>
            <w:shd w:val="clear" w:color="auto" w:fill="auto"/>
            <w:vAlign w:val="center"/>
            <w:hideMark/>
          </w:tcPr>
          <w:p w14:paraId="40C42EB9"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79 607</w:t>
            </w:r>
          </w:p>
        </w:tc>
        <w:tc>
          <w:tcPr>
            <w:tcW w:w="584" w:type="pct"/>
            <w:tcBorders>
              <w:top w:val="nil"/>
              <w:left w:val="nil"/>
              <w:bottom w:val="single" w:sz="8" w:space="0" w:color="auto"/>
              <w:right w:val="nil"/>
            </w:tcBorders>
            <w:shd w:val="clear" w:color="auto" w:fill="auto"/>
            <w:vAlign w:val="center"/>
            <w:hideMark/>
          </w:tcPr>
          <w:p w14:paraId="414158EE"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25 571</w:t>
            </w:r>
          </w:p>
        </w:tc>
        <w:tc>
          <w:tcPr>
            <w:tcW w:w="434" w:type="pct"/>
            <w:tcBorders>
              <w:top w:val="nil"/>
              <w:left w:val="nil"/>
              <w:bottom w:val="single" w:sz="8" w:space="0" w:color="auto"/>
              <w:right w:val="nil"/>
            </w:tcBorders>
            <w:shd w:val="clear" w:color="auto" w:fill="auto"/>
            <w:vAlign w:val="center"/>
            <w:hideMark/>
          </w:tcPr>
          <w:p w14:paraId="02FD879E"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-54 036</w:t>
            </w:r>
          </w:p>
        </w:tc>
      </w:tr>
      <w:tr w:rsidR="004C6700" w:rsidRPr="00C30A64" w14:paraId="6ED600CD" w14:textId="77777777" w:rsidTr="00C80201">
        <w:trPr>
          <w:trHeight w:val="290"/>
        </w:trPr>
        <w:tc>
          <w:tcPr>
            <w:tcW w:w="2222" w:type="pct"/>
            <w:tcBorders>
              <w:top w:val="nil"/>
              <w:left w:val="nil"/>
              <w:bottom w:val="nil"/>
              <w:right w:val="nil"/>
            </w:tcBorders>
            <w:shd w:val="clear" w:color="auto" w:fill="auto"/>
            <w:vAlign w:val="center"/>
            <w:hideMark/>
          </w:tcPr>
          <w:p w14:paraId="1D9B73D3" w14:textId="77777777" w:rsidR="004C6700" w:rsidRPr="00C30A64" w:rsidRDefault="004C6700" w:rsidP="00836EB5">
            <w:pPr>
              <w:spacing w:after="0" w:line="240" w:lineRule="auto"/>
              <w:jc w:val="lef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Ministerstvo financií SR</w:t>
            </w:r>
          </w:p>
        </w:tc>
        <w:tc>
          <w:tcPr>
            <w:tcW w:w="559" w:type="pct"/>
            <w:tcBorders>
              <w:top w:val="nil"/>
              <w:left w:val="nil"/>
              <w:bottom w:val="nil"/>
              <w:right w:val="nil"/>
            </w:tcBorders>
            <w:shd w:val="clear" w:color="auto" w:fill="auto"/>
            <w:vAlign w:val="center"/>
            <w:hideMark/>
          </w:tcPr>
          <w:p w14:paraId="6FB736B9"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32 660</w:t>
            </w:r>
          </w:p>
        </w:tc>
        <w:tc>
          <w:tcPr>
            <w:tcW w:w="607" w:type="pct"/>
            <w:tcBorders>
              <w:top w:val="nil"/>
              <w:left w:val="nil"/>
              <w:bottom w:val="nil"/>
              <w:right w:val="nil"/>
            </w:tcBorders>
            <w:shd w:val="clear" w:color="auto" w:fill="auto"/>
            <w:vAlign w:val="center"/>
            <w:hideMark/>
          </w:tcPr>
          <w:p w14:paraId="62BB4593" w14:textId="77777777" w:rsidR="004C6700" w:rsidRPr="006E5787" w:rsidRDefault="004C6700" w:rsidP="00836EB5">
            <w:pPr>
              <w:spacing w:after="0" w:line="240" w:lineRule="auto"/>
              <w:jc w:val="right"/>
              <w:rPr>
                <w:rFonts w:eastAsia="Times New Roman" w:cs="Times New Roman"/>
                <w:b/>
                <w:bCs/>
                <w:color w:val="000000"/>
                <w:sz w:val="18"/>
                <w:szCs w:val="18"/>
                <w:lang w:eastAsia="sk-SK"/>
              </w:rPr>
            </w:pPr>
            <w:r w:rsidRPr="006E5787">
              <w:rPr>
                <w:rFonts w:eastAsia="Times New Roman" w:cs="Times New Roman"/>
                <w:b/>
                <w:bCs/>
                <w:color w:val="000000"/>
                <w:sz w:val="18"/>
                <w:szCs w:val="18"/>
                <w:lang w:eastAsia="sk-SK"/>
              </w:rPr>
              <w:t>7 000</w:t>
            </w:r>
          </w:p>
        </w:tc>
        <w:tc>
          <w:tcPr>
            <w:tcW w:w="594" w:type="pct"/>
            <w:tcBorders>
              <w:top w:val="nil"/>
              <w:left w:val="nil"/>
              <w:bottom w:val="nil"/>
              <w:right w:val="nil"/>
            </w:tcBorders>
            <w:shd w:val="clear" w:color="auto" w:fill="auto"/>
            <w:vAlign w:val="center"/>
            <w:hideMark/>
          </w:tcPr>
          <w:p w14:paraId="456907AC" w14:textId="77777777" w:rsidR="004C6700" w:rsidRPr="006E5787" w:rsidRDefault="004C6700" w:rsidP="00836EB5">
            <w:pPr>
              <w:spacing w:after="0" w:line="240" w:lineRule="auto"/>
              <w:jc w:val="right"/>
              <w:rPr>
                <w:rFonts w:eastAsia="Times New Roman" w:cs="Times New Roman"/>
                <w:b/>
                <w:bCs/>
                <w:color w:val="000000"/>
                <w:sz w:val="18"/>
                <w:szCs w:val="18"/>
                <w:lang w:eastAsia="sk-SK"/>
              </w:rPr>
            </w:pPr>
            <w:r w:rsidRPr="006E5787">
              <w:rPr>
                <w:rFonts w:eastAsia="Times New Roman" w:cs="Times New Roman"/>
                <w:b/>
                <w:bCs/>
                <w:color w:val="000000"/>
                <w:sz w:val="18"/>
                <w:szCs w:val="18"/>
                <w:lang w:eastAsia="sk-SK"/>
              </w:rPr>
              <w:t>65 707</w:t>
            </w:r>
          </w:p>
        </w:tc>
        <w:tc>
          <w:tcPr>
            <w:tcW w:w="584" w:type="pct"/>
            <w:tcBorders>
              <w:top w:val="nil"/>
              <w:left w:val="nil"/>
              <w:bottom w:val="nil"/>
              <w:right w:val="nil"/>
            </w:tcBorders>
            <w:shd w:val="clear" w:color="auto" w:fill="auto"/>
            <w:vAlign w:val="center"/>
            <w:hideMark/>
          </w:tcPr>
          <w:p w14:paraId="69582135" w14:textId="77777777" w:rsidR="004C6700" w:rsidRPr="006E5787" w:rsidRDefault="004C6700" w:rsidP="00836EB5">
            <w:pPr>
              <w:spacing w:after="0" w:line="240" w:lineRule="auto"/>
              <w:jc w:val="right"/>
              <w:rPr>
                <w:rFonts w:eastAsia="Times New Roman" w:cs="Times New Roman"/>
                <w:b/>
                <w:bCs/>
                <w:color w:val="000000"/>
                <w:sz w:val="18"/>
                <w:szCs w:val="18"/>
                <w:lang w:eastAsia="sk-SK"/>
              </w:rPr>
            </w:pPr>
            <w:r w:rsidRPr="006E5787">
              <w:rPr>
                <w:rFonts w:eastAsia="Times New Roman" w:cs="Times New Roman"/>
                <w:b/>
                <w:bCs/>
                <w:color w:val="000000"/>
                <w:sz w:val="18"/>
                <w:szCs w:val="18"/>
                <w:lang w:eastAsia="sk-SK"/>
              </w:rPr>
              <w:t>133 262</w:t>
            </w:r>
          </w:p>
        </w:tc>
        <w:tc>
          <w:tcPr>
            <w:tcW w:w="434" w:type="pct"/>
            <w:tcBorders>
              <w:top w:val="nil"/>
              <w:left w:val="nil"/>
              <w:bottom w:val="nil"/>
              <w:right w:val="nil"/>
            </w:tcBorders>
            <w:shd w:val="clear" w:color="auto" w:fill="auto"/>
            <w:vAlign w:val="center"/>
            <w:hideMark/>
          </w:tcPr>
          <w:p w14:paraId="74FED248" w14:textId="77777777" w:rsidR="004C6700" w:rsidRPr="006E5787" w:rsidRDefault="004C6700" w:rsidP="00836EB5">
            <w:pPr>
              <w:spacing w:after="0" w:line="240" w:lineRule="auto"/>
              <w:jc w:val="right"/>
              <w:rPr>
                <w:rFonts w:eastAsia="Times New Roman" w:cs="Times New Roman"/>
                <w:b/>
                <w:bCs/>
                <w:color w:val="000000"/>
                <w:sz w:val="18"/>
                <w:szCs w:val="18"/>
                <w:lang w:eastAsia="sk-SK"/>
              </w:rPr>
            </w:pPr>
            <w:r w:rsidRPr="006E5787">
              <w:rPr>
                <w:rFonts w:eastAsia="Times New Roman" w:cs="Times New Roman"/>
                <w:b/>
                <w:bCs/>
                <w:color w:val="000000"/>
                <w:sz w:val="18"/>
                <w:szCs w:val="18"/>
                <w:lang w:eastAsia="sk-SK"/>
              </w:rPr>
              <w:t>67 555</w:t>
            </w:r>
          </w:p>
        </w:tc>
      </w:tr>
      <w:tr w:rsidR="004C6700" w:rsidRPr="00C30A64" w14:paraId="29F553A5" w14:textId="77777777" w:rsidTr="00C80201">
        <w:trPr>
          <w:trHeight w:val="290"/>
        </w:trPr>
        <w:tc>
          <w:tcPr>
            <w:tcW w:w="2222" w:type="pct"/>
            <w:tcBorders>
              <w:top w:val="nil"/>
              <w:left w:val="nil"/>
              <w:bottom w:val="nil"/>
              <w:right w:val="nil"/>
            </w:tcBorders>
            <w:shd w:val="clear" w:color="auto" w:fill="auto"/>
            <w:vAlign w:val="center"/>
            <w:hideMark/>
          </w:tcPr>
          <w:p w14:paraId="22E9A100" w14:textId="3DB4381D" w:rsidR="004C6700" w:rsidRPr="00C30A64" w:rsidRDefault="004C6700" w:rsidP="006243D7">
            <w:pPr>
              <w:spacing w:after="0" w:line="240" w:lineRule="auto"/>
              <w:jc w:val="left"/>
              <w:rPr>
                <w:rFonts w:eastAsia="Times New Roman" w:cs="Times New Roman"/>
                <w:color w:val="000000"/>
                <w:sz w:val="18"/>
                <w:szCs w:val="18"/>
                <w:lang w:eastAsia="sk-SK"/>
              </w:rPr>
            </w:pPr>
            <w:r w:rsidRPr="00C30A64">
              <w:rPr>
                <w:rFonts w:eastAsia="Times New Roman" w:cs="Times New Roman"/>
                <w:color w:val="000000"/>
                <w:sz w:val="18"/>
                <w:szCs w:val="18"/>
                <w:lang w:eastAsia="sk-SK"/>
              </w:rPr>
              <w:t xml:space="preserve">Slovenská konsolidačná, </w:t>
            </w:r>
            <w:proofErr w:type="spellStart"/>
            <w:r w:rsidRPr="00C30A64">
              <w:rPr>
                <w:rFonts w:eastAsia="Times New Roman" w:cs="Times New Roman"/>
                <w:color w:val="000000"/>
                <w:sz w:val="18"/>
                <w:szCs w:val="18"/>
                <w:lang w:eastAsia="sk-SK"/>
              </w:rPr>
              <w:t>a.s</w:t>
            </w:r>
            <w:proofErr w:type="spellEnd"/>
            <w:r w:rsidRPr="00C30A64">
              <w:rPr>
                <w:rFonts w:eastAsia="Times New Roman" w:cs="Times New Roman"/>
                <w:color w:val="000000"/>
                <w:sz w:val="18"/>
                <w:szCs w:val="18"/>
                <w:lang w:eastAsia="sk-SK"/>
              </w:rPr>
              <w:t>.</w:t>
            </w:r>
          </w:p>
        </w:tc>
        <w:tc>
          <w:tcPr>
            <w:tcW w:w="559" w:type="pct"/>
            <w:tcBorders>
              <w:top w:val="nil"/>
              <w:left w:val="nil"/>
              <w:bottom w:val="nil"/>
              <w:right w:val="nil"/>
            </w:tcBorders>
            <w:shd w:val="clear" w:color="auto" w:fill="auto"/>
            <w:vAlign w:val="center"/>
            <w:hideMark/>
          </w:tcPr>
          <w:p w14:paraId="77D23F75"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575</w:t>
            </w:r>
          </w:p>
        </w:tc>
        <w:tc>
          <w:tcPr>
            <w:tcW w:w="607" w:type="pct"/>
            <w:tcBorders>
              <w:top w:val="nil"/>
              <w:left w:val="nil"/>
              <w:bottom w:val="nil"/>
              <w:right w:val="nil"/>
            </w:tcBorders>
            <w:shd w:val="clear" w:color="auto" w:fill="auto"/>
            <w:vAlign w:val="center"/>
            <w:hideMark/>
          </w:tcPr>
          <w:p w14:paraId="57D97020"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2 000</w:t>
            </w:r>
          </w:p>
        </w:tc>
        <w:tc>
          <w:tcPr>
            <w:tcW w:w="594" w:type="pct"/>
            <w:tcBorders>
              <w:top w:val="nil"/>
              <w:left w:val="nil"/>
              <w:bottom w:val="nil"/>
              <w:right w:val="nil"/>
            </w:tcBorders>
            <w:shd w:val="clear" w:color="auto" w:fill="auto"/>
            <w:vAlign w:val="center"/>
            <w:hideMark/>
          </w:tcPr>
          <w:p w14:paraId="4BAF68F2"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85</w:t>
            </w:r>
          </w:p>
        </w:tc>
        <w:tc>
          <w:tcPr>
            <w:tcW w:w="584" w:type="pct"/>
            <w:tcBorders>
              <w:top w:val="nil"/>
              <w:left w:val="nil"/>
              <w:bottom w:val="nil"/>
              <w:right w:val="nil"/>
            </w:tcBorders>
            <w:shd w:val="clear" w:color="auto" w:fill="auto"/>
            <w:vAlign w:val="center"/>
            <w:hideMark/>
          </w:tcPr>
          <w:p w14:paraId="2359E648"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3 274</w:t>
            </w:r>
          </w:p>
        </w:tc>
        <w:tc>
          <w:tcPr>
            <w:tcW w:w="434" w:type="pct"/>
            <w:tcBorders>
              <w:top w:val="nil"/>
              <w:left w:val="nil"/>
              <w:bottom w:val="nil"/>
              <w:right w:val="nil"/>
            </w:tcBorders>
            <w:shd w:val="clear" w:color="auto" w:fill="auto"/>
            <w:vAlign w:val="center"/>
            <w:hideMark/>
          </w:tcPr>
          <w:p w14:paraId="4AE40DE1"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3 189</w:t>
            </w:r>
          </w:p>
        </w:tc>
      </w:tr>
      <w:tr w:rsidR="004C6700" w:rsidRPr="00C30A64" w14:paraId="757BB33D" w14:textId="77777777" w:rsidTr="00C80201">
        <w:trPr>
          <w:trHeight w:val="290"/>
        </w:trPr>
        <w:tc>
          <w:tcPr>
            <w:tcW w:w="2222" w:type="pct"/>
            <w:tcBorders>
              <w:top w:val="nil"/>
              <w:left w:val="nil"/>
              <w:bottom w:val="nil"/>
              <w:right w:val="nil"/>
            </w:tcBorders>
            <w:shd w:val="clear" w:color="auto" w:fill="auto"/>
            <w:vAlign w:val="center"/>
            <w:hideMark/>
          </w:tcPr>
          <w:p w14:paraId="4396B1CA"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riadne dividendy a odvody zo zisku</w:t>
            </w:r>
          </w:p>
        </w:tc>
        <w:tc>
          <w:tcPr>
            <w:tcW w:w="559" w:type="pct"/>
            <w:tcBorders>
              <w:top w:val="nil"/>
              <w:left w:val="nil"/>
              <w:bottom w:val="nil"/>
              <w:right w:val="nil"/>
            </w:tcBorders>
            <w:shd w:val="clear" w:color="auto" w:fill="auto"/>
            <w:vAlign w:val="center"/>
            <w:hideMark/>
          </w:tcPr>
          <w:p w14:paraId="072F6BDA"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575</w:t>
            </w:r>
          </w:p>
        </w:tc>
        <w:tc>
          <w:tcPr>
            <w:tcW w:w="607" w:type="pct"/>
            <w:tcBorders>
              <w:top w:val="nil"/>
              <w:left w:val="nil"/>
              <w:bottom w:val="nil"/>
              <w:right w:val="nil"/>
            </w:tcBorders>
            <w:shd w:val="clear" w:color="auto" w:fill="auto"/>
            <w:vAlign w:val="center"/>
            <w:hideMark/>
          </w:tcPr>
          <w:p w14:paraId="41493907"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0</w:t>
            </w:r>
          </w:p>
        </w:tc>
        <w:tc>
          <w:tcPr>
            <w:tcW w:w="594" w:type="pct"/>
            <w:tcBorders>
              <w:top w:val="nil"/>
              <w:left w:val="nil"/>
              <w:bottom w:val="nil"/>
              <w:right w:val="nil"/>
            </w:tcBorders>
            <w:shd w:val="clear" w:color="auto" w:fill="auto"/>
            <w:vAlign w:val="center"/>
            <w:hideMark/>
          </w:tcPr>
          <w:p w14:paraId="311D892D"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0</w:t>
            </w:r>
          </w:p>
        </w:tc>
        <w:tc>
          <w:tcPr>
            <w:tcW w:w="584" w:type="pct"/>
            <w:tcBorders>
              <w:top w:val="nil"/>
              <w:left w:val="nil"/>
              <w:bottom w:val="nil"/>
              <w:right w:val="nil"/>
            </w:tcBorders>
            <w:shd w:val="clear" w:color="auto" w:fill="auto"/>
            <w:vAlign w:val="center"/>
            <w:hideMark/>
          </w:tcPr>
          <w:p w14:paraId="55244FB3"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3 274</w:t>
            </w:r>
          </w:p>
        </w:tc>
        <w:tc>
          <w:tcPr>
            <w:tcW w:w="434" w:type="pct"/>
            <w:tcBorders>
              <w:top w:val="nil"/>
              <w:left w:val="nil"/>
              <w:bottom w:val="nil"/>
              <w:right w:val="nil"/>
            </w:tcBorders>
            <w:shd w:val="clear" w:color="auto" w:fill="auto"/>
            <w:vAlign w:val="center"/>
            <w:hideMark/>
          </w:tcPr>
          <w:p w14:paraId="6D126363"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3 274</w:t>
            </w:r>
          </w:p>
        </w:tc>
      </w:tr>
      <w:tr w:rsidR="004C6700" w:rsidRPr="00C30A64" w14:paraId="6879FC7D" w14:textId="77777777" w:rsidTr="00C80201">
        <w:trPr>
          <w:trHeight w:val="290"/>
        </w:trPr>
        <w:tc>
          <w:tcPr>
            <w:tcW w:w="2222" w:type="pct"/>
            <w:tcBorders>
              <w:top w:val="nil"/>
              <w:left w:val="nil"/>
              <w:bottom w:val="nil"/>
              <w:right w:val="nil"/>
            </w:tcBorders>
            <w:shd w:val="clear" w:color="auto" w:fill="auto"/>
            <w:vAlign w:val="center"/>
            <w:hideMark/>
          </w:tcPr>
          <w:p w14:paraId="2598291E"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w:t>
            </w:r>
            <w:proofErr w:type="spellStart"/>
            <w:r w:rsidRPr="00C30A64">
              <w:rPr>
                <w:rFonts w:eastAsia="Times New Roman" w:cs="Times New Roman"/>
                <w:i/>
                <w:iCs/>
                <w:color w:val="000000"/>
                <w:sz w:val="18"/>
                <w:szCs w:val="18"/>
                <w:lang w:eastAsia="sk-SK"/>
              </w:rPr>
              <w:t>superdividendy</w:t>
            </w:r>
            <w:proofErr w:type="spellEnd"/>
          </w:p>
        </w:tc>
        <w:tc>
          <w:tcPr>
            <w:tcW w:w="559" w:type="pct"/>
            <w:tcBorders>
              <w:top w:val="nil"/>
              <w:left w:val="nil"/>
              <w:bottom w:val="nil"/>
              <w:right w:val="nil"/>
            </w:tcBorders>
            <w:shd w:val="clear" w:color="auto" w:fill="auto"/>
            <w:vAlign w:val="center"/>
            <w:hideMark/>
          </w:tcPr>
          <w:p w14:paraId="596E2469"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607" w:type="pct"/>
            <w:tcBorders>
              <w:top w:val="nil"/>
              <w:left w:val="nil"/>
              <w:bottom w:val="nil"/>
              <w:right w:val="nil"/>
            </w:tcBorders>
            <w:shd w:val="clear" w:color="auto" w:fill="auto"/>
            <w:vAlign w:val="center"/>
            <w:hideMark/>
          </w:tcPr>
          <w:p w14:paraId="7177B90B"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2 000</w:t>
            </w:r>
          </w:p>
        </w:tc>
        <w:tc>
          <w:tcPr>
            <w:tcW w:w="594" w:type="pct"/>
            <w:tcBorders>
              <w:top w:val="nil"/>
              <w:left w:val="nil"/>
              <w:bottom w:val="nil"/>
              <w:right w:val="nil"/>
            </w:tcBorders>
            <w:shd w:val="clear" w:color="auto" w:fill="auto"/>
            <w:vAlign w:val="center"/>
            <w:hideMark/>
          </w:tcPr>
          <w:p w14:paraId="1902C03A"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85</w:t>
            </w:r>
          </w:p>
        </w:tc>
        <w:tc>
          <w:tcPr>
            <w:tcW w:w="584" w:type="pct"/>
            <w:tcBorders>
              <w:top w:val="nil"/>
              <w:left w:val="nil"/>
              <w:bottom w:val="nil"/>
              <w:right w:val="nil"/>
            </w:tcBorders>
            <w:shd w:val="clear" w:color="auto" w:fill="auto"/>
            <w:vAlign w:val="center"/>
            <w:hideMark/>
          </w:tcPr>
          <w:p w14:paraId="199533D6"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0</w:t>
            </w:r>
          </w:p>
        </w:tc>
        <w:tc>
          <w:tcPr>
            <w:tcW w:w="434" w:type="pct"/>
            <w:tcBorders>
              <w:top w:val="nil"/>
              <w:left w:val="nil"/>
              <w:bottom w:val="nil"/>
              <w:right w:val="nil"/>
            </w:tcBorders>
            <w:shd w:val="clear" w:color="auto" w:fill="auto"/>
            <w:vAlign w:val="center"/>
            <w:hideMark/>
          </w:tcPr>
          <w:p w14:paraId="0BF24627"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-85</w:t>
            </w:r>
          </w:p>
        </w:tc>
      </w:tr>
      <w:tr w:rsidR="004C6700" w:rsidRPr="00C30A64" w14:paraId="73CF3E17" w14:textId="77777777" w:rsidTr="00C80201">
        <w:trPr>
          <w:trHeight w:val="290"/>
        </w:trPr>
        <w:tc>
          <w:tcPr>
            <w:tcW w:w="2222" w:type="pct"/>
            <w:tcBorders>
              <w:top w:val="nil"/>
              <w:left w:val="nil"/>
              <w:bottom w:val="nil"/>
              <w:right w:val="nil"/>
            </w:tcBorders>
            <w:shd w:val="clear" w:color="auto" w:fill="auto"/>
            <w:vAlign w:val="center"/>
            <w:hideMark/>
          </w:tcPr>
          <w:p w14:paraId="2AD83BB3" w14:textId="2FB585A0" w:rsidR="004C6700" w:rsidRPr="00C30A64" w:rsidRDefault="004C6700" w:rsidP="006243D7">
            <w:pPr>
              <w:spacing w:after="0" w:line="240" w:lineRule="auto"/>
              <w:jc w:val="left"/>
              <w:rPr>
                <w:rFonts w:eastAsia="Times New Roman" w:cs="Times New Roman"/>
                <w:color w:val="000000"/>
                <w:sz w:val="18"/>
                <w:szCs w:val="18"/>
                <w:lang w:eastAsia="sk-SK"/>
              </w:rPr>
            </w:pPr>
            <w:r w:rsidRPr="00C30A64">
              <w:rPr>
                <w:rFonts w:eastAsia="Times New Roman" w:cs="Times New Roman"/>
                <w:color w:val="000000"/>
                <w:sz w:val="18"/>
                <w:szCs w:val="18"/>
                <w:lang w:eastAsia="sk-SK"/>
              </w:rPr>
              <w:t xml:space="preserve">Tipos, </w:t>
            </w:r>
            <w:proofErr w:type="spellStart"/>
            <w:r w:rsidRPr="00C30A64">
              <w:rPr>
                <w:rFonts w:eastAsia="Times New Roman" w:cs="Times New Roman"/>
                <w:color w:val="000000"/>
                <w:sz w:val="18"/>
                <w:szCs w:val="18"/>
                <w:lang w:eastAsia="sk-SK"/>
              </w:rPr>
              <w:t>a.s</w:t>
            </w:r>
            <w:proofErr w:type="spellEnd"/>
            <w:r w:rsidRPr="00C30A64">
              <w:rPr>
                <w:rFonts w:eastAsia="Times New Roman" w:cs="Times New Roman"/>
                <w:color w:val="000000"/>
                <w:sz w:val="18"/>
                <w:szCs w:val="18"/>
                <w:lang w:eastAsia="sk-SK"/>
              </w:rPr>
              <w:t>.</w:t>
            </w:r>
          </w:p>
        </w:tc>
        <w:tc>
          <w:tcPr>
            <w:tcW w:w="559" w:type="pct"/>
            <w:tcBorders>
              <w:top w:val="nil"/>
              <w:left w:val="nil"/>
              <w:bottom w:val="nil"/>
              <w:right w:val="nil"/>
            </w:tcBorders>
            <w:shd w:val="clear" w:color="auto" w:fill="auto"/>
            <w:vAlign w:val="center"/>
            <w:hideMark/>
          </w:tcPr>
          <w:p w14:paraId="44771845"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2 500</w:t>
            </w:r>
          </w:p>
        </w:tc>
        <w:tc>
          <w:tcPr>
            <w:tcW w:w="607" w:type="pct"/>
            <w:tcBorders>
              <w:top w:val="nil"/>
              <w:left w:val="nil"/>
              <w:bottom w:val="nil"/>
              <w:right w:val="nil"/>
            </w:tcBorders>
            <w:shd w:val="clear" w:color="auto" w:fill="auto"/>
            <w:vAlign w:val="center"/>
            <w:hideMark/>
          </w:tcPr>
          <w:p w14:paraId="27EAEB88"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5 000</w:t>
            </w:r>
          </w:p>
        </w:tc>
        <w:tc>
          <w:tcPr>
            <w:tcW w:w="594" w:type="pct"/>
            <w:tcBorders>
              <w:top w:val="nil"/>
              <w:left w:val="nil"/>
              <w:bottom w:val="nil"/>
              <w:right w:val="nil"/>
            </w:tcBorders>
            <w:shd w:val="clear" w:color="auto" w:fill="auto"/>
            <w:vAlign w:val="center"/>
            <w:hideMark/>
          </w:tcPr>
          <w:p w14:paraId="7A5A796C"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2 500</w:t>
            </w:r>
          </w:p>
        </w:tc>
        <w:tc>
          <w:tcPr>
            <w:tcW w:w="584" w:type="pct"/>
            <w:tcBorders>
              <w:top w:val="nil"/>
              <w:left w:val="nil"/>
              <w:bottom w:val="nil"/>
              <w:right w:val="nil"/>
            </w:tcBorders>
            <w:shd w:val="clear" w:color="auto" w:fill="auto"/>
            <w:vAlign w:val="center"/>
            <w:hideMark/>
          </w:tcPr>
          <w:p w14:paraId="7BF12D33"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50 000</w:t>
            </w:r>
          </w:p>
        </w:tc>
        <w:tc>
          <w:tcPr>
            <w:tcW w:w="434" w:type="pct"/>
            <w:tcBorders>
              <w:top w:val="nil"/>
              <w:left w:val="nil"/>
              <w:bottom w:val="nil"/>
              <w:right w:val="nil"/>
            </w:tcBorders>
            <w:shd w:val="clear" w:color="auto" w:fill="auto"/>
            <w:vAlign w:val="center"/>
            <w:hideMark/>
          </w:tcPr>
          <w:p w14:paraId="6E5FFF3A"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47 500</w:t>
            </w:r>
          </w:p>
        </w:tc>
      </w:tr>
      <w:tr w:rsidR="004C6700" w:rsidRPr="00C30A64" w14:paraId="0A7C6E20" w14:textId="77777777" w:rsidTr="00C80201">
        <w:trPr>
          <w:trHeight w:val="290"/>
        </w:trPr>
        <w:tc>
          <w:tcPr>
            <w:tcW w:w="2222" w:type="pct"/>
            <w:tcBorders>
              <w:top w:val="nil"/>
              <w:left w:val="nil"/>
              <w:bottom w:val="nil"/>
              <w:right w:val="nil"/>
            </w:tcBorders>
            <w:shd w:val="clear" w:color="auto" w:fill="auto"/>
            <w:vAlign w:val="center"/>
            <w:hideMark/>
          </w:tcPr>
          <w:p w14:paraId="708DF974"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riadne dividendy a odvody zo zisku</w:t>
            </w:r>
          </w:p>
        </w:tc>
        <w:tc>
          <w:tcPr>
            <w:tcW w:w="559" w:type="pct"/>
            <w:tcBorders>
              <w:top w:val="nil"/>
              <w:left w:val="nil"/>
              <w:bottom w:val="nil"/>
              <w:right w:val="nil"/>
            </w:tcBorders>
            <w:shd w:val="clear" w:color="auto" w:fill="auto"/>
            <w:vAlign w:val="center"/>
            <w:hideMark/>
          </w:tcPr>
          <w:p w14:paraId="11A7D626"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2 500</w:t>
            </w:r>
          </w:p>
        </w:tc>
        <w:tc>
          <w:tcPr>
            <w:tcW w:w="607" w:type="pct"/>
            <w:tcBorders>
              <w:top w:val="nil"/>
              <w:left w:val="nil"/>
              <w:bottom w:val="nil"/>
              <w:right w:val="nil"/>
            </w:tcBorders>
            <w:shd w:val="clear" w:color="auto" w:fill="auto"/>
            <w:vAlign w:val="center"/>
            <w:hideMark/>
          </w:tcPr>
          <w:p w14:paraId="6ECF1EC8"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5 000</w:t>
            </w:r>
          </w:p>
        </w:tc>
        <w:tc>
          <w:tcPr>
            <w:tcW w:w="594" w:type="pct"/>
            <w:tcBorders>
              <w:top w:val="nil"/>
              <w:left w:val="nil"/>
              <w:bottom w:val="nil"/>
              <w:right w:val="nil"/>
            </w:tcBorders>
            <w:shd w:val="clear" w:color="auto" w:fill="auto"/>
            <w:vAlign w:val="center"/>
            <w:hideMark/>
          </w:tcPr>
          <w:p w14:paraId="1ADCDA97"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2 500</w:t>
            </w:r>
          </w:p>
        </w:tc>
        <w:tc>
          <w:tcPr>
            <w:tcW w:w="584" w:type="pct"/>
            <w:tcBorders>
              <w:top w:val="nil"/>
              <w:left w:val="nil"/>
              <w:bottom w:val="nil"/>
              <w:right w:val="nil"/>
            </w:tcBorders>
            <w:shd w:val="clear" w:color="auto" w:fill="auto"/>
            <w:vAlign w:val="center"/>
            <w:hideMark/>
          </w:tcPr>
          <w:p w14:paraId="25BA971E"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25 703</w:t>
            </w:r>
          </w:p>
        </w:tc>
        <w:tc>
          <w:tcPr>
            <w:tcW w:w="434" w:type="pct"/>
            <w:tcBorders>
              <w:top w:val="nil"/>
              <w:left w:val="nil"/>
              <w:bottom w:val="nil"/>
              <w:right w:val="nil"/>
            </w:tcBorders>
            <w:shd w:val="clear" w:color="auto" w:fill="auto"/>
            <w:vAlign w:val="center"/>
            <w:hideMark/>
          </w:tcPr>
          <w:p w14:paraId="02441F96"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23 203</w:t>
            </w:r>
          </w:p>
        </w:tc>
      </w:tr>
      <w:tr w:rsidR="004C6700" w:rsidRPr="00C30A64" w14:paraId="33C771F9" w14:textId="77777777" w:rsidTr="00C80201">
        <w:trPr>
          <w:trHeight w:val="290"/>
        </w:trPr>
        <w:tc>
          <w:tcPr>
            <w:tcW w:w="2222" w:type="pct"/>
            <w:tcBorders>
              <w:top w:val="nil"/>
              <w:left w:val="nil"/>
              <w:bottom w:val="nil"/>
              <w:right w:val="nil"/>
            </w:tcBorders>
            <w:shd w:val="clear" w:color="auto" w:fill="auto"/>
            <w:vAlign w:val="center"/>
            <w:hideMark/>
          </w:tcPr>
          <w:p w14:paraId="629970AE"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w:t>
            </w:r>
            <w:proofErr w:type="spellStart"/>
            <w:r w:rsidRPr="00C30A64">
              <w:rPr>
                <w:rFonts w:eastAsia="Times New Roman" w:cs="Times New Roman"/>
                <w:i/>
                <w:iCs/>
                <w:color w:val="000000"/>
                <w:sz w:val="18"/>
                <w:szCs w:val="18"/>
                <w:lang w:eastAsia="sk-SK"/>
              </w:rPr>
              <w:t>superdividendy</w:t>
            </w:r>
            <w:proofErr w:type="spellEnd"/>
          </w:p>
        </w:tc>
        <w:tc>
          <w:tcPr>
            <w:tcW w:w="559" w:type="pct"/>
            <w:tcBorders>
              <w:top w:val="nil"/>
              <w:left w:val="nil"/>
              <w:bottom w:val="nil"/>
              <w:right w:val="nil"/>
            </w:tcBorders>
            <w:shd w:val="clear" w:color="auto" w:fill="auto"/>
            <w:vAlign w:val="center"/>
            <w:hideMark/>
          </w:tcPr>
          <w:p w14:paraId="3384B6BE"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607" w:type="pct"/>
            <w:tcBorders>
              <w:top w:val="nil"/>
              <w:left w:val="nil"/>
              <w:bottom w:val="nil"/>
              <w:right w:val="nil"/>
            </w:tcBorders>
            <w:shd w:val="clear" w:color="auto" w:fill="auto"/>
            <w:vAlign w:val="center"/>
            <w:hideMark/>
          </w:tcPr>
          <w:p w14:paraId="05636507"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0</w:t>
            </w:r>
          </w:p>
        </w:tc>
        <w:tc>
          <w:tcPr>
            <w:tcW w:w="594" w:type="pct"/>
            <w:tcBorders>
              <w:top w:val="nil"/>
              <w:left w:val="nil"/>
              <w:bottom w:val="nil"/>
              <w:right w:val="nil"/>
            </w:tcBorders>
            <w:shd w:val="clear" w:color="auto" w:fill="auto"/>
            <w:vAlign w:val="center"/>
            <w:hideMark/>
          </w:tcPr>
          <w:p w14:paraId="51277464"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0</w:t>
            </w:r>
          </w:p>
        </w:tc>
        <w:tc>
          <w:tcPr>
            <w:tcW w:w="584" w:type="pct"/>
            <w:tcBorders>
              <w:top w:val="nil"/>
              <w:left w:val="nil"/>
              <w:bottom w:val="nil"/>
              <w:right w:val="nil"/>
            </w:tcBorders>
            <w:shd w:val="clear" w:color="auto" w:fill="auto"/>
            <w:vAlign w:val="center"/>
            <w:hideMark/>
          </w:tcPr>
          <w:p w14:paraId="71A8F8AA"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24 297</w:t>
            </w:r>
          </w:p>
        </w:tc>
        <w:tc>
          <w:tcPr>
            <w:tcW w:w="434" w:type="pct"/>
            <w:tcBorders>
              <w:top w:val="nil"/>
              <w:left w:val="nil"/>
              <w:bottom w:val="nil"/>
              <w:right w:val="nil"/>
            </w:tcBorders>
            <w:shd w:val="clear" w:color="auto" w:fill="auto"/>
            <w:vAlign w:val="center"/>
            <w:hideMark/>
          </w:tcPr>
          <w:p w14:paraId="7A5897E0"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24 297</w:t>
            </w:r>
          </w:p>
        </w:tc>
      </w:tr>
      <w:tr w:rsidR="004C6700" w:rsidRPr="00C30A64" w14:paraId="394B242A" w14:textId="77777777" w:rsidTr="00C80201">
        <w:trPr>
          <w:trHeight w:val="290"/>
        </w:trPr>
        <w:tc>
          <w:tcPr>
            <w:tcW w:w="2222" w:type="pct"/>
            <w:tcBorders>
              <w:top w:val="nil"/>
              <w:left w:val="nil"/>
              <w:bottom w:val="nil"/>
              <w:right w:val="nil"/>
            </w:tcBorders>
            <w:shd w:val="clear" w:color="auto" w:fill="auto"/>
            <w:vAlign w:val="center"/>
            <w:hideMark/>
          </w:tcPr>
          <w:p w14:paraId="056C3234" w14:textId="1DD497DE" w:rsidR="004C6700" w:rsidRPr="00C30A64" w:rsidRDefault="004C6700" w:rsidP="006243D7">
            <w:pPr>
              <w:spacing w:after="0" w:line="240" w:lineRule="auto"/>
              <w:jc w:val="left"/>
              <w:rPr>
                <w:rFonts w:eastAsia="Times New Roman" w:cs="Times New Roman"/>
                <w:color w:val="000000"/>
                <w:sz w:val="18"/>
                <w:szCs w:val="18"/>
                <w:lang w:eastAsia="sk-SK"/>
              </w:rPr>
            </w:pPr>
            <w:r w:rsidRPr="00C30A64">
              <w:rPr>
                <w:rFonts w:eastAsia="Times New Roman" w:cs="Times New Roman"/>
                <w:color w:val="000000"/>
                <w:sz w:val="18"/>
                <w:szCs w:val="18"/>
                <w:lang w:eastAsia="sk-SK"/>
              </w:rPr>
              <w:t xml:space="preserve">SEPS, </w:t>
            </w:r>
            <w:proofErr w:type="spellStart"/>
            <w:r w:rsidRPr="00C30A64">
              <w:rPr>
                <w:rFonts w:eastAsia="Times New Roman" w:cs="Times New Roman"/>
                <w:color w:val="000000"/>
                <w:sz w:val="18"/>
                <w:szCs w:val="18"/>
                <w:lang w:eastAsia="sk-SK"/>
              </w:rPr>
              <w:t>a.s</w:t>
            </w:r>
            <w:proofErr w:type="spellEnd"/>
            <w:r w:rsidRPr="00C30A64">
              <w:rPr>
                <w:rFonts w:eastAsia="Times New Roman" w:cs="Times New Roman"/>
                <w:color w:val="000000"/>
                <w:sz w:val="18"/>
                <w:szCs w:val="18"/>
                <w:lang w:eastAsia="sk-SK"/>
              </w:rPr>
              <w:t>.</w:t>
            </w:r>
          </w:p>
        </w:tc>
        <w:tc>
          <w:tcPr>
            <w:tcW w:w="559" w:type="pct"/>
            <w:tcBorders>
              <w:top w:val="nil"/>
              <w:left w:val="nil"/>
              <w:bottom w:val="nil"/>
              <w:right w:val="nil"/>
            </w:tcBorders>
            <w:shd w:val="clear" w:color="auto" w:fill="auto"/>
            <w:vAlign w:val="center"/>
            <w:hideMark/>
          </w:tcPr>
          <w:p w14:paraId="22CEB914"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29 335</w:t>
            </w:r>
          </w:p>
        </w:tc>
        <w:tc>
          <w:tcPr>
            <w:tcW w:w="607" w:type="pct"/>
            <w:tcBorders>
              <w:top w:val="nil"/>
              <w:left w:val="nil"/>
              <w:bottom w:val="nil"/>
              <w:right w:val="nil"/>
            </w:tcBorders>
            <w:shd w:val="clear" w:color="auto" w:fill="auto"/>
            <w:vAlign w:val="center"/>
            <w:hideMark/>
          </w:tcPr>
          <w:p w14:paraId="6F9EF2FA"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0</w:t>
            </w:r>
          </w:p>
        </w:tc>
        <w:tc>
          <w:tcPr>
            <w:tcW w:w="594" w:type="pct"/>
            <w:tcBorders>
              <w:top w:val="nil"/>
              <w:left w:val="nil"/>
              <w:bottom w:val="nil"/>
              <w:right w:val="nil"/>
            </w:tcBorders>
            <w:shd w:val="clear" w:color="auto" w:fill="auto"/>
            <w:vAlign w:val="center"/>
            <w:hideMark/>
          </w:tcPr>
          <w:p w14:paraId="3FDC624C"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62 872</w:t>
            </w:r>
          </w:p>
        </w:tc>
        <w:tc>
          <w:tcPr>
            <w:tcW w:w="584" w:type="pct"/>
            <w:tcBorders>
              <w:top w:val="nil"/>
              <w:left w:val="nil"/>
              <w:bottom w:val="nil"/>
              <w:right w:val="nil"/>
            </w:tcBorders>
            <w:shd w:val="clear" w:color="auto" w:fill="auto"/>
            <w:vAlign w:val="center"/>
            <w:hideMark/>
          </w:tcPr>
          <w:p w14:paraId="04B3D2A8"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79 338</w:t>
            </w:r>
          </w:p>
        </w:tc>
        <w:tc>
          <w:tcPr>
            <w:tcW w:w="434" w:type="pct"/>
            <w:tcBorders>
              <w:top w:val="nil"/>
              <w:left w:val="nil"/>
              <w:bottom w:val="nil"/>
              <w:right w:val="nil"/>
            </w:tcBorders>
            <w:shd w:val="clear" w:color="auto" w:fill="auto"/>
            <w:vAlign w:val="center"/>
            <w:hideMark/>
          </w:tcPr>
          <w:p w14:paraId="01A530BB"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16 466</w:t>
            </w:r>
          </w:p>
        </w:tc>
      </w:tr>
      <w:tr w:rsidR="004C6700" w:rsidRPr="00C30A64" w14:paraId="03398DF6" w14:textId="77777777" w:rsidTr="00C80201">
        <w:trPr>
          <w:trHeight w:val="290"/>
        </w:trPr>
        <w:tc>
          <w:tcPr>
            <w:tcW w:w="2222" w:type="pct"/>
            <w:tcBorders>
              <w:top w:val="nil"/>
              <w:left w:val="nil"/>
              <w:bottom w:val="nil"/>
              <w:right w:val="nil"/>
            </w:tcBorders>
            <w:shd w:val="clear" w:color="auto" w:fill="auto"/>
            <w:vAlign w:val="center"/>
            <w:hideMark/>
          </w:tcPr>
          <w:p w14:paraId="12B73BE0" w14:textId="40154338" w:rsidR="004C6700" w:rsidRPr="00C30A64" w:rsidRDefault="004C6700" w:rsidP="006243D7">
            <w:pPr>
              <w:spacing w:after="0" w:line="240" w:lineRule="auto"/>
              <w:rPr>
                <w:rFonts w:eastAsia="Times New Roman" w:cs="Times New Roman"/>
                <w:color w:val="000000"/>
                <w:sz w:val="18"/>
                <w:szCs w:val="18"/>
                <w:lang w:eastAsia="sk-SK"/>
              </w:rPr>
            </w:pPr>
            <w:r w:rsidRPr="00C30A64">
              <w:rPr>
                <w:rFonts w:eastAsia="Times New Roman" w:cs="Times New Roman"/>
                <w:color w:val="000000"/>
                <w:sz w:val="18"/>
                <w:szCs w:val="18"/>
                <w:lang w:eastAsia="sk-SK"/>
              </w:rPr>
              <w:t xml:space="preserve">SZRB, </w:t>
            </w:r>
            <w:proofErr w:type="spellStart"/>
            <w:r w:rsidRPr="00C30A64">
              <w:rPr>
                <w:rFonts w:eastAsia="Times New Roman" w:cs="Times New Roman"/>
                <w:color w:val="000000"/>
                <w:sz w:val="18"/>
                <w:szCs w:val="18"/>
                <w:lang w:eastAsia="sk-SK"/>
              </w:rPr>
              <w:t>a.s</w:t>
            </w:r>
            <w:proofErr w:type="spellEnd"/>
            <w:r w:rsidRPr="00C30A64">
              <w:rPr>
                <w:rFonts w:eastAsia="Times New Roman" w:cs="Times New Roman"/>
                <w:color w:val="000000"/>
                <w:sz w:val="18"/>
                <w:szCs w:val="18"/>
                <w:lang w:eastAsia="sk-SK"/>
              </w:rPr>
              <w:t>.</w:t>
            </w:r>
          </w:p>
        </w:tc>
        <w:tc>
          <w:tcPr>
            <w:tcW w:w="559" w:type="pct"/>
            <w:tcBorders>
              <w:top w:val="nil"/>
              <w:left w:val="nil"/>
              <w:bottom w:val="nil"/>
              <w:right w:val="nil"/>
            </w:tcBorders>
            <w:shd w:val="clear" w:color="auto" w:fill="auto"/>
            <w:vAlign w:val="center"/>
            <w:hideMark/>
          </w:tcPr>
          <w:p w14:paraId="1A80AC6F"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0</w:t>
            </w:r>
          </w:p>
        </w:tc>
        <w:tc>
          <w:tcPr>
            <w:tcW w:w="607" w:type="pct"/>
            <w:tcBorders>
              <w:top w:val="nil"/>
              <w:left w:val="nil"/>
              <w:bottom w:val="nil"/>
              <w:right w:val="nil"/>
            </w:tcBorders>
            <w:shd w:val="clear" w:color="auto" w:fill="auto"/>
            <w:vAlign w:val="center"/>
            <w:hideMark/>
          </w:tcPr>
          <w:p w14:paraId="5563F0AB"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0</w:t>
            </w:r>
          </w:p>
        </w:tc>
        <w:tc>
          <w:tcPr>
            <w:tcW w:w="594" w:type="pct"/>
            <w:tcBorders>
              <w:top w:val="nil"/>
              <w:left w:val="nil"/>
              <w:bottom w:val="nil"/>
              <w:right w:val="nil"/>
            </w:tcBorders>
            <w:shd w:val="clear" w:color="auto" w:fill="auto"/>
            <w:vAlign w:val="center"/>
            <w:hideMark/>
          </w:tcPr>
          <w:p w14:paraId="7614C1DC"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0</w:t>
            </w:r>
          </w:p>
        </w:tc>
        <w:tc>
          <w:tcPr>
            <w:tcW w:w="584" w:type="pct"/>
            <w:tcBorders>
              <w:top w:val="nil"/>
              <w:left w:val="nil"/>
              <w:bottom w:val="nil"/>
              <w:right w:val="nil"/>
            </w:tcBorders>
            <w:shd w:val="clear" w:color="auto" w:fill="auto"/>
            <w:vAlign w:val="center"/>
            <w:hideMark/>
          </w:tcPr>
          <w:p w14:paraId="155E0AC9"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400</w:t>
            </w:r>
          </w:p>
        </w:tc>
        <w:tc>
          <w:tcPr>
            <w:tcW w:w="434" w:type="pct"/>
            <w:tcBorders>
              <w:top w:val="nil"/>
              <w:left w:val="nil"/>
              <w:bottom w:val="nil"/>
              <w:right w:val="nil"/>
            </w:tcBorders>
            <w:shd w:val="clear" w:color="auto" w:fill="auto"/>
            <w:vAlign w:val="center"/>
            <w:hideMark/>
          </w:tcPr>
          <w:p w14:paraId="53D09038"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400</w:t>
            </w:r>
          </w:p>
        </w:tc>
      </w:tr>
      <w:tr w:rsidR="004C6700" w:rsidRPr="00C30A64" w14:paraId="10BC97C7" w14:textId="77777777" w:rsidTr="00C80201">
        <w:trPr>
          <w:trHeight w:val="290"/>
        </w:trPr>
        <w:tc>
          <w:tcPr>
            <w:tcW w:w="2222" w:type="pct"/>
            <w:tcBorders>
              <w:top w:val="nil"/>
              <w:left w:val="nil"/>
              <w:bottom w:val="nil"/>
              <w:right w:val="nil"/>
            </w:tcBorders>
            <w:shd w:val="clear" w:color="auto" w:fill="auto"/>
            <w:vAlign w:val="center"/>
            <w:hideMark/>
          </w:tcPr>
          <w:p w14:paraId="5207D322"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riadne dividendy a odvody zo zisku</w:t>
            </w:r>
          </w:p>
        </w:tc>
        <w:tc>
          <w:tcPr>
            <w:tcW w:w="559" w:type="pct"/>
            <w:tcBorders>
              <w:top w:val="nil"/>
              <w:left w:val="nil"/>
              <w:bottom w:val="nil"/>
              <w:right w:val="nil"/>
            </w:tcBorders>
            <w:shd w:val="clear" w:color="auto" w:fill="auto"/>
            <w:vAlign w:val="center"/>
            <w:hideMark/>
          </w:tcPr>
          <w:p w14:paraId="113BA51C"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607" w:type="pct"/>
            <w:tcBorders>
              <w:top w:val="nil"/>
              <w:left w:val="nil"/>
              <w:bottom w:val="nil"/>
              <w:right w:val="nil"/>
            </w:tcBorders>
            <w:shd w:val="clear" w:color="auto" w:fill="auto"/>
            <w:vAlign w:val="center"/>
            <w:hideMark/>
          </w:tcPr>
          <w:p w14:paraId="3839E0EA"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0</w:t>
            </w:r>
          </w:p>
        </w:tc>
        <w:tc>
          <w:tcPr>
            <w:tcW w:w="594" w:type="pct"/>
            <w:tcBorders>
              <w:top w:val="nil"/>
              <w:left w:val="nil"/>
              <w:bottom w:val="nil"/>
              <w:right w:val="nil"/>
            </w:tcBorders>
            <w:shd w:val="clear" w:color="auto" w:fill="auto"/>
            <w:vAlign w:val="center"/>
            <w:hideMark/>
          </w:tcPr>
          <w:p w14:paraId="1F763E43"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0</w:t>
            </w:r>
          </w:p>
        </w:tc>
        <w:tc>
          <w:tcPr>
            <w:tcW w:w="584" w:type="pct"/>
            <w:tcBorders>
              <w:top w:val="nil"/>
              <w:left w:val="nil"/>
              <w:bottom w:val="nil"/>
              <w:right w:val="nil"/>
            </w:tcBorders>
            <w:shd w:val="clear" w:color="auto" w:fill="auto"/>
            <w:vAlign w:val="center"/>
            <w:hideMark/>
          </w:tcPr>
          <w:p w14:paraId="163F4E3C"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400</w:t>
            </w:r>
          </w:p>
        </w:tc>
        <w:tc>
          <w:tcPr>
            <w:tcW w:w="434" w:type="pct"/>
            <w:tcBorders>
              <w:top w:val="nil"/>
              <w:left w:val="nil"/>
              <w:bottom w:val="nil"/>
              <w:right w:val="nil"/>
            </w:tcBorders>
            <w:shd w:val="clear" w:color="auto" w:fill="auto"/>
            <w:vAlign w:val="center"/>
            <w:hideMark/>
          </w:tcPr>
          <w:p w14:paraId="15A908A0"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400</w:t>
            </w:r>
          </w:p>
        </w:tc>
      </w:tr>
      <w:tr w:rsidR="004C6700" w:rsidRPr="00C30A64" w14:paraId="63598FCF" w14:textId="77777777" w:rsidTr="00C80201">
        <w:trPr>
          <w:trHeight w:val="290"/>
        </w:trPr>
        <w:tc>
          <w:tcPr>
            <w:tcW w:w="2222" w:type="pct"/>
            <w:tcBorders>
              <w:top w:val="nil"/>
              <w:left w:val="nil"/>
              <w:bottom w:val="nil"/>
              <w:right w:val="nil"/>
            </w:tcBorders>
            <w:shd w:val="clear" w:color="auto" w:fill="auto"/>
            <w:vAlign w:val="center"/>
            <w:hideMark/>
          </w:tcPr>
          <w:p w14:paraId="2E1762DE" w14:textId="77777777" w:rsidR="004C6700" w:rsidRPr="00C30A64" w:rsidRDefault="004C6700" w:rsidP="00836EB5">
            <w:pPr>
              <w:spacing w:after="0" w:line="240" w:lineRule="auto"/>
              <w:rPr>
                <w:rFonts w:eastAsia="Times New Roman" w:cs="Times New Roman"/>
                <w:color w:val="000000"/>
                <w:sz w:val="18"/>
                <w:szCs w:val="18"/>
                <w:lang w:eastAsia="sk-SK"/>
              </w:rPr>
            </w:pPr>
            <w:r w:rsidRPr="00C30A64">
              <w:rPr>
                <w:rFonts w:eastAsia="Times New Roman" w:cs="Times New Roman"/>
                <w:color w:val="000000"/>
                <w:sz w:val="18"/>
                <w:szCs w:val="18"/>
                <w:lang w:eastAsia="sk-SK"/>
              </w:rPr>
              <w:t>EXIMBANKA SR</w:t>
            </w:r>
          </w:p>
        </w:tc>
        <w:tc>
          <w:tcPr>
            <w:tcW w:w="559" w:type="pct"/>
            <w:tcBorders>
              <w:top w:val="nil"/>
              <w:left w:val="nil"/>
              <w:bottom w:val="nil"/>
              <w:right w:val="nil"/>
            </w:tcBorders>
            <w:shd w:val="clear" w:color="auto" w:fill="auto"/>
            <w:vAlign w:val="center"/>
            <w:hideMark/>
          </w:tcPr>
          <w:p w14:paraId="5238B39E"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250</w:t>
            </w:r>
          </w:p>
        </w:tc>
        <w:tc>
          <w:tcPr>
            <w:tcW w:w="607" w:type="pct"/>
            <w:tcBorders>
              <w:top w:val="nil"/>
              <w:left w:val="nil"/>
              <w:bottom w:val="nil"/>
              <w:right w:val="nil"/>
            </w:tcBorders>
            <w:shd w:val="clear" w:color="auto" w:fill="auto"/>
            <w:vAlign w:val="center"/>
            <w:hideMark/>
          </w:tcPr>
          <w:p w14:paraId="644F8D7C"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0</w:t>
            </w:r>
          </w:p>
        </w:tc>
        <w:tc>
          <w:tcPr>
            <w:tcW w:w="594" w:type="pct"/>
            <w:tcBorders>
              <w:top w:val="nil"/>
              <w:left w:val="nil"/>
              <w:bottom w:val="nil"/>
              <w:right w:val="nil"/>
            </w:tcBorders>
            <w:shd w:val="clear" w:color="auto" w:fill="auto"/>
            <w:vAlign w:val="center"/>
            <w:hideMark/>
          </w:tcPr>
          <w:p w14:paraId="5AF3CD20"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250</w:t>
            </w:r>
          </w:p>
        </w:tc>
        <w:tc>
          <w:tcPr>
            <w:tcW w:w="584" w:type="pct"/>
            <w:tcBorders>
              <w:top w:val="nil"/>
              <w:left w:val="nil"/>
              <w:bottom w:val="nil"/>
              <w:right w:val="nil"/>
            </w:tcBorders>
            <w:shd w:val="clear" w:color="auto" w:fill="auto"/>
            <w:vAlign w:val="center"/>
            <w:hideMark/>
          </w:tcPr>
          <w:p w14:paraId="561120DC"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250</w:t>
            </w:r>
          </w:p>
        </w:tc>
        <w:tc>
          <w:tcPr>
            <w:tcW w:w="434" w:type="pct"/>
            <w:tcBorders>
              <w:top w:val="nil"/>
              <w:left w:val="nil"/>
              <w:bottom w:val="nil"/>
              <w:right w:val="nil"/>
            </w:tcBorders>
            <w:shd w:val="clear" w:color="auto" w:fill="auto"/>
            <w:vAlign w:val="center"/>
            <w:hideMark/>
          </w:tcPr>
          <w:p w14:paraId="6A2688C3"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0</w:t>
            </w:r>
          </w:p>
        </w:tc>
      </w:tr>
      <w:tr w:rsidR="004C6700" w:rsidRPr="00C30A64" w14:paraId="0808435E" w14:textId="77777777" w:rsidTr="00C80201">
        <w:trPr>
          <w:trHeight w:val="290"/>
        </w:trPr>
        <w:tc>
          <w:tcPr>
            <w:tcW w:w="2222" w:type="pct"/>
            <w:tcBorders>
              <w:top w:val="nil"/>
              <w:left w:val="nil"/>
              <w:bottom w:val="nil"/>
              <w:right w:val="nil"/>
            </w:tcBorders>
            <w:shd w:val="clear" w:color="auto" w:fill="auto"/>
            <w:vAlign w:val="center"/>
            <w:hideMark/>
          </w:tcPr>
          <w:p w14:paraId="7DEED269"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riadne dividendy a odvody zo zisku</w:t>
            </w:r>
          </w:p>
        </w:tc>
        <w:tc>
          <w:tcPr>
            <w:tcW w:w="559" w:type="pct"/>
            <w:tcBorders>
              <w:top w:val="nil"/>
              <w:left w:val="nil"/>
              <w:bottom w:val="nil"/>
              <w:right w:val="nil"/>
            </w:tcBorders>
            <w:shd w:val="clear" w:color="auto" w:fill="auto"/>
            <w:vAlign w:val="center"/>
            <w:hideMark/>
          </w:tcPr>
          <w:p w14:paraId="4E0AFAA8"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250</w:t>
            </w:r>
          </w:p>
        </w:tc>
        <w:tc>
          <w:tcPr>
            <w:tcW w:w="607" w:type="pct"/>
            <w:tcBorders>
              <w:top w:val="nil"/>
              <w:left w:val="nil"/>
              <w:bottom w:val="nil"/>
              <w:right w:val="nil"/>
            </w:tcBorders>
            <w:shd w:val="clear" w:color="auto" w:fill="auto"/>
            <w:vAlign w:val="center"/>
            <w:hideMark/>
          </w:tcPr>
          <w:p w14:paraId="163EEA42"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0</w:t>
            </w:r>
          </w:p>
        </w:tc>
        <w:tc>
          <w:tcPr>
            <w:tcW w:w="594" w:type="pct"/>
            <w:tcBorders>
              <w:top w:val="nil"/>
              <w:left w:val="nil"/>
              <w:bottom w:val="nil"/>
              <w:right w:val="nil"/>
            </w:tcBorders>
            <w:shd w:val="clear" w:color="auto" w:fill="auto"/>
            <w:vAlign w:val="center"/>
            <w:hideMark/>
          </w:tcPr>
          <w:p w14:paraId="06AD96AF"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250</w:t>
            </w:r>
          </w:p>
        </w:tc>
        <w:tc>
          <w:tcPr>
            <w:tcW w:w="584" w:type="pct"/>
            <w:tcBorders>
              <w:top w:val="nil"/>
              <w:left w:val="nil"/>
              <w:bottom w:val="nil"/>
              <w:right w:val="nil"/>
            </w:tcBorders>
            <w:shd w:val="clear" w:color="auto" w:fill="auto"/>
            <w:vAlign w:val="center"/>
            <w:hideMark/>
          </w:tcPr>
          <w:p w14:paraId="4C7A6D99"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250</w:t>
            </w:r>
          </w:p>
        </w:tc>
        <w:tc>
          <w:tcPr>
            <w:tcW w:w="434" w:type="pct"/>
            <w:tcBorders>
              <w:top w:val="nil"/>
              <w:left w:val="nil"/>
              <w:bottom w:val="nil"/>
              <w:right w:val="nil"/>
            </w:tcBorders>
            <w:shd w:val="clear" w:color="auto" w:fill="auto"/>
            <w:vAlign w:val="center"/>
            <w:hideMark/>
          </w:tcPr>
          <w:p w14:paraId="0FCB5F00"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0</w:t>
            </w:r>
          </w:p>
        </w:tc>
      </w:tr>
      <w:tr w:rsidR="004C6700" w:rsidRPr="00C30A64" w14:paraId="40FA3A01" w14:textId="77777777" w:rsidTr="00C80201">
        <w:trPr>
          <w:trHeight w:val="460"/>
        </w:trPr>
        <w:tc>
          <w:tcPr>
            <w:tcW w:w="2222" w:type="pct"/>
            <w:tcBorders>
              <w:top w:val="nil"/>
              <w:left w:val="nil"/>
              <w:bottom w:val="nil"/>
              <w:right w:val="nil"/>
            </w:tcBorders>
            <w:shd w:val="clear" w:color="auto" w:fill="auto"/>
            <w:vAlign w:val="center"/>
            <w:hideMark/>
          </w:tcPr>
          <w:p w14:paraId="400D21C0" w14:textId="77777777" w:rsidR="004C6700" w:rsidRPr="00C30A64" w:rsidRDefault="004C6700" w:rsidP="00836EB5">
            <w:pPr>
              <w:spacing w:after="0" w:line="240" w:lineRule="auto"/>
              <w:jc w:val="lef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Ministerstvo zahraničných vecí a európskych záležitostí SR</w:t>
            </w:r>
          </w:p>
        </w:tc>
        <w:tc>
          <w:tcPr>
            <w:tcW w:w="559" w:type="pct"/>
            <w:tcBorders>
              <w:top w:val="nil"/>
              <w:left w:val="nil"/>
              <w:bottom w:val="nil"/>
              <w:right w:val="nil"/>
            </w:tcBorders>
            <w:shd w:val="clear" w:color="auto" w:fill="auto"/>
            <w:vAlign w:val="center"/>
            <w:hideMark/>
          </w:tcPr>
          <w:p w14:paraId="52D489DB"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250</w:t>
            </w:r>
          </w:p>
        </w:tc>
        <w:tc>
          <w:tcPr>
            <w:tcW w:w="607" w:type="pct"/>
            <w:tcBorders>
              <w:top w:val="nil"/>
              <w:left w:val="nil"/>
              <w:bottom w:val="nil"/>
              <w:right w:val="nil"/>
            </w:tcBorders>
            <w:shd w:val="clear" w:color="auto" w:fill="auto"/>
            <w:vAlign w:val="center"/>
            <w:hideMark/>
          </w:tcPr>
          <w:p w14:paraId="3EB97EDC" w14:textId="77777777" w:rsidR="004C6700" w:rsidRPr="006E5787" w:rsidRDefault="004C6700" w:rsidP="00836EB5">
            <w:pPr>
              <w:spacing w:after="0" w:line="240" w:lineRule="auto"/>
              <w:jc w:val="right"/>
              <w:rPr>
                <w:rFonts w:eastAsia="Times New Roman" w:cs="Times New Roman"/>
                <w:b/>
                <w:bCs/>
                <w:color w:val="000000"/>
                <w:sz w:val="18"/>
                <w:szCs w:val="18"/>
                <w:lang w:eastAsia="sk-SK"/>
              </w:rPr>
            </w:pPr>
            <w:r w:rsidRPr="006E5787">
              <w:rPr>
                <w:rFonts w:eastAsia="Times New Roman" w:cs="Times New Roman"/>
                <w:b/>
                <w:bCs/>
                <w:color w:val="000000"/>
                <w:sz w:val="18"/>
                <w:szCs w:val="18"/>
                <w:lang w:eastAsia="sk-SK"/>
              </w:rPr>
              <w:t>240</w:t>
            </w:r>
          </w:p>
        </w:tc>
        <w:tc>
          <w:tcPr>
            <w:tcW w:w="594" w:type="pct"/>
            <w:tcBorders>
              <w:top w:val="nil"/>
              <w:left w:val="nil"/>
              <w:bottom w:val="nil"/>
              <w:right w:val="nil"/>
            </w:tcBorders>
            <w:shd w:val="clear" w:color="auto" w:fill="auto"/>
            <w:vAlign w:val="center"/>
            <w:hideMark/>
          </w:tcPr>
          <w:p w14:paraId="6D4491C4" w14:textId="77777777" w:rsidR="004C6700" w:rsidRPr="006E5787" w:rsidRDefault="004C6700" w:rsidP="00836EB5">
            <w:pPr>
              <w:spacing w:after="0" w:line="240" w:lineRule="auto"/>
              <w:jc w:val="right"/>
              <w:rPr>
                <w:rFonts w:eastAsia="Times New Roman" w:cs="Times New Roman"/>
                <w:b/>
                <w:bCs/>
                <w:color w:val="000000"/>
                <w:sz w:val="18"/>
                <w:szCs w:val="18"/>
                <w:lang w:eastAsia="sk-SK"/>
              </w:rPr>
            </w:pPr>
            <w:r w:rsidRPr="006E5787">
              <w:rPr>
                <w:rFonts w:eastAsia="Times New Roman" w:cs="Times New Roman"/>
                <w:b/>
                <w:bCs/>
                <w:color w:val="000000"/>
                <w:sz w:val="18"/>
                <w:szCs w:val="18"/>
                <w:lang w:eastAsia="sk-SK"/>
              </w:rPr>
              <w:t>260</w:t>
            </w:r>
          </w:p>
        </w:tc>
        <w:tc>
          <w:tcPr>
            <w:tcW w:w="584" w:type="pct"/>
            <w:tcBorders>
              <w:top w:val="nil"/>
              <w:left w:val="nil"/>
              <w:bottom w:val="nil"/>
              <w:right w:val="nil"/>
            </w:tcBorders>
            <w:shd w:val="clear" w:color="auto" w:fill="auto"/>
            <w:vAlign w:val="center"/>
            <w:hideMark/>
          </w:tcPr>
          <w:p w14:paraId="7A98EFDB" w14:textId="77777777" w:rsidR="004C6700" w:rsidRPr="006E5787" w:rsidRDefault="004C6700" w:rsidP="00836EB5">
            <w:pPr>
              <w:spacing w:after="0" w:line="240" w:lineRule="auto"/>
              <w:jc w:val="right"/>
              <w:rPr>
                <w:rFonts w:eastAsia="Times New Roman" w:cs="Times New Roman"/>
                <w:b/>
                <w:bCs/>
                <w:color w:val="000000"/>
                <w:sz w:val="18"/>
                <w:szCs w:val="18"/>
                <w:lang w:eastAsia="sk-SK"/>
              </w:rPr>
            </w:pPr>
            <w:r w:rsidRPr="006E5787">
              <w:rPr>
                <w:rFonts w:eastAsia="Times New Roman" w:cs="Times New Roman"/>
                <w:b/>
                <w:bCs/>
                <w:color w:val="000000"/>
                <w:sz w:val="18"/>
                <w:szCs w:val="18"/>
                <w:lang w:eastAsia="sk-SK"/>
              </w:rPr>
              <w:t>260</w:t>
            </w:r>
          </w:p>
        </w:tc>
        <w:tc>
          <w:tcPr>
            <w:tcW w:w="434" w:type="pct"/>
            <w:tcBorders>
              <w:top w:val="nil"/>
              <w:left w:val="nil"/>
              <w:bottom w:val="nil"/>
              <w:right w:val="nil"/>
            </w:tcBorders>
            <w:shd w:val="clear" w:color="auto" w:fill="auto"/>
            <w:vAlign w:val="center"/>
            <w:hideMark/>
          </w:tcPr>
          <w:p w14:paraId="583694E0" w14:textId="77777777" w:rsidR="004C6700" w:rsidRPr="006E5787" w:rsidRDefault="004C6700" w:rsidP="00836EB5">
            <w:pPr>
              <w:spacing w:after="0" w:line="240" w:lineRule="auto"/>
              <w:jc w:val="right"/>
              <w:rPr>
                <w:rFonts w:eastAsia="Times New Roman" w:cs="Times New Roman"/>
                <w:b/>
                <w:bCs/>
                <w:color w:val="000000"/>
                <w:sz w:val="18"/>
                <w:szCs w:val="18"/>
                <w:lang w:eastAsia="sk-SK"/>
              </w:rPr>
            </w:pPr>
            <w:r w:rsidRPr="006E5787">
              <w:rPr>
                <w:rFonts w:eastAsia="Times New Roman" w:cs="Times New Roman"/>
                <w:b/>
                <w:bCs/>
                <w:color w:val="000000"/>
                <w:sz w:val="18"/>
                <w:szCs w:val="18"/>
                <w:lang w:eastAsia="sk-SK"/>
              </w:rPr>
              <w:t>0</w:t>
            </w:r>
          </w:p>
        </w:tc>
      </w:tr>
      <w:tr w:rsidR="004C6700" w:rsidRPr="00C30A64" w14:paraId="06594AD9" w14:textId="77777777" w:rsidTr="00C80201">
        <w:trPr>
          <w:trHeight w:val="290"/>
        </w:trPr>
        <w:tc>
          <w:tcPr>
            <w:tcW w:w="2222" w:type="pct"/>
            <w:tcBorders>
              <w:top w:val="nil"/>
              <w:left w:val="nil"/>
              <w:bottom w:val="nil"/>
              <w:right w:val="nil"/>
            </w:tcBorders>
            <w:shd w:val="clear" w:color="auto" w:fill="auto"/>
            <w:vAlign w:val="center"/>
            <w:hideMark/>
          </w:tcPr>
          <w:p w14:paraId="5A901007" w14:textId="4D9F6DA1" w:rsidR="004C6700" w:rsidRPr="00C30A64" w:rsidRDefault="004C6700" w:rsidP="006243D7">
            <w:pPr>
              <w:spacing w:after="0" w:line="240" w:lineRule="auto"/>
              <w:jc w:val="left"/>
              <w:rPr>
                <w:rFonts w:eastAsia="Times New Roman" w:cs="Times New Roman"/>
                <w:color w:val="000000"/>
                <w:sz w:val="18"/>
                <w:szCs w:val="18"/>
                <w:lang w:eastAsia="sk-SK"/>
              </w:rPr>
            </w:pPr>
            <w:r w:rsidRPr="00C30A64">
              <w:rPr>
                <w:rFonts w:eastAsia="Times New Roman" w:cs="Times New Roman"/>
                <w:color w:val="000000"/>
                <w:sz w:val="18"/>
                <w:szCs w:val="18"/>
                <w:lang w:eastAsia="sk-SK"/>
              </w:rPr>
              <w:t xml:space="preserve">Správa služieb diplomatickému zboru, </w:t>
            </w:r>
            <w:proofErr w:type="spellStart"/>
            <w:r w:rsidRPr="00C30A64">
              <w:rPr>
                <w:rFonts w:eastAsia="Times New Roman" w:cs="Times New Roman"/>
                <w:color w:val="000000"/>
                <w:sz w:val="18"/>
                <w:szCs w:val="18"/>
                <w:lang w:eastAsia="sk-SK"/>
              </w:rPr>
              <w:t>a.s</w:t>
            </w:r>
            <w:proofErr w:type="spellEnd"/>
            <w:r w:rsidRPr="00C30A64">
              <w:rPr>
                <w:rFonts w:eastAsia="Times New Roman" w:cs="Times New Roman"/>
                <w:color w:val="000000"/>
                <w:sz w:val="18"/>
                <w:szCs w:val="18"/>
                <w:lang w:eastAsia="sk-SK"/>
              </w:rPr>
              <w:t>.</w:t>
            </w:r>
          </w:p>
        </w:tc>
        <w:tc>
          <w:tcPr>
            <w:tcW w:w="559" w:type="pct"/>
            <w:tcBorders>
              <w:top w:val="nil"/>
              <w:left w:val="nil"/>
              <w:bottom w:val="nil"/>
              <w:right w:val="nil"/>
            </w:tcBorders>
            <w:shd w:val="clear" w:color="auto" w:fill="auto"/>
            <w:vAlign w:val="center"/>
            <w:hideMark/>
          </w:tcPr>
          <w:p w14:paraId="63C3CA50"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250</w:t>
            </w:r>
          </w:p>
        </w:tc>
        <w:tc>
          <w:tcPr>
            <w:tcW w:w="607" w:type="pct"/>
            <w:tcBorders>
              <w:top w:val="nil"/>
              <w:left w:val="nil"/>
              <w:bottom w:val="nil"/>
              <w:right w:val="nil"/>
            </w:tcBorders>
            <w:shd w:val="clear" w:color="auto" w:fill="auto"/>
            <w:vAlign w:val="center"/>
            <w:hideMark/>
          </w:tcPr>
          <w:p w14:paraId="69353CDF"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240</w:t>
            </w:r>
          </w:p>
        </w:tc>
        <w:tc>
          <w:tcPr>
            <w:tcW w:w="594" w:type="pct"/>
            <w:tcBorders>
              <w:top w:val="nil"/>
              <w:left w:val="nil"/>
              <w:bottom w:val="nil"/>
              <w:right w:val="nil"/>
            </w:tcBorders>
            <w:shd w:val="clear" w:color="auto" w:fill="auto"/>
            <w:vAlign w:val="center"/>
            <w:hideMark/>
          </w:tcPr>
          <w:p w14:paraId="3A6D20BC"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260</w:t>
            </w:r>
          </w:p>
        </w:tc>
        <w:tc>
          <w:tcPr>
            <w:tcW w:w="584" w:type="pct"/>
            <w:tcBorders>
              <w:top w:val="nil"/>
              <w:left w:val="nil"/>
              <w:bottom w:val="nil"/>
              <w:right w:val="nil"/>
            </w:tcBorders>
            <w:shd w:val="clear" w:color="auto" w:fill="auto"/>
            <w:vAlign w:val="center"/>
            <w:hideMark/>
          </w:tcPr>
          <w:p w14:paraId="078DB174"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260</w:t>
            </w:r>
          </w:p>
        </w:tc>
        <w:tc>
          <w:tcPr>
            <w:tcW w:w="434" w:type="pct"/>
            <w:tcBorders>
              <w:top w:val="nil"/>
              <w:left w:val="nil"/>
              <w:bottom w:val="nil"/>
              <w:right w:val="nil"/>
            </w:tcBorders>
            <w:shd w:val="clear" w:color="auto" w:fill="auto"/>
            <w:vAlign w:val="center"/>
            <w:hideMark/>
          </w:tcPr>
          <w:p w14:paraId="61DD6ADB"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0</w:t>
            </w:r>
          </w:p>
        </w:tc>
      </w:tr>
      <w:tr w:rsidR="004C6700" w:rsidRPr="00C30A64" w14:paraId="2853D78E" w14:textId="77777777" w:rsidTr="00C80201">
        <w:trPr>
          <w:trHeight w:val="290"/>
        </w:trPr>
        <w:tc>
          <w:tcPr>
            <w:tcW w:w="2222" w:type="pct"/>
            <w:tcBorders>
              <w:top w:val="nil"/>
              <w:left w:val="nil"/>
              <w:bottom w:val="nil"/>
              <w:right w:val="nil"/>
            </w:tcBorders>
            <w:shd w:val="clear" w:color="auto" w:fill="auto"/>
            <w:vAlign w:val="center"/>
            <w:hideMark/>
          </w:tcPr>
          <w:p w14:paraId="2A9920E7"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riadne dividendy a odvody zo zisku</w:t>
            </w:r>
          </w:p>
        </w:tc>
        <w:tc>
          <w:tcPr>
            <w:tcW w:w="559" w:type="pct"/>
            <w:tcBorders>
              <w:top w:val="nil"/>
              <w:left w:val="nil"/>
              <w:bottom w:val="nil"/>
              <w:right w:val="nil"/>
            </w:tcBorders>
            <w:shd w:val="clear" w:color="auto" w:fill="auto"/>
            <w:vAlign w:val="center"/>
            <w:hideMark/>
          </w:tcPr>
          <w:p w14:paraId="4F900EFD"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250</w:t>
            </w:r>
          </w:p>
        </w:tc>
        <w:tc>
          <w:tcPr>
            <w:tcW w:w="607" w:type="pct"/>
            <w:tcBorders>
              <w:top w:val="nil"/>
              <w:left w:val="nil"/>
              <w:bottom w:val="nil"/>
              <w:right w:val="nil"/>
            </w:tcBorders>
            <w:shd w:val="clear" w:color="auto" w:fill="auto"/>
            <w:vAlign w:val="center"/>
            <w:hideMark/>
          </w:tcPr>
          <w:p w14:paraId="649BEE47"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240</w:t>
            </w:r>
          </w:p>
        </w:tc>
        <w:tc>
          <w:tcPr>
            <w:tcW w:w="594" w:type="pct"/>
            <w:tcBorders>
              <w:top w:val="nil"/>
              <w:left w:val="nil"/>
              <w:bottom w:val="nil"/>
              <w:right w:val="nil"/>
            </w:tcBorders>
            <w:shd w:val="clear" w:color="auto" w:fill="auto"/>
            <w:vAlign w:val="center"/>
            <w:hideMark/>
          </w:tcPr>
          <w:p w14:paraId="4D1108FC"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260</w:t>
            </w:r>
          </w:p>
        </w:tc>
        <w:tc>
          <w:tcPr>
            <w:tcW w:w="584" w:type="pct"/>
            <w:tcBorders>
              <w:top w:val="nil"/>
              <w:left w:val="nil"/>
              <w:bottom w:val="nil"/>
              <w:right w:val="nil"/>
            </w:tcBorders>
            <w:shd w:val="clear" w:color="auto" w:fill="auto"/>
            <w:vAlign w:val="center"/>
            <w:hideMark/>
          </w:tcPr>
          <w:p w14:paraId="21929AAB"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260</w:t>
            </w:r>
          </w:p>
        </w:tc>
        <w:tc>
          <w:tcPr>
            <w:tcW w:w="434" w:type="pct"/>
            <w:tcBorders>
              <w:top w:val="nil"/>
              <w:left w:val="nil"/>
              <w:bottom w:val="nil"/>
              <w:right w:val="nil"/>
            </w:tcBorders>
            <w:shd w:val="clear" w:color="auto" w:fill="auto"/>
            <w:vAlign w:val="center"/>
            <w:hideMark/>
          </w:tcPr>
          <w:p w14:paraId="104453E9"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0</w:t>
            </w:r>
          </w:p>
        </w:tc>
      </w:tr>
      <w:tr w:rsidR="004C6700" w:rsidRPr="00C30A64" w14:paraId="30CCB570" w14:textId="77777777" w:rsidTr="00C80201">
        <w:trPr>
          <w:trHeight w:val="290"/>
        </w:trPr>
        <w:tc>
          <w:tcPr>
            <w:tcW w:w="2222" w:type="pct"/>
            <w:tcBorders>
              <w:top w:val="nil"/>
              <w:left w:val="nil"/>
              <w:bottom w:val="nil"/>
              <w:right w:val="nil"/>
            </w:tcBorders>
            <w:shd w:val="clear" w:color="auto" w:fill="auto"/>
            <w:vAlign w:val="center"/>
            <w:hideMark/>
          </w:tcPr>
          <w:p w14:paraId="3381281F" w14:textId="77777777" w:rsidR="004C6700" w:rsidRPr="00C30A64" w:rsidRDefault="004C6700" w:rsidP="00836EB5">
            <w:pPr>
              <w:spacing w:after="0" w:line="240" w:lineRule="auto"/>
              <w:jc w:val="lef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Ministerstvo hospodárstva SR</w:t>
            </w:r>
          </w:p>
        </w:tc>
        <w:tc>
          <w:tcPr>
            <w:tcW w:w="559" w:type="pct"/>
            <w:tcBorders>
              <w:top w:val="nil"/>
              <w:left w:val="nil"/>
              <w:bottom w:val="nil"/>
              <w:right w:val="nil"/>
            </w:tcBorders>
            <w:shd w:val="clear" w:color="auto" w:fill="auto"/>
            <w:vAlign w:val="center"/>
            <w:hideMark/>
          </w:tcPr>
          <w:p w14:paraId="7CECF650"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451 845</w:t>
            </w:r>
          </w:p>
        </w:tc>
        <w:tc>
          <w:tcPr>
            <w:tcW w:w="607" w:type="pct"/>
            <w:tcBorders>
              <w:top w:val="nil"/>
              <w:left w:val="nil"/>
              <w:bottom w:val="nil"/>
              <w:right w:val="nil"/>
            </w:tcBorders>
            <w:shd w:val="clear" w:color="auto" w:fill="auto"/>
            <w:vAlign w:val="center"/>
            <w:hideMark/>
          </w:tcPr>
          <w:p w14:paraId="29B25F16" w14:textId="4874C35E" w:rsidR="004C6700" w:rsidRPr="006E5787" w:rsidRDefault="004C6700" w:rsidP="00E01203">
            <w:pPr>
              <w:spacing w:after="0" w:line="240" w:lineRule="auto"/>
              <w:jc w:val="right"/>
              <w:rPr>
                <w:rFonts w:eastAsia="Times New Roman" w:cs="Times New Roman"/>
                <w:b/>
                <w:bCs/>
                <w:color w:val="000000"/>
                <w:sz w:val="18"/>
                <w:szCs w:val="18"/>
                <w:lang w:eastAsia="sk-SK"/>
              </w:rPr>
            </w:pPr>
            <w:r w:rsidRPr="006E5787">
              <w:rPr>
                <w:rFonts w:eastAsia="Times New Roman" w:cs="Times New Roman"/>
                <w:b/>
                <w:bCs/>
                <w:color w:val="000000"/>
                <w:sz w:val="18"/>
                <w:szCs w:val="18"/>
                <w:lang w:eastAsia="sk-SK"/>
              </w:rPr>
              <w:t>3</w:t>
            </w:r>
            <w:r w:rsidR="00E01203">
              <w:rPr>
                <w:rFonts w:eastAsia="Times New Roman" w:cs="Times New Roman"/>
                <w:b/>
                <w:bCs/>
                <w:color w:val="000000"/>
                <w:sz w:val="18"/>
                <w:szCs w:val="18"/>
                <w:lang w:eastAsia="sk-SK"/>
              </w:rPr>
              <w:t>73</w:t>
            </w:r>
            <w:r w:rsidR="00765E62" w:rsidRPr="006E5787">
              <w:rPr>
                <w:rFonts w:eastAsia="Times New Roman" w:cs="Times New Roman"/>
                <w:b/>
                <w:bCs/>
                <w:color w:val="000000"/>
                <w:sz w:val="18"/>
                <w:szCs w:val="18"/>
                <w:lang w:eastAsia="sk-SK"/>
              </w:rPr>
              <w:t xml:space="preserve"> </w:t>
            </w:r>
            <w:r w:rsidR="00E01203">
              <w:rPr>
                <w:rFonts w:eastAsia="Times New Roman" w:cs="Times New Roman"/>
                <w:b/>
                <w:bCs/>
                <w:color w:val="000000"/>
                <w:sz w:val="18"/>
                <w:szCs w:val="18"/>
                <w:lang w:eastAsia="sk-SK"/>
              </w:rPr>
              <w:t>186</w:t>
            </w:r>
          </w:p>
        </w:tc>
        <w:tc>
          <w:tcPr>
            <w:tcW w:w="594" w:type="pct"/>
            <w:tcBorders>
              <w:top w:val="nil"/>
              <w:left w:val="nil"/>
              <w:bottom w:val="nil"/>
              <w:right w:val="nil"/>
            </w:tcBorders>
            <w:shd w:val="clear" w:color="auto" w:fill="auto"/>
            <w:vAlign w:val="center"/>
            <w:hideMark/>
          </w:tcPr>
          <w:p w14:paraId="3AF6AAEE" w14:textId="77777777" w:rsidR="004C6700" w:rsidRPr="006E5787" w:rsidRDefault="004C6700" w:rsidP="00836EB5">
            <w:pPr>
              <w:spacing w:after="0" w:line="240" w:lineRule="auto"/>
              <w:jc w:val="right"/>
              <w:rPr>
                <w:rFonts w:eastAsia="Times New Roman" w:cs="Times New Roman"/>
                <w:b/>
                <w:bCs/>
                <w:color w:val="000000"/>
                <w:sz w:val="18"/>
                <w:szCs w:val="18"/>
                <w:lang w:eastAsia="sk-SK"/>
              </w:rPr>
            </w:pPr>
            <w:r w:rsidRPr="006E5787">
              <w:rPr>
                <w:rFonts w:eastAsia="Times New Roman" w:cs="Times New Roman"/>
                <w:b/>
                <w:bCs/>
                <w:color w:val="000000"/>
                <w:sz w:val="18"/>
                <w:szCs w:val="18"/>
                <w:lang w:eastAsia="sk-SK"/>
              </w:rPr>
              <w:t>323 277</w:t>
            </w:r>
          </w:p>
        </w:tc>
        <w:tc>
          <w:tcPr>
            <w:tcW w:w="584" w:type="pct"/>
            <w:tcBorders>
              <w:top w:val="nil"/>
              <w:left w:val="nil"/>
              <w:bottom w:val="nil"/>
              <w:right w:val="nil"/>
            </w:tcBorders>
            <w:shd w:val="clear" w:color="auto" w:fill="auto"/>
            <w:vAlign w:val="center"/>
            <w:hideMark/>
          </w:tcPr>
          <w:p w14:paraId="2408416F" w14:textId="77777777" w:rsidR="004C6700" w:rsidRPr="006E5787" w:rsidRDefault="004C6700" w:rsidP="00836EB5">
            <w:pPr>
              <w:spacing w:after="0" w:line="240" w:lineRule="auto"/>
              <w:jc w:val="right"/>
              <w:rPr>
                <w:rFonts w:eastAsia="Times New Roman" w:cs="Times New Roman"/>
                <w:b/>
                <w:bCs/>
                <w:color w:val="000000"/>
                <w:sz w:val="18"/>
                <w:szCs w:val="18"/>
                <w:lang w:eastAsia="sk-SK"/>
              </w:rPr>
            </w:pPr>
            <w:r w:rsidRPr="006E5787">
              <w:rPr>
                <w:rFonts w:eastAsia="Times New Roman" w:cs="Times New Roman"/>
                <w:b/>
                <w:bCs/>
                <w:color w:val="000000"/>
                <w:sz w:val="18"/>
                <w:szCs w:val="18"/>
                <w:lang w:eastAsia="sk-SK"/>
              </w:rPr>
              <w:t>88 575</w:t>
            </w:r>
          </w:p>
        </w:tc>
        <w:tc>
          <w:tcPr>
            <w:tcW w:w="434" w:type="pct"/>
            <w:tcBorders>
              <w:top w:val="nil"/>
              <w:left w:val="nil"/>
              <w:bottom w:val="nil"/>
              <w:right w:val="nil"/>
            </w:tcBorders>
            <w:shd w:val="clear" w:color="auto" w:fill="auto"/>
            <w:vAlign w:val="center"/>
            <w:hideMark/>
          </w:tcPr>
          <w:p w14:paraId="6BC2F20C" w14:textId="77777777" w:rsidR="004C6700" w:rsidRPr="006E5787" w:rsidRDefault="004C6700" w:rsidP="00836EB5">
            <w:pPr>
              <w:spacing w:after="0" w:line="240" w:lineRule="auto"/>
              <w:jc w:val="right"/>
              <w:rPr>
                <w:rFonts w:eastAsia="Times New Roman" w:cs="Times New Roman"/>
                <w:b/>
                <w:bCs/>
                <w:color w:val="000000"/>
                <w:sz w:val="18"/>
                <w:szCs w:val="18"/>
                <w:lang w:eastAsia="sk-SK"/>
              </w:rPr>
            </w:pPr>
            <w:r w:rsidRPr="006E5787">
              <w:rPr>
                <w:rFonts w:eastAsia="Times New Roman" w:cs="Times New Roman"/>
                <w:b/>
                <w:bCs/>
                <w:color w:val="000000"/>
                <w:sz w:val="18"/>
                <w:szCs w:val="18"/>
                <w:lang w:eastAsia="sk-SK"/>
              </w:rPr>
              <w:t>-234 702</w:t>
            </w:r>
          </w:p>
        </w:tc>
      </w:tr>
      <w:tr w:rsidR="004C6700" w:rsidRPr="00C30A64" w14:paraId="7926755E" w14:textId="77777777" w:rsidTr="00C80201">
        <w:trPr>
          <w:trHeight w:val="290"/>
        </w:trPr>
        <w:tc>
          <w:tcPr>
            <w:tcW w:w="2222" w:type="pct"/>
            <w:tcBorders>
              <w:top w:val="nil"/>
              <w:left w:val="nil"/>
              <w:bottom w:val="nil"/>
              <w:right w:val="nil"/>
            </w:tcBorders>
            <w:shd w:val="clear" w:color="auto" w:fill="auto"/>
            <w:vAlign w:val="center"/>
            <w:hideMark/>
          </w:tcPr>
          <w:p w14:paraId="385965ED" w14:textId="3A0D1D62" w:rsidR="004C6700" w:rsidRPr="00C30A64" w:rsidRDefault="004C6700" w:rsidP="006243D7">
            <w:pPr>
              <w:spacing w:after="0" w:line="240" w:lineRule="auto"/>
              <w:jc w:val="left"/>
              <w:rPr>
                <w:rFonts w:eastAsia="Times New Roman" w:cs="Times New Roman"/>
                <w:color w:val="000000"/>
                <w:sz w:val="18"/>
                <w:szCs w:val="18"/>
                <w:lang w:eastAsia="sk-SK"/>
              </w:rPr>
            </w:pPr>
            <w:r w:rsidRPr="00C30A64">
              <w:rPr>
                <w:rFonts w:eastAsia="Times New Roman" w:cs="Times New Roman"/>
                <w:color w:val="000000"/>
                <w:sz w:val="18"/>
                <w:szCs w:val="18"/>
                <w:lang w:eastAsia="sk-SK"/>
              </w:rPr>
              <w:t xml:space="preserve">Jadrová a vyraďovacia spoločnosť, </w:t>
            </w:r>
            <w:proofErr w:type="spellStart"/>
            <w:r w:rsidRPr="00C30A64">
              <w:rPr>
                <w:rFonts w:eastAsia="Times New Roman" w:cs="Times New Roman"/>
                <w:color w:val="000000"/>
                <w:sz w:val="18"/>
                <w:szCs w:val="18"/>
                <w:lang w:eastAsia="sk-SK"/>
              </w:rPr>
              <w:t>a.s</w:t>
            </w:r>
            <w:proofErr w:type="spellEnd"/>
            <w:r w:rsidRPr="00C30A64">
              <w:rPr>
                <w:rFonts w:eastAsia="Times New Roman" w:cs="Times New Roman"/>
                <w:color w:val="000000"/>
                <w:sz w:val="18"/>
                <w:szCs w:val="18"/>
                <w:lang w:eastAsia="sk-SK"/>
              </w:rPr>
              <w:t>.</w:t>
            </w:r>
          </w:p>
        </w:tc>
        <w:tc>
          <w:tcPr>
            <w:tcW w:w="559" w:type="pct"/>
            <w:tcBorders>
              <w:top w:val="nil"/>
              <w:left w:val="nil"/>
              <w:bottom w:val="nil"/>
              <w:right w:val="nil"/>
            </w:tcBorders>
            <w:shd w:val="clear" w:color="auto" w:fill="auto"/>
            <w:vAlign w:val="center"/>
            <w:hideMark/>
          </w:tcPr>
          <w:p w14:paraId="58A7FF93"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3 000</w:t>
            </w:r>
          </w:p>
        </w:tc>
        <w:tc>
          <w:tcPr>
            <w:tcW w:w="607" w:type="pct"/>
            <w:tcBorders>
              <w:top w:val="nil"/>
              <w:left w:val="nil"/>
              <w:bottom w:val="nil"/>
              <w:right w:val="nil"/>
            </w:tcBorders>
            <w:shd w:val="clear" w:color="auto" w:fill="auto"/>
            <w:vAlign w:val="center"/>
            <w:hideMark/>
          </w:tcPr>
          <w:p w14:paraId="4004995F"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3 000</w:t>
            </w:r>
          </w:p>
        </w:tc>
        <w:tc>
          <w:tcPr>
            <w:tcW w:w="594" w:type="pct"/>
            <w:tcBorders>
              <w:top w:val="nil"/>
              <w:left w:val="nil"/>
              <w:bottom w:val="nil"/>
              <w:right w:val="nil"/>
            </w:tcBorders>
            <w:shd w:val="clear" w:color="auto" w:fill="auto"/>
            <w:vAlign w:val="center"/>
            <w:hideMark/>
          </w:tcPr>
          <w:p w14:paraId="0B7CABBB"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3 000</w:t>
            </w:r>
          </w:p>
        </w:tc>
        <w:tc>
          <w:tcPr>
            <w:tcW w:w="584" w:type="pct"/>
            <w:tcBorders>
              <w:top w:val="nil"/>
              <w:left w:val="nil"/>
              <w:bottom w:val="nil"/>
              <w:right w:val="nil"/>
            </w:tcBorders>
            <w:shd w:val="clear" w:color="auto" w:fill="auto"/>
            <w:vAlign w:val="center"/>
            <w:hideMark/>
          </w:tcPr>
          <w:p w14:paraId="48D4CCB8"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490</w:t>
            </w:r>
          </w:p>
        </w:tc>
        <w:tc>
          <w:tcPr>
            <w:tcW w:w="434" w:type="pct"/>
            <w:tcBorders>
              <w:top w:val="nil"/>
              <w:left w:val="nil"/>
              <w:bottom w:val="nil"/>
              <w:right w:val="nil"/>
            </w:tcBorders>
            <w:shd w:val="clear" w:color="auto" w:fill="auto"/>
            <w:vAlign w:val="center"/>
            <w:hideMark/>
          </w:tcPr>
          <w:p w14:paraId="26BE99FE"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-2 510</w:t>
            </w:r>
          </w:p>
        </w:tc>
      </w:tr>
      <w:tr w:rsidR="004C6700" w:rsidRPr="00C30A64" w14:paraId="40DCBDC8" w14:textId="77777777" w:rsidTr="00C80201">
        <w:trPr>
          <w:trHeight w:val="290"/>
        </w:trPr>
        <w:tc>
          <w:tcPr>
            <w:tcW w:w="2222" w:type="pct"/>
            <w:tcBorders>
              <w:top w:val="nil"/>
              <w:left w:val="nil"/>
              <w:bottom w:val="nil"/>
              <w:right w:val="nil"/>
            </w:tcBorders>
            <w:shd w:val="clear" w:color="auto" w:fill="auto"/>
            <w:vAlign w:val="center"/>
            <w:hideMark/>
          </w:tcPr>
          <w:p w14:paraId="53719E05"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riadne dividendy a odvody zo zisku</w:t>
            </w:r>
          </w:p>
        </w:tc>
        <w:tc>
          <w:tcPr>
            <w:tcW w:w="559" w:type="pct"/>
            <w:tcBorders>
              <w:top w:val="nil"/>
              <w:left w:val="nil"/>
              <w:bottom w:val="nil"/>
              <w:right w:val="nil"/>
            </w:tcBorders>
            <w:shd w:val="clear" w:color="auto" w:fill="auto"/>
            <w:vAlign w:val="center"/>
            <w:hideMark/>
          </w:tcPr>
          <w:p w14:paraId="48C7FDDB"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607" w:type="pct"/>
            <w:tcBorders>
              <w:top w:val="nil"/>
              <w:left w:val="nil"/>
              <w:bottom w:val="nil"/>
              <w:right w:val="nil"/>
            </w:tcBorders>
            <w:shd w:val="clear" w:color="auto" w:fill="auto"/>
            <w:vAlign w:val="center"/>
            <w:hideMark/>
          </w:tcPr>
          <w:p w14:paraId="3B62A4CF"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594" w:type="pct"/>
            <w:tcBorders>
              <w:top w:val="nil"/>
              <w:left w:val="nil"/>
              <w:bottom w:val="nil"/>
              <w:right w:val="nil"/>
            </w:tcBorders>
            <w:shd w:val="clear" w:color="auto" w:fill="auto"/>
            <w:vAlign w:val="center"/>
            <w:hideMark/>
          </w:tcPr>
          <w:p w14:paraId="52596267"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316</w:t>
            </w:r>
          </w:p>
        </w:tc>
        <w:tc>
          <w:tcPr>
            <w:tcW w:w="584" w:type="pct"/>
            <w:tcBorders>
              <w:top w:val="nil"/>
              <w:left w:val="nil"/>
              <w:bottom w:val="nil"/>
              <w:right w:val="nil"/>
            </w:tcBorders>
            <w:shd w:val="clear" w:color="auto" w:fill="auto"/>
            <w:vAlign w:val="center"/>
            <w:hideMark/>
          </w:tcPr>
          <w:p w14:paraId="4A20F504"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490</w:t>
            </w:r>
          </w:p>
        </w:tc>
        <w:tc>
          <w:tcPr>
            <w:tcW w:w="434" w:type="pct"/>
            <w:tcBorders>
              <w:top w:val="nil"/>
              <w:left w:val="nil"/>
              <w:bottom w:val="nil"/>
              <w:right w:val="nil"/>
            </w:tcBorders>
            <w:shd w:val="clear" w:color="auto" w:fill="auto"/>
            <w:vAlign w:val="center"/>
            <w:hideMark/>
          </w:tcPr>
          <w:p w14:paraId="6D646DFF"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174</w:t>
            </w:r>
          </w:p>
        </w:tc>
      </w:tr>
      <w:tr w:rsidR="004C6700" w:rsidRPr="00C30A64" w14:paraId="0459F7A0" w14:textId="77777777" w:rsidTr="00C80201">
        <w:trPr>
          <w:trHeight w:val="290"/>
        </w:trPr>
        <w:tc>
          <w:tcPr>
            <w:tcW w:w="2222" w:type="pct"/>
            <w:tcBorders>
              <w:top w:val="nil"/>
              <w:left w:val="nil"/>
              <w:bottom w:val="nil"/>
              <w:right w:val="nil"/>
            </w:tcBorders>
            <w:shd w:val="clear" w:color="auto" w:fill="auto"/>
            <w:vAlign w:val="center"/>
            <w:hideMark/>
          </w:tcPr>
          <w:p w14:paraId="6F697C18"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w:t>
            </w:r>
            <w:proofErr w:type="spellStart"/>
            <w:r w:rsidRPr="00C30A64">
              <w:rPr>
                <w:rFonts w:eastAsia="Times New Roman" w:cs="Times New Roman"/>
                <w:i/>
                <w:iCs/>
                <w:color w:val="000000"/>
                <w:sz w:val="18"/>
                <w:szCs w:val="18"/>
                <w:lang w:eastAsia="sk-SK"/>
              </w:rPr>
              <w:t>superdividendy</w:t>
            </w:r>
            <w:proofErr w:type="spellEnd"/>
          </w:p>
        </w:tc>
        <w:tc>
          <w:tcPr>
            <w:tcW w:w="559" w:type="pct"/>
            <w:tcBorders>
              <w:top w:val="nil"/>
              <w:left w:val="nil"/>
              <w:bottom w:val="nil"/>
              <w:right w:val="nil"/>
            </w:tcBorders>
            <w:shd w:val="clear" w:color="auto" w:fill="auto"/>
            <w:vAlign w:val="center"/>
            <w:hideMark/>
          </w:tcPr>
          <w:p w14:paraId="3CCA87C6"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3 000</w:t>
            </w:r>
          </w:p>
        </w:tc>
        <w:tc>
          <w:tcPr>
            <w:tcW w:w="607" w:type="pct"/>
            <w:tcBorders>
              <w:top w:val="nil"/>
              <w:left w:val="nil"/>
              <w:bottom w:val="nil"/>
              <w:right w:val="nil"/>
            </w:tcBorders>
            <w:shd w:val="clear" w:color="auto" w:fill="auto"/>
            <w:vAlign w:val="center"/>
            <w:hideMark/>
          </w:tcPr>
          <w:p w14:paraId="40C795DD"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3 000</w:t>
            </w:r>
          </w:p>
        </w:tc>
        <w:tc>
          <w:tcPr>
            <w:tcW w:w="594" w:type="pct"/>
            <w:tcBorders>
              <w:top w:val="nil"/>
              <w:left w:val="nil"/>
              <w:bottom w:val="nil"/>
              <w:right w:val="nil"/>
            </w:tcBorders>
            <w:shd w:val="clear" w:color="auto" w:fill="auto"/>
            <w:vAlign w:val="center"/>
            <w:hideMark/>
          </w:tcPr>
          <w:p w14:paraId="43CD1E72"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2 684</w:t>
            </w:r>
          </w:p>
        </w:tc>
        <w:tc>
          <w:tcPr>
            <w:tcW w:w="584" w:type="pct"/>
            <w:tcBorders>
              <w:top w:val="nil"/>
              <w:left w:val="nil"/>
              <w:bottom w:val="nil"/>
              <w:right w:val="nil"/>
            </w:tcBorders>
            <w:shd w:val="clear" w:color="auto" w:fill="auto"/>
            <w:vAlign w:val="center"/>
            <w:hideMark/>
          </w:tcPr>
          <w:p w14:paraId="2F15C91E"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434" w:type="pct"/>
            <w:tcBorders>
              <w:top w:val="nil"/>
              <w:left w:val="nil"/>
              <w:bottom w:val="nil"/>
              <w:right w:val="nil"/>
            </w:tcBorders>
            <w:shd w:val="clear" w:color="auto" w:fill="auto"/>
            <w:vAlign w:val="center"/>
            <w:hideMark/>
          </w:tcPr>
          <w:p w14:paraId="71D1453C"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-2 684</w:t>
            </w:r>
          </w:p>
        </w:tc>
      </w:tr>
      <w:tr w:rsidR="004C6700" w:rsidRPr="00C30A64" w14:paraId="7FEE688C" w14:textId="77777777" w:rsidTr="00C80201">
        <w:trPr>
          <w:trHeight w:val="290"/>
        </w:trPr>
        <w:tc>
          <w:tcPr>
            <w:tcW w:w="2222" w:type="pct"/>
            <w:tcBorders>
              <w:top w:val="nil"/>
              <w:left w:val="nil"/>
              <w:bottom w:val="nil"/>
              <w:right w:val="nil"/>
            </w:tcBorders>
            <w:shd w:val="clear" w:color="auto" w:fill="auto"/>
            <w:vAlign w:val="center"/>
            <w:hideMark/>
          </w:tcPr>
          <w:p w14:paraId="0A7D6D1A" w14:textId="207ACAD2" w:rsidR="004C6700" w:rsidRPr="00C30A64" w:rsidRDefault="004C6700" w:rsidP="006243D7">
            <w:pPr>
              <w:spacing w:after="0" w:line="240" w:lineRule="auto"/>
              <w:jc w:val="left"/>
              <w:rPr>
                <w:rFonts w:eastAsia="Times New Roman" w:cs="Times New Roman"/>
                <w:color w:val="000000"/>
                <w:sz w:val="18"/>
                <w:szCs w:val="18"/>
                <w:lang w:eastAsia="sk-SK"/>
              </w:rPr>
            </w:pPr>
            <w:r w:rsidRPr="00C30A64">
              <w:rPr>
                <w:rFonts w:eastAsia="Times New Roman" w:cs="Times New Roman"/>
                <w:color w:val="000000"/>
                <w:sz w:val="18"/>
                <w:szCs w:val="18"/>
                <w:lang w:eastAsia="sk-SK"/>
              </w:rPr>
              <w:t xml:space="preserve">Transpetrol, </w:t>
            </w:r>
            <w:proofErr w:type="spellStart"/>
            <w:r w:rsidRPr="00C30A64">
              <w:rPr>
                <w:rFonts w:eastAsia="Times New Roman" w:cs="Times New Roman"/>
                <w:color w:val="000000"/>
                <w:sz w:val="18"/>
                <w:szCs w:val="18"/>
                <w:lang w:eastAsia="sk-SK"/>
              </w:rPr>
              <w:t>a.s</w:t>
            </w:r>
            <w:proofErr w:type="spellEnd"/>
            <w:r w:rsidRPr="00C30A64">
              <w:rPr>
                <w:rFonts w:eastAsia="Times New Roman" w:cs="Times New Roman"/>
                <w:color w:val="000000"/>
                <w:sz w:val="18"/>
                <w:szCs w:val="18"/>
                <w:lang w:eastAsia="sk-SK"/>
              </w:rPr>
              <w:t>.</w:t>
            </w:r>
          </w:p>
        </w:tc>
        <w:tc>
          <w:tcPr>
            <w:tcW w:w="559" w:type="pct"/>
            <w:tcBorders>
              <w:top w:val="nil"/>
              <w:left w:val="nil"/>
              <w:bottom w:val="nil"/>
              <w:right w:val="nil"/>
            </w:tcBorders>
            <w:shd w:val="clear" w:color="auto" w:fill="auto"/>
            <w:vAlign w:val="center"/>
            <w:hideMark/>
          </w:tcPr>
          <w:p w14:paraId="08CF25DC"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2 000</w:t>
            </w:r>
          </w:p>
        </w:tc>
        <w:tc>
          <w:tcPr>
            <w:tcW w:w="607" w:type="pct"/>
            <w:tcBorders>
              <w:top w:val="nil"/>
              <w:left w:val="nil"/>
              <w:bottom w:val="nil"/>
              <w:right w:val="nil"/>
            </w:tcBorders>
            <w:shd w:val="clear" w:color="auto" w:fill="auto"/>
            <w:vAlign w:val="center"/>
            <w:hideMark/>
          </w:tcPr>
          <w:p w14:paraId="0DEC313B"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1 500</w:t>
            </w:r>
          </w:p>
        </w:tc>
        <w:tc>
          <w:tcPr>
            <w:tcW w:w="594" w:type="pct"/>
            <w:tcBorders>
              <w:top w:val="nil"/>
              <w:left w:val="nil"/>
              <w:bottom w:val="nil"/>
              <w:right w:val="nil"/>
            </w:tcBorders>
            <w:shd w:val="clear" w:color="auto" w:fill="auto"/>
            <w:vAlign w:val="center"/>
            <w:hideMark/>
          </w:tcPr>
          <w:p w14:paraId="392962C6"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1 500</w:t>
            </w:r>
          </w:p>
        </w:tc>
        <w:tc>
          <w:tcPr>
            <w:tcW w:w="584" w:type="pct"/>
            <w:tcBorders>
              <w:top w:val="nil"/>
              <w:left w:val="nil"/>
              <w:bottom w:val="nil"/>
              <w:right w:val="nil"/>
            </w:tcBorders>
            <w:shd w:val="clear" w:color="auto" w:fill="auto"/>
            <w:vAlign w:val="center"/>
            <w:hideMark/>
          </w:tcPr>
          <w:p w14:paraId="03BF2491"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1 500</w:t>
            </w:r>
          </w:p>
        </w:tc>
        <w:tc>
          <w:tcPr>
            <w:tcW w:w="434" w:type="pct"/>
            <w:tcBorders>
              <w:top w:val="nil"/>
              <w:left w:val="nil"/>
              <w:bottom w:val="nil"/>
              <w:right w:val="nil"/>
            </w:tcBorders>
            <w:shd w:val="clear" w:color="auto" w:fill="auto"/>
            <w:vAlign w:val="center"/>
            <w:hideMark/>
          </w:tcPr>
          <w:p w14:paraId="56EA91F6"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0</w:t>
            </w:r>
          </w:p>
        </w:tc>
      </w:tr>
      <w:tr w:rsidR="004C6700" w:rsidRPr="00C30A64" w14:paraId="0918C5AB" w14:textId="77777777" w:rsidTr="00C80201">
        <w:trPr>
          <w:trHeight w:val="290"/>
        </w:trPr>
        <w:tc>
          <w:tcPr>
            <w:tcW w:w="2222" w:type="pct"/>
            <w:tcBorders>
              <w:top w:val="nil"/>
              <w:left w:val="nil"/>
              <w:bottom w:val="nil"/>
              <w:right w:val="nil"/>
            </w:tcBorders>
            <w:shd w:val="clear" w:color="auto" w:fill="auto"/>
            <w:vAlign w:val="center"/>
            <w:hideMark/>
          </w:tcPr>
          <w:p w14:paraId="782DCF6C" w14:textId="3CEF6AF2" w:rsidR="004C6700" w:rsidRPr="00C30A64" w:rsidRDefault="004C6700" w:rsidP="00836EB5">
            <w:pPr>
              <w:spacing w:after="0" w:line="240" w:lineRule="auto"/>
              <w:jc w:val="left"/>
              <w:rPr>
                <w:rFonts w:eastAsia="Times New Roman" w:cs="Times New Roman"/>
                <w:color w:val="000000"/>
                <w:sz w:val="18"/>
                <w:szCs w:val="18"/>
                <w:lang w:eastAsia="sk-SK"/>
              </w:rPr>
            </w:pPr>
            <w:r w:rsidRPr="00C30A64">
              <w:rPr>
                <w:rFonts w:eastAsia="Times New Roman" w:cs="Times New Roman"/>
                <w:color w:val="000000"/>
                <w:sz w:val="18"/>
                <w:szCs w:val="18"/>
                <w:lang w:eastAsia="sk-SK"/>
              </w:rPr>
              <w:t>Slov</w:t>
            </w:r>
            <w:r w:rsidR="006243D7">
              <w:rPr>
                <w:rFonts w:eastAsia="Times New Roman" w:cs="Times New Roman"/>
                <w:color w:val="000000"/>
                <w:sz w:val="18"/>
                <w:szCs w:val="18"/>
                <w:lang w:eastAsia="sk-SK"/>
              </w:rPr>
              <w:t>enský plynárenský priemysel, a.</w:t>
            </w:r>
            <w:r w:rsidRPr="00C30A64">
              <w:rPr>
                <w:rFonts w:eastAsia="Times New Roman" w:cs="Times New Roman"/>
                <w:color w:val="000000"/>
                <w:sz w:val="18"/>
                <w:szCs w:val="18"/>
                <w:lang w:eastAsia="sk-SK"/>
              </w:rPr>
              <w:t>s.</w:t>
            </w:r>
            <w:r w:rsidRPr="00C30A64">
              <w:rPr>
                <w:rFonts w:eastAsia="Times New Roman" w:cs="Times New Roman"/>
                <w:color w:val="000000"/>
                <w:sz w:val="18"/>
                <w:szCs w:val="18"/>
                <w:vertAlign w:val="superscript"/>
                <w:lang w:eastAsia="sk-SK"/>
              </w:rPr>
              <w:t>1)</w:t>
            </w:r>
          </w:p>
        </w:tc>
        <w:tc>
          <w:tcPr>
            <w:tcW w:w="559" w:type="pct"/>
            <w:tcBorders>
              <w:top w:val="nil"/>
              <w:left w:val="nil"/>
              <w:bottom w:val="nil"/>
              <w:right w:val="nil"/>
            </w:tcBorders>
            <w:shd w:val="clear" w:color="auto" w:fill="auto"/>
            <w:vAlign w:val="center"/>
            <w:hideMark/>
          </w:tcPr>
          <w:p w14:paraId="107B5926"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254 400</w:t>
            </w:r>
          </w:p>
        </w:tc>
        <w:tc>
          <w:tcPr>
            <w:tcW w:w="607" w:type="pct"/>
            <w:tcBorders>
              <w:top w:val="nil"/>
              <w:left w:val="nil"/>
              <w:bottom w:val="nil"/>
              <w:right w:val="nil"/>
            </w:tcBorders>
            <w:shd w:val="clear" w:color="auto" w:fill="auto"/>
            <w:vAlign w:val="center"/>
            <w:hideMark/>
          </w:tcPr>
          <w:p w14:paraId="6717C478" w14:textId="2FB5D27A" w:rsidR="004C6700" w:rsidRPr="006E5787" w:rsidRDefault="00765E62" w:rsidP="00E01203">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22</w:t>
            </w:r>
            <w:r w:rsidR="00E01203">
              <w:rPr>
                <w:rFonts w:eastAsia="Times New Roman" w:cs="Times New Roman"/>
                <w:color w:val="000000"/>
                <w:sz w:val="18"/>
                <w:szCs w:val="18"/>
                <w:lang w:eastAsia="sk-SK"/>
              </w:rPr>
              <w:t>0</w:t>
            </w:r>
            <w:r w:rsidRPr="006E5787">
              <w:rPr>
                <w:rFonts w:eastAsia="Times New Roman" w:cs="Times New Roman"/>
                <w:color w:val="000000"/>
                <w:sz w:val="18"/>
                <w:szCs w:val="18"/>
                <w:lang w:eastAsia="sk-SK"/>
              </w:rPr>
              <w:t xml:space="preserve"> </w:t>
            </w:r>
            <w:r w:rsidR="00E01203">
              <w:rPr>
                <w:rFonts w:eastAsia="Times New Roman" w:cs="Times New Roman"/>
                <w:color w:val="000000"/>
                <w:sz w:val="18"/>
                <w:szCs w:val="18"/>
                <w:lang w:eastAsia="sk-SK"/>
              </w:rPr>
              <w:t>0</w:t>
            </w:r>
            <w:r w:rsidRPr="006E5787">
              <w:rPr>
                <w:rFonts w:eastAsia="Times New Roman" w:cs="Times New Roman"/>
                <w:color w:val="000000"/>
                <w:sz w:val="18"/>
                <w:szCs w:val="18"/>
                <w:lang w:eastAsia="sk-SK"/>
              </w:rPr>
              <w:t>00</w:t>
            </w:r>
          </w:p>
        </w:tc>
        <w:tc>
          <w:tcPr>
            <w:tcW w:w="594" w:type="pct"/>
            <w:tcBorders>
              <w:top w:val="nil"/>
              <w:left w:val="nil"/>
              <w:bottom w:val="nil"/>
              <w:right w:val="nil"/>
            </w:tcBorders>
            <w:shd w:val="clear" w:color="auto" w:fill="auto"/>
            <w:vAlign w:val="center"/>
            <w:hideMark/>
          </w:tcPr>
          <w:p w14:paraId="15D91C3E"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156 286</w:t>
            </w:r>
          </w:p>
        </w:tc>
        <w:tc>
          <w:tcPr>
            <w:tcW w:w="584" w:type="pct"/>
            <w:tcBorders>
              <w:top w:val="nil"/>
              <w:left w:val="nil"/>
              <w:bottom w:val="nil"/>
              <w:right w:val="nil"/>
            </w:tcBorders>
            <w:shd w:val="clear" w:color="auto" w:fill="auto"/>
            <w:vAlign w:val="center"/>
            <w:hideMark/>
          </w:tcPr>
          <w:p w14:paraId="451D3889"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0</w:t>
            </w:r>
          </w:p>
        </w:tc>
        <w:tc>
          <w:tcPr>
            <w:tcW w:w="434" w:type="pct"/>
            <w:tcBorders>
              <w:top w:val="nil"/>
              <w:left w:val="nil"/>
              <w:bottom w:val="nil"/>
              <w:right w:val="nil"/>
            </w:tcBorders>
            <w:shd w:val="clear" w:color="auto" w:fill="auto"/>
            <w:vAlign w:val="center"/>
            <w:hideMark/>
          </w:tcPr>
          <w:p w14:paraId="0D0EBA96"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-156 286</w:t>
            </w:r>
          </w:p>
        </w:tc>
      </w:tr>
      <w:tr w:rsidR="004C6700" w:rsidRPr="00C30A64" w14:paraId="38DCCAE8" w14:textId="77777777" w:rsidTr="00C80201">
        <w:trPr>
          <w:trHeight w:val="290"/>
        </w:trPr>
        <w:tc>
          <w:tcPr>
            <w:tcW w:w="2222" w:type="pct"/>
            <w:tcBorders>
              <w:top w:val="nil"/>
              <w:left w:val="nil"/>
              <w:bottom w:val="nil"/>
              <w:right w:val="nil"/>
            </w:tcBorders>
            <w:shd w:val="clear" w:color="auto" w:fill="auto"/>
            <w:vAlign w:val="center"/>
            <w:hideMark/>
          </w:tcPr>
          <w:p w14:paraId="1663D4F1"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riadne dividendy a odvody zo zisku</w:t>
            </w:r>
          </w:p>
        </w:tc>
        <w:tc>
          <w:tcPr>
            <w:tcW w:w="559" w:type="pct"/>
            <w:tcBorders>
              <w:top w:val="nil"/>
              <w:left w:val="nil"/>
              <w:bottom w:val="nil"/>
              <w:right w:val="nil"/>
            </w:tcBorders>
            <w:shd w:val="clear" w:color="auto" w:fill="auto"/>
            <w:vAlign w:val="center"/>
            <w:hideMark/>
          </w:tcPr>
          <w:p w14:paraId="0EECCE49"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249 510</w:t>
            </w:r>
          </w:p>
        </w:tc>
        <w:tc>
          <w:tcPr>
            <w:tcW w:w="607" w:type="pct"/>
            <w:tcBorders>
              <w:top w:val="nil"/>
              <w:left w:val="nil"/>
              <w:bottom w:val="nil"/>
              <w:right w:val="nil"/>
            </w:tcBorders>
            <w:shd w:val="clear" w:color="auto" w:fill="auto"/>
            <w:vAlign w:val="center"/>
            <w:hideMark/>
          </w:tcPr>
          <w:p w14:paraId="2DB28ADB" w14:textId="7ABB62F4" w:rsidR="004C6700" w:rsidRPr="006E5787" w:rsidRDefault="00E01203" w:rsidP="00836EB5">
            <w:pPr>
              <w:spacing w:after="0" w:line="240" w:lineRule="auto"/>
              <w:jc w:val="right"/>
              <w:rPr>
                <w:rFonts w:eastAsia="Times New Roman" w:cs="Times New Roman"/>
                <w:i/>
                <w:iCs/>
                <w:color w:val="000000"/>
                <w:sz w:val="18"/>
                <w:szCs w:val="18"/>
                <w:lang w:eastAsia="sk-SK"/>
              </w:rPr>
            </w:pPr>
            <w:r>
              <w:rPr>
                <w:rFonts w:eastAsia="Times New Roman" w:cs="Times New Roman"/>
                <w:i/>
                <w:iCs/>
                <w:color w:val="000000"/>
                <w:sz w:val="18"/>
                <w:szCs w:val="18"/>
                <w:lang w:eastAsia="sk-SK"/>
              </w:rPr>
              <w:t>160 817</w:t>
            </w:r>
          </w:p>
        </w:tc>
        <w:tc>
          <w:tcPr>
            <w:tcW w:w="594" w:type="pct"/>
            <w:tcBorders>
              <w:top w:val="nil"/>
              <w:left w:val="nil"/>
              <w:bottom w:val="nil"/>
              <w:right w:val="nil"/>
            </w:tcBorders>
            <w:shd w:val="clear" w:color="auto" w:fill="auto"/>
            <w:vAlign w:val="center"/>
            <w:hideMark/>
          </w:tcPr>
          <w:p w14:paraId="3585C036"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156 286</w:t>
            </w:r>
          </w:p>
        </w:tc>
        <w:tc>
          <w:tcPr>
            <w:tcW w:w="584" w:type="pct"/>
            <w:tcBorders>
              <w:top w:val="nil"/>
              <w:left w:val="nil"/>
              <w:bottom w:val="nil"/>
              <w:right w:val="nil"/>
            </w:tcBorders>
            <w:shd w:val="clear" w:color="auto" w:fill="auto"/>
            <w:vAlign w:val="center"/>
            <w:hideMark/>
          </w:tcPr>
          <w:p w14:paraId="672BAA7C"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434" w:type="pct"/>
            <w:tcBorders>
              <w:top w:val="nil"/>
              <w:left w:val="nil"/>
              <w:bottom w:val="nil"/>
              <w:right w:val="nil"/>
            </w:tcBorders>
            <w:shd w:val="clear" w:color="auto" w:fill="auto"/>
            <w:vAlign w:val="center"/>
            <w:hideMark/>
          </w:tcPr>
          <w:p w14:paraId="11385335"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-156 286</w:t>
            </w:r>
          </w:p>
        </w:tc>
      </w:tr>
      <w:tr w:rsidR="004C6700" w:rsidRPr="00C30A64" w14:paraId="3DC20A8A" w14:textId="77777777" w:rsidTr="00C80201">
        <w:trPr>
          <w:trHeight w:val="290"/>
        </w:trPr>
        <w:tc>
          <w:tcPr>
            <w:tcW w:w="2222" w:type="pct"/>
            <w:tcBorders>
              <w:top w:val="nil"/>
              <w:left w:val="nil"/>
              <w:bottom w:val="nil"/>
              <w:right w:val="nil"/>
            </w:tcBorders>
            <w:shd w:val="clear" w:color="auto" w:fill="auto"/>
            <w:vAlign w:val="center"/>
            <w:hideMark/>
          </w:tcPr>
          <w:p w14:paraId="0960F808"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w:t>
            </w:r>
            <w:proofErr w:type="spellStart"/>
            <w:r w:rsidRPr="00C30A64">
              <w:rPr>
                <w:rFonts w:eastAsia="Times New Roman" w:cs="Times New Roman"/>
                <w:i/>
                <w:iCs/>
                <w:color w:val="000000"/>
                <w:sz w:val="18"/>
                <w:szCs w:val="18"/>
                <w:lang w:eastAsia="sk-SK"/>
              </w:rPr>
              <w:t>superdividendy</w:t>
            </w:r>
            <w:proofErr w:type="spellEnd"/>
          </w:p>
        </w:tc>
        <w:tc>
          <w:tcPr>
            <w:tcW w:w="559" w:type="pct"/>
            <w:tcBorders>
              <w:top w:val="nil"/>
              <w:left w:val="nil"/>
              <w:bottom w:val="nil"/>
              <w:right w:val="nil"/>
            </w:tcBorders>
            <w:shd w:val="clear" w:color="auto" w:fill="auto"/>
            <w:vAlign w:val="center"/>
            <w:hideMark/>
          </w:tcPr>
          <w:p w14:paraId="681804E6"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4 890</w:t>
            </w:r>
          </w:p>
        </w:tc>
        <w:tc>
          <w:tcPr>
            <w:tcW w:w="607" w:type="pct"/>
            <w:tcBorders>
              <w:top w:val="nil"/>
              <w:left w:val="nil"/>
              <w:bottom w:val="nil"/>
              <w:right w:val="nil"/>
            </w:tcBorders>
            <w:shd w:val="clear" w:color="auto" w:fill="auto"/>
            <w:vAlign w:val="center"/>
            <w:hideMark/>
          </w:tcPr>
          <w:p w14:paraId="7C80DC05" w14:textId="37E87E51" w:rsidR="004C6700" w:rsidRPr="006E5787" w:rsidRDefault="00765E62"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59 183</w:t>
            </w:r>
          </w:p>
        </w:tc>
        <w:tc>
          <w:tcPr>
            <w:tcW w:w="594" w:type="pct"/>
            <w:tcBorders>
              <w:top w:val="nil"/>
              <w:left w:val="nil"/>
              <w:bottom w:val="nil"/>
              <w:right w:val="nil"/>
            </w:tcBorders>
            <w:shd w:val="clear" w:color="auto" w:fill="auto"/>
            <w:vAlign w:val="center"/>
            <w:hideMark/>
          </w:tcPr>
          <w:p w14:paraId="76859E4E" w14:textId="77777777" w:rsidR="004C6700" w:rsidRPr="006E5787" w:rsidRDefault="004C6700" w:rsidP="00836EB5">
            <w:pPr>
              <w:spacing w:after="0" w:line="240" w:lineRule="auto"/>
              <w:jc w:val="right"/>
              <w:rPr>
                <w:rFonts w:eastAsia="Times New Roman" w:cs="Times New Roman"/>
                <w:i/>
                <w:iCs/>
                <w:color w:val="000000"/>
                <w:sz w:val="18"/>
                <w:szCs w:val="18"/>
                <w:lang w:eastAsia="sk-SK"/>
              </w:rPr>
            </w:pPr>
            <w:r w:rsidRPr="006E5787">
              <w:rPr>
                <w:rFonts w:eastAsia="Times New Roman" w:cs="Times New Roman"/>
                <w:i/>
                <w:iCs/>
                <w:color w:val="000000"/>
                <w:sz w:val="18"/>
                <w:szCs w:val="18"/>
                <w:lang w:eastAsia="sk-SK"/>
              </w:rPr>
              <w:t>0</w:t>
            </w:r>
          </w:p>
        </w:tc>
        <w:tc>
          <w:tcPr>
            <w:tcW w:w="584" w:type="pct"/>
            <w:tcBorders>
              <w:top w:val="nil"/>
              <w:left w:val="nil"/>
              <w:bottom w:val="nil"/>
              <w:right w:val="nil"/>
            </w:tcBorders>
            <w:shd w:val="clear" w:color="auto" w:fill="auto"/>
            <w:vAlign w:val="center"/>
            <w:hideMark/>
          </w:tcPr>
          <w:p w14:paraId="7F170527"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434" w:type="pct"/>
            <w:tcBorders>
              <w:top w:val="nil"/>
              <w:left w:val="nil"/>
              <w:bottom w:val="nil"/>
              <w:right w:val="nil"/>
            </w:tcBorders>
            <w:shd w:val="clear" w:color="auto" w:fill="auto"/>
            <w:vAlign w:val="center"/>
            <w:hideMark/>
          </w:tcPr>
          <w:p w14:paraId="312D9BE2"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r>
      <w:tr w:rsidR="004C6700" w:rsidRPr="00C30A64" w14:paraId="6F6F8A7C" w14:textId="77777777" w:rsidTr="00C80201">
        <w:trPr>
          <w:trHeight w:val="290"/>
        </w:trPr>
        <w:tc>
          <w:tcPr>
            <w:tcW w:w="2222" w:type="pct"/>
            <w:tcBorders>
              <w:top w:val="nil"/>
              <w:left w:val="nil"/>
              <w:bottom w:val="nil"/>
              <w:right w:val="nil"/>
            </w:tcBorders>
            <w:shd w:val="clear" w:color="auto" w:fill="auto"/>
            <w:vAlign w:val="center"/>
            <w:hideMark/>
          </w:tcPr>
          <w:p w14:paraId="581B1704" w14:textId="0FB69093" w:rsidR="004C6700" w:rsidRPr="00C30A64" w:rsidRDefault="006243D7" w:rsidP="00836EB5">
            <w:pPr>
              <w:spacing w:after="0" w:line="240" w:lineRule="auto"/>
              <w:jc w:val="left"/>
              <w:rPr>
                <w:rFonts w:eastAsia="Times New Roman" w:cs="Times New Roman"/>
                <w:color w:val="000000"/>
                <w:sz w:val="18"/>
                <w:szCs w:val="18"/>
                <w:lang w:eastAsia="sk-SK"/>
              </w:rPr>
            </w:pPr>
            <w:r>
              <w:rPr>
                <w:rFonts w:eastAsia="Times New Roman" w:cs="Times New Roman"/>
                <w:color w:val="000000"/>
                <w:sz w:val="18"/>
                <w:szCs w:val="18"/>
                <w:lang w:eastAsia="sk-SK"/>
              </w:rPr>
              <w:t xml:space="preserve">Západoslovenská energetika, </w:t>
            </w:r>
            <w:proofErr w:type="spellStart"/>
            <w:r>
              <w:rPr>
                <w:rFonts w:eastAsia="Times New Roman" w:cs="Times New Roman"/>
                <w:color w:val="000000"/>
                <w:sz w:val="18"/>
                <w:szCs w:val="18"/>
                <w:lang w:eastAsia="sk-SK"/>
              </w:rPr>
              <w:t>a.</w:t>
            </w:r>
            <w:r w:rsidR="004C6700" w:rsidRPr="00C30A64">
              <w:rPr>
                <w:rFonts w:eastAsia="Times New Roman" w:cs="Times New Roman"/>
                <w:color w:val="000000"/>
                <w:sz w:val="18"/>
                <w:szCs w:val="18"/>
                <w:lang w:eastAsia="sk-SK"/>
              </w:rPr>
              <w:t>s</w:t>
            </w:r>
            <w:proofErr w:type="spellEnd"/>
            <w:r w:rsidR="004C6700" w:rsidRPr="00C30A64">
              <w:rPr>
                <w:rFonts w:eastAsia="Times New Roman" w:cs="Times New Roman"/>
                <w:color w:val="000000"/>
                <w:sz w:val="18"/>
                <w:szCs w:val="18"/>
                <w:lang w:eastAsia="sk-SK"/>
              </w:rPr>
              <w:t>.</w:t>
            </w:r>
          </w:p>
        </w:tc>
        <w:tc>
          <w:tcPr>
            <w:tcW w:w="559" w:type="pct"/>
            <w:tcBorders>
              <w:top w:val="nil"/>
              <w:left w:val="nil"/>
              <w:bottom w:val="nil"/>
              <w:right w:val="nil"/>
            </w:tcBorders>
            <w:shd w:val="clear" w:color="auto" w:fill="auto"/>
            <w:vAlign w:val="center"/>
            <w:hideMark/>
          </w:tcPr>
          <w:p w14:paraId="224EC7DA"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45 697</w:t>
            </w:r>
          </w:p>
        </w:tc>
        <w:tc>
          <w:tcPr>
            <w:tcW w:w="607" w:type="pct"/>
            <w:tcBorders>
              <w:top w:val="nil"/>
              <w:left w:val="nil"/>
              <w:bottom w:val="nil"/>
              <w:right w:val="nil"/>
            </w:tcBorders>
            <w:shd w:val="clear" w:color="auto" w:fill="auto"/>
            <w:vAlign w:val="center"/>
            <w:hideMark/>
          </w:tcPr>
          <w:p w14:paraId="4355B00A"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44 839</w:t>
            </w:r>
          </w:p>
        </w:tc>
        <w:tc>
          <w:tcPr>
            <w:tcW w:w="594" w:type="pct"/>
            <w:tcBorders>
              <w:top w:val="nil"/>
              <w:left w:val="nil"/>
              <w:bottom w:val="nil"/>
              <w:right w:val="nil"/>
            </w:tcBorders>
            <w:shd w:val="clear" w:color="auto" w:fill="auto"/>
            <w:vAlign w:val="center"/>
            <w:hideMark/>
          </w:tcPr>
          <w:p w14:paraId="494F522A" w14:textId="77777777" w:rsidR="004C6700" w:rsidRPr="006E5787" w:rsidRDefault="004C6700" w:rsidP="00836EB5">
            <w:pPr>
              <w:spacing w:after="0" w:line="240" w:lineRule="auto"/>
              <w:jc w:val="right"/>
              <w:rPr>
                <w:rFonts w:eastAsia="Times New Roman" w:cs="Times New Roman"/>
                <w:color w:val="000000"/>
                <w:sz w:val="18"/>
                <w:szCs w:val="18"/>
                <w:lang w:eastAsia="sk-SK"/>
              </w:rPr>
            </w:pPr>
            <w:r w:rsidRPr="006E5787">
              <w:rPr>
                <w:rFonts w:eastAsia="Times New Roman" w:cs="Times New Roman"/>
                <w:color w:val="000000"/>
                <w:sz w:val="18"/>
                <w:szCs w:val="18"/>
                <w:lang w:eastAsia="sk-SK"/>
              </w:rPr>
              <w:t>36 693</w:t>
            </w:r>
          </w:p>
        </w:tc>
        <w:tc>
          <w:tcPr>
            <w:tcW w:w="584" w:type="pct"/>
            <w:tcBorders>
              <w:top w:val="nil"/>
              <w:left w:val="nil"/>
              <w:bottom w:val="nil"/>
              <w:right w:val="nil"/>
            </w:tcBorders>
            <w:shd w:val="clear" w:color="auto" w:fill="auto"/>
            <w:vAlign w:val="center"/>
            <w:hideMark/>
          </w:tcPr>
          <w:p w14:paraId="030FE9A2"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37 091</w:t>
            </w:r>
          </w:p>
        </w:tc>
        <w:tc>
          <w:tcPr>
            <w:tcW w:w="434" w:type="pct"/>
            <w:tcBorders>
              <w:top w:val="nil"/>
              <w:left w:val="nil"/>
              <w:bottom w:val="nil"/>
              <w:right w:val="nil"/>
            </w:tcBorders>
            <w:shd w:val="clear" w:color="auto" w:fill="auto"/>
            <w:vAlign w:val="center"/>
            <w:hideMark/>
          </w:tcPr>
          <w:p w14:paraId="14828D33"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398</w:t>
            </w:r>
          </w:p>
        </w:tc>
      </w:tr>
      <w:tr w:rsidR="004C6700" w:rsidRPr="00C30A64" w14:paraId="444A32D1" w14:textId="77777777" w:rsidTr="00C80201">
        <w:trPr>
          <w:trHeight w:val="290"/>
        </w:trPr>
        <w:tc>
          <w:tcPr>
            <w:tcW w:w="2222" w:type="pct"/>
            <w:tcBorders>
              <w:top w:val="nil"/>
              <w:left w:val="nil"/>
              <w:bottom w:val="nil"/>
              <w:right w:val="nil"/>
            </w:tcBorders>
            <w:shd w:val="clear" w:color="auto" w:fill="auto"/>
            <w:vAlign w:val="center"/>
            <w:hideMark/>
          </w:tcPr>
          <w:p w14:paraId="2520A74B"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riadne dividendy a odvody zo zisku</w:t>
            </w:r>
          </w:p>
        </w:tc>
        <w:tc>
          <w:tcPr>
            <w:tcW w:w="559" w:type="pct"/>
            <w:tcBorders>
              <w:top w:val="nil"/>
              <w:left w:val="nil"/>
              <w:bottom w:val="nil"/>
              <w:right w:val="nil"/>
            </w:tcBorders>
            <w:shd w:val="clear" w:color="auto" w:fill="auto"/>
            <w:vAlign w:val="center"/>
            <w:hideMark/>
          </w:tcPr>
          <w:p w14:paraId="70BE9F9E"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45 697</w:t>
            </w:r>
          </w:p>
        </w:tc>
        <w:tc>
          <w:tcPr>
            <w:tcW w:w="607" w:type="pct"/>
            <w:tcBorders>
              <w:top w:val="nil"/>
              <w:left w:val="nil"/>
              <w:bottom w:val="nil"/>
              <w:right w:val="nil"/>
            </w:tcBorders>
            <w:shd w:val="clear" w:color="auto" w:fill="auto"/>
            <w:vAlign w:val="center"/>
            <w:hideMark/>
          </w:tcPr>
          <w:p w14:paraId="5BFE5327"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44 839</w:t>
            </w:r>
          </w:p>
        </w:tc>
        <w:tc>
          <w:tcPr>
            <w:tcW w:w="594" w:type="pct"/>
            <w:tcBorders>
              <w:top w:val="nil"/>
              <w:left w:val="nil"/>
              <w:bottom w:val="nil"/>
              <w:right w:val="nil"/>
            </w:tcBorders>
            <w:shd w:val="clear" w:color="auto" w:fill="auto"/>
            <w:vAlign w:val="center"/>
            <w:hideMark/>
          </w:tcPr>
          <w:p w14:paraId="46C8E898"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36 693</w:t>
            </w:r>
          </w:p>
        </w:tc>
        <w:tc>
          <w:tcPr>
            <w:tcW w:w="584" w:type="pct"/>
            <w:tcBorders>
              <w:top w:val="nil"/>
              <w:left w:val="nil"/>
              <w:bottom w:val="nil"/>
              <w:right w:val="nil"/>
            </w:tcBorders>
            <w:shd w:val="clear" w:color="auto" w:fill="auto"/>
            <w:vAlign w:val="center"/>
            <w:hideMark/>
          </w:tcPr>
          <w:p w14:paraId="248FD880"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36 898</w:t>
            </w:r>
          </w:p>
        </w:tc>
        <w:tc>
          <w:tcPr>
            <w:tcW w:w="434" w:type="pct"/>
            <w:tcBorders>
              <w:top w:val="nil"/>
              <w:left w:val="nil"/>
              <w:bottom w:val="nil"/>
              <w:right w:val="nil"/>
            </w:tcBorders>
            <w:shd w:val="clear" w:color="auto" w:fill="auto"/>
            <w:vAlign w:val="center"/>
            <w:hideMark/>
          </w:tcPr>
          <w:p w14:paraId="3D7172B4"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205</w:t>
            </w:r>
          </w:p>
        </w:tc>
      </w:tr>
      <w:tr w:rsidR="004C6700" w:rsidRPr="00C30A64" w14:paraId="392E128B" w14:textId="77777777" w:rsidTr="00C80201">
        <w:trPr>
          <w:trHeight w:val="290"/>
        </w:trPr>
        <w:tc>
          <w:tcPr>
            <w:tcW w:w="2222" w:type="pct"/>
            <w:tcBorders>
              <w:top w:val="nil"/>
              <w:left w:val="nil"/>
              <w:bottom w:val="nil"/>
              <w:right w:val="nil"/>
            </w:tcBorders>
            <w:shd w:val="clear" w:color="auto" w:fill="auto"/>
            <w:vAlign w:val="center"/>
            <w:hideMark/>
          </w:tcPr>
          <w:p w14:paraId="6D8C4414"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w:t>
            </w:r>
            <w:proofErr w:type="spellStart"/>
            <w:r w:rsidRPr="00C30A64">
              <w:rPr>
                <w:rFonts w:eastAsia="Times New Roman" w:cs="Times New Roman"/>
                <w:i/>
                <w:iCs/>
                <w:color w:val="000000"/>
                <w:sz w:val="18"/>
                <w:szCs w:val="18"/>
                <w:lang w:eastAsia="sk-SK"/>
              </w:rPr>
              <w:t>superdividendy</w:t>
            </w:r>
            <w:proofErr w:type="spellEnd"/>
          </w:p>
        </w:tc>
        <w:tc>
          <w:tcPr>
            <w:tcW w:w="559" w:type="pct"/>
            <w:tcBorders>
              <w:top w:val="nil"/>
              <w:left w:val="nil"/>
              <w:bottom w:val="nil"/>
              <w:right w:val="nil"/>
            </w:tcBorders>
            <w:shd w:val="clear" w:color="auto" w:fill="auto"/>
            <w:vAlign w:val="center"/>
            <w:hideMark/>
          </w:tcPr>
          <w:p w14:paraId="391CB066"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607" w:type="pct"/>
            <w:tcBorders>
              <w:top w:val="nil"/>
              <w:left w:val="nil"/>
              <w:bottom w:val="nil"/>
              <w:right w:val="nil"/>
            </w:tcBorders>
            <w:shd w:val="clear" w:color="auto" w:fill="auto"/>
            <w:vAlign w:val="center"/>
            <w:hideMark/>
          </w:tcPr>
          <w:p w14:paraId="1CA7F9B8"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594" w:type="pct"/>
            <w:tcBorders>
              <w:top w:val="nil"/>
              <w:left w:val="nil"/>
              <w:bottom w:val="nil"/>
              <w:right w:val="nil"/>
            </w:tcBorders>
            <w:shd w:val="clear" w:color="auto" w:fill="auto"/>
            <w:vAlign w:val="center"/>
            <w:hideMark/>
          </w:tcPr>
          <w:p w14:paraId="7323D850"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584" w:type="pct"/>
            <w:tcBorders>
              <w:top w:val="nil"/>
              <w:left w:val="nil"/>
              <w:bottom w:val="nil"/>
              <w:right w:val="nil"/>
            </w:tcBorders>
            <w:shd w:val="clear" w:color="auto" w:fill="auto"/>
            <w:vAlign w:val="center"/>
            <w:hideMark/>
          </w:tcPr>
          <w:p w14:paraId="412E7869"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193</w:t>
            </w:r>
          </w:p>
        </w:tc>
        <w:tc>
          <w:tcPr>
            <w:tcW w:w="434" w:type="pct"/>
            <w:tcBorders>
              <w:top w:val="nil"/>
              <w:left w:val="nil"/>
              <w:bottom w:val="nil"/>
              <w:right w:val="nil"/>
            </w:tcBorders>
            <w:shd w:val="clear" w:color="auto" w:fill="auto"/>
            <w:vAlign w:val="center"/>
            <w:hideMark/>
          </w:tcPr>
          <w:p w14:paraId="2ECE3E05"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193</w:t>
            </w:r>
          </w:p>
        </w:tc>
      </w:tr>
      <w:tr w:rsidR="004C6700" w:rsidRPr="00C30A64" w14:paraId="32C668A5" w14:textId="77777777" w:rsidTr="00C80201">
        <w:trPr>
          <w:trHeight w:val="290"/>
        </w:trPr>
        <w:tc>
          <w:tcPr>
            <w:tcW w:w="2222" w:type="pct"/>
            <w:tcBorders>
              <w:top w:val="nil"/>
              <w:left w:val="nil"/>
              <w:bottom w:val="nil"/>
              <w:right w:val="nil"/>
            </w:tcBorders>
            <w:shd w:val="clear" w:color="auto" w:fill="auto"/>
            <w:vAlign w:val="center"/>
            <w:hideMark/>
          </w:tcPr>
          <w:p w14:paraId="378A3856" w14:textId="0DB0530D" w:rsidR="004C6700" w:rsidRPr="00C30A64" w:rsidRDefault="004C6700" w:rsidP="00987204">
            <w:pPr>
              <w:spacing w:after="0" w:line="240" w:lineRule="auto"/>
              <w:jc w:val="left"/>
              <w:rPr>
                <w:rFonts w:eastAsia="Times New Roman" w:cs="Times New Roman"/>
                <w:color w:val="000000"/>
                <w:sz w:val="18"/>
                <w:szCs w:val="18"/>
                <w:lang w:eastAsia="sk-SK"/>
              </w:rPr>
            </w:pPr>
            <w:r w:rsidRPr="00C30A64">
              <w:rPr>
                <w:rFonts w:eastAsia="Times New Roman" w:cs="Times New Roman"/>
                <w:color w:val="000000"/>
                <w:sz w:val="18"/>
                <w:szCs w:val="18"/>
                <w:lang w:eastAsia="sk-SK"/>
              </w:rPr>
              <w:t>Stredos</w:t>
            </w:r>
            <w:r w:rsidR="006243D7">
              <w:rPr>
                <w:rFonts w:eastAsia="Times New Roman" w:cs="Times New Roman"/>
                <w:color w:val="000000"/>
                <w:sz w:val="18"/>
                <w:szCs w:val="18"/>
                <w:lang w:eastAsia="sk-SK"/>
              </w:rPr>
              <w:t xml:space="preserve">lovenská energetika, </w:t>
            </w:r>
            <w:proofErr w:type="spellStart"/>
            <w:r w:rsidR="006243D7">
              <w:rPr>
                <w:rFonts w:eastAsia="Times New Roman" w:cs="Times New Roman"/>
                <w:color w:val="000000"/>
                <w:sz w:val="18"/>
                <w:szCs w:val="18"/>
                <w:lang w:eastAsia="sk-SK"/>
              </w:rPr>
              <w:t>a.</w:t>
            </w:r>
            <w:r w:rsidRPr="00C30A64">
              <w:rPr>
                <w:rFonts w:eastAsia="Times New Roman" w:cs="Times New Roman"/>
                <w:color w:val="000000"/>
                <w:sz w:val="18"/>
                <w:szCs w:val="18"/>
                <w:lang w:eastAsia="sk-SK"/>
              </w:rPr>
              <w:t>s</w:t>
            </w:r>
            <w:proofErr w:type="spellEnd"/>
            <w:r w:rsidRPr="00C30A64">
              <w:rPr>
                <w:rFonts w:eastAsia="Times New Roman" w:cs="Times New Roman"/>
                <w:color w:val="000000"/>
                <w:sz w:val="18"/>
                <w:szCs w:val="18"/>
                <w:lang w:eastAsia="sk-SK"/>
              </w:rPr>
              <w:t>.</w:t>
            </w:r>
          </w:p>
        </w:tc>
        <w:tc>
          <w:tcPr>
            <w:tcW w:w="559" w:type="pct"/>
            <w:tcBorders>
              <w:top w:val="nil"/>
              <w:left w:val="nil"/>
              <w:bottom w:val="nil"/>
              <w:right w:val="nil"/>
            </w:tcBorders>
            <w:shd w:val="clear" w:color="auto" w:fill="auto"/>
            <w:vAlign w:val="center"/>
            <w:hideMark/>
          </w:tcPr>
          <w:p w14:paraId="4CA00CEA"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113 071</w:t>
            </w:r>
          </w:p>
        </w:tc>
        <w:tc>
          <w:tcPr>
            <w:tcW w:w="607" w:type="pct"/>
            <w:tcBorders>
              <w:top w:val="nil"/>
              <w:left w:val="nil"/>
              <w:bottom w:val="nil"/>
              <w:right w:val="nil"/>
            </w:tcBorders>
            <w:shd w:val="clear" w:color="auto" w:fill="auto"/>
            <w:vAlign w:val="center"/>
            <w:hideMark/>
          </w:tcPr>
          <w:p w14:paraId="331C4666"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74 777</w:t>
            </w:r>
          </w:p>
        </w:tc>
        <w:tc>
          <w:tcPr>
            <w:tcW w:w="594" w:type="pct"/>
            <w:tcBorders>
              <w:top w:val="nil"/>
              <w:left w:val="nil"/>
              <w:bottom w:val="nil"/>
              <w:right w:val="nil"/>
            </w:tcBorders>
            <w:shd w:val="clear" w:color="auto" w:fill="auto"/>
            <w:vAlign w:val="center"/>
            <w:hideMark/>
          </w:tcPr>
          <w:p w14:paraId="5EC58547"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115 113</w:t>
            </w:r>
          </w:p>
        </w:tc>
        <w:tc>
          <w:tcPr>
            <w:tcW w:w="584" w:type="pct"/>
            <w:tcBorders>
              <w:top w:val="nil"/>
              <w:left w:val="nil"/>
              <w:bottom w:val="nil"/>
              <w:right w:val="nil"/>
            </w:tcBorders>
            <w:shd w:val="clear" w:color="auto" w:fill="auto"/>
            <w:vAlign w:val="center"/>
            <w:hideMark/>
          </w:tcPr>
          <w:p w14:paraId="5A96E6E8"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38 784</w:t>
            </w:r>
          </w:p>
        </w:tc>
        <w:tc>
          <w:tcPr>
            <w:tcW w:w="434" w:type="pct"/>
            <w:tcBorders>
              <w:top w:val="nil"/>
              <w:left w:val="nil"/>
              <w:bottom w:val="nil"/>
              <w:right w:val="nil"/>
            </w:tcBorders>
            <w:shd w:val="clear" w:color="auto" w:fill="auto"/>
            <w:vAlign w:val="center"/>
            <w:hideMark/>
          </w:tcPr>
          <w:p w14:paraId="6A25449F"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-76 329</w:t>
            </w:r>
          </w:p>
        </w:tc>
      </w:tr>
      <w:tr w:rsidR="004C6700" w:rsidRPr="00C30A64" w14:paraId="3EFE7309" w14:textId="77777777" w:rsidTr="00C80201">
        <w:trPr>
          <w:trHeight w:val="290"/>
        </w:trPr>
        <w:tc>
          <w:tcPr>
            <w:tcW w:w="2222" w:type="pct"/>
            <w:tcBorders>
              <w:top w:val="nil"/>
              <w:left w:val="nil"/>
              <w:bottom w:val="nil"/>
              <w:right w:val="nil"/>
            </w:tcBorders>
            <w:shd w:val="clear" w:color="auto" w:fill="auto"/>
            <w:vAlign w:val="center"/>
            <w:hideMark/>
          </w:tcPr>
          <w:p w14:paraId="00A95677"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riadne dividendy a odvody zo zisku</w:t>
            </w:r>
          </w:p>
        </w:tc>
        <w:tc>
          <w:tcPr>
            <w:tcW w:w="559" w:type="pct"/>
            <w:tcBorders>
              <w:top w:val="nil"/>
              <w:left w:val="nil"/>
              <w:bottom w:val="nil"/>
              <w:right w:val="nil"/>
            </w:tcBorders>
            <w:shd w:val="clear" w:color="auto" w:fill="auto"/>
            <w:vAlign w:val="center"/>
            <w:hideMark/>
          </w:tcPr>
          <w:p w14:paraId="7B66C282"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62 037</w:t>
            </w:r>
          </w:p>
        </w:tc>
        <w:tc>
          <w:tcPr>
            <w:tcW w:w="607" w:type="pct"/>
            <w:tcBorders>
              <w:top w:val="nil"/>
              <w:left w:val="nil"/>
              <w:bottom w:val="nil"/>
              <w:right w:val="nil"/>
            </w:tcBorders>
            <w:shd w:val="clear" w:color="auto" w:fill="auto"/>
            <w:vAlign w:val="center"/>
            <w:hideMark/>
          </w:tcPr>
          <w:p w14:paraId="3040E6AC"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74 777</w:t>
            </w:r>
          </w:p>
        </w:tc>
        <w:tc>
          <w:tcPr>
            <w:tcW w:w="594" w:type="pct"/>
            <w:tcBorders>
              <w:top w:val="nil"/>
              <w:left w:val="nil"/>
              <w:bottom w:val="nil"/>
              <w:right w:val="nil"/>
            </w:tcBorders>
            <w:shd w:val="clear" w:color="auto" w:fill="auto"/>
            <w:vAlign w:val="center"/>
            <w:hideMark/>
          </w:tcPr>
          <w:p w14:paraId="44DE13A6"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38 189</w:t>
            </w:r>
          </w:p>
        </w:tc>
        <w:tc>
          <w:tcPr>
            <w:tcW w:w="584" w:type="pct"/>
            <w:tcBorders>
              <w:top w:val="nil"/>
              <w:left w:val="nil"/>
              <w:bottom w:val="nil"/>
              <w:right w:val="nil"/>
            </w:tcBorders>
            <w:shd w:val="clear" w:color="auto" w:fill="auto"/>
            <w:vAlign w:val="center"/>
            <w:hideMark/>
          </w:tcPr>
          <w:p w14:paraId="16A4A5DE"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38 784</w:t>
            </w:r>
          </w:p>
        </w:tc>
        <w:tc>
          <w:tcPr>
            <w:tcW w:w="434" w:type="pct"/>
            <w:tcBorders>
              <w:top w:val="nil"/>
              <w:left w:val="nil"/>
              <w:bottom w:val="nil"/>
              <w:right w:val="nil"/>
            </w:tcBorders>
            <w:shd w:val="clear" w:color="auto" w:fill="auto"/>
            <w:vAlign w:val="center"/>
            <w:hideMark/>
          </w:tcPr>
          <w:p w14:paraId="457BF1F7"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595</w:t>
            </w:r>
          </w:p>
        </w:tc>
      </w:tr>
      <w:tr w:rsidR="004C6700" w:rsidRPr="00C30A64" w14:paraId="549D4DD8" w14:textId="77777777" w:rsidTr="00C80201">
        <w:trPr>
          <w:trHeight w:val="290"/>
        </w:trPr>
        <w:tc>
          <w:tcPr>
            <w:tcW w:w="2222" w:type="pct"/>
            <w:tcBorders>
              <w:top w:val="nil"/>
              <w:left w:val="nil"/>
              <w:bottom w:val="nil"/>
              <w:right w:val="nil"/>
            </w:tcBorders>
            <w:shd w:val="clear" w:color="auto" w:fill="auto"/>
            <w:vAlign w:val="center"/>
            <w:hideMark/>
          </w:tcPr>
          <w:p w14:paraId="42900619"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w:t>
            </w:r>
            <w:proofErr w:type="spellStart"/>
            <w:r w:rsidRPr="00C30A64">
              <w:rPr>
                <w:rFonts w:eastAsia="Times New Roman" w:cs="Times New Roman"/>
                <w:i/>
                <w:iCs/>
                <w:color w:val="000000"/>
                <w:sz w:val="18"/>
                <w:szCs w:val="18"/>
                <w:lang w:eastAsia="sk-SK"/>
              </w:rPr>
              <w:t>superdividendy</w:t>
            </w:r>
            <w:proofErr w:type="spellEnd"/>
          </w:p>
        </w:tc>
        <w:tc>
          <w:tcPr>
            <w:tcW w:w="559" w:type="pct"/>
            <w:tcBorders>
              <w:top w:val="nil"/>
              <w:left w:val="nil"/>
              <w:bottom w:val="nil"/>
              <w:right w:val="nil"/>
            </w:tcBorders>
            <w:shd w:val="clear" w:color="auto" w:fill="auto"/>
            <w:vAlign w:val="center"/>
            <w:hideMark/>
          </w:tcPr>
          <w:p w14:paraId="2A46C127"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51 034</w:t>
            </w:r>
          </w:p>
        </w:tc>
        <w:tc>
          <w:tcPr>
            <w:tcW w:w="607" w:type="pct"/>
            <w:tcBorders>
              <w:top w:val="nil"/>
              <w:left w:val="nil"/>
              <w:bottom w:val="nil"/>
              <w:right w:val="nil"/>
            </w:tcBorders>
            <w:shd w:val="clear" w:color="auto" w:fill="auto"/>
            <w:vAlign w:val="center"/>
            <w:hideMark/>
          </w:tcPr>
          <w:p w14:paraId="776CC75C"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594" w:type="pct"/>
            <w:tcBorders>
              <w:top w:val="nil"/>
              <w:left w:val="nil"/>
              <w:bottom w:val="nil"/>
              <w:right w:val="nil"/>
            </w:tcBorders>
            <w:shd w:val="clear" w:color="auto" w:fill="auto"/>
            <w:vAlign w:val="center"/>
            <w:hideMark/>
          </w:tcPr>
          <w:p w14:paraId="23291E97"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76 924</w:t>
            </w:r>
          </w:p>
        </w:tc>
        <w:tc>
          <w:tcPr>
            <w:tcW w:w="584" w:type="pct"/>
            <w:tcBorders>
              <w:top w:val="nil"/>
              <w:left w:val="nil"/>
              <w:bottom w:val="nil"/>
              <w:right w:val="nil"/>
            </w:tcBorders>
            <w:shd w:val="clear" w:color="auto" w:fill="auto"/>
            <w:vAlign w:val="center"/>
            <w:hideMark/>
          </w:tcPr>
          <w:p w14:paraId="7B875E98"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434" w:type="pct"/>
            <w:tcBorders>
              <w:top w:val="nil"/>
              <w:left w:val="nil"/>
              <w:bottom w:val="nil"/>
              <w:right w:val="nil"/>
            </w:tcBorders>
            <w:shd w:val="clear" w:color="auto" w:fill="auto"/>
            <w:vAlign w:val="center"/>
            <w:hideMark/>
          </w:tcPr>
          <w:p w14:paraId="1344E1F6"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-76 924</w:t>
            </w:r>
          </w:p>
        </w:tc>
      </w:tr>
      <w:tr w:rsidR="004C6700" w:rsidRPr="00C30A64" w14:paraId="59DD3833" w14:textId="77777777" w:rsidTr="00C80201">
        <w:trPr>
          <w:trHeight w:val="290"/>
        </w:trPr>
        <w:tc>
          <w:tcPr>
            <w:tcW w:w="2222" w:type="pct"/>
            <w:tcBorders>
              <w:top w:val="nil"/>
              <w:left w:val="nil"/>
              <w:bottom w:val="nil"/>
              <w:right w:val="nil"/>
            </w:tcBorders>
            <w:shd w:val="clear" w:color="auto" w:fill="auto"/>
            <w:vAlign w:val="center"/>
            <w:hideMark/>
          </w:tcPr>
          <w:p w14:paraId="31C02924" w14:textId="7837E087" w:rsidR="004C6700" w:rsidRPr="00C30A64" w:rsidRDefault="004C6700" w:rsidP="00836EB5">
            <w:pPr>
              <w:spacing w:after="0" w:line="240" w:lineRule="auto"/>
              <w:jc w:val="left"/>
              <w:rPr>
                <w:rFonts w:eastAsia="Times New Roman" w:cs="Times New Roman"/>
                <w:color w:val="000000"/>
                <w:sz w:val="18"/>
                <w:szCs w:val="18"/>
                <w:lang w:eastAsia="sk-SK"/>
              </w:rPr>
            </w:pPr>
            <w:r w:rsidRPr="00C30A64">
              <w:rPr>
                <w:rFonts w:eastAsia="Times New Roman" w:cs="Times New Roman"/>
                <w:color w:val="000000"/>
                <w:sz w:val="18"/>
                <w:szCs w:val="18"/>
                <w:lang w:eastAsia="sk-SK"/>
              </w:rPr>
              <w:t>Východos</w:t>
            </w:r>
            <w:r w:rsidR="006243D7">
              <w:rPr>
                <w:rFonts w:eastAsia="Times New Roman" w:cs="Times New Roman"/>
                <w:color w:val="000000"/>
                <w:sz w:val="18"/>
                <w:szCs w:val="18"/>
                <w:lang w:eastAsia="sk-SK"/>
              </w:rPr>
              <w:t xml:space="preserve">lovenská energetika Holding, </w:t>
            </w:r>
            <w:proofErr w:type="spellStart"/>
            <w:r w:rsidR="006243D7">
              <w:rPr>
                <w:rFonts w:eastAsia="Times New Roman" w:cs="Times New Roman"/>
                <w:color w:val="000000"/>
                <w:sz w:val="18"/>
                <w:szCs w:val="18"/>
                <w:lang w:eastAsia="sk-SK"/>
              </w:rPr>
              <w:t>a.</w:t>
            </w:r>
            <w:r w:rsidRPr="00C30A64">
              <w:rPr>
                <w:rFonts w:eastAsia="Times New Roman" w:cs="Times New Roman"/>
                <w:color w:val="000000"/>
                <w:sz w:val="18"/>
                <w:szCs w:val="18"/>
                <w:lang w:eastAsia="sk-SK"/>
              </w:rPr>
              <w:t>s</w:t>
            </w:r>
            <w:proofErr w:type="spellEnd"/>
            <w:r w:rsidRPr="00C30A64">
              <w:rPr>
                <w:rFonts w:eastAsia="Times New Roman" w:cs="Times New Roman"/>
                <w:color w:val="000000"/>
                <w:sz w:val="18"/>
                <w:szCs w:val="18"/>
                <w:lang w:eastAsia="sk-SK"/>
              </w:rPr>
              <w:t>.</w:t>
            </w:r>
          </w:p>
        </w:tc>
        <w:tc>
          <w:tcPr>
            <w:tcW w:w="559" w:type="pct"/>
            <w:tcBorders>
              <w:top w:val="nil"/>
              <w:left w:val="nil"/>
              <w:bottom w:val="nil"/>
              <w:right w:val="nil"/>
            </w:tcBorders>
            <w:shd w:val="clear" w:color="auto" w:fill="auto"/>
            <w:vAlign w:val="center"/>
            <w:hideMark/>
          </w:tcPr>
          <w:p w14:paraId="33F72378"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33 677</w:t>
            </w:r>
          </w:p>
        </w:tc>
        <w:tc>
          <w:tcPr>
            <w:tcW w:w="607" w:type="pct"/>
            <w:tcBorders>
              <w:top w:val="nil"/>
              <w:left w:val="nil"/>
              <w:bottom w:val="nil"/>
              <w:right w:val="nil"/>
            </w:tcBorders>
            <w:shd w:val="clear" w:color="auto" w:fill="auto"/>
            <w:vAlign w:val="center"/>
            <w:hideMark/>
          </w:tcPr>
          <w:p w14:paraId="2B1880D2"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29 070</w:t>
            </w:r>
          </w:p>
        </w:tc>
        <w:tc>
          <w:tcPr>
            <w:tcW w:w="594" w:type="pct"/>
            <w:tcBorders>
              <w:top w:val="nil"/>
              <w:left w:val="nil"/>
              <w:bottom w:val="nil"/>
              <w:right w:val="nil"/>
            </w:tcBorders>
            <w:shd w:val="clear" w:color="auto" w:fill="auto"/>
            <w:vAlign w:val="center"/>
            <w:hideMark/>
          </w:tcPr>
          <w:p w14:paraId="6612C40A"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10 685</w:t>
            </w:r>
          </w:p>
        </w:tc>
        <w:tc>
          <w:tcPr>
            <w:tcW w:w="584" w:type="pct"/>
            <w:tcBorders>
              <w:top w:val="nil"/>
              <w:left w:val="nil"/>
              <w:bottom w:val="nil"/>
              <w:right w:val="nil"/>
            </w:tcBorders>
            <w:shd w:val="clear" w:color="auto" w:fill="auto"/>
            <w:vAlign w:val="center"/>
            <w:hideMark/>
          </w:tcPr>
          <w:p w14:paraId="78F7A5F8"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10 710</w:t>
            </w:r>
          </w:p>
        </w:tc>
        <w:tc>
          <w:tcPr>
            <w:tcW w:w="434" w:type="pct"/>
            <w:tcBorders>
              <w:top w:val="nil"/>
              <w:left w:val="nil"/>
              <w:bottom w:val="nil"/>
              <w:right w:val="nil"/>
            </w:tcBorders>
            <w:shd w:val="clear" w:color="auto" w:fill="auto"/>
            <w:vAlign w:val="center"/>
            <w:hideMark/>
          </w:tcPr>
          <w:p w14:paraId="4FA72257"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25</w:t>
            </w:r>
          </w:p>
        </w:tc>
      </w:tr>
      <w:tr w:rsidR="004C6700" w:rsidRPr="00C30A64" w14:paraId="73C31D36" w14:textId="77777777" w:rsidTr="00C80201">
        <w:trPr>
          <w:trHeight w:val="290"/>
        </w:trPr>
        <w:tc>
          <w:tcPr>
            <w:tcW w:w="2222" w:type="pct"/>
            <w:tcBorders>
              <w:top w:val="nil"/>
              <w:left w:val="nil"/>
              <w:bottom w:val="nil"/>
              <w:right w:val="nil"/>
            </w:tcBorders>
            <w:shd w:val="clear" w:color="auto" w:fill="auto"/>
            <w:vAlign w:val="center"/>
            <w:hideMark/>
          </w:tcPr>
          <w:p w14:paraId="16C1D924"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riadne dividendy a odvody zo zisku</w:t>
            </w:r>
          </w:p>
        </w:tc>
        <w:tc>
          <w:tcPr>
            <w:tcW w:w="559" w:type="pct"/>
            <w:tcBorders>
              <w:top w:val="nil"/>
              <w:left w:val="nil"/>
              <w:bottom w:val="nil"/>
              <w:right w:val="nil"/>
            </w:tcBorders>
            <w:shd w:val="clear" w:color="auto" w:fill="auto"/>
            <w:vAlign w:val="center"/>
            <w:hideMark/>
          </w:tcPr>
          <w:p w14:paraId="25B4010A"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25 220</w:t>
            </w:r>
          </w:p>
        </w:tc>
        <w:tc>
          <w:tcPr>
            <w:tcW w:w="607" w:type="pct"/>
            <w:tcBorders>
              <w:top w:val="nil"/>
              <w:left w:val="nil"/>
              <w:bottom w:val="nil"/>
              <w:right w:val="nil"/>
            </w:tcBorders>
            <w:shd w:val="clear" w:color="auto" w:fill="auto"/>
            <w:vAlign w:val="center"/>
            <w:hideMark/>
          </w:tcPr>
          <w:p w14:paraId="059890A3"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23 231</w:t>
            </w:r>
          </w:p>
        </w:tc>
        <w:tc>
          <w:tcPr>
            <w:tcW w:w="594" w:type="pct"/>
            <w:tcBorders>
              <w:top w:val="nil"/>
              <w:left w:val="nil"/>
              <w:bottom w:val="nil"/>
              <w:right w:val="nil"/>
            </w:tcBorders>
            <w:shd w:val="clear" w:color="auto" w:fill="auto"/>
            <w:vAlign w:val="center"/>
            <w:hideMark/>
          </w:tcPr>
          <w:p w14:paraId="48F172F0"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8 002</w:t>
            </w:r>
          </w:p>
        </w:tc>
        <w:tc>
          <w:tcPr>
            <w:tcW w:w="584" w:type="pct"/>
            <w:tcBorders>
              <w:top w:val="nil"/>
              <w:left w:val="nil"/>
              <w:bottom w:val="nil"/>
              <w:right w:val="nil"/>
            </w:tcBorders>
            <w:shd w:val="clear" w:color="auto" w:fill="auto"/>
            <w:vAlign w:val="center"/>
            <w:hideMark/>
          </w:tcPr>
          <w:p w14:paraId="71D34417"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9 666</w:t>
            </w:r>
          </w:p>
        </w:tc>
        <w:tc>
          <w:tcPr>
            <w:tcW w:w="434" w:type="pct"/>
            <w:tcBorders>
              <w:top w:val="nil"/>
              <w:left w:val="nil"/>
              <w:bottom w:val="nil"/>
              <w:right w:val="nil"/>
            </w:tcBorders>
            <w:shd w:val="clear" w:color="auto" w:fill="auto"/>
            <w:vAlign w:val="center"/>
            <w:hideMark/>
          </w:tcPr>
          <w:p w14:paraId="50E81D91"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1 664</w:t>
            </w:r>
          </w:p>
        </w:tc>
      </w:tr>
      <w:tr w:rsidR="004C6700" w:rsidRPr="00C30A64" w14:paraId="47E1913F" w14:textId="77777777" w:rsidTr="00C80201">
        <w:trPr>
          <w:trHeight w:val="290"/>
        </w:trPr>
        <w:tc>
          <w:tcPr>
            <w:tcW w:w="2222" w:type="pct"/>
            <w:tcBorders>
              <w:top w:val="nil"/>
              <w:left w:val="nil"/>
              <w:bottom w:val="nil"/>
              <w:right w:val="nil"/>
            </w:tcBorders>
            <w:shd w:val="clear" w:color="auto" w:fill="auto"/>
            <w:vAlign w:val="center"/>
            <w:hideMark/>
          </w:tcPr>
          <w:p w14:paraId="1F44A325"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w:t>
            </w:r>
            <w:proofErr w:type="spellStart"/>
            <w:r w:rsidRPr="00C30A64">
              <w:rPr>
                <w:rFonts w:eastAsia="Times New Roman" w:cs="Times New Roman"/>
                <w:i/>
                <w:iCs/>
                <w:color w:val="000000"/>
                <w:sz w:val="18"/>
                <w:szCs w:val="18"/>
                <w:lang w:eastAsia="sk-SK"/>
              </w:rPr>
              <w:t>superdividendy</w:t>
            </w:r>
            <w:proofErr w:type="spellEnd"/>
          </w:p>
        </w:tc>
        <w:tc>
          <w:tcPr>
            <w:tcW w:w="559" w:type="pct"/>
            <w:tcBorders>
              <w:top w:val="nil"/>
              <w:left w:val="nil"/>
              <w:bottom w:val="nil"/>
              <w:right w:val="nil"/>
            </w:tcBorders>
            <w:shd w:val="clear" w:color="auto" w:fill="auto"/>
            <w:vAlign w:val="center"/>
            <w:hideMark/>
          </w:tcPr>
          <w:p w14:paraId="2733861A"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8 457</w:t>
            </w:r>
          </w:p>
        </w:tc>
        <w:tc>
          <w:tcPr>
            <w:tcW w:w="607" w:type="pct"/>
            <w:tcBorders>
              <w:top w:val="nil"/>
              <w:left w:val="nil"/>
              <w:bottom w:val="nil"/>
              <w:right w:val="nil"/>
            </w:tcBorders>
            <w:shd w:val="clear" w:color="auto" w:fill="auto"/>
            <w:vAlign w:val="center"/>
            <w:hideMark/>
          </w:tcPr>
          <w:p w14:paraId="7EAC6E1B"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5 839</w:t>
            </w:r>
          </w:p>
        </w:tc>
        <w:tc>
          <w:tcPr>
            <w:tcW w:w="594" w:type="pct"/>
            <w:tcBorders>
              <w:top w:val="nil"/>
              <w:left w:val="nil"/>
              <w:bottom w:val="nil"/>
              <w:right w:val="nil"/>
            </w:tcBorders>
            <w:shd w:val="clear" w:color="auto" w:fill="auto"/>
            <w:vAlign w:val="center"/>
            <w:hideMark/>
          </w:tcPr>
          <w:p w14:paraId="3808F9C5"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2 683</w:t>
            </w:r>
          </w:p>
        </w:tc>
        <w:tc>
          <w:tcPr>
            <w:tcW w:w="584" w:type="pct"/>
            <w:tcBorders>
              <w:top w:val="nil"/>
              <w:left w:val="nil"/>
              <w:bottom w:val="nil"/>
              <w:right w:val="nil"/>
            </w:tcBorders>
            <w:shd w:val="clear" w:color="auto" w:fill="auto"/>
            <w:vAlign w:val="center"/>
            <w:hideMark/>
          </w:tcPr>
          <w:p w14:paraId="4B62CD10"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1 044</w:t>
            </w:r>
          </w:p>
        </w:tc>
        <w:tc>
          <w:tcPr>
            <w:tcW w:w="434" w:type="pct"/>
            <w:tcBorders>
              <w:top w:val="nil"/>
              <w:left w:val="nil"/>
              <w:bottom w:val="nil"/>
              <w:right w:val="nil"/>
            </w:tcBorders>
            <w:shd w:val="clear" w:color="auto" w:fill="auto"/>
            <w:vAlign w:val="center"/>
            <w:hideMark/>
          </w:tcPr>
          <w:p w14:paraId="2861B821"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-1 639</w:t>
            </w:r>
          </w:p>
        </w:tc>
      </w:tr>
      <w:tr w:rsidR="004C6700" w:rsidRPr="00C30A64" w14:paraId="07D7449D" w14:textId="77777777" w:rsidTr="00C80201">
        <w:trPr>
          <w:trHeight w:val="290"/>
        </w:trPr>
        <w:tc>
          <w:tcPr>
            <w:tcW w:w="2222" w:type="pct"/>
            <w:tcBorders>
              <w:top w:val="nil"/>
              <w:left w:val="nil"/>
              <w:bottom w:val="nil"/>
              <w:right w:val="nil"/>
            </w:tcBorders>
            <w:shd w:val="clear" w:color="auto" w:fill="auto"/>
            <w:vAlign w:val="center"/>
            <w:hideMark/>
          </w:tcPr>
          <w:p w14:paraId="338DEDC3" w14:textId="77777777" w:rsidR="004C6700" w:rsidRPr="00C30A64" w:rsidRDefault="004C6700" w:rsidP="00836EB5">
            <w:pPr>
              <w:spacing w:after="0" w:line="240" w:lineRule="auto"/>
              <w:jc w:val="lef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Ministerstvo dopravy a výstavby SR</w:t>
            </w:r>
          </w:p>
        </w:tc>
        <w:tc>
          <w:tcPr>
            <w:tcW w:w="559" w:type="pct"/>
            <w:tcBorders>
              <w:top w:val="nil"/>
              <w:left w:val="nil"/>
              <w:bottom w:val="nil"/>
              <w:right w:val="nil"/>
            </w:tcBorders>
            <w:shd w:val="clear" w:color="auto" w:fill="auto"/>
            <w:vAlign w:val="center"/>
            <w:hideMark/>
          </w:tcPr>
          <w:p w14:paraId="66E71D71"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0</w:t>
            </w:r>
          </w:p>
        </w:tc>
        <w:tc>
          <w:tcPr>
            <w:tcW w:w="607" w:type="pct"/>
            <w:tcBorders>
              <w:top w:val="nil"/>
              <w:left w:val="nil"/>
              <w:bottom w:val="nil"/>
              <w:right w:val="nil"/>
            </w:tcBorders>
            <w:shd w:val="clear" w:color="auto" w:fill="auto"/>
            <w:vAlign w:val="center"/>
            <w:hideMark/>
          </w:tcPr>
          <w:p w14:paraId="4B615C74"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15</w:t>
            </w:r>
          </w:p>
        </w:tc>
        <w:tc>
          <w:tcPr>
            <w:tcW w:w="594" w:type="pct"/>
            <w:tcBorders>
              <w:top w:val="nil"/>
              <w:left w:val="nil"/>
              <w:bottom w:val="nil"/>
              <w:right w:val="nil"/>
            </w:tcBorders>
            <w:shd w:val="clear" w:color="auto" w:fill="auto"/>
            <w:vAlign w:val="center"/>
            <w:hideMark/>
          </w:tcPr>
          <w:p w14:paraId="7124B743"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0</w:t>
            </w:r>
          </w:p>
        </w:tc>
        <w:tc>
          <w:tcPr>
            <w:tcW w:w="584" w:type="pct"/>
            <w:tcBorders>
              <w:top w:val="nil"/>
              <w:left w:val="nil"/>
              <w:bottom w:val="nil"/>
              <w:right w:val="nil"/>
            </w:tcBorders>
            <w:shd w:val="clear" w:color="auto" w:fill="auto"/>
            <w:vAlign w:val="center"/>
            <w:hideMark/>
          </w:tcPr>
          <w:p w14:paraId="28977F7A"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403</w:t>
            </w:r>
          </w:p>
        </w:tc>
        <w:tc>
          <w:tcPr>
            <w:tcW w:w="434" w:type="pct"/>
            <w:tcBorders>
              <w:top w:val="nil"/>
              <w:left w:val="nil"/>
              <w:bottom w:val="nil"/>
              <w:right w:val="nil"/>
            </w:tcBorders>
            <w:shd w:val="clear" w:color="auto" w:fill="auto"/>
            <w:vAlign w:val="center"/>
            <w:hideMark/>
          </w:tcPr>
          <w:p w14:paraId="570221CB"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403</w:t>
            </w:r>
          </w:p>
        </w:tc>
      </w:tr>
      <w:tr w:rsidR="004C6700" w:rsidRPr="00C30A64" w14:paraId="0458FE6B" w14:textId="77777777" w:rsidTr="00C80201">
        <w:trPr>
          <w:trHeight w:val="290"/>
        </w:trPr>
        <w:tc>
          <w:tcPr>
            <w:tcW w:w="2222" w:type="pct"/>
            <w:tcBorders>
              <w:top w:val="nil"/>
              <w:left w:val="nil"/>
              <w:bottom w:val="nil"/>
              <w:right w:val="nil"/>
            </w:tcBorders>
            <w:shd w:val="clear" w:color="auto" w:fill="auto"/>
            <w:vAlign w:val="center"/>
            <w:hideMark/>
          </w:tcPr>
          <w:p w14:paraId="686FE2AC" w14:textId="77393FF5" w:rsidR="004C6700" w:rsidRPr="00C30A64" w:rsidRDefault="004C6700" w:rsidP="006243D7">
            <w:pPr>
              <w:spacing w:after="0" w:line="240" w:lineRule="auto"/>
              <w:jc w:val="left"/>
              <w:rPr>
                <w:rFonts w:eastAsia="Times New Roman" w:cs="Times New Roman"/>
                <w:color w:val="000000"/>
                <w:sz w:val="18"/>
                <w:szCs w:val="18"/>
                <w:lang w:eastAsia="sk-SK"/>
              </w:rPr>
            </w:pPr>
            <w:r w:rsidRPr="00C30A64">
              <w:rPr>
                <w:rFonts w:eastAsia="Times New Roman" w:cs="Times New Roman"/>
                <w:color w:val="000000"/>
                <w:sz w:val="18"/>
                <w:szCs w:val="18"/>
                <w:lang w:eastAsia="sk-SK"/>
              </w:rPr>
              <w:t xml:space="preserve">Letisko Košice - </w:t>
            </w:r>
            <w:proofErr w:type="spellStart"/>
            <w:r w:rsidRPr="00C30A64">
              <w:rPr>
                <w:rFonts w:eastAsia="Times New Roman" w:cs="Times New Roman"/>
                <w:color w:val="000000"/>
                <w:sz w:val="18"/>
                <w:szCs w:val="18"/>
                <w:lang w:eastAsia="sk-SK"/>
              </w:rPr>
              <w:t>Airport</w:t>
            </w:r>
            <w:proofErr w:type="spellEnd"/>
            <w:r w:rsidRPr="00C30A64">
              <w:rPr>
                <w:rFonts w:eastAsia="Times New Roman" w:cs="Times New Roman"/>
                <w:color w:val="000000"/>
                <w:sz w:val="18"/>
                <w:szCs w:val="18"/>
                <w:lang w:eastAsia="sk-SK"/>
              </w:rPr>
              <w:t xml:space="preserve"> Košice, </w:t>
            </w:r>
            <w:proofErr w:type="spellStart"/>
            <w:r w:rsidRPr="00C30A64">
              <w:rPr>
                <w:rFonts w:eastAsia="Times New Roman" w:cs="Times New Roman"/>
                <w:color w:val="000000"/>
                <w:sz w:val="18"/>
                <w:szCs w:val="18"/>
                <w:lang w:eastAsia="sk-SK"/>
              </w:rPr>
              <w:t>a.s</w:t>
            </w:r>
            <w:proofErr w:type="spellEnd"/>
            <w:r w:rsidRPr="00C30A64">
              <w:rPr>
                <w:rFonts w:eastAsia="Times New Roman" w:cs="Times New Roman"/>
                <w:color w:val="000000"/>
                <w:sz w:val="18"/>
                <w:szCs w:val="18"/>
                <w:lang w:eastAsia="sk-SK"/>
              </w:rPr>
              <w:t>.</w:t>
            </w:r>
          </w:p>
        </w:tc>
        <w:tc>
          <w:tcPr>
            <w:tcW w:w="559" w:type="pct"/>
            <w:tcBorders>
              <w:top w:val="nil"/>
              <w:left w:val="nil"/>
              <w:bottom w:val="nil"/>
              <w:right w:val="nil"/>
            </w:tcBorders>
            <w:shd w:val="clear" w:color="auto" w:fill="auto"/>
            <w:vAlign w:val="center"/>
            <w:hideMark/>
          </w:tcPr>
          <w:p w14:paraId="2757BDB2"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0</w:t>
            </w:r>
          </w:p>
        </w:tc>
        <w:tc>
          <w:tcPr>
            <w:tcW w:w="607" w:type="pct"/>
            <w:tcBorders>
              <w:top w:val="nil"/>
              <w:left w:val="nil"/>
              <w:bottom w:val="nil"/>
              <w:right w:val="nil"/>
            </w:tcBorders>
            <w:shd w:val="clear" w:color="auto" w:fill="auto"/>
            <w:vAlign w:val="center"/>
            <w:hideMark/>
          </w:tcPr>
          <w:p w14:paraId="6C152E01"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0</w:t>
            </w:r>
          </w:p>
        </w:tc>
        <w:tc>
          <w:tcPr>
            <w:tcW w:w="594" w:type="pct"/>
            <w:tcBorders>
              <w:top w:val="nil"/>
              <w:left w:val="nil"/>
              <w:bottom w:val="nil"/>
              <w:right w:val="nil"/>
            </w:tcBorders>
            <w:shd w:val="clear" w:color="auto" w:fill="auto"/>
            <w:vAlign w:val="center"/>
            <w:hideMark/>
          </w:tcPr>
          <w:p w14:paraId="0392BC20"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0</w:t>
            </w:r>
          </w:p>
        </w:tc>
        <w:tc>
          <w:tcPr>
            <w:tcW w:w="584" w:type="pct"/>
            <w:tcBorders>
              <w:top w:val="nil"/>
              <w:left w:val="nil"/>
              <w:bottom w:val="nil"/>
              <w:right w:val="nil"/>
            </w:tcBorders>
            <w:shd w:val="clear" w:color="auto" w:fill="auto"/>
            <w:vAlign w:val="center"/>
            <w:hideMark/>
          </w:tcPr>
          <w:p w14:paraId="2F47D07F"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346</w:t>
            </w:r>
          </w:p>
        </w:tc>
        <w:tc>
          <w:tcPr>
            <w:tcW w:w="434" w:type="pct"/>
            <w:tcBorders>
              <w:top w:val="nil"/>
              <w:left w:val="nil"/>
              <w:bottom w:val="nil"/>
              <w:right w:val="nil"/>
            </w:tcBorders>
            <w:shd w:val="clear" w:color="auto" w:fill="auto"/>
            <w:vAlign w:val="center"/>
            <w:hideMark/>
          </w:tcPr>
          <w:p w14:paraId="71166CCE"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346</w:t>
            </w:r>
          </w:p>
        </w:tc>
      </w:tr>
      <w:tr w:rsidR="004C6700" w:rsidRPr="00C30A64" w14:paraId="4D4B12A0" w14:textId="77777777" w:rsidTr="00C80201">
        <w:trPr>
          <w:trHeight w:val="290"/>
        </w:trPr>
        <w:tc>
          <w:tcPr>
            <w:tcW w:w="2222" w:type="pct"/>
            <w:tcBorders>
              <w:top w:val="nil"/>
              <w:left w:val="nil"/>
              <w:bottom w:val="nil"/>
              <w:right w:val="nil"/>
            </w:tcBorders>
            <w:shd w:val="clear" w:color="auto" w:fill="auto"/>
            <w:vAlign w:val="center"/>
            <w:hideMark/>
          </w:tcPr>
          <w:p w14:paraId="652511C8"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riadne dividendy a odvody zo zisku</w:t>
            </w:r>
          </w:p>
        </w:tc>
        <w:tc>
          <w:tcPr>
            <w:tcW w:w="559" w:type="pct"/>
            <w:tcBorders>
              <w:top w:val="nil"/>
              <w:left w:val="nil"/>
              <w:bottom w:val="nil"/>
              <w:right w:val="nil"/>
            </w:tcBorders>
            <w:shd w:val="clear" w:color="auto" w:fill="auto"/>
            <w:vAlign w:val="center"/>
            <w:hideMark/>
          </w:tcPr>
          <w:p w14:paraId="5A28075D"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607" w:type="pct"/>
            <w:tcBorders>
              <w:top w:val="nil"/>
              <w:left w:val="nil"/>
              <w:bottom w:val="nil"/>
              <w:right w:val="nil"/>
            </w:tcBorders>
            <w:shd w:val="clear" w:color="auto" w:fill="auto"/>
            <w:vAlign w:val="center"/>
            <w:hideMark/>
          </w:tcPr>
          <w:p w14:paraId="4CAF4F3B"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594" w:type="pct"/>
            <w:tcBorders>
              <w:top w:val="nil"/>
              <w:left w:val="nil"/>
              <w:bottom w:val="nil"/>
              <w:right w:val="nil"/>
            </w:tcBorders>
            <w:shd w:val="clear" w:color="auto" w:fill="auto"/>
            <w:vAlign w:val="center"/>
            <w:hideMark/>
          </w:tcPr>
          <w:p w14:paraId="7C7F591B"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584" w:type="pct"/>
            <w:tcBorders>
              <w:top w:val="nil"/>
              <w:left w:val="nil"/>
              <w:bottom w:val="nil"/>
              <w:right w:val="nil"/>
            </w:tcBorders>
            <w:shd w:val="clear" w:color="auto" w:fill="auto"/>
            <w:vAlign w:val="center"/>
            <w:hideMark/>
          </w:tcPr>
          <w:p w14:paraId="3C8A565F"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346</w:t>
            </w:r>
          </w:p>
        </w:tc>
        <w:tc>
          <w:tcPr>
            <w:tcW w:w="434" w:type="pct"/>
            <w:tcBorders>
              <w:top w:val="nil"/>
              <w:left w:val="nil"/>
              <w:bottom w:val="nil"/>
              <w:right w:val="nil"/>
            </w:tcBorders>
            <w:shd w:val="clear" w:color="auto" w:fill="auto"/>
            <w:vAlign w:val="center"/>
            <w:hideMark/>
          </w:tcPr>
          <w:p w14:paraId="22205434"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346</w:t>
            </w:r>
          </w:p>
        </w:tc>
      </w:tr>
      <w:tr w:rsidR="004C6700" w:rsidRPr="00C30A64" w14:paraId="376845A2" w14:textId="77777777" w:rsidTr="00C80201">
        <w:trPr>
          <w:trHeight w:val="290"/>
        </w:trPr>
        <w:tc>
          <w:tcPr>
            <w:tcW w:w="2222" w:type="pct"/>
            <w:tcBorders>
              <w:top w:val="nil"/>
              <w:left w:val="nil"/>
              <w:bottom w:val="nil"/>
              <w:right w:val="nil"/>
            </w:tcBorders>
            <w:shd w:val="clear" w:color="auto" w:fill="auto"/>
            <w:vAlign w:val="center"/>
            <w:hideMark/>
          </w:tcPr>
          <w:p w14:paraId="541665C1" w14:textId="77777777" w:rsidR="004C6700" w:rsidRPr="00C30A64" w:rsidRDefault="004C6700" w:rsidP="00836EB5">
            <w:pPr>
              <w:spacing w:after="0" w:line="240" w:lineRule="auto"/>
              <w:jc w:val="left"/>
              <w:rPr>
                <w:rFonts w:eastAsia="Times New Roman" w:cs="Times New Roman"/>
                <w:color w:val="000000"/>
                <w:sz w:val="18"/>
                <w:szCs w:val="18"/>
                <w:lang w:eastAsia="sk-SK"/>
              </w:rPr>
            </w:pPr>
            <w:r w:rsidRPr="00C30A64">
              <w:rPr>
                <w:rFonts w:eastAsia="Times New Roman" w:cs="Times New Roman"/>
                <w:color w:val="000000"/>
                <w:sz w:val="18"/>
                <w:szCs w:val="18"/>
                <w:lang w:eastAsia="sk-SK"/>
              </w:rPr>
              <w:t>365.bank, a.s.</w:t>
            </w:r>
            <w:r w:rsidRPr="00C30A64">
              <w:rPr>
                <w:rFonts w:eastAsia="Times New Roman" w:cs="Times New Roman"/>
                <w:color w:val="000000"/>
                <w:sz w:val="18"/>
                <w:szCs w:val="18"/>
                <w:vertAlign w:val="superscript"/>
                <w:lang w:eastAsia="sk-SK"/>
              </w:rPr>
              <w:t>2)</w:t>
            </w:r>
          </w:p>
        </w:tc>
        <w:tc>
          <w:tcPr>
            <w:tcW w:w="559" w:type="pct"/>
            <w:tcBorders>
              <w:top w:val="nil"/>
              <w:left w:val="nil"/>
              <w:bottom w:val="nil"/>
              <w:right w:val="nil"/>
            </w:tcBorders>
            <w:shd w:val="clear" w:color="auto" w:fill="auto"/>
            <w:vAlign w:val="center"/>
            <w:hideMark/>
          </w:tcPr>
          <w:p w14:paraId="7A4A90F3"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w:t>
            </w:r>
          </w:p>
        </w:tc>
        <w:tc>
          <w:tcPr>
            <w:tcW w:w="607" w:type="pct"/>
            <w:tcBorders>
              <w:top w:val="nil"/>
              <w:left w:val="nil"/>
              <w:bottom w:val="nil"/>
              <w:right w:val="nil"/>
            </w:tcBorders>
            <w:shd w:val="clear" w:color="auto" w:fill="auto"/>
            <w:vAlign w:val="center"/>
            <w:hideMark/>
          </w:tcPr>
          <w:p w14:paraId="19A7B370"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15</w:t>
            </w:r>
          </w:p>
        </w:tc>
        <w:tc>
          <w:tcPr>
            <w:tcW w:w="594" w:type="pct"/>
            <w:tcBorders>
              <w:top w:val="nil"/>
              <w:left w:val="nil"/>
              <w:bottom w:val="nil"/>
              <w:right w:val="nil"/>
            </w:tcBorders>
            <w:shd w:val="clear" w:color="auto" w:fill="auto"/>
            <w:vAlign w:val="center"/>
            <w:hideMark/>
          </w:tcPr>
          <w:p w14:paraId="519B9E96"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0</w:t>
            </w:r>
          </w:p>
        </w:tc>
        <w:tc>
          <w:tcPr>
            <w:tcW w:w="584" w:type="pct"/>
            <w:tcBorders>
              <w:top w:val="nil"/>
              <w:left w:val="nil"/>
              <w:bottom w:val="nil"/>
              <w:right w:val="nil"/>
            </w:tcBorders>
            <w:shd w:val="clear" w:color="auto" w:fill="auto"/>
            <w:vAlign w:val="center"/>
            <w:hideMark/>
          </w:tcPr>
          <w:p w14:paraId="5A1FC498"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57</w:t>
            </w:r>
          </w:p>
        </w:tc>
        <w:tc>
          <w:tcPr>
            <w:tcW w:w="434" w:type="pct"/>
            <w:tcBorders>
              <w:top w:val="nil"/>
              <w:left w:val="nil"/>
              <w:bottom w:val="nil"/>
              <w:right w:val="nil"/>
            </w:tcBorders>
            <w:shd w:val="clear" w:color="auto" w:fill="auto"/>
            <w:vAlign w:val="center"/>
            <w:hideMark/>
          </w:tcPr>
          <w:p w14:paraId="0FC5EED6"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57</w:t>
            </w:r>
          </w:p>
        </w:tc>
      </w:tr>
      <w:tr w:rsidR="004C6700" w:rsidRPr="00C30A64" w14:paraId="68928596" w14:textId="77777777" w:rsidTr="00C80201">
        <w:trPr>
          <w:trHeight w:val="290"/>
        </w:trPr>
        <w:tc>
          <w:tcPr>
            <w:tcW w:w="2222" w:type="pct"/>
            <w:tcBorders>
              <w:top w:val="nil"/>
              <w:left w:val="nil"/>
              <w:bottom w:val="nil"/>
              <w:right w:val="nil"/>
            </w:tcBorders>
            <w:shd w:val="clear" w:color="auto" w:fill="auto"/>
            <w:vAlign w:val="center"/>
            <w:hideMark/>
          </w:tcPr>
          <w:p w14:paraId="3644330A"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lastRenderedPageBreak/>
              <w:t xml:space="preserve">     riadne dividendy a odvody zo zisku</w:t>
            </w:r>
          </w:p>
        </w:tc>
        <w:tc>
          <w:tcPr>
            <w:tcW w:w="559" w:type="pct"/>
            <w:tcBorders>
              <w:top w:val="nil"/>
              <w:left w:val="nil"/>
              <w:bottom w:val="nil"/>
              <w:right w:val="nil"/>
            </w:tcBorders>
            <w:shd w:val="clear" w:color="auto" w:fill="auto"/>
            <w:vAlign w:val="center"/>
            <w:hideMark/>
          </w:tcPr>
          <w:p w14:paraId="7166E2A4"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607" w:type="pct"/>
            <w:tcBorders>
              <w:top w:val="nil"/>
              <w:left w:val="nil"/>
              <w:bottom w:val="nil"/>
              <w:right w:val="nil"/>
            </w:tcBorders>
            <w:shd w:val="clear" w:color="auto" w:fill="auto"/>
            <w:vAlign w:val="center"/>
            <w:hideMark/>
          </w:tcPr>
          <w:p w14:paraId="1311AFE2"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15</w:t>
            </w:r>
          </w:p>
        </w:tc>
        <w:tc>
          <w:tcPr>
            <w:tcW w:w="594" w:type="pct"/>
            <w:tcBorders>
              <w:top w:val="nil"/>
              <w:left w:val="nil"/>
              <w:bottom w:val="nil"/>
              <w:right w:val="nil"/>
            </w:tcBorders>
            <w:shd w:val="clear" w:color="auto" w:fill="auto"/>
            <w:vAlign w:val="center"/>
            <w:hideMark/>
          </w:tcPr>
          <w:p w14:paraId="28951FC9"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584" w:type="pct"/>
            <w:tcBorders>
              <w:top w:val="nil"/>
              <w:left w:val="nil"/>
              <w:bottom w:val="nil"/>
              <w:right w:val="nil"/>
            </w:tcBorders>
            <w:shd w:val="clear" w:color="auto" w:fill="auto"/>
            <w:vAlign w:val="center"/>
            <w:hideMark/>
          </w:tcPr>
          <w:p w14:paraId="7BF11BB6"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20</w:t>
            </w:r>
          </w:p>
        </w:tc>
        <w:tc>
          <w:tcPr>
            <w:tcW w:w="434" w:type="pct"/>
            <w:tcBorders>
              <w:top w:val="nil"/>
              <w:left w:val="nil"/>
              <w:bottom w:val="nil"/>
              <w:right w:val="nil"/>
            </w:tcBorders>
            <w:shd w:val="clear" w:color="auto" w:fill="auto"/>
            <w:vAlign w:val="center"/>
            <w:hideMark/>
          </w:tcPr>
          <w:p w14:paraId="6BC11012"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20</w:t>
            </w:r>
          </w:p>
        </w:tc>
      </w:tr>
      <w:tr w:rsidR="004C6700" w:rsidRPr="00C30A64" w14:paraId="6D45A7E0" w14:textId="77777777" w:rsidTr="00C80201">
        <w:trPr>
          <w:trHeight w:val="290"/>
        </w:trPr>
        <w:tc>
          <w:tcPr>
            <w:tcW w:w="2222" w:type="pct"/>
            <w:tcBorders>
              <w:top w:val="nil"/>
              <w:left w:val="nil"/>
              <w:bottom w:val="nil"/>
              <w:right w:val="nil"/>
            </w:tcBorders>
            <w:shd w:val="clear" w:color="auto" w:fill="auto"/>
            <w:vAlign w:val="center"/>
            <w:hideMark/>
          </w:tcPr>
          <w:p w14:paraId="581BBFDB"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w:t>
            </w:r>
            <w:proofErr w:type="spellStart"/>
            <w:r w:rsidRPr="00C30A64">
              <w:rPr>
                <w:rFonts w:eastAsia="Times New Roman" w:cs="Times New Roman"/>
                <w:i/>
                <w:iCs/>
                <w:color w:val="000000"/>
                <w:sz w:val="18"/>
                <w:szCs w:val="18"/>
                <w:lang w:eastAsia="sk-SK"/>
              </w:rPr>
              <w:t>superdividendy</w:t>
            </w:r>
            <w:proofErr w:type="spellEnd"/>
          </w:p>
        </w:tc>
        <w:tc>
          <w:tcPr>
            <w:tcW w:w="559" w:type="pct"/>
            <w:tcBorders>
              <w:top w:val="nil"/>
              <w:left w:val="nil"/>
              <w:bottom w:val="nil"/>
              <w:right w:val="nil"/>
            </w:tcBorders>
            <w:shd w:val="clear" w:color="auto" w:fill="auto"/>
            <w:vAlign w:val="center"/>
            <w:hideMark/>
          </w:tcPr>
          <w:p w14:paraId="3B9C11C5"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607" w:type="pct"/>
            <w:tcBorders>
              <w:top w:val="nil"/>
              <w:left w:val="nil"/>
              <w:bottom w:val="nil"/>
              <w:right w:val="nil"/>
            </w:tcBorders>
            <w:shd w:val="clear" w:color="auto" w:fill="auto"/>
            <w:vAlign w:val="center"/>
            <w:hideMark/>
          </w:tcPr>
          <w:p w14:paraId="6D628AE8"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594" w:type="pct"/>
            <w:tcBorders>
              <w:top w:val="nil"/>
              <w:left w:val="nil"/>
              <w:bottom w:val="nil"/>
              <w:right w:val="nil"/>
            </w:tcBorders>
            <w:shd w:val="clear" w:color="auto" w:fill="auto"/>
            <w:vAlign w:val="center"/>
            <w:hideMark/>
          </w:tcPr>
          <w:p w14:paraId="7877C609"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584" w:type="pct"/>
            <w:tcBorders>
              <w:top w:val="nil"/>
              <w:left w:val="nil"/>
              <w:bottom w:val="nil"/>
              <w:right w:val="nil"/>
            </w:tcBorders>
            <w:shd w:val="clear" w:color="auto" w:fill="auto"/>
            <w:vAlign w:val="center"/>
            <w:hideMark/>
          </w:tcPr>
          <w:p w14:paraId="25F54CDE"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37</w:t>
            </w:r>
          </w:p>
        </w:tc>
        <w:tc>
          <w:tcPr>
            <w:tcW w:w="434" w:type="pct"/>
            <w:tcBorders>
              <w:top w:val="nil"/>
              <w:left w:val="nil"/>
              <w:bottom w:val="nil"/>
              <w:right w:val="nil"/>
            </w:tcBorders>
            <w:shd w:val="clear" w:color="auto" w:fill="auto"/>
            <w:vAlign w:val="center"/>
            <w:hideMark/>
          </w:tcPr>
          <w:p w14:paraId="4E92B564"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37</w:t>
            </w:r>
          </w:p>
        </w:tc>
      </w:tr>
      <w:tr w:rsidR="004C6700" w:rsidRPr="00C30A64" w14:paraId="6DD9BDB0" w14:textId="77777777" w:rsidTr="00C80201">
        <w:trPr>
          <w:trHeight w:val="290"/>
        </w:trPr>
        <w:tc>
          <w:tcPr>
            <w:tcW w:w="2222" w:type="pct"/>
            <w:tcBorders>
              <w:top w:val="nil"/>
              <w:left w:val="nil"/>
              <w:bottom w:val="nil"/>
              <w:right w:val="nil"/>
            </w:tcBorders>
            <w:shd w:val="clear" w:color="auto" w:fill="auto"/>
            <w:vAlign w:val="center"/>
            <w:hideMark/>
          </w:tcPr>
          <w:p w14:paraId="24462175" w14:textId="77777777" w:rsidR="004C6700" w:rsidRPr="00C30A64" w:rsidRDefault="004C6700" w:rsidP="00836EB5">
            <w:pPr>
              <w:spacing w:after="0" w:line="240" w:lineRule="auto"/>
              <w:jc w:val="lef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Správa štátnych hmotných rezerv SR</w:t>
            </w:r>
          </w:p>
        </w:tc>
        <w:tc>
          <w:tcPr>
            <w:tcW w:w="559" w:type="pct"/>
            <w:tcBorders>
              <w:top w:val="nil"/>
              <w:left w:val="nil"/>
              <w:bottom w:val="nil"/>
              <w:right w:val="nil"/>
            </w:tcBorders>
            <w:shd w:val="clear" w:color="auto" w:fill="auto"/>
            <w:vAlign w:val="center"/>
            <w:hideMark/>
          </w:tcPr>
          <w:p w14:paraId="317E3A54"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0</w:t>
            </w:r>
          </w:p>
        </w:tc>
        <w:tc>
          <w:tcPr>
            <w:tcW w:w="607" w:type="pct"/>
            <w:tcBorders>
              <w:top w:val="nil"/>
              <w:left w:val="nil"/>
              <w:bottom w:val="nil"/>
              <w:right w:val="nil"/>
            </w:tcBorders>
            <w:shd w:val="clear" w:color="auto" w:fill="auto"/>
            <w:vAlign w:val="center"/>
            <w:hideMark/>
          </w:tcPr>
          <w:p w14:paraId="52908487" w14:textId="660C170B" w:rsidR="004C6700" w:rsidRPr="00C30A64" w:rsidRDefault="00A01D63" w:rsidP="00836EB5">
            <w:pPr>
              <w:spacing w:after="0" w:line="240" w:lineRule="auto"/>
              <w:jc w:val="right"/>
              <w:rPr>
                <w:rFonts w:eastAsia="Times New Roman" w:cs="Times New Roman"/>
                <w:b/>
                <w:bCs/>
                <w:color w:val="000000"/>
                <w:sz w:val="18"/>
                <w:szCs w:val="18"/>
                <w:lang w:eastAsia="sk-SK"/>
              </w:rPr>
            </w:pPr>
            <w:r>
              <w:rPr>
                <w:rFonts w:eastAsia="Times New Roman" w:cs="Times New Roman"/>
                <w:b/>
                <w:bCs/>
                <w:color w:val="000000"/>
                <w:sz w:val="18"/>
                <w:szCs w:val="18"/>
                <w:lang w:eastAsia="sk-SK"/>
              </w:rPr>
              <w:t>1</w:t>
            </w:r>
            <w:r w:rsidR="004C6700" w:rsidRPr="00C30A64">
              <w:rPr>
                <w:rFonts w:eastAsia="Times New Roman" w:cs="Times New Roman"/>
                <w:b/>
                <w:bCs/>
                <w:color w:val="000000"/>
                <w:sz w:val="18"/>
                <w:szCs w:val="18"/>
                <w:lang w:eastAsia="sk-SK"/>
              </w:rPr>
              <w:t>0</w:t>
            </w:r>
            <w:r>
              <w:rPr>
                <w:rFonts w:eastAsia="Times New Roman" w:cs="Times New Roman"/>
                <w:b/>
                <w:bCs/>
                <w:color w:val="000000"/>
                <w:sz w:val="18"/>
                <w:szCs w:val="18"/>
                <w:lang w:eastAsia="sk-SK"/>
              </w:rPr>
              <w:t>8</w:t>
            </w:r>
          </w:p>
        </w:tc>
        <w:tc>
          <w:tcPr>
            <w:tcW w:w="594" w:type="pct"/>
            <w:tcBorders>
              <w:top w:val="nil"/>
              <w:left w:val="nil"/>
              <w:bottom w:val="nil"/>
              <w:right w:val="nil"/>
            </w:tcBorders>
            <w:shd w:val="clear" w:color="auto" w:fill="auto"/>
            <w:vAlign w:val="center"/>
            <w:hideMark/>
          </w:tcPr>
          <w:p w14:paraId="0D390AFC"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0</w:t>
            </w:r>
          </w:p>
        </w:tc>
        <w:tc>
          <w:tcPr>
            <w:tcW w:w="584" w:type="pct"/>
            <w:tcBorders>
              <w:top w:val="nil"/>
              <w:left w:val="nil"/>
              <w:bottom w:val="nil"/>
              <w:right w:val="nil"/>
            </w:tcBorders>
            <w:shd w:val="clear" w:color="auto" w:fill="auto"/>
            <w:vAlign w:val="center"/>
            <w:hideMark/>
          </w:tcPr>
          <w:p w14:paraId="60671427"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109</w:t>
            </w:r>
          </w:p>
        </w:tc>
        <w:tc>
          <w:tcPr>
            <w:tcW w:w="434" w:type="pct"/>
            <w:tcBorders>
              <w:top w:val="nil"/>
              <w:left w:val="nil"/>
              <w:bottom w:val="nil"/>
              <w:right w:val="nil"/>
            </w:tcBorders>
            <w:shd w:val="clear" w:color="auto" w:fill="auto"/>
            <w:vAlign w:val="center"/>
            <w:hideMark/>
          </w:tcPr>
          <w:p w14:paraId="6D7CF541"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109</w:t>
            </w:r>
          </w:p>
        </w:tc>
      </w:tr>
      <w:tr w:rsidR="004C6700" w:rsidRPr="00C30A64" w14:paraId="40F0DE81" w14:textId="77777777" w:rsidTr="00C80201">
        <w:trPr>
          <w:trHeight w:val="290"/>
        </w:trPr>
        <w:tc>
          <w:tcPr>
            <w:tcW w:w="2222" w:type="pct"/>
            <w:tcBorders>
              <w:top w:val="nil"/>
              <w:left w:val="nil"/>
              <w:bottom w:val="nil"/>
              <w:right w:val="nil"/>
            </w:tcBorders>
            <w:shd w:val="clear" w:color="auto" w:fill="auto"/>
            <w:vAlign w:val="center"/>
            <w:hideMark/>
          </w:tcPr>
          <w:p w14:paraId="554F0B89" w14:textId="77777777" w:rsidR="004C6700" w:rsidRPr="00C30A64" w:rsidRDefault="004C6700" w:rsidP="00836EB5">
            <w:pPr>
              <w:spacing w:after="0" w:line="240" w:lineRule="auto"/>
              <w:jc w:val="left"/>
              <w:rPr>
                <w:rFonts w:eastAsia="Times New Roman" w:cs="Times New Roman"/>
                <w:color w:val="000000"/>
                <w:sz w:val="18"/>
                <w:szCs w:val="18"/>
                <w:lang w:eastAsia="sk-SK"/>
              </w:rPr>
            </w:pPr>
            <w:r w:rsidRPr="00C30A64">
              <w:rPr>
                <w:rFonts w:eastAsia="Times New Roman" w:cs="Times New Roman"/>
                <w:color w:val="000000"/>
                <w:sz w:val="18"/>
                <w:szCs w:val="18"/>
                <w:lang w:eastAsia="sk-SK"/>
              </w:rPr>
              <w:t xml:space="preserve">Spoločnosť pre skladovanie, </w:t>
            </w:r>
            <w:proofErr w:type="spellStart"/>
            <w:r w:rsidRPr="00C30A64">
              <w:rPr>
                <w:rFonts w:eastAsia="Times New Roman" w:cs="Times New Roman"/>
                <w:color w:val="000000"/>
                <w:sz w:val="18"/>
                <w:szCs w:val="18"/>
                <w:lang w:eastAsia="sk-SK"/>
              </w:rPr>
              <w:t>a.s</w:t>
            </w:r>
            <w:proofErr w:type="spellEnd"/>
            <w:r w:rsidRPr="00C30A64">
              <w:rPr>
                <w:rFonts w:eastAsia="Times New Roman" w:cs="Times New Roman"/>
                <w:color w:val="000000"/>
                <w:sz w:val="18"/>
                <w:szCs w:val="18"/>
                <w:lang w:eastAsia="sk-SK"/>
              </w:rPr>
              <w:t>.</w:t>
            </w:r>
          </w:p>
        </w:tc>
        <w:tc>
          <w:tcPr>
            <w:tcW w:w="559" w:type="pct"/>
            <w:tcBorders>
              <w:top w:val="nil"/>
              <w:left w:val="nil"/>
              <w:bottom w:val="nil"/>
              <w:right w:val="nil"/>
            </w:tcBorders>
            <w:shd w:val="clear" w:color="auto" w:fill="auto"/>
            <w:vAlign w:val="center"/>
            <w:hideMark/>
          </w:tcPr>
          <w:p w14:paraId="547A77AF"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w:t>
            </w:r>
          </w:p>
        </w:tc>
        <w:tc>
          <w:tcPr>
            <w:tcW w:w="607" w:type="pct"/>
            <w:tcBorders>
              <w:top w:val="nil"/>
              <w:left w:val="nil"/>
              <w:bottom w:val="nil"/>
              <w:right w:val="nil"/>
            </w:tcBorders>
            <w:shd w:val="clear" w:color="auto" w:fill="auto"/>
            <w:vAlign w:val="center"/>
            <w:hideMark/>
          </w:tcPr>
          <w:p w14:paraId="794E6A82" w14:textId="390629B7" w:rsidR="004C6700" w:rsidRPr="00C30A64" w:rsidRDefault="00A01D63" w:rsidP="00836EB5">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108</w:t>
            </w:r>
          </w:p>
        </w:tc>
        <w:tc>
          <w:tcPr>
            <w:tcW w:w="594" w:type="pct"/>
            <w:tcBorders>
              <w:top w:val="nil"/>
              <w:left w:val="nil"/>
              <w:bottom w:val="nil"/>
              <w:right w:val="nil"/>
            </w:tcBorders>
            <w:shd w:val="clear" w:color="auto" w:fill="auto"/>
            <w:vAlign w:val="center"/>
            <w:hideMark/>
          </w:tcPr>
          <w:p w14:paraId="5058F9AF"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584" w:type="pct"/>
            <w:tcBorders>
              <w:top w:val="nil"/>
              <w:left w:val="nil"/>
              <w:bottom w:val="nil"/>
              <w:right w:val="nil"/>
            </w:tcBorders>
            <w:shd w:val="clear" w:color="auto" w:fill="auto"/>
            <w:vAlign w:val="center"/>
            <w:hideMark/>
          </w:tcPr>
          <w:p w14:paraId="006F7D2E"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109</w:t>
            </w:r>
          </w:p>
        </w:tc>
        <w:tc>
          <w:tcPr>
            <w:tcW w:w="434" w:type="pct"/>
            <w:tcBorders>
              <w:top w:val="nil"/>
              <w:left w:val="nil"/>
              <w:bottom w:val="nil"/>
              <w:right w:val="nil"/>
            </w:tcBorders>
            <w:shd w:val="clear" w:color="auto" w:fill="auto"/>
            <w:vAlign w:val="center"/>
            <w:hideMark/>
          </w:tcPr>
          <w:p w14:paraId="5021EF94"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109</w:t>
            </w:r>
          </w:p>
        </w:tc>
      </w:tr>
      <w:tr w:rsidR="004C6700" w:rsidRPr="00C30A64" w14:paraId="7D7F977D" w14:textId="77777777" w:rsidTr="00C80201">
        <w:trPr>
          <w:trHeight w:val="460"/>
        </w:trPr>
        <w:tc>
          <w:tcPr>
            <w:tcW w:w="2222" w:type="pct"/>
            <w:tcBorders>
              <w:top w:val="nil"/>
              <w:left w:val="nil"/>
              <w:bottom w:val="nil"/>
              <w:right w:val="nil"/>
            </w:tcBorders>
            <w:shd w:val="clear" w:color="auto" w:fill="auto"/>
            <w:vAlign w:val="center"/>
            <w:hideMark/>
          </w:tcPr>
          <w:p w14:paraId="7394C2B7" w14:textId="77777777" w:rsidR="004C6700" w:rsidRPr="00C30A64" w:rsidRDefault="004C6700" w:rsidP="00836EB5">
            <w:pPr>
              <w:spacing w:after="0" w:line="240" w:lineRule="auto"/>
              <w:jc w:val="lef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Ministerstvo pôdohospodárstva a rozvoja vidieka SR</w:t>
            </w:r>
          </w:p>
        </w:tc>
        <w:tc>
          <w:tcPr>
            <w:tcW w:w="559" w:type="pct"/>
            <w:tcBorders>
              <w:top w:val="nil"/>
              <w:left w:val="nil"/>
              <w:bottom w:val="nil"/>
              <w:right w:val="nil"/>
            </w:tcBorders>
            <w:shd w:val="clear" w:color="auto" w:fill="auto"/>
            <w:vAlign w:val="center"/>
            <w:hideMark/>
          </w:tcPr>
          <w:p w14:paraId="2CFEEE1A"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5 000</w:t>
            </w:r>
          </w:p>
        </w:tc>
        <w:tc>
          <w:tcPr>
            <w:tcW w:w="607" w:type="pct"/>
            <w:tcBorders>
              <w:top w:val="nil"/>
              <w:left w:val="nil"/>
              <w:bottom w:val="nil"/>
              <w:right w:val="nil"/>
            </w:tcBorders>
            <w:shd w:val="clear" w:color="auto" w:fill="auto"/>
            <w:vAlign w:val="center"/>
            <w:hideMark/>
          </w:tcPr>
          <w:p w14:paraId="4B012C98"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5 000</w:t>
            </w:r>
          </w:p>
        </w:tc>
        <w:tc>
          <w:tcPr>
            <w:tcW w:w="594" w:type="pct"/>
            <w:tcBorders>
              <w:top w:val="nil"/>
              <w:left w:val="nil"/>
              <w:bottom w:val="nil"/>
              <w:right w:val="nil"/>
            </w:tcBorders>
            <w:shd w:val="clear" w:color="auto" w:fill="auto"/>
            <w:vAlign w:val="center"/>
            <w:hideMark/>
          </w:tcPr>
          <w:p w14:paraId="07189232"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1 500</w:t>
            </w:r>
          </w:p>
        </w:tc>
        <w:tc>
          <w:tcPr>
            <w:tcW w:w="584" w:type="pct"/>
            <w:tcBorders>
              <w:top w:val="nil"/>
              <w:left w:val="nil"/>
              <w:bottom w:val="nil"/>
              <w:right w:val="nil"/>
            </w:tcBorders>
            <w:shd w:val="clear" w:color="auto" w:fill="auto"/>
            <w:vAlign w:val="center"/>
            <w:hideMark/>
          </w:tcPr>
          <w:p w14:paraId="54AD4CDF"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0</w:t>
            </w:r>
          </w:p>
        </w:tc>
        <w:tc>
          <w:tcPr>
            <w:tcW w:w="434" w:type="pct"/>
            <w:tcBorders>
              <w:top w:val="nil"/>
              <w:left w:val="nil"/>
              <w:bottom w:val="nil"/>
              <w:right w:val="nil"/>
            </w:tcBorders>
            <w:shd w:val="clear" w:color="auto" w:fill="auto"/>
            <w:vAlign w:val="center"/>
            <w:hideMark/>
          </w:tcPr>
          <w:p w14:paraId="176AF682"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-1 500</w:t>
            </w:r>
          </w:p>
        </w:tc>
      </w:tr>
      <w:tr w:rsidR="004C6700" w:rsidRPr="00C30A64" w14:paraId="79700EE8" w14:textId="77777777" w:rsidTr="00C80201">
        <w:trPr>
          <w:trHeight w:val="290"/>
        </w:trPr>
        <w:tc>
          <w:tcPr>
            <w:tcW w:w="2222" w:type="pct"/>
            <w:tcBorders>
              <w:top w:val="nil"/>
              <w:left w:val="nil"/>
              <w:bottom w:val="nil"/>
              <w:right w:val="nil"/>
            </w:tcBorders>
            <w:shd w:val="clear" w:color="auto" w:fill="auto"/>
            <w:vAlign w:val="center"/>
            <w:hideMark/>
          </w:tcPr>
          <w:p w14:paraId="22E39471" w14:textId="77777777" w:rsidR="004C6700" w:rsidRPr="00C30A64" w:rsidRDefault="004C6700" w:rsidP="00836EB5">
            <w:pPr>
              <w:spacing w:after="0" w:line="240" w:lineRule="auto"/>
              <w:jc w:val="left"/>
              <w:rPr>
                <w:rFonts w:eastAsia="Times New Roman" w:cs="Times New Roman"/>
                <w:color w:val="000000"/>
                <w:sz w:val="18"/>
                <w:szCs w:val="18"/>
                <w:lang w:eastAsia="sk-SK"/>
              </w:rPr>
            </w:pPr>
            <w:r w:rsidRPr="00C30A64">
              <w:rPr>
                <w:rFonts w:eastAsia="Times New Roman" w:cs="Times New Roman"/>
                <w:color w:val="000000"/>
                <w:sz w:val="18"/>
                <w:szCs w:val="18"/>
                <w:lang w:eastAsia="sk-SK"/>
              </w:rPr>
              <w:t>Slovenský pozemkový fond</w:t>
            </w:r>
          </w:p>
        </w:tc>
        <w:tc>
          <w:tcPr>
            <w:tcW w:w="559" w:type="pct"/>
            <w:tcBorders>
              <w:top w:val="nil"/>
              <w:left w:val="nil"/>
              <w:bottom w:val="nil"/>
              <w:right w:val="nil"/>
            </w:tcBorders>
            <w:shd w:val="clear" w:color="auto" w:fill="auto"/>
            <w:vAlign w:val="center"/>
            <w:hideMark/>
          </w:tcPr>
          <w:p w14:paraId="0FC27A9C"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5 000</w:t>
            </w:r>
          </w:p>
        </w:tc>
        <w:tc>
          <w:tcPr>
            <w:tcW w:w="607" w:type="pct"/>
            <w:tcBorders>
              <w:top w:val="nil"/>
              <w:left w:val="nil"/>
              <w:bottom w:val="nil"/>
              <w:right w:val="nil"/>
            </w:tcBorders>
            <w:shd w:val="clear" w:color="auto" w:fill="auto"/>
            <w:vAlign w:val="center"/>
            <w:hideMark/>
          </w:tcPr>
          <w:p w14:paraId="32E6780E"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5 000</w:t>
            </w:r>
          </w:p>
        </w:tc>
        <w:tc>
          <w:tcPr>
            <w:tcW w:w="594" w:type="pct"/>
            <w:tcBorders>
              <w:top w:val="nil"/>
              <w:left w:val="nil"/>
              <w:bottom w:val="nil"/>
              <w:right w:val="nil"/>
            </w:tcBorders>
            <w:shd w:val="clear" w:color="auto" w:fill="auto"/>
            <w:vAlign w:val="center"/>
            <w:hideMark/>
          </w:tcPr>
          <w:p w14:paraId="4E989291"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1 500</w:t>
            </w:r>
          </w:p>
        </w:tc>
        <w:tc>
          <w:tcPr>
            <w:tcW w:w="584" w:type="pct"/>
            <w:tcBorders>
              <w:top w:val="nil"/>
              <w:left w:val="nil"/>
              <w:bottom w:val="nil"/>
              <w:right w:val="nil"/>
            </w:tcBorders>
            <w:shd w:val="clear" w:color="auto" w:fill="auto"/>
            <w:vAlign w:val="center"/>
            <w:hideMark/>
          </w:tcPr>
          <w:p w14:paraId="4E3BAA94"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0</w:t>
            </w:r>
          </w:p>
        </w:tc>
        <w:tc>
          <w:tcPr>
            <w:tcW w:w="434" w:type="pct"/>
            <w:tcBorders>
              <w:top w:val="nil"/>
              <w:left w:val="nil"/>
              <w:bottom w:val="nil"/>
              <w:right w:val="nil"/>
            </w:tcBorders>
            <w:shd w:val="clear" w:color="auto" w:fill="auto"/>
            <w:vAlign w:val="center"/>
            <w:hideMark/>
          </w:tcPr>
          <w:p w14:paraId="620BCACD"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-1 500</w:t>
            </w:r>
          </w:p>
        </w:tc>
      </w:tr>
      <w:tr w:rsidR="004C6700" w:rsidRPr="00C30A64" w14:paraId="33A6F694" w14:textId="77777777" w:rsidTr="00C80201">
        <w:trPr>
          <w:trHeight w:val="290"/>
        </w:trPr>
        <w:tc>
          <w:tcPr>
            <w:tcW w:w="2222" w:type="pct"/>
            <w:tcBorders>
              <w:top w:val="nil"/>
              <w:left w:val="nil"/>
              <w:bottom w:val="nil"/>
              <w:right w:val="nil"/>
            </w:tcBorders>
            <w:shd w:val="clear" w:color="auto" w:fill="auto"/>
            <w:vAlign w:val="center"/>
            <w:hideMark/>
          </w:tcPr>
          <w:p w14:paraId="5AF8E4D3" w14:textId="77777777" w:rsidR="004C6700" w:rsidRPr="00C30A64" w:rsidRDefault="004C6700" w:rsidP="00836EB5">
            <w:pPr>
              <w:spacing w:after="0" w:line="240" w:lineRule="auto"/>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 xml:space="preserve">     riadne dividendy a odvody zo zisku</w:t>
            </w:r>
          </w:p>
        </w:tc>
        <w:tc>
          <w:tcPr>
            <w:tcW w:w="559" w:type="pct"/>
            <w:tcBorders>
              <w:top w:val="nil"/>
              <w:left w:val="nil"/>
              <w:bottom w:val="nil"/>
              <w:right w:val="nil"/>
            </w:tcBorders>
            <w:shd w:val="clear" w:color="auto" w:fill="auto"/>
            <w:vAlign w:val="center"/>
            <w:hideMark/>
          </w:tcPr>
          <w:p w14:paraId="196F46F3"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5 000</w:t>
            </w:r>
          </w:p>
        </w:tc>
        <w:tc>
          <w:tcPr>
            <w:tcW w:w="607" w:type="pct"/>
            <w:tcBorders>
              <w:top w:val="nil"/>
              <w:left w:val="nil"/>
              <w:bottom w:val="nil"/>
              <w:right w:val="nil"/>
            </w:tcBorders>
            <w:shd w:val="clear" w:color="auto" w:fill="auto"/>
            <w:vAlign w:val="center"/>
            <w:hideMark/>
          </w:tcPr>
          <w:p w14:paraId="5D019904"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5 000</w:t>
            </w:r>
          </w:p>
        </w:tc>
        <w:tc>
          <w:tcPr>
            <w:tcW w:w="594" w:type="pct"/>
            <w:tcBorders>
              <w:top w:val="nil"/>
              <w:left w:val="nil"/>
              <w:bottom w:val="nil"/>
              <w:right w:val="nil"/>
            </w:tcBorders>
            <w:shd w:val="clear" w:color="auto" w:fill="auto"/>
            <w:vAlign w:val="center"/>
            <w:hideMark/>
          </w:tcPr>
          <w:p w14:paraId="215805E6"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1 500</w:t>
            </w:r>
          </w:p>
        </w:tc>
        <w:tc>
          <w:tcPr>
            <w:tcW w:w="584" w:type="pct"/>
            <w:tcBorders>
              <w:top w:val="nil"/>
              <w:left w:val="nil"/>
              <w:bottom w:val="nil"/>
              <w:right w:val="nil"/>
            </w:tcBorders>
            <w:shd w:val="clear" w:color="auto" w:fill="auto"/>
            <w:vAlign w:val="center"/>
            <w:hideMark/>
          </w:tcPr>
          <w:p w14:paraId="48E6FB0E"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0</w:t>
            </w:r>
          </w:p>
        </w:tc>
        <w:tc>
          <w:tcPr>
            <w:tcW w:w="434" w:type="pct"/>
            <w:tcBorders>
              <w:top w:val="nil"/>
              <w:left w:val="nil"/>
              <w:bottom w:val="nil"/>
              <w:right w:val="nil"/>
            </w:tcBorders>
            <w:shd w:val="clear" w:color="auto" w:fill="auto"/>
            <w:vAlign w:val="center"/>
            <w:hideMark/>
          </w:tcPr>
          <w:p w14:paraId="603A3242" w14:textId="77777777" w:rsidR="004C6700" w:rsidRPr="00C30A64" w:rsidRDefault="004C6700" w:rsidP="00836EB5">
            <w:pPr>
              <w:spacing w:after="0" w:line="240" w:lineRule="auto"/>
              <w:jc w:val="right"/>
              <w:rPr>
                <w:rFonts w:eastAsia="Times New Roman" w:cs="Times New Roman"/>
                <w:i/>
                <w:iCs/>
                <w:color w:val="000000"/>
                <w:sz w:val="18"/>
                <w:szCs w:val="18"/>
                <w:lang w:eastAsia="sk-SK"/>
              </w:rPr>
            </w:pPr>
            <w:r w:rsidRPr="00C30A64">
              <w:rPr>
                <w:rFonts w:eastAsia="Times New Roman" w:cs="Times New Roman"/>
                <w:i/>
                <w:iCs/>
                <w:color w:val="000000"/>
                <w:sz w:val="18"/>
                <w:szCs w:val="18"/>
                <w:lang w:eastAsia="sk-SK"/>
              </w:rPr>
              <w:t>-1 500</w:t>
            </w:r>
          </w:p>
        </w:tc>
      </w:tr>
      <w:tr w:rsidR="004C6700" w:rsidRPr="00C30A64" w14:paraId="7B2BBED5" w14:textId="77777777" w:rsidTr="00C80201">
        <w:trPr>
          <w:trHeight w:val="290"/>
        </w:trPr>
        <w:tc>
          <w:tcPr>
            <w:tcW w:w="2222" w:type="pct"/>
            <w:tcBorders>
              <w:top w:val="nil"/>
              <w:left w:val="nil"/>
              <w:bottom w:val="nil"/>
              <w:right w:val="nil"/>
            </w:tcBorders>
            <w:shd w:val="clear" w:color="auto" w:fill="auto"/>
            <w:vAlign w:val="center"/>
            <w:hideMark/>
          </w:tcPr>
          <w:p w14:paraId="274E551F" w14:textId="77777777" w:rsidR="004C6700" w:rsidRPr="00C30A64" w:rsidRDefault="004C6700" w:rsidP="00836EB5">
            <w:pPr>
              <w:spacing w:after="0" w:line="240" w:lineRule="auto"/>
              <w:jc w:val="lef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Ministerstvo životného prostredia SR</w:t>
            </w:r>
          </w:p>
        </w:tc>
        <w:tc>
          <w:tcPr>
            <w:tcW w:w="559" w:type="pct"/>
            <w:tcBorders>
              <w:top w:val="nil"/>
              <w:left w:val="nil"/>
              <w:bottom w:val="nil"/>
              <w:right w:val="nil"/>
            </w:tcBorders>
            <w:shd w:val="clear" w:color="auto" w:fill="auto"/>
            <w:vAlign w:val="center"/>
            <w:hideMark/>
          </w:tcPr>
          <w:p w14:paraId="03245970"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200</w:t>
            </w:r>
          </w:p>
        </w:tc>
        <w:tc>
          <w:tcPr>
            <w:tcW w:w="607" w:type="pct"/>
            <w:tcBorders>
              <w:top w:val="nil"/>
              <w:left w:val="nil"/>
              <w:bottom w:val="nil"/>
              <w:right w:val="nil"/>
            </w:tcBorders>
            <w:shd w:val="clear" w:color="auto" w:fill="auto"/>
            <w:vAlign w:val="center"/>
            <w:hideMark/>
          </w:tcPr>
          <w:p w14:paraId="2487C2A1"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2 984</w:t>
            </w:r>
          </w:p>
        </w:tc>
        <w:tc>
          <w:tcPr>
            <w:tcW w:w="594" w:type="pct"/>
            <w:tcBorders>
              <w:top w:val="nil"/>
              <w:left w:val="nil"/>
              <w:bottom w:val="nil"/>
              <w:right w:val="nil"/>
            </w:tcBorders>
            <w:shd w:val="clear" w:color="auto" w:fill="auto"/>
            <w:vAlign w:val="center"/>
            <w:hideMark/>
          </w:tcPr>
          <w:p w14:paraId="07426306"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150 000</w:t>
            </w:r>
          </w:p>
        </w:tc>
        <w:tc>
          <w:tcPr>
            <w:tcW w:w="584" w:type="pct"/>
            <w:tcBorders>
              <w:top w:val="nil"/>
              <w:left w:val="nil"/>
              <w:bottom w:val="nil"/>
              <w:right w:val="nil"/>
            </w:tcBorders>
            <w:shd w:val="clear" w:color="auto" w:fill="auto"/>
            <w:vAlign w:val="center"/>
            <w:hideMark/>
          </w:tcPr>
          <w:p w14:paraId="18DDA111"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152 000</w:t>
            </w:r>
          </w:p>
        </w:tc>
        <w:tc>
          <w:tcPr>
            <w:tcW w:w="434" w:type="pct"/>
            <w:tcBorders>
              <w:top w:val="nil"/>
              <w:left w:val="nil"/>
              <w:bottom w:val="nil"/>
              <w:right w:val="nil"/>
            </w:tcBorders>
            <w:shd w:val="clear" w:color="auto" w:fill="auto"/>
            <w:vAlign w:val="center"/>
            <w:hideMark/>
          </w:tcPr>
          <w:p w14:paraId="0978D262" w14:textId="77777777" w:rsidR="004C6700" w:rsidRPr="00C30A64" w:rsidRDefault="004C6700" w:rsidP="00836EB5">
            <w:pPr>
              <w:spacing w:after="0" w:line="240" w:lineRule="auto"/>
              <w:jc w:val="right"/>
              <w:rPr>
                <w:rFonts w:eastAsia="Times New Roman" w:cs="Times New Roman"/>
                <w:b/>
                <w:bCs/>
                <w:color w:val="000000"/>
                <w:sz w:val="18"/>
                <w:szCs w:val="18"/>
                <w:lang w:eastAsia="sk-SK"/>
              </w:rPr>
            </w:pPr>
            <w:r w:rsidRPr="00C30A64">
              <w:rPr>
                <w:rFonts w:eastAsia="Times New Roman" w:cs="Times New Roman"/>
                <w:b/>
                <w:bCs/>
                <w:color w:val="000000"/>
                <w:sz w:val="18"/>
                <w:szCs w:val="18"/>
                <w:lang w:eastAsia="sk-SK"/>
              </w:rPr>
              <w:t>2 000</w:t>
            </w:r>
          </w:p>
        </w:tc>
      </w:tr>
      <w:tr w:rsidR="004C6700" w:rsidRPr="00C30A64" w14:paraId="764A5E06" w14:textId="77777777" w:rsidTr="00C80201">
        <w:trPr>
          <w:trHeight w:val="290"/>
        </w:trPr>
        <w:tc>
          <w:tcPr>
            <w:tcW w:w="2222" w:type="pct"/>
            <w:tcBorders>
              <w:top w:val="nil"/>
              <w:left w:val="nil"/>
              <w:bottom w:val="single" w:sz="4" w:space="0" w:color="auto"/>
              <w:right w:val="nil"/>
            </w:tcBorders>
            <w:shd w:val="clear" w:color="auto" w:fill="auto"/>
            <w:vAlign w:val="center"/>
            <w:hideMark/>
          </w:tcPr>
          <w:p w14:paraId="5844EB49" w14:textId="77777777" w:rsidR="004C6700" w:rsidRPr="00C30A64" w:rsidRDefault="004C6700" w:rsidP="00836EB5">
            <w:pPr>
              <w:spacing w:after="0" w:line="240" w:lineRule="auto"/>
              <w:jc w:val="left"/>
              <w:rPr>
                <w:rFonts w:eastAsia="Times New Roman" w:cs="Times New Roman"/>
                <w:color w:val="000000"/>
                <w:sz w:val="18"/>
                <w:szCs w:val="18"/>
                <w:lang w:eastAsia="sk-SK"/>
              </w:rPr>
            </w:pPr>
            <w:r w:rsidRPr="00C30A64">
              <w:rPr>
                <w:rFonts w:eastAsia="Times New Roman" w:cs="Times New Roman"/>
                <w:color w:val="000000"/>
                <w:sz w:val="18"/>
                <w:szCs w:val="18"/>
                <w:lang w:eastAsia="sk-SK"/>
              </w:rPr>
              <w:t xml:space="preserve">Vodohospodárska výstavba, š. p. Bratislava </w:t>
            </w:r>
          </w:p>
        </w:tc>
        <w:tc>
          <w:tcPr>
            <w:tcW w:w="559" w:type="pct"/>
            <w:tcBorders>
              <w:top w:val="nil"/>
              <w:left w:val="nil"/>
              <w:bottom w:val="single" w:sz="4" w:space="0" w:color="auto"/>
              <w:right w:val="nil"/>
            </w:tcBorders>
            <w:shd w:val="clear" w:color="auto" w:fill="auto"/>
            <w:vAlign w:val="center"/>
            <w:hideMark/>
          </w:tcPr>
          <w:p w14:paraId="67033DBD"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200</w:t>
            </w:r>
          </w:p>
        </w:tc>
        <w:tc>
          <w:tcPr>
            <w:tcW w:w="607" w:type="pct"/>
            <w:tcBorders>
              <w:top w:val="nil"/>
              <w:left w:val="nil"/>
              <w:bottom w:val="single" w:sz="4" w:space="0" w:color="auto"/>
              <w:right w:val="nil"/>
            </w:tcBorders>
            <w:shd w:val="clear" w:color="auto" w:fill="auto"/>
            <w:vAlign w:val="center"/>
            <w:hideMark/>
          </w:tcPr>
          <w:p w14:paraId="02645CEC"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2 984</w:t>
            </w:r>
          </w:p>
        </w:tc>
        <w:tc>
          <w:tcPr>
            <w:tcW w:w="594" w:type="pct"/>
            <w:tcBorders>
              <w:top w:val="nil"/>
              <w:left w:val="nil"/>
              <w:bottom w:val="single" w:sz="4" w:space="0" w:color="auto"/>
              <w:right w:val="nil"/>
            </w:tcBorders>
            <w:shd w:val="clear" w:color="auto" w:fill="auto"/>
            <w:vAlign w:val="center"/>
            <w:hideMark/>
          </w:tcPr>
          <w:p w14:paraId="5F4D745E"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150 000</w:t>
            </w:r>
          </w:p>
        </w:tc>
        <w:tc>
          <w:tcPr>
            <w:tcW w:w="584" w:type="pct"/>
            <w:tcBorders>
              <w:top w:val="nil"/>
              <w:left w:val="nil"/>
              <w:bottom w:val="single" w:sz="4" w:space="0" w:color="auto"/>
              <w:right w:val="nil"/>
            </w:tcBorders>
            <w:shd w:val="clear" w:color="auto" w:fill="auto"/>
            <w:vAlign w:val="center"/>
            <w:hideMark/>
          </w:tcPr>
          <w:p w14:paraId="3976218D"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152 000</w:t>
            </w:r>
          </w:p>
        </w:tc>
        <w:tc>
          <w:tcPr>
            <w:tcW w:w="434" w:type="pct"/>
            <w:tcBorders>
              <w:top w:val="nil"/>
              <w:left w:val="nil"/>
              <w:bottom w:val="single" w:sz="4" w:space="0" w:color="auto"/>
              <w:right w:val="nil"/>
            </w:tcBorders>
            <w:shd w:val="clear" w:color="auto" w:fill="auto"/>
            <w:vAlign w:val="center"/>
            <w:hideMark/>
          </w:tcPr>
          <w:p w14:paraId="03F2022E" w14:textId="77777777" w:rsidR="004C6700" w:rsidRPr="00C30A64" w:rsidRDefault="004C6700" w:rsidP="00836EB5">
            <w:pPr>
              <w:spacing w:after="0" w:line="240" w:lineRule="auto"/>
              <w:jc w:val="right"/>
              <w:rPr>
                <w:rFonts w:eastAsia="Times New Roman" w:cs="Times New Roman"/>
                <w:color w:val="000000"/>
                <w:sz w:val="18"/>
                <w:szCs w:val="18"/>
                <w:lang w:eastAsia="sk-SK"/>
              </w:rPr>
            </w:pPr>
            <w:r w:rsidRPr="00C30A64">
              <w:rPr>
                <w:rFonts w:eastAsia="Times New Roman" w:cs="Times New Roman"/>
                <w:color w:val="000000"/>
                <w:sz w:val="18"/>
                <w:szCs w:val="18"/>
                <w:lang w:eastAsia="sk-SK"/>
              </w:rPr>
              <w:t>2 000</w:t>
            </w:r>
          </w:p>
        </w:tc>
      </w:tr>
      <w:tr w:rsidR="004C6700" w:rsidRPr="00092ACB" w14:paraId="0F57A431" w14:textId="77777777" w:rsidTr="00C80201">
        <w:trPr>
          <w:trHeight w:val="227"/>
          <w:tblHeader/>
        </w:trPr>
        <w:tc>
          <w:tcPr>
            <w:tcW w:w="5000" w:type="pct"/>
            <w:gridSpan w:val="6"/>
            <w:tcBorders>
              <w:top w:val="nil"/>
              <w:left w:val="nil"/>
              <w:bottom w:val="nil"/>
              <w:right w:val="nil"/>
            </w:tcBorders>
            <w:shd w:val="clear" w:color="auto" w:fill="auto"/>
            <w:noWrap/>
            <w:vAlign w:val="bottom"/>
            <w:hideMark/>
          </w:tcPr>
          <w:p w14:paraId="1E05F8AE" w14:textId="50FF2462" w:rsidR="004C6700" w:rsidRPr="0040034C" w:rsidRDefault="004C6700" w:rsidP="00EB2641">
            <w:pPr>
              <w:spacing w:after="0" w:line="240" w:lineRule="auto"/>
              <w:jc w:val="right"/>
              <w:rPr>
                <w:rFonts w:eastAsia="Times New Roman" w:cs="Times New Roman"/>
                <w:bCs/>
                <w:sz w:val="18"/>
                <w:szCs w:val="18"/>
                <w:lang w:eastAsia="sk-SK"/>
              </w:rPr>
            </w:pPr>
            <w:r w:rsidRPr="0040034C">
              <w:rPr>
                <w:rFonts w:eastAsia="Times New Roman" w:cs="Times New Roman"/>
                <w:bCs/>
                <w:sz w:val="18"/>
                <w:szCs w:val="18"/>
                <w:lang w:eastAsia="sk-SK"/>
              </w:rPr>
              <w:t>Zdroj: MF SR</w:t>
            </w:r>
          </w:p>
          <w:p w14:paraId="6621DF49" w14:textId="397D4B57" w:rsidR="004C6700" w:rsidRPr="0040034C" w:rsidRDefault="004C6700" w:rsidP="00836EB5">
            <w:pPr>
              <w:spacing w:after="0" w:line="240" w:lineRule="auto"/>
              <w:rPr>
                <w:rFonts w:eastAsia="Times New Roman" w:cs="Times New Roman"/>
                <w:sz w:val="18"/>
                <w:szCs w:val="18"/>
                <w:lang w:eastAsia="sk-SK"/>
              </w:rPr>
            </w:pPr>
            <w:r w:rsidRPr="0040034C">
              <w:rPr>
                <w:rFonts w:eastAsia="Times New Roman" w:cs="Times New Roman"/>
                <w:bCs/>
                <w:sz w:val="18"/>
                <w:szCs w:val="18"/>
                <w:vertAlign w:val="superscript"/>
                <w:lang w:eastAsia="sk-SK"/>
              </w:rPr>
              <w:t>1)</w:t>
            </w:r>
            <w:r w:rsidRPr="0040034C">
              <w:rPr>
                <w:rFonts w:eastAsia="Times New Roman" w:cs="Times New Roman"/>
                <w:bCs/>
                <w:sz w:val="18"/>
                <w:szCs w:val="18"/>
                <w:lang w:eastAsia="sk-SK"/>
              </w:rPr>
              <w:t xml:space="preserve"> Suma </w:t>
            </w:r>
            <w:proofErr w:type="spellStart"/>
            <w:r w:rsidRPr="0040034C">
              <w:rPr>
                <w:rFonts w:eastAsia="Times New Roman" w:cs="Times New Roman"/>
                <w:bCs/>
                <w:sz w:val="18"/>
                <w:szCs w:val="18"/>
                <w:lang w:eastAsia="sk-SK"/>
              </w:rPr>
              <w:t>superdividend</w:t>
            </w:r>
            <w:proofErr w:type="spellEnd"/>
            <w:r w:rsidRPr="0040034C">
              <w:rPr>
                <w:rFonts w:eastAsia="Times New Roman" w:cs="Times New Roman"/>
                <w:bCs/>
                <w:sz w:val="18"/>
                <w:szCs w:val="18"/>
                <w:lang w:eastAsia="sk-SK"/>
              </w:rPr>
              <w:t xml:space="preserve"> spoločnosti SPP, </w:t>
            </w:r>
            <w:proofErr w:type="spellStart"/>
            <w:r w:rsidRPr="0040034C">
              <w:rPr>
                <w:rFonts w:eastAsia="Times New Roman" w:cs="Times New Roman"/>
                <w:bCs/>
                <w:sz w:val="18"/>
                <w:szCs w:val="18"/>
                <w:lang w:eastAsia="sk-SK"/>
              </w:rPr>
              <w:t>a.s</w:t>
            </w:r>
            <w:proofErr w:type="spellEnd"/>
            <w:r w:rsidRPr="0040034C">
              <w:rPr>
                <w:rFonts w:eastAsia="Times New Roman" w:cs="Times New Roman"/>
                <w:bCs/>
                <w:sz w:val="18"/>
                <w:szCs w:val="18"/>
                <w:lang w:eastAsia="sk-SK"/>
              </w:rPr>
              <w:t xml:space="preserve">. za rok 2021 obsahuje aj dary vo výške 4 400 tis. eur. V roku 2022 valné zhromaždenie </w:t>
            </w:r>
            <w:r w:rsidRPr="006E5787">
              <w:rPr>
                <w:rFonts w:eastAsia="Times New Roman" w:cs="Times New Roman"/>
                <w:bCs/>
                <w:sz w:val="18"/>
                <w:szCs w:val="18"/>
                <w:lang w:eastAsia="sk-SK"/>
              </w:rPr>
              <w:t xml:space="preserve">spoločnosti SPP, </w:t>
            </w:r>
            <w:proofErr w:type="spellStart"/>
            <w:r w:rsidRPr="006E5787">
              <w:rPr>
                <w:rFonts w:eastAsia="Times New Roman" w:cs="Times New Roman"/>
                <w:bCs/>
                <w:sz w:val="18"/>
                <w:szCs w:val="18"/>
                <w:lang w:eastAsia="sk-SK"/>
              </w:rPr>
              <w:t>a.s</w:t>
            </w:r>
            <w:proofErr w:type="spellEnd"/>
            <w:r w:rsidRPr="006E5787">
              <w:rPr>
                <w:rFonts w:eastAsia="Times New Roman" w:cs="Times New Roman"/>
                <w:bCs/>
                <w:sz w:val="18"/>
                <w:szCs w:val="18"/>
                <w:lang w:eastAsia="sk-SK"/>
              </w:rPr>
              <w:t xml:space="preserve">. schválilo dividendu pre MH SR v sume 220 000 tis. eur s termínom úhrady v roku 2023, v súlade s metodikou ESA2010 je v tejto výške vykázaná pohľadávka štátu voči SPP, </w:t>
            </w:r>
            <w:proofErr w:type="spellStart"/>
            <w:r w:rsidRPr="006E5787">
              <w:rPr>
                <w:rFonts w:eastAsia="Times New Roman" w:cs="Times New Roman"/>
                <w:bCs/>
                <w:sz w:val="18"/>
                <w:szCs w:val="18"/>
                <w:lang w:eastAsia="sk-SK"/>
              </w:rPr>
              <w:t>a.s</w:t>
            </w:r>
            <w:proofErr w:type="spellEnd"/>
            <w:r w:rsidRPr="006E5787">
              <w:rPr>
                <w:rFonts w:eastAsia="Times New Roman" w:cs="Times New Roman"/>
                <w:bCs/>
                <w:sz w:val="18"/>
                <w:szCs w:val="18"/>
                <w:lang w:eastAsia="sk-SK"/>
              </w:rPr>
              <w:t>., ktorá bola splatená 31.03.2023.</w:t>
            </w:r>
            <w:r w:rsidR="00A01D63" w:rsidRPr="006E5787">
              <w:rPr>
                <w:rFonts w:eastAsia="Times New Roman" w:cs="Times New Roman"/>
                <w:bCs/>
                <w:sz w:val="18"/>
                <w:szCs w:val="18"/>
                <w:lang w:eastAsia="sk-SK"/>
              </w:rPr>
              <w:t xml:space="preserve"> Suma </w:t>
            </w:r>
            <w:proofErr w:type="spellStart"/>
            <w:r w:rsidR="00A01D63" w:rsidRPr="006E5787">
              <w:rPr>
                <w:rFonts w:eastAsia="Times New Roman" w:cs="Times New Roman"/>
                <w:bCs/>
                <w:sz w:val="18"/>
                <w:szCs w:val="18"/>
                <w:lang w:eastAsia="sk-SK"/>
              </w:rPr>
              <w:t>superdividend</w:t>
            </w:r>
            <w:proofErr w:type="spellEnd"/>
            <w:r w:rsidR="00A01D63" w:rsidRPr="006E5787">
              <w:rPr>
                <w:rFonts w:eastAsia="Times New Roman" w:cs="Times New Roman"/>
                <w:bCs/>
                <w:sz w:val="18"/>
                <w:szCs w:val="18"/>
                <w:lang w:eastAsia="sk-SK"/>
              </w:rPr>
              <w:t xml:space="preserve"> spoločnosti SPP, </w:t>
            </w:r>
            <w:proofErr w:type="spellStart"/>
            <w:r w:rsidR="00A01D63" w:rsidRPr="006E5787">
              <w:rPr>
                <w:rFonts w:eastAsia="Times New Roman" w:cs="Times New Roman"/>
                <w:bCs/>
                <w:sz w:val="18"/>
                <w:szCs w:val="18"/>
                <w:lang w:eastAsia="sk-SK"/>
              </w:rPr>
              <w:t>a.s</w:t>
            </w:r>
            <w:proofErr w:type="spellEnd"/>
            <w:r w:rsidR="00A01D63" w:rsidRPr="006E5787">
              <w:rPr>
                <w:rFonts w:eastAsia="Times New Roman" w:cs="Times New Roman"/>
                <w:bCs/>
                <w:sz w:val="18"/>
                <w:szCs w:val="18"/>
                <w:lang w:eastAsia="sk-SK"/>
              </w:rPr>
              <w:t>. za rok 2022 obsahuje aj dary vo výške 3 800 tis. eur.</w:t>
            </w:r>
          </w:p>
          <w:p w14:paraId="3C7FD693" w14:textId="77777777" w:rsidR="004C6700" w:rsidRPr="0040034C" w:rsidRDefault="004C6700" w:rsidP="00836EB5">
            <w:pPr>
              <w:spacing w:after="0" w:line="240" w:lineRule="auto"/>
              <w:rPr>
                <w:rFonts w:eastAsia="Times New Roman" w:cs="Times New Roman"/>
                <w:sz w:val="18"/>
                <w:szCs w:val="18"/>
                <w:highlight w:val="yellow"/>
                <w:lang w:eastAsia="sk-SK"/>
              </w:rPr>
            </w:pPr>
            <w:r w:rsidRPr="0040034C">
              <w:rPr>
                <w:rFonts w:eastAsia="Times New Roman" w:cs="Times New Roman"/>
                <w:sz w:val="18"/>
                <w:szCs w:val="18"/>
                <w:vertAlign w:val="superscript"/>
                <w:lang w:eastAsia="sk-SK"/>
              </w:rPr>
              <w:t>2)</w:t>
            </w:r>
            <w:r w:rsidRPr="0040034C">
              <w:rPr>
                <w:rFonts w:eastAsia="Times New Roman" w:cs="Times New Roman"/>
                <w:sz w:val="18"/>
                <w:szCs w:val="18"/>
                <w:lang w:eastAsia="sk-SK"/>
              </w:rPr>
              <w:t xml:space="preserve"> Pohľadávka MDV SR voči 365.bank, </w:t>
            </w:r>
            <w:proofErr w:type="spellStart"/>
            <w:r w:rsidRPr="0040034C">
              <w:rPr>
                <w:rFonts w:eastAsia="Times New Roman" w:cs="Times New Roman"/>
                <w:sz w:val="18"/>
                <w:szCs w:val="18"/>
                <w:lang w:eastAsia="sk-SK"/>
              </w:rPr>
              <w:t>a.s</w:t>
            </w:r>
            <w:proofErr w:type="spellEnd"/>
            <w:r w:rsidRPr="0040034C">
              <w:rPr>
                <w:rFonts w:eastAsia="Times New Roman" w:cs="Times New Roman"/>
                <w:sz w:val="18"/>
                <w:szCs w:val="18"/>
                <w:lang w:eastAsia="sk-SK"/>
              </w:rPr>
              <w:t>. zo schválenej dividendy v roku 2022 s termínom úhrady v roku 2023, splatená v januári 2023.</w:t>
            </w:r>
          </w:p>
        </w:tc>
      </w:tr>
    </w:tbl>
    <w:p w14:paraId="304296A9" w14:textId="2AA32BB1" w:rsidR="004C6700" w:rsidRPr="00EB2641" w:rsidRDefault="004C6700" w:rsidP="00EB2641">
      <w:pPr>
        <w:spacing w:before="120" w:line="240" w:lineRule="auto"/>
        <w:rPr>
          <w:b/>
          <w:color w:val="5B9BD5" w:themeColor="accent1"/>
          <w:sz w:val="24"/>
          <w:szCs w:val="24"/>
        </w:rPr>
      </w:pPr>
      <w:r w:rsidRPr="00EB2641">
        <w:rPr>
          <w:b/>
          <w:color w:val="5B9BD5" w:themeColor="accent1"/>
          <w:sz w:val="24"/>
          <w:szCs w:val="24"/>
        </w:rPr>
        <w:t>Prenesené výdavky štátneho rozpočtu</w:t>
      </w:r>
    </w:p>
    <w:p w14:paraId="059AA757" w14:textId="74ED85CD" w:rsidR="004C6700" w:rsidRPr="005C2DAB" w:rsidRDefault="004C6700" w:rsidP="004C6700">
      <w:pPr>
        <w:spacing w:line="240" w:lineRule="auto"/>
        <w:rPr>
          <w:sz w:val="24"/>
          <w:szCs w:val="24"/>
        </w:rPr>
      </w:pPr>
      <w:r w:rsidRPr="005C2DAB">
        <w:rPr>
          <w:sz w:val="24"/>
          <w:szCs w:val="24"/>
        </w:rPr>
        <w:t>Podľa § 8 ods. 4 zákona č. 523/2004 Z. z. o rozpočtových pravidlách verejnej správy a o zmene a doplnení niektorých zákonov v znení neskorších predpisov je možné výdavky štátneho rozpočtu poskytované formou kapitálových výdavkov a formou bežných výdavkov na úhradu dane z pridanej hodnoty podľa osobitného zákona a na program rozvojovej spolupráce použiť na</w:t>
      </w:r>
      <w:r>
        <w:rPr>
          <w:sz w:val="24"/>
          <w:szCs w:val="24"/>
        </w:rPr>
        <w:t> </w:t>
      </w:r>
      <w:r w:rsidRPr="005C2DAB">
        <w:rPr>
          <w:sz w:val="24"/>
          <w:szCs w:val="24"/>
        </w:rPr>
        <w:t>určený účel aj v nasledujúcich dvoch rozpočtových rokoch po rozpočtovom roku, na ktorý boli rozpočtované. Kapitálové výdavky poskytnuté na účel ustanovený osobitným predpisom (§</w:t>
      </w:r>
      <w:r>
        <w:rPr>
          <w:sz w:val="24"/>
          <w:szCs w:val="24"/>
        </w:rPr>
        <w:t> </w:t>
      </w:r>
      <w:r w:rsidRPr="005C2DAB">
        <w:rPr>
          <w:sz w:val="24"/>
          <w:szCs w:val="24"/>
        </w:rPr>
        <w:t>2</w:t>
      </w:r>
      <w:r>
        <w:rPr>
          <w:sz w:val="24"/>
          <w:szCs w:val="24"/>
        </w:rPr>
        <w:t> </w:t>
      </w:r>
      <w:r w:rsidRPr="005C2DAB">
        <w:rPr>
          <w:sz w:val="24"/>
          <w:szCs w:val="24"/>
        </w:rPr>
        <w:t>písm. c) zákona č. 526/2010 Z. z. o poskytovaní dotácií v pôsobnosti Ministerstva vnútra Slovenskej republiky v znení zákona č. 146/2017 Z. z.) možno použiť aj v nasledujúcich piatich rozpočtových rokoch po rozpočtovom roku, na ktorý boli rozpočtované. Prostriedky Európskej únie, prostriedky štátneho rozpočtu určené na financovanie spoločných programov Slovenskej republiky a Európskej únie a prostriedky štátneho rozpočtu určené na financovanie účelov vyplývajúcich z medzinárodných zmlúv o poskytnutí grantu uzatvorených medzi Slovenskou republikou a inými štátmi a bežné výdavky na programy podporujúce medzinárodnú vzdelávaciu mobilitu alebo medzinárodnú vedeckú mobilitu, ak vyplývajú z medzinárodnej zmluvy alebo ak</w:t>
      </w:r>
      <w:r w:rsidR="0097056E">
        <w:rPr>
          <w:sz w:val="24"/>
          <w:szCs w:val="24"/>
        </w:rPr>
        <w:t> </w:t>
      </w:r>
      <w:r w:rsidRPr="005C2DAB">
        <w:rPr>
          <w:sz w:val="24"/>
          <w:szCs w:val="24"/>
        </w:rPr>
        <w:t>program schválila vláda, a prostriedky štátneho rozpočtu poskytované Agentúrou na podporu výskumu a vývoja možno použiť aj v nasledujúcich rozpočtových rokoch až do ich vyčerpania na určený účel. Podľa § 20b zákona č. 523/2004 Z. z. ustanovenia § 8 ods. 6 až 8 týkajúce sa prostriedkov Európskej únie sa uplatnia aj na prostriedky mechanizmu na podporu obnovy a</w:t>
      </w:r>
      <w:r>
        <w:rPr>
          <w:sz w:val="24"/>
          <w:szCs w:val="24"/>
        </w:rPr>
        <w:t> </w:t>
      </w:r>
      <w:r w:rsidRPr="005C2DAB">
        <w:rPr>
          <w:sz w:val="24"/>
          <w:szCs w:val="24"/>
        </w:rPr>
        <w:t>odolnosti.</w:t>
      </w:r>
    </w:p>
    <w:p w14:paraId="19127532" w14:textId="77777777" w:rsidR="004C6700" w:rsidRPr="00237830" w:rsidRDefault="004C6700" w:rsidP="004C6700">
      <w:pPr>
        <w:spacing w:line="240" w:lineRule="auto"/>
        <w:rPr>
          <w:sz w:val="24"/>
          <w:szCs w:val="24"/>
          <w:highlight w:val="yellow"/>
        </w:rPr>
      </w:pPr>
      <w:r w:rsidRPr="005C2DAB">
        <w:rPr>
          <w:sz w:val="24"/>
          <w:szCs w:val="24"/>
        </w:rPr>
        <w:t>Viazané a prenesené výdavky do ďalšieho rozpočtového roka pôsobia v smere zníženia skutočného salda oproti schválenému rozpočtu v danom rozpočtovom roku, prenesené a zároveň použité výdavky z predchádzajúceho rozpočtového roka naopak saldo v danom rozpočtovom roku zvyšujú. Čistý vplyv na saldo verejnej správy závisí od výsledného efektu presunov. Ak sú prenesené výdavky do ďalšieho rozpočt</w:t>
      </w:r>
      <w:r>
        <w:rPr>
          <w:sz w:val="24"/>
          <w:szCs w:val="24"/>
        </w:rPr>
        <w:t>ového roka vyššie ako použité z </w:t>
      </w:r>
      <w:r w:rsidRPr="005C2DAB">
        <w:rPr>
          <w:sz w:val="24"/>
          <w:szCs w:val="24"/>
        </w:rPr>
        <w:t>predchádzajúceho rozpočtového roka, saldo sa oproti schválenému rozpočtu zníži, v opačnom prípade sa zvýši.</w:t>
      </w:r>
    </w:p>
    <w:p w14:paraId="7426C8AA" w14:textId="77777777" w:rsidR="004C6700" w:rsidRPr="00345E42" w:rsidRDefault="004C6700" w:rsidP="004C6700">
      <w:pPr>
        <w:spacing w:line="240" w:lineRule="auto"/>
        <w:rPr>
          <w:sz w:val="24"/>
          <w:szCs w:val="24"/>
        </w:rPr>
      </w:pPr>
      <w:r w:rsidRPr="005C2DAB">
        <w:rPr>
          <w:sz w:val="24"/>
          <w:szCs w:val="24"/>
        </w:rPr>
        <w:t>V súlade s § 37o zákona č. 523/2004 Z. z. možno bežné výdavky rozpočtované v rozpočtovom roku 2022 na podporu poskytovanú z výdavkov štátneho rozpočtu z dôvodu kompenzácie zvýšenia cien plynu a elektriny, ktoré neboli z výdavkov štátneho rozpočtu poskytnuté do</w:t>
      </w:r>
      <w:r>
        <w:rPr>
          <w:sz w:val="24"/>
          <w:szCs w:val="24"/>
        </w:rPr>
        <w:t> </w:t>
      </w:r>
      <w:r w:rsidRPr="005C2DAB">
        <w:rPr>
          <w:sz w:val="24"/>
          <w:szCs w:val="24"/>
        </w:rPr>
        <w:t>31.</w:t>
      </w:r>
      <w:r>
        <w:rPr>
          <w:sz w:val="24"/>
          <w:szCs w:val="24"/>
        </w:rPr>
        <w:t> </w:t>
      </w:r>
      <w:r w:rsidRPr="005C2DAB">
        <w:rPr>
          <w:sz w:val="24"/>
          <w:szCs w:val="24"/>
        </w:rPr>
        <w:t>decembra 2022 a bežné výdavky rozpočtované v rozpočtovom roku 2023 na podporu poskytovanú z výdavkov štátneho rozpočtu z dôvodu kompenzácie zvýšenia cien plynu a</w:t>
      </w:r>
      <w:r>
        <w:rPr>
          <w:sz w:val="24"/>
          <w:szCs w:val="24"/>
        </w:rPr>
        <w:t> </w:t>
      </w:r>
      <w:r w:rsidRPr="005C2DAB">
        <w:rPr>
          <w:sz w:val="24"/>
          <w:szCs w:val="24"/>
        </w:rPr>
        <w:t>elektriny, ktoré neboli z výdavkov štátneho rozpočtu po</w:t>
      </w:r>
      <w:r>
        <w:rPr>
          <w:sz w:val="24"/>
          <w:szCs w:val="24"/>
        </w:rPr>
        <w:t xml:space="preserve">skytnuté do 31. decembra 2023, </w:t>
      </w:r>
      <w:r w:rsidRPr="005C2DAB">
        <w:rPr>
          <w:sz w:val="24"/>
          <w:szCs w:val="24"/>
        </w:rPr>
        <w:t>použiť až do 31. decembra 2024.</w:t>
      </w:r>
    </w:p>
    <w:p w14:paraId="0EED293B" w14:textId="6E4EE649" w:rsidR="004C6700" w:rsidRPr="00BF28A9" w:rsidRDefault="004C6700" w:rsidP="004C6700">
      <w:pPr>
        <w:spacing w:line="240" w:lineRule="auto"/>
        <w:rPr>
          <w:rFonts w:cs="Times New Roman"/>
          <w:sz w:val="24"/>
          <w:szCs w:val="24"/>
        </w:rPr>
      </w:pPr>
      <w:r w:rsidRPr="00BF28A9">
        <w:rPr>
          <w:rFonts w:cs="Times New Roman"/>
          <w:sz w:val="24"/>
          <w:szCs w:val="24"/>
        </w:rPr>
        <w:lastRenderedPageBreak/>
        <w:t>V roku 2022 sa podľa § 8 a § 37o zákona č. 523/2004 Z. z. viazali prostriedky na použitie v nasledujúcom rozpočtovom ro</w:t>
      </w:r>
      <w:r>
        <w:rPr>
          <w:rFonts w:cs="Times New Roman"/>
          <w:sz w:val="24"/>
          <w:szCs w:val="24"/>
        </w:rPr>
        <w:t>ku v sume 2 174 783 </w:t>
      </w:r>
      <w:r w:rsidR="008F3998">
        <w:rPr>
          <w:rFonts w:cs="Times New Roman"/>
          <w:sz w:val="24"/>
          <w:szCs w:val="24"/>
        </w:rPr>
        <w:t>tis.</w:t>
      </w:r>
      <w:r w:rsidRPr="00BF28A9">
        <w:rPr>
          <w:rFonts w:cs="Times New Roman"/>
          <w:sz w:val="24"/>
          <w:szCs w:val="24"/>
        </w:rPr>
        <w:t xml:space="preserve"> eur (v tom kapitálové výdavky v</w:t>
      </w:r>
      <w:r>
        <w:rPr>
          <w:rFonts w:cs="Times New Roman"/>
          <w:sz w:val="24"/>
          <w:szCs w:val="24"/>
        </w:rPr>
        <w:t> sume 678 41</w:t>
      </w:r>
      <w:r w:rsidR="008F3998">
        <w:rPr>
          <w:rFonts w:cs="Times New Roman"/>
          <w:sz w:val="24"/>
          <w:szCs w:val="24"/>
        </w:rPr>
        <w:t>2</w:t>
      </w:r>
      <w:r>
        <w:rPr>
          <w:rFonts w:cs="Times New Roman"/>
          <w:sz w:val="24"/>
          <w:szCs w:val="24"/>
        </w:rPr>
        <w:t> </w:t>
      </w:r>
      <w:r w:rsidR="008F3998">
        <w:rPr>
          <w:rFonts w:cs="Times New Roman"/>
          <w:sz w:val="24"/>
          <w:szCs w:val="24"/>
        </w:rPr>
        <w:t>tis.</w:t>
      </w:r>
      <w:r w:rsidRPr="00BF28A9">
        <w:rPr>
          <w:rFonts w:cs="Times New Roman"/>
          <w:sz w:val="24"/>
          <w:szCs w:val="24"/>
        </w:rPr>
        <w:t xml:space="preserve"> eur a bežné</w:t>
      </w:r>
      <w:r>
        <w:rPr>
          <w:rFonts w:cs="Times New Roman"/>
          <w:sz w:val="24"/>
          <w:szCs w:val="24"/>
        </w:rPr>
        <w:t xml:space="preserve"> výdavky v sume 1 496 371 </w:t>
      </w:r>
      <w:r w:rsidR="008F3998">
        <w:rPr>
          <w:rFonts w:cs="Times New Roman"/>
          <w:sz w:val="24"/>
          <w:szCs w:val="24"/>
        </w:rPr>
        <w:t>tis.</w:t>
      </w:r>
      <w:r w:rsidRPr="00BF28A9">
        <w:rPr>
          <w:rFonts w:cs="Times New Roman"/>
          <w:sz w:val="24"/>
          <w:szCs w:val="24"/>
        </w:rPr>
        <w:t xml:space="preserve"> eur, z toho bežné výdavky podľa § 37o zákona č. 523/20</w:t>
      </w:r>
      <w:r>
        <w:rPr>
          <w:rFonts w:cs="Times New Roman"/>
          <w:sz w:val="24"/>
          <w:szCs w:val="24"/>
        </w:rPr>
        <w:t>04 Z. z. v sume 1 427 00</w:t>
      </w:r>
      <w:r w:rsidR="008F3998">
        <w:rPr>
          <w:rFonts w:cs="Times New Roman"/>
          <w:sz w:val="24"/>
          <w:szCs w:val="24"/>
        </w:rPr>
        <w:t>2</w:t>
      </w:r>
      <w:r>
        <w:rPr>
          <w:rFonts w:cs="Times New Roman"/>
          <w:sz w:val="24"/>
          <w:szCs w:val="24"/>
        </w:rPr>
        <w:t xml:space="preserve"> </w:t>
      </w:r>
      <w:r w:rsidR="008F3998">
        <w:rPr>
          <w:rFonts w:cs="Times New Roman"/>
          <w:sz w:val="24"/>
          <w:szCs w:val="24"/>
        </w:rPr>
        <w:t>tis.</w:t>
      </w:r>
      <w:r w:rsidRPr="00BF28A9">
        <w:rPr>
          <w:rFonts w:cs="Times New Roman"/>
          <w:sz w:val="24"/>
          <w:szCs w:val="24"/>
        </w:rPr>
        <w:t xml:space="preserve"> eur), z toho:</w:t>
      </w:r>
    </w:p>
    <w:p w14:paraId="3B537F7F" w14:textId="523C522F" w:rsidR="004C6700" w:rsidRPr="00BF28A9" w:rsidRDefault="004C6700" w:rsidP="004C6700">
      <w:pPr>
        <w:pStyle w:val="Odsekzoznamu"/>
        <w:numPr>
          <w:ilvl w:val="1"/>
          <w:numId w:val="16"/>
        </w:numPr>
        <w:jc w:val="both"/>
        <w:rPr>
          <w:rFonts w:ascii="Times New Roman" w:hAnsi="Times New Roman"/>
          <w:sz w:val="24"/>
          <w:szCs w:val="24"/>
        </w:rPr>
      </w:pPr>
      <w:r w:rsidRPr="00BF28A9">
        <w:rPr>
          <w:rFonts w:ascii="Times New Roman" w:hAnsi="Times New Roman"/>
          <w:sz w:val="24"/>
          <w:szCs w:val="24"/>
        </w:rPr>
        <w:t>zdroj 131L (</w:t>
      </w:r>
      <w:r>
        <w:rPr>
          <w:rFonts w:ascii="Times New Roman" w:hAnsi="Times New Roman"/>
          <w:sz w:val="24"/>
          <w:szCs w:val="24"/>
        </w:rPr>
        <w:t xml:space="preserve">nevyčerpané </w:t>
      </w:r>
      <w:r w:rsidRPr="00BF28A9">
        <w:rPr>
          <w:rFonts w:ascii="Times New Roman" w:hAnsi="Times New Roman"/>
          <w:sz w:val="24"/>
          <w:szCs w:val="24"/>
        </w:rPr>
        <w:t xml:space="preserve">prostriedky </w:t>
      </w:r>
      <w:r>
        <w:rPr>
          <w:rFonts w:ascii="Times New Roman" w:hAnsi="Times New Roman"/>
          <w:sz w:val="24"/>
          <w:szCs w:val="24"/>
        </w:rPr>
        <w:t>z r. 2021) v sume 417 93</w:t>
      </w:r>
      <w:r w:rsidR="008F3998">
        <w:rPr>
          <w:rFonts w:ascii="Times New Roman" w:hAnsi="Times New Roman"/>
          <w:sz w:val="24"/>
          <w:szCs w:val="24"/>
        </w:rPr>
        <w:t>5</w:t>
      </w:r>
      <w:r>
        <w:rPr>
          <w:rFonts w:ascii="Times New Roman" w:hAnsi="Times New Roman"/>
          <w:sz w:val="24"/>
          <w:szCs w:val="24"/>
        </w:rPr>
        <w:t> </w:t>
      </w:r>
      <w:r w:rsidR="008F3998">
        <w:rPr>
          <w:rFonts w:ascii="Times New Roman" w:hAnsi="Times New Roman"/>
          <w:sz w:val="24"/>
          <w:szCs w:val="24"/>
        </w:rPr>
        <w:t>tis.</w:t>
      </w:r>
      <w:r w:rsidRPr="00BF28A9">
        <w:rPr>
          <w:rFonts w:ascii="Times New Roman" w:hAnsi="Times New Roman"/>
          <w:sz w:val="24"/>
          <w:szCs w:val="24"/>
        </w:rPr>
        <w:t xml:space="preserve"> eur (v tom b</w:t>
      </w:r>
      <w:r>
        <w:rPr>
          <w:rFonts w:ascii="Times New Roman" w:hAnsi="Times New Roman"/>
          <w:sz w:val="24"/>
          <w:szCs w:val="24"/>
        </w:rPr>
        <w:t>ežné výdavky v sume 1 185 </w:t>
      </w:r>
      <w:r w:rsidR="008F3998">
        <w:rPr>
          <w:rFonts w:ascii="Times New Roman" w:hAnsi="Times New Roman"/>
          <w:sz w:val="24"/>
          <w:szCs w:val="24"/>
        </w:rPr>
        <w:t>tis.</w:t>
      </w:r>
      <w:r w:rsidRPr="00BF28A9">
        <w:rPr>
          <w:rFonts w:ascii="Times New Roman" w:hAnsi="Times New Roman"/>
          <w:sz w:val="24"/>
          <w:szCs w:val="24"/>
        </w:rPr>
        <w:t xml:space="preserve"> eur), </w:t>
      </w:r>
    </w:p>
    <w:p w14:paraId="0D4EF46C" w14:textId="2000A275" w:rsidR="004C6700" w:rsidRPr="00BF28A9" w:rsidRDefault="004C6700" w:rsidP="004C6700">
      <w:pPr>
        <w:pStyle w:val="Odsekzoznamu"/>
        <w:numPr>
          <w:ilvl w:val="1"/>
          <w:numId w:val="16"/>
        </w:numPr>
        <w:jc w:val="both"/>
        <w:rPr>
          <w:rFonts w:ascii="Times New Roman" w:hAnsi="Times New Roman"/>
          <w:sz w:val="24"/>
          <w:szCs w:val="24"/>
        </w:rPr>
      </w:pPr>
      <w:r w:rsidRPr="00BF28A9">
        <w:rPr>
          <w:rFonts w:ascii="Times New Roman" w:hAnsi="Times New Roman"/>
          <w:sz w:val="24"/>
          <w:szCs w:val="24"/>
        </w:rPr>
        <w:t>zdroj 111 (</w:t>
      </w:r>
      <w:r>
        <w:rPr>
          <w:rFonts w:ascii="Times New Roman" w:hAnsi="Times New Roman"/>
          <w:sz w:val="24"/>
          <w:szCs w:val="24"/>
        </w:rPr>
        <w:t xml:space="preserve">nevyčerpané </w:t>
      </w:r>
      <w:r w:rsidRPr="00BF28A9">
        <w:rPr>
          <w:rFonts w:ascii="Times New Roman" w:hAnsi="Times New Roman"/>
          <w:sz w:val="24"/>
          <w:szCs w:val="24"/>
        </w:rPr>
        <w:t>prostriedky z</w:t>
      </w:r>
      <w:r>
        <w:rPr>
          <w:rFonts w:ascii="Times New Roman" w:hAnsi="Times New Roman"/>
          <w:sz w:val="24"/>
          <w:szCs w:val="24"/>
        </w:rPr>
        <w:t> r. 2022) v sume 1 685 53</w:t>
      </w:r>
      <w:r w:rsidR="008F3998">
        <w:rPr>
          <w:rFonts w:ascii="Times New Roman" w:hAnsi="Times New Roman"/>
          <w:sz w:val="24"/>
          <w:szCs w:val="24"/>
        </w:rPr>
        <w:t>9</w:t>
      </w:r>
      <w:r>
        <w:rPr>
          <w:rFonts w:ascii="Times New Roman" w:hAnsi="Times New Roman"/>
          <w:sz w:val="24"/>
          <w:szCs w:val="24"/>
        </w:rPr>
        <w:t xml:space="preserve"> </w:t>
      </w:r>
      <w:r w:rsidR="008F3998">
        <w:rPr>
          <w:rFonts w:ascii="Times New Roman" w:hAnsi="Times New Roman"/>
          <w:sz w:val="24"/>
          <w:szCs w:val="24"/>
        </w:rPr>
        <w:t>tis.</w:t>
      </w:r>
      <w:r w:rsidRPr="00BF28A9">
        <w:rPr>
          <w:rFonts w:ascii="Times New Roman" w:hAnsi="Times New Roman"/>
          <w:sz w:val="24"/>
          <w:szCs w:val="24"/>
        </w:rPr>
        <w:t xml:space="preserve"> eur (v tom bežné výdavky spolu v sum</w:t>
      </w:r>
      <w:r>
        <w:rPr>
          <w:rFonts w:ascii="Times New Roman" w:hAnsi="Times New Roman"/>
          <w:sz w:val="24"/>
          <w:szCs w:val="24"/>
        </w:rPr>
        <w:t xml:space="preserve">e 1 470 240 </w:t>
      </w:r>
      <w:r w:rsidR="008F3998">
        <w:rPr>
          <w:rFonts w:ascii="Times New Roman" w:hAnsi="Times New Roman"/>
          <w:sz w:val="24"/>
          <w:szCs w:val="24"/>
        </w:rPr>
        <w:t>tis.</w:t>
      </w:r>
      <w:r w:rsidRPr="00BF28A9">
        <w:rPr>
          <w:rFonts w:ascii="Times New Roman" w:hAnsi="Times New Roman"/>
          <w:sz w:val="24"/>
          <w:szCs w:val="24"/>
        </w:rPr>
        <w:t xml:space="preserve"> eur, z toho bežné výdavky podľa §37o zákona č.</w:t>
      </w:r>
      <w:r>
        <w:rPr>
          <w:rFonts w:ascii="Times New Roman" w:hAnsi="Times New Roman"/>
          <w:sz w:val="24"/>
          <w:szCs w:val="24"/>
        </w:rPr>
        <w:t> </w:t>
      </w:r>
      <w:r w:rsidRPr="00BF28A9">
        <w:rPr>
          <w:rFonts w:ascii="Times New Roman" w:hAnsi="Times New Roman"/>
          <w:sz w:val="24"/>
          <w:szCs w:val="24"/>
        </w:rPr>
        <w:t>523/2</w:t>
      </w:r>
      <w:r>
        <w:rPr>
          <w:rFonts w:ascii="Times New Roman" w:hAnsi="Times New Roman"/>
          <w:sz w:val="24"/>
          <w:szCs w:val="24"/>
        </w:rPr>
        <w:t>004 Z. z. v sume 1 427 00</w:t>
      </w:r>
      <w:r w:rsidR="008F3998">
        <w:rPr>
          <w:rFonts w:ascii="Times New Roman" w:hAnsi="Times New Roman"/>
          <w:sz w:val="24"/>
          <w:szCs w:val="24"/>
        </w:rPr>
        <w:t>2</w:t>
      </w:r>
      <w:r>
        <w:rPr>
          <w:rFonts w:ascii="Times New Roman" w:hAnsi="Times New Roman"/>
          <w:sz w:val="24"/>
          <w:szCs w:val="24"/>
        </w:rPr>
        <w:t> </w:t>
      </w:r>
      <w:r w:rsidR="008F3998">
        <w:rPr>
          <w:rFonts w:ascii="Times New Roman" w:hAnsi="Times New Roman"/>
          <w:sz w:val="24"/>
          <w:szCs w:val="24"/>
        </w:rPr>
        <w:t>tis</w:t>
      </w:r>
      <w:r w:rsidRPr="00BF28A9">
        <w:rPr>
          <w:rFonts w:ascii="Times New Roman" w:hAnsi="Times New Roman"/>
          <w:sz w:val="24"/>
          <w:szCs w:val="24"/>
        </w:rPr>
        <w:t> eur),</w:t>
      </w:r>
    </w:p>
    <w:p w14:paraId="29037913" w14:textId="04D8C6F9" w:rsidR="004C6700" w:rsidRPr="00BF28A9" w:rsidRDefault="004C6700" w:rsidP="004C6700">
      <w:pPr>
        <w:pStyle w:val="Odsekzoznamu"/>
        <w:numPr>
          <w:ilvl w:val="1"/>
          <w:numId w:val="16"/>
        </w:numPr>
        <w:jc w:val="both"/>
        <w:rPr>
          <w:rFonts w:ascii="Times New Roman" w:hAnsi="Times New Roman"/>
          <w:sz w:val="24"/>
          <w:szCs w:val="24"/>
        </w:rPr>
      </w:pPr>
      <w:r w:rsidRPr="00BF28A9">
        <w:rPr>
          <w:rFonts w:ascii="Times New Roman" w:hAnsi="Times New Roman"/>
          <w:sz w:val="24"/>
          <w:szCs w:val="24"/>
        </w:rPr>
        <w:t>zdroj 11UA (</w:t>
      </w:r>
      <w:r>
        <w:rPr>
          <w:rFonts w:ascii="Times New Roman" w:hAnsi="Times New Roman"/>
          <w:sz w:val="24"/>
          <w:szCs w:val="24"/>
        </w:rPr>
        <w:t xml:space="preserve">nevyčerpané </w:t>
      </w:r>
      <w:r w:rsidRPr="00BF28A9">
        <w:rPr>
          <w:rFonts w:ascii="Times New Roman" w:hAnsi="Times New Roman"/>
          <w:sz w:val="24"/>
          <w:szCs w:val="24"/>
        </w:rPr>
        <w:t>prostriedky</w:t>
      </w:r>
      <w:r>
        <w:rPr>
          <w:rFonts w:ascii="Times New Roman" w:hAnsi="Times New Roman"/>
          <w:sz w:val="24"/>
          <w:szCs w:val="24"/>
        </w:rPr>
        <w:t xml:space="preserve"> z r. 2022) v sume 43 935 </w:t>
      </w:r>
      <w:r w:rsidR="008F3998">
        <w:rPr>
          <w:rFonts w:ascii="Times New Roman" w:hAnsi="Times New Roman"/>
          <w:sz w:val="24"/>
          <w:szCs w:val="24"/>
        </w:rPr>
        <w:t>tis.</w:t>
      </w:r>
      <w:r w:rsidRPr="00BF28A9">
        <w:rPr>
          <w:rFonts w:ascii="Times New Roman" w:hAnsi="Times New Roman"/>
          <w:sz w:val="24"/>
          <w:szCs w:val="24"/>
        </w:rPr>
        <w:t xml:space="preserve"> eur (v tom b</w:t>
      </w:r>
      <w:r>
        <w:rPr>
          <w:rFonts w:ascii="Times New Roman" w:hAnsi="Times New Roman"/>
          <w:sz w:val="24"/>
          <w:szCs w:val="24"/>
        </w:rPr>
        <w:t>ežné výdavky v sume 1 553 </w:t>
      </w:r>
      <w:r w:rsidR="008F3998">
        <w:rPr>
          <w:rFonts w:ascii="Times New Roman" w:hAnsi="Times New Roman"/>
          <w:sz w:val="24"/>
          <w:szCs w:val="24"/>
        </w:rPr>
        <w:t>tis.</w:t>
      </w:r>
      <w:r w:rsidRPr="00BF28A9">
        <w:rPr>
          <w:rFonts w:ascii="Times New Roman" w:hAnsi="Times New Roman"/>
          <w:sz w:val="24"/>
          <w:szCs w:val="24"/>
        </w:rPr>
        <w:t> eur),</w:t>
      </w:r>
    </w:p>
    <w:p w14:paraId="05489D55" w14:textId="15C0A0B5" w:rsidR="004C6700" w:rsidRPr="00BF28A9" w:rsidRDefault="004C6700" w:rsidP="004C6700">
      <w:pPr>
        <w:pStyle w:val="Odsekzoznamu"/>
        <w:numPr>
          <w:ilvl w:val="1"/>
          <w:numId w:val="17"/>
        </w:numPr>
        <w:jc w:val="both"/>
        <w:rPr>
          <w:rFonts w:ascii="Times New Roman" w:hAnsi="Times New Roman"/>
          <w:sz w:val="24"/>
          <w:szCs w:val="24"/>
        </w:rPr>
      </w:pPr>
      <w:r>
        <w:rPr>
          <w:rFonts w:ascii="Times New Roman" w:hAnsi="Times New Roman"/>
          <w:sz w:val="24"/>
          <w:szCs w:val="24"/>
        </w:rPr>
        <w:t xml:space="preserve">zdroj 131Z v sume 27 374 </w:t>
      </w:r>
      <w:r w:rsidR="008F3998">
        <w:rPr>
          <w:rFonts w:ascii="Times New Roman" w:hAnsi="Times New Roman"/>
          <w:sz w:val="24"/>
          <w:szCs w:val="24"/>
        </w:rPr>
        <w:t>tis.</w:t>
      </w:r>
      <w:r w:rsidRPr="00BF28A9">
        <w:rPr>
          <w:rFonts w:ascii="Times New Roman" w:hAnsi="Times New Roman"/>
          <w:sz w:val="24"/>
          <w:szCs w:val="24"/>
        </w:rPr>
        <w:t xml:space="preserve"> eur (v tom bežné výdavky v sume 23</w:t>
      </w:r>
      <w:r>
        <w:rPr>
          <w:rFonts w:ascii="Times New Roman" w:hAnsi="Times New Roman"/>
          <w:sz w:val="24"/>
          <w:szCs w:val="24"/>
        </w:rPr>
        <w:t> </w:t>
      </w:r>
      <w:r w:rsidRPr="00BF28A9">
        <w:rPr>
          <w:rFonts w:ascii="Times New Roman" w:hAnsi="Times New Roman"/>
          <w:sz w:val="24"/>
          <w:szCs w:val="24"/>
        </w:rPr>
        <w:t>392</w:t>
      </w:r>
      <w:r>
        <w:rPr>
          <w:rFonts w:ascii="Times New Roman" w:hAnsi="Times New Roman"/>
          <w:sz w:val="24"/>
          <w:szCs w:val="24"/>
        </w:rPr>
        <w:t> </w:t>
      </w:r>
      <w:r w:rsidR="008F3998">
        <w:rPr>
          <w:rFonts w:ascii="Times New Roman" w:hAnsi="Times New Roman"/>
          <w:sz w:val="24"/>
          <w:szCs w:val="24"/>
        </w:rPr>
        <w:t>tis.</w:t>
      </w:r>
      <w:r>
        <w:rPr>
          <w:rFonts w:ascii="Times New Roman" w:hAnsi="Times New Roman"/>
          <w:sz w:val="24"/>
          <w:szCs w:val="24"/>
        </w:rPr>
        <w:t> </w:t>
      </w:r>
      <w:r w:rsidRPr="00BF28A9">
        <w:rPr>
          <w:rFonts w:ascii="Times New Roman" w:hAnsi="Times New Roman"/>
          <w:sz w:val="24"/>
          <w:szCs w:val="24"/>
        </w:rPr>
        <w:t>eur).</w:t>
      </w:r>
    </w:p>
    <w:p w14:paraId="4DC867AC" w14:textId="02796CBA" w:rsidR="004C6700" w:rsidRPr="00092ACB" w:rsidRDefault="004C6700" w:rsidP="004C6700">
      <w:pPr>
        <w:spacing w:before="120" w:line="240" w:lineRule="auto"/>
        <w:rPr>
          <w:rFonts w:cs="Times New Roman"/>
          <w:sz w:val="24"/>
          <w:szCs w:val="24"/>
          <w:highlight w:val="yellow"/>
        </w:rPr>
      </w:pPr>
      <w:r w:rsidRPr="008A3AA5">
        <w:rPr>
          <w:rFonts w:cs="Times New Roman"/>
          <w:sz w:val="24"/>
          <w:szCs w:val="24"/>
        </w:rPr>
        <w:t>V roku 2023 sa z uvedených prost</w:t>
      </w:r>
      <w:r w:rsidR="008F3998">
        <w:rPr>
          <w:rFonts w:cs="Times New Roman"/>
          <w:sz w:val="24"/>
          <w:szCs w:val="24"/>
        </w:rPr>
        <w:t>riedkov použilo 1 646 139</w:t>
      </w:r>
      <w:r>
        <w:rPr>
          <w:rFonts w:cs="Times New Roman"/>
          <w:sz w:val="24"/>
          <w:szCs w:val="24"/>
        </w:rPr>
        <w:t xml:space="preserve"> </w:t>
      </w:r>
      <w:r w:rsidR="008F3998">
        <w:rPr>
          <w:rFonts w:cs="Times New Roman"/>
          <w:sz w:val="24"/>
          <w:szCs w:val="24"/>
        </w:rPr>
        <w:t>tis.</w:t>
      </w:r>
      <w:r w:rsidRPr="008A3AA5">
        <w:rPr>
          <w:rFonts w:cs="Times New Roman"/>
          <w:sz w:val="24"/>
          <w:szCs w:val="24"/>
        </w:rPr>
        <w:t xml:space="preserve"> eur (v tom kapitálov</w:t>
      </w:r>
      <w:r>
        <w:rPr>
          <w:rFonts w:cs="Times New Roman"/>
          <w:sz w:val="24"/>
          <w:szCs w:val="24"/>
        </w:rPr>
        <w:t xml:space="preserve">é výdavky v sume 335 309 </w:t>
      </w:r>
      <w:r w:rsidR="008F3998">
        <w:rPr>
          <w:rFonts w:cs="Times New Roman"/>
          <w:sz w:val="24"/>
          <w:szCs w:val="24"/>
        </w:rPr>
        <w:t>tis.</w:t>
      </w:r>
      <w:r w:rsidRPr="008A3AA5">
        <w:rPr>
          <w:rFonts w:cs="Times New Roman"/>
          <w:sz w:val="24"/>
          <w:szCs w:val="24"/>
        </w:rPr>
        <w:t xml:space="preserve"> eur a bežné</w:t>
      </w:r>
      <w:r w:rsidR="008F3998">
        <w:rPr>
          <w:rFonts w:cs="Times New Roman"/>
          <w:sz w:val="24"/>
          <w:szCs w:val="24"/>
        </w:rPr>
        <w:t xml:space="preserve"> výdavky v sume 1 310 829 tis.</w:t>
      </w:r>
      <w:r w:rsidRPr="008A3AA5">
        <w:rPr>
          <w:rFonts w:cs="Times New Roman"/>
          <w:sz w:val="24"/>
          <w:szCs w:val="24"/>
        </w:rPr>
        <w:t xml:space="preserve"> eur, z toho bežné výdavky podľa § 37o zákona č. 523/20</w:t>
      </w:r>
      <w:r>
        <w:rPr>
          <w:rFonts w:cs="Times New Roman"/>
          <w:sz w:val="24"/>
          <w:szCs w:val="24"/>
        </w:rPr>
        <w:t>04 Z. z. v sume 1 241 3</w:t>
      </w:r>
      <w:r w:rsidR="008F3998">
        <w:rPr>
          <w:rFonts w:cs="Times New Roman"/>
          <w:sz w:val="24"/>
          <w:szCs w:val="24"/>
        </w:rPr>
        <w:t>70</w:t>
      </w:r>
      <w:r>
        <w:rPr>
          <w:rFonts w:cs="Times New Roman"/>
          <w:sz w:val="24"/>
          <w:szCs w:val="24"/>
        </w:rPr>
        <w:t> </w:t>
      </w:r>
      <w:r w:rsidR="008F3998">
        <w:rPr>
          <w:rFonts w:cs="Times New Roman"/>
          <w:sz w:val="24"/>
          <w:szCs w:val="24"/>
        </w:rPr>
        <w:t>tis.</w:t>
      </w:r>
      <w:r w:rsidRPr="008A3AA5">
        <w:rPr>
          <w:rFonts w:cs="Times New Roman"/>
          <w:sz w:val="24"/>
          <w:szCs w:val="24"/>
        </w:rPr>
        <w:t> eur), z toho:</w:t>
      </w:r>
    </w:p>
    <w:p w14:paraId="1C3E0841" w14:textId="414BB43D" w:rsidR="004C6700" w:rsidRPr="00D50A3E" w:rsidRDefault="004C6700" w:rsidP="004C6700">
      <w:pPr>
        <w:pStyle w:val="Odsekzoznamu"/>
        <w:numPr>
          <w:ilvl w:val="0"/>
          <w:numId w:val="19"/>
        </w:numPr>
        <w:ind w:left="1134" w:hanging="425"/>
        <w:jc w:val="both"/>
        <w:rPr>
          <w:rFonts w:ascii="Times New Roman" w:hAnsi="Times New Roman"/>
          <w:sz w:val="24"/>
          <w:szCs w:val="24"/>
        </w:rPr>
      </w:pPr>
      <w:r w:rsidRPr="00D50A3E">
        <w:rPr>
          <w:rFonts w:ascii="Times New Roman" w:hAnsi="Times New Roman"/>
          <w:sz w:val="24"/>
          <w:szCs w:val="24"/>
        </w:rPr>
        <w:t>zdroj 131L (</w:t>
      </w:r>
      <w:r>
        <w:rPr>
          <w:rFonts w:ascii="Times New Roman" w:hAnsi="Times New Roman"/>
          <w:sz w:val="24"/>
          <w:szCs w:val="24"/>
        </w:rPr>
        <w:t xml:space="preserve">nevyčerpané </w:t>
      </w:r>
      <w:r w:rsidRPr="00D50A3E">
        <w:rPr>
          <w:rFonts w:ascii="Times New Roman" w:hAnsi="Times New Roman"/>
          <w:sz w:val="24"/>
          <w:szCs w:val="24"/>
        </w:rPr>
        <w:t xml:space="preserve">prostriedky </w:t>
      </w:r>
      <w:r>
        <w:rPr>
          <w:rFonts w:ascii="Times New Roman" w:hAnsi="Times New Roman"/>
          <w:sz w:val="24"/>
          <w:szCs w:val="24"/>
        </w:rPr>
        <w:t xml:space="preserve">z r. 2021) v sume 190 388 </w:t>
      </w:r>
      <w:r w:rsidR="008F3998">
        <w:rPr>
          <w:rFonts w:ascii="Times New Roman" w:hAnsi="Times New Roman"/>
          <w:sz w:val="24"/>
          <w:szCs w:val="24"/>
        </w:rPr>
        <w:t>tis.</w:t>
      </w:r>
      <w:r w:rsidRPr="00D50A3E">
        <w:rPr>
          <w:rFonts w:ascii="Times New Roman" w:hAnsi="Times New Roman"/>
          <w:sz w:val="24"/>
          <w:szCs w:val="24"/>
        </w:rPr>
        <w:t xml:space="preserve"> eur (v tom b</w:t>
      </w:r>
      <w:r>
        <w:rPr>
          <w:rFonts w:ascii="Times New Roman" w:hAnsi="Times New Roman"/>
          <w:sz w:val="24"/>
          <w:szCs w:val="24"/>
        </w:rPr>
        <w:t>ežné výdavky v sume 6 482 </w:t>
      </w:r>
      <w:r w:rsidR="008F3998">
        <w:rPr>
          <w:rFonts w:ascii="Times New Roman" w:hAnsi="Times New Roman"/>
          <w:sz w:val="24"/>
          <w:szCs w:val="24"/>
        </w:rPr>
        <w:t>tis.</w:t>
      </w:r>
      <w:r w:rsidRPr="00D50A3E">
        <w:rPr>
          <w:rFonts w:ascii="Times New Roman" w:hAnsi="Times New Roman"/>
          <w:sz w:val="24"/>
          <w:szCs w:val="24"/>
        </w:rPr>
        <w:t> eur),</w:t>
      </w:r>
    </w:p>
    <w:p w14:paraId="12CF6621" w14:textId="6A802BD1" w:rsidR="004C6700" w:rsidRPr="00D50A3E" w:rsidRDefault="004C6700" w:rsidP="004C6700">
      <w:pPr>
        <w:pStyle w:val="Odsekzoznamu"/>
        <w:numPr>
          <w:ilvl w:val="0"/>
          <w:numId w:val="19"/>
        </w:numPr>
        <w:ind w:left="1134" w:hanging="425"/>
        <w:jc w:val="both"/>
        <w:rPr>
          <w:rFonts w:ascii="Times New Roman" w:hAnsi="Times New Roman"/>
          <w:sz w:val="24"/>
          <w:szCs w:val="24"/>
        </w:rPr>
      </w:pPr>
      <w:r w:rsidRPr="00D50A3E">
        <w:rPr>
          <w:rFonts w:ascii="Times New Roman" w:hAnsi="Times New Roman"/>
          <w:sz w:val="24"/>
          <w:szCs w:val="24"/>
        </w:rPr>
        <w:t>zdroj 131M (</w:t>
      </w:r>
      <w:r>
        <w:rPr>
          <w:rFonts w:ascii="Times New Roman" w:hAnsi="Times New Roman"/>
          <w:sz w:val="24"/>
          <w:szCs w:val="24"/>
        </w:rPr>
        <w:t xml:space="preserve">nevyčerpané </w:t>
      </w:r>
      <w:r w:rsidRPr="00D50A3E">
        <w:rPr>
          <w:rFonts w:ascii="Times New Roman" w:hAnsi="Times New Roman"/>
          <w:sz w:val="24"/>
          <w:szCs w:val="24"/>
        </w:rPr>
        <w:t>prostriedky z </w:t>
      </w:r>
      <w:r>
        <w:rPr>
          <w:rFonts w:ascii="Times New Roman" w:hAnsi="Times New Roman"/>
          <w:sz w:val="24"/>
          <w:szCs w:val="24"/>
        </w:rPr>
        <w:t>r. 2022) v sume 1 393 61</w:t>
      </w:r>
      <w:r w:rsidR="008F3998">
        <w:rPr>
          <w:rFonts w:ascii="Times New Roman" w:hAnsi="Times New Roman"/>
          <w:sz w:val="24"/>
          <w:szCs w:val="24"/>
        </w:rPr>
        <w:t>9</w:t>
      </w:r>
      <w:r>
        <w:rPr>
          <w:rFonts w:ascii="Times New Roman" w:hAnsi="Times New Roman"/>
          <w:sz w:val="24"/>
          <w:szCs w:val="24"/>
        </w:rPr>
        <w:t xml:space="preserve"> </w:t>
      </w:r>
      <w:r w:rsidR="008F3998">
        <w:rPr>
          <w:rFonts w:ascii="Times New Roman" w:hAnsi="Times New Roman"/>
          <w:sz w:val="24"/>
          <w:szCs w:val="24"/>
        </w:rPr>
        <w:t>tis.</w:t>
      </w:r>
      <w:r w:rsidRPr="00D50A3E">
        <w:rPr>
          <w:rFonts w:ascii="Times New Roman" w:hAnsi="Times New Roman"/>
          <w:sz w:val="24"/>
          <w:szCs w:val="24"/>
        </w:rPr>
        <w:t xml:space="preserve"> eur (v tom bežné výdavky v sume 1 </w:t>
      </w:r>
      <w:r>
        <w:rPr>
          <w:rFonts w:ascii="Times New Roman" w:hAnsi="Times New Roman"/>
          <w:sz w:val="24"/>
          <w:szCs w:val="24"/>
        </w:rPr>
        <w:t>261 94</w:t>
      </w:r>
      <w:r w:rsidR="008F3998">
        <w:rPr>
          <w:rFonts w:ascii="Times New Roman" w:hAnsi="Times New Roman"/>
          <w:sz w:val="24"/>
          <w:szCs w:val="24"/>
        </w:rPr>
        <w:t>6</w:t>
      </w:r>
      <w:r>
        <w:rPr>
          <w:rFonts w:ascii="Times New Roman" w:hAnsi="Times New Roman"/>
          <w:sz w:val="24"/>
          <w:szCs w:val="24"/>
        </w:rPr>
        <w:t> </w:t>
      </w:r>
      <w:r w:rsidR="008F3998">
        <w:rPr>
          <w:rFonts w:ascii="Times New Roman" w:hAnsi="Times New Roman"/>
          <w:sz w:val="24"/>
          <w:szCs w:val="24"/>
        </w:rPr>
        <w:t>tis.</w:t>
      </w:r>
      <w:r w:rsidRPr="00D50A3E">
        <w:rPr>
          <w:rFonts w:ascii="Times New Roman" w:hAnsi="Times New Roman"/>
          <w:sz w:val="24"/>
          <w:szCs w:val="24"/>
        </w:rPr>
        <w:t xml:space="preserve"> eur, z toho bežné výdavky podľa § 37o zákona č.</w:t>
      </w:r>
      <w:r>
        <w:rPr>
          <w:rFonts w:ascii="Times New Roman" w:hAnsi="Times New Roman"/>
          <w:sz w:val="24"/>
          <w:szCs w:val="24"/>
        </w:rPr>
        <w:t> </w:t>
      </w:r>
      <w:r w:rsidRPr="00D50A3E">
        <w:rPr>
          <w:rFonts w:ascii="Times New Roman" w:hAnsi="Times New Roman"/>
          <w:sz w:val="24"/>
          <w:szCs w:val="24"/>
        </w:rPr>
        <w:t>523/20</w:t>
      </w:r>
      <w:r>
        <w:rPr>
          <w:rFonts w:ascii="Times New Roman" w:hAnsi="Times New Roman"/>
          <w:sz w:val="24"/>
          <w:szCs w:val="24"/>
        </w:rPr>
        <w:t>04 Z. z. v sume 1 241 3</w:t>
      </w:r>
      <w:r w:rsidR="008F3998">
        <w:rPr>
          <w:rFonts w:ascii="Times New Roman" w:hAnsi="Times New Roman"/>
          <w:sz w:val="24"/>
          <w:szCs w:val="24"/>
        </w:rPr>
        <w:t>70</w:t>
      </w:r>
      <w:r>
        <w:rPr>
          <w:rFonts w:ascii="Times New Roman" w:hAnsi="Times New Roman"/>
          <w:sz w:val="24"/>
          <w:szCs w:val="24"/>
        </w:rPr>
        <w:t> </w:t>
      </w:r>
      <w:r w:rsidR="008F3998">
        <w:rPr>
          <w:rFonts w:ascii="Times New Roman" w:hAnsi="Times New Roman"/>
          <w:sz w:val="24"/>
          <w:szCs w:val="24"/>
        </w:rPr>
        <w:t>tis.</w:t>
      </w:r>
      <w:r w:rsidRPr="00D50A3E">
        <w:rPr>
          <w:rFonts w:ascii="Times New Roman" w:hAnsi="Times New Roman"/>
          <w:sz w:val="24"/>
          <w:szCs w:val="24"/>
        </w:rPr>
        <w:t> eur),</w:t>
      </w:r>
    </w:p>
    <w:p w14:paraId="398DC286" w14:textId="3EC96104" w:rsidR="004C6700" w:rsidRPr="00D50A3E" w:rsidRDefault="004C6700" w:rsidP="004C6700">
      <w:pPr>
        <w:pStyle w:val="Odsekzoznamu"/>
        <w:numPr>
          <w:ilvl w:val="0"/>
          <w:numId w:val="19"/>
        </w:numPr>
        <w:ind w:left="1134" w:hanging="425"/>
        <w:jc w:val="both"/>
        <w:rPr>
          <w:rFonts w:ascii="Times New Roman" w:hAnsi="Times New Roman"/>
          <w:sz w:val="24"/>
          <w:szCs w:val="24"/>
        </w:rPr>
      </w:pPr>
      <w:r w:rsidRPr="00D50A3E">
        <w:rPr>
          <w:rFonts w:ascii="Times New Roman" w:hAnsi="Times New Roman"/>
          <w:sz w:val="24"/>
          <w:szCs w:val="24"/>
        </w:rPr>
        <w:t>zdroj 3UAM (</w:t>
      </w:r>
      <w:r>
        <w:rPr>
          <w:rFonts w:ascii="Times New Roman" w:hAnsi="Times New Roman"/>
          <w:sz w:val="24"/>
          <w:szCs w:val="24"/>
        </w:rPr>
        <w:t xml:space="preserve">nevyčerpané </w:t>
      </w:r>
      <w:r w:rsidRPr="00D50A3E">
        <w:rPr>
          <w:rFonts w:ascii="Times New Roman" w:hAnsi="Times New Roman"/>
          <w:sz w:val="24"/>
          <w:szCs w:val="24"/>
        </w:rPr>
        <w:t>prostriedky</w:t>
      </w:r>
      <w:r>
        <w:rPr>
          <w:rFonts w:ascii="Times New Roman" w:hAnsi="Times New Roman"/>
          <w:sz w:val="24"/>
          <w:szCs w:val="24"/>
        </w:rPr>
        <w:t xml:space="preserve"> z r. 2022) v sume 21 287 </w:t>
      </w:r>
      <w:r w:rsidR="008F3998">
        <w:rPr>
          <w:rFonts w:ascii="Times New Roman" w:hAnsi="Times New Roman"/>
          <w:sz w:val="24"/>
          <w:szCs w:val="24"/>
        </w:rPr>
        <w:t>tis.</w:t>
      </w:r>
      <w:r w:rsidRPr="00D50A3E">
        <w:rPr>
          <w:rFonts w:ascii="Times New Roman" w:hAnsi="Times New Roman"/>
          <w:sz w:val="24"/>
          <w:szCs w:val="24"/>
        </w:rPr>
        <w:t xml:space="preserve"> eur (v tom b</w:t>
      </w:r>
      <w:r>
        <w:rPr>
          <w:rFonts w:ascii="Times New Roman" w:hAnsi="Times New Roman"/>
          <w:sz w:val="24"/>
          <w:szCs w:val="24"/>
        </w:rPr>
        <w:t>ežné výdavky v sume 1 55</w:t>
      </w:r>
      <w:r w:rsidR="008F3998">
        <w:rPr>
          <w:rFonts w:ascii="Times New Roman" w:hAnsi="Times New Roman"/>
          <w:sz w:val="24"/>
          <w:szCs w:val="24"/>
        </w:rPr>
        <w:t>7</w:t>
      </w:r>
      <w:r>
        <w:rPr>
          <w:rFonts w:ascii="Times New Roman" w:hAnsi="Times New Roman"/>
          <w:sz w:val="24"/>
          <w:szCs w:val="24"/>
        </w:rPr>
        <w:t> </w:t>
      </w:r>
      <w:r w:rsidR="008F3998">
        <w:rPr>
          <w:rFonts w:ascii="Times New Roman" w:hAnsi="Times New Roman"/>
          <w:sz w:val="24"/>
          <w:szCs w:val="24"/>
        </w:rPr>
        <w:t>tis.</w:t>
      </w:r>
      <w:r w:rsidRPr="00D50A3E">
        <w:rPr>
          <w:rFonts w:ascii="Times New Roman" w:hAnsi="Times New Roman"/>
          <w:sz w:val="24"/>
          <w:szCs w:val="24"/>
        </w:rPr>
        <w:t> eur),</w:t>
      </w:r>
    </w:p>
    <w:p w14:paraId="0E6C73E9" w14:textId="756D351C" w:rsidR="004C6700" w:rsidRPr="00D50A3E" w:rsidRDefault="004C6700" w:rsidP="004C6700">
      <w:pPr>
        <w:pStyle w:val="Odsekzoznamu"/>
        <w:numPr>
          <w:ilvl w:val="0"/>
          <w:numId w:val="19"/>
        </w:numPr>
        <w:ind w:left="1134" w:hanging="425"/>
        <w:jc w:val="both"/>
        <w:rPr>
          <w:rFonts w:ascii="Times New Roman" w:hAnsi="Times New Roman"/>
          <w:sz w:val="24"/>
          <w:szCs w:val="24"/>
        </w:rPr>
      </w:pPr>
      <w:r>
        <w:rPr>
          <w:rFonts w:ascii="Times New Roman" w:hAnsi="Times New Roman"/>
          <w:sz w:val="24"/>
          <w:szCs w:val="24"/>
        </w:rPr>
        <w:t>zdroj 131Z v sume 40 84</w:t>
      </w:r>
      <w:r w:rsidR="008F3998">
        <w:rPr>
          <w:rFonts w:ascii="Times New Roman" w:hAnsi="Times New Roman"/>
          <w:sz w:val="24"/>
          <w:szCs w:val="24"/>
        </w:rPr>
        <w:t>5</w:t>
      </w:r>
      <w:r>
        <w:rPr>
          <w:rFonts w:ascii="Times New Roman" w:hAnsi="Times New Roman"/>
          <w:sz w:val="24"/>
          <w:szCs w:val="24"/>
        </w:rPr>
        <w:t xml:space="preserve"> </w:t>
      </w:r>
      <w:r w:rsidR="008F3998">
        <w:rPr>
          <w:rFonts w:ascii="Times New Roman" w:hAnsi="Times New Roman"/>
          <w:sz w:val="24"/>
          <w:szCs w:val="24"/>
        </w:rPr>
        <w:t>tis.</w:t>
      </w:r>
      <w:r w:rsidRPr="00D50A3E">
        <w:rPr>
          <w:rFonts w:ascii="Times New Roman" w:hAnsi="Times New Roman"/>
          <w:sz w:val="24"/>
          <w:szCs w:val="24"/>
        </w:rPr>
        <w:t xml:space="preserve"> eur (v tom bežné výdavky v sume 40</w:t>
      </w:r>
      <w:r>
        <w:rPr>
          <w:rFonts w:ascii="Times New Roman" w:hAnsi="Times New Roman"/>
          <w:sz w:val="24"/>
          <w:szCs w:val="24"/>
        </w:rPr>
        <w:t> </w:t>
      </w:r>
      <w:r w:rsidRPr="00D50A3E">
        <w:rPr>
          <w:rFonts w:ascii="Times New Roman" w:hAnsi="Times New Roman"/>
          <w:sz w:val="24"/>
          <w:szCs w:val="24"/>
        </w:rPr>
        <w:t>84</w:t>
      </w:r>
      <w:r w:rsidR="008F3998">
        <w:rPr>
          <w:rFonts w:ascii="Times New Roman" w:hAnsi="Times New Roman"/>
          <w:sz w:val="24"/>
          <w:szCs w:val="24"/>
        </w:rPr>
        <w:t>5</w:t>
      </w:r>
      <w:r>
        <w:rPr>
          <w:rFonts w:ascii="Times New Roman" w:hAnsi="Times New Roman"/>
          <w:sz w:val="24"/>
          <w:szCs w:val="24"/>
        </w:rPr>
        <w:t> </w:t>
      </w:r>
      <w:r w:rsidR="008F3998">
        <w:rPr>
          <w:rFonts w:ascii="Times New Roman" w:hAnsi="Times New Roman"/>
          <w:sz w:val="24"/>
          <w:szCs w:val="24"/>
        </w:rPr>
        <w:t>tis.</w:t>
      </w:r>
      <w:r>
        <w:rPr>
          <w:rFonts w:ascii="Times New Roman" w:hAnsi="Times New Roman"/>
          <w:sz w:val="24"/>
          <w:szCs w:val="24"/>
        </w:rPr>
        <w:t> </w:t>
      </w:r>
      <w:r w:rsidRPr="00D50A3E">
        <w:rPr>
          <w:rFonts w:ascii="Times New Roman" w:hAnsi="Times New Roman"/>
          <w:sz w:val="24"/>
          <w:szCs w:val="24"/>
        </w:rPr>
        <w:t>eur).</w:t>
      </w:r>
    </w:p>
    <w:p w14:paraId="71A77454" w14:textId="3632508C" w:rsidR="004C6700" w:rsidRPr="00092ACB" w:rsidRDefault="004C6700" w:rsidP="004C6700">
      <w:pPr>
        <w:spacing w:before="120" w:line="240" w:lineRule="auto"/>
        <w:rPr>
          <w:rFonts w:cs="Times New Roman"/>
          <w:sz w:val="24"/>
          <w:szCs w:val="24"/>
          <w:highlight w:val="yellow"/>
        </w:rPr>
      </w:pPr>
      <w:r w:rsidRPr="006C53C4">
        <w:rPr>
          <w:rFonts w:cs="Times New Roman"/>
          <w:sz w:val="24"/>
          <w:szCs w:val="24"/>
        </w:rPr>
        <w:t>V</w:t>
      </w:r>
      <w:r w:rsidRPr="003308FA">
        <w:rPr>
          <w:rFonts w:cs="Times New Roman"/>
          <w:sz w:val="24"/>
          <w:szCs w:val="24"/>
        </w:rPr>
        <w:t xml:space="preserve"> roku</w:t>
      </w:r>
      <w:r w:rsidRPr="00D50A3E">
        <w:rPr>
          <w:rFonts w:cs="Times New Roman"/>
          <w:sz w:val="24"/>
          <w:szCs w:val="24"/>
        </w:rPr>
        <w:t xml:space="preserve"> 2023 sa podľa § 8 a § 37o zákona č. 523/2004 Z. z. viazali prostriedky rozpočtované v rokoch 2022 a 2023 na použitie do nasledujúceho rozpočtového roka v sume 1</w:t>
      </w:r>
      <w:r>
        <w:rPr>
          <w:rFonts w:cs="Times New Roman"/>
          <w:sz w:val="24"/>
          <w:szCs w:val="24"/>
        </w:rPr>
        <w:t> </w:t>
      </w:r>
      <w:r w:rsidRPr="00D50A3E">
        <w:rPr>
          <w:rFonts w:cs="Times New Roman"/>
          <w:sz w:val="24"/>
          <w:szCs w:val="24"/>
        </w:rPr>
        <w:t>290</w:t>
      </w:r>
      <w:r>
        <w:rPr>
          <w:rFonts w:cs="Times New Roman"/>
          <w:sz w:val="24"/>
          <w:szCs w:val="24"/>
        </w:rPr>
        <w:t> </w:t>
      </w:r>
      <w:r w:rsidRPr="00D50A3E">
        <w:rPr>
          <w:rFonts w:cs="Times New Roman"/>
          <w:sz w:val="24"/>
          <w:szCs w:val="24"/>
        </w:rPr>
        <w:t>59</w:t>
      </w:r>
      <w:r w:rsidR="008F3998">
        <w:rPr>
          <w:rFonts w:cs="Times New Roman"/>
          <w:sz w:val="24"/>
          <w:szCs w:val="24"/>
        </w:rPr>
        <w:t>7</w:t>
      </w:r>
      <w:r>
        <w:rPr>
          <w:rFonts w:cs="Times New Roman"/>
          <w:sz w:val="24"/>
          <w:szCs w:val="24"/>
        </w:rPr>
        <w:t> </w:t>
      </w:r>
      <w:r w:rsidR="008F3998">
        <w:rPr>
          <w:rFonts w:cs="Times New Roman"/>
          <w:sz w:val="24"/>
          <w:szCs w:val="24"/>
        </w:rPr>
        <w:t>tis.</w:t>
      </w:r>
      <w:r>
        <w:rPr>
          <w:rFonts w:cs="Times New Roman"/>
          <w:sz w:val="24"/>
          <w:szCs w:val="24"/>
        </w:rPr>
        <w:t> </w:t>
      </w:r>
      <w:r w:rsidRPr="00D50A3E">
        <w:rPr>
          <w:rFonts w:cs="Times New Roman"/>
          <w:sz w:val="24"/>
          <w:szCs w:val="24"/>
        </w:rPr>
        <w:t>eur (v tom kapitálové výdavky v sume 704 640 </w:t>
      </w:r>
      <w:r w:rsidR="008F3998">
        <w:rPr>
          <w:rFonts w:cs="Times New Roman"/>
          <w:sz w:val="24"/>
          <w:szCs w:val="24"/>
        </w:rPr>
        <w:t>tis.</w:t>
      </w:r>
      <w:r w:rsidRPr="00D50A3E">
        <w:rPr>
          <w:rFonts w:cs="Times New Roman"/>
          <w:sz w:val="24"/>
          <w:szCs w:val="24"/>
        </w:rPr>
        <w:t xml:space="preserve"> eur a bežné výdavky v sume 585 956 </w:t>
      </w:r>
      <w:r w:rsidR="008F3998">
        <w:rPr>
          <w:rFonts w:cs="Times New Roman"/>
          <w:sz w:val="24"/>
          <w:szCs w:val="24"/>
        </w:rPr>
        <w:t>tis.</w:t>
      </w:r>
      <w:r w:rsidRPr="00D50A3E">
        <w:rPr>
          <w:rFonts w:cs="Times New Roman"/>
          <w:sz w:val="24"/>
          <w:szCs w:val="24"/>
        </w:rPr>
        <w:t xml:space="preserve"> eur, z</w:t>
      </w:r>
      <w:r>
        <w:rPr>
          <w:rFonts w:cs="Times New Roman"/>
          <w:sz w:val="24"/>
          <w:szCs w:val="24"/>
        </w:rPr>
        <w:t> </w:t>
      </w:r>
      <w:r w:rsidRPr="00D50A3E">
        <w:rPr>
          <w:rFonts w:cs="Times New Roman"/>
          <w:sz w:val="24"/>
          <w:szCs w:val="24"/>
        </w:rPr>
        <w:t xml:space="preserve">toho bežné výdavky podľa § 37o zákona č. </w:t>
      </w:r>
      <w:r>
        <w:rPr>
          <w:rFonts w:cs="Times New Roman"/>
          <w:sz w:val="24"/>
          <w:szCs w:val="24"/>
        </w:rPr>
        <w:t>523/2004 Z. z. v sume 558 33</w:t>
      </w:r>
      <w:r w:rsidR="008F3998">
        <w:rPr>
          <w:rFonts w:cs="Times New Roman"/>
          <w:sz w:val="24"/>
          <w:szCs w:val="24"/>
        </w:rPr>
        <w:t>7</w:t>
      </w:r>
      <w:r>
        <w:rPr>
          <w:rFonts w:cs="Times New Roman"/>
          <w:sz w:val="24"/>
          <w:szCs w:val="24"/>
        </w:rPr>
        <w:t> </w:t>
      </w:r>
      <w:r w:rsidR="008F3998">
        <w:rPr>
          <w:rFonts w:cs="Times New Roman"/>
          <w:sz w:val="24"/>
          <w:szCs w:val="24"/>
        </w:rPr>
        <w:t>tis.</w:t>
      </w:r>
      <w:r>
        <w:rPr>
          <w:rFonts w:cs="Times New Roman"/>
          <w:sz w:val="24"/>
          <w:szCs w:val="24"/>
        </w:rPr>
        <w:t> </w:t>
      </w:r>
      <w:r w:rsidRPr="00D50A3E">
        <w:rPr>
          <w:rFonts w:cs="Times New Roman"/>
          <w:sz w:val="24"/>
          <w:szCs w:val="24"/>
        </w:rPr>
        <w:t>eur), z toho:</w:t>
      </w:r>
    </w:p>
    <w:p w14:paraId="4026ADAE" w14:textId="3AB3E6A7" w:rsidR="004C6700" w:rsidRPr="00D50A3E" w:rsidRDefault="004C6700" w:rsidP="004C6700">
      <w:pPr>
        <w:pStyle w:val="Odsekzoznamu"/>
        <w:numPr>
          <w:ilvl w:val="0"/>
          <w:numId w:val="19"/>
        </w:numPr>
        <w:ind w:left="1134" w:hanging="425"/>
        <w:jc w:val="both"/>
        <w:rPr>
          <w:rFonts w:ascii="Times New Roman" w:hAnsi="Times New Roman"/>
          <w:sz w:val="24"/>
          <w:szCs w:val="24"/>
        </w:rPr>
      </w:pPr>
      <w:r w:rsidRPr="00D50A3E">
        <w:rPr>
          <w:rFonts w:ascii="Times New Roman" w:hAnsi="Times New Roman"/>
          <w:sz w:val="24"/>
          <w:szCs w:val="24"/>
        </w:rPr>
        <w:t>zdroj 131M (</w:t>
      </w:r>
      <w:r>
        <w:rPr>
          <w:rFonts w:ascii="Times New Roman" w:hAnsi="Times New Roman"/>
          <w:sz w:val="24"/>
          <w:szCs w:val="24"/>
        </w:rPr>
        <w:t xml:space="preserve">nevyčerpané </w:t>
      </w:r>
      <w:r w:rsidRPr="00D50A3E">
        <w:rPr>
          <w:rFonts w:ascii="Times New Roman" w:hAnsi="Times New Roman"/>
          <w:sz w:val="24"/>
          <w:szCs w:val="24"/>
        </w:rPr>
        <w:t>prostriedky z r. 2022) v sume 255 95</w:t>
      </w:r>
      <w:r w:rsidR="008F3998">
        <w:rPr>
          <w:rFonts w:ascii="Times New Roman" w:hAnsi="Times New Roman"/>
          <w:sz w:val="24"/>
          <w:szCs w:val="24"/>
        </w:rPr>
        <w:t>1</w:t>
      </w:r>
      <w:r w:rsidRPr="00D50A3E">
        <w:rPr>
          <w:rFonts w:ascii="Times New Roman" w:hAnsi="Times New Roman"/>
          <w:sz w:val="24"/>
          <w:szCs w:val="24"/>
        </w:rPr>
        <w:t xml:space="preserve"> </w:t>
      </w:r>
      <w:r w:rsidR="008F3998">
        <w:rPr>
          <w:rFonts w:ascii="Times New Roman" w:hAnsi="Times New Roman"/>
          <w:sz w:val="24"/>
          <w:szCs w:val="24"/>
        </w:rPr>
        <w:t>tis.</w:t>
      </w:r>
      <w:r w:rsidRPr="00D50A3E">
        <w:rPr>
          <w:rFonts w:ascii="Times New Roman" w:hAnsi="Times New Roman"/>
          <w:sz w:val="24"/>
          <w:szCs w:val="24"/>
        </w:rPr>
        <w:t xml:space="preserve"> eur (v tom bežné výdavky spolu v sume 186 053 </w:t>
      </w:r>
      <w:r w:rsidR="008F3998">
        <w:rPr>
          <w:rFonts w:ascii="Times New Roman" w:hAnsi="Times New Roman"/>
          <w:sz w:val="24"/>
          <w:szCs w:val="24"/>
        </w:rPr>
        <w:t>tis.</w:t>
      </w:r>
      <w:r w:rsidRPr="00D50A3E">
        <w:rPr>
          <w:rFonts w:ascii="Times New Roman" w:hAnsi="Times New Roman"/>
          <w:sz w:val="24"/>
          <w:szCs w:val="24"/>
        </w:rPr>
        <w:t xml:space="preserve"> eur, z toho bežné výdavky podľa §37o zákona č.</w:t>
      </w:r>
      <w:r>
        <w:rPr>
          <w:rFonts w:ascii="Times New Roman" w:hAnsi="Times New Roman"/>
          <w:sz w:val="24"/>
          <w:szCs w:val="24"/>
        </w:rPr>
        <w:t> </w:t>
      </w:r>
      <w:r w:rsidRPr="00D50A3E">
        <w:rPr>
          <w:rFonts w:ascii="Times New Roman" w:hAnsi="Times New Roman"/>
          <w:sz w:val="24"/>
          <w:szCs w:val="24"/>
        </w:rPr>
        <w:t>523/2004</w:t>
      </w:r>
      <w:r>
        <w:rPr>
          <w:rFonts w:ascii="Times New Roman" w:hAnsi="Times New Roman"/>
          <w:sz w:val="24"/>
          <w:szCs w:val="24"/>
        </w:rPr>
        <w:t> </w:t>
      </w:r>
      <w:r w:rsidRPr="00D50A3E">
        <w:rPr>
          <w:rFonts w:ascii="Times New Roman" w:hAnsi="Times New Roman"/>
          <w:sz w:val="24"/>
          <w:szCs w:val="24"/>
        </w:rPr>
        <w:t>Z. z. v sume 184 78</w:t>
      </w:r>
      <w:r w:rsidR="008F3998">
        <w:rPr>
          <w:rFonts w:ascii="Times New Roman" w:hAnsi="Times New Roman"/>
          <w:sz w:val="24"/>
          <w:szCs w:val="24"/>
        </w:rPr>
        <w:t>1 tis.</w:t>
      </w:r>
      <w:r w:rsidRPr="00D50A3E">
        <w:rPr>
          <w:rFonts w:ascii="Times New Roman" w:hAnsi="Times New Roman"/>
          <w:sz w:val="24"/>
          <w:szCs w:val="24"/>
        </w:rPr>
        <w:t xml:space="preserve"> eur),</w:t>
      </w:r>
    </w:p>
    <w:p w14:paraId="26E1CD18" w14:textId="6004A19E" w:rsidR="004C6700" w:rsidRPr="00D50A3E" w:rsidRDefault="004C6700" w:rsidP="004C6700">
      <w:pPr>
        <w:pStyle w:val="Odsekzoznamu"/>
        <w:numPr>
          <w:ilvl w:val="0"/>
          <w:numId w:val="19"/>
        </w:numPr>
        <w:ind w:left="1134" w:hanging="425"/>
        <w:jc w:val="both"/>
        <w:rPr>
          <w:rFonts w:ascii="Times New Roman" w:hAnsi="Times New Roman"/>
          <w:sz w:val="24"/>
          <w:szCs w:val="24"/>
        </w:rPr>
      </w:pPr>
      <w:r w:rsidRPr="00D50A3E">
        <w:rPr>
          <w:rFonts w:ascii="Times New Roman" w:hAnsi="Times New Roman"/>
          <w:sz w:val="24"/>
          <w:szCs w:val="24"/>
        </w:rPr>
        <w:t>zdroj 111 (</w:t>
      </w:r>
      <w:r>
        <w:rPr>
          <w:rFonts w:ascii="Times New Roman" w:hAnsi="Times New Roman"/>
          <w:sz w:val="24"/>
          <w:szCs w:val="24"/>
        </w:rPr>
        <w:t xml:space="preserve">nevyčerpané </w:t>
      </w:r>
      <w:r w:rsidRPr="00D50A3E">
        <w:rPr>
          <w:rFonts w:ascii="Times New Roman" w:hAnsi="Times New Roman"/>
          <w:sz w:val="24"/>
          <w:szCs w:val="24"/>
        </w:rPr>
        <w:t xml:space="preserve">prostriedky z r. 2023) v sume 1 000 447 </w:t>
      </w:r>
      <w:r w:rsidR="008F3998">
        <w:rPr>
          <w:rFonts w:ascii="Times New Roman" w:hAnsi="Times New Roman"/>
          <w:sz w:val="24"/>
          <w:szCs w:val="24"/>
        </w:rPr>
        <w:t>tis.</w:t>
      </w:r>
      <w:r w:rsidRPr="00D50A3E">
        <w:rPr>
          <w:rFonts w:ascii="Times New Roman" w:hAnsi="Times New Roman"/>
          <w:sz w:val="24"/>
          <w:szCs w:val="24"/>
        </w:rPr>
        <w:t xml:space="preserve"> eur (v tom bežné výdavky spolu v sume 392 647 </w:t>
      </w:r>
      <w:r w:rsidR="008F3998">
        <w:rPr>
          <w:rFonts w:ascii="Times New Roman" w:hAnsi="Times New Roman"/>
          <w:sz w:val="24"/>
          <w:szCs w:val="24"/>
        </w:rPr>
        <w:t>tis.</w:t>
      </w:r>
      <w:r w:rsidRPr="00D50A3E">
        <w:rPr>
          <w:rFonts w:ascii="Times New Roman" w:hAnsi="Times New Roman"/>
          <w:sz w:val="24"/>
          <w:szCs w:val="24"/>
        </w:rPr>
        <w:t xml:space="preserve"> eur, z toho bežné výdavky podľa § 37o zákona č.</w:t>
      </w:r>
      <w:r>
        <w:rPr>
          <w:rFonts w:ascii="Times New Roman" w:hAnsi="Times New Roman"/>
          <w:sz w:val="24"/>
          <w:szCs w:val="24"/>
        </w:rPr>
        <w:t> </w:t>
      </w:r>
      <w:r w:rsidRPr="00D50A3E">
        <w:rPr>
          <w:rFonts w:ascii="Times New Roman" w:hAnsi="Times New Roman"/>
          <w:sz w:val="24"/>
          <w:szCs w:val="24"/>
        </w:rPr>
        <w:t>523/2004</w:t>
      </w:r>
      <w:r>
        <w:rPr>
          <w:rFonts w:ascii="Times New Roman" w:hAnsi="Times New Roman"/>
          <w:sz w:val="24"/>
          <w:szCs w:val="24"/>
        </w:rPr>
        <w:t> </w:t>
      </w:r>
      <w:r w:rsidRPr="00D50A3E">
        <w:rPr>
          <w:rFonts w:ascii="Times New Roman" w:hAnsi="Times New Roman"/>
          <w:sz w:val="24"/>
          <w:szCs w:val="24"/>
        </w:rPr>
        <w:t>Z. z. v sume 373 55</w:t>
      </w:r>
      <w:r w:rsidR="008F3998">
        <w:rPr>
          <w:rFonts w:ascii="Times New Roman" w:hAnsi="Times New Roman"/>
          <w:sz w:val="24"/>
          <w:szCs w:val="24"/>
        </w:rPr>
        <w:t>6</w:t>
      </w:r>
      <w:r w:rsidRPr="00D50A3E">
        <w:rPr>
          <w:rFonts w:ascii="Times New Roman" w:hAnsi="Times New Roman"/>
          <w:sz w:val="24"/>
          <w:szCs w:val="24"/>
        </w:rPr>
        <w:t> </w:t>
      </w:r>
      <w:r w:rsidR="008F3998">
        <w:rPr>
          <w:rFonts w:ascii="Times New Roman" w:hAnsi="Times New Roman"/>
          <w:sz w:val="24"/>
          <w:szCs w:val="24"/>
        </w:rPr>
        <w:t>tis.</w:t>
      </w:r>
      <w:r w:rsidRPr="00D50A3E">
        <w:rPr>
          <w:rFonts w:ascii="Times New Roman" w:hAnsi="Times New Roman"/>
          <w:sz w:val="24"/>
          <w:szCs w:val="24"/>
        </w:rPr>
        <w:t xml:space="preserve"> eur),</w:t>
      </w:r>
    </w:p>
    <w:p w14:paraId="3F85E63D" w14:textId="3BEDFE19" w:rsidR="004C6700" w:rsidRPr="00D50A3E" w:rsidRDefault="004C6700" w:rsidP="004C6700">
      <w:pPr>
        <w:pStyle w:val="Odsekzoznamu"/>
        <w:numPr>
          <w:ilvl w:val="0"/>
          <w:numId w:val="19"/>
        </w:numPr>
        <w:ind w:left="1134" w:hanging="425"/>
        <w:jc w:val="both"/>
        <w:rPr>
          <w:rFonts w:ascii="Times New Roman" w:hAnsi="Times New Roman"/>
          <w:sz w:val="24"/>
          <w:szCs w:val="24"/>
        </w:rPr>
      </w:pPr>
      <w:r w:rsidRPr="00D50A3E">
        <w:rPr>
          <w:rFonts w:ascii="Times New Roman" w:hAnsi="Times New Roman"/>
          <w:sz w:val="24"/>
          <w:szCs w:val="24"/>
        </w:rPr>
        <w:t>zdroj 11UA (</w:t>
      </w:r>
      <w:r>
        <w:rPr>
          <w:rFonts w:ascii="Times New Roman" w:hAnsi="Times New Roman"/>
          <w:sz w:val="24"/>
          <w:szCs w:val="24"/>
        </w:rPr>
        <w:t xml:space="preserve">nevyčerpané </w:t>
      </w:r>
      <w:r w:rsidRPr="00D50A3E">
        <w:rPr>
          <w:rFonts w:ascii="Times New Roman" w:hAnsi="Times New Roman"/>
          <w:sz w:val="24"/>
          <w:szCs w:val="24"/>
        </w:rPr>
        <w:t xml:space="preserve">prostriedky z r. 2023) v sume 358 </w:t>
      </w:r>
      <w:r w:rsidR="008F3998">
        <w:rPr>
          <w:rFonts w:ascii="Times New Roman" w:hAnsi="Times New Roman"/>
          <w:sz w:val="24"/>
          <w:szCs w:val="24"/>
        </w:rPr>
        <w:t>tis.</w:t>
      </w:r>
      <w:r w:rsidRPr="00D50A3E">
        <w:rPr>
          <w:rFonts w:ascii="Times New Roman" w:hAnsi="Times New Roman"/>
          <w:sz w:val="24"/>
          <w:szCs w:val="24"/>
        </w:rPr>
        <w:t xml:space="preserve"> </w:t>
      </w:r>
      <w:r>
        <w:rPr>
          <w:rFonts w:ascii="Times New Roman" w:hAnsi="Times New Roman"/>
          <w:sz w:val="24"/>
          <w:szCs w:val="24"/>
        </w:rPr>
        <w:t>eur (v tom bežné výdavky v sume</w:t>
      </w:r>
      <w:r w:rsidRPr="00D50A3E">
        <w:rPr>
          <w:rFonts w:ascii="Times New Roman" w:hAnsi="Times New Roman"/>
          <w:sz w:val="24"/>
          <w:szCs w:val="24"/>
        </w:rPr>
        <w:t xml:space="preserve"> </w:t>
      </w:r>
      <w:r w:rsidR="008F3998">
        <w:rPr>
          <w:rFonts w:ascii="Times New Roman" w:hAnsi="Times New Roman"/>
          <w:sz w:val="24"/>
          <w:szCs w:val="24"/>
        </w:rPr>
        <w:t>40 tis.</w:t>
      </w:r>
      <w:r w:rsidRPr="00D50A3E">
        <w:rPr>
          <w:rFonts w:ascii="Times New Roman" w:hAnsi="Times New Roman"/>
          <w:sz w:val="24"/>
          <w:szCs w:val="24"/>
        </w:rPr>
        <w:t xml:space="preserve"> eur),</w:t>
      </w:r>
    </w:p>
    <w:p w14:paraId="0EDE87CE" w14:textId="097B5B3F" w:rsidR="004C6700" w:rsidRPr="00D50A3E" w:rsidRDefault="004C6700" w:rsidP="004C6700">
      <w:pPr>
        <w:pStyle w:val="Odsekzoznamu"/>
        <w:numPr>
          <w:ilvl w:val="0"/>
          <w:numId w:val="19"/>
        </w:numPr>
        <w:ind w:left="1134" w:hanging="425"/>
        <w:jc w:val="both"/>
        <w:rPr>
          <w:rFonts w:ascii="Times New Roman" w:hAnsi="Times New Roman"/>
          <w:sz w:val="24"/>
          <w:szCs w:val="24"/>
        </w:rPr>
      </w:pPr>
      <w:r w:rsidRPr="00D50A3E">
        <w:rPr>
          <w:rFonts w:ascii="Times New Roman" w:hAnsi="Times New Roman"/>
          <w:sz w:val="24"/>
          <w:szCs w:val="24"/>
        </w:rPr>
        <w:t>zdroj 3UAM (</w:t>
      </w:r>
      <w:r>
        <w:rPr>
          <w:rFonts w:ascii="Times New Roman" w:hAnsi="Times New Roman"/>
          <w:sz w:val="24"/>
          <w:szCs w:val="24"/>
        </w:rPr>
        <w:t xml:space="preserve">nevyčerpané </w:t>
      </w:r>
      <w:r w:rsidRPr="00D50A3E">
        <w:rPr>
          <w:rFonts w:ascii="Times New Roman" w:hAnsi="Times New Roman"/>
          <w:sz w:val="24"/>
          <w:szCs w:val="24"/>
        </w:rPr>
        <w:t xml:space="preserve">prostriedky z r. 2022) v sume 22 871 </w:t>
      </w:r>
      <w:r w:rsidR="008F3998">
        <w:rPr>
          <w:rFonts w:ascii="Times New Roman" w:hAnsi="Times New Roman"/>
          <w:sz w:val="24"/>
          <w:szCs w:val="24"/>
        </w:rPr>
        <w:t>tis.</w:t>
      </w:r>
      <w:r w:rsidRPr="00D50A3E">
        <w:rPr>
          <w:rFonts w:ascii="Times New Roman" w:hAnsi="Times New Roman"/>
          <w:sz w:val="24"/>
          <w:szCs w:val="24"/>
        </w:rPr>
        <w:t xml:space="preserve"> eur (v tom bežné výdavky v</w:t>
      </w:r>
      <w:r>
        <w:rPr>
          <w:rFonts w:ascii="Times New Roman" w:hAnsi="Times New Roman"/>
          <w:sz w:val="24"/>
          <w:szCs w:val="24"/>
        </w:rPr>
        <w:t> </w:t>
      </w:r>
      <w:r w:rsidRPr="00D50A3E">
        <w:rPr>
          <w:rFonts w:ascii="Times New Roman" w:hAnsi="Times New Roman"/>
          <w:sz w:val="24"/>
          <w:szCs w:val="24"/>
        </w:rPr>
        <w:t>sume</w:t>
      </w:r>
      <w:r>
        <w:rPr>
          <w:rFonts w:ascii="Times New Roman" w:hAnsi="Times New Roman"/>
          <w:sz w:val="24"/>
          <w:szCs w:val="24"/>
        </w:rPr>
        <w:t xml:space="preserve"> </w:t>
      </w:r>
      <w:r w:rsidR="008F3998">
        <w:rPr>
          <w:rFonts w:ascii="Times New Roman" w:hAnsi="Times New Roman"/>
          <w:sz w:val="24"/>
          <w:szCs w:val="24"/>
        </w:rPr>
        <w:t>247</w:t>
      </w:r>
      <w:r w:rsidRPr="00D50A3E">
        <w:rPr>
          <w:rFonts w:ascii="Times New Roman" w:hAnsi="Times New Roman"/>
          <w:sz w:val="24"/>
          <w:szCs w:val="24"/>
        </w:rPr>
        <w:t xml:space="preserve"> </w:t>
      </w:r>
      <w:r w:rsidR="008F3998">
        <w:rPr>
          <w:rFonts w:ascii="Times New Roman" w:hAnsi="Times New Roman"/>
          <w:sz w:val="24"/>
          <w:szCs w:val="24"/>
        </w:rPr>
        <w:t>tis.</w:t>
      </w:r>
      <w:r w:rsidRPr="00D50A3E">
        <w:rPr>
          <w:rFonts w:ascii="Times New Roman" w:hAnsi="Times New Roman"/>
          <w:sz w:val="24"/>
          <w:szCs w:val="24"/>
        </w:rPr>
        <w:t xml:space="preserve"> eur),</w:t>
      </w:r>
    </w:p>
    <w:p w14:paraId="0A0CB4EB" w14:textId="44968EF1" w:rsidR="004C6700" w:rsidRPr="00D50A3E" w:rsidRDefault="008F3998" w:rsidP="004C6700">
      <w:pPr>
        <w:pStyle w:val="Odsekzoznamu"/>
        <w:numPr>
          <w:ilvl w:val="0"/>
          <w:numId w:val="19"/>
        </w:numPr>
        <w:ind w:left="1134" w:hanging="425"/>
        <w:jc w:val="both"/>
        <w:rPr>
          <w:rFonts w:ascii="Times New Roman" w:hAnsi="Times New Roman"/>
          <w:sz w:val="24"/>
          <w:szCs w:val="24"/>
        </w:rPr>
      </w:pPr>
      <w:r>
        <w:rPr>
          <w:rFonts w:ascii="Times New Roman" w:hAnsi="Times New Roman"/>
          <w:sz w:val="24"/>
          <w:szCs w:val="24"/>
        </w:rPr>
        <w:t>zdroj 131Z v sume 10 970</w:t>
      </w:r>
      <w:r w:rsidR="004C6700" w:rsidRPr="00D50A3E">
        <w:rPr>
          <w:rFonts w:ascii="Times New Roman" w:hAnsi="Times New Roman"/>
          <w:sz w:val="24"/>
          <w:szCs w:val="24"/>
        </w:rPr>
        <w:t xml:space="preserve"> </w:t>
      </w:r>
      <w:r>
        <w:rPr>
          <w:rFonts w:ascii="Times New Roman" w:hAnsi="Times New Roman"/>
          <w:sz w:val="24"/>
          <w:szCs w:val="24"/>
        </w:rPr>
        <w:t>tis.</w:t>
      </w:r>
      <w:r w:rsidR="004C6700" w:rsidRPr="00D50A3E">
        <w:rPr>
          <w:rFonts w:ascii="Times New Roman" w:hAnsi="Times New Roman"/>
          <w:sz w:val="24"/>
          <w:szCs w:val="24"/>
        </w:rPr>
        <w:t xml:space="preserve"> eur (v tom bežné výdavky v sume 6</w:t>
      </w:r>
      <w:r w:rsidR="004C6700">
        <w:rPr>
          <w:rFonts w:ascii="Times New Roman" w:hAnsi="Times New Roman"/>
          <w:sz w:val="24"/>
          <w:szCs w:val="24"/>
        </w:rPr>
        <w:t> </w:t>
      </w:r>
      <w:r>
        <w:rPr>
          <w:rFonts w:ascii="Times New Roman" w:hAnsi="Times New Roman"/>
          <w:sz w:val="24"/>
          <w:szCs w:val="24"/>
        </w:rPr>
        <w:t>970</w:t>
      </w:r>
      <w:r w:rsidR="004C6700">
        <w:rPr>
          <w:rFonts w:ascii="Times New Roman" w:hAnsi="Times New Roman"/>
          <w:sz w:val="24"/>
          <w:szCs w:val="24"/>
        </w:rPr>
        <w:t> </w:t>
      </w:r>
      <w:r>
        <w:rPr>
          <w:rFonts w:ascii="Times New Roman" w:hAnsi="Times New Roman"/>
          <w:sz w:val="24"/>
          <w:szCs w:val="24"/>
        </w:rPr>
        <w:t>tis.</w:t>
      </w:r>
      <w:r w:rsidR="004C6700">
        <w:rPr>
          <w:rFonts w:ascii="Times New Roman" w:hAnsi="Times New Roman"/>
          <w:sz w:val="24"/>
          <w:szCs w:val="24"/>
        </w:rPr>
        <w:t> </w:t>
      </w:r>
      <w:r w:rsidR="004C6700" w:rsidRPr="00D50A3E">
        <w:rPr>
          <w:rFonts w:ascii="Times New Roman" w:hAnsi="Times New Roman"/>
          <w:sz w:val="24"/>
          <w:szCs w:val="24"/>
        </w:rPr>
        <w:t>eur).</w:t>
      </w:r>
    </w:p>
    <w:p w14:paraId="24854F00" w14:textId="77777777" w:rsidR="004C6700" w:rsidRPr="00502CB0" w:rsidRDefault="004C6700" w:rsidP="004C6700">
      <w:pPr>
        <w:spacing w:before="120" w:line="240" w:lineRule="auto"/>
        <w:rPr>
          <w:rFonts w:cs="Times New Roman"/>
          <w:b/>
          <w:sz w:val="24"/>
          <w:szCs w:val="24"/>
        </w:rPr>
      </w:pPr>
      <w:r w:rsidRPr="00502CB0">
        <w:rPr>
          <w:rFonts w:cs="Times New Roman"/>
          <w:b/>
          <w:sz w:val="24"/>
          <w:szCs w:val="24"/>
        </w:rPr>
        <w:t>Prostriedky z rozpočtu Európskej únie a prostriedky na spolufinancovanie</w:t>
      </w:r>
    </w:p>
    <w:p w14:paraId="29346C3F" w14:textId="018B9F2B" w:rsidR="004C6700" w:rsidRPr="00E36E97" w:rsidRDefault="004C6700" w:rsidP="004C6700">
      <w:pPr>
        <w:spacing w:line="240" w:lineRule="auto"/>
        <w:rPr>
          <w:rFonts w:cs="Times New Roman"/>
          <w:sz w:val="24"/>
          <w:szCs w:val="24"/>
        </w:rPr>
      </w:pPr>
      <w:r w:rsidRPr="00E36E97">
        <w:rPr>
          <w:rFonts w:cs="Times New Roman"/>
          <w:sz w:val="24"/>
          <w:szCs w:val="24"/>
        </w:rPr>
        <w:t>V roku 2022 sa podľa § 8 zákona č. 523/2004 Z. z. viazali prostriedky z rozpočtu Európskej únie a prostriedky na spolufina</w:t>
      </w:r>
      <w:r>
        <w:rPr>
          <w:rFonts w:cs="Times New Roman"/>
          <w:sz w:val="24"/>
          <w:szCs w:val="24"/>
        </w:rPr>
        <w:t xml:space="preserve">ncovanie v sume 4 549 </w:t>
      </w:r>
      <w:r w:rsidR="008F3998">
        <w:rPr>
          <w:rFonts w:cs="Times New Roman"/>
          <w:sz w:val="24"/>
          <w:szCs w:val="24"/>
        </w:rPr>
        <w:t xml:space="preserve">066 </w:t>
      </w:r>
      <w:r w:rsidR="008F3998">
        <w:rPr>
          <w:sz w:val="24"/>
          <w:szCs w:val="24"/>
        </w:rPr>
        <w:t>tis.</w:t>
      </w:r>
      <w:r w:rsidRPr="00E36E97">
        <w:rPr>
          <w:rFonts w:cs="Times New Roman"/>
          <w:sz w:val="24"/>
          <w:szCs w:val="24"/>
        </w:rPr>
        <w:t xml:space="preserve"> eur, z toho:</w:t>
      </w:r>
    </w:p>
    <w:p w14:paraId="5B297E08" w14:textId="494BB8FA" w:rsidR="004C6700" w:rsidRPr="00E36E97" w:rsidRDefault="004C6700" w:rsidP="004C6700">
      <w:pPr>
        <w:pStyle w:val="Odsekzoznamu"/>
        <w:numPr>
          <w:ilvl w:val="0"/>
          <w:numId w:val="21"/>
        </w:numPr>
        <w:ind w:left="1134" w:hanging="425"/>
        <w:jc w:val="both"/>
        <w:rPr>
          <w:rFonts w:ascii="Times New Roman" w:hAnsi="Times New Roman"/>
          <w:sz w:val="24"/>
          <w:szCs w:val="24"/>
        </w:rPr>
      </w:pPr>
      <w:r w:rsidRPr="00E36E97">
        <w:rPr>
          <w:rFonts w:ascii="Times New Roman" w:hAnsi="Times New Roman"/>
          <w:sz w:val="24"/>
          <w:szCs w:val="24"/>
        </w:rPr>
        <w:t>prostriedky z rozpočtu Európs</w:t>
      </w:r>
      <w:r w:rsidR="008F3998">
        <w:rPr>
          <w:rFonts w:ascii="Times New Roman" w:hAnsi="Times New Roman"/>
          <w:sz w:val="24"/>
          <w:szCs w:val="24"/>
        </w:rPr>
        <w:t>kej únie v sume 3 663 711</w:t>
      </w:r>
      <w:r>
        <w:rPr>
          <w:rFonts w:ascii="Times New Roman" w:hAnsi="Times New Roman"/>
          <w:sz w:val="24"/>
          <w:szCs w:val="24"/>
        </w:rPr>
        <w:t xml:space="preserve"> </w:t>
      </w:r>
      <w:r w:rsidR="008F3998">
        <w:rPr>
          <w:rFonts w:ascii="Times New Roman" w:hAnsi="Times New Roman"/>
          <w:sz w:val="24"/>
          <w:szCs w:val="24"/>
        </w:rPr>
        <w:t>tis.</w:t>
      </w:r>
      <w:r w:rsidRPr="00E36E97">
        <w:rPr>
          <w:rFonts w:ascii="Times New Roman" w:hAnsi="Times New Roman"/>
          <w:sz w:val="24"/>
          <w:szCs w:val="24"/>
        </w:rPr>
        <w:t xml:space="preserve"> eur, </w:t>
      </w:r>
    </w:p>
    <w:p w14:paraId="61D4EE3E" w14:textId="73037E04" w:rsidR="004C6700" w:rsidRPr="00E36E97" w:rsidRDefault="004C6700" w:rsidP="004C6700">
      <w:pPr>
        <w:pStyle w:val="Odsekzoznamu"/>
        <w:numPr>
          <w:ilvl w:val="0"/>
          <w:numId w:val="21"/>
        </w:numPr>
        <w:ind w:left="1134" w:hanging="425"/>
        <w:jc w:val="both"/>
        <w:rPr>
          <w:rFonts w:ascii="Times New Roman" w:hAnsi="Times New Roman"/>
          <w:sz w:val="24"/>
          <w:szCs w:val="24"/>
        </w:rPr>
      </w:pPr>
      <w:r w:rsidRPr="00E36E97">
        <w:rPr>
          <w:rFonts w:ascii="Times New Roman" w:hAnsi="Times New Roman"/>
          <w:sz w:val="24"/>
          <w:szCs w:val="24"/>
        </w:rPr>
        <w:t>prostriedky na spolufi</w:t>
      </w:r>
      <w:r>
        <w:rPr>
          <w:rFonts w:ascii="Times New Roman" w:hAnsi="Times New Roman"/>
          <w:sz w:val="24"/>
          <w:szCs w:val="24"/>
        </w:rPr>
        <w:t>nancovanie v sume 885 35</w:t>
      </w:r>
      <w:r w:rsidR="008F3998">
        <w:rPr>
          <w:rFonts w:ascii="Times New Roman" w:hAnsi="Times New Roman"/>
          <w:sz w:val="24"/>
          <w:szCs w:val="24"/>
        </w:rPr>
        <w:t>5</w:t>
      </w:r>
      <w:r>
        <w:rPr>
          <w:rFonts w:ascii="Times New Roman" w:hAnsi="Times New Roman"/>
          <w:sz w:val="24"/>
          <w:szCs w:val="24"/>
        </w:rPr>
        <w:t xml:space="preserve"> </w:t>
      </w:r>
      <w:r w:rsidR="008F3998">
        <w:rPr>
          <w:rFonts w:ascii="Times New Roman" w:hAnsi="Times New Roman"/>
          <w:sz w:val="24"/>
          <w:szCs w:val="24"/>
        </w:rPr>
        <w:t>tis.</w:t>
      </w:r>
      <w:r w:rsidRPr="00E36E97">
        <w:rPr>
          <w:rFonts w:ascii="Times New Roman" w:hAnsi="Times New Roman"/>
          <w:sz w:val="24"/>
          <w:szCs w:val="24"/>
        </w:rPr>
        <w:t xml:space="preserve"> eur</w:t>
      </w:r>
      <w:r w:rsidRPr="00E36E97">
        <w:rPr>
          <w:rFonts w:ascii="Times New Roman" w:hAnsi="Times New Roman"/>
        </w:rPr>
        <w:t>,</w:t>
      </w:r>
      <w:r w:rsidRPr="00E36E97">
        <w:rPr>
          <w:rFonts w:ascii="Times New Roman" w:hAnsi="Times New Roman"/>
          <w:sz w:val="24"/>
          <w:szCs w:val="24"/>
        </w:rPr>
        <w:t xml:space="preserve"> </w:t>
      </w:r>
    </w:p>
    <w:p w14:paraId="40C4AB99" w14:textId="79B9FF6B" w:rsidR="004C6700" w:rsidRPr="00092ACB" w:rsidRDefault="004C6700" w:rsidP="004C6700">
      <w:pPr>
        <w:spacing w:line="240" w:lineRule="auto"/>
        <w:rPr>
          <w:rFonts w:cs="Times New Roman"/>
          <w:sz w:val="24"/>
          <w:szCs w:val="24"/>
          <w:highlight w:val="yellow"/>
        </w:rPr>
      </w:pPr>
      <w:r w:rsidRPr="00E36E97">
        <w:rPr>
          <w:rFonts w:cs="Times New Roman"/>
          <w:sz w:val="24"/>
          <w:szCs w:val="24"/>
        </w:rPr>
        <w:t>z ktorých sa v ro</w:t>
      </w:r>
      <w:r>
        <w:rPr>
          <w:rFonts w:cs="Times New Roman"/>
          <w:sz w:val="24"/>
          <w:szCs w:val="24"/>
        </w:rPr>
        <w:t xml:space="preserve">ku 2023 použilo 2 805 048 </w:t>
      </w:r>
      <w:r w:rsidR="008F3998">
        <w:rPr>
          <w:sz w:val="24"/>
          <w:szCs w:val="24"/>
        </w:rPr>
        <w:t>tis.</w:t>
      </w:r>
      <w:r w:rsidRPr="00E36E97">
        <w:rPr>
          <w:rFonts w:cs="Times New Roman"/>
          <w:sz w:val="24"/>
          <w:szCs w:val="24"/>
        </w:rPr>
        <w:t xml:space="preserve"> eur, z toho:</w:t>
      </w:r>
      <w:r w:rsidRPr="001222A9">
        <w:rPr>
          <w:rFonts w:cs="Times New Roman"/>
        </w:rPr>
        <w:t xml:space="preserve"> </w:t>
      </w:r>
      <w:r w:rsidRPr="00092ACB">
        <w:rPr>
          <w:rFonts w:cs="Times New Roman"/>
          <w:sz w:val="24"/>
          <w:szCs w:val="24"/>
          <w:highlight w:val="yellow"/>
        </w:rPr>
        <w:t xml:space="preserve"> </w:t>
      </w:r>
    </w:p>
    <w:p w14:paraId="53F7D5B6" w14:textId="6D1206C1" w:rsidR="004C6700" w:rsidRPr="00E36E97" w:rsidRDefault="004C6700" w:rsidP="004C6700">
      <w:pPr>
        <w:pStyle w:val="Odsekzoznamu"/>
        <w:numPr>
          <w:ilvl w:val="0"/>
          <w:numId w:val="21"/>
        </w:numPr>
        <w:ind w:left="1134" w:hanging="425"/>
        <w:jc w:val="both"/>
        <w:rPr>
          <w:rFonts w:ascii="Times New Roman" w:hAnsi="Times New Roman"/>
          <w:sz w:val="24"/>
          <w:szCs w:val="24"/>
        </w:rPr>
      </w:pPr>
      <w:r w:rsidRPr="00E36E97">
        <w:rPr>
          <w:rFonts w:ascii="Times New Roman" w:hAnsi="Times New Roman"/>
          <w:sz w:val="24"/>
          <w:szCs w:val="24"/>
        </w:rPr>
        <w:t>prostriedky z rozpočtu Európs</w:t>
      </w:r>
      <w:r>
        <w:rPr>
          <w:rFonts w:ascii="Times New Roman" w:hAnsi="Times New Roman"/>
          <w:sz w:val="24"/>
          <w:szCs w:val="24"/>
        </w:rPr>
        <w:t>kej únie v sume 2 385</w:t>
      </w:r>
      <w:r w:rsidR="008F3998">
        <w:rPr>
          <w:rFonts w:ascii="Times New Roman" w:hAnsi="Times New Roman"/>
          <w:sz w:val="24"/>
          <w:szCs w:val="24"/>
        </w:rPr>
        <w:t xml:space="preserve"> 187</w:t>
      </w:r>
      <w:r>
        <w:rPr>
          <w:rFonts w:ascii="Times New Roman" w:hAnsi="Times New Roman"/>
          <w:sz w:val="24"/>
          <w:szCs w:val="24"/>
        </w:rPr>
        <w:t xml:space="preserve"> </w:t>
      </w:r>
      <w:r w:rsidR="008F3998">
        <w:rPr>
          <w:rFonts w:ascii="Times New Roman" w:hAnsi="Times New Roman"/>
          <w:sz w:val="24"/>
          <w:szCs w:val="24"/>
        </w:rPr>
        <w:t>tis.</w:t>
      </w:r>
      <w:r w:rsidRPr="00E36E97">
        <w:rPr>
          <w:rFonts w:ascii="Times New Roman" w:hAnsi="Times New Roman"/>
          <w:sz w:val="24"/>
          <w:szCs w:val="24"/>
        </w:rPr>
        <w:t xml:space="preserve"> eur, </w:t>
      </w:r>
    </w:p>
    <w:p w14:paraId="65CE8BBE" w14:textId="2AFD6431" w:rsidR="004C6700" w:rsidRPr="00E36E97" w:rsidRDefault="004C6700" w:rsidP="004C6700">
      <w:pPr>
        <w:pStyle w:val="Odsekzoznamu"/>
        <w:numPr>
          <w:ilvl w:val="0"/>
          <w:numId w:val="21"/>
        </w:numPr>
        <w:ind w:left="1134" w:hanging="425"/>
        <w:jc w:val="both"/>
        <w:rPr>
          <w:rFonts w:ascii="Times New Roman" w:hAnsi="Times New Roman"/>
          <w:sz w:val="24"/>
          <w:szCs w:val="24"/>
        </w:rPr>
      </w:pPr>
      <w:r w:rsidRPr="00E36E97">
        <w:rPr>
          <w:rFonts w:ascii="Times New Roman" w:hAnsi="Times New Roman"/>
          <w:sz w:val="24"/>
          <w:szCs w:val="24"/>
        </w:rPr>
        <w:t>prostriedky na spolufi</w:t>
      </w:r>
      <w:r>
        <w:rPr>
          <w:rFonts w:ascii="Times New Roman" w:hAnsi="Times New Roman"/>
          <w:sz w:val="24"/>
          <w:szCs w:val="24"/>
        </w:rPr>
        <w:t xml:space="preserve">nancovanie v sume 419 861 </w:t>
      </w:r>
      <w:r w:rsidR="008F3998">
        <w:rPr>
          <w:rFonts w:ascii="Times New Roman" w:hAnsi="Times New Roman"/>
          <w:sz w:val="24"/>
          <w:szCs w:val="24"/>
        </w:rPr>
        <w:t>tis.</w:t>
      </w:r>
      <w:r w:rsidRPr="00E36E97">
        <w:rPr>
          <w:rFonts w:ascii="Times New Roman" w:hAnsi="Times New Roman"/>
          <w:sz w:val="24"/>
          <w:szCs w:val="24"/>
        </w:rPr>
        <w:t xml:space="preserve"> eur.</w:t>
      </w:r>
    </w:p>
    <w:p w14:paraId="3FD3F60E" w14:textId="4E89D62E" w:rsidR="004C6700" w:rsidRPr="00092ACB" w:rsidRDefault="004C6700" w:rsidP="004C6700">
      <w:pPr>
        <w:spacing w:before="120" w:line="240" w:lineRule="auto"/>
        <w:rPr>
          <w:rFonts w:cs="Times New Roman"/>
          <w:sz w:val="24"/>
          <w:szCs w:val="24"/>
          <w:highlight w:val="yellow"/>
        </w:rPr>
      </w:pPr>
      <w:r w:rsidRPr="00E36E97">
        <w:rPr>
          <w:rFonts w:cs="Times New Roman"/>
          <w:sz w:val="24"/>
          <w:szCs w:val="24"/>
        </w:rPr>
        <w:lastRenderedPageBreak/>
        <w:t>V roku 2023 sa podľa § 8 zákona č. 523/2004 Z. z. viazali</w:t>
      </w:r>
      <w:r>
        <w:rPr>
          <w:rFonts w:cs="Times New Roman"/>
          <w:sz w:val="24"/>
          <w:szCs w:val="24"/>
        </w:rPr>
        <w:t xml:space="preserve"> výdavky v sume 5 727 695 </w:t>
      </w:r>
      <w:r w:rsidR="008F3998">
        <w:rPr>
          <w:sz w:val="24"/>
          <w:szCs w:val="24"/>
        </w:rPr>
        <w:t>tis.</w:t>
      </w:r>
      <w:r w:rsidRPr="00E36E97">
        <w:rPr>
          <w:rFonts w:cs="Times New Roman"/>
          <w:sz w:val="24"/>
          <w:szCs w:val="24"/>
        </w:rPr>
        <w:t> eur, z toho:</w:t>
      </w:r>
    </w:p>
    <w:p w14:paraId="41933E7E" w14:textId="0CAB55C0" w:rsidR="004C6700" w:rsidRPr="0074585B" w:rsidRDefault="004C6700" w:rsidP="004C6700">
      <w:pPr>
        <w:pStyle w:val="Odsekzoznamu"/>
        <w:numPr>
          <w:ilvl w:val="0"/>
          <w:numId w:val="21"/>
        </w:numPr>
        <w:ind w:left="1134" w:hanging="425"/>
        <w:jc w:val="both"/>
        <w:rPr>
          <w:rFonts w:ascii="Times New Roman" w:hAnsi="Times New Roman"/>
          <w:sz w:val="24"/>
          <w:szCs w:val="24"/>
        </w:rPr>
      </w:pPr>
      <w:r w:rsidRPr="0074585B">
        <w:rPr>
          <w:rFonts w:ascii="Times New Roman" w:hAnsi="Times New Roman"/>
          <w:sz w:val="24"/>
          <w:szCs w:val="24"/>
        </w:rPr>
        <w:t>prostriedky z rozpočtu Európs</w:t>
      </w:r>
      <w:r>
        <w:rPr>
          <w:rFonts w:ascii="Times New Roman" w:hAnsi="Times New Roman"/>
          <w:sz w:val="24"/>
          <w:szCs w:val="24"/>
        </w:rPr>
        <w:t xml:space="preserve">kej únie v sume 4 586 039 </w:t>
      </w:r>
      <w:r w:rsidR="008F3998">
        <w:rPr>
          <w:rFonts w:ascii="Times New Roman" w:hAnsi="Times New Roman"/>
          <w:sz w:val="24"/>
          <w:szCs w:val="24"/>
        </w:rPr>
        <w:t>tis.</w:t>
      </w:r>
      <w:r w:rsidRPr="0074585B">
        <w:rPr>
          <w:rFonts w:ascii="Times New Roman" w:hAnsi="Times New Roman"/>
          <w:sz w:val="24"/>
          <w:szCs w:val="24"/>
        </w:rPr>
        <w:t xml:space="preserve"> eur (v tom kód z</w:t>
      </w:r>
      <w:r>
        <w:rPr>
          <w:rFonts w:ascii="Times New Roman" w:hAnsi="Times New Roman"/>
          <w:sz w:val="24"/>
          <w:szCs w:val="24"/>
        </w:rPr>
        <w:t>droja 13 v sume 1 307 847 </w:t>
      </w:r>
      <w:r w:rsidR="008F3998">
        <w:rPr>
          <w:rFonts w:ascii="Times New Roman" w:hAnsi="Times New Roman"/>
          <w:sz w:val="24"/>
          <w:szCs w:val="24"/>
        </w:rPr>
        <w:t>tis.</w:t>
      </w:r>
      <w:r w:rsidRPr="0074585B">
        <w:rPr>
          <w:rFonts w:ascii="Times New Roman" w:hAnsi="Times New Roman"/>
          <w:sz w:val="24"/>
          <w:szCs w:val="24"/>
        </w:rPr>
        <w:t xml:space="preserve"> eur a kód z</w:t>
      </w:r>
      <w:r w:rsidR="008F3998">
        <w:rPr>
          <w:rFonts w:ascii="Times New Roman" w:hAnsi="Times New Roman"/>
          <w:sz w:val="24"/>
          <w:szCs w:val="24"/>
        </w:rPr>
        <w:t>droja 11 v sume 3 278 192</w:t>
      </w:r>
      <w:r>
        <w:rPr>
          <w:rFonts w:ascii="Times New Roman" w:hAnsi="Times New Roman"/>
          <w:sz w:val="24"/>
          <w:szCs w:val="24"/>
        </w:rPr>
        <w:t xml:space="preserve"> </w:t>
      </w:r>
      <w:r w:rsidR="008F3998">
        <w:rPr>
          <w:rFonts w:ascii="Times New Roman" w:hAnsi="Times New Roman"/>
          <w:sz w:val="24"/>
          <w:szCs w:val="24"/>
        </w:rPr>
        <w:t>tis.</w:t>
      </w:r>
      <w:r w:rsidRPr="0074585B">
        <w:rPr>
          <w:rFonts w:ascii="Times New Roman" w:hAnsi="Times New Roman"/>
          <w:sz w:val="24"/>
          <w:szCs w:val="24"/>
        </w:rPr>
        <w:t xml:space="preserve"> eur),</w:t>
      </w:r>
    </w:p>
    <w:p w14:paraId="48D14595" w14:textId="0AB7262F" w:rsidR="004C6700" w:rsidRPr="0074585B" w:rsidRDefault="004C6700" w:rsidP="004C6700">
      <w:pPr>
        <w:pStyle w:val="Odsekzoznamu"/>
        <w:numPr>
          <w:ilvl w:val="0"/>
          <w:numId w:val="21"/>
        </w:numPr>
        <w:ind w:left="1134" w:hanging="425"/>
        <w:jc w:val="both"/>
        <w:rPr>
          <w:rFonts w:ascii="Times New Roman" w:hAnsi="Times New Roman"/>
          <w:sz w:val="24"/>
          <w:szCs w:val="24"/>
        </w:rPr>
      </w:pPr>
      <w:r w:rsidRPr="0074585B">
        <w:rPr>
          <w:rFonts w:ascii="Times New Roman" w:hAnsi="Times New Roman"/>
          <w:sz w:val="24"/>
          <w:szCs w:val="24"/>
        </w:rPr>
        <w:t>prostriedky na spolufina</w:t>
      </w:r>
      <w:r w:rsidR="008F3998">
        <w:rPr>
          <w:rFonts w:ascii="Times New Roman" w:hAnsi="Times New Roman"/>
          <w:sz w:val="24"/>
          <w:szCs w:val="24"/>
        </w:rPr>
        <w:t>ncovanie v sume 1 141 656</w:t>
      </w:r>
      <w:r>
        <w:rPr>
          <w:rFonts w:ascii="Times New Roman" w:hAnsi="Times New Roman"/>
          <w:sz w:val="24"/>
          <w:szCs w:val="24"/>
        </w:rPr>
        <w:t xml:space="preserve"> </w:t>
      </w:r>
      <w:r w:rsidR="008F3998">
        <w:rPr>
          <w:rFonts w:ascii="Times New Roman" w:hAnsi="Times New Roman"/>
          <w:sz w:val="24"/>
          <w:szCs w:val="24"/>
        </w:rPr>
        <w:t>tis.</w:t>
      </w:r>
      <w:r w:rsidRPr="0074585B">
        <w:rPr>
          <w:rFonts w:ascii="Times New Roman" w:hAnsi="Times New Roman"/>
          <w:sz w:val="24"/>
          <w:szCs w:val="24"/>
        </w:rPr>
        <w:t xml:space="preserve"> eur (v tom kód</w:t>
      </w:r>
      <w:r>
        <w:rPr>
          <w:rFonts w:ascii="Times New Roman" w:hAnsi="Times New Roman"/>
          <w:sz w:val="24"/>
          <w:szCs w:val="24"/>
        </w:rPr>
        <w:t xml:space="preserve"> zdroja 13 v sume 467 459 </w:t>
      </w:r>
      <w:r w:rsidR="008F3998">
        <w:rPr>
          <w:rFonts w:ascii="Times New Roman" w:hAnsi="Times New Roman"/>
          <w:sz w:val="24"/>
          <w:szCs w:val="24"/>
        </w:rPr>
        <w:t>tis.</w:t>
      </w:r>
      <w:r w:rsidRPr="0074585B">
        <w:rPr>
          <w:rFonts w:ascii="Times New Roman" w:hAnsi="Times New Roman"/>
          <w:sz w:val="24"/>
          <w:szCs w:val="24"/>
        </w:rPr>
        <w:t> eur a kód</w:t>
      </w:r>
      <w:r w:rsidR="008F3998">
        <w:rPr>
          <w:rFonts w:ascii="Times New Roman" w:hAnsi="Times New Roman"/>
          <w:sz w:val="24"/>
          <w:szCs w:val="24"/>
        </w:rPr>
        <w:t xml:space="preserve"> zdroja 11 v sume 674 197</w:t>
      </w:r>
      <w:r>
        <w:rPr>
          <w:rFonts w:ascii="Times New Roman" w:hAnsi="Times New Roman"/>
          <w:sz w:val="24"/>
          <w:szCs w:val="24"/>
        </w:rPr>
        <w:t xml:space="preserve"> </w:t>
      </w:r>
      <w:r w:rsidR="008F3998">
        <w:rPr>
          <w:rFonts w:ascii="Times New Roman" w:hAnsi="Times New Roman"/>
          <w:sz w:val="24"/>
          <w:szCs w:val="24"/>
        </w:rPr>
        <w:t>tis.</w:t>
      </w:r>
      <w:r w:rsidRPr="0074585B">
        <w:rPr>
          <w:rFonts w:ascii="Times New Roman" w:hAnsi="Times New Roman"/>
          <w:sz w:val="24"/>
          <w:szCs w:val="24"/>
        </w:rPr>
        <w:t xml:space="preserve"> eur).</w:t>
      </w:r>
    </w:p>
    <w:p w14:paraId="5948E659" w14:textId="77777777" w:rsidR="004C6700" w:rsidRPr="00D04A46" w:rsidRDefault="004C6700" w:rsidP="004C6700">
      <w:pPr>
        <w:spacing w:before="120" w:line="240" w:lineRule="auto"/>
        <w:rPr>
          <w:rFonts w:cs="Times New Roman"/>
          <w:b/>
          <w:sz w:val="24"/>
          <w:szCs w:val="24"/>
        </w:rPr>
      </w:pPr>
      <w:r w:rsidRPr="00504C03">
        <w:rPr>
          <w:rFonts w:cs="Times New Roman"/>
          <w:b/>
          <w:sz w:val="24"/>
          <w:szCs w:val="24"/>
        </w:rPr>
        <w:t>P</w:t>
      </w:r>
      <w:r w:rsidRPr="00D04A46">
        <w:rPr>
          <w:rFonts w:cs="Times New Roman"/>
          <w:b/>
          <w:sz w:val="24"/>
          <w:szCs w:val="24"/>
        </w:rPr>
        <w:t>rostriedky z Plánu obnovy a odolnosti a prostriedky na úhradu DPH</w:t>
      </w:r>
    </w:p>
    <w:p w14:paraId="5CB9C669" w14:textId="30A6BDC8" w:rsidR="004C6700" w:rsidRPr="00163733" w:rsidRDefault="004C6700" w:rsidP="004C6700">
      <w:pPr>
        <w:spacing w:line="240" w:lineRule="auto"/>
        <w:rPr>
          <w:rFonts w:cs="Times New Roman"/>
          <w:sz w:val="24"/>
          <w:szCs w:val="24"/>
        </w:rPr>
      </w:pPr>
      <w:r w:rsidRPr="00D04A46">
        <w:rPr>
          <w:rFonts w:cs="Times New Roman"/>
          <w:sz w:val="24"/>
          <w:szCs w:val="24"/>
        </w:rPr>
        <w:t xml:space="preserve">V roku 2022 sa podľa § 8 zákona č. 523/2004 Z. z. viazali prostriedky z Plánu obnovy a odolnosti </w:t>
      </w:r>
      <w:r w:rsidRPr="00163733">
        <w:rPr>
          <w:rFonts w:cs="Times New Roman"/>
          <w:sz w:val="24"/>
          <w:szCs w:val="24"/>
        </w:rPr>
        <w:t>a prostriedk</w:t>
      </w:r>
      <w:r w:rsidR="00894CE3">
        <w:rPr>
          <w:rFonts w:cs="Times New Roman"/>
          <w:sz w:val="24"/>
          <w:szCs w:val="24"/>
        </w:rPr>
        <w:t>y na úhradu DPH v sume 1 588 383</w:t>
      </w:r>
      <w:r w:rsidRPr="00163733">
        <w:rPr>
          <w:rFonts w:cs="Times New Roman"/>
          <w:sz w:val="24"/>
          <w:szCs w:val="24"/>
        </w:rPr>
        <w:t xml:space="preserve"> </w:t>
      </w:r>
      <w:r w:rsidR="00894CE3">
        <w:rPr>
          <w:sz w:val="24"/>
          <w:szCs w:val="24"/>
        </w:rPr>
        <w:t>tis.</w:t>
      </w:r>
      <w:r w:rsidRPr="00163733">
        <w:rPr>
          <w:rFonts w:cs="Times New Roman"/>
          <w:sz w:val="24"/>
          <w:szCs w:val="24"/>
        </w:rPr>
        <w:t xml:space="preserve"> eur, z toho:</w:t>
      </w:r>
    </w:p>
    <w:p w14:paraId="5DFDA16E" w14:textId="2238CE34" w:rsidR="004C6700" w:rsidRPr="00163733" w:rsidRDefault="004C6700" w:rsidP="004C6700">
      <w:pPr>
        <w:pStyle w:val="Odsekzoznamu"/>
        <w:numPr>
          <w:ilvl w:val="0"/>
          <w:numId w:val="24"/>
        </w:numPr>
        <w:ind w:left="1134" w:hanging="425"/>
        <w:jc w:val="both"/>
        <w:rPr>
          <w:rFonts w:ascii="Times New Roman" w:hAnsi="Times New Roman"/>
          <w:sz w:val="24"/>
          <w:szCs w:val="24"/>
        </w:rPr>
      </w:pPr>
      <w:r w:rsidRPr="00163733">
        <w:rPr>
          <w:rFonts w:ascii="Times New Roman" w:hAnsi="Times New Roman"/>
          <w:sz w:val="24"/>
          <w:szCs w:val="24"/>
        </w:rPr>
        <w:t>prostriedky z Plánu obnovy a o</w:t>
      </w:r>
      <w:r>
        <w:rPr>
          <w:rFonts w:ascii="Times New Roman" w:hAnsi="Times New Roman"/>
          <w:sz w:val="24"/>
          <w:szCs w:val="24"/>
        </w:rPr>
        <w:t xml:space="preserve">dolnosti v sume 1 377 120 </w:t>
      </w:r>
      <w:r w:rsidR="00894CE3">
        <w:rPr>
          <w:rFonts w:ascii="Times New Roman" w:hAnsi="Times New Roman"/>
          <w:sz w:val="24"/>
          <w:szCs w:val="24"/>
        </w:rPr>
        <w:t>tis.</w:t>
      </w:r>
      <w:r w:rsidRPr="00163733">
        <w:rPr>
          <w:rFonts w:ascii="Times New Roman" w:hAnsi="Times New Roman"/>
          <w:sz w:val="24"/>
          <w:szCs w:val="24"/>
        </w:rPr>
        <w:t xml:space="preserve"> eur, </w:t>
      </w:r>
    </w:p>
    <w:p w14:paraId="6626D964" w14:textId="4F5E2EBB" w:rsidR="004C6700" w:rsidRPr="00163733" w:rsidRDefault="004C6700" w:rsidP="004C6700">
      <w:pPr>
        <w:pStyle w:val="Odsekzoznamu"/>
        <w:numPr>
          <w:ilvl w:val="0"/>
          <w:numId w:val="24"/>
        </w:numPr>
        <w:ind w:left="1134" w:hanging="425"/>
        <w:jc w:val="both"/>
        <w:rPr>
          <w:rFonts w:ascii="Times New Roman" w:hAnsi="Times New Roman"/>
          <w:sz w:val="24"/>
          <w:szCs w:val="24"/>
        </w:rPr>
      </w:pPr>
      <w:r w:rsidRPr="00163733">
        <w:rPr>
          <w:rFonts w:ascii="Times New Roman" w:hAnsi="Times New Roman"/>
          <w:sz w:val="24"/>
          <w:szCs w:val="24"/>
        </w:rPr>
        <w:t>prostriedky Plánu obnovy a odolnosti – prostriedky na úhradu DPH v sume 211</w:t>
      </w:r>
      <w:r>
        <w:rPr>
          <w:rFonts w:ascii="Times New Roman" w:hAnsi="Times New Roman"/>
          <w:sz w:val="24"/>
          <w:szCs w:val="24"/>
        </w:rPr>
        <w:t> </w:t>
      </w:r>
      <w:r w:rsidRPr="00163733">
        <w:rPr>
          <w:rFonts w:ascii="Times New Roman" w:hAnsi="Times New Roman"/>
          <w:sz w:val="24"/>
          <w:szCs w:val="24"/>
        </w:rPr>
        <w:t>262</w:t>
      </w:r>
      <w:r>
        <w:rPr>
          <w:rFonts w:ascii="Times New Roman" w:hAnsi="Times New Roman"/>
          <w:sz w:val="24"/>
          <w:szCs w:val="24"/>
        </w:rPr>
        <w:t> </w:t>
      </w:r>
      <w:r w:rsidR="00894CE3">
        <w:rPr>
          <w:rFonts w:ascii="Times New Roman" w:hAnsi="Times New Roman"/>
          <w:sz w:val="24"/>
          <w:szCs w:val="24"/>
        </w:rPr>
        <w:t>tis.</w:t>
      </w:r>
      <w:r w:rsidRPr="00163733">
        <w:rPr>
          <w:rFonts w:ascii="Times New Roman" w:hAnsi="Times New Roman"/>
          <w:sz w:val="24"/>
          <w:szCs w:val="24"/>
        </w:rPr>
        <w:t xml:space="preserve"> eur, </w:t>
      </w:r>
    </w:p>
    <w:p w14:paraId="7B6EC8C3" w14:textId="17379FF3" w:rsidR="004C6700" w:rsidRPr="00163733" w:rsidRDefault="004C6700" w:rsidP="004C6700">
      <w:pPr>
        <w:spacing w:line="240" w:lineRule="auto"/>
        <w:rPr>
          <w:rFonts w:cs="Times New Roman"/>
          <w:sz w:val="24"/>
          <w:szCs w:val="24"/>
        </w:rPr>
      </w:pPr>
      <w:r w:rsidRPr="00163733">
        <w:rPr>
          <w:rFonts w:cs="Times New Roman"/>
          <w:sz w:val="24"/>
          <w:szCs w:val="24"/>
        </w:rPr>
        <w:t>z ktorých sa v </w:t>
      </w:r>
      <w:r>
        <w:rPr>
          <w:rFonts w:cs="Times New Roman"/>
          <w:sz w:val="24"/>
          <w:szCs w:val="24"/>
        </w:rPr>
        <w:t xml:space="preserve">roku 2023 použilo 238 807 </w:t>
      </w:r>
      <w:r w:rsidR="00894CE3">
        <w:rPr>
          <w:sz w:val="24"/>
          <w:szCs w:val="24"/>
        </w:rPr>
        <w:t>tis.</w:t>
      </w:r>
      <w:r w:rsidRPr="00163733">
        <w:rPr>
          <w:rFonts w:cs="Times New Roman"/>
          <w:sz w:val="24"/>
          <w:szCs w:val="24"/>
        </w:rPr>
        <w:t xml:space="preserve"> eur, z toho: </w:t>
      </w:r>
    </w:p>
    <w:p w14:paraId="6418CF35" w14:textId="37DEC6F7" w:rsidR="004C6700" w:rsidRPr="00163733" w:rsidRDefault="004C6700" w:rsidP="004C6700">
      <w:pPr>
        <w:pStyle w:val="Odsekzoznamu"/>
        <w:numPr>
          <w:ilvl w:val="0"/>
          <w:numId w:val="24"/>
        </w:numPr>
        <w:ind w:left="1134" w:hanging="425"/>
        <w:jc w:val="both"/>
        <w:rPr>
          <w:rFonts w:ascii="Times New Roman" w:hAnsi="Times New Roman"/>
          <w:sz w:val="24"/>
          <w:szCs w:val="24"/>
        </w:rPr>
      </w:pPr>
      <w:r w:rsidRPr="00163733">
        <w:rPr>
          <w:rFonts w:ascii="Times New Roman" w:hAnsi="Times New Roman"/>
          <w:sz w:val="24"/>
          <w:szCs w:val="24"/>
        </w:rPr>
        <w:t>prostriedky z Plánu obnovy a</w:t>
      </w:r>
      <w:r>
        <w:rPr>
          <w:rFonts w:ascii="Times New Roman" w:hAnsi="Times New Roman"/>
          <w:sz w:val="24"/>
          <w:szCs w:val="24"/>
        </w:rPr>
        <w:t xml:space="preserve"> odolnosti v sume 224 415 </w:t>
      </w:r>
      <w:r w:rsidR="00894CE3">
        <w:rPr>
          <w:rFonts w:ascii="Times New Roman" w:hAnsi="Times New Roman"/>
          <w:sz w:val="24"/>
          <w:szCs w:val="24"/>
        </w:rPr>
        <w:t>tis.</w:t>
      </w:r>
      <w:r w:rsidRPr="00163733">
        <w:rPr>
          <w:rFonts w:ascii="Times New Roman" w:hAnsi="Times New Roman"/>
          <w:sz w:val="24"/>
          <w:szCs w:val="24"/>
        </w:rPr>
        <w:t xml:space="preserve"> eur, </w:t>
      </w:r>
    </w:p>
    <w:p w14:paraId="26D21386" w14:textId="60D53CA7" w:rsidR="004C6700" w:rsidRPr="00163733" w:rsidRDefault="004C6700" w:rsidP="004C6700">
      <w:pPr>
        <w:pStyle w:val="Odsekzoznamu"/>
        <w:numPr>
          <w:ilvl w:val="0"/>
          <w:numId w:val="24"/>
        </w:numPr>
        <w:ind w:left="1134" w:hanging="425"/>
        <w:jc w:val="both"/>
        <w:rPr>
          <w:rFonts w:ascii="Times New Roman" w:hAnsi="Times New Roman"/>
          <w:sz w:val="24"/>
          <w:szCs w:val="24"/>
        </w:rPr>
      </w:pPr>
      <w:r w:rsidRPr="00163733">
        <w:rPr>
          <w:rFonts w:ascii="Times New Roman" w:hAnsi="Times New Roman"/>
          <w:sz w:val="24"/>
          <w:szCs w:val="24"/>
        </w:rPr>
        <w:t>prostriedky Plánu obnovy a odolnosti – prostriedky na úhradu DPH v sume 14</w:t>
      </w:r>
      <w:r>
        <w:rPr>
          <w:rFonts w:ascii="Times New Roman" w:hAnsi="Times New Roman"/>
          <w:sz w:val="24"/>
          <w:szCs w:val="24"/>
        </w:rPr>
        <w:t> </w:t>
      </w:r>
      <w:r w:rsidR="00894CE3">
        <w:rPr>
          <w:rFonts w:ascii="Times New Roman" w:hAnsi="Times New Roman"/>
          <w:sz w:val="24"/>
          <w:szCs w:val="24"/>
        </w:rPr>
        <w:t>392</w:t>
      </w:r>
      <w:r>
        <w:rPr>
          <w:rFonts w:ascii="Times New Roman" w:hAnsi="Times New Roman"/>
          <w:sz w:val="24"/>
          <w:szCs w:val="24"/>
        </w:rPr>
        <w:t> </w:t>
      </w:r>
      <w:r w:rsidR="00894CE3">
        <w:rPr>
          <w:rFonts w:ascii="Times New Roman" w:hAnsi="Times New Roman"/>
          <w:sz w:val="24"/>
          <w:szCs w:val="24"/>
        </w:rPr>
        <w:t>tis.</w:t>
      </w:r>
      <w:r w:rsidRPr="00163733">
        <w:rPr>
          <w:rFonts w:ascii="Times New Roman" w:hAnsi="Times New Roman"/>
          <w:sz w:val="24"/>
          <w:szCs w:val="24"/>
        </w:rPr>
        <w:t xml:space="preserve"> eur.</w:t>
      </w:r>
    </w:p>
    <w:p w14:paraId="6443CB67" w14:textId="1724B739" w:rsidR="004C6700" w:rsidRPr="00163733" w:rsidRDefault="004C6700" w:rsidP="004C6700">
      <w:pPr>
        <w:spacing w:line="240" w:lineRule="auto"/>
        <w:rPr>
          <w:rFonts w:cs="Times New Roman"/>
          <w:sz w:val="24"/>
          <w:szCs w:val="24"/>
        </w:rPr>
      </w:pPr>
      <w:r w:rsidRPr="00163733">
        <w:rPr>
          <w:rFonts w:cs="Times New Roman"/>
          <w:sz w:val="24"/>
          <w:szCs w:val="24"/>
        </w:rPr>
        <w:t>V roku 2023 sa podľa § 8 zákona č. 523/2004 Z. z. viazali</w:t>
      </w:r>
      <w:r>
        <w:rPr>
          <w:rFonts w:cs="Times New Roman"/>
          <w:sz w:val="24"/>
          <w:szCs w:val="24"/>
        </w:rPr>
        <w:t xml:space="preserve"> výdavky v sume 3 542 707 </w:t>
      </w:r>
      <w:r w:rsidR="00894CE3">
        <w:rPr>
          <w:sz w:val="24"/>
          <w:szCs w:val="24"/>
        </w:rPr>
        <w:t>tis.</w:t>
      </w:r>
      <w:r>
        <w:rPr>
          <w:rFonts w:cs="Times New Roman"/>
          <w:sz w:val="24"/>
          <w:szCs w:val="24"/>
        </w:rPr>
        <w:t> </w:t>
      </w:r>
      <w:r w:rsidRPr="00163733">
        <w:rPr>
          <w:rFonts w:cs="Times New Roman"/>
          <w:sz w:val="24"/>
          <w:szCs w:val="24"/>
        </w:rPr>
        <w:t xml:space="preserve">eur, z toho: </w:t>
      </w:r>
    </w:p>
    <w:p w14:paraId="17DF1273" w14:textId="57C3F54F" w:rsidR="004C6700" w:rsidRPr="00163733" w:rsidRDefault="004C6700" w:rsidP="004C6700">
      <w:pPr>
        <w:pStyle w:val="Odsekzoznamu"/>
        <w:numPr>
          <w:ilvl w:val="0"/>
          <w:numId w:val="24"/>
        </w:numPr>
        <w:ind w:left="1134" w:hanging="425"/>
        <w:jc w:val="both"/>
        <w:rPr>
          <w:rFonts w:ascii="Times New Roman" w:hAnsi="Times New Roman"/>
          <w:sz w:val="24"/>
          <w:szCs w:val="24"/>
        </w:rPr>
      </w:pPr>
      <w:r w:rsidRPr="00754965">
        <w:rPr>
          <w:rFonts w:ascii="Times New Roman" w:hAnsi="Times New Roman"/>
          <w:sz w:val="24"/>
          <w:szCs w:val="24"/>
        </w:rPr>
        <w:t>pro</w:t>
      </w:r>
      <w:r w:rsidRPr="00163733">
        <w:rPr>
          <w:rFonts w:ascii="Times New Roman" w:hAnsi="Times New Roman"/>
          <w:sz w:val="24"/>
          <w:szCs w:val="24"/>
        </w:rPr>
        <w:t>striedky z Plánu obnovy a o</w:t>
      </w:r>
      <w:r>
        <w:rPr>
          <w:rFonts w:ascii="Times New Roman" w:hAnsi="Times New Roman"/>
          <w:sz w:val="24"/>
          <w:szCs w:val="24"/>
        </w:rPr>
        <w:t>dolnosti v sume 3 015 01</w:t>
      </w:r>
      <w:r w:rsidR="00025612">
        <w:rPr>
          <w:rFonts w:ascii="Times New Roman" w:hAnsi="Times New Roman"/>
          <w:sz w:val="24"/>
          <w:szCs w:val="24"/>
        </w:rPr>
        <w:t>3</w:t>
      </w:r>
      <w:r>
        <w:rPr>
          <w:rFonts w:ascii="Times New Roman" w:hAnsi="Times New Roman"/>
          <w:sz w:val="24"/>
          <w:szCs w:val="24"/>
        </w:rPr>
        <w:t xml:space="preserve"> </w:t>
      </w:r>
      <w:r w:rsidR="00025612">
        <w:rPr>
          <w:rFonts w:ascii="Times New Roman" w:hAnsi="Times New Roman"/>
          <w:sz w:val="24"/>
          <w:szCs w:val="24"/>
        </w:rPr>
        <w:t>tis.</w:t>
      </w:r>
      <w:r w:rsidRPr="00163733">
        <w:rPr>
          <w:rFonts w:ascii="Times New Roman" w:hAnsi="Times New Roman"/>
          <w:sz w:val="24"/>
          <w:szCs w:val="24"/>
        </w:rPr>
        <w:t xml:space="preserve"> eur (v tom kód z</w:t>
      </w:r>
      <w:r>
        <w:rPr>
          <w:rFonts w:ascii="Times New Roman" w:hAnsi="Times New Roman"/>
          <w:sz w:val="24"/>
          <w:szCs w:val="24"/>
        </w:rPr>
        <w:t>droja 13 v sume 1 153 520 </w:t>
      </w:r>
      <w:r w:rsidR="00025612">
        <w:rPr>
          <w:rFonts w:ascii="Times New Roman" w:hAnsi="Times New Roman"/>
          <w:sz w:val="24"/>
          <w:szCs w:val="24"/>
        </w:rPr>
        <w:t>tis.</w:t>
      </w:r>
      <w:r w:rsidRPr="00163733">
        <w:rPr>
          <w:rFonts w:ascii="Times New Roman" w:hAnsi="Times New Roman"/>
          <w:sz w:val="24"/>
          <w:szCs w:val="24"/>
        </w:rPr>
        <w:t xml:space="preserve"> eur a kód z</w:t>
      </w:r>
      <w:r>
        <w:rPr>
          <w:rFonts w:ascii="Times New Roman" w:hAnsi="Times New Roman"/>
          <w:sz w:val="24"/>
          <w:szCs w:val="24"/>
        </w:rPr>
        <w:t xml:space="preserve">droja 11 v sume 1 861 492 </w:t>
      </w:r>
      <w:r w:rsidR="00025612">
        <w:rPr>
          <w:rFonts w:ascii="Times New Roman" w:hAnsi="Times New Roman"/>
          <w:sz w:val="24"/>
          <w:szCs w:val="24"/>
        </w:rPr>
        <w:t>tis.</w:t>
      </w:r>
      <w:r>
        <w:rPr>
          <w:rFonts w:ascii="Times New Roman" w:hAnsi="Times New Roman"/>
          <w:sz w:val="24"/>
          <w:szCs w:val="24"/>
        </w:rPr>
        <w:t> </w:t>
      </w:r>
      <w:r w:rsidRPr="00163733">
        <w:rPr>
          <w:rFonts w:ascii="Times New Roman" w:hAnsi="Times New Roman"/>
          <w:sz w:val="24"/>
          <w:szCs w:val="24"/>
        </w:rPr>
        <w:t>eur),</w:t>
      </w:r>
    </w:p>
    <w:p w14:paraId="63D38C0F" w14:textId="4FB37776" w:rsidR="004C6700" w:rsidRPr="00163733" w:rsidRDefault="004C6700" w:rsidP="004C6700">
      <w:pPr>
        <w:pStyle w:val="Odsekzoznamu"/>
        <w:numPr>
          <w:ilvl w:val="0"/>
          <w:numId w:val="24"/>
        </w:numPr>
        <w:ind w:left="1134" w:hanging="425"/>
        <w:jc w:val="both"/>
        <w:rPr>
          <w:rFonts w:ascii="Times New Roman" w:hAnsi="Times New Roman"/>
          <w:sz w:val="24"/>
          <w:szCs w:val="24"/>
        </w:rPr>
      </w:pPr>
      <w:r w:rsidRPr="00163733">
        <w:rPr>
          <w:rFonts w:ascii="Times New Roman" w:hAnsi="Times New Roman"/>
          <w:sz w:val="24"/>
          <w:szCs w:val="24"/>
        </w:rPr>
        <w:t>prostriedky Plánu obnovy a odolnosti – prostriedky na úhradu DPH v sume 527</w:t>
      </w:r>
      <w:r>
        <w:rPr>
          <w:rFonts w:ascii="Times New Roman" w:hAnsi="Times New Roman"/>
          <w:sz w:val="24"/>
          <w:szCs w:val="24"/>
        </w:rPr>
        <w:t> </w:t>
      </w:r>
      <w:r w:rsidR="00025612">
        <w:rPr>
          <w:rFonts w:ascii="Times New Roman" w:hAnsi="Times New Roman"/>
          <w:sz w:val="24"/>
          <w:szCs w:val="24"/>
        </w:rPr>
        <w:t>695</w:t>
      </w:r>
      <w:r>
        <w:rPr>
          <w:rFonts w:ascii="Times New Roman" w:hAnsi="Times New Roman"/>
          <w:sz w:val="24"/>
          <w:szCs w:val="24"/>
        </w:rPr>
        <w:t> </w:t>
      </w:r>
      <w:r w:rsidR="00025612">
        <w:rPr>
          <w:rFonts w:ascii="Times New Roman" w:hAnsi="Times New Roman"/>
          <w:sz w:val="24"/>
          <w:szCs w:val="24"/>
        </w:rPr>
        <w:t>tis.</w:t>
      </w:r>
      <w:r w:rsidRPr="00163733">
        <w:rPr>
          <w:rFonts w:ascii="Times New Roman" w:hAnsi="Times New Roman"/>
          <w:sz w:val="24"/>
          <w:szCs w:val="24"/>
        </w:rPr>
        <w:t xml:space="preserve"> eur (v tom kód </w:t>
      </w:r>
      <w:r w:rsidR="00025612">
        <w:rPr>
          <w:rFonts w:ascii="Times New Roman" w:hAnsi="Times New Roman"/>
          <w:sz w:val="24"/>
          <w:szCs w:val="24"/>
        </w:rPr>
        <w:t>zdroja 13 v sume 196 893</w:t>
      </w:r>
      <w:r>
        <w:rPr>
          <w:rFonts w:ascii="Times New Roman" w:hAnsi="Times New Roman"/>
          <w:sz w:val="24"/>
          <w:szCs w:val="24"/>
        </w:rPr>
        <w:t xml:space="preserve"> </w:t>
      </w:r>
      <w:r w:rsidR="00025612">
        <w:rPr>
          <w:rFonts w:ascii="Times New Roman" w:hAnsi="Times New Roman"/>
          <w:sz w:val="24"/>
          <w:szCs w:val="24"/>
        </w:rPr>
        <w:t>tis.</w:t>
      </w:r>
      <w:r w:rsidRPr="00163733">
        <w:rPr>
          <w:rFonts w:ascii="Times New Roman" w:hAnsi="Times New Roman"/>
          <w:sz w:val="24"/>
          <w:szCs w:val="24"/>
        </w:rPr>
        <w:t xml:space="preserve"> eur a kód</w:t>
      </w:r>
      <w:r w:rsidR="00025612">
        <w:rPr>
          <w:rFonts w:ascii="Times New Roman" w:hAnsi="Times New Roman"/>
          <w:sz w:val="24"/>
          <w:szCs w:val="24"/>
        </w:rPr>
        <w:t xml:space="preserve"> zdroja 11 v sume 330 802</w:t>
      </w:r>
      <w:r>
        <w:rPr>
          <w:rFonts w:ascii="Times New Roman" w:hAnsi="Times New Roman"/>
          <w:sz w:val="24"/>
          <w:szCs w:val="24"/>
        </w:rPr>
        <w:t xml:space="preserve"> </w:t>
      </w:r>
      <w:r w:rsidR="00025612">
        <w:rPr>
          <w:rFonts w:ascii="Times New Roman" w:hAnsi="Times New Roman"/>
          <w:sz w:val="24"/>
          <w:szCs w:val="24"/>
        </w:rPr>
        <w:t>tis.</w:t>
      </w:r>
      <w:r w:rsidRPr="00163733">
        <w:rPr>
          <w:rFonts w:ascii="Times New Roman" w:hAnsi="Times New Roman"/>
          <w:sz w:val="24"/>
          <w:szCs w:val="24"/>
        </w:rPr>
        <w:t xml:space="preserve"> eur).</w:t>
      </w:r>
    </w:p>
    <w:p w14:paraId="32EC9077" w14:textId="77777777" w:rsidR="004C6700" w:rsidRPr="00163733" w:rsidRDefault="004C6700" w:rsidP="004C6700">
      <w:pPr>
        <w:spacing w:before="120" w:line="240" w:lineRule="auto"/>
        <w:rPr>
          <w:b/>
          <w:color w:val="5B9BD5" w:themeColor="accent1"/>
          <w:sz w:val="24"/>
          <w:szCs w:val="24"/>
        </w:rPr>
      </w:pPr>
      <w:r w:rsidRPr="00155EA2">
        <w:rPr>
          <w:b/>
          <w:color w:val="5B9BD5" w:themeColor="accent1"/>
          <w:sz w:val="24"/>
          <w:szCs w:val="24"/>
        </w:rPr>
        <w:t>Vzťahy s EÚ</w:t>
      </w:r>
      <w:r w:rsidRPr="00163733">
        <w:rPr>
          <w:b/>
          <w:color w:val="5B9BD5" w:themeColor="accent1"/>
          <w:sz w:val="24"/>
          <w:szCs w:val="24"/>
        </w:rPr>
        <w:t xml:space="preserve"> </w:t>
      </w:r>
    </w:p>
    <w:p w14:paraId="386F04C4" w14:textId="0C5C7124" w:rsidR="004C6700" w:rsidRPr="00635544" w:rsidRDefault="004C6700" w:rsidP="004C6700">
      <w:pPr>
        <w:spacing w:line="240" w:lineRule="auto"/>
        <w:rPr>
          <w:sz w:val="24"/>
          <w:szCs w:val="24"/>
        </w:rPr>
      </w:pPr>
      <w:r w:rsidRPr="00635544">
        <w:rPr>
          <w:b/>
          <w:sz w:val="24"/>
          <w:szCs w:val="24"/>
        </w:rPr>
        <w:t>Odvody do rozpočtu EÚ</w:t>
      </w:r>
      <w:r w:rsidRPr="00635544">
        <w:rPr>
          <w:sz w:val="24"/>
          <w:szCs w:val="24"/>
        </w:rPr>
        <w:t xml:space="preserve"> </w:t>
      </w:r>
      <w:r w:rsidR="00022D01">
        <w:rPr>
          <w:sz w:val="24"/>
          <w:szCs w:val="24"/>
        </w:rPr>
        <w:t xml:space="preserve">(spolu s odvodom s tradičných vlastných zdrojov) </w:t>
      </w:r>
      <w:r w:rsidRPr="00635544">
        <w:rPr>
          <w:sz w:val="24"/>
          <w:szCs w:val="24"/>
        </w:rPr>
        <w:t xml:space="preserve">predstavovali v roku 2023 na </w:t>
      </w:r>
      <w:r>
        <w:rPr>
          <w:sz w:val="24"/>
          <w:szCs w:val="24"/>
        </w:rPr>
        <w:t>akruálnej</w:t>
      </w:r>
      <w:r w:rsidRPr="00635544">
        <w:rPr>
          <w:sz w:val="24"/>
          <w:szCs w:val="24"/>
        </w:rPr>
        <w:t xml:space="preserve"> báze </w:t>
      </w:r>
      <w:r>
        <w:rPr>
          <w:sz w:val="24"/>
          <w:szCs w:val="24"/>
        </w:rPr>
        <w:t>1 059 546 tis. </w:t>
      </w:r>
      <w:r w:rsidRPr="00635544">
        <w:rPr>
          <w:sz w:val="24"/>
          <w:szCs w:val="24"/>
        </w:rPr>
        <w:t>eur a boli nižšie oproti rozpočtu o 9</w:t>
      </w:r>
      <w:r>
        <w:rPr>
          <w:sz w:val="24"/>
          <w:szCs w:val="24"/>
        </w:rPr>
        <w:t>6</w:t>
      </w:r>
      <w:r w:rsidRPr="00635544">
        <w:rPr>
          <w:sz w:val="24"/>
          <w:szCs w:val="24"/>
        </w:rPr>
        <w:t xml:space="preserve"> </w:t>
      </w:r>
      <w:r>
        <w:rPr>
          <w:sz w:val="24"/>
          <w:szCs w:val="24"/>
        </w:rPr>
        <w:t>835</w:t>
      </w:r>
      <w:r w:rsidRPr="00635544">
        <w:rPr>
          <w:sz w:val="24"/>
          <w:szCs w:val="24"/>
        </w:rPr>
        <w:t xml:space="preserve"> tis. eur. </w:t>
      </w:r>
      <w:r>
        <w:rPr>
          <w:sz w:val="24"/>
          <w:szCs w:val="24"/>
        </w:rPr>
        <w:t>O</w:t>
      </w:r>
      <w:r w:rsidRPr="00635544">
        <w:rPr>
          <w:sz w:val="24"/>
          <w:szCs w:val="24"/>
        </w:rPr>
        <w:t xml:space="preserve">dvody na akruálnej báze boli v roku 2023 vyššie v porovnaní s hotovostnými odvodmi o 2 608 tis. eur, čo predstavuje rozdiel medzi hotovostným a akruálnym výdavkom príspevkov SR do EU. </w:t>
      </w:r>
    </w:p>
    <w:p w14:paraId="16169D63" w14:textId="4957BEB4" w:rsidR="004C6700" w:rsidRPr="001527AB" w:rsidRDefault="004C6700" w:rsidP="004C6700">
      <w:pPr>
        <w:spacing w:before="120" w:after="0" w:line="240" w:lineRule="auto"/>
        <w:rPr>
          <w:sz w:val="24"/>
          <w:szCs w:val="24"/>
        </w:rPr>
      </w:pPr>
      <w:r w:rsidRPr="000918B5">
        <w:rPr>
          <w:sz w:val="24"/>
          <w:szCs w:val="24"/>
        </w:rPr>
        <w:t xml:space="preserve">Podľa Rozhodnutia </w:t>
      </w:r>
      <w:proofErr w:type="spellStart"/>
      <w:r w:rsidRPr="000918B5">
        <w:rPr>
          <w:sz w:val="24"/>
          <w:szCs w:val="24"/>
        </w:rPr>
        <w:t>Eurostatu</w:t>
      </w:r>
      <w:proofErr w:type="spellEnd"/>
      <w:r w:rsidRPr="000918B5">
        <w:rPr>
          <w:sz w:val="24"/>
          <w:szCs w:val="24"/>
        </w:rPr>
        <w:t xml:space="preserve"> č. 22/2005 o zaznamenávaní transferov z EÚ do členských krajín má byť celkový vplyv EÚ tokov podľa metodiky ESA 2010 na schodok verejnej správy neutrálny. </w:t>
      </w:r>
      <w:r w:rsidRPr="00945DE3">
        <w:rPr>
          <w:b/>
          <w:sz w:val="24"/>
          <w:szCs w:val="24"/>
        </w:rPr>
        <w:t>Upravujúca položka, ktorou sa eliminuje vplyv EÚ fondov</w:t>
      </w:r>
      <w:r>
        <w:rPr>
          <w:sz w:val="24"/>
          <w:szCs w:val="24"/>
        </w:rPr>
        <w:t xml:space="preserve"> na saldo verejnej správy</w:t>
      </w:r>
      <w:r w:rsidRPr="000918B5">
        <w:rPr>
          <w:sz w:val="24"/>
          <w:szCs w:val="24"/>
        </w:rPr>
        <w:t xml:space="preserve"> v skutočnosti dosiahla pozitívnu hodnotu </w:t>
      </w:r>
      <w:r>
        <w:rPr>
          <w:sz w:val="24"/>
          <w:szCs w:val="24"/>
        </w:rPr>
        <w:t>916 753</w:t>
      </w:r>
      <w:r w:rsidRPr="000918B5">
        <w:rPr>
          <w:sz w:val="24"/>
          <w:szCs w:val="24"/>
        </w:rPr>
        <w:t xml:space="preserve"> tis. eur. </w:t>
      </w:r>
      <w:r>
        <w:rPr>
          <w:sz w:val="24"/>
          <w:szCs w:val="24"/>
        </w:rPr>
        <w:t>Táto úprava</w:t>
      </w:r>
      <w:r w:rsidRPr="000918B5">
        <w:rPr>
          <w:sz w:val="24"/>
          <w:szCs w:val="24"/>
        </w:rPr>
        <w:t xml:space="preserve"> bola v rozpočte rozpočtovaná v nulovej hodnote, preto jej vplyv mal pozitívny dopad na rozdiel medzi rozpočtom a skutočným plnením rozpočtu. </w:t>
      </w:r>
      <w:r>
        <w:rPr>
          <w:sz w:val="24"/>
          <w:szCs w:val="24"/>
        </w:rPr>
        <w:t xml:space="preserve">Upravujúcu položku je potrebné ešte upraviť o hodnoty, ktoré ju ovplyvňujú, ak existujú informácie, že niektoré výdavky v mene EU Komisia nepreplatí (korekcie, </w:t>
      </w:r>
      <w:proofErr w:type="spellStart"/>
      <w:r>
        <w:rPr>
          <w:sz w:val="24"/>
          <w:szCs w:val="24"/>
        </w:rPr>
        <w:t>nadčerpanie</w:t>
      </w:r>
      <w:proofErr w:type="spellEnd"/>
      <w:r>
        <w:rPr>
          <w:sz w:val="24"/>
          <w:szCs w:val="24"/>
        </w:rPr>
        <w:t xml:space="preserve">). </w:t>
      </w:r>
      <w:r w:rsidRPr="001527AB">
        <w:rPr>
          <w:sz w:val="24"/>
          <w:szCs w:val="24"/>
        </w:rPr>
        <w:t>V roku 2023 bola táto položka ovplyvnená jednorazovou úpravou</w:t>
      </w:r>
      <w:r w:rsidR="00B96C29" w:rsidRPr="001527AB">
        <w:rPr>
          <w:sz w:val="24"/>
          <w:szCs w:val="24"/>
        </w:rPr>
        <w:t xml:space="preserve"> nad rámec uplatňovanej štandardnej metodiky. Ide o posun príjmov z refundácií EÚ</w:t>
      </w:r>
      <w:r w:rsidRPr="001527AB">
        <w:rPr>
          <w:sz w:val="24"/>
          <w:szCs w:val="24"/>
        </w:rPr>
        <w:t xml:space="preserve">, ktorú realizoval Štatistický úrad SR na základe odporúčania </w:t>
      </w:r>
      <w:proofErr w:type="spellStart"/>
      <w:r w:rsidRPr="001527AB">
        <w:rPr>
          <w:sz w:val="24"/>
          <w:szCs w:val="24"/>
        </w:rPr>
        <w:t>Eurostatu</w:t>
      </w:r>
      <w:proofErr w:type="spellEnd"/>
      <w:r w:rsidRPr="001527AB">
        <w:rPr>
          <w:sz w:val="24"/>
          <w:szCs w:val="24"/>
        </w:rPr>
        <w:t xml:space="preserve">, podľa ktorého </w:t>
      </w:r>
      <w:proofErr w:type="spellStart"/>
      <w:r w:rsidRPr="001527AB">
        <w:rPr>
          <w:sz w:val="24"/>
          <w:szCs w:val="24"/>
        </w:rPr>
        <w:t>energopomoc</w:t>
      </w:r>
      <w:proofErr w:type="spellEnd"/>
      <w:r w:rsidRPr="001527AB">
        <w:rPr>
          <w:rStyle w:val="Odkaznapoznmkupodiarou"/>
          <w:sz w:val="24"/>
          <w:szCs w:val="24"/>
        </w:rPr>
        <w:footnoteReference w:id="16"/>
      </w:r>
      <w:r w:rsidRPr="001527AB">
        <w:rPr>
          <w:sz w:val="24"/>
          <w:szCs w:val="24"/>
        </w:rPr>
        <w:t xml:space="preserve"> financovaná z prostriedkov EÚ by mala byť akruálne zaznamenaná do roku 2023. </w:t>
      </w:r>
    </w:p>
    <w:p w14:paraId="7CA08BB2" w14:textId="04676378" w:rsidR="004C6700" w:rsidRPr="001527AB" w:rsidRDefault="003F3730" w:rsidP="004C6700">
      <w:pPr>
        <w:spacing w:before="120" w:after="0" w:line="240" w:lineRule="auto"/>
        <w:rPr>
          <w:sz w:val="24"/>
          <w:szCs w:val="24"/>
        </w:rPr>
      </w:pPr>
      <w:r w:rsidRPr="00AE097F">
        <w:rPr>
          <w:sz w:val="24"/>
          <w:szCs w:val="24"/>
        </w:rPr>
        <w:t xml:space="preserve"> Celkové výdavky na schémy pomoci súvi</w:t>
      </w:r>
      <w:r w:rsidR="0086493C" w:rsidRPr="00AE097F">
        <w:rPr>
          <w:sz w:val="24"/>
          <w:szCs w:val="24"/>
        </w:rPr>
        <w:t>siace s nárastom cien energií v </w:t>
      </w:r>
      <w:r w:rsidRPr="00AE097F">
        <w:rPr>
          <w:sz w:val="24"/>
          <w:szCs w:val="24"/>
        </w:rPr>
        <w:t xml:space="preserve">roku 2023 predstavovali objem 2 922 mil. eur. Výdavky na </w:t>
      </w:r>
      <w:proofErr w:type="spellStart"/>
      <w:r w:rsidRPr="00AE097F">
        <w:rPr>
          <w:sz w:val="24"/>
          <w:szCs w:val="24"/>
        </w:rPr>
        <w:t>energopomoc</w:t>
      </w:r>
      <w:proofErr w:type="spellEnd"/>
      <w:r w:rsidRPr="00AE097F">
        <w:rPr>
          <w:sz w:val="24"/>
          <w:szCs w:val="24"/>
        </w:rPr>
        <w:t xml:space="preserve"> boli čiastočne financované zo zdrojov EÚ, t. j. z iniciatívy SAFE boli zaznam</w:t>
      </w:r>
      <w:r w:rsidR="0086493C" w:rsidRPr="00AE097F">
        <w:rPr>
          <w:sz w:val="24"/>
          <w:szCs w:val="24"/>
        </w:rPr>
        <w:t>enané prostriedky v roku 2023 v </w:t>
      </w:r>
      <w:r w:rsidRPr="00AE097F">
        <w:rPr>
          <w:sz w:val="24"/>
          <w:szCs w:val="24"/>
        </w:rPr>
        <w:t>celkovej sume 937 mil. eur. Z tejto sumy bolo v roku 2023 prijatých a vyplatených 500 mil.</w:t>
      </w:r>
      <w:r w:rsidR="0086493C" w:rsidRPr="00AE097F">
        <w:rPr>
          <w:sz w:val="24"/>
          <w:szCs w:val="24"/>
        </w:rPr>
        <w:t> </w:t>
      </w:r>
      <w:r w:rsidRPr="00AE097F">
        <w:rPr>
          <w:sz w:val="24"/>
          <w:szCs w:val="24"/>
        </w:rPr>
        <w:t xml:space="preserve">eur (cash = </w:t>
      </w:r>
      <w:proofErr w:type="spellStart"/>
      <w:r w:rsidRPr="00AE097F">
        <w:rPr>
          <w:sz w:val="24"/>
          <w:szCs w:val="24"/>
        </w:rPr>
        <w:t>akruál</w:t>
      </w:r>
      <w:proofErr w:type="spellEnd"/>
      <w:r w:rsidRPr="00AE097F">
        <w:rPr>
          <w:sz w:val="24"/>
          <w:szCs w:val="24"/>
        </w:rPr>
        <w:t xml:space="preserve">), </w:t>
      </w:r>
      <w:r w:rsidRPr="00AE097F">
        <w:rPr>
          <w:sz w:val="24"/>
          <w:szCs w:val="24"/>
        </w:rPr>
        <w:lastRenderedPageBreak/>
        <w:t>zostávajúca suma 437 mil. eur bola na základe usmernenia ŠÚ SR zaznamenaná ako pohľadávka do roku 2023 s pozitívnym vplyvom na saldo v metodike ESA 2010 (tieto prostriedky na hotovostnej báze neboli príjmom rozpočtu v roku 2023, ich preplatenie sa očakáva až v roku 2024).</w:t>
      </w:r>
    </w:p>
    <w:p w14:paraId="361C165D" w14:textId="7591467E" w:rsidR="004C6700" w:rsidRPr="001527AB" w:rsidRDefault="004C6700" w:rsidP="004C6700">
      <w:pPr>
        <w:spacing w:before="120" w:after="0" w:line="240" w:lineRule="auto"/>
        <w:rPr>
          <w:sz w:val="24"/>
          <w:szCs w:val="24"/>
        </w:rPr>
      </w:pPr>
      <w:r w:rsidRPr="001527AB">
        <w:rPr>
          <w:sz w:val="24"/>
          <w:szCs w:val="24"/>
        </w:rPr>
        <w:t xml:space="preserve">Rovnako ako refundácia </w:t>
      </w:r>
      <w:proofErr w:type="spellStart"/>
      <w:r w:rsidRPr="001527AB">
        <w:rPr>
          <w:sz w:val="24"/>
          <w:szCs w:val="24"/>
        </w:rPr>
        <w:t>energopomoci</w:t>
      </w:r>
      <w:proofErr w:type="spellEnd"/>
      <w:r w:rsidRPr="001527AB">
        <w:rPr>
          <w:sz w:val="24"/>
          <w:szCs w:val="24"/>
        </w:rPr>
        <w:t xml:space="preserve"> bola zaznamenaná aj refundácia programu </w:t>
      </w:r>
      <w:proofErr w:type="spellStart"/>
      <w:r w:rsidRPr="001527AB">
        <w:rPr>
          <w:sz w:val="24"/>
          <w:szCs w:val="24"/>
        </w:rPr>
        <w:t>Fast</w:t>
      </w:r>
      <w:proofErr w:type="spellEnd"/>
      <w:r w:rsidRPr="001527AB">
        <w:rPr>
          <w:sz w:val="24"/>
          <w:szCs w:val="24"/>
        </w:rPr>
        <w:t xml:space="preserve"> - </w:t>
      </w:r>
      <w:proofErr w:type="spellStart"/>
      <w:r w:rsidRPr="001527AB">
        <w:rPr>
          <w:sz w:val="24"/>
          <w:szCs w:val="24"/>
        </w:rPr>
        <w:t>Care</w:t>
      </w:r>
      <w:proofErr w:type="spellEnd"/>
      <w:r w:rsidRPr="001527AB">
        <w:rPr>
          <w:sz w:val="24"/>
          <w:szCs w:val="24"/>
        </w:rPr>
        <w:t xml:space="preserve"> (podpora krajín, ktoré prichýlili vysídlené osoby z Ukrajiny) a refundácia, ktorá sa hotovostne realizovala v roku 2023 sa posunula akruálne do roku 2022 (vo výške 260 238 tis. eur), kedy sa uskutočnili súvisiace výdavky.</w:t>
      </w:r>
    </w:p>
    <w:p w14:paraId="0E072D90" w14:textId="77777777" w:rsidR="004C6700" w:rsidRPr="000918B5" w:rsidRDefault="004C6700" w:rsidP="004C6700">
      <w:pPr>
        <w:spacing w:before="120" w:line="240" w:lineRule="auto"/>
        <w:rPr>
          <w:sz w:val="24"/>
          <w:szCs w:val="24"/>
        </w:rPr>
      </w:pPr>
      <w:r w:rsidRPr="001527AB">
        <w:rPr>
          <w:sz w:val="24"/>
          <w:szCs w:val="24"/>
        </w:rPr>
        <w:t>Pre zaznamenávanie výdavkov</w:t>
      </w:r>
      <w:r w:rsidRPr="000918B5">
        <w:rPr>
          <w:sz w:val="24"/>
          <w:szCs w:val="24"/>
        </w:rPr>
        <w:t xml:space="preserve"> z Plánu Obnovy a odolnosti hradených z EÚ platia rovnaké pravidlá ako pre zaznamenávanie prostriedkov z klasických EŠIF, teda má sa eliminovať ich vplyv na schodok verejnej správy. Hodnota tejto upravujúcej položky na schodok predstavovala v roku 2023 pozitívnu hodnotu 6 810 tis. eur.</w:t>
      </w:r>
    </w:p>
    <w:p w14:paraId="6F6EBDC7" w14:textId="37F28CD1" w:rsidR="004C6700" w:rsidRPr="00DC4124" w:rsidRDefault="004C6700" w:rsidP="004C6700">
      <w:pPr>
        <w:spacing w:before="120" w:after="0" w:line="240" w:lineRule="auto"/>
        <w:rPr>
          <w:sz w:val="24"/>
          <w:szCs w:val="24"/>
        </w:rPr>
      </w:pPr>
      <w:r w:rsidRPr="00635544">
        <w:rPr>
          <w:sz w:val="24"/>
          <w:szCs w:val="24"/>
        </w:rPr>
        <w:t xml:space="preserve">Pod </w:t>
      </w:r>
      <w:r w:rsidRPr="00635544">
        <w:rPr>
          <w:b/>
          <w:sz w:val="24"/>
          <w:szCs w:val="24"/>
        </w:rPr>
        <w:t>korekciou k fondom EÚ</w:t>
      </w:r>
      <w:r w:rsidRPr="00635544">
        <w:rPr>
          <w:sz w:val="24"/>
          <w:szCs w:val="24"/>
        </w:rPr>
        <w:t xml:space="preserve"> sa rozumie porušenie uplatniteľného práva EÚ alebo vnútroštátneho práva v súvislosti s výdavkami, ktoré boli vykázané Európskej komisii alebo v súvislosti s výdavkami schvaľovanými na národnej úrovni, v dôsledku čoho Slovenskej republike nie sú preplatené výdavky, ktoré potom musí pokryť štátny rozpočet. Negatívny vplyv na saldo verejnej správy v roku </w:t>
      </w:r>
      <w:r w:rsidRPr="00DC4124">
        <w:rPr>
          <w:sz w:val="24"/>
          <w:szCs w:val="24"/>
        </w:rPr>
        <w:t xml:space="preserve">2023 mali finančné korekcie vo výške </w:t>
      </w:r>
      <w:r>
        <w:rPr>
          <w:sz w:val="24"/>
          <w:szCs w:val="24"/>
        </w:rPr>
        <w:t>73 </w:t>
      </w:r>
      <w:r w:rsidRPr="00DC4124">
        <w:rPr>
          <w:sz w:val="24"/>
          <w:szCs w:val="24"/>
        </w:rPr>
        <w:t>611 tis. eur, z toho v dôsledku zníženia pohľadávky voči EÚ z dôvodu systémových korekcií</w:t>
      </w:r>
      <w:r w:rsidRPr="00DC4124">
        <w:rPr>
          <w:sz w:val="24"/>
          <w:szCs w:val="24"/>
          <w:vertAlign w:val="superscript"/>
        </w:rPr>
        <w:footnoteReference w:id="17"/>
      </w:r>
      <w:r>
        <w:rPr>
          <w:sz w:val="24"/>
          <w:szCs w:val="24"/>
        </w:rPr>
        <w:t xml:space="preserve"> v sume 68 </w:t>
      </w:r>
      <w:r w:rsidRPr="00DC4124">
        <w:rPr>
          <w:sz w:val="24"/>
          <w:szCs w:val="24"/>
        </w:rPr>
        <w:t>516 tis. eur a individuálnych korekcií</w:t>
      </w:r>
      <w:r w:rsidRPr="00DC4124">
        <w:rPr>
          <w:sz w:val="24"/>
          <w:szCs w:val="24"/>
          <w:vertAlign w:val="superscript"/>
        </w:rPr>
        <w:footnoteReference w:id="18"/>
      </w:r>
      <w:r w:rsidRPr="00DC4124">
        <w:rPr>
          <w:sz w:val="24"/>
          <w:szCs w:val="24"/>
        </w:rPr>
        <w:t xml:space="preserve"> v sume </w:t>
      </w:r>
      <w:r>
        <w:rPr>
          <w:sz w:val="24"/>
          <w:szCs w:val="24"/>
        </w:rPr>
        <w:t>5 </w:t>
      </w:r>
      <w:r w:rsidRPr="00DC4124">
        <w:rPr>
          <w:sz w:val="24"/>
          <w:szCs w:val="24"/>
        </w:rPr>
        <w:t xml:space="preserve">095 tis. eur. </w:t>
      </w:r>
    </w:p>
    <w:p w14:paraId="06736B2A" w14:textId="77777777" w:rsidR="004C6700" w:rsidRDefault="004C6700" w:rsidP="004C6700">
      <w:pPr>
        <w:spacing w:before="120" w:after="0" w:line="240" w:lineRule="auto"/>
        <w:rPr>
          <w:sz w:val="24"/>
          <w:szCs w:val="24"/>
        </w:rPr>
      </w:pPr>
      <w:r w:rsidRPr="00DC4124">
        <w:rPr>
          <w:sz w:val="24"/>
          <w:szCs w:val="24"/>
        </w:rPr>
        <w:t xml:space="preserve">V prípade, ak boli korekcie nahradené novými výdavkami, realizujú sa aj príjmy na príjmovom </w:t>
      </w:r>
      <w:r w:rsidRPr="00763340">
        <w:rPr>
          <w:sz w:val="24"/>
          <w:szCs w:val="24"/>
        </w:rPr>
        <w:t xml:space="preserve">účte platobných jednotiek a zároveň bola v minulosti zaznamenaná programová (systémová) korekcia podľa požiadaviek </w:t>
      </w:r>
      <w:proofErr w:type="spellStart"/>
      <w:r w:rsidRPr="00763340">
        <w:rPr>
          <w:sz w:val="24"/>
          <w:szCs w:val="24"/>
        </w:rPr>
        <w:t>Eurostatu</w:t>
      </w:r>
      <w:proofErr w:type="spellEnd"/>
      <w:r w:rsidRPr="00763340">
        <w:rPr>
          <w:sz w:val="24"/>
          <w:szCs w:val="24"/>
        </w:rPr>
        <w:t xml:space="preserve"> v čase, keď bolo o nej rozhodnuté, išlo by o duplicitné zaznamenanie zníženia pohľadávky EÚ, jednak prostredníctvom nahlásenia korekcií v roku rozhodnutia a potom aj zmenou stavu pohľadávky vypočítanej ako rozdiel príjmov a výdavkov zo zdroja EÚ na rozpočtovom účte štátnych rozpočtových organizácií. Z tohto dôvodu je duplicitný negatívny vplyv na schodok eliminovaný. Uvedené zohľadnila upravujúca položka očistenie vplyvu príjmov za prostriedky EÚ z dôvodu úhra</w:t>
      </w:r>
      <w:r>
        <w:rPr>
          <w:sz w:val="24"/>
          <w:szCs w:val="24"/>
        </w:rPr>
        <w:t>dy korekcií na náklady štátu vo </w:t>
      </w:r>
      <w:r w:rsidRPr="00763340">
        <w:rPr>
          <w:sz w:val="24"/>
          <w:szCs w:val="24"/>
        </w:rPr>
        <w:t xml:space="preserve">výške </w:t>
      </w:r>
      <w:r>
        <w:rPr>
          <w:sz w:val="24"/>
          <w:szCs w:val="24"/>
        </w:rPr>
        <w:t xml:space="preserve">119 484 tis. eur (v </w:t>
      </w:r>
      <w:r w:rsidRPr="00763340">
        <w:rPr>
          <w:sz w:val="24"/>
          <w:szCs w:val="24"/>
        </w:rPr>
        <w:t xml:space="preserve">rozpočte sa táto upravujúca položka </w:t>
      </w:r>
      <w:r>
        <w:rPr>
          <w:sz w:val="24"/>
          <w:szCs w:val="24"/>
        </w:rPr>
        <w:t>rozpočtovala vo výške 121 152 tis. eur</w:t>
      </w:r>
      <w:r w:rsidRPr="00763340">
        <w:rPr>
          <w:sz w:val="24"/>
          <w:szCs w:val="24"/>
        </w:rPr>
        <w:t xml:space="preserve"> </w:t>
      </w:r>
      <w:r>
        <w:rPr>
          <w:sz w:val="24"/>
          <w:szCs w:val="24"/>
        </w:rPr>
        <w:t>a rozdiel oproti skutočnosti predstavuje 1 668 tis. eur</w:t>
      </w:r>
      <w:r w:rsidRPr="00763340">
        <w:rPr>
          <w:sz w:val="24"/>
          <w:szCs w:val="24"/>
        </w:rPr>
        <w:t>).</w:t>
      </w:r>
    </w:p>
    <w:p w14:paraId="14E2E514" w14:textId="77777777" w:rsidR="004C6700" w:rsidRDefault="004C6700" w:rsidP="004C6700">
      <w:pPr>
        <w:spacing w:before="120" w:after="0" w:line="240" w:lineRule="auto"/>
        <w:rPr>
          <w:sz w:val="24"/>
          <w:szCs w:val="24"/>
        </w:rPr>
      </w:pPr>
      <w:r>
        <w:rPr>
          <w:sz w:val="24"/>
          <w:szCs w:val="24"/>
        </w:rPr>
        <w:t xml:space="preserve">Podobný princíp ako pri zaznamenaní korekcií sa uplatnil v prípade zaznamenania </w:t>
      </w:r>
      <w:proofErr w:type="spellStart"/>
      <w:r>
        <w:rPr>
          <w:sz w:val="24"/>
          <w:szCs w:val="24"/>
        </w:rPr>
        <w:t>nadčerpania</w:t>
      </w:r>
      <w:proofErr w:type="spellEnd"/>
      <w:r>
        <w:rPr>
          <w:sz w:val="24"/>
          <w:szCs w:val="24"/>
        </w:rPr>
        <w:t xml:space="preserve"> </w:t>
      </w:r>
      <w:r w:rsidRPr="00945DE3">
        <w:rPr>
          <w:sz w:val="24"/>
          <w:szCs w:val="24"/>
        </w:rPr>
        <w:t>programu</w:t>
      </w:r>
      <w:r>
        <w:rPr>
          <w:sz w:val="24"/>
          <w:szCs w:val="24"/>
        </w:rPr>
        <w:t>.</w:t>
      </w:r>
      <w:r w:rsidRPr="00945DE3">
        <w:rPr>
          <w:sz w:val="24"/>
          <w:szCs w:val="24"/>
        </w:rPr>
        <w:t xml:space="preserve"> </w:t>
      </w:r>
      <w:r>
        <w:rPr>
          <w:sz w:val="24"/>
          <w:szCs w:val="24"/>
        </w:rPr>
        <w:t>P</w:t>
      </w:r>
      <w:r w:rsidRPr="00945DE3">
        <w:rPr>
          <w:sz w:val="24"/>
          <w:szCs w:val="24"/>
        </w:rPr>
        <w:t xml:space="preserve">re OP Integrovaný regionálny operačný program boli poskytnuté prostriedky platobnej jednotke MIRRI SR nad rámec 100 % alokácie EÚ – tzv. </w:t>
      </w:r>
      <w:proofErr w:type="spellStart"/>
      <w:r w:rsidRPr="00945DE3">
        <w:rPr>
          <w:sz w:val="24"/>
          <w:szCs w:val="24"/>
        </w:rPr>
        <w:t>nadčerpanie</w:t>
      </w:r>
      <w:proofErr w:type="spellEnd"/>
      <w:r w:rsidRPr="00945DE3">
        <w:rPr>
          <w:sz w:val="24"/>
          <w:szCs w:val="24"/>
        </w:rPr>
        <w:t xml:space="preserve"> (</w:t>
      </w:r>
      <w:proofErr w:type="spellStart"/>
      <w:r w:rsidRPr="00945DE3">
        <w:rPr>
          <w:sz w:val="24"/>
          <w:szCs w:val="24"/>
        </w:rPr>
        <w:t>overbooking</w:t>
      </w:r>
      <w:proofErr w:type="spellEnd"/>
      <w:r w:rsidRPr="00945DE3">
        <w:rPr>
          <w:sz w:val="24"/>
          <w:szCs w:val="24"/>
        </w:rPr>
        <w:t>)</w:t>
      </w:r>
      <w:r>
        <w:rPr>
          <w:sz w:val="24"/>
          <w:szCs w:val="24"/>
        </w:rPr>
        <w:t>.</w:t>
      </w:r>
      <w:r w:rsidRPr="00945DE3">
        <w:rPr>
          <w:sz w:val="24"/>
          <w:szCs w:val="24"/>
        </w:rPr>
        <w:t xml:space="preserve"> </w:t>
      </w:r>
    </w:p>
    <w:p w14:paraId="5F7AFA4B" w14:textId="73F5537D" w:rsidR="004C6700" w:rsidRPr="00945DE3" w:rsidRDefault="004C6700" w:rsidP="004C6700">
      <w:pPr>
        <w:spacing w:before="120" w:after="0" w:line="240" w:lineRule="auto"/>
        <w:rPr>
          <w:sz w:val="24"/>
          <w:szCs w:val="24"/>
        </w:rPr>
      </w:pPr>
      <w:r w:rsidRPr="00945DE3">
        <w:rPr>
          <w:sz w:val="24"/>
          <w:szCs w:val="24"/>
        </w:rPr>
        <w:t>V roku poskytnutia a čerpania prostriedkov za kód zdroja EÚ v rámci daného programu nie je možné očakávať, že dané výdavky budú preplatené z</w:t>
      </w:r>
      <w:r>
        <w:rPr>
          <w:sz w:val="24"/>
          <w:szCs w:val="24"/>
        </w:rPr>
        <w:t> Európskej komisie</w:t>
      </w:r>
      <w:r w:rsidRPr="00945DE3">
        <w:rPr>
          <w:sz w:val="24"/>
          <w:szCs w:val="24"/>
        </w:rPr>
        <w:t xml:space="preserve"> z dôvodu prekročenia alokácie programu a nebudú naplnené príjmy do rozpočtu platobnej jednotky. Medziročná zmena stavu </w:t>
      </w:r>
      <w:r>
        <w:rPr>
          <w:sz w:val="24"/>
          <w:szCs w:val="24"/>
        </w:rPr>
        <w:t>upravujúcej položky</w:t>
      </w:r>
      <w:r w:rsidRPr="00945DE3">
        <w:rPr>
          <w:sz w:val="24"/>
          <w:szCs w:val="24"/>
        </w:rPr>
        <w:t xml:space="preserve"> EÚ </w:t>
      </w:r>
      <w:r>
        <w:rPr>
          <w:sz w:val="24"/>
          <w:szCs w:val="24"/>
        </w:rPr>
        <w:t>(tzv. pohľadávka voči EU)</w:t>
      </w:r>
      <w:r w:rsidRPr="00945DE3">
        <w:rPr>
          <w:sz w:val="24"/>
          <w:szCs w:val="24"/>
        </w:rPr>
        <w:t xml:space="preserve"> za rozpočtový rok </w:t>
      </w:r>
      <w:r>
        <w:rPr>
          <w:sz w:val="24"/>
          <w:szCs w:val="24"/>
        </w:rPr>
        <w:t>má</w:t>
      </w:r>
      <w:r w:rsidRPr="00945DE3">
        <w:rPr>
          <w:sz w:val="24"/>
          <w:szCs w:val="24"/>
        </w:rPr>
        <w:t xml:space="preserve"> byť znížená o</w:t>
      </w:r>
      <w:r>
        <w:rPr>
          <w:sz w:val="24"/>
          <w:szCs w:val="24"/>
        </w:rPr>
        <w:t> </w:t>
      </w:r>
      <w:r w:rsidRPr="00945DE3">
        <w:rPr>
          <w:sz w:val="24"/>
          <w:szCs w:val="24"/>
        </w:rPr>
        <w:t xml:space="preserve">výšku poskytnutého </w:t>
      </w:r>
      <w:proofErr w:type="spellStart"/>
      <w:r w:rsidRPr="00945DE3">
        <w:rPr>
          <w:sz w:val="24"/>
          <w:szCs w:val="24"/>
        </w:rPr>
        <w:t>nadčerpania</w:t>
      </w:r>
      <w:proofErr w:type="spellEnd"/>
      <w:r w:rsidRPr="00945DE3">
        <w:rPr>
          <w:sz w:val="24"/>
          <w:szCs w:val="24"/>
        </w:rPr>
        <w:t xml:space="preserve"> (za výdavky poskytnuté </w:t>
      </w:r>
      <w:r>
        <w:rPr>
          <w:sz w:val="24"/>
          <w:szCs w:val="24"/>
        </w:rPr>
        <w:t>platobnej jednotke</w:t>
      </w:r>
      <w:r w:rsidRPr="00945DE3">
        <w:rPr>
          <w:sz w:val="24"/>
          <w:szCs w:val="24"/>
        </w:rPr>
        <w:t xml:space="preserve"> nad rámec 100 % alokácie programu), ktoré EK nepreplatí z dôvodu prekročenia alokácie</w:t>
      </w:r>
      <w:r w:rsidR="0070158D">
        <w:rPr>
          <w:sz w:val="24"/>
          <w:szCs w:val="24"/>
        </w:rPr>
        <w:t xml:space="preserve"> vo výške 190 000 tis. eur</w:t>
      </w:r>
      <w:r w:rsidRPr="00945DE3">
        <w:rPr>
          <w:sz w:val="24"/>
          <w:szCs w:val="24"/>
        </w:rPr>
        <w:t>.</w:t>
      </w:r>
      <w:r>
        <w:rPr>
          <w:sz w:val="24"/>
          <w:szCs w:val="24"/>
        </w:rPr>
        <w:t xml:space="preserve"> </w:t>
      </w:r>
    </w:p>
    <w:p w14:paraId="51012424" w14:textId="77777777" w:rsidR="004C6700" w:rsidRPr="00A460F5" w:rsidRDefault="004C6700" w:rsidP="004C6700">
      <w:pPr>
        <w:spacing w:before="120" w:line="240" w:lineRule="auto"/>
        <w:rPr>
          <w:b/>
          <w:color w:val="5B9BD5" w:themeColor="accent1"/>
          <w:sz w:val="24"/>
          <w:szCs w:val="24"/>
        </w:rPr>
      </w:pPr>
      <w:r w:rsidRPr="00A460F5">
        <w:rPr>
          <w:b/>
          <w:color w:val="5B9BD5" w:themeColor="accent1"/>
          <w:sz w:val="24"/>
          <w:szCs w:val="24"/>
        </w:rPr>
        <w:t>Zelená energia</w:t>
      </w:r>
    </w:p>
    <w:p w14:paraId="33D46B58" w14:textId="44C4D544" w:rsidR="004C6700" w:rsidRPr="00A460F5" w:rsidRDefault="004C6700" w:rsidP="004C6700">
      <w:pPr>
        <w:spacing w:after="0" w:line="240" w:lineRule="auto"/>
        <w:rPr>
          <w:sz w:val="24"/>
          <w:szCs w:val="24"/>
        </w:rPr>
      </w:pPr>
      <w:r w:rsidRPr="00A460F5">
        <w:rPr>
          <w:sz w:val="24"/>
          <w:szCs w:val="24"/>
        </w:rPr>
        <w:t xml:space="preserve">Podpora obnoviteľných zdrojov energie (OZE) sa realizuje prostredníctvom </w:t>
      </w:r>
      <w:r>
        <w:rPr>
          <w:sz w:val="24"/>
          <w:szCs w:val="24"/>
        </w:rPr>
        <w:t xml:space="preserve">politiky </w:t>
      </w:r>
      <w:r w:rsidRPr="00A460F5">
        <w:rPr>
          <w:sz w:val="24"/>
          <w:szCs w:val="24"/>
        </w:rPr>
        <w:t>štátu, ktor</w:t>
      </w:r>
      <w:r>
        <w:rPr>
          <w:sz w:val="24"/>
          <w:szCs w:val="24"/>
        </w:rPr>
        <w:t>ou</w:t>
      </w:r>
      <w:r w:rsidRPr="00A460F5">
        <w:rPr>
          <w:sz w:val="24"/>
          <w:szCs w:val="24"/>
        </w:rPr>
        <w:t xml:space="preserve"> chce podporiť OZE pomocou povinného výkupu energie za vyššiu cenu. Od roku 2020 už túto povinnosť výkupu nemajú distribučné spoločnosti ako </w:t>
      </w:r>
      <w:r>
        <w:rPr>
          <w:sz w:val="24"/>
          <w:szCs w:val="24"/>
        </w:rPr>
        <w:t>pred tým</w:t>
      </w:r>
      <w:r w:rsidRPr="00A460F5">
        <w:rPr>
          <w:sz w:val="24"/>
          <w:szCs w:val="24"/>
        </w:rPr>
        <w:t xml:space="preserve">, ale </w:t>
      </w:r>
      <w:r>
        <w:rPr>
          <w:sz w:val="24"/>
          <w:szCs w:val="24"/>
        </w:rPr>
        <w:t xml:space="preserve">spoločnosť </w:t>
      </w:r>
      <w:r w:rsidRPr="00A460F5">
        <w:rPr>
          <w:sz w:val="24"/>
          <w:szCs w:val="24"/>
        </w:rPr>
        <w:t>SPP</w:t>
      </w:r>
      <w:r>
        <w:rPr>
          <w:sz w:val="24"/>
          <w:szCs w:val="24"/>
        </w:rPr>
        <w:t xml:space="preserve"> </w:t>
      </w:r>
      <w:proofErr w:type="spellStart"/>
      <w:r>
        <w:rPr>
          <w:sz w:val="24"/>
          <w:szCs w:val="24"/>
        </w:rPr>
        <w:t>resp.</w:t>
      </w:r>
      <w:r w:rsidRPr="00A460F5">
        <w:rPr>
          <w:sz w:val="24"/>
          <w:szCs w:val="24"/>
        </w:rPr>
        <w:t>OKTE</w:t>
      </w:r>
      <w:proofErr w:type="spellEnd"/>
      <w:r w:rsidRPr="00A460F5">
        <w:rPr>
          <w:sz w:val="24"/>
          <w:szCs w:val="24"/>
        </w:rPr>
        <w:t xml:space="preserve"> </w:t>
      </w:r>
      <w:r w:rsidRPr="00A460F5">
        <w:rPr>
          <w:sz w:val="24"/>
          <w:szCs w:val="24"/>
        </w:rPr>
        <w:lastRenderedPageBreak/>
        <w:t xml:space="preserve">(Organizátor krátkodobého trhu s elektrinou). Pri podpore výroby ide o nekomerčnú aktivitu vykonávanú jednotkami nepatriacimi do sektora verejnej správy, ktoré vykupujú </w:t>
      </w:r>
      <w:r>
        <w:rPr>
          <w:sz w:val="24"/>
          <w:szCs w:val="24"/>
        </w:rPr>
        <w:t>za vyššie ceny</w:t>
      </w:r>
      <w:r w:rsidRPr="00A460F5">
        <w:rPr>
          <w:sz w:val="24"/>
          <w:szCs w:val="24"/>
        </w:rPr>
        <w:t xml:space="preserve"> elektrinu </w:t>
      </w:r>
      <w:r>
        <w:rPr>
          <w:sz w:val="24"/>
          <w:szCs w:val="24"/>
        </w:rPr>
        <w:t xml:space="preserve">vyrobenú </w:t>
      </w:r>
      <w:r w:rsidRPr="00A460F5">
        <w:rPr>
          <w:sz w:val="24"/>
          <w:szCs w:val="24"/>
        </w:rPr>
        <w:t xml:space="preserve">z OZE, pretože im to ukladá zákon, teda </w:t>
      </w:r>
      <w:r>
        <w:rPr>
          <w:sz w:val="24"/>
          <w:szCs w:val="24"/>
        </w:rPr>
        <w:t xml:space="preserve">reálne </w:t>
      </w:r>
      <w:r w:rsidRPr="00A460F5">
        <w:rPr>
          <w:sz w:val="24"/>
          <w:szCs w:val="24"/>
        </w:rPr>
        <w:t>vykonávajú vládnu politiku v oblasti podpory OZE.</w:t>
      </w:r>
    </w:p>
    <w:p w14:paraId="7726E8E1" w14:textId="77777777" w:rsidR="004C6700" w:rsidRPr="00A460F5" w:rsidRDefault="004C6700" w:rsidP="00EB2641">
      <w:pPr>
        <w:spacing w:line="240" w:lineRule="auto"/>
        <w:rPr>
          <w:sz w:val="24"/>
          <w:szCs w:val="24"/>
        </w:rPr>
      </w:pPr>
      <w:r w:rsidRPr="00A460F5">
        <w:rPr>
          <w:sz w:val="24"/>
          <w:szCs w:val="24"/>
        </w:rPr>
        <w:t>Z toh</w:t>
      </w:r>
      <w:r>
        <w:rPr>
          <w:sz w:val="24"/>
          <w:szCs w:val="24"/>
        </w:rPr>
        <w:t>t</w:t>
      </w:r>
      <w:r w:rsidRPr="00A460F5">
        <w:rPr>
          <w:sz w:val="24"/>
          <w:szCs w:val="24"/>
        </w:rPr>
        <w:t xml:space="preserve">o dôvodu sa </w:t>
      </w:r>
      <w:proofErr w:type="spellStart"/>
      <w:r w:rsidRPr="00A460F5">
        <w:rPr>
          <w:sz w:val="24"/>
          <w:szCs w:val="24"/>
        </w:rPr>
        <w:t>presmerovávajú</w:t>
      </w:r>
      <w:proofErr w:type="spellEnd"/>
      <w:r w:rsidRPr="00A460F5">
        <w:rPr>
          <w:sz w:val="24"/>
          <w:szCs w:val="24"/>
        </w:rPr>
        <w:t xml:space="preserve"> predmetné transakcie cez sektor verejnej správy, kde neverejné jednotky vyberajú dane a zároveň poskytujú subvencie výrobcom energie. Dane platí obyvateľstvo v cenách energie v rámci tarify za prevádzku systému (TPS) a podpora OZE sa realizuje výkupom elektriny za zvýšenú cenu v podobe subvencie.</w:t>
      </w:r>
    </w:p>
    <w:p w14:paraId="2AC0FEBE" w14:textId="77777777" w:rsidR="004C6700" w:rsidRPr="00A460F5" w:rsidRDefault="004C6700" w:rsidP="00EB2641">
      <w:pPr>
        <w:spacing w:line="240" w:lineRule="auto"/>
        <w:rPr>
          <w:sz w:val="24"/>
          <w:szCs w:val="24"/>
        </w:rPr>
      </w:pPr>
      <w:r w:rsidRPr="00A460F5">
        <w:rPr>
          <w:sz w:val="24"/>
          <w:szCs w:val="24"/>
        </w:rPr>
        <w:t>V roku 2023 boli inkasované daňové príjmy p</w:t>
      </w:r>
      <w:r>
        <w:rPr>
          <w:sz w:val="24"/>
          <w:szCs w:val="24"/>
        </w:rPr>
        <w:t>rostredníctvom TPS vo výške 420 800 tis. eur, čo bolo o 162 </w:t>
      </w:r>
      <w:r w:rsidRPr="00A460F5">
        <w:rPr>
          <w:sz w:val="24"/>
          <w:szCs w:val="24"/>
        </w:rPr>
        <w:t xml:space="preserve">308 tis. eur viac oproti rozpočtovaným príjmom. Na strane výdavkov na podporu obnoviteľných zdrojov energie a vysoko účinnej kombinovanej výroby </w:t>
      </w:r>
      <w:r>
        <w:rPr>
          <w:sz w:val="24"/>
          <w:szCs w:val="24"/>
        </w:rPr>
        <w:t>elektriny a tepla</w:t>
      </w:r>
      <w:r w:rsidRPr="00A460F5">
        <w:rPr>
          <w:sz w:val="24"/>
          <w:szCs w:val="24"/>
        </w:rPr>
        <w:t xml:space="preserve"> bol vyplate</w:t>
      </w:r>
      <w:r>
        <w:rPr>
          <w:sz w:val="24"/>
          <w:szCs w:val="24"/>
        </w:rPr>
        <w:t>ný objem subvencií vo výške 240 </w:t>
      </w:r>
      <w:r w:rsidRPr="00A460F5">
        <w:rPr>
          <w:sz w:val="24"/>
          <w:szCs w:val="24"/>
        </w:rPr>
        <w:t>248 tis. eur, čo bolo menej oproti rozpočtu o</w:t>
      </w:r>
      <w:r>
        <w:rPr>
          <w:sz w:val="24"/>
          <w:szCs w:val="24"/>
        </w:rPr>
        <w:t> </w:t>
      </w:r>
      <w:r w:rsidRPr="00A460F5">
        <w:rPr>
          <w:sz w:val="24"/>
          <w:szCs w:val="24"/>
        </w:rPr>
        <w:t>48</w:t>
      </w:r>
      <w:r>
        <w:rPr>
          <w:sz w:val="24"/>
          <w:szCs w:val="24"/>
        </w:rPr>
        <w:t> </w:t>
      </w:r>
      <w:r w:rsidRPr="00A460F5">
        <w:rPr>
          <w:sz w:val="24"/>
          <w:szCs w:val="24"/>
        </w:rPr>
        <w:t xml:space="preserve">472 tis. eur. </w:t>
      </w:r>
      <w:r>
        <w:rPr>
          <w:sz w:val="24"/>
          <w:szCs w:val="24"/>
        </w:rPr>
        <w:t xml:space="preserve">Výsledné </w:t>
      </w:r>
      <w:r>
        <w:rPr>
          <w:b/>
          <w:sz w:val="24"/>
          <w:szCs w:val="24"/>
        </w:rPr>
        <w:t>s</w:t>
      </w:r>
      <w:r w:rsidRPr="00A460F5">
        <w:rPr>
          <w:b/>
          <w:sz w:val="24"/>
          <w:szCs w:val="24"/>
        </w:rPr>
        <w:t xml:space="preserve">aldo schémy podpory zelenej energie v roku 2023 </w:t>
      </w:r>
      <w:r>
        <w:rPr>
          <w:b/>
          <w:sz w:val="24"/>
          <w:szCs w:val="24"/>
        </w:rPr>
        <w:t>bolo prebytkové vo výške 180 </w:t>
      </w:r>
      <w:r w:rsidRPr="00A460F5">
        <w:rPr>
          <w:b/>
          <w:sz w:val="24"/>
          <w:szCs w:val="24"/>
        </w:rPr>
        <w:t xml:space="preserve">552 tis. eur, </w:t>
      </w:r>
      <w:r>
        <w:rPr>
          <w:sz w:val="24"/>
          <w:szCs w:val="24"/>
        </w:rPr>
        <w:t>čo</w:t>
      </w:r>
      <w:r w:rsidRPr="00A460F5">
        <w:rPr>
          <w:sz w:val="24"/>
          <w:szCs w:val="24"/>
        </w:rPr>
        <w:t xml:space="preserve"> bol</w:t>
      </w:r>
      <w:r>
        <w:rPr>
          <w:sz w:val="24"/>
          <w:szCs w:val="24"/>
        </w:rPr>
        <w:t>o</w:t>
      </w:r>
      <w:r w:rsidRPr="00A460F5">
        <w:rPr>
          <w:sz w:val="24"/>
          <w:szCs w:val="24"/>
        </w:rPr>
        <w:t xml:space="preserve"> spôsoben</w:t>
      </w:r>
      <w:r>
        <w:rPr>
          <w:sz w:val="24"/>
          <w:szCs w:val="24"/>
        </w:rPr>
        <w:t>é</w:t>
      </w:r>
      <w:r w:rsidRPr="00A460F5">
        <w:rPr>
          <w:sz w:val="24"/>
          <w:szCs w:val="24"/>
        </w:rPr>
        <w:t xml:space="preserve"> </w:t>
      </w:r>
      <w:r>
        <w:rPr>
          <w:sz w:val="24"/>
          <w:szCs w:val="24"/>
        </w:rPr>
        <w:t>vyššími trhovými cenami elektrickej energie a naopak,</w:t>
      </w:r>
      <w:r w:rsidRPr="00A460F5">
        <w:rPr>
          <w:sz w:val="24"/>
          <w:szCs w:val="24"/>
        </w:rPr>
        <w:t xml:space="preserve"> nižšou potrebou dotovania výroby </w:t>
      </w:r>
      <w:r>
        <w:rPr>
          <w:sz w:val="24"/>
          <w:szCs w:val="24"/>
        </w:rPr>
        <w:t xml:space="preserve">elektriny z </w:t>
      </w:r>
      <w:r w:rsidRPr="00A460F5">
        <w:rPr>
          <w:sz w:val="24"/>
          <w:szCs w:val="24"/>
        </w:rPr>
        <w:t>obnoviteľných zdrojov energie.</w:t>
      </w:r>
    </w:p>
    <w:p w14:paraId="48F9945E" w14:textId="77777777" w:rsidR="004C6700" w:rsidRPr="00A460F5" w:rsidRDefault="004C6700" w:rsidP="004C6700">
      <w:pPr>
        <w:spacing w:before="120" w:after="0" w:line="240" w:lineRule="auto"/>
        <w:rPr>
          <w:sz w:val="24"/>
          <w:szCs w:val="24"/>
        </w:rPr>
      </w:pPr>
      <w:r>
        <w:rPr>
          <w:sz w:val="24"/>
          <w:szCs w:val="24"/>
        </w:rPr>
        <w:t xml:space="preserve">Schéma zelenej energie mala zaznamenaný vplyv aj v rámci dlhu verejnej správy. </w:t>
      </w:r>
      <w:r w:rsidRPr="00A460F5">
        <w:rPr>
          <w:sz w:val="24"/>
          <w:szCs w:val="24"/>
        </w:rPr>
        <w:t>Nevyplatené úhrady distribučným spoločnostiam za predchádzajúce roky podpory predstavujú maastrichtský dlh verejnej správy, pričom dĺžka a výška splácania bude určovaná Úradom pre reguláciu sieťových odvetví. Tieto úhrady sa podľa metodiky ESA 2010 nepovažujú za výdavok ovplyvňujúci schodok a hotovostný výdavok sa </w:t>
      </w:r>
      <w:proofErr w:type="spellStart"/>
      <w:r w:rsidRPr="00A460F5">
        <w:rPr>
          <w:sz w:val="24"/>
          <w:szCs w:val="24"/>
        </w:rPr>
        <w:t>reklasifikuje</w:t>
      </w:r>
      <w:proofErr w:type="spellEnd"/>
      <w:r w:rsidRPr="00A460F5">
        <w:rPr>
          <w:sz w:val="24"/>
          <w:szCs w:val="24"/>
        </w:rPr>
        <w:t xml:space="preserve"> na splátku dlhu. Výška maastrichtského dlhu z podpory zelenej energie predstavovala v roku 2022 119 000 tis. eur</w:t>
      </w:r>
      <w:r>
        <w:rPr>
          <w:sz w:val="24"/>
          <w:szCs w:val="24"/>
        </w:rPr>
        <w:t>,</w:t>
      </w:r>
      <w:r w:rsidRPr="00A460F5">
        <w:rPr>
          <w:sz w:val="24"/>
          <w:szCs w:val="24"/>
        </w:rPr>
        <w:t xml:space="preserve">  v roku 2023 splátky dlhov distribučným spoločnostiam za predchádzajúce roky boli úplne splatené a</w:t>
      </w:r>
      <w:r>
        <w:rPr>
          <w:sz w:val="24"/>
          <w:szCs w:val="24"/>
        </w:rPr>
        <w:t> k 31.12.2023</w:t>
      </w:r>
      <w:r w:rsidRPr="00A460F5">
        <w:rPr>
          <w:sz w:val="24"/>
          <w:szCs w:val="24"/>
        </w:rPr>
        <w:t xml:space="preserve"> je hodnota maas</w:t>
      </w:r>
      <w:r>
        <w:rPr>
          <w:sz w:val="24"/>
          <w:szCs w:val="24"/>
        </w:rPr>
        <w:t>t</w:t>
      </w:r>
      <w:r w:rsidRPr="00A460F5">
        <w:rPr>
          <w:sz w:val="24"/>
          <w:szCs w:val="24"/>
        </w:rPr>
        <w:t xml:space="preserve">richtského dlhu vyplývajúca z podpory zelených energií </w:t>
      </w:r>
      <w:r>
        <w:rPr>
          <w:sz w:val="24"/>
          <w:szCs w:val="24"/>
        </w:rPr>
        <w:t>nula</w:t>
      </w:r>
      <w:r w:rsidRPr="00A460F5">
        <w:rPr>
          <w:sz w:val="24"/>
          <w:szCs w:val="24"/>
        </w:rPr>
        <w:t>.</w:t>
      </w:r>
    </w:p>
    <w:p w14:paraId="29BDAFB8" w14:textId="77777777" w:rsidR="004C6700" w:rsidRPr="00A460F5" w:rsidRDefault="004C6700" w:rsidP="00EB2641">
      <w:pPr>
        <w:spacing w:before="120" w:line="240" w:lineRule="auto"/>
        <w:rPr>
          <w:b/>
          <w:color w:val="5B9BD5" w:themeColor="accent1"/>
          <w:sz w:val="24"/>
          <w:szCs w:val="24"/>
        </w:rPr>
      </w:pPr>
      <w:r w:rsidRPr="00A460F5">
        <w:rPr>
          <w:b/>
          <w:color w:val="5B9BD5" w:themeColor="accent1"/>
          <w:sz w:val="24"/>
          <w:szCs w:val="24"/>
        </w:rPr>
        <w:t>Výdavky na obstarávanie kapitálových aktív štátneho rozpočtu</w:t>
      </w:r>
    </w:p>
    <w:p w14:paraId="6D0AE9F3" w14:textId="56C21CAC" w:rsidR="004C6700" w:rsidRPr="00A460F5" w:rsidRDefault="004C6700" w:rsidP="0040034C">
      <w:pPr>
        <w:keepNext/>
        <w:spacing w:line="240" w:lineRule="auto"/>
        <w:rPr>
          <w:b/>
          <w:color w:val="5B9BD5" w:themeColor="accent1"/>
          <w:sz w:val="24"/>
          <w:szCs w:val="24"/>
        </w:rPr>
      </w:pPr>
      <w:r w:rsidRPr="00A460F5">
        <w:rPr>
          <w:rFonts w:cs="Times New Roman"/>
          <w:sz w:val="24"/>
          <w:szCs w:val="24"/>
        </w:rPr>
        <w:t xml:space="preserve">V súlade s princípmi </w:t>
      </w:r>
      <w:proofErr w:type="spellStart"/>
      <w:r w:rsidRPr="00A460F5">
        <w:rPr>
          <w:rFonts w:cs="Times New Roman"/>
          <w:sz w:val="24"/>
          <w:szCs w:val="24"/>
        </w:rPr>
        <w:t>zero</w:t>
      </w:r>
      <w:proofErr w:type="spellEnd"/>
      <w:r w:rsidRPr="00A460F5">
        <w:rPr>
          <w:rFonts w:cs="Times New Roman"/>
          <w:sz w:val="24"/>
          <w:szCs w:val="24"/>
        </w:rPr>
        <w:t xml:space="preserve"> </w:t>
      </w:r>
      <w:proofErr w:type="spellStart"/>
      <w:r w:rsidRPr="00A460F5">
        <w:rPr>
          <w:rFonts w:cs="Times New Roman"/>
          <w:sz w:val="24"/>
          <w:szCs w:val="24"/>
        </w:rPr>
        <w:t>based</w:t>
      </w:r>
      <w:proofErr w:type="spellEnd"/>
      <w:r w:rsidRPr="00A460F5">
        <w:rPr>
          <w:rFonts w:cs="Times New Roman"/>
          <w:sz w:val="24"/>
          <w:szCs w:val="24"/>
        </w:rPr>
        <w:t xml:space="preserve"> </w:t>
      </w:r>
      <w:proofErr w:type="spellStart"/>
      <w:r w:rsidRPr="00A460F5">
        <w:rPr>
          <w:rFonts w:cs="Times New Roman"/>
          <w:sz w:val="24"/>
          <w:szCs w:val="24"/>
        </w:rPr>
        <w:t>budgetingu</w:t>
      </w:r>
      <w:proofErr w:type="spellEnd"/>
      <w:r w:rsidRPr="00A460F5">
        <w:rPr>
          <w:rFonts w:cs="Times New Roman"/>
          <w:sz w:val="24"/>
          <w:szCs w:val="24"/>
        </w:rPr>
        <w:t xml:space="preserve"> </w:t>
      </w:r>
      <w:r>
        <w:rPr>
          <w:rFonts w:cs="Times New Roman"/>
          <w:sz w:val="24"/>
          <w:szCs w:val="24"/>
        </w:rPr>
        <w:t>veľká časť</w:t>
      </w:r>
      <w:r w:rsidRPr="00A460F5">
        <w:rPr>
          <w:rFonts w:cs="Times New Roman"/>
          <w:sz w:val="24"/>
          <w:szCs w:val="24"/>
        </w:rPr>
        <w:t xml:space="preserve"> výdavkov na obstaranie kapitálu na rok 2023 (nové investičné projekty) bolo rozpočtovaných v kapitole Všeobecná pokladničná správa podľa požiadaviek jednotlivých kapitol vo výške </w:t>
      </w:r>
      <w:r>
        <w:rPr>
          <w:rFonts w:cs="Times New Roman"/>
          <w:sz w:val="24"/>
          <w:szCs w:val="24"/>
        </w:rPr>
        <w:t>5</w:t>
      </w:r>
      <w:r w:rsidR="00247E9C">
        <w:rPr>
          <w:rFonts w:cs="Times New Roman"/>
          <w:sz w:val="24"/>
          <w:szCs w:val="24"/>
        </w:rPr>
        <w:t>54</w:t>
      </w:r>
      <w:r>
        <w:rPr>
          <w:rFonts w:cs="Times New Roman"/>
          <w:sz w:val="24"/>
          <w:szCs w:val="24"/>
        </w:rPr>
        <w:t xml:space="preserve"> </w:t>
      </w:r>
      <w:r w:rsidR="00247E9C">
        <w:rPr>
          <w:rFonts w:cs="Times New Roman"/>
          <w:sz w:val="24"/>
          <w:szCs w:val="24"/>
        </w:rPr>
        <w:t>060</w:t>
      </w:r>
      <w:r w:rsidRPr="00A460F5">
        <w:rPr>
          <w:rFonts w:cs="Times New Roman"/>
          <w:sz w:val="24"/>
          <w:szCs w:val="24"/>
        </w:rPr>
        <w:t> tis. eur, pričom celková suma rozpočtovaných výdavkov štátneho rozpočtu bola 2 451 521 tis. eur. Skutočné plnenie bolo nižšie o 1 018 372 tis. eur z dôvodu, že sa realizoval</w:t>
      </w:r>
      <w:r>
        <w:rPr>
          <w:rFonts w:cs="Times New Roman"/>
          <w:sz w:val="24"/>
          <w:szCs w:val="24"/>
        </w:rPr>
        <w:t>i výdavky</w:t>
      </w:r>
      <w:r w:rsidRPr="00A460F5">
        <w:rPr>
          <w:rFonts w:cs="Times New Roman"/>
          <w:sz w:val="24"/>
          <w:szCs w:val="24"/>
        </w:rPr>
        <w:t xml:space="preserve"> len za odsúhlasené projekty a dosiahl</w:t>
      </w:r>
      <w:r>
        <w:rPr>
          <w:rFonts w:cs="Times New Roman"/>
          <w:sz w:val="24"/>
          <w:szCs w:val="24"/>
        </w:rPr>
        <w:t>i</w:t>
      </w:r>
      <w:r w:rsidRPr="00A460F5">
        <w:rPr>
          <w:rFonts w:cs="Times New Roman"/>
          <w:sz w:val="24"/>
          <w:szCs w:val="24"/>
        </w:rPr>
        <w:t xml:space="preserve"> hodnotu 1 433 149 tis. eur.</w:t>
      </w:r>
    </w:p>
    <w:p w14:paraId="56BE13C0" w14:textId="285D457B" w:rsidR="004C6700" w:rsidRPr="00032224" w:rsidRDefault="004C6700" w:rsidP="0040034C">
      <w:pPr>
        <w:spacing w:line="240" w:lineRule="auto"/>
        <w:rPr>
          <w:b/>
          <w:bCs/>
          <w:color w:val="5B9BD5" w:themeColor="accent1"/>
          <w:sz w:val="24"/>
          <w:szCs w:val="24"/>
        </w:rPr>
      </w:pPr>
      <w:r w:rsidRPr="00032224">
        <w:rPr>
          <w:b/>
          <w:color w:val="5B9BD5" w:themeColor="accent1"/>
          <w:sz w:val="24"/>
          <w:szCs w:val="24"/>
        </w:rPr>
        <w:t xml:space="preserve">Vplyv </w:t>
      </w:r>
      <w:r w:rsidRPr="00032224">
        <w:rPr>
          <w:b/>
          <w:bCs/>
          <w:color w:val="5B9BD5" w:themeColor="accent1"/>
          <w:sz w:val="24"/>
          <w:szCs w:val="24"/>
        </w:rPr>
        <w:t>akruálnych príjmov a výdavkov na obsluhu štátneho dlhu</w:t>
      </w:r>
    </w:p>
    <w:p w14:paraId="55088BFC" w14:textId="19725A47" w:rsidR="004C6700" w:rsidRPr="00032224" w:rsidRDefault="004C6700" w:rsidP="0040034C">
      <w:pPr>
        <w:spacing w:line="240" w:lineRule="auto"/>
        <w:rPr>
          <w:sz w:val="24"/>
          <w:szCs w:val="24"/>
        </w:rPr>
      </w:pPr>
      <w:r w:rsidRPr="00032224">
        <w:rPr>
          <w:rFonts w:eastAsia="Calibri" w:cs="Times New Roman"/>
          <w:sz w:val="24"/>
          <w:szCs w:val="24"/>
        </w:rPr>
        <w:t xml:space="preserve">Bilancia príjmov a výdavkov na obsluhu štátneho dlhu v akruálnom vyjadrení znížila saldo verejnej správy o 11 138 tis. eur. Oproti rozpočtovanej úrovni 15 277 tis. eur </w:t>
      </w:r>
      <w:r w:rsidRPr="0033164B">
        <w:rPr>
          <w:rFonts w:eastAsia="Calibri" w:cs="Times New Roman"/>
          <w:sz w:val="24"/>
          <w:szCs w:val="24"/>
        </w:rPr>
        <w:t xml:space="preserve">sa </w:t>
      </w:r>
      <w:r w:rsidR="0033164B" w:rsidRPr="0033164B">
        <w:rPr>
          <w:rFonts w:eastAsia="Calibri" w:cs="Times New Roman"/>
          <w:sz w:val="24"/>
          <w:szCs w:val="24"/>
        </w:rPr>
        <w:t>prebytok znížil</w:t>
      </w:r>
      <w:r w:rsidRPr="00032224">
        <w:rPr>
          <w:rFonts w:eastAsia="Calibri" w:cs="Times New Roman"/>
          <w:sz w:val="24"/>
          <w:szCs w:val="24"/>
        </w:rPr>
        <w:t xml:space="preserve"> o 4 139 tis. eur. Vplyv na bilanciu príjmov a výdavkov mal takmer výlučne rozdiel v hotovostných a akruálnych výdavkov na obsluhu štátneho dlhu. </w:t>
      </w:r>
      <w:r w:rsidRPr="002653E3">
        <w:rPr>
          <w:rFonts w:eastAsia="Calibri" w:cs="Times New Roman"/>
          <w:sz w:val="24"/>
          <w:szCs w:val="24"/>
        </w:rPr>
        <w:t>Pôvodne boli plánované vyššie akruálne výdavky, no z dôvodu nižšieho ako plánovaného hotovostného schodku štátneho rozpočtu, bolo emitovaných menej štátnych dlhopisov, čiže akruálne náklady na úroky boli nižšie ako sa očakávalo.</w:t>
      </w:r>
      <w:r w:rsidRPr="00032224">
        <w:rPr>
          <w:sz w:val="24"/>
          <w:szCs w:val="24"/>
        </w:rPr>
        <w:t xml:space="preserve"> </w:t>
      </w:r>
    </w:p>
    <w:p w14:paraId="43EF1737" w14:textId="77777777" w:rsidR="004C6700" w:rsidRPr="003A5533" w:rsidRDefault="004C6700" w:rsidP="0040034C">
      <w:pPr>
        <w:spacing w:line="240" w:lineRule="auto"/>
        <w:rPr>
          <w:rFonts w:cs="Times New Roman"/>
          <w:b/>
          <w:color w:val="5B9BD5" w:themeColor="accent1"/>
          <w:sz w:val="24"/>
          <w:szCs w:val="24"/>
        </w:rPr>
      </w:pPr>
      <w:r w:rsidRPr="003A5533">
        <w:rPr>
          <w:rFonts w:cs="Times New Roman"/>
          <w:b/>
          <w:color w:val="5B9BD5" w:themeColor="accent1"/>
          <w:sz w:val="24"/>
          <w:szCs w:val="24"/>
        </w:rPr>
        <w:t>Hospodárenie vybraných subjektov verejnej správy (na nekonsolidovanej báze)</w:t>
      </w:r>
    </w:p>
    <w:p w14:paraId="465A7C8F" w14:textId="792A3F9B" w:rsidR="004C6700" w:rsidRPr="003A5533" w:rsidRDefault="004C6700" w:rsidP="0040034C">
      <w:pPr>
        <w:spacing w:line="240" w:lineRule="auto"/>
        <w:rPr>
          <w:rFonts w:cs="Times New Roman"/>
          <w:sz w:val="24"/>
          <w:szCs w:val="24"/>
        </w:rPr>
      </w:pPr>
      <w:r w:rsidRPr="003A5533">
        <w:rPr>
          <w:rFonts w:cs="Times New Roman"/>
          <w:b/>
          <w:sz w:val="24"/>
          <w:szCs w:val="24"/>
        </w:rPr>
        <w:t xml:space="preserve">Sociálna poisťovňa </w:t>
      </w:r>
      <w:r w:rsidRPr="003A5533">
        <w:rPr>
          <w:rFonts w:cs="Times New Roman"/>
          <w:sz w:val="24"/>
          <w:szCs w:val="24"/>
        </w:rPr>
        <w:t>dosiahla hotovostný schodok vo výške 178 996 tis. eur (</w:t>
      </w:r>
      <w:r w:rsidR="00412FEB">
        <w:rPr>
          <w:rFonts w:cs="Times New Roman"/>
          <w:sz w:val="24"/>
          <w:szCs w:val="24"/>
        </w:rPr>
        <w:t>pričom rozpočet predpokladal schodok až 297</w:t>
      </w:r>
      <w:r w:rsidRPr="003A5533">
        <w:rPr>
          <w:rFonts w:cs="Times New Roman"/>
          <w:sz w:val="24"/>
          <w:szCs w:val="24"/>
        </w:rPr>
        <w:t> 10</w:t>
      </w:r>
      <w:r w:rsidR="00412FEB">
        <w:rPr>
          <w:rFonts w:cs="Times New Roman"/>
          <w:sz w:val="24"/>
          <w:szCs w:val="24"/>
        </w:rPr>
        <w:t>0</w:t>
      </w:r>
      <w:r w:rsidRPr="003A5533">
        <w:rPr>
          <w:rFonts w:cs="Times New Roman"/>
          <w:sz w:val="24"/>
          <w:szCs w:val="24"/>
        </w:rPr>
        <w:t xml:space="preserve"> tis. eur). </w:t>
      </w:r>
      <w:r w:rsidRPr="00C12720">
        <w:rPr>
          <w:rFonts w:cs="Times New Roman"/>
          <w:sz w:val="24"/>
          <w:szCs w:val="24"/>
        </w:rPr>
        <w:t xml:space="preserve">Pozitívny vplyv na </w:t>
      </w:r>
      <w:r w:rsidR="00412FEB">
        <w:rPr>
          <w:rFonts w:cs="Times New Roman"/>
          <w:sz w:val="24"/>
          <w:szCs w:val="24"/>
        </w:rPr>
        <w:t xml:space="preserve">nižší </w:t>
      </w:r>
      <w:r w:rsidRPr="00C12720">
        <w:rPr>
          <w:rFonts w:cs="Times New Roman"/>
          <w:sz w:val="24"/>
          <w:szCs w:val="24"/>
        </w:rPr>
        <w:t xml:space="preserve">hotovostný </w:t>
      </w:r>
      <w:r w:rsidR="00412FEB">
        <w:rPr>
          <w:rFonts w:cs="Times New Roman"/>
          <w:sz w:val="24"/>
          <w:szCs w:val="24"/>
        </w:rPr>
        <w:t>schodo</w:t>
      </w:r>
      <w:r w:rsidRPr="00C12720">
        <w:rPr>
          <w:rFonts w:cs="Times New Roman"/>
          <w:sz w:val="24"/>
          <w:szCs w:val="24"/>
        </w:rPr>
        <w:t xml:space="preserve">k </w:t>
      </w:r>
      <w:r w:rsidR="00412FEB">
        <w:rPr>
          <w:rFonts w:cs="Times New Roman"/>
          <w:sz w:val="24"/>
          <w:szCs w:val="24"/>
        </w:rPr>
        <w:t xml:space="preserve">oproti rozpočtu </w:t>
      </w:r>
      <w:r w:rsidRPr="00C12720">
        <w:rPr>
          <w:rFonts w:cs="Times New Roman"/>
          <w:sz w:val="24"/>
          <w:szCs w:val="24"/>
        </w:rPr>
        <w:t xml:space="preserve">mal </w:t>
      </w:r>
      <w:r>
        <w:rPr>
          <w:rFonts w:cs="Times New Roman"/>
          <w:sz w:val="24"/>
          <w:szCs w:val="24"/>
        </w:rPr>
        <w:t xml:space="preserve">predovšetkým </w:t>
      </w:r>
      <w:r w:rsidRPr="00C12720">
        <w:rPr>
          <w:rFonts w:cs="Times New Roman"/>
          <w:sz w:val="24"/>
          <w:szCs w:val="24"/>
        </w:rPr>
        <w:t xml:space="preserve">prijatý transfer zo ŠR </w:t>
      </w:r>
      <w:r w:rsidR="006B4135">
        <w:rPr>
          <w:rFonts w:cs="Times New Roman"/>
          <w:sz w:val="24"/>
          <w:szCs w:val="24"/>
        </w:rPr>
        <w:t>vo výške 1 160 000 tis. </w:t>
      </w:r>
      <w:r w:rsidRPr="00C12720">
        <w:rPr>
          <w:rFonts w:cs="Times New Roman"/>
          <w:sz w:val="24"/>
          <w:szCs w:val="24"/>
        </w:rPr>
        <w:t>eur, ktorý súvisel so zvýšenými výdavkami</w:t>
      </w:r>
      <w:r w:rsidR="006B4135">
        <w:rPr>
          <w:rFonts w:cs="Times New Roman"/>
          <w:sz w:val="24"/>
          <w:szCs w:val="24"/>
        </w:rPr>
        <w:t xml:space="preserve"> niektorých druhov</w:t>
      </w:r>
      <w:r w:rsidRPr="00C12720">
        <w:rPr>
          <w:rFonts w:cs="Times New Roman"/>
          <w:sz w:val="24"/>
          <w:szCs w:val="24"/>
        </w:rPr>
        <w:t xml:space="preserve"> poistenia (najmä </w:t>
      </w:r>
      <w:r w:rsidR="008B77D5">
        <w:rPr>
          <w:rFonts w:cs="Times New Roman"/>
          <w:sz w:val="24"/>
          <w:szCs w:val="24"/>
        </w:rPr>
        <w:t xml:space="preserve">výdavkov </w:t>
      </w:r>
      <w:r w:rsidRPr="00C12720">
        <w:rPr>
          <w:rFonts w:cs="Times New Roman"/>
          <w:sz w:val="24"/>
          <w:szCs w:val="24"/>
        </w:rPr>
        <w:t>na dôchodkové dávky).</w:t>
      </w:r>
      <w:r>
        <w:rPr>
          <w:rFonts w:cs="Times New Roman"/>
          <w:sz w:val="24"/>
          <w:szCs w:val="24"/>
        </w:rPr>
        <w:t xml:space="preserve"> Tento transfer nebol pre rok 2023 rozpočtovaný. </w:t>
      </w:r>
      <w:r w:rsidRPr="003A5533">
        <w:rPr>
          <w:rFonts w:cs="Times New Roman"/>
          <w:sz w:val="24"/>
          <w:szCs w:val="24"/>
        </w:rPr>
        <w:t>V rozpočte sa predpokladali vyššie príjmy na poistnom ako bola skutočnosť, t. j. došlo k poklesu o 172 913 tis. eur.</w:t>
      </w:r>
      <w:r w:rsidRPr="003A5533">
        <w:rPr>
          <w:sz w:val="24"/>
          <w:szCs w:val="24"/>
        </w:rPr>
        <w:t xml:space="preserve"> </w:t>
      </w:r>
      <w:r w:rsidRPr="003A5533">
        <w:rPr>
          <w:rFonts w:cs="Times New Roman"/>
          <w:sz w:val="24"/>
          <w:szCs w:val="24"/>
        </w:rPr>
        <w:t>Výdavky poistenia v roku 2023 prestav</w:t>
      </w:r>
      <w:r>
        <w:rPr>
          <w:rFonts w:cs="Times New Roman"/>
          <w:sz w:val="24"/>
          <w:szCs w:val="24"/>
        </w:rPr>
        <w:t>ovali sumu 11 677 008 tis. eur a zároveň sa v roku 2023 </w:t>
      </w:r>
      <w:r w:rsidR="006B4135">
        <w:rPr>
          <w:rFonts w:cs="Times New Roman"/>
          <w:sz w:val="24"/>
          <w:szCs w:val="24"/>
        </w:rPr>
        <w:t xml:space="preserve">v </w:t>
      </w:r>
      <w:r>
        <w:rPr>
          <w:rFonts w:cs="Times New Roman"/>
          <w:sz w:val="24"/>
          <w:szCs w:val="24"/>
        </w:rPr>
        <w:t xml:space="preserve">súvislosti s poskytovaním </w:t>
      </w:r>
      <w:r>
        <w:rPr>
          <w:rFonts w:cs="Times New Roman"/>
          <w:sz w:val="24"/>
          <w:szCs w:val="24"/>
        </w:rPr>
        <w:lastRenderedPageBreak/>
        <w:t xml:space="preserve">podpory a vrátením časti podpory/podpory v čase skrátenej práce (tzv. trvalý </w:t>
      </w:r>
      <w:proofErr w:type="spellStart"/>
      <w:r>
        <w:rPr>
          <w:rFonts w:cs="Times New Roman"/>
          <w:sz w:val="24"/>
          <w:szCs w:val="24"/>
        </w:rPr>
        <w:t>kurzarbeit</w:t>
      </w:r>
      <w:proofErr w:type="spellEnd"/>
      <w:r>
        <w:rPr>
          <w:rStyle w:val="Odkaznapoznmkupodiarou"/>
          <w:rFonts w:cs="Times New Roman"/>
          <w:sz w:val="24"/>
          <w:szCs w:val="24"/>
        </w:rPr>
        <w:footnoteReference w:id="19"/>
      </w:r>
      <w:r>
        <w:rPr>
          <w:rFonts w:cs="Times New Roman"/>
          <w:sz w:val="24"/>
          <w:szCs w:val="24"/>
        </w:rPr>
        <w:t xml:space="preserve">) vyplatilo 2 101 tis. eur, t. j. celkovo sa na výdavky poistenia vrátane vyplateného </w:t>
      </w:r>
      <w:proofErr w:type="spellStart"/>
      <w:r>
        <w:rPr>
          <w:rFonts w:cs="Times New Roman"/>
          <w:sz w:val="24"/>
          <w:szCs w:val="24"/>
        </w:rPr>
        <w:t>kurzarbeitu</w:t>
      </w:r>
      <w:proofErr w:type="spellEnd"/>
      <w:r>
        <w:rPr>
          <w:rFonts w:cs="Times New Roman"/>
          <w:sz w:val="24"/>
          <w:szCs w:val="24"/>
        </w:rPr>
        <w:t xml:space="preserve"> </w:t>
      </w:r>
      <w:r w:rsidRPr="0097056E">
        <w:rPr>
          <w:rFonts w:cs="Times New Roman"/>
          <w:sz w:val="24"/>
          <w:szCs w:val="24"/>
        </w:rPr>
        <w:t>vyplatilo o 851</w:t>
      </w:r>
      <w:r w:rsidRPr="00F07647">
        <w:rPr>
          <w:rFonts w:cs="Times New Roman"/>
          <w:sz w:val="24"/>
          <w:szCs w:val="24"/>
        </w:rPr>
        <w:t> 631 tis. eur</w:t>
      </w:r>
      <w:r w:rsidRPr="003A5533">
        <w:rPr>
          <w:rFonts w:cs="Times New Roman"/>
          <w:sz w:val="24"/>
          <w:szCs w:val="24"/>
        </w:rPr>
        <w:t xml:space="preserve"> viac ako sa predpokladalo</w:t>
      </w:r>
      <w:r>
        <w:rPr>
          <w:rFonts w:cs="Times New Roman"/>
          <w:sz w:val="24"/>
          <w:szCs w:val="24"/>
        </w:rPr>
        <w:t xml:space="preserve"> v rozpočte</w:t>
      </w:r>
      <w:r w:rsidRPr="003A5533">
        <w:rPr>
          <w:rFonts w:cs="Times New Roman"/>
          <w:sz w:val="24"/>
          <w:szCs w:val="24"/>
        </w:rPr>
        <w:t>.</w:t>
      </w:r>
    </w:p>
    <w:p w14:paraId="18696327" w14:textId="3DE45860" w:rsidR="004C6700" w:rsidRPr="003A5533" w:rsidRDefault="004C6700" w:rsidP="004C6700">
      <w:pPr>
        <w:spacing w:before="120" w:after="0" w:line="240" w:lineRule="auto"/>
        <w:rPr>
          <w:rFonts w:cs="Times New Roman"/>
          <w:b/>
          <w:sz w:val="24"/>
          <w:szCs w:val="24"/>
        </w:rPr>
      </w:pPr>
      <w:r w:rsidRPr="003A5533">
        <w:rPr>
          <w:rFonts w:cs="Times New Roman"/>
          <w:sz w:val="24"/>
          <w:szCs w:val="24"/>
        </w:rPr>
        <w:t xml:space="preserve">Sociálna poisťovňa dosiahla ESA prebytok vo výške 51 124 tis. eur (oproti rozpočtu je o 227 128 tis. eur vyšší). Na zlepšenie hospodárenia oproti hotovostnému </w:t>
      </w:r>
      <w:r>
        <w:rPr>
          <w:rFonts w:cs="Times New Roman"/>
          <w:sz w:val="24"/>
          <w:szCs w:val="24"/>
        </w:rPr>
        <w:t>saldu</w:t>
      </w:r>
      <w:r w:rsidRPr="003A5533">
        <w:rPr>
          <w:rFonts w:cs="Times New Roman"/>
          <w:sz w:val="24"/>
          <w:szCs w:val="24"/>
        </w:rPr>
        <w:t xml:space="preserve"> vplývala najmä </w:t>
      </w:r>
      <w:proofErr w:type="spellStart"/>
      <w:r w:rsidRPr="003A5533">
        <w:rPr>
          <w:rFonts w:cs="Times New Roman"/>
          <w:sz w:val="24"/>
          <w:szCs w:val="24"/>
        </w:rPr>
        <w:t>imputácia</w:t>
      </w:r>
      <w:proofErr w:type="spellEnd"/>
      <w:r w:rsidRPr="003A5533">
        <w:rPr>
          <w:rFonts w:cs="Times New Roman"/>
          <w:sz w:val="24"/>
          <w:szCs w:val="24"/>
        </w:rPr>
        <w:t xml:space="preserve"> pohľadávok na poistnom voči zdravotníckym zariadeniam vo výške 207 167</w:t>
      </w:r>
      <w:r w:rsidRPr="003A5533">
        <w:rPr>
          <w:sz w:val="24"/>
          <w:szCs w:val="24"/>
        </w:rPr>
        <w:t> tis</w:t>
      </w:r>
      <w:r w:rsidR="00DA486C">
        <w:rPr>
          <w:rFonts w:cs="Times New Roman"/>
          <w:sz w:val="24"/>
          <w:szCs w:val="24"/>
        </w:rPr>
        <w:t>. eur a</w:t>
      </w:r>
      <w:r w:rsidRPr="003A5533">
        <w:rPr>
          <w:rFonts w:cs="Times New Roman"/>
          <w:sz w:val="24"/>
          <w:szCs w:val="24"/>
        </w:rPr>
        <w:t xml:space="preserve"> aj </w:t>
      </w:r>
      <w:proofErr w:type="spellStart"/>
      <w:r w:rsidRPr="003A5533">
        <w:rPr>
          <w:rFonts w:cs="Times New Roman"/>
          <w:sz w:val="24"/>
          <w:szCs w:val="24"/>
        </w:rPr>
        <w:t>imputácia</w:t>
      </w:r>
      <w:proofErr w:type="spellEnd"/>
      <w:r w:rsidRPr="003A5533">
        <w:rPr>
          <w:rFonts w:cs="Times New Roman"/>
          <w:sz w:val="24"/>
          <w:szCs w:val="24"/>
        </w:rPr>
        <w:t xml:space="preserve"> neklasifikovaný</w:t>
      </w:r>
      <w:r w:rsidR="00DA486C">
        <w:rPr>
          <w:rFonts w:cs="Times New Roman"/>
          <w:sz w:val="24"/>
          <w:szCs w:val="24"/>
        </w:rPr>
        <w:t>ch príjmov vo výške 38 264 tis.</w:t>
      </w:r>
      <w:r w:rsidRPr="003A5533">
        <w:rPr>
          <w:rFonts w:cs="Times New Roman"/>
          <w:sz w:val="24"/>
          <w:szCs w:val="24"/>
        </w:rPr>
        <w:t xml:space="preserve"> eur </w:t>
      </w:r>
      <w:r w:rsidRPr="001A562E">
        <w:rPr>
          <w:rFonts w:cs="Times New Roman"/>
          <w:sz w:val="24"/>
          <w:szCs w:val="24"/>
        </w:rPr>
        <w:t>(išlo o prostriedky určené na doplatky k 13. dôchodkom, t. j. z MPSVaR bola zaslaná vyššia suma ako sa reálne vyplatila poberateľom dôchodkov a ktorá bola začiatkom roka 2024</w:t>
      </w:r>
      <w:r>
        <w:rPr>
          <w:rFonts w:cs="Times New Roman"/>
          <w:sz w:val="24"/>
          <w:szCs w:val="24"/>
        </w:rPr>
        <w:t xml:space="preserve"> s MPSVaR vysporiadaná</w:t>
      </w:r>
      <w:r w:rsidRPr="003A5533">
        <w:rPr>
          <w:rFonts w:cs="Times New Roman"/>
          <w:sz w:val="24"/>
          <w:szCs w:val="24"/>
        </w:rPr>
        <w:t xml:space="preserve">). Negatívny vplyv </w:t>
      </w:r>
      <w:r>
        <w:rPr>
          <w:rFonts w:cs="Times New Roman"/>
          <w:sz w:val="24"/>
          <w:szCs w:val="24"/>
        </w:rPr>
        <w:t xml:space="preserve">na saldo </w:t>
      </w:r>
      <w:r w:rsidRPr="003A5533">
        <w:rPr>
          <w:rFonts w:cs="Times New Roman"/>
          <w:sz w:val="24"/>
          <w:szCs w:val="24"/>
        </w:rPr>
        <w:t xml:space="preserve">predstavovala </w:t>
      </w:r>
      <w:proofErr w:type="spellStart"/>
      <w:r w:rsidRPr="003A5533">
        <w:rPr>
          <w:rFonts w:cs="Times New Roman"/>
          <w:sz w:val="24"/>
          <w:szCs w:val="24"/>
        </w:rPr>
        <w:t>akrualizáca</w:t>
      </w:r>
      <w:proofErr w:type="spellEnd"/>
      <w:r w:rsidRPr="003A5533">
        <w:rPr>
          <w:rFonts w:cs="Times New Roman"/>
          <w:sz w:val="24"/>
          <w:szCs w:val="24"/>
        </w:rPr>
        <w:t xml:space="preserve"> poistného vo výške 8 184 tis. eur (o 72 070 tis. eur menej ako sa predpokladalo)</w:t>
      </w:r>
      <w:r w:rsidRPr="003A5533">
        <w:rPr>
          <w:rFonts w:cs="Times New Roman"/>
          <w:sz w:val="24"/>
          <w:szCs w:val="24"/>
          <w:vertAlign w:val="superscript"/>
        </w:rPr>
        <w:footnoteReference w:id="20"/>
      </w:r>
      <w:r w:rsidRPr="003A5533">
        <w:rPr>
          <w:rFonts w:cs="Times New Roman"/>
          <w:sz w:val="24"/>
          <w:szCs w:val="24"/>
        </w:rPr>
        <w:t xml:space="preserve"> a nárast záväzkov vo výške 3 274 tis. eur (najmä zo záväzkov z poistných vzťahov). Ďalším negatívnym vplyvom bola </w:t>
      </w:r>
      <w:proofErr w:type="spellStart"/>
      <w:r w:rsidRPr="003A5533">
        <w:rPr>
          <w:rFonts w:cs="Times New Roman"/>
          <w:sz w:val="24"/>
          <w:szCs w:val="24"/>
        </w:rPr>
        <w:t>akrualizácia</w:t>
      </w:r>
      <w:proofErr w:type="spellEnd"/>
      <w:r w:rsidRPr="003A5533">
        <w:rPr>
          <w:rFonts w:cs="Times New Roman"/>
          <w:sz w:val="24"/>
          <w:szCs w:val="24"/>
        </w:rPr>
        <w:t xml:space="preserve"> hotovostného výdavku z dôchodkových dávok</w:t>
      </w:r>
      <w:r w:rsidRPr="003A5533">
        <w:rPr>
          <w:rFonts w:cs="Times New Roman"/>
          <w:sz w:val="24"/>
          <w:szCs w:val="24"/>
          <w:vertAlign w:val="superscript"/>
        </w:rPr>
        <w:footnoteReference w:id="21"/>
      </w:r>
      <w:r w:rsidRPr="003A5533">
        <w:rPr>
          <w:rFonts w:cs="Times New Roman"/>
          <w:sz w:val="24"/>
          <w:szCs w:val="24"/>
        </w:rPr>
        <w:t xml:space="preserve"> o 4 214 tis. eur</w:t>
      </w:r>
      <w:r w:rsidRPr="00F948E6">
        <w:rPr>
          <w:sz w:val="24"/>
          <w:szCs w:val="24"/>
        </w:rPr>
        <w:t xml:space="preserve"> </w:t>
      </w:r>
      <w:r>
        <w:rPr>
          <w:sz w:val="24"/>
          <w:szCs w:val="24"/>
        </w:rPr>
        <w:t>(o 12 010 tis. eur menej ako sa predpokladalo)</w:t>
      </w:r>
      <w:r w:rsidRPr="003A5533">
        <w:rPr>
          <w:rFonts w:cs="Times New Roman"/>
          <w:sz w:val="24"/>
          <w:szCs w:val="24"/>
        </w:rPr>
        <w:t>.</w:t>
      </w:r>
    </w:p>
    <w:p w14:paraId="1E0D838C" w14:textId="77777777" w:rsidR="004C6700" w:rsidRPr="00401F1C" w:rsidRDefault="004C6700" w:rsidP="004C6700">
      <w:pPr>
        <w:spacing w:before="120" w:after="0" w:line="240" w:lineRule="auto"/>
        <w:rPr>
          <w:rFonts w:cs="Times New Roman"/>
          <w:sz w:val="24"/>
          <w:szCs w:val="24"/>
        </w:rPr>
      </w:pPr>
      <w:r w:rsidRPr="00401F1C">
        <w:rPr>
          <w:rFonts w:cs="Times New Roman"/>
          <w:b/>
          <w:sz w:val="24"/>
          <w:szCs w:val="24"/>
        </w:rPr>
        <w:t>Zdravotné poisťovne</w:t>
      </w:r>
      <w:r w:rsidRPr="00401F1C">
        <w:rPr>
          <w:rFonts w:cs="Times New Roman"/>
          <w:sz w:val="24"/>
          <w:szCs w:val="24"/>
        </w:rPr>
        <w:t xml:space="preserve"> dosiahli </w:t>
      </w:r>
      <w:r>
        <w:rPr>
          <w:rFonts w:cs="Times New Roman"/>
          <w:sz w:val="24"/>
          <w:szCs w:val="24"/>
        </w:rPr>
        <w:t xml:space="preserve">celkovo </w:t>
      </w:r>
      <w:r w:rsidRPr="00401F1C">
        <w:rPr>
          <w:rFonts w:cs="Times New Roman"/>
          <w:sz w:val="24"/>
          <w:szCs w:val="24"/>
        </w:rPr>
        <w:t>prebytkové hospodárenie vo výške 223 292 tis. eur, čo je oproti rozpočtu o 179 047 tis. eur viac ako sa plánovalo.</w:t>
      </w:r>
      <w:r>
        <w:rPr>
          <w:rFonts w:cs="Times New Roman"/>
          <w:sz w:val="24"/>
          <w:szCs w:val="24"/>
        </w:rPr>
        <w:t xml:space="preserve"> Podstatný vplyv mal vyšší výber odvodových príjmov o 385 573 tis. eur viac ako sa predpokladalo.</w:t>
      </w:r>
    </w:p>
    <w:p w14:paraId="077C4411" w14:textId="41903CAD" w:rsidR="004C6700" w:rsidRPr="003A5533" w:rsidRDefault="004C6700" w:rsidP="004C6700">
      <w:pPr>
        <w:spacing w:before="120" w:after="0" w:line="240" w:lineRule="auto"/>
        <w:rPr>
          <w:rFonts w:cs="Times New Roman"/>
          <w:sz w:val="24"/>
          <w:szCs w:val="24"/>
        </w:rPr>
      </w:pPr>
      <w:r w:rsidRPr="003A5533">
        <w:rPr>
          <w:rFonts w:cs="Times New Roman"/>
          <w:sz w:val="24"/>
          <w:szCs w:val="24"/>
        </w:rPr>
        <w:t>Pozitívny vplyv predstavoval aj medziročný nárast pohľadávok o 25 321 tis. eur (išlo najmä o pohľadávky voči poskytovateľom zdravotnej starostlivosti o 21 112 tis. eur a pohľadávky voči Úradu pre dohľad nad zdravotnou starostlivosťou o 8 342 tis. eur</w:t>
      </w:r>
      <w:r>
        <w:rPr>
          <w:rFonts w:cs="Times New Roman"/>
          <w:sz w:val="24"/>
          <w:szCs w:val="24"/>
        </w:rPr>
        <w:t>.</w:t>
      </w:r>
      <w:r w:rsidRPr="003A5533">
        <w:rPr>
          <w:rFonts w:cs="Times New Roman"/>
          <w:sz w:val="24"/>
          <w:szCs w:val="24"/>
        </w:rPr>
        <w:t xml:space="preserve"> </w:t>
      </w:r>
      <w:r>
        <w:rPr>
          <w:rFonts w:cs="Times New Roman"/>
          <w:sz w:val="24"/>
          <w:szCs w:val="24"/>
        </w:rPr>
        <w:t>K</w:t>
      </w:r>
      <w:r w:rsidRPr="003A5533">
        <w:rPr>
          <w:rFonts w:cs="Times New Roman"/>
          <w:sz w:val="24"/>
          <w:szCs w:val="24"/>
        </w:rPr>
        <w:t> poklesu pohľadávok došlo najmä pri pohľa</w:t>
      </w:r>
      <w:r w:rsidR="006B4135">
        <w:rPr>
          <w:rFonts w:cs="Times New Roman"/>
          <w:sz w:val="24"/>
          <w:szCs w:val="24"/>
        </w:rPr>
        <w:t>dávkach z daní o 4 409 tis. eur</w:t>
      </w:r>
      <w:r w:rsidRPr="003A5533">
        <w:rPr>
          <w:rFonts w:cs="Times New Roman"/>
          <w:sz w:val="24"/>
          <w:szCs w:val="24"/>
        </w:rPr>
        <w:t>.</w:t>
      </w:r>
    </w:p>
    <w:p w14:paraId="454BE81D" w14:textId="1645B5D9" w:rsidR="004C6700" w:rsidRPr="003A5533" w:rsidRDefault="004C6700" w:rsidP="0040034C">
      <w:pPr>
        <w:spacing w:line="240" w:lineRule="auto"/>
        <w:rPr>
          <w:rFonts w:cs="Times New Roman"/>
          <w:sz w:val="24"/>
          <w:szCs w:val="24"/>
        </w:rPr>
      </w:pPr>
      <w:r w:rsidRPr="003A5533">
        <w:rPr>
          <w:rFonts w:cs="Times New Roman"/>
          <w:sz w:val="24"/>
          <w:szCs w:val="24"/>
        </w:rPr>
        <w:t>Medziročný nárast záväzkov zhoršil hospodárenie zdravotných poisťovní o 19 225 tis. eur. Išlo predovšetkým o nárast záväzkov voči poskytovateľom zdravotnej starostlivosti o 16 851 tis. eur a záväzky z daní o 19 824 tis. eur. Pokles zaznamenali najmä záväzky voči lekárňam o 6 436 tis. eur, záväzky voči Úradu pre dohľad nad zdravotnou starostlivosťou o 9 090 tis. eur a voči optikám a</w:t>
      </w:r>
      <w:r w:rsidR="0056688F">
        <w:rPr>
          <w:rFonts w:cs="Times New Roman"/>
          <w:sz w:val="24"/>
          <w:szCs w:val="24"/>
        </w:rPr>
        <w:t> </w:t>
      </w:r>
      <w:r w:rsidRPr="003A5533">
        <w:rPr>
          <w:rFonts w:cs="Times New Roman"/>
          <w:sz w:val="24"/>
          <w:szCs w:val="24"/>
        </w:rPr>
        <w:t>výdajniam</w:t>
      </w:r>
      <w:r w:rsidR="0056688F">
        <w:rPr>
          <w:rFonts w:cs="Times New Roman"/>
          <w:sz w:val="24"/>
          <w:szCs w:val="24"/>
        </w:rPr>
        <w:t xml:space="preserve"> liekov a zdravotníckych potrieb o 1 004 tis. eur.</w:t>
      </w:r>
      <w:r w:rsidRPr="003A5533">
        <w:rPr>
          <w:rFonts w:cs="Times New Roman"/>
          <w:sz w:val="24"/>
          <w:szCs w:val="24"/>
        </w:rPr>
        <w:t xml:space="preserve"> </w:t>
      </w:r>
    </w:p>
    <w:p w14:paraId="0C147342" w14:textId="18C449F8" w:rsidR="004C6700" w:rsidRPr="003A5533" w:rsidRDefault="00737D94" w:rsidP="0040034C">
      <w:pPr>
        <w:spacing w:line="240" w:lineRule="auto"/>
        <w:rPr>
          <w:rFonts w:cs="Times New Roman"/>
          <w:sz w:val="24"/>
          <w:szCs w:val="24"/>
        </w:rPr>
      </w:pPr>
      <w:proofErr w:type="spellStart"/>
      <w:r>
        <w:rPr>
          <w:rFonts w:cs="Times New Roman"/>
          <w:sz w:val="24"/>
          <w:szCs w:val="24"/>
        </w:rPr>
        <w:t>Akrualizácia</w:t>
      </w:r>
      <w:proofErr w:type="spellEnd"/>
      <w:r w:rsidR="004C6700" w:rsidRPr="003A5533">
        <w:rPr>
          <w:rFonts w:cs="Times New Roman"/>
          <w:sz w:val="24"/>
          <w:szCs w:val="24"/>
        </w:rPr>
        <w:t xml:space="preserve"> poistného predstavovala pozitívny vplyv na hospodárenie vo výške 41 109 tis. eur (o 3 136 tis. eur menej ako sa predpokladalo). Na hospodárenie negatívne vplýval výdavkový transfer z verejnej časti zdravotného poistenia do súkromnej</w:t>
      </w:r>
      <w:r w:rsidR="00622807">
        <w:rPr>
          <w:rFonts w:cs="Times New Roman"/>
          <w:sz w:val="24"/>
          <w:szCs w:val="24"/>
        </w:rPr>
        <w:t xml:space="preserve"> časti zdravotných poisťovní vo </w:t>
      </w:r>
      <w:r w:rsidR="004C6700" w:rsidRPr="003A5533">
        <w:rPr>
          <w:rFonts w:cs="Times New Roman"/>
          <w:sz w:val="24"/>
          <w:szCs w:val="24"/>
        </w:rPr>
        <w:t>výške 5 180 tis. eur (išlo o splátku istiny úveru zdravotnej poisťovne Dôvera, </w:t>
      </w:r>
      <w:proofErr w:type="spellStart"/>
      <w:r w:rsidR="004C6700" w:rsidRPr="003A5533">
        <w:rPr>
          <w:rFonts w:cs="Times New Roman"/>
          <w:sz w:val="24"/>
          <w:szCs w:val="24"/>
        </w:rPr>
        <w:t>a.s</w:t>
      </w:r>
      <w:proofErr w:type="spellEnd"/>
      <w:r w:rsidR="004C6700" w:rsidRPr="003A5533">
        <w:rPr>
          <w:rFonts w:cs="Times New Roman"/>
          <w:sz w:val="24"/>
          <w:szCs w:val="24"/>
        </w:rPr>
        <w:t xml:space="preserve">. v sume 280 tis. eur a výplata dividend akcionárom </w:t>
      </w:r>
      <w:proofErr w:type="spellStart"/>
      <w:r w:rsidR="004C6700" w:rsidRPr="003A5533">
        <w:rPr>
          <w:rFonts w:cs="Times New Roman"/>
          <w:sz w:val="24"/>
          <w:szCs w:val="24"/>
        </w:rPr>
        <w:t>Union</w:t>
      </w:r>
      <w:proofErr w:type="spellEnd"/>
      <w:r w:rsidR="004C6700" w:rsidRPr="003A5533">
        <w:rPr>
          <w:rFonts w:cs="Times New Roman"/>
          <w:sz w:val="24"/>
          <w:szCs w:val="24"/>
        </w:rPr>
        <w:t xml:space="preserve">, </w:t>
      </w:r>
      <w:proofErr w:type="spellStart"/>
      <w:r w:rsidR="004C6700" w:rsidRPr="003A5533">
        <w:rPr>
          <w:rFonts w:cs="Times New Roman"/>
          <w:sz w:val="24"/>
          <w:szCs w:val="24"/>
        </w:rPr>
        <w:t>a.s</w:t>
      </w:r>
      <w:proofErr w:type="spellEnd"/>
      <w:r w:rsidR="004C6700" w:rsidRPr="003A5533">
        <w:rPr>
          <w:rFonts w:cs="Times New Roman"/>
          <w:sz w:val="24"/>
          <w:szCs w:val="24"/>
        </w:rPr>
        <w:t>. v sume 4 900 tis. eur) a platba za správu verejného zdravotného poistenia spolu vo výške 92 708 tis. eur (tiet</w:t>
      </w:r>
      <w:r w:rsidR="00DA486C">
        <w:rPr>
          <w:rFonts w:cs="Times New Roman"/>
          <w:sz w:val="24"/>
          <w:szCs w:val="24"/>
        </w:rPr>
        <w:t>o výdavky nie sú rozpočtované).</w:t>
      </w:r>
    </w:p>
    <w:p w14:paraId="079672D6" w14:textId="5E8EC432" w:rsidR="004C6700" w:rsidRPr="00D365C9" w:rsidRDefault="004C6700" w:rsidP="0040034C">
      <w:pPr>
        <w:spacing w:line="240" w:lineRule="auto"/>
        <w:rPr>
          <w:sz w:val="24"/>
          <w:szCs w:val="24"/>
          <w:highlight w:val="yellow"/>
        </w:rPr>
      </w:pPr>
      <w:r w:rsidRPr="0039563D">
        <w:rPr>
          <w:rFonts w:eastAsia="Times New Roman" w:cs="Times New Roman"/>
          <w:color w:val="000000"/>
          <w:sz w:val="24"/>
          <w:szCs w:val="24"/>
          <w:lang w:eastAsia="sk-SK"/>
        </w:rPr>
        <w:t>Výdavky verejného zdravotného poistenia</w:t>
      </w:r>
      <w:r w:rsidRPr="003A5533">
        <w:rPr>
          <w:rFonts w:eastAsia="Times New Roman" w:cs="Times New Roman"/>
          <w:color w:val="000000"/>
          <w:sz w:val="24"/>
          <w:szCs w:val="24"/>
          <w:lang w:eastAsia="sk-SK"/>
        </w:rPr>
        <w:t xml:space="preserve"> na zdravotnú starostlivosť poskytnutú zdravotníckym zariadeniam </w:t>
      </w:r>
      <w:r w:rsidRPr="003A5533">
        <w:rPr>
          <w:sz w:val="24"/>
          <w:szCs w:val="24"/>
        </w:rPr>
        <w:t xml:space="preserve">boli rozpočtované v sume 6 949 153 tis. eur, skutočnosť bola o 332 613 tis. eur vyššia. </w:t>
      </w:r>
      <w:r w:rsidRPr="002F37C0">
        <w:rPr>
          <w:sz w:val="24"/>
          <w:szCs w:val="24"/>
        </w:rPr>
        <w:t>Vyššie čerpanie výdavkov na zdravotnú starostlivosť v roku 2023 bolo spôsobené najmä dofinancovaním ambulantného sektora za 190</w:t>
      </w:r>
      <w:r w:rsidR="0039563D">
        <w:rPr>
          <w:sz w:val="24"/>
          <w:szCs w:val="24"/>
        </w:rPr>
        <w:t> 000 tis. </w:t>
      </w:r>
      <w:r w:rsidRPr="002F37C0">
        <w:rPr>
          <w:sz w:val="24"/>
          <w:szCs w:val="24"/>
        </w:rPr>
        <w:t>eur nad rámec rozpočtu dohodnutým medzi vládou a predstaviteľmi ambulantného sektora na jar 2023 a</w:t>
      </w:r>
      <w:r>
        <w:rPr>
          <w:sz w:val="24"/>
          <w:szCs w:val="24"/>
        </w:rPr>
        <w:t xml:space="preserve"> ras</w:t>
      </w:r>
      <w:r w:rsidR="0039563D">
        <w:rPr>
          <w:sz w:val="24"/>
          <w:szCs w:val="24"/>
        </w:rPr>
        <w:t>tom výdavkov na lieky o 179 000 </w:t>
      </w:r>
      <w:r>
        <w:rPr>
          <w:sz w:val="24"/>
          <w:szCs w:val="24"/>
        </w:rPr>
        <w:t>tis</w:t>
      </w:r>
      <w:r w:rsidRPr="002F37C0">
        <w:rPr>
          <w:sz w:val="24"/>
          <w:szCs w:val="24"/>
        </w:rPr>
        <w:t>.</w:t>
      </w:r>
      <w:r w:rsidR="0039563D">
        <w:rPr>
          <w:sz w:val="24"/>
          <w:szCs w:val="24"/>
        </w:rPr>
        <w:t> </w:t>
      </w:r>
      <w:r w:rsidRPr="002F37C0">
        <w:rPr>
          <w:sz w:val="24"/>
          <w:szCs w:val="24"/>
        </w:rPr>
        <w:t>eur nad očakávania rozpočtu.</w:t>
      </w:r>
    </w:p>
    <w:p w14:paraId="31C036A3" w14:textId="77777777" w:rsidR="004C6700" w:rsidRPr="00A71C29" w:rsidRDefault="004C6700" w:rsidP="0040034C">
      <w:pPr>
        <w:spacing w:line="240" w:lineRule="auto"/>
        <w:rPr>
          <w:rFonts w:eastAsia="Times New Roman" w:cs="Times New Roman"/>
          <w:color w:val="000000"/>
          <w:sz w:val="24"/>
          <w:szCs w:val="24"/>
          <w:lang w:eastAsia="sk-SK"/>
        </w:rPr>
      </w:pPr>
      <w:proofErr w:type="spellStart"/>
      <w:r w:rsidRPr="00A71C29">
        <w:rPr>
          <w:rFonts w:cs="Times New Roman"/>
          <w:b/>
          <w:sz w:val="24"/>
          <w:szCs w:val="24"/>
        </w:rPr>
        <w:lastRenderedPageBreak/>
        <w:t>Exportno</w:t>
      </w:r>
      <w:proofErr w:type="spellEnd"/>
      <w:r w:rsidRPr="00A71C29">
        <w:rPr>
          <w:rFonts w:cs="Times New Roman"/>
          <w:b/>
          <w:sz w:val="24"/>
          <w:szCs w:val="24"/>
        </w:rPr>
        <w:t xml:space="preserve"> – importná banka SR (EXIMBANKA) </w:t>
      </w:r>
      <w:r w:rsidRPr="00A71C29">
        <w:rPr>
          <w:rFonts w:eastAsia="Times New Roman" w:cs="Times New Roman"/>
          <w:color w:val="000000"/>
          <w:sz w:val="24"/>
          <w:szCs w:val="24"/>
          <w:lang w:eastAsia="sk-SK"/>
        </w:rPr>
        <w:t>dosiahla v roku 2023 hotovostný prebytok vo výške 15 216 tis. eur, čo predstavovalo nárast oproti rozpo</w:t>
      </w:r>
      <w:r>
        <w:rPr>
          <w:rFonts w:eastAsia="Times New Roman" w:cs="Times New Roman"/>
          <w:color w:val="000000"/>
          <w:sz w:val="24"/>
          <w:szCs w:val="24"/>
          <w:lang w:eastAsia="sk-SK"/>
        </w:rPr>
        <w:t xml:space="preserve">čtu o 8 686 tis. eur. Rozpočet </w:t>
      </w:r>
      <w:r w:rsidRPr="00A71C29">
        <w:rPr>
          <w:rFonts w:eastAsia="Times New Roman" w:cs="Times New Roman"/>
          <w:color w:val="000000"/>
          <w:sz w:val="24"/>
          <w:szCs w:val="24"/>
          <w:lang w:eastAsia="sk-SK"/>
        </w:rPr>
        <w:t>v príjmoch aj výdavkoch bol zostavovaný na základe odhad</w:t>
      </w:r>
      <w:r>
        <w:rPr>
          <w:rFonts w:eastAsia="Times New Roman" w:cs="Times New Roman"/>
          <w:color w:val="000000"/>
          <w:sz w:val="24"/>
          <w:szCs w:val="24"/>
          <w:lang w:eastAsia="sk-SK"/>
        </w:rPr>
        <w:t xml:space="preserve">u vývoja v poskytovaní úverov </w:t>
      </w:r>
      <w:r w:rsidRPr="00A71C29">
        <w:rPr>
          <w:rFonts w:eastAsia="Times New Roman" w:cs="Times New Roman"/>
          <w:color w:val="000000"/>
          <w:sz w:val="24"/>
          <w:szCs w:val="24"/>
          <w:lang w:eastAsia="sk-SK"/>
        </w:rPr>
        <w:t xml:space="preserve">v predchádzajúcich rokoch s predpokladom mierneho rastu. </w:t>
      </w:r>
    </w:p>
    <w:p w14:paraId="35FCDC37" w14:textId="493623FF" w:rsidR="004C6700" w:rsidRDefault="004C6700" w:rsidP="0040034C">
      <w:pPr>
        <w:spacing w:line="240" w:lineRule="auto"/>
        <w:rPr>
          <w:rFonts w:eastAsia="Times New Roman" w:cs="Times New Roman"/>
          <w:color w:val="000000"/>
          <w:sz w:val="24"/>
          <w:szCs w:val="24"/>
          <w:lang w:eastAsia="sk-SK"/>
        </w:rPr>
      </w:pPr>
      <w:r w:rsidRPr="00A71C29">
        <w:rPr>
          <w:rFonts w:eastAsia="Times New Roman" w:cs="Times New Roman"/>
          <w:color w:val="000000"/>
          <w:sz w:val="24"/>
          <w:szCs w:val="24"/>
          <w:lang w:eastAsia="sk-SK"/>
        </w:rPr>
        <w:t>K vyšším nedaňovým príjmom oproti rozpočtu prispel nárast na príjmoch z úrokov z financovania vývozných a dovozných úverov, z postúpených pohľadávok a termínovaných vkladov o 1</w:t>
      </w:r>
      <w:r>
        <w:rPr>
          <w:rFonts w:eastAsia="Times New Roman" w:cs="Times New Roman"/>
          <w:color w:val="000000"/>
          <w:sz w:val="24"/>
          <w:szCs w:val="24"/>
          <w:lang w:eastAsia="sk-SK"/>
        </w:rPr>
        <w:t>3</w:t>
      </w:r>
      <w:r w:rsidRPr="00A71C29">
        <w:rPr>
          <w:rFonts w:eastAsia="Times New Roman" w:cs="Times New Roman"/>
          <w:color w:val="000000"/>
          <w:sz w:val="24"/>
          <w:szCs w:val="24"/>
          <w:lang w:eastAsia="sk-SK"/>
        </w:rPr>
        <w:t> 4</w:t>
      </w:r>
      <w:r>
        <w:rPr>
          <w:rFonts w:eastAsia="Times New Roman" w:cs="Times New Roman"/>
          <w:color w:val="000000"/>
          <w:sz w:val="24"/>
          <w:szCs w:val="24"/>
          <w:lang w:eastAsia="sk-SK"/>
        </w:rPr>
        <w:t>04</w:t>
      </w:r>
      <w:r w:rsidRPr="00A71C29">
        <w:rPr>
          <w:rFonts w:eastAsia="Times New Roman" w:cs="Times New Roman"/>
          <w:color w:val="000000"/>
          <w:sz w:val="24"/>
          <w:szCs w:val="24"/>
          <w:lang w:eastAsia="sk-SK"/>
        </w:rPr>
        <w:t> tis. eur a nárast príjmov z poplatkov za poskytnuté úvery a vystavené záruky a prijatého poistného z poistenia obchodovateľných a neobchodovateľných rizík o 5 000 tis. eur.</w:t>
      </w:r>
    </w:p>
    <w:p w14:paraId="4098EB05" w14:textId="77777777" w:rsidR="004C6700" w:rsidRDefault="004C6700" w:rsidP="0040034C">
      <w:pPr>
        <w:spacing w:line="240" w:lineRule="auto"/>
        <w:rPr>
          <w:rFonts w:eastAsia="Times New Roman" w:cs="Times New Roman"/>
          <w:color w:val="000000"/>
          <w:sz w:val="24"/>
          <w:szCs w:val="24"/>
          <w:lang w:eastAsia="sk-SK"/>
        </w:rPr>
      </w:pPr>
      <w:r>
        <w:rPr>
          <w:rFonts w:eastAsia="Times New Roman" w:cs="Times New Roman"/>
          <w:color w:val="000000"/>
          <w:sz w:val="24"/>
          <w:szCs w:val="24"/>
          <w:lang w:eastAsia="sk-SK"/>
        </w:rPr>
        <w:t xml:space="preserve">Tento pozitívny vplyv bol eliminovaný nárastom </w:t>
      </w:r>
      <w:r w:rsidRPr="00A71C29">
        <w:rPr>
          <w:rFonts w:eastAsia="Times New Roman" w:cs="Times New Roman"/>
          <w:color w:val="000000"/>
          <w:sz w:val="24"/>
          <w:szCs w:val="24"/>
          <w:lang w:eastAsia="sk-SK"/>
        </w:rPr>
        <w:t>výdavkov na splácanie úrokov a ostatné platby s úvermi o</w:t>
      </w:r>
      <w:r>
        <w:rPr>
          <w:rFonts w:eastAsia="Times New Roman" w:cs="Times New Roman"/>
          <w:color w:val="000000"/>
          <w:sz w:val="24"/>
          <w:szCs w:val="24"/>
          <w:lang w:eastAsia="sk-SK"/>
        </w:rPr>
        <w:t> </w:t>
      </w:r>
      <w:r w:rsidRPr="00A71C29">
        <w:rPr>
          <w:rFonts w:eastAsia="Times New Roman" w:cs="Times New Roman"/>
          <w:color w:val="000000"/>
          <w:sz w:val="24"/>
          <w:szCs w:val="24"/>
          <w:lang w:eastAsia="sk-SK"/>
        </w:rPr>
        <w:t>9</w:t>
      </w:r>
      <w:r>
        <w:rPr>
          <w:rFonts w:eastAsia="Times New Roman" w:cs="Times New Roman"/>
          <w:color w:val="000000"/>
          <w:sz w:val="24"/>
          <w:szCs w:val="24"/>
          <w:lang w:eastAsia="sk-SK"/>
        </w:rPr>
        <w:t> </w:t>
      </w:r>
      <w:r w:rsidRPr="00A71C29">
        <w:rPr>
          <w:rFonts w:eastAsia="Times New Roman" w:cs="Times New Roman"/>
          <w:color w:val="000000"/>
          <w:sz w:val="24"/>
          <w:szCs w:val="24"/>
          <w:lang w:eastAsia="sk-SK"/>
        </w:rPr>
        <w:t>253</w:t>
      </w:r>
      <w:r>
        <w:rPr>
          <w:rFonts w:eastAsia="Times New Roman" w:cs="Times New Roman"/>
          <w:color w:val="000000"/>
          <w:sz w:val="24"/>
          <w:szCs w:val="24"/>
          <w:lang w:eastAsia="sk-SK"/>
        </w:rPr>
        <w:t> </w:t>
      </w:r>
      <w:r w:rsidRPr="00A71C29">
        <w:rPr>
          <w:rFonts w:eastAsia="Times New Roman" w:cs="Times New Roman"/>
          <w:color w:val="000000"/>
          <w:sz w:val="24"/>
          <w:szCs w:val="24"/>
          <w:lang w:eastAsia="sk-SK"/>
        </w:rPr>
        <w:t>tis.</w:t>
      </w:r>
      <w:r>
        <w:rPr>
          <w:rFonts w:eastAsia="Times New Roman" w:cs="Times New Roman"/>
          <w:color w:val="000000"/>
          <w:sz w:val="24"/>
          <w:szCs w:val="24"/>
          <w:lang w:eastAsia="sk-SK"/>
        </w:rPr>
        <w:t> </w:t>
      </w:r>
      <w:r w:rsidRPr="00A71C29">
        <w:rPr>
          <w:rFonts w:eastAsia="Times New Roman" w:cs="Times New Roman"/>
          <w:color w:val="000000"/>
          <w:sz w:val="24"/>
          <w:szCs w:val="24"/>
          <w:lang w:eastAsia="sk-SK"/>
        </w:rPr>
        <w:t>eur</w:t>
      </w:r>
      <w:r>
        <w:rPr>
          <w:rFonts w:eastAsia="Times New Roman" w:cs="Times New Roman"/>
          <w:color w:val="000000"/>
          <w:sz w:val="24"/>
          <w:szCs w:val="24"/>
          <w:lang w:eastAsia="sk-SK"/>
        </w:rPr>
        <w:t xml:space="preserve">. </w:t>
      </w:r>
    </w:p>
    <w:p w14:paraId="457CEBC5" w14:textId="4B83705B" w:rsidR="004C6700" w:rsidRPr="0072253A" w:rsidRDefault="004C6700" w:rsidP="0040034C">
      <w:pPr>
        <w:spacing w:line="240" w:lineRule="auto"/>
        <w:rPr>
          <w:rFonts w:eastAsia="Times New Roman" w:cs="Times New Roman"/>
          <w:color w:val="000000"/>
          <w:sz w:val="24"/>
          <w:szCs w:val="24"/>
          <w:lang w:eastAsia="sk-SK"/>
        </w:rPr>
      </w:pPr>
      <w:r w:rsidRPr="0072253A">
        <w:rPr>
          <w:rFonts w:eastAsia="Times New Roman" w:cs="Times New Roman"/>
          <w:color w:val="000000"/>
          <w:sz w:val="24"/>
          <w:szCs w:val="24"/>
          <w:lang w:eastAsia="sk-SK"/>
        </w:rPr>
        <w:t>Medziročný nárast pohľadávok o 6 085 tis. eur (zo zaistenia a splatnej daňovej pohľadávky) eliminovaný poklesom záväzkov o 215 tis. eur a záväzkov z technických rezerv v súvislosti s tvorbou škodových rezerv na vyrovnávanie mimoriadnych rizík o 9 142 tis. eur negatívne ovplyvnil hospodárenie a EXIMBANKA SR dosiahla ESA prebytok vo výške 11 944 tis. eur.</w:t>
      </w:r>
    </w:p>
    <w:p w14:paraId="646DACF2" w14:textId="1C34D1F7" w:rsidR="004C6700" w:rsidRPr="008B653E" w:rsidRDefault="004C6700" w:rsidP="0040034C">
      <w:pPr>
        <w:spacing w:line="240" w:lineRule="auto"/>
        <w:rPr>
          <w:sz w:val="24"/>
          <w:szCs w:val="24"/>
        </w:rPr>
      </w:pPr>
      <w:r w:rsidRPr="008B653E">
        <w:rPr>
          <w:b/>
          <w:sz w:val="24"/>
          <w:szCs w:val="24"/>
        </w:rPr>
        <w:t>Obchodné spoločnosti ústrednej správy</w:t>
      </w:r>
      <w:r w:rsidRPr="008B653E">
        <w:rPr>
          <w:sz w:val="24"/>
          <w:szCs w:val="24"/>
        </w:rPr>
        <w:t xml:space="preserve"> dosiahli zlepšenie hospodárenia o 51 595 tis. eur oproti plánu, úhrnom bol dosiahnutý prebytok 15 477 tis. eur, pričom v rozpočte sa očakával schodok 36 118 tis. eur. V rámci tejto zložky verejnej správy je vykazované hospodárenie celkovo za 9 subjektov, pričom v rozhodujúcej miere sa na výsledku podieľajú najmä spoločnosti Národná diaľničná spoločnosť, </w:t>
      </w:r>
      <w:proofErr w:type="spellStart"/>
      <w:r w:rsidRPr="008B653E">
        <w:rPr>
          <w:sz w:val="24"/>
          <w:szCs w:val="24"/>
        </w:rPr>
        <w:t>a.s</w:t>
      </w:r>
      <w:proofErr w:type="spellEnd"/>
      <w:r w:rsidRPr="008B653E">
        <w:rPr>
          <w:sz w:val="24"/>
          <w:szCs w:val="24"/>
        </w:rPr>
        <w:t xml:space="preserve">., Železničná spoločnosť Slovensko, </w:t>
      </w:r>
      <w:proofErr w:type="spellStart"/>
      <w:r w:rsidRPr="008B653E">
        <w:rPr>
          <w:sz w:val="24"/>
          <w:szCs w:val="24"/>
        </w:rPr>
        <w:t>a.s</w:t>
      </w:r>
      <w:proofErr w:type="spellEnd"/>
      <w:r w:rsidRPr="008B653E">
        <w:rPr>
          <w:sz w:val="24"/>
          <w:szCs w:val="24"/>
        </w:rPr>
        <w:t>. a Železnice Slovenskej republiky š. p.</w:t>
      </w:r>
    </w:p>
    <w:p w14:paraId="5E90AB96" w14:textId="092A1032" w:rsidR="004C6700" w:rsidRPr="001E391B" w:rsidRDefault="004C6700" w:rsidP="0040034C">
      <w:pPr>
        <w:spacing w:line="240" w:lineRule="auto"/>
        <w:rPr>
          <w:rFonts w:eastAsia="Times New Roman" w:cs="Times New Roman"/>
          <w:sz w:val="24"/>
          <w:szCs w:val="24"/>
          <w:lang w:eastAsia="sk-SK"/>
        </w:rPr>
      </w:pPr>
      <w:r w:rsidRPr="001E391B">
        <w:rPr>
          <w:rFonts w:cs="Times New Roman"/>
          <w:b/>
          <w:sz w:val="24"/>
          <w:szCs w:val="24"/>
        </w:rPr>
        <w:t xml:space="preserve">Národná diaľničná spoločnosť, </w:t>
      </w:r>
      <w:proofErr w:type="spellStart"/>
      <w:r w:rsidRPr="001E391B">
        <w:rPr>
          <w:rFonts w:cs="Times New Roman"/>
          <w:b/>
          <w:sz w:val="24"/>
          <w:szCs w:val="24"/>
        </w:rPr>
        <w:t>a.s</w:t>
      </w:r>
      <w:proofErr w:type="spellEnd"/>
      <w:r w:rsidRPr="001E391B">
        <w:rPr>
          <w:rFonts w:cs="Times New Roman"/>
          <w:b/>
          <w:sz w:val="24"/>
          <w:szCs w:val="24"/>
        </w:rPr>
        <w:t>.</w:t>
      </w:r>
      <w:r w:rsidRPr="001E391B">
        <w:rPr>
          <w:rFonts w:cs="Times New Roman"/>
          <w:sz w:val="24"/>
          <w:szCs w:val="24"/>
        </w:rPr>
        <w:t xml:space="preserve"> dosiahla v roku 2023 hotovostný prebytok vo výške 16 028 tis. eur, čo predstavuje zlepšenie</w:t>
      </w:r>
      <w:r>
        <w:rPr>
          <w:rFonts w:cs="Times New Roman"/>
          <w:sz w:val="24"/>
          <w:szCs w:val="24"/>
        </w:rPr>
        <w:t xml:space="preserve"> oproti </w:t>
      </w:r>
      <w:r w:rsidRPr="001E391B">
        <w:rPr>
          <w:rFonts w:cs="Times New Roman"/>
          <w:sz w:val="24"/>
          <w:szCs w:val="24"/>
        </w:rPr>
        <w:t>rozpočtu</w:t>
      </w:r>
      <w:r>
        <w:rPr>
          <w:rFonts w:cs="Times New Roman"/>
          <w:sz w:val="24"/>
          <w:szCs w:val="24"/>
        </w:rPr>
        <w:t xml:space="preserve">, ktorý bol zostavený ako vyrovnaný. </w:t>
      </w:r>
      <w:r w:rsidRPr="001E391B">
        <w:rPr>
          <w:rFonts w:cs="Times New Roman"/>
          <w:sz w:val="24"/>
          <w:szCs w:val="24"/>
        </w:rPr>
        <w:t>Na</w:t>
      </w:r>
      <w:r>
        <w:rPr>
          <w:rFonts w:cs="Times New Roman"/>
          <w:sz w:val="24"/>
          <w:szCs w:val="24"/>
        </w:rPr>
        <w:t> </w:t>
      </w:r>
      <w:r w:rsidRPr="001E391B">
        <w:rPr>
          <w:rFonts w:cs="Times New Roman"/>
          <w:sz w:val="24"/>
          <w:szCs w:val="24"/>
        </w:rPr>
        <w:t>zlepšenie hospodárenia spoločnosti mal vplyv vyšší nárast príjmov ako nárast výdavkov.</w:t>
      </w:r>
    </w:p>
    <w:p w14:paraId="6F137401" w14:textId="7BC9A085" w:rsidR="004C6700" w:rsidRPr="006A63E3" w:rsidRDefault="004C6700" w:rsidP="0040034C">
      <w:pPr>
        <w:spacing w:line="240" w:lineRule="auto"/>
        <w:rPr>
          <w:rFonts w:eastAsia="Times New Roman" w:cs="Times New Roman"/>
          <w:sz w:val="24"/>
          <w:szCs w:val="24"/>
          <w:lang w:eastAsia="sk-SK"/>
        </w:rPr>
      </w:pPr>
      <w:r w:rsidRPr="006A63E3">
        <w:rPr>
          <w:rFonts w:eastAsia="Times New Roman" w:cs="Times New Roman"/>
          <w:sz w:val="24"/>
          <w:szCs w:val="24"/>
          <w:lang w:eastAsia="sk-SK"/>
        </w:rPr>
        <w:t>Celkové príjmy v porovnaní s rozpočtom vzrástli o 527 685 tis. eur. Pozitívny vplyv mal nárast nedaňových príjmov o </w:t>
      </w:r>
      <w:r>
        <w:rPr>
          <w:rFonts w:eastAsia="Times New Roman" w:cs="Times New Roman"/>
          <w:sz w:val="24"/>
          <w:szCs w:val="24"/>
          <w:lang w:eastAsia="sk-SK"/>
        </w:rPr>
        <w:t>30</w:t>
      </w:r>
      <w:r w:rsidRPr="006A63E3">
        <w:rPr>
          <w:rFonts w:eastAsia="Times New Roman" w:cs="Times New Roman"/>
          <w:sz w:val="24"/>
          <w:szCs w:val="24"/>
          <w:lang w:eastAsia="sk-SK"/>
        </w:rPr>
        <w:t> </w:t>
      </w:r>
      <w:r>
        <w:rPr>
          <w:rFonts w:eastAsia="Times New Roman" w:cs="Times New Roman"/>
          <w:sz w:val="24"/>
          <w:szCs w:val="24"/>
          <w:lang w:eastAsia="sk-SK"/>
        </w:rPr>
        <w:t>029</w:t>
      </w:r>
      <w:r w:rsidRPr="006A63E3">
        <w:rPr>
          <w:rFonts w:eastAsia="Times New Roman" w:cs="Times New Roman"/>
          <w:sz w:val="24"/>
          <w:szCs w:val="24"/>
          <w:lang w:eastAsia="sk-SK"/>
        </w:rPr>
        <w:t> tis. eur. V spoločnosti došlo k zvýšeniu tržieb ako dôsled</w:t>
      </w:r>
      <w:r>
        <w:rPr>
          <w:rFonts w:eastAsia="Times New Roman" w:cs="Times New Roman"/>
          <w:sz w:val="24"/>
          <w:szCs w:val="24"/>
          <w:lang w:eastAsia="sk-SK"/>
        </w:rPr>
        <w:t>o</w:t>
      </w:r>
      <w:r w:rsidRPr="006A63E3">
        <w:rPr>
          <w:rFonts w:eastAsia="Times New Roman" w:cs="Times New Roman"/>
          <w:sz w:val="24"/>
          <w:szCs w:val="24"/>
          <w:lang w:eastAsia="sk-SK"/>
        </w:rPr>
        <w:t>k zvýšených cien diaľničných známok o 27 837 tis. eur (</w:t>
      </w:r>
      <w:r w:rsidRPr="006A63E3">
        <w:rPr>
          <w:rFonts w:cs="Times New Roman"/>
          <w:sz w:val="24"/>
          <w:szCs w:val="24"/>
        </w:rPr>
        <w:t xml:space="preserve">o 20 % od januára 2023) </w:t>
      </w:r>
      <w:r w:rsidRPr="006A63E3">
        <w:rPr>
          <w:rFonts w:eastAsia="Times New Roman" w:cs="Times New Roman"/>
          <w:sz w:val="24"/>
          <w:szCs w:val="24"/>
          <w:lang w:eastAsia="sk-SK"/>
        </w:rPr>
        <w:t>ako aj v dôsledku otvárania nových úsekov a</w:t>
      </w:r>
      <w:r w:rsidR="00DA486C">
        <w:rPr>
          <w:rFonts w:eastAsia="Times New Roman" w:cs="Times New Roman"/>
          <w:sz w:val="24"/>
          <w:szCs w:val="24"/>
          <w:lang w:eastAsia="sk-SK"/>
        </w:rPr>
        <w:t xml:space="preserve"> </w:t>
      </w:r>
      <w:r w:rsidRPr="006A63E3">
        <w:rPr>
          <w:rFonts w:eastAsia="Times New Roman" w:cs="Times New Roman"/>
          <w:sz w:val="24"/>
          <w:szCs w:val="24"/>
          <w:lang w:eastAsia="sk-SK"/>
        </w:rPr>
        <w:t>rozsahu spoplatnenej siete, čo bolo čiastočne eliminované p</w:t>
      </w:r>
      <w:r w:rsidRPr="006A63E3">
        <w:rPr>
          <w:rFonts w:cs="Times New Roman"/>
          <w:sz w:val="24"/>
          <w:szCs w:val="24"/>
        </w:rPr>
        <w:t>oklesom príjmov z administratívnych a iných poplatkov v súvislosti s predajom služieb PPP D4/R7 (o 3 982 tis. eur) z dôvodu posunov pri uzatváraní zmlúv a nižšími príjmami z</w:t>
      </w:r>
      <w:r>
        <w:rPr>
          <w:rFonts w:cs="Times New Roman"/>
          <w:sz w:val="24"/>
          <w:szCs w:val="24"/>
        </w:rPr>
        <w:t> </w:t>
      </w:r>
      <w:r w:rsidRPr="006A63E3">
        <w:rPr>
          <w:rFonts w:cs="Times New Roman"/>
          <w:sz w:val="24"/>
          <w:szCs w:val="24"/>
        </w:rPr>
        <w:t xml:space="preserve">elektronického výberu mýta (o 1 051 tis. eur) z dôvodu odlišného vývoja skutočných dopravných intenzít od predpokladaných pri tvorbe rozpočtu. </w:t>
      </w:r>
    </w:p>
    <w:p w14:paraId="58563463" w14:textId="77777777" w:rsidR="004C6700" w:rsidRPr="00092ACB" w:rsidRDefault="004C6700" w:rsidP="0040034C">
      <w:pPr>
        <w:spacing w:line="240" w:lineRule="auto"/>
        <w:rPr>
          <w:rFonts w:cs="Times New Roman"/>
          <w:sz w:val="24"/>
          <w:szCs w:val="24"/>
          <w:highlight w:val="yellow"/>
        </w:rPr>
      </w:pPr>
      <w:r w:rsidRPr="001906F6">
        <w:rPr>
          <w:rFonts w:cs="Times New Roman"/>
          <w:sz w:val="24"/>
          <w:szCs w:val="24"/>
        </w:rPr>
        <w:t>Príjmy z grantov a transferov zaznamenali celkový nárast o 497 </w:t>
      </w:r>
      <w:r>
        <w:rPr>
          <w:rFonts w:cs="Times New Roman"/>
          <w:sz w:val="24"/>
          <w:szCs w:val="24"/>
        </w:rPr>
        <w:t xml:space="preserve">656 tis. eur oproti rozpočtu. </w:t>
      </w:r>
      <w:r w:rsidRPr="001906F6">
        <w:rPr>
          <w:rFonts w:cs="Times New Roman"/>
          <w:sz w:val="24"/>
          <w:szCs w:val="24"/>
        </w:rPr>
        <w:t>Bežné transfery zaznamenali nárast o 201 tis. eur</w:t>
      </w:r>
      <w:r>
        <w:rPr>
          <w:rFonts w:cs="Times New Roman"/>
          <w:sz w:val="24"/>
          <w:szCs w:val="24"/>
        </w:rPr>
        <w:t xml:space="preserve"> (na </w:t>
      </w:r>
      <w:r w:rsidRPr="001E0245">
        <w:rPr>
          <w:rFonts w:cs="Times New Roman"/>
        </w:rPr>
        <w:t>zvýšen</w:t>
      </w:r>
      <w:r>
        <w:rPr>
          <w:rFonts w:cs="Times New Roman"/>
        </w:rPr>
        <w:t>é výdavky</w:t>
      </w:r>
      <w:r w:rsidRPr="001E0245">
        <w:rPr>
          <w:rFonts w:cs="Times New Roman"/>
        </w:rPr>
        <w:t xml:space="preserve"> </w:t>
      </w:r>
      <w:r w:rsidRPr="00361806">
        <w:rPr>
          <w:rFonts w:cs="Times New Roman"/>
          <w:sz w:val="24"/>
          <w:szCs w:val="24"/>
        </w:rPr>
        <w:t>na hospodársku mobilizáciu</w:t>
      </w:r>
      <w:r w:rsidRPr="001E0245">
        <w:rPr>
          <w:rFonts w:cs="Times New Roman"/>
        </w:rPr>
        <w:t xml:space="preserve"> </w:t>
      </w:r>
      <w:r w:rsidRPr="00361806">
        <w:rPr>
          <w:rFonts w:cs="Times New Roman"/>
          <w:sz w:val="24"/>
          <w:szCs w:val="24"/>
        </w:rPr>
        <w:t>a zvýšený transfer na energetickú pomoc)</w:t>
      </w:r>
      <w:r w:rsidRPr="001906F6">
        <w:rPr>
          <w:rFonts w:cs="Times New Roman"/>
          <w:sz w:val="24"/>
          <w:szCs w:val="24"/>
        </w:rPr>
        <w:t xml:space="preserve"> a kapitálové transfery o 482 116 tis. eur, </w:t>
      </w:r>
      <w:r w:rsidRPr="001906F6">
        <w:rPr>
          <w:rFonts w:eastAsia="Times New Roman" w:cs="Times New Roman"/>
          <w:sz w:val="24"/>
          <w:szCs w:val="24"/>
          <w:lang w:eastAsia="sk-SK"/>
        </w:rPr>
        <w:t xml:space="preserve">prijaté zahraničné granty z nástroja EÚ na prepájanie Európy (CEF) </w:t>
      </w:r>
      <w:r w:rsidRPr="001906F6">
        <w:rPr>
          <w:rFonts w:cs="Times New Roman"/>
          <w:sz w:val="24"/>
          <w:szCs w:val="24"/>
        </w:rPr>
        <w:t>boli vyššie o 15 339 tis. eur</w:t>
      </w:r>
      <w:r>
        <w:rPr>
          <w:rFonts w:cs="Times New Roman"/>
          <w:sz w:val="24"/>
          <w:szCs w:val="24"/>
        </w:rPr>
        <w:t xml:space="preserve"> (na projekt D3 Čadca Bukov – Svrčinovec a projekt R4 štátna hranica SK/PL – Kapušany)</w:t>
      </w:r>
      <w:r w:rsidRPr="001906F6">
        <w:rPr>
          <w:rFonts w:cs="Times New Roman"/>
          <w:sz w:val="24"/>
          <w:szCs w:val="24"/>
        </w:rPr>
        <w:t>. Kapitálové transfery zo zdrojov štátneho rozpočtu b</w:t>
      </w:r>
      <w:r>
        <w:rPr>
          <w:rFonts w:cs="Times New Roman"/>
          <w:sz w:val="24"/>
          <w:szCs w:val="24"/>
        </w:rPr>
        <w:t>oli vyššie o 355 490 tis. eur z </w:t>
      </w:r>
      <w:r w:rsidRPr="001906F6">
        <w:rPr>
          <w:rFonts w:cs="Times New Roman"/>
          <w:sz w:val="24"/>
          <w:szCs w:val="24"/>
        </w:rPr>
        <w:t xml:space="preserve">dôvodu uvoľnených finančných prostriedkov, ktoré boli viazané v predchádzajúcom roku na použitie výdavkov do nasledujúcich rokov v nadväznosti na časový posun realizácie investičných projektov do nasledujúceho obdobia, ako aj z </w:t>
      </w:r>
      <w:r>
        <w:rPr>
          <w:rFonts w:cs="Times New Roman"/>
          <w:sz w:val="24"/>
          <w:szCs w:val="24"/>
        </w:rPr>
        <w:t>dôvodu presunu výdavkov z VPS v </w:t>
      </w:r>
      <w:r w:rsidRPr="001906F6">
        <w:rPr>
          <w:rFonts w:cs="Times New Roman"/>
          <w:sz w:val="24"/>
          <w:szCs w:val="24"/>
        </w:rPr>
        <w:t>súvislosti so</w:t>
      </w:r>
      <w:r>
        <w:rPr>
          <w:rFonts w:cs="Times New Roman"/>
          <w:sz w:val="24"/>
          <w:szCs w:val="24"/>
        </w:rPr>
        <w:t> </w:t>
      </w:r>
      <w:r w:rsidRPr="001906F6">
        <w:rPr>
          <w:rFonts w:cs="Times New Roman"/>
          <w:sz w:val="24"/>
          <w:szCs w:val="24"/>
        </w:rPr>
        <w:t xml:space="preserve">zavedením tzv. </w:t>
      </w:r>
      <w:proofErr w:type="spellStart"/>
      <w:r w:rsidRPr="001906F6">
        <w:rPr>
          <w:rFonts w:cs="Times New Roman"/>
          <w:sz w:val="24"/>
          <w:szCs w:val="24"/>
        </w:rPr>
        <w:t>zero</w:t>
      </w:r>
      <w:proofErr w:type="spellEnd"/>
      <w:r w:rsidRPr="001906F6">
        <w:rPr>
          <w:rFonts w:cs="Times New Roman"/>
          <w:sz w:val="24"/>
          <w:szCs w:val="24"/>
        </w:rPr>
        <w:t xml:space="preserve"> </w:t>
      </w:r>
      <w:proofErr w:type="spellStart"/>
      <w:r w:rsidRPr="001906F6">
        <w:rPr>
          <w:rFonts w:cs="Times New Roman"/>
          <w:sz w:val="24"/>
          <w:szCs w:val="24"/>
        </w:rPr>
        <w:t>based</w:t>
      </w:r>
      <w:proofErr w:type="spellEnd"/>
      <w:r w:rsidRPr="001906F6">
        <w:rPr>
          <w:rFonts w:cs="Times New Roman"/>
          <w:sz w:val="24"/>
          <w:szCs w:val="24"/>
        </w:rPr>
        <w:t xml:space="preserve"> </w:t>
      </w:r>
      <w:proofErr w:type="spellStart"/>
      <w:r w:rsidRPr="001906F6">
        <w:rPr>
          <w:rFonts w:cs="Times New Roman"/>
          <w:sz w:val="24"/>
          <w:szCs w:val="24"/>
        </w:rPr>
        <w:t>budgetingu</w:t>
      </w:r>
      <w:proofErr w:type="spellEnd"/>
      <w:r w:rsidRPr="001906F6">
        <w:rPr>
          <w:rFonts w:cs="Times New Roman"/>
          <w:sz w:val="24"/>
          <w:szCs w:val="24"/>
        </w:rPr>
        <w:t xml:space="preserve"> v oblasti kapitálových výdavkov, kedy kapitálové výdavky na rok 2023 boli rozpočtované v kapitole Všeobecná pokladničná správa a až po ich posúdení investičnou autoritou nastalo ich reálne čerpanie v zmysle schváleného Harmonogramu prípravy a výstavby projektov cestnej infraštruktúry. Pozitívny vplyv mal aj nárast kapitálových grantov zo zdrojov EÚ o 107 633 tis. eur a </w:t>
      </w:r>
      <w:r>
        <w:rPr>
          <w:rFonts w:cs="Times New Roman"/>
          <w:sz w:val="24"/>
          <w:szCs w:val="24"/>
        </w:rPr>
        <w:t>zo zdrojov spolufinancovania zo </w:t>
      </w:r>
      <w:r w:rsidRPr="001906F6">
        <w:rPr>
          <w:rFonts w:cs="Times New Roman"/>
          <w:sz w:val="24"/>
          <w:szCs w:val="24"/>
        </w:rPr>
        <w:t xml:space="preserve">štátneho rozpočtu o 18 994 tis. eur </w:t>
      </w:r>
      <w:r w:rsidRPr="001906F6">
        <w:rPr>
          <w:rFonts w:eastAsia="Times New Roman" w:cs="Times New Roman"/>
          <w:sz w:val="24"/>
          <w:szCs w:val="24"/>
          <w:lang w:eastAsia="sk-SK"/>
        </w:rPr>
        <w:t xml:space="preserve">v nadväznosti </w:t>
      </w:r>
      <w:r w:rsidRPr="001906F6">
        <w:rPr>
          <w:rFonts w:cs="Times New Roman"/>
          <w:sz w:val="24"/>
          <w:szCs w:val="24"/>
        </w:rPr>
        <w:t>na časový posun realizácie investičných projektov.</w:t>
      </w:r>
    </w:p>
    <w:p w14:paraId="7E2494B3" w14:textId="6A20C35F" w:rsidR="004C6700" w:rsidRPr="003864EF" w:rsidRDefault="004C6700" w:rsidP="0040034C">
      <w:pPr>
        <w:spacing w:line="240" w:lineRule="auto"/>
        <w:rPr>
          <w:rFonts w:eastAsia="Times New Roman" w:cs="Times New Roman"/>
          <w:sz w:val="24"/>
          <w:szCs w:val="24"/>
          <w:lang w:eastAsia="sk-SK"/>
        </w:rPr>
      </w:pPr>
      <w:r w:rsidRPr="00D9796E">
        <w:rPr>
          <w:rFonts w:eastAsia="Times New Roman" w:cs="Times New Roman"/>
          <w:sz w:val="24"/>
          <w:szCs w:val="24"/>
          <w:lang w:eastAsia="sk-SK"/>
        </w:rPr>
        <w:lastRenderedPageBreak/>
        <w:t xml:space="preserve">Celkové výdavky spoločnosti vzrástli </w:t>
      </w:r>
      <w:r w:rsidRPr="00D9796E">
        <w:rPr>
          <w:rFonts w:cs="Times New Roman"/>
          <w:sz w:val="24"/>
          <w:szCs w:val="24"/>
        </w:rPr>
        <w:t xml:space="preserve">o 511 657 tis. eur oproti rozpočtu. </w:t>
      </w:r>
      <w:r w:rsidRPr="00D9796E">
        <w:rPr>
          <w:rFonts w:eastAsia="Times New Roman" w:cs="Times New Roman"/>
          <w:sz w:val="24"/>
          <w:szCs w:val="24"/>
          <w:lang w:eastAsia="sk-SK"/>
        </w:rPr>
        <w:t>Bežné výdavky sa zvýšili o 10 070 tis. eur</w:t>
      </w:r>
      <w:r w:rsidRPr="00D9796E">
        <w:rPr>
          <w:rFonts w:cs="Times New Roman"/>
        </w:rPr>
        <w:t xml:space="preserve"> </w:t>
      </w:r>
      <w:r w:rsidRPr="00D9796E">
        <w:rPr>
          <w:rFonts w:cs="Times New Roman"/>
          <w:sz w:val="24"/>
          <w:szCs w:val="24"/>
        </w:rPr>
        <w:t>v dôsledku zvýšenia osobných výdavkov v nadväznosti na skutočné podmienky kolektívnej zmluvy a personálny plán a zvýšenia výdavkov na tovary a služby</w:t>
      </w:r>
      <w:r w:rsidRPr="00635A3B">
        <w:rPr>
          <w:rFonts w:eastAsia="Times New Roman" w:cs="Times New Roman"/>
          <w:sz w:val="24"/>
          <w:szCs w:val="24"/>
          <w:lang w:eastAsia="sk-SK"/>
        </w:rPr>
        <w:t xml:space="preserve">. </w:t>
      </w:r>
      <w:r w:rsidRPr="003864EF">
        <w:rPr>
          <w:rFonts w:eastAsia="Times New Roman" w:cs="Times New Roman"/>
          <w:sz w:val="24"/>
          <w:szCs w:val="24"/>
          <w:lang w:eastAsia="sk-SK"/>
        </w:rPr>
        <w:t xml:space="preserve">Zásadný podiel na raste výdavkov na tovary a služby mali nezrovnalosti a iné </w:t>
      </w:r>
      <w:proofErr w:type="spellStart"/>
      <w:r w:rsidRPr="003864EF">
        <w:rPr>
          <w:rFonts w:eastAsia="Times New Roman" w:cs="Times New Roman"/>
          <w:sz w:val="24"/>
          <w:szCs w:val="24"/>
          <w:lang w:eastAsia="sk-SK"/>
        </w:rPr>
        <w:t>vratky</w:t>
      </w:r>
      <w:proofErr w:type="spellEnd"/>
      <w:r w:rsidRPr="003864EF">
        <w:rPr>
          <w:rFonts w:eastAsia="Times New Roman" w:cs="Times New Roman"/>
          <w:sz w:val="24"/>
          <w:szCs w:val="24"/>
          <w:lang w:eastAsia="sk-SK"/>
        </w:rPr>
        <w:t xml:space="preserve"> za</w:t>
      </w:r>
      <w:r>
        <w:rPr>
          <w:rFonts w:eastAsia="Times New Roman" w:cs="Times New Roman"/>
          <w:sz w:val="24"/>
          <w:szCs w:val="24"/>
          <w:lang w:eastAsia="sk-SK"/>
        </w:rPr>
        <w:t> </w:t>
      </w:r>
      <w:r w:rsidRPr="003864EF">
        <w:rPr>
          <w:rFonts w:eastAsia="Times New Roman" w:cs="Times New Roman"/>
          <w:sz w:val="24"/>
          <w:szCs w:val="24"/>
          <w:lang w:eastAsia="sk-SK"/>
        </w:rPr>
        <w:t>prostriedky EÚ (nárast o 37 868 tis. eur)</w:t>
      </w:r>
      <w:r>
        <w:rPr>
          <w:rFonts w:eastAsia="Times New Roman" w:cs="Times New Roman"/>
          <w:sz w:val="24"/>
          <w:szCs w:val="24"/>
          <w:lang w:eastAsia="sk-SK"/>
        </w:rPr>
        <w:t xml:space="preserve"> a výdavky na prevádzku elektronického výberu mýta (nárast o 13 981 tis. eur).</w:t>
      </w:r>
      <w:r w:rsidRPr="003864EF">
        <w:rPr>
          <w:rFonts w:eastAsia="Times New Roman" w:cs="Times New Roman"/>
          <w:sz w:val="24"/>
          <w:szCs w:val="24"/>
          <w:lang w:eastAsia="sk-SK"/>
        </w:rPr>
        <w:t xml:space="preserve"> Tento negatívny vplyv bol eliminovaný poklesom výdavkov za nájom budov a</w:t>
      </w:r>
      <w:r w:rsidR="00B42188">
        <w:rPr>
          <w:rFonts w:eastAsia="Times New Roman" w:cs="Times New Roman"/>
          <w:sz w:val="24"/>
          <w:szCs w:val="24"/>
          <w:lang w:eastAsia="sk-SK"/>
        </w:rPr>
        <w:t> </w:t>
      </w:r>
      <w:r w:rsidRPr="003864EF">
        <w:rPr>
          <w:rFonts w:eastAsia="Times New Roman" w:cs="Times New Roman"/>
          <w:sz w:val="24"/>
          <w:szCs w:val="24"/>
          <w:lang w:eastAsia="sk-SK"/>
        </w:rPr>
        <w:t>objektov</w:t>
      </w:r>
      <w:r w:rsidR="00B42188">
        <w:rPr>
          <w:rFonts w:eastAsia="Times New Roman" w:cs="Times New Roman"/>
          <w:sz w:val="24"/>
          <w:szCs w:val="24"/>
          <w:lang w:eastAsia="sk-SK"/>
        </w:rPr>
        <w:t xml:space="preserve"> a ich častí (pozemkov) z dôvodu zdĺhavého procesu uzatvárania a </w:t>
      </w:r>
      <w:proofErr w:type="spellStart"/>
      <w:r w:rsidR="00B42188">
        <w:rPr>
          <w:rFonts w:eastAsia="Times New Roman" w:cs="Times New Roman"/>
          <w:sz w:val="24"/>
          <w:szCs w:val="24"/>
          <w:lang w:eastAsia="sk-SK"/>
        </w:rPr>
        <w:t>vkladovania</w:t>
      </w:r>
      <w:proofErr w:type="spellEnd"/>
      <w:r w:rsidR="00B42188">
        <w:rPr>
          <w:rFonts w:eastAsia="Times New Roman" w:cs="Times New Roman"/>
          <w:sz w:val="24"/>
          <w:szCs w:val="24"/>
          <w:lang w:eastAsia="sk-SK"/>
        </w:rPr>
        <w:t xml:space="preserve"> zmlúv na vecné bremená so správcami sietí v súvislosti s PPP projektom D4/R7 </w:t>
      </w:r>
      <w:r w:rsidRPr="003864EF">
        <w:rPr>
          <w:rFonts w:eastAsia="Times New Roman" w:cs="Times New Roman"/>
          <w:sz w:val="24"/>
          <w:szCs w:val="24"/>
          <w:lang w:eastAsia="sk-SK"/>
        </w:rPr>
        <w:t xml:space="preserve"> (o 26 172 tis. eur) a poklesom výdavkov na rutinnú a štandardnú údržbu budov, objektov a ich častí, strojov a zariadení (o 11 797 tis. eur) z dôvodu posunu činností do ďalšieho obdobia (opravy a údržby vozoviek a mostov). Výdavky na obstaranie kapitálových aktív dosiahli výšku 567 164 tis. eur, čo predstavuje nárast oproti rozpočtu o 501 587 </w:t>
      </w:r>
      <w:r>
        <w:rPr>
          <w:rFonts w:eastAsia="Times New Roman" w:cs="Times New Roman"/>
          <w:sz w:val="24"/>
          <w:szCs w:val="24"/>
          <w:lang w:eastAsia="sk-SK"/>
        </w:rPr>
        <w:t>tis. eur, najmä vo vzťahu k zvýšeným prijatým kapitálovým transferom.</w:t>
      </w:r>
    </w:p>
    <w:p w14:paraId="5C6995F4" w14:textId="5FA9C804" w:rsidR="004C6700" w:rsidRPr="001A4860" w:rsidRDefault="004C6700" w:rsidP="0040034C">
      <w:pPr>
        <w:spacing w:line="240" w:lineRule="auto"/>
        <w:rPr>
          <w:rFonts w:eastAsia="Times New Roman" w:cs="Times New Roman"/>
          <w:sz w:val="24"/>
          <w:szCs w:val="24"/>
          <w:lang w:eastAsia="sk-SK"/>
        </w:rPr>
      </w:pPr>
      <w:r w:rsidRPr="001A4860">
        <w:rPr>
          <w:rFonts w:eastAsia="Times New Roman" w:cs="Times New Roman"/>
          <w:sz w:val="24"/>
          <w:szCs w:val="24"/>
          <w:lang w:eastAsia="sk-SK"/>
        </w:rPr>
        <w:t>Najvyššie investície v roku 2023 boli vynaložené na stavby diaľnic a rýchlostných ciest D1/2037 Lietavská Lúčka - </w:t>
      </w:r>
      <w:proofErr w:type="spellStart"/>
      <w:r w:rsidRPr="001A4860">
        <w:rPr>
          <w:rFonts w:eastAsia="Times New Roman" w:cs="Times New Roman"/>
          <w:sz w:val="24"/>
          <w:szCs w:val="24"/>
          <w:lang w:eastAsia="sk-SK"/>
        </w:rPr>
        <w:t>Dubná</w:t>
      </w:r>
      <w:proofErr w:type="spellEnd"/>
      <w:r w:rsidRPr="001A4860">
        <w:rPr>
          <w:rFonts w:eastAsia="Times New Roman" w:cs="Times New Roman"/>
          <w:sz w:val="24"/>
          <w:szCs w:val="24"/>
          <w:lang w:eastAsia="sk-SK"/>
        </w:rPr>
        <w:t xml:space="preserve"> Skala vrátane tunela Višňové (84 845 tis. eur), D1 Hubová</w:t>
      </w:r>
      <w:r w:rsidR="0040034C">
        <w:rPr>
          <w:rFonts w:eastAsia="Times New Roman" w:cs="Times New Roman"/>
          <w:sz w:val="24"/>
          <w:szCs w:val="24"/>
          <w:lang w:eastAsia="sk-SK"/>
        </w:rPr>
        <w:t xml:space="preserve"> </w:t>
      </w:r>
      <w:r w:rsidRPr="001A4860">
        <w:rPr>
          <w:rFonts w:eastAsia="Times New Roman" w:cs="Times New Roman"/>
          <w:sz w:val="24"/>
          <w:szCs w:val="24"/>
          <w:lang w:eastAsia="sk-SK"/>
        </w:rPr>
        <w:t>–Ivachnová</w:t>
      </w:r>
      <w:r w:rsidR="0040034C">
        <w:rPr>
          <w:rFonts w:eastAsia="Times New Roman" w:cs="Times New Roman"/>
          <w:sz w:val="24"/>
          <w:szCs w:val="24"/>
          <w:lang w:eastAsia="sk-SK"/>
        </w:rPr>
        <w:t xml:space="preserve"> </w:t>
      </w:r>
      <w:r w:rsidRPr="001A4860">
        <w:rPr>
          <w:rFonts w:eastAsia="Times New Roman" w:cs="Times New Roman"/>
          <w:sz w:val="24"/>
          <w:szCs w:val="24"/>
          <w:lang w:eastAsia="sk-SK"/>
        </w:rPr>
        <w:t>(149 028 tis. eur), R2/1979 Kriváň</w:t>
      </w:r>
      <w:r w:rsidR="0040034C">
        <w:rPr>
          <w:rFonts w:eastAsia="Times New Roman" w:cs="Times New Roman"/>
          <w:sz w:val="24"/>
          <w:szCs w:val="24"/>
          <w:lang w:eastAsia="sk-SK"/>
        </w:rPr>
        <w:t xml:space="preserve"> - </w:t>
      </w:r>
      <w:r w:rsidRPr="001A4860">
        <w:rPr>
          <w:rFonts w:eastAsia="Times New Roman" w:cs="Times New Roman"/>
          <w:sz w:val="24"/>
          <w:szCs w:val="24"/>
          <w:lang w:eastAsia="sk-SK"/>
        </w:rPr>
        <w:t>Lovinobaňa (78</w:t>
      </w:r>
      <w:r w:rsidRPr="001A4860">
        <w:t> 456</w:t>
      </w:r>
      <w:r w:rsidRPr="001A4860">
        <w:rPr>
          <w:rFonts w:eastAsia="Times New Roman" w:cs="Times New Roman"/>
          <w:sz w:val="24"/>
          <w:szCs w:val="24"/>
          <w:lang w:eastAsia="sk-SK"/>
        </w:rPr>
        <w:t xml:space="preserve"> tis. eur), R2/1665 Šaca – Košické </w:t>
      </w:r>
      <w:proofErr w:type="spellStart"/>
      <w:r w:rsidRPr="001A4860">
        <w:rPr>
          <w:rFonts w:eastAsia="Times New Roman" w:cs="Times New Roman"/>
          <w:sz w:val="24"/>
          <w:szCs w:val="24"/>
          <w:lang w:eastAsia="sk-SK"/>
        </w:rPr>
        <w:t>Olšany</w:t>
      </w:r>
      <w:proofErr w:type="spellEnd"/>
      <w:r w:rsidRPr="001A4860">
        <w:rPr>
          <w:rFonts w:eastAsia="Times New Roman" w:cs="Times New Roman"/>
          <w:sz w:val="24"/>
          <w:szCs w:val="24"/>
          <w:lang w:eastAsia="sk-SK"/>
        </w:rPr>
        <w:t>, II. úsek (53 126 tis. eur) a R4</w:t>
      </w:r>
      <w:r w:rsidR="0040034C">
        <w:rPr>
          <w:rFonts w:eastAsia="Times New Roman" w:cs="Times New Roman"/>
          <w:sz w:val="24"/>
          <w:szCs w:val="24"/>
          <w:lang w:eastAsia="sk-SK"/>
        </w:rPr>
        <w:t xml:space="preserve"> </w:t>
      </w:r>
      <w:r w:rsidRPr="001A4860">
        <w:rPr>
          <w:rFonts w:eastAsia="Times New Roman" w:cs="Times New Roman"/>
          <w:sz w:val="24"/>
          <w:szCs w:val="24"/>
          <w:lang w:eastAsia="sk-SK"/>
        </w:rPr>
        <w:t>Prešov</w:t>
      </w:r>
      <w:r w:rsidR="0040034C">
        <w:rPr>
          <w:rFonts w:eastAsia="Times New Roman" w:cs="Times New Roman"/>
          <w:sz w:val="24"/>
          <w:szCs w:val="24"/>
          <w:lang w:eastAsia="sk-SK"/>
        </w:rPr>
        <w:t xml:space="preserve"> </w:t>
      </w:r>
      <w:r w:rsidRPr="001A4860">
        <w:rPr>
          <w:rFonts w:eastAsia="Times New Roman" w:cs="Times New Roman"/>
          <w:sz w:val="24"/>
          <w:szCs w:val="24"/>
          <w:lang w:eastAsia="sk-SK"/>
        </w:rPr>
        <w:t>–</w:t>
      </w:r>
      <w:r w:rsidR="0040034C">
        <w:rPr>
          <w:rFonts w:eastAsia="Times New Roman" w:cs="Times New Roman"/>
          <w:sz w:val="24"/>
          <w:szCs w:val="24"/>
          <w:lang w:eastAsia="sk-SK"/>
        </w:rPr>
        <w:t xml:space="preserve"> </w:t>
      </w:r>
      <w:r w:rsidRPr="001A4860">
        <w:rPr>
          <w:rFonts w:eastAsia="Times New Roman" w:cs="Times New Roman"/>
          <w:sz w:val="24"/>
          <w:szCs w:val="24"/>
          <w:lang w:eastAsia="sk-SK"/>
        </w:rPr>
        <w:t>severný obchvat I. etapa (48 826 tis. eur).</w:t>
      </w:r>
    </w:p>
    <w:p w14:paraId="59AAA674" w14:textId="77777777" w:rsidR="004C6700" w:rsidRPr="00DC615E" w:rsidRDefault="004C6700" w:rsidP="0040034C">
      <w:pPr>
        <w:spacing w:line="240" w:lineRule="auto"/>
        <w:rPr>
          <w:rFonts w:eastAsia="Times New Roman" w:cs="Times New Roman"/>
          <w:sz w:val="24"/>
          <w:szCs w:val="24"/>
          <w:lang w:eastAsia="sk-SK"/>
        </w:rPr>
      </w:pPr>
      <w:r w:rsidRPr="00DC615E">
        <w:rPr>
          <w:rFonts w:eastAsia="Times New Roman" w:cs="Times New Roman"/>
          <w:sz w:val="24"/>
          <w:szCs w:val="24"/>
          <w:lang w:eastAsia="sk-SK"/>
        </w:rPr>
        <w:t>Na ESA schodok vo výške 53 383 tis. eur pozitívne vplýval medziročný pokles záväzkov o 47 247 tis. eur eliminovaný medziročným poklesom pohľadávok o 9 892 tis. eur. Pohľadávky súvisiace s realizáciou elektronického mýta sa znížili o 8 453 tis. eur a za predaj staveniska voči zhotoviteľovi SKANSKA SK o 5 000 tis. eur, naopak pohľadávky súvisiace s úhradou poistenia majetku do budúceho obdobia vzrástli o 1 942 tis. Medziročný pokles záväzkov voči</w:t>
      </w:r>
      <w:r>
        <w:rPr>
          <w:rFonts w:eastAsia="Times New Roman" w:cs="Times New Roman"/>
          <w:sz w:val="24"/>
          <w:szCs w:val="24"/>
          <w:lang w:eastAsia="sk-SK"/>
        </w:rPr>
        <w:t xml:space="preserve"> dodávateľom</w:t>
      </w:r>
      <w:r w:rsidRPr="00DC615E">
        <w:rPr>
          <w:rFonts w:eastAsia="Times New Roman" w:cs="Times New Roman"/>
          <w:sz w:val="24"/>
          <w:szCs w:val="24"/>
          <w:lang w:eastAsia="sk-SK"/>
        </w:rPr>
        <w:t xml:space="preserve"> o 58 340 tis. eur z dôvodu úhrad faktúr ku koncu roka čiastočne eliminoval nárast ostatných záväzkov o 10 223 tis. eur z titulu vyčíslenia rozdielu medzi účtovnou a daňovou zostatkovou cenou dlhodobého majetku.</w:t>
      </w:r>
    </w:p>
    <w:p w14:paraId="02C090CD" w14:textId="51B55369" w:rsidR="004C6700" w:rsidRPr="00F33258" w:rsidRDefault="004C6700" w:rsidP="0040034C">
      <w:pPr>
        <w:spacing w:line="240" w:lineRule="auto"/>
        <w:rPr>
          <w:rFonts w:eastAsia="Times New Roman" w:cs="Times New Roman"/>
          <w:sz w:val="24"/>
          <w:szCs w:val="24"/>
          <w:lang w:eastAsia="sk-SK"/>
        </w:rPr>
      </w:pPr>
      <w:r w:rsidRPr="007B0EBD">
        <w:rPr>
          <w:rFonts w:cs="Times New Roman"/>
          <w:sz w:val="24"/>
          <w:szCs w:val="24"/>
        </w:rPr>
        <w:t xml:space="preserve">Výsledok hospodárenia </w:t>
      </w:r>
      <w:r w:rsidR="00B42188">
        <w:rPr>
          <w:rFonts w:cs="Times New Roman"/>
          <w:b/>
          <w:sz w:val="24"/>
          <w:szCs w:val="24"/>
        </w:rPr>
        <w:t xml:space="preserve">Železníc Slovenskej republiky </w:t>
      </w:r>
      <w:r w:rsidRPr="007B0EBD">
        <w:rPr>
          <w:rFonts w:cs="Times New Roman"/>
          <w:b/>
          <w:sz w:val="24"/>
          <w:szCs w:val="24"/>
        </w:rPr>
        <w:t>(ŽSR)</w:t>
      </w:r>
      <w:r w:rsidRPr="007B0EBD">
        <w:rPr>
          <w:rFonts w:cs="Times New Roman"/>
          <w:sz w:val="24"/>
          <w:szCs w:val="24"/>
        </w:rPr>
        <w:t xml:space="preserve"> odráža súčasnú ekonomickú situáciu spoločnosti. Hotovostný schodok vo výške 35 952 tis. eur prestavuje zhoršenie o 48 933 tis. eur oproti rozpočtovanému prebytku</w:t>
      </w:r>
      <w:r w:rsidR="00B42188">
        <w:rPr>
          <w:rFonts w:cs="Times New Roman"/>
          <w:sz w:val="24"/>
          <w:szCs w:val="24"/>
        </w:rPr>
        <w:t>, ktorý bol vo výške 12 981 tis. eur.</w:t>
      </w:r>
      <w:r>
        <w:rPr>
          <w:rFonts w:cs="Times New Roman"/>
          <w:sz w:val="24"/>
          <w:szCs w:val="24"/>
        </w:rPr>
        <w:t xml:space="preserve"> V porovnaní s rozpočtom vzrástli </w:t>
      </w:r>
      <w:r>
        <w:rPr>
          <w:rFonts w:eastAsia="Times New Roman" w:cs="Times New Roman"/>
          <w:sz w:val="24"/>
          <w:szCs w:val="24"/>
          <w:lang w:eastAsia="sk-SK"/>
        </w:rPr>
        <w:t xml:space="preserve">celkové </w:t>
      </w:r>
      <w:r w:rsidRPr="00F33258">
        <w:rPr>
          <w:rFonts w:eastAsia="Times New Roman" w:cs="Times New Roman"/>
          <w:sz w:val="24"/>
          <w:szCs w:val="24"/>
          <w:lang w:eastAsia="sk-SK"/>
        </w:rPr>
        <w:t>skutočné príjmy o</w:t>
      </w:r>
      <w:r>
        <w:rPr>
          <w:rFonts w:eastAsia="Times New Roman" w:cs="Times New Roman"/>
          <w:sz w:val="24"/>
          <w:szCs w:val="24"/>
          <w:lang w:eastAsia="sk-SK"/>
        </w:rPr>
        <w:t> 61 357 tis. eur a celkové skutočné výdavky o 110 290 tis. eur.</w:t>
      </w:r>
    </w:p>
    <w:p w14:paraId="307FC817" w14:textId="1D1F5C96" w:rsidR="004C6700" w:rsidRDefault="004C6700" w:rsidP="0040034C">
      <w:pPr>
        <w:spacing w:line="240" w:lineRule="auto"/>
        <w:rPr>
          <w:rFonts w:eastAsia="Times New Roman" w:cs="Times New Roman"/>
          <w:sz w:val="24"/>
          <w:szCs w:val="24"/>
          <w:lang w:eastAsia="sk-SK"/>
        </w:rPr>
      </w:pPr>
      <w:r w:rsidRPr="00116DA2">
        <w:rPr>
          <w:rFonts w:eastAsia="Times New Roman" w:cs="Times New Roman"/>
          <w:sz w:val="24"/>
          <w:szCs w:val="24"/>
          <w:lang w:eastAsia="sk-SK"/>
        </w:rPr>
        <w:t>Pod negatívne hospodárenie spoločnosti sa podpísal výpadok tržieb v dôsledku znížených cien za predaj trakčnej elektriny čiastočne eliminovaný zvý</w:t>
      </w:r>
      <w:r>
        <w:rPr>
          <w:rFonts w:eastAsia="Times New Roman" w:cs="Times New Roman"/>
          <w:sz w:val="24"/>
          <w:szCs w:val="24"/>
          <w:lang w:eastAsia="sk-SK"/>
        </w:rPr>
        <w:t>šenými príjmami od dopravcov za </w:t>
      </w:r>
      <w:r w:rsidRPr="00116DA2">
        <w:rPr>
          <w:rFonts w:eastAsia="Times New Roman" w:cs="Times New Roman"/>
          <w:sz w:val="24"/>
          <w:szCs w:val="24"/>
          <w:lang w:eastAsia="sk-SK"/>
        </w:rPr>
        <w:t>prístup k železničnej infraštruktúre, prijaté plnenia za poškodenie majetku ŽSR, vyššie príjmy z</w:t>
      </w:r>
      <w:r>
        <w:rPr>
          <w:rFonts w:eastAsia="Times New Roman" w:cs="Times New Roman"/>
          <w:sz w:val="24"/>
          <w:szCs w:val="24"/>
          <w:lang w:eastAsia="sk-SK"/>
        </w:rPr>
        <w:t> </w:t>
      </w:r>
      <w:r w:rsidRPr="00116DA2">
        <w:rPr>
          <w:rFonts w:eastAsia="Times New Roman" w:cs="Times New Roman"/>
          <w:sz w:val="24"/>
          <w:szCs w:val="24"/>
          <w:lang w:eastAsia="sk-SK"/>
        </w:rPr>
        <w:t>prenájmov a prijatý nadmerný odpočet DPH za predchádzajúce obdobie. ŽSR nezrealizovali predaj nehnuteľného majetku – 4-roch polikliník (</w:t>
      </w:r>
      <w:proofErr w:type="spellStart"/>
      <w:r w:rsidRPr="00116DA2">
        <w:rPr>
          <w:rFonts w:eastAsia="Times New Roman" w:cs="Times New Roman"/>
          <w:sz w:val="24"/>
          <w:szCs w:val="24"/>
          <w:lang w:eastAsia="sk-SK"/>
        </w:rPr>
        <w:t>ŽNsP</w:t>
      </w:r>
      <w:proofErr w:type="spellEnd"/>
      <w:r w:rsidRPr="00116DA2">
        <w:rPr>
          <w:rFonts w:eastAsia="Times New Roman" w:cs="Times New Roman"/>
          <w:sz w:val="24"/>
          <w:szCs w:val="24"/>
          <w:lang w:eastAsia="sk-SK"/>
        </w:rPr>
        <w:t xml:space="preserve"> Bratislava, ŽP Žilina, ŽP Zvolen a</w:t>
      </w:r>
      <w:r>
        <w:rPr>
          <w:rFonts w:eastAsia="Times New Roman" w:cs="Times New Roman"/>
          <w:sz w:val="24"/>
          <w:szCs w:val="24"/>
          <w:lang w:eastAsia="sk-SK"/>
        </w:rPr>
        <w:t> </w:t>
      </w:r>
      <w:r w:rsidRPr="00116DA2">
        <w:rPr>
          <w:rFonts w:eastAsia="Times New Roman" w:cs="Times New Roman"/>
          <w:sz w:val="24"/>
          <w:szCs w:val="24"/>
          <w:lang w:eastAsia="sk-SK"/>
        </w:rPr>
        <w:t>ŽP</w:t>
      </w:r>
      <w:r>
        <w:rPr>
          <w:rFonts w:eastAsia="Times New Roman" w:cs="Times New Roman"/>
          <w:sz w:val="24"/>
          <w:szCs w:val="24"/>
          <w:lang w:eastAsia="sk-SK"/>
        </w:rPr>
        <w:t> </w:t>
      </w:r>
      <w:r w:rsidRPr="00116DA2">
        <w:rPr>
          <w:rFonts w:eastAsia="Times New Roman" w:cs="Times New Roman"/>
          <w:sz w:val="24"/>
          <w:szCs w:val="24"/>
          <w:lang w:eastAsia="sk-SK"/>
        </w:rPr>
        <w:t>Košice) z dôvodu nízkeho záujmu o pre</w:t>
      </w:r>
      <w:r>
        <w:rPr>
          <w:rFonts w:eastAsia="Times New Roman" w:cs="Times New Roman"/>
          <w:sz w:val="24"/>
          <w:szCs w:val="24"/>
          <w:lang w:eastAsia="sk-SK"/>
        </w:rPr>
        <w:t>dmetné nehnuteľnosti čo malo za </w:t>
      </w:r>
      <w:r w:rsidRPr="00116DA2">
        <w:rPr>
          <w:rFonts w:eastAsia="Times New Roman" w:cs="Times New Roman"/>
          <w:sz w:val="24"/>
          <w:szCs w:val="24"/>
          <w:lang w:eastAsia="sk-SK"/>
        </w:rPr>
        <w:t>následok výpadok kapitálových príjmov na úrovni 33 514 tis. eur.</w:t>
      </w:r>
      <w:r>
        <w:rPr>
          <w:rFonts w:eastAsia="Times New Roman" w:cs="Times New Roman"/>
          <w:sz w:val="24"/>
          <w:szCs w:val="24"/>
          <w:lang w:eastAsia="sk-SK"/>
        </w:rPr>
        <w:t xml:space="preserve"> Pokles nedaňových príjmov </w:t>
      </w:r>
      <w:r w:rsidRPr="00116DA2">
        <w:rPr>
          <w:rFonts w:eastAsia="Times New Roman" w:cs="Times New Roman"/>
          <w:sz w:val="24"/>
          <w:szCs w:val="24"/>
          <w:lang w:eastAsia="sk-SK"/>
        </w:rPr>
        <w:t>o 65 552 tis. eur</w:t>
      </w:r>
      <w:r>
        <w:rPr>
          <w:rFonts w:eastAsia="Times New Roman" w:cs="Times New Roman"/>
          <w:sz w:val="24"/>
          <w:szCs w:val="24"/>
          <w:lang w:eastAsia="sk-SK"/>
        </w:rPr>
        <w:t xml:space="preserve"> bol kompenzovaný nárastom grantov a transferov, ktoré dosiahli úroveň 707 921 tis. eur (nárast oproti rozpočtu o 126 909 tis. eur). </w:t>
      </w:r>
    </w:p>
    <w:p w14:paraId="312BD601" w14:textId="4B828DC8" w:rsidR="004C6700" w:rsidRPr="00AE7223" w:rsidRDefault="004C6700" w:rsidP="0040034C">
      <w:pPr>
        <w:spacing w:line="240" w:lineRule="auto"/>
        <w:rPr>
          <w:rFonts w:eastAsia="Times New Roman" w:cs="Times New Roman"/>
          <w:sz w:val="24"/>
          <w:szCs w:val="24"/>
          <w:lang w:eastAsia="sk-SK"/>
        </w:rPr>
      </w:pPr>
      <w:r w:rsidRPr="001A5D94">
        <w:rPr>
          <w:rFonts w:eastAsia="Times New Roman" w:cs="Times New Roman"/>
          <w:sz w:val="24"/>
          <w:szCs w:val="24"/>
          <w:lang w:eastAsia="sk-SK"/>
        </w:rPr>
        <w:t>Pôvodne schválená dotácia vo výške 341 </w:t>
      </w:r>
      <w:r>
        <w:rPr>
          <w:rFonts w:eastAsia="Times New Roman" w:cs="Times New Roman"/>
          <w:sz w:val="24"/>
          <w:szCs w:val="24"/>
          <w:lang w:eastAsia="sk-SK"/>
        </w:rPr>
        <w:t>0</w:t>
      </w:r>
      <w:r w:rsidRPr="001A5D94">
        <w:rPr>
          <w:rFonts w:eastAsia="Times New Roman" w:cs="Times New Roman"/>
          <w:sz w:val="24"/>
          <w:szCs w:val="24"/>
          <w:lang w:eastAsia="sk-SK"/>
        </w:rPr>
        <w:t>00 tis. eur na prevádzkovanie železničnej infraštruktúry s prihliadnutím na nárasty cien energi</w:t>
      </w:r>
      <w:r w:rsidR="00B42188">
        <w:rPr>
          <w:rFonts w:eastAsia="Times New Roman" w:cs="Times New Roman"/>
          <w:sz w:val="24"/>
          <w:szCs w:val="24"/>
          <w:lang w:eastAsia="sk-SK"/>
        </w:rPr>
        <w:t>í</w:t>
      </w:r>
      <w:r w:rsidRPr="001A5D94">
        <w:rPr>
          <w:rFonts w:eastAsia="Times New Roman" w:cs="Times New Roman"/>
          <w:sz w:val="24"/>
          <w:szCs w:val="24"/>
          <w:lang w:eastAsia="sk-SK"/>
        </w:rPr>
        <w:t>, služieb, tovaru a práce bola navýšená o 7</w:t>
      </w:r>
      <w:r>
        <w:rPr>
          <w:rFonts w:eastAsia="Times New Roman" w:cs="Times New Roman"/>
          <w:sz w:val="24"/>
          <w:szCs w:val="24"/>
          <w:lang w:eastAsia="sk-SK"/>
        </w:rPr>
        <w:t>3</w:t>
      </w:r>
      <w:r w:rsidRPr="001A5D94">
        <w:rPr>
          <w:rFonts w:eastAsia="Times New Roman" w:cs="Times New Roman"/>
          <w:sz w:val="24"/>
          <w:szCs w:val="24"/>
          <w:lang w:eastAsia="sk-SK"/>
        </w:rPr>
        <w:t> </w:t>
      </w:r>
      <w:r>
        <w:rPr>
          <w:rFonts w:eastAsia="Times New Roman" w:cs="Times New Roman"/>
          <w:sz w:val="24"/>
          <w:szCs w:val="24"/>
          <w:lang w:eastAsia="sk-SK"/>
        </w:rPr>
        <w:t>627</w:t>
      </w:r>
      <w:r w:rsidRPr="001A5D94">
        <w:rPr>
          <w:rFonts w:eastAsia="Times New Roman" w:cs="Times New Roman"/>
          <w:sz w:val="24"/>
          <w:szCs w:val="24"/>
          <w:lang w:eastAsia="sk-SK"/>
        </w:rPr>
        <w:t xml:space="preserve"> tis. eur v zmysle dodatkov k Zmluve o prevádzkovaní železničnej infraštruktúry. Bežné transfery vzrástli aj vďaka prijatej </w:t>
      </w:r>
      <w:r>
        <w:rPr>
          <w:rFonts w:eastAsia="Times New Roman" w:cs="Times New Roman"/>
          <w:sz w:val="24"/>
          <w:szCs w:val="24"/>
          <w:lang w:eastAsia="sk-SK"/>
        </w:rPr>
        <w:t>d</w:t>
      </w:r>
      <w:r w:rsidRPr="001A5D94">
        <w:rPr>
          <w:rFonts w:eastAsia="Times New Roman" w:cs="Times New Roman"/>
          <w:sz w:val="24"/>
          <w:szCs w:val="24"/>
          <w:lang w:eastAsia="sk-SK"/>
        </w:rPr>
        <w:t>otáci</w:t>
      </w:r>
      <w:r>
        <w:rPr>
          <w:rFonts w:eastAsia="Times New Roman" w:cs="Times New Roman"/>
          <w:sz w:val="24"/>
          <w:szCs w:val="24"/>
          <w:lang w:eastAsia="sk-SK"/>
        </w:rPr>
        <w:t>i v rámci energetickej pomoci</w:t>
      </w:r>
      <w:r w:rsidRPr="001A5D94">
        <w:rPr>
          <w:rFonts w:eastAsia="Times New Roman" w:cs="Times New Roman"/>
          <w:sz w:val="24"/>
          <w:szCs w:val="24"/>
          <w:lang w:eastAsia="sk-SK"/>
        </w:rPr>
        <w:t xml:space="preserve"> v sume 1 767 tis. eur</w:t>
      </w:r>
      <w:r>
        <w:rPr>
          <w:rFonts w:eastAsia="Times New Roman" w:cs="Times New Roman"/>
          <w:sz w:val="24"/>
          <w:szCs w:val="24"/>
          <w:lang w:eastAsia="sk-SK"/>
        </w:rPr>
        <w:t xml:space="preserve"> na zmiernenie dopadov prebiehajúcej energetickej krízy a vysokých cien energií</w:t>
      </w:r>
      <w:r w:rsidRPr="001A5D94">
        <w:rPr>
          <w:rFonts w:eastAsia="Times New Roman" w:cs="Times New Roman"/>
          <w:sz w:val="24"/>
          <w:szCs w:val="24"/>
          <w:lang w:eastAsia="sk-SK"/>
        </w:rPr>
        <w:t xml:space="preserve">. </w:t>
      </w:r>
      <w:r w:rsidRPr="00814980">
        <w:rPr>
          <w:rFonts w:eastAsia="Times New Roman" w:cs="Times New Roman"/>
          <w:sz w:val="24"/>
          <w:szCs w:val="24"/>
          <w:lang w:eastAsia="sk-SK"/>
        </w:rPr>
        <w:t>Kapitálové transfery boli v roku 2023 rozpočtované na úrovni 210 731 tis. eur</w:t>
      </w:r>
      <w:r>
        <w:rPr>
          <w:rFonts w:eastAsia="Times New Roman" w:cs="Times New Roman"/>
          <w:sz w:val="24"/>
          <w:szCs w:val="24"/>
          <w:lang w:eastAsia="sk-SK"/>
        </w:rPr>
        <w:t xml:space="preserve"> </w:t>
      </w:r>
      <w:r w:rsidRPr="00A756F3">
        <w:rPr>
          <w:rFonts w:eastAsia="Times New Roman" w:cs="Times New Roman"/>
          <w:sz w:val="24"/>
          <w:szCs w:val="24"/>
          <w:lang w:eastAsia="sk-SK"/>
        </w:rPr>
        <w:t xml:space="preserve">na zabezpečenie financovania investičných akcií z Operačného programu integrované infraštruktúra (OPII). Skutočne prijaté prostriedky z OPPI boli o 14 407 tis. eur nižšie, boli však kompenzované transferom  z rozpočtovej kapitoly MD SR v sume 66 829 tis. eur. Prijaté zahraničné granty z nástroja EÚ na </w:t>
      </w:r>
      <w:r w:rsidRPr="00A756F3">
        <w:rPr>
          <w:rFonts w:eastAsia="Times New Roman" w:cs="Times New Roman"/>
          <w:sz w:val="24"/>
          <w:szCs w:val="24"/>
          <w:lang w:eastAsia="sk-SK"/>
        </w:rPr>
        <w:lastRenderedPageBreak/>
        <w:t xml:space="preserve">prepájanie Európy (CEF) </w:t>
      </w:r>
      <w:r w:rsidRPr="00A756F3">
        <w:rPr>
          <w:rFonts w:cs="Times New Roman"/>
          <w:sz w:val="24"/>
          <w:szCs w:val="24"/>
        </w:rPr>
        <w:t>boli oproti rozpočtu nižšie o </w:t>
      </w:r>
      <w:r>
        <w:rPr>
          <w:rFonts w:cs="Times New Roman"/>
          <w:sz w:val="24"/>
          <w:szCs w:val="24"/>
        </w:rPr>
        <w:t>907</w:t>
      </w:r>
      <w:r w:rsidRPr="00A756F3">
        <w:rPr>
          <w:rFonts w:cs="Times New Roman"/>
          <w:sz w:val="24"/>
          <w:szCs w:val="24"/>
        </w:rPr>
        <w:t> tis. eur. Značná časť prijatých zálohových platieb a</w:t>
      </w:r>
      <w:r w:rsidR="00DA486C">
        <w:rPr>
          <w:rFonts w:cs="Times New Roman"/>
          <w:sz w:val="24"/>
          <w:szCs w:val="24"/>
        </w:rPr>
        <w:t xml:space="preserve"> </w:t>
      </w:r>
      <w:r w:rsidRPr="00A756F3">
        <w:rPr>
          <w:rFonts w:cs="Times New Roman"/>
          <w:sz w:val="24"/>
          <w:szCs w:val="24"/>
        </w:rPr>
        <w:t xml:space="preserve">dotácií bola </w:t>
      </w:r>
      <w:r w:rsidRPr="00A756F3">
        <w:rPr>
          <w:rFonts w:eastAsia="Times New Roman" w:cs="Times New Roman"/>
          <w:sz w:val="24"/>
          <w:szCs w:val="24"/>
          <w:lang w:eastAsia="sk-SK"/>
        </w:rPr>
        <w:t>presunutá do nasledujúceho obdobia v nadväznosti na časový posun realizácie investičných projektov do ďalších rokov.</w:t>
      </w:r>
    </w:p>
    <w:p w14:paraId="79BD9EF4" w14:textId="6D0958AA" w:rsidR="004C6700" w:rsidRPr="00EF2225" w:rsidRDefault="004C6700" w:rsidP="0040034C">
      <w:pPr>
        <w:spacing w:line="240" w:lineRule="auto"/>
        <w:rPr>
          <w:rFonts w:eastAsia="Times New Roman" w:cs="Times New Roman"/>
          <w:sz w:val="24"/>
          <w:szCs w:val="24"/>
          <w:lang w:eastAsia="sk-SK"/>
        </w:rPr>
      </w:pPr>
      <w:r w:rsidRPr="00EF2225">
        <w:rPr>
          <w:rFonts w:eastAsia="Times New Roman" w:cs="Times New Roman"/>
          <w:sz w:val="24"/>
          <w:szCs w:val="24"/>
          <w:lang w:eastAsia="sk-SK"/>
        </w:rPr>
        <w:t>Bežné výdavky úhrnom poklesli o 10 856 tis. eur. V dôsledku nákupu elektrickej energie za</w:t>
      </w:r>
      <w:r>
        <w:rPr>
          <w:rFonts w:eastAsia="Times New Roman" w:cs="Times New Roman"/>
          <w:sz w:val="24"/>
          <w:szCs w:val="24"/>
          <w:lang w:eastAsia="sk-SK"/>
        </w:rPr>
        <w:t> </w:t>
      </w:r>
      <w:r w:rsidRPr="00EF2225">
        <w:rPr>
          <w:rFonts w:eastAsia="Times New Roman" w:cs="Times New Roman"/>
          <w:sz w:val="24"/>
          <w:szCs w:val="24"/>
          <w:lang w:eastAsia="sk-SK"/>
        </w:rPr>
        <w:t>nižšie dotované ceny a presunu časti rozpočtovaných výdavkov na osobné náklady a</w:t>
      </w:r>
      <w:r w:rsidR="00DA486C">
        <w:rPr>
          <w:rFonts w:eastAsia="Times New Roman" w:cs="Times New Roman"/>
          <w:sz w:val="24"/>
          <w:szCs w:val="24"/>
          <w:lang w:eastAsia="sk-SK"/>
        </w:rPr>
        <w:t xml:space="preserve"> </w:t>
      </w:r>
      <w:r w:rsidRPr="00EF2225">
        <w:rPr>
          <w:rFonts w:eastAsia="Times New Roman" w:cs="Times New Roman"/>
          <w:sz w:val="24"/>
          <w:szCs w:val="24"/>
          <w:lang w:eastAsia="sk-SK"/>
        </w:rPr>
        <w:t>s tým spojených odvodov</w:t>
      </w:r>
      <w:r>
        <w:rPr>
          <w:rFonts w:eastAsia="Times New Roman" w:cs="Times New Roman"/>
          <w:sz w:val="24"/>
          <w:szCs w:val="24"/>
          <w:lang w:eastAsia="sk-SK"/>
        </w:rPr>
        <w:t>, menšieho množstva opráv a drobných sanácií</w:t>
      </w:r>
      <w:r w:rsidR="00DA486C">
        <w:rPr>
          <w:rFonts w:eastAsia="Times New Roman" w:cs="Times New Roman"/>
          <w:sz w:val="24"/>
          <w:szCs w:val="24"/>
          <w:lang w:eastAsia="sk-SK"/>
        </w:rPr>
        <w:t xml:space="preserve"> </w:t>
      </w:r>
      <w:r w:rsidRPr="00EF2225">
        <w:rPr>
          <w:rFonts w:eastAsia="Times New Roman" w:cs="Times New Roman"/>
          <w:sz w:val="24"/>
          <w:szCs w:val="24"/>
          <w:lang w:eastAsia="sk-SK"/>
        </w:rPr>
        <w:t>sa výdavky na tovary a</w:t>
      </w:r>
      <w:r w:rsidR="00DA486C">
        <w:rPr>
          <w:rFonts w:eastAsia="Times New Roman" w:cs="Times New Roman"/>
          <w:sz w:val="24"/>
          <w:szCs w:val="24"/>
          <w:lang w:eastAsia="sk-SK"/>
        </w:rPr>
        <w:t xml:space="preserve"> </w:t>
      </w:r>
      <w:r w:rsidRPr="00EF2225">
        <w:rPr>
          <w:rFonts w:eastAsia="Times New Roman" w:cs="Times New Roman"/>
          <w:sz w:val="24"/>
          <w:szCs w:val="24"/>
          <w:lang w:eastAsia="sk-SK"/>
        </w:rPr>
        <w:t>služby čerpali o 61 660 tis. eur menej ako boli plánované. Zároveň však došlo k nárastu výdavkov na</w:t>
      </w:r>
      <w:r>
        <w:rPr>
          <w:rFonts w:eastAsia="Times New Roman" w:cs="Times New Roman"/>
          <w:sz w:val="24"/>
          <w:szCs w:val="24"/>
          <w:lang w:eastAsia="sk-SK"/>
        </w:rPr>
        <w:t> </w:t>
      </w:r>
      <w:r w:rsidRPr="00EF2225">
        <w:rPr>
          <w:rFonts w:eastAsia="Times New Roman" w:cs="Times New Roman"/>
          <w:sz w:val="24"/>
          <w:szCs w:val="24"/>
          <w:lang w:eastAsia="sk-SK"/>
        </w:rPr>
        <w:t>osobné náklady o 47 038 tis. eur v nadväznosti na nárast tarifných tried zamestnancov, príplatkov za prácu v neštandardnom čase</w:t>
      </w:r>
      <w:r>
        <w:rPr>
          <w:rFonts w:eastAsia="Times New Roman" w:cs="Times New Roman"/>
          <w:sz w:val="24"/>
          <w:szCs w:val="24"/>
          <w:lang w:eastAsia="sk-SK"/>
        </w:rPr>
        <w:t>, motivačných a náborových príplatkov</w:t>
      </w:r>
      <w:r w:rsidRPr="00EF2225">
        <w:rPr>
          <w:rFonts w:eastAsia="Times New Roman" w:cs="Times New Roman"/>
          <w:sz w:val="24"/>
          <w:szCs w:val="24"/>
          <w:lang w:eastAsia="sk-SK"/>
        </w:rPr>
        <w:t xml:space="preserve"> v súlade s kolektívnym </w:t>
      </w:r>
      <w:r>
        <w:rPr>
          <w:rFonts w:eastAsia="Times New Roman" w:cs="Times New Roman"/>
          <w:sz w:val="24"/>
          <w:szCs w:val="24"/>
          <w:lang w:eastAsia="sk-SK"/>
        </w:rPr>
        <w:t>vyjednávaním. Mierne vzrástli aj výdavky na bežné transfery z titulu vyplatenia odchodného z dôvodu nárastu počtu odchodov do starobných dôchodkov a predčasných starobných dôchodkov (o 2 823 tis. eur).</w:t>
      </w:r>
    </w:p>
    <w:p w14:paraId="7A87F87D" w14:textId="77777777" w:rsidR="004C6700" w:rsidRPr="00A12728" w:rsidRDefault="004C6700" w:rsidP="0040034C">
      <w:pPr>
        <w:spacing w:line="240" w:lineRule="auto"/>
        <w:rPr>
          <w:rFonts w:eastAsia="Times New Roman" w:cs="Times New Roman"/>
          <w:sz w:val="24"/>
          <w:szCs w:val="24"/>
          <w:lang w:eastAsia="sk-SK"/>
        </w:rPr>
      </w:pPr>
      <w:r w:rsidRPr="00A12728">
        <w:rPr>
          <w:rFonts w:eastAsia="Times New Roman" w:cs="Times New Roman"/>
          <w:sz w:val="24"/>
          <w:szCs w:val="24"/>
          <w:lang w:eastAsia="sk-SK"/>
        </w:rPr>
        <w:t>V nadväznosti na výšku prijatých grantov a transferov</w:t>
      </w:r>
      <w:r>
        <w:rPr>
          <w:rFonts w:eastAsia="Times New Roman" w:cs="Times New Roman"/>
          <w:sz w:val="24"/>
          <w:szCs w:val="24"/>
          <w:lang w:eastAsia="sk-SK"/>
        </w:rPr>
        <w:t xml:space="preserve"> boli čerpané vyššie výdavky na </w:t>
      </w:r>
      <w:r w:rsidRPr="00A12728">
        <w:rPr>
          <w:rFonts w:eastAsia="Times New Roman" w:cs="Times New Roman"/>
          <w:sz w:val="24"/>
          <w:szCs w:val="24"/>
          <w:lang w:eastAsia="sk-SK"/>
        </w:rPr>
        <w:t>obstaranie kapitálových aktív aj z dôvodu uvoľnených finančných prostriedkov, ktoré boli v zmysle §8</w:t>
      </w:r>
      <w:r>
        <w:rPr>
          <w:rFonts w:eastAsia="Times New Roman" w:cs="Times New Roman"/>
          <w:sz w:val="24"/>
          <w:szCs w:val="24"/>
          <w:lang w:eastAsia="sk-SK"/>
        </w:rPr>
        <w:t> </w:t>
      </w:r>
      <w:r w:rsidRPr="00A12728">
        <w:rPr>
          <w:rFonts w:eastAsia="Times New Roman" w:cs="Times New Roman"/>
          <w:sz w:val="24"/>
          <w:szCs w:val="24"/>
          <w:lang w:eastAsia="sk-SK"/>
        </w:rPr>
        <w:t>zákona o rozpočtových pravidlách viazané v predchádzajúcom roku na použitie výdavkov do</w:t>
      </w:r>
      <w:r>
        <w:rPr>
          <w:rFonts w:eastAsia="Times New Roman" w:cs="Times New Roman"/>
          <w:sz w:val="24"/>
          <w:szCs w:val="24"/>
          <w:lang w:eastAsia="sk-SK"/>
        </w:rPr>
        <w:t> </w:t>
      </w:r>
      <w:r w:rsidRPr="00A12728">
        <w:rPr>
          <w:rFonts w:eastAsia="Times New Roman" w:cs="Times New Roman"/>
          <w:sz w:val="24"/>
          <w:szCs w:val="24"/>
          <w:lang w:eastAsia="sk-SK"/>
        </w:rPr>
        <w:t xml:space="preserve">nasledujúcich rokov v nadväznosti na časový posun realizácie investičných projektov. </w:t>
      </w:r>
    </w:p>
    <w:p w14:paraId="4D54CB5F" w14:textId="333C6B67" w:rsidR="004C6700" w:rsidRDefault="004C6700" w:rsidP="0040034C">
      <w:pPr>
        <w:spacing w:line="240" w:lineRule="auto"/>
        <w:rPr>
          <w:sz w:val="24"/>
          <w:szCs w:val="24"/>
        </w:rPr>
      </w:pPr>
      <w:r w:rsidRPr="00A12728">
        <w:rPr>
          <w:rFonts w:eastAsia="Times New Roman" w:cs="Times New Roman"/>
          <w:sz w:val="24"/>
          <w:szCs w:val="24"/>
          <w:lang w:eastAsia="sk-SK"/>
        </w:rPr>
        <w:t xml:space="preserve">Výdavky na obstaranie kapitálových aktív dosiahli výšku 390 177 tis. eur, čo prestavovalo nárast </w:t>
      </w:r>
      <w:r w:rsidRPr="00736F8E">
        <w:rPr>
          <w:rFonts w:eastAsia="Times New Roman" w:cs="Times New Roman"/>
          <w:sz w:val="24"/>
          <w:szCs w:val="24"/>
          <w:lang w:eastAsia="sk-SK"/>
        </w:rPr>
        <w:t xml:space="preserve">o 121 146 tis. eur oproti rozpočtu. Spoločnosť v roku 2023 </w:t>
      </w:r>
      <w:r w:rsidRPr="00736F8E">
        <w:rPr>
          <w:sz w:val="24"/>
          <w:szCs w:val="24"/>
        </w:rPr>
        <w:t xml:space="preserve">pokračovala v realizácii významných stavieb hradených z prostriedkov EÚ na projekty OPII </w:t>
      </w:r>
      <w:r w:rsidRPr="00A231F4">
        <w:rPr>
          <w:rFonts w:eastAsia="Times New Roman" w:cs="Times New Roman"/>
          <w:sz w:val="24"/>
          <w:szCs w:val="24"/>
          <w:lang w:eastAsia="sk-SK"/>
        </w:rPr>
        <w:t>vo výške 210 731 tis. eur, z prostriedkov</w:t>
      </w:r>
      <w:r w:rsidRPr="00736F8E">
        <w:rPr>
          <w:sz w:val="24"/>
          <w:szCs w:val="24"/>
        </w:rPr>
        <w:t xml:space="preserve"> </w:t>
      </w:r>
      <w:r w:rsidRPr="00736F8E">
        <w:rPr>
          <w:rFonts w:eastAsia="Times New Roman" w:cs="Times New Roman"/>
          <w:sz w:val="24"/>
          <w:szCs w:val="24"/>
          <w:lang w:eastAsia="sk-SK"/>
        </w:rPr>
        <w:t>z programu CEF 27 874 tis. eur a z ostatných zdrojov</w:t>
      </w:r>
      <w:r w:rsidRPr="00736F8E">
        <w:rPr>
          <w:sz w:val="24"/>
          <w:szCs w:val="24"/>
        </w:rPr>
        <w:t xml:space="preserve">. </w:t>
      </w:r>
      <w:r>
        <w:rPr>
          <w:sz w:val="24"/>
          <w:szCs w:val="24"/>
        </w:rPr>
        <w:t xml:space="preserve">Zvýšené </w:t>
      </w:r>
      <w:r w:rsidRPr="00736F8E">
        <w:rPr>
          <w:sz w:val="24"/>
          <w:szCs w:val="24"/>
        </w:rPr>
        <w:t>finančné prostr</w:t>
      </w:r>
      <w:r>
        <w:rPr>
          <w:sz w:val="24"/>
          <w:szCs w:val="24"/>
        </w:rPr>
        <w:t>iedky sa čerpali</w:t>
      </w:r>
      <w:r w:rsidRPr="00736F8E">
        <w:rPr>
          <w:sz w:val="24"/>
          <w:szCs w:val="24"/>
        </w:rPr>
        <w:t xml:space="preserve"> na rozvoj a modernizáciu ŽI a SZ s MD SR </w:t>
      </w:r>
      <w:r>
        <w:rPr>
          <w:sz w:val="24"/>
          <w:szCs w:val="24"/>
        </w:rPr>
        <w:t>(zvýšenie o</w:t>
      </w:r>
      <w:r w:rsidRPr="00736F8E">
        <w:rPr>
          <w:sz w:val="24"/>
          <w:szCs w:val="24"/>
        </w:rPr>
        <w:t> 66 829 tis. eur na</w:t>
      </w:r>
      <w:r>
        <w:rPr>
          <w:sz w:val="24"/>
          <w:szCs w:val="24"/>
        </w:rPr>
        <w:t> </w:t>
      </w:r>
      <w:r w:rsidRPr="00736F8E">
        <w:rPr>
          <w:sz w:val="24"/>
          <w:szCs w:val="24"/>
        </w:rPr>
        <w:t>základe uzatvorenej Čiastkovej zmluvy v nadväznosti na prijatý kapitálový transfer</w:t>
      </w:r>
      <w:r>
        <w:rPr>
          <w:sz w:val="24"/>
          <w:szCs w:val="24"/>
        </w:rPr>
        <w:t>)</w:t>
      </w:r>
      <w:r w:rsidRPr="00736F8E">
        <w:rPr>
          <w:sz w:val="24"/>
          <w:szCs w:val="24"/>
        </w:rPr>
        <w:t xml:space="preserve">, vyššie výdavky na projekty CEF za časť EÚ hradené z prijatej zálohy od CINEA o 11 562 tis. eur, vyššie výdavky z vlastných zdrojov o 56 888 tis. eur, najmä z titulu dočasných úhrad končiacich projektov z OPII, úhrad projektov CEF za časť EÚ a úhrad projektov POO, ktoré budú </w:t>
      </w:r>
      <w:proofErr w:type="spellStart"/>
      <w:r w:rsidRPr="00736F8E">
        <w:rPr>
          <w:sz w:val="24"/>
          <w:szCs w:val="24"/>
        </w:rPr>
        <w:t>zazmluvnené</w:t>
      </w:r>
      <w:proofErr w:type="spellEnd"/>
      <w:r w:rsidRPr="00736F8E">
        <w:rPr>
          <w:sz w:val="24"/>
          <w:szCs w:val="24"/>
        </w:rPr>
        <w:t xml:space="preserve"> a refundované v roku 2024.</w:t>
      </w:r>
      <w:r>
        <w:rPr>
          <w:sz w:val="24"/>
          <w:szCs w:val="24"/>
        </w:rPr>
        <w:t xml:space="preserve"> Najviac výdavkov bolo alokovaných v rámci modernizácie, rekonštrukcie a</w:t>
      </w:r>
      <w:r w:rsidR="0040034C">
        <w:rPr>
          <w:sz w:val="24"/>
          <w:szCs w:val="24"/>
        </w:rPr>
        <w:t xml:space="preserve"> </w:t>
      </w:r>
      <w:r>
        <w:rPr>
          <w:sz w:val="24"/>
          <w:szCs w:val="24"/>
        </w:rPr>
        <w:t>výstavby železničnej infraštruktúry (329 260 tis. eur), na bezpečnosť prevádzky (15 986 tis. eur), na skvalitňovanie služieb pre železničné podniky(13</w:t>
      </w:r>
      <w:r w:rsidR="0040034C">
        <w:rPr>
          <w:sz w:val="24"/>
          <w:szCs w:val="24"/>
        </w:rPr>
        <w:t xml:space="preserve"> 425 tis. eur) a </w:t>
      </w:r>
      <w:r>
        <w:rPr>
          <w:sz w:val="24"/>
          <w:szCs w:val="24"/>
        </w:rPr>
        <w:t xml:space="preserve">iné. Medzi najvýznamnejšie investičné akcie realizované z vlastných a úverových zdrojov patrí obstaranie diagnostického vozidla pre meranie geometrickej polohy koľaje v hodnote 11 249 tis. eur. </w:t>
      </w:r>
    </w:p>
    <w:p w14:paraId="490ACE02" w14:textId="77777777" w:rsidR="004C6700" w:rsidRPr="001A1EB5" w:rsidRDefault="004C6700" w:rsidP="0040034C">
      <w:pPr>
        <w:spacing w:line="240" w:lineRule="auto"/>
        <w:rPr>
          <w:sz w:val="24"/>
          <w:szCs w:val="24"/>
        </w:rPr>
      </w:pPr>
      <w:r w:rsidRPr="001A1EB5">
        <w:rPr>
          <w:sz w:val="24"/>
          <w:szCs w:val="24"/>
        </w:rPr>
        <w:t xml:space="preserve">V rámci operačného programu Integrovaná infraštruktúra boli poskytnuté finančné prostriedky v celkovej výške 196 346 tis. eur, a to na projekty Dostavba zriaďovacej stanice Žilina - Teplička a nadväzujúcej železničnej infraštruktúry v uzle Žilina, I. etapa (61 816 tis. eur), modernizácia koľaje č. 1 a č. 2 ŽST Trnovec nad Váhom - ŽST Tvrdošovce (32 379 tis. eur), modernizácia koľaje č. 1 a č. 2 ŽST Nové Zámky - ŽST Palárikovo, (22 959 tis. eur), elektrifikácia trate Haniska pri Košiciach - Moldava nad Bodvou (22 443 tis. eur), modernizácia železničnej trate Púchov-Žilina pre traťovú rýchlosť do 160 km/hod (19 863 tis. eur). V rámci ŠR boli poskytnuté finančné prostriedky v celkovej sume 66 829 tis. eur. V rámci Nástroja na prepájanie Európy (CEF) boli výdavky za časť EÚ čerpané hlavne na modernizáciu železničného úseku Váh - Varín - Strečno (13 611 tis. eur), Modernizácia železničnej trate Žilina – Košice, úsek Liptovský Mikuláš – Poprad Tatry, 1.etapa (7 867 tis. eur). </w:t>
      </w:r>
    </w:p>
    <w:p w14:paraId="3E8DFC0B" w14:textId="77777777" w:rsidR="004C6700" w:rsidRPr="00493E02" w:rsidRDefault="004C6700" w:rsidP="004C6700">
      <w:pPr>
        <w:spacing w:before="120" w:after="0" w:line="240" w:lineRule="auto"/>
        <w:rPr>
          <w:rFonts w:cs="Times New Roman"/>
          <w:sz w:val="24"/>
          <w:szCs w:val="24"/>
        </w:rPr>
      </w:pPr>
      <w:r w:rsidRPr="00493E02">
        <w:rPr>
          <w:rFonts w:cs="Times New Roman"/>
          <w:sz w:val="24"/>
          <w:szCs w:val="24"/>
        </w:rPr>
        <w:t>Na dosiahnutý ESA schodok vo výške 33 092 tis. eur mal pozitívny vplyv medziročný nárast pohľadávok o 1 997 tis. eur a pokles záväzkov o 863 tis. eur. Ostatné pohľadávky sa zvýšili z</w:t>
      </w:r>
      <w:r>
        <w:rPr>
          <w:rFonts w:cs="Times New Roman"/>
          <w:sz w:val="24"/>
          <w:szCs w:val="24"/>
        </w:rPr>
        <w:t> </w:t>
      </w:r>
      <w:r w:rsidRPr="00493E02">
        <w:rPr>
          <w:rFonts w:cs="Times New Roman"/>
          <w:sz w:val="24"/>
          <w:szCs w:val="24"/>
        </w:rPr>
        <w:t>dôvodu prijatých dobropisov za vyúčtovanie elektriny. Tento priaznivý vývoj čiastočne eliminoval pokles daňových pohľadávok z dôvodu nižšieho predpisu nadmerného odpočtu DPH za obdobie december 2023 oproti predchádzajúcemu obdobiu.</w:t>
      </w:r>
    </w:p>
    <w:p w14:paraId="680AF940" w14:textId="7316674D" w:rsidR="004C6700" w:rsidRPr="00493E02" w:rsidRDefault="004C6700" w:rsidP="004C6700">
      <w:pPr>
        <w:spacing w:before="120" w:after="0" w:line="240" w:lineRule="auto"/>
        <w:rPr>
          <w:rFonts w:cs="Times New Roman"/>
          <w:sz w:val="24"/>
          <w:szCs w:val="24"/>
        </w:rPr>
      </w:pPr>
      <w:r w:rsidRPr="00493E02">
        <w:rPr>
          <w:rFonts w:cs="Times New Roman"/>
          <w:sz w:val="24"/>
          <w:szCs w:val="24"/>
        </w:rPr>
        <w:t xml:space="preserve">Významný vplyv na medziročné zníženie záväzkov o sumu 2 418 tis. eur malo vysporiadanie prijatých preddavkov za predaj majetku (pozemky a stavby). Celkovú pozitívnu medziročnú </w:t>
      </w:r>
      <w:r w:rsidRPr="00493E02">
        <w:rPr>
          <w:rFonts w:cs="Times New Roman"/>
          <w:sz w:val="24"/>
          <w:szCs w:val="24"/>
        </w:rPr>
        <w:lastRenderedPageBreak/>
        <w:t>zmenu záväzkov spoločnosti negatívne ovplyvnil nárast ostatných záväzkov o sumu 1 444 tis. eur z titulu pre</w:t>
      </w:r>
      <w:r w:rsidR="007640FA">
        <w:rPr>
          <w:rFonts w:cs="Times New Roman"/>
          <w:sz w:val="24"/>
          <w:szCs w:val="24"/>
        </w:rPr>
        <w:t>d</w:t>
      </w:r>
      <w:r w:rsidRPr="00493E02">
        <w:rPr>
          <w:rFonts w:cs="Times New Roman"/>
          <w:sz w:val="24"/>
          <w:szCs w:val="24"/>
        </w:rPr>
        <w:t>písania odberateľských dobropisov za rok 2023.</w:t>
      </w:r>
    </w:p>
    <w:p w14:paraId="0809027E" w14:textId="7EB4652E" w:rsidR="004C6700" w:rsidRPr="005C27F6" w:rsidRDefault="004C6700" w:rsidP="004C6700">
      <w:pPr>
        <w:spacing w:before="120" w:line="240" w:lineRule="auto"/>
        <w:rPr>
          <w:rFonts w:cs="Times New Roman"/>
          <w:sz w:val="24"/>
          <w:szCs w:val="24"/>
        </w:rPr>
      </w:pPr>
      <w:r w:rsidRPr="009946A0">
        <w:rPr>
          <w:rFonts w:cs="Times New Roman"/>
          <w:b/>
          <w:sz w:val="24"/>
          <w:szCs w:val="24"/>
        </w:rPr>
        <w:t xml:space="preserve">Železničná spoločnosť Slovensko, </w:t>
      </w:r>
      <w:proofErr w:type="spellStart"/>
      <w:r w:rsidRPr="009946A0">
        <w:rPr>
          <w:rFonts w:cs="Times New Roman"/>
          <w:b/>
          <w:sz w:val="24"/>
          <w:szCs w:val="24"/>
        </w:rPr>
        <w:t>a.s</w:t>
      </w:r>
      <w:proofErr w:type="spellEnd"/>
      <w:r w:rsidRPr="009946A0">
        <w:rPr>
          <w:rFonts w:cs="Times New Roman"/>
          <w:b/>
          <w:sz w:val="24"/>
          <w:szCs w:val="24"/>
        </w:rPr>
        <w:t>. (ZSSK)</w:t>
      </w:r>
      <w:r w:rsidRPr="009946A0">
        <w:rPr>
          <w:rFonts w:cs="Times New Roman"/>
          <w:sz w:val="24"/>
          <w:szCs w:val="24"/>
        </w:rPr>
        <w:t xml:space="preserve"> v roku 2023 dosiahla hotovostný schodok vo</w:t>
      </w:r>
      <w:r>
        <w:rPr>
          <w:rFonts w:cs="Times New Roman"/>
          <w:sz w:val="24"/>
          <w:szCs w:val="24"/>
        </w:rPr>
        <w:t> </w:t>
      </w:r>
      <w:r w:rsidRPr="009946A0">
        <w:rPr>
          <w:rFonts w:cs="Times New Roman"/>
          <w:sz w:val="24"/>
          <w:szCs w:val="24"/>
        </w:rPr>
        <w:t>výške 4 997 tis. eur, čo predstavuje zhoršenie o 18 541 tis. eur oproti rozpočtovanému prebytku. Významný vplyv na zhoršenie oproti rozpočtu mal nárast výdavkov a nenaplnenie príjmov.</w:t>
      </w:r>
      <w:r>
        <w:rPr>
          <w:rFonts w:cs="Times New Roman"/>
          <w:sz w:val="24"/>
          <w:szCs w:val="24"/>
        </w:rPr>
        <w:t xml:space="preserve"> K výpadku kapitálových príjmoch o 40 607 tis. eur došlo v dôsledku posunu predaja zmodernizovaných pracovísk technicko-hygienickej údržby železničných koľajových vozidiel vo Zvolene, Nových Zámkoch a Humennom do roku 2024. Výpadok je čiastočne kompenzovaný nárastom príjmov z administratívnych a iných poplatkov o 16 754 tis. eur a to najmä tržby z prepravy cestujúcich a tiež príjmy z aktivít do externého prostredia a nárastom iných nedaň</w:t>
      </w:r>
      <w:r w:rsidR="00BE4C99">
        <w:rPr>
          <w:rFonts w:cs="Times New Roman"/>
          <w:sz w:val="24"/>
          <w:szCs w:val="24"/>
        </w:rPr>
        <w:t>ových príjmov o 5 797 tis. eur. Rozdiel je spôsobený vyššou</w:t>
      </w:r>
      <w:r>
        <w:rPr>
          <w:rFonts w:cs="Times New Roman"/>
          <w:sz w:val="24"/>
          <w:szCs w:val="24"/>
        </w:rPr>
        <w:t xml:space="preserve"> vratk</w:t>
      </w:r>
      <w:r w:rsidR="00BE4C99">
        <w:rPr>
          <w:rFonts w:cs="Times New Roman"/>
          <w:sz w:val="24"/>
          <w:szCs w:val="24"/>
        </w:rPr>
        <w:t>ou DPH za predchádzajúci rok (17 076 tis. eur) ako bol plánový limit rozpočtu (11 279 tis. eur).</w:t>
      </w:r>
    </w:p>
    <w:p w14:paraId="5CB14103" w14:textId="77777777" w:rsidR="004C6700" w:rsidRPr="00D71A8F" w:rsidRDefault="004C6700" w:rsidP="00691349">
      <w:pPr>
        <w:spacing w:line="240" w:lineRule="auto"/>
        <w:rPr>
          <w:rFonts w:cs="Times New Roman"/>
          <w:sz w:val="24"/>
          <w:szCs w:val="24"/>
        </w:rPr>
      </w:pPr>
      <w:r w:rsidRPr="00D71A8F">
        <w:rPr>
          <w:rFonts w:cs="Times New Roman"/>
          <w:sz w:val="24"/>
          <w:szCs w:val="24"/>
        </w:rPr>
        <w:t>ZSSK vzrástli celkové granty a transfery úhrnom o 213 475 tis. eur oproti plánovaným. V rámci bežných transferov vykazuje</w:t>
      </w:r>
      <w:r>
        <w:rPr>
          <w:rFonts w:cs="Times New Roman"/>
          <w:sz w:val="24"/>
          <w:szCs w:val="24"/>
        </w:rPr>
        <w:t xml:space="preserve"> spoločnosť</w:t>
      </w:r>
      <w:r w:rsidRPr="00D71A8F">
        <w:rPr>
          <w:rFonts w:cs="Times New Roman"/>
          <w:sz w:val="24"/>
          <w:szCs w:val="24"/>
        </w:rPr>
        <w:t xml:space="preserve"> skutočné príjmy za dopravné služby vo</w:t>
      </w:r>
      <w:r>
        <w:rPr>
          <w:rFonts w:cs="Times New Roman"/>
          <w:sz w:val="24"/>
          <w:szCs w:val="24"/>
        </w:rPr>
        <w:t> </w:t>
      </w:r>
      <w:r w:rsidRPr="00D71A8F">
        <w:rPr>
          <w:rFonts w:cs="Times New Roman"/>
          <w:sz w:val="24"/>
          <w:szCs w:val="24"/>
        </w:rPr>
        <w:t xml:space="preserve">verejnom záujme zo ŠR v sume 412 239 tis. eur, príjmy z kapitálových grantov a transferov v sume 255 420 tis. eur a príjmy zo zahraničných grantov v sume 39 tis. eur. </w:t>
      </w:r>
    </w:p>
    <w:p w14:paraId="1717F47F" w14:textId="77777777" w:rsidR="004C6700" w:rsidRPr="00092ACB" w:rsidRDefault="004C6700" w:rsidP="00691349">
      <w:pPr>
        <w:spacing w:line="240" w:lineRule="auto"/>
        <w:rPr>
          <w:rFonts w:cs="Times New Roman"/>
          <w:sz w:val="24"/>
          <w:szCs w:val="24"/>
          <w:highlight w:val="yellow"/>
        </w:rPr>
      </w:pPr>
      <w:r w:rsidRPr="00803EEB">
        <w:rPr>
          <w:rFonts w:cs="Times New Roman"/>
          <w:sz w:val="24"/>
          <w:szCs w:val="24"/>
        </w:rPr>
        <w:t>Prijaté kapitálové transfery zo štrukturálnych fondov a spolufinancovania ŠR</w:t>
      </w:r>
      <w:r>
        <w:rPr>
          <w:rFonts w:cs="Times New Roman"/>
          <w:sz w:val="24"/>
          <w:szCs w:val="24"/>
        </w:rPr>
        <w:t xml:space="preserve"> a zahraničné granty</w:t>
      </w:r>
      <w:r w:rsidRPr="00803EEB">
        <w:rPr>
          <w:rFonts w:cs="Times New Roman"/>
          <w:sz w:val="24"/>
          <w:szCs w:val="24"/>
        </w:rPr>
        <w:t xml:space="preserve"> vzrástli o 153 </w:t>
      </w:r>
      <w:r>
        <w:rPr>
          <w:rFonts w:cs="Times New Roman"/>
          <w:sz w:val="24"/>
          <w:szCs w:val="24"/>
        </w:rPr>
        <w:t>236</w:t>
      </w:r>
      <w:r w:rsidRPr="00803EEB">
        <w:rPr>
          <w:rFonts w:cs="Times New Roman"/>
          <w:sz w:val="24"/>
          <w:szCs w:val="24"/>
        </w:rPr>
        <w:t> tis. eur, najmä z dôvodu ukončenia časti EU projektov</w:t>
      </w:r>
      <w:r>
        <w:rPr>
          <w:rFonts w:cs="Times New Roman"/>
          <w:sz w:val="24"/>
          <w:szCs w:val="24"/>
        </w:rPr>
        <w:t xml:space="preserve"> a tiež úhrady záväzkov za projekty z rokov 2021 a 2022</w:t>
      </w:r>
      <w:r w:rsidRPr="00803EEB">
        <w:rPr>
          <w:rFonts w:cs="Times New Roman"/>
          <w:sz w:val="24"/>
          <w:szCs w:val="24"/>
        </w:rPr>
        <w:t>. Zároveň bola časť finančných prostriedkov viazaná v zmysle §8 zákona o rozpočtových pravidlách na použitie výdavkov do nasledujúceho obdobia v</w:t>
      </w:r>
      <w:r>
        <w:rPr>
          <w:rFonts w:cs="Times New Roman"/>
          <w:sz w:val="24"/>
          <w:szCs w:val="24"/>
        </w:rPr>
        <w:t> </w:t>
      </w:r>
      <w:r w:rsidRPr="00803EEB">
        <w:rPr>
          <w:rFonts w:cs="Times New Roman"/>
          <w:sz w:val="24"/>
          <w:szCs w:val="24"/>
        </w:rPr>
        <w:t>nadväznosti na časový posun realizácie investičných projektov</w:t>
      </w:r>
      <w:r w:rsidRPr="00092ACB">
        <w:rPr>
          <w:rFonts w:cs="Times New Roman"/>
          <w:sz w:val="24"/>
          <w:szCs w:val="24"/>
          <w:highlight w:val="yellow"/>
        </w:rPr>
        <w:t xml:space="preserve"> </w:t>
      </w:r>
    </w:p>
    <w:p w14:paraId="0D0B6EE7" w14:textId="35599A8E" w:rsidR="004C6700" w:rsidRPr="00882DC9" w:rsidRDefault="004C6700" w:rsidP="00691349">
      <w:pPr>
        <w:spacing w:line="240" w:lineRule="auto"/>
        <w:rPr>
          <w:rFonts w:cs="Times New Roman"/>
          <w:sz w:val="24"/>
          <w:szCs w:val="24"/>
        </w:rPr>
      </w:pPr>
      <w:r w:rsidRPr="00882DC9">
        <w:rPr>
          <w:rFonts w:cs="Times New Roman"/>
          <w:sz w:val="24"/>
          <w:szCs w:val="24"/>
        </w:rPr>
        <w:t>Celkové skutočné výdavky boli o 214 949 tis. eur vyššie ako rozpočtované. Bežné výdavky sa zvýšili o 18 154 tis. eur, výdavky na obstaranie kapitálových aktív zaznamenali nárast až</w:t>
      </w:r>
      <w:r w:rsidR="00DA486C">
        <w:rPr>
          <w:rFonts w:cs="Times New Roman"/>
          <w:sz w:val="24"/>
          <w:szCs w:val="24"/>
        </w:rPr>
        <w:t xml:space="preserve"> </w:t>
      </w:r>
      <w:r w:rsidRPr="00882DC9">
        <w:rPr>
          <w:rFonts w:cs="Times New Roman"/>
          <w:sz w:val="24"/>
          <w:szCs w:val="24"/>
        </w:rPr>
        <w:t>o 196 795 tis. eur oproti plánovaným.</w:t>
      </w:r>
    </w:p>
    <w:p w14:paraId="0AAA4154" w14:textId="41C1E8B3" w:rsidR="004C6700" w:rsidRPr="00882DC9" w:rsidRDefault="004C6700" w:rsidP="00691349">
      <w:pPr>
        <w:spacing w:line="240" w:lineRule="auto"/>
        <w:rPr>
          <w:rFonts w:cs="Times New Roman"/>
          <w:sz w:val="24"/>
          <w:szCs w:val="24"/>
        </w:rPr>
      </w:pPr>
      <w:r w:rsidRPr="00882DC9">
        <w:rPr>
          <w:rFonts w:cs="Times New Roman"/>
          <w:sz w:val="24"/>
          <w:szCs w:val="24"/>
        </w:rPr>
        <w:t>Nárast výdavkov na osobné náklady o 15 801 tis. eur bol ovplyvnený úpravou legislatívneho balíčka o</w:t>
      </w:r>
      <w:r w:rsidR="00DA486C">
        <w:rPr>
          <w:rFonts w:cs="Times New Roman"/>
          <w:sz w:val="24"/>
          <w:szCs w:val="24"/>
        </w:rPr>
        <w:t xml:space="preserve"> </w:t>
      </w:r>
      <w:r w:rsidRPr="00882DC9">
        <w:rPr>
          <w:rFonts w:cs="Times New Roman"/>
          <w:sz w:val="24"/>
          <w:szCs w:val="24"/>
        </w:rPr>
        <w:t>raste minimálnej mzdy, výsledkom kolektívneho vyjednávania o raste priemernej mzdy a</w:t>
      </w:r>
      <w:r w:rsidR="00DA486C">
        <w:rPr>
          <w:rFonts w:cs="Times New Roman"/>
          <w:sz w:val="24"/>
          <w:szCs w:val="24"/>
        </w:rPr>
        <w:t xml:space="preserve"> </w:t>
      </w:r>
      <w:r w:rsidRPr="00882DC9">
        <w:rPr>
          <w:rFonts w:cs="Times New Roman"/>
          <w:sz w:val="24"/>
          <w:szCs w:val="24"/>
        </w:rPr>
        <w:t xml:space="preserve">úhradou výdavkov vyplývajúcich z nárokov dohodnutých v Kolektívnej zmluve ZSSK na rok 2023. </w:t>
      </w:r>
    </w:p>
    <w:p w14:paraId="4098E9D7" w14:textId="58950B4A" w:rsidR="004C6700" w:rsidRDefault="004C6700" w:rsidP="00691349">
      <w:pPr>
        <w:spacing w:line="240" w:lineRule="auto"/>
        <w:rPr>
          <w:rFonts w:cs="Times New Roman"/>
          <w:sz w:val="24"/>
          <w:szCs w:val="24"/>
        </w:rPr>
      </w:pPr>
      <w:r w:rsidRPr="00A9672E">
        <w:rPr>
          <w:rFonts w:cs="Times New Roman"/>
          <w:sz w:val="24"/>
          <w:szCs w:val="24"/>
        </w:rPr>
        <w:t>Bežné výdavky na tovary a služby sa čerpali vo výške 316 491 tis. eur, čo je o 9 046 tis. eur viac ako</w:t>
      </w:r>
      <w:r w:rsidR="00DA486C">
        <w:rPr>
          <w:rFonts w:cs="Times New Roman"/>
          <w:sz w:val="24"/>
          <w:szCs w:val="24"/>
        </w:rPr>
        <w:t xml:space="preserve"> </w:t>
      </w:r>
      <w:r w:rsidRPr="00A9672E">
        <w:rPr>
          <w:rFonts w:cs="Times New Roman"/>
          <w:sz w:val="24"/>
          <w:szCs w:val="24"/>
        </w:rPr>
        <w:t>bolo plánované. Takmer vo všetkých položkách bol zaznamenaný nárast výdavkov, úspora bola dosiahnutá pri palivách ako zdroja energie. Čerpanie bežných výdavkov nad limit schváleného RVS bolo ovplyvnené vyšším objemom plánovaných dopravných výkonov reformného GVD 2022/2023</w:t>
      </w:r>
      <w:r w:rsidR="00972505">
        <w:rPr>
          <w:rStyle w:val="Odkaznapoznmkupodiarou"/>
          <w:rFonts w:cs="Times New Roman"/>
          <w:sz w:val="24"/>
          <w:szCs w:val="24"/>
        </w:rPr>
        <w:footnoteReference w:id="22"/>
      </w:r>
      <w:r w:rsidRPr="00A9672E">
        <w:rPr>
          <w:rFonts w:cs="Times New Roman"/>
          <w:sz w:val="24"/>
          <w:szCs w:val="24"/>
        </w:rPr>
        <w:t xml:space="preserve"> (+6,6</w:t>
      </w:r>
      <w:r w:rsidR="00DA486C">
        <w:rPr>
          <w:rFonts w:cs="Times New Roman"/>
          <w:sz w:val="24"/>
          <w:szCs w:val="24"/>
        </w:rPr>
        <w:t> </w:t>
      </w:r>
      <w:r w:rsidRPr="00A9672E">
        <w:rPr>
          <w:rFonts w:cs="Times New Roman"/>
          <w:sz w:val="24"/>
          <w:szCs w:val="24"/>
        </w:rPr>
        <w:t>%). Napriek hospodárnemu vynakladaniu výdavkov na</w:t>
      </w:r>
      <w:r>
        <w:rPr>
          <w:rFonts w:cs="Times New Roman"/>
          <w:sz w:val="24"/>
          <w:szCs w:val="24"/>
        </w:rPr>
        <w:t> </w:t>
      </w:r>
      <w:r w:rsidRPr="00A9672E">
        <w:rPr>
          <w:rFonts w:cs="Times New Roman"/>
          <w:sz w:val="24"/>
          <w:szCs w:val="24"/>
        </w:rPr>
        <w:t>opravy a údržbu ŽKV a úspor vygenerovaných optimalizačnými opatreniami na zníženie deficitu v realizovaných opravách sa zvýšili výdavky na nakupované tovary a služby, spot</w:t>
      </w:r>
      <w:r w:rsidR="00972505">
        <w:rPr>
          <w:rFonts w:cs="Times New Roman"/>
          <w:sz w:val="24"/>
          <w:szCs w:val="24"/>
        </w:rPr>
        <w:t>rebu trakčných zdrojov, poplatky za užívanie železničnej dopravnej cesty</w:t>
      </w:r>
      <w:r w:rsidRPr="00A9672E">
        <w:rPr>
          <w:rFonts w:cs="Times New Roman"/>
          <w:sz w:val="24"/>
          <w:szCs w:val="24"/>
        </w:rPr>
        <w:t>, opravy a údržbu ŽKV a spotrebu náhradných dielov pri</w:t>
      </w:r>
      <w:r>
        <w:rPr>
          <w:rFonts w:cs="Times New Roman"/>
          <w:sz w:val="24"/>
          <w:szCs w:val="24"/>
        </w:rPr>
        <w:t> </w:t>
      </w:r>
      <w:r w:rsidRPr="00A9672E">
        <w:rPr>
          <w:rFonts w:cs="Times New Roman"/>
          <w:sz w:val="24"/>
          <w:szCs w:val="24"/>
        </w:rPr>
        <w:t>interných opravách ŽKV. Zrealizovali sa e</w:t>
      </w:r>
      <w:r>
        <w:rPr>
          <w:rFonts w:cs="Times New Roman"/>
          <w:sz w:val="24"/>
          <w:szCs w:val="24"/>
        </w:rPr>
        <w:t>xterné kapitalizačné opravy ŽKV</w:t>
      </w:r>
      <w:r w:rsidRPr="00A9672E">
        <w:rPr>
          <w:rFonts w:cs="Times New Roman"/>
          <w:sz w:val="24"/>
          <w:szCs w:val="24"/>
        </w:rPr>
        <w:t xml:space="preserve">, ktoré úzko súvisia so zabezpečením plynulej a bezpečnej prevádzky. Súčasťou bežných výdavkov je aj vykázané saldo DPH </w:t>
      </w:r>
      <w:r>
        <w:rPr>
          <w:rFonts w:cs="Times New Roman"/>
          <w:sz w:val="24"/>
          <w:szCs w:val="24"/>
        </w:rPr>
        <w:t>(</w:t>
      </w:r>
      <w:r w:rsidRPr="00A9672E">
        <w:rPr>
          <w:rFonts w:cs="Times New Roman"/>
          <w:sz w:val="24"/>
          <w:szCs w:val="24"/>
        </w:rPr>
        <w:t>20 167 tis. eur). Negatívny vplyv na hospodárenie mala tiež korekcia EU projektu č. 2F vo výške 872 tis. eur, záväzok ZSSK vyplývajúci z </w:t>
      </w:r>
      <w:proofErr w:type="spellStart"/>
      <w:r w:rsidRPr="00A9672E">
        <w:rPr>
          <w:rFonts w:cs="Times New Roman"/>
          <w:sz w:val="24"/>
          <w:szCs w:val="24"/>
        </w:rPr>
        <w:t>nadkompenzácie</w:t>
      </w:r>
      <w:proofErr w:type="spellEnd"/>
      <w:r w:rsidRPr="00A9672E">
        <w:rPr>
          <w:rFonts w:cs="Times New Roman"/>
          <w:sz w:val="24"/>
          <w:szCs w:val="24"/>
        </w:rPr>
        <w:t xml:space="preserve"> </w:t>
      </w:r>
      <w:r>
        <w:rPr>
          <w:rFonts w:cs="Times New Roman"/>
          <w:sz w:val="24"/>
          <w:szCs w:val="24"/>
        </w:rPr>
        <w:t xml:space="preserve">z Čiastkovej zmluvy pre rok 2022 v znení neskorších dodatkov </w:t>
      </w:r>
      <w:r w:rsidRPr="00A9672E">
        <w:rPr>
          <w:rFonts w:cs="Times New Roman"/>
          <w:sz w:val="24"/>
          <w:szCs w:val="24"/>
        </w:rPr>
        <w:t>vo výške 954 tis. eur z poskytnutej úhrady na</w:t>
      </w:r>
      <w:r>
        <w:rPr>
          <w:rFonts w:cs="Times New Roman"/>
          <w:sz w:val="24"/>
          <w:szCs w:val="24"/>
        </w:rPr>
        <w:t> </w:t>
      </w:r>
      <w:r w:rsidRPr="00A9672E">
        <w:rPr>
          <w:rFonts w:cs="Times New Roman"/>
          <w:sz w:val="24"/>
          <w:szCs w:val="24"/>
        </w:rPr>
        <w:t>kompenzáciu finančného dopadu humanitárnej pomoci poskytovanej ZSSK formou zavedených vlakov a privesených vozňov odídencom z Ukrajiny a </w:t>
      </w:r>
      <w:proofErr w:type="spellStart"/>
      <w:r w:rsidRPr="00A9672E">
        <w:rPr>
          <w:rFonts w:cs="Times New Roman"/>
          <w:sz w:val="24"/>
          <w:szCs w:val="24"/>
        </w:rPr>
        <w:t>anticovidových</w:t>
      </w:r>
      <w:proofErr w:type="spellEnd"/>
      <w:r w:rsidRPr="00A9672E">
        <w:rPr>
          <w:rFonts w:cs="Times New Roman"/>
          <w:sz w:val="24"/>
          <w:szCs w:val="24"/>
        </w:rPr>
        <w:t xml:space="preserve"> opatrení. </w:t>
      </w:r>
    </w:p>
    <w:p w14:paraId="1C612827" w14:textId="1D66D7F0" w:rsidR="004C6700" w:rsidRDefault="004C6700" w:rsidP="00691349">
      <w:pPr>
        <w:pStyle w:val="Default0"/>
        <w:spacing w:after="120"/>
        <w:jc w:val="both"/>
        <w:rPr>
          <w:rFonts w:eastAsia="Times New Roman" w:cs="Times New Roman"/>
          <w:lang w:eastAsia="sk-SK"/>
        </w:rPr>
      </w:pPr>
      <w:r w:rsidRPr="00A418A4">
        <w:rPr>
          <w:rFonts w:eastAsia="Times New Roman" w:cs="Times New Roman"/>
          <w:lang w:eastAsia="sk-SK"/>
        </w:rPr>
        <w:lastRenderedPageBreak/>
        <w:t xml:space="preserve">Výdavky na obstaranie kapitálových aktív </w:t>
      </w:r>
      <w:r w:rsidRPr="001F29C5">
        <w:rPr>
          <w:rFonts w:eastAsia="Times New Roman" w:cs="Times New Roman"/>
          <w:lang w:eastAsia="sk-SK"/>
        </w:rPr>
        <w:t>sa zvýšili oproti rozpočtu o 196 795 tis. eur a dosiahli výšku 334 256 tis. eur.</w:t>
      </w:r>
      <w:r>
        <w:rPr>
          <w:rFonts w:eastAsia="Times New Roman" w:cs="Times New Roman"/>
          <w:lang w:eastAsia="sk-SK"/>
        </w:rPr>
        <w:t xml:space="preserve"> Ku koncu roka 2023 sa ukončili</w:t>
      </w:r>
      <w:r w:rsidRPr="001F29C5">
        <w:rPr>
          <w:rFonts w:eastAsia="Times New Roman" w:cs="Times New Roman"/>
          <w:lang w:eastAsia="sk-SK"/>
        </w:rPr>
        <w:t xml:space="preserve"> tr</w:t>
      </w:r>
      <w:r>
        <w:rPr>
          <w:rFonts w:eastAsia="Times New Roman" w:cs="Times New Roman"/>
          <w:lang w:eastAsia="sk-SK"/>
        </w:rPr>
        <w:t>i</w:t>
      </w:r>
      <w:r w:rsidRPr="001F29C5">
        <w:rPr>
          <w:rFonts w:eastAsia="Times New Roman" w:cs="Times New Roman"/>
          <w:lang w:eastAsia="sk-SK"/>
        </w:rPr>
        <w:t xml:space="preserve"> významn</w:t>
      </w:r>
      <w:r>
        <w:rPr>
          <w:rFonts w:eastAsia="Times New Roman" w:cs="Times New Roman"/>
          <w:lang w:eastAsia="sk-SK"/>
        </w:rPr>
        <w:t>é</w:t>
      </w:r>
      <w:r w:rsidRPr="001F29C5">
        <w:rPr>
          <w:rFonts w:eastAsia="Times New Roman" w:cs="Times New Roman"/>
          <w:lang w:eastAsia="sk-SK"/>
        </w:rPr>
        <w:t xml:space="preserve"> projekt</w:t>
      </w:r>
      <w:r>
        <w:rPr>
          <w:rFonts w:eastAsia="Times New Roman" w:cs="Times New Roman"/>
          <w:lang w:eastAsia="sk-SK"/>
        </w:rPr>
        <w:t>y</w:t>
      </w:r>
      <w:r w:rsidRPr="001F29C5">
        <w:rPr>
          <w:rFonts w:eastAsia="Times New Roman" w:cs="Times New Roman"/>
          <w:lang w:eastAsia="sk-SK"/>
        </w:rPr>
        <w:t xml:space="preserve"> týkajúc</w:t>
      </w:r>
      <w:r>
        <w:rPr>
          <w:rFonts w:eastAsia="Times New Roman" w:cs="Times New Roman"/>
          <w:lang w:eastAsia="sk-SK"/>
        </w:rPr>
        <w:t>e</w:t>
      </w:r>
      <w:r w:rsidRPr="001F29C5">
        <w:rPr>
          <w:rFonts w:eastAsia="Times New Roman" w:cs="Times New Roman"/>
          <w:lang w:eastAsia="sk-SK"/>
        </w:rPr>
        <w:t xml:space="preserve"> sa obnovy vozového parku, ktoré sú financované zo zdrojov Európskej únie</w:t>
      </w:r>
      <w:r>
        <w:rPr>
          <w:rFonts w:ascii="Arial" w:hAnsi="Arial" w:cs="Arial"/>
          <w:color w:val="050707"/>
          <w:sz w:val="27"/>
          <w:szCs w:val="27"/>
          <w:shd w:val="clear" w:color="auto" w:fill="FFFFFF"/>
        </w:rPr>
        <w:t> </w:t>
      </w:r>
      <w:r w:rsidR="007640FA" w:rsidRPr="00296337">
        <w:rPr>
          <w:rFonts w:eastAsia="Times New Roman" w:cs="Times New Roman"/>
          <w:lang w:eastAsia="sk-SK"/>
        </w:rPr>
        <w:t>v</w:t>
      </w:r>
      <w:r w:rsidR="006E68E8">
        <w:rPr>
          <w:rFonts w:eastAsia="Times New Roman" w:cs="Times New Roman"/>
          <w:lang w:eastAsia="sk-SK"/>
        </w:rPr>
        <w:t> </w:t>
      </w:r>
      <w:r w:rsidRPr="001F29C5">
        <w:rPr>
          <w:rFonts w:eastAsia="Times New Roman" w:cs="Times New Roman"/>
          <w:lang w:eastAsia="sk-SK"/>
        </w:rPr>
        <w:t>rámci</w:t>
      </w:r>
      <w:r>
        <w:rPr>
          <w:rFonts w:eastAsia="Times New Roman" w:cs="Times New Roman"/>
          <w:lang w:eastAsia="sk-SK"/>
        </w:rPr>
        <w:t xml:space="preserve"> </w:t>
      </w:r>
      <w:r w:rsidRPr="001F29C5">
        <w:rPr>
          <w:rFonts w:eastAsia="Times New Roman" w:cs="Times New Roman"/>
          <w:lang w:eastAsia="sk-SK"/>
        </w:rPr>
        <w:t xml:space="preserve">dobiehajúceho programového obdobia 2014 – 2020. Prvý projekt sa týka modernizácie 15 kusov električiek od výrobcu </w:t>
      </w:r>
      <w:proofErr w:type="spellStart"/>
      <w:r w:rsidRPr="001F29C5">
        <w:rPr>
          <w:rFonts w:eastAsia="Times New Roman" w:cs="Times New Roman"/>
          <w:lang w:eastAsia="sk-SK"/>
        </w:rPr>
        <w:t>Stadler</w:t>
      </w:r>
      <w:proofErr w:type="spellEnd"/>
      <w:r w:rsidRPr="001F29C5">
        <w:rPr>
          <w:rFonts w:eastAsia="Times New Roman" w:cs="Times New Roman"/>
          <w:lang w:eastAsia="sk-SK"/>
        </w:rPr>
        <w:t>, ktoré pre ZSSK modernizuje spoločnosť ŽOS Vrútky, druhý projekt sa týka dodávky 9 kusov nových elektrických jednotiek radu 660 z</w:t>
      </w:r>
      <w:r>
        <w:rPr>
          <w:rFonts w:eastAsia="Times New Roman" w:cs="Times New Roman"/>
          <w:lang w:eastAsia="sk-SK"/>
        </w:rPr>
        <w:t> </w:t>
      </w:r>
      <w:r w:rsidRPr="001F29C5">
        <w:rPr>
          <w:rFonts w:eastAsia="Times New Roman" w:cs="Times New Roman"/>
          <w:lang w:eastAsia="sk-SK"/>
        </w:rPr>
        <w:t xml:space="preserve">produkcie Škoda </w:t>
      </w:r>
      <w:proofErr w:type="spellStart"/>
      <w:r w:rsidRPr="001F29C5">
        <w:rPr>
          <w:rFonts w:eastAsia="Times New Roman" w:cs="Times New Roman"/>
          <w:lang w:eastAsia="sk-SK"/>
        </w:rPr>
        <w:t>Transportation</w:t>
      </w:r>
      <w:proofErr w:type="spellEnd"/>
      <w:r w:rsidRPr="001F29C5">
        <w:rPr>
          <w:rFonts w:eastAsia="Times New Roman" w:cs="Times New Roman"/>
          <w:lang w:eastAsia="sk-SK"/>
        </w:rPr>
        <w:t xml:space="preserve"> a ŽOS Trnava a tretí dodávky štyroch kusov elektrických jednotiek </w:t>
      </w:r>
      <w:proofErr w:type="spellStart"/>
      <w:r w:rsidRPr="001F29C5">
        <w:rPr>
          <w:rFonts w:eastAsia="Times New Roman" w:cs="Times New Roman"/>
          <w:lang w:eastAsia="sk-SK"/>
        </w:rPr>
        <w:t>Stadler</w:t>
      </w:r>
      <w:proofErr w:type="spellEnd"/>
      <w:r w:rsidRPr="001F29C5">
        <w:rPr>
          <w:rFonts w:eastAsia="Times New Roman" w:cs="Times New Roman"/>
          <w:lang w:eastAsia="sk-SK"/>
        </w:rPr>
        <w:t xml:space="preserve"> KISS. </w:t>
      </w:r>
    </w:p>
    <w:p w14:paraId="564E1644" w14:textId="6AF11469" w:rsidR="004C6700" w:rsidRPr="001F29C5" w:rsidRDefault="004C6700" w:rsidP="004C6700">
      <w:pPr>
        <w:pStyle w:val="Default0"/>
        <w:jc w:val="both"/>
        <w:rPr>
          <w:rFonts w:eastAsia="Times New Roman" w:cs="Times New Roman"/>
          <w:lang w:eastAsia="sk-SK"/>
        </w:rPr>
      </w:pPr>
      <w:r w:rsidRPr="001F29C5">
        <w:rPr>
          <w:rFonts w:eastAsia="Times New Roman" w:cs="Times New Roman"/>
          <w:lang w:eastAsia="sk-SK"/>
        </w:rPr>
        <w:t>Finančné prostriedky boli alokované v rámci realizácie projektov na obstaranie dieselových motorových jednotiek, elektrických jednotiek, na modernizáciu železničných koľajových vozidiel a osobných vozňov</w:t>
      </w:r>
      <w:r w:rsidRPr="001F29C5">
        <w:rPr>
          <w:rFonts w:cs="Times New Roman"/>
        </w:rPr>
        <w:t xml:space="preserve"> (</w:t>
      </w:r>
      <w:r w:rsidRPr="001F29C5">
        <w:rPr>
          <w:rFonts w:eastAsia="Times New Roman" w:cs="Times New Roman"/>
          <w:lang w:eastAsia="sk-SK"/>
        </w:rPr>
        <w:t xml:space="preserve">projekt </w:t>
      </w:r>
      <w:r w:rsidRPr="001F29C5">
        <w:rPr>
          <w:rFonts w:ascii="Times New Roman" w:eastAsia="Times New Roman" w:hAnsi="Times New Roman" w:cs="Times New Roman"/>
          <w:color w:val="auto"/>
          <w:lang w:eastAsia="sk-SK"/>
        </w:rPr>
        <w:t>„Modernizácie vozového parku</w:t>
      </w:r>
      <w:r w:rsidRPr="001F29C5">
        <w:rPr>
          <w:rFonts w:eastAsia="Times New Roman" w:cs="Times New Roman"/>
          <w:lang w:eastAsia="sk-SK"/>
        </w:rPr>
        <w:t xml:space="preserve"> ŽKV v rámci OPII“, EU projektu Technicko-hygienická údržba železničných koľajových vozidiel (THU ŽKV) Nové Zámky, Humenné a Zvolen, projekt „Obstaranie elektrických jednotiek pre Ozubnicovú aj Tatranskú elektrickú železnicu“). V rámci ostatných investícií ide o pokračujúce a</w:t>
      </w:r>
      <w:r w:rsidR="00DA486C">
        <w:rPr>
          <w:rFonts w:eastAsia="Times New Roman" w:cs="Times New Roman"/>
          <w:lang w:eastAsia="sk-SK"/>
        </w:rPr>
        <w:t xml:space="preserve"> </w:t>
      </w:r>
      <w:r w:rsidRPr="001F29C5">
        <w:rPr>
          <w:rFonts w:eastAsia="Times New Roman" w:cs="Times New Roman"/>
          <w:lang w:eastAsia="sk-SK"/>
        </w:rPr>
        <w:t>nové</w:t>
      </w:r>
      <w:r w:rsidR="00DA486C">
        <w:rPr>
          <w:rFonts w:eastAsia="Times New Roman" w:cs="Times New Roman"/>
          <w:lang w:eastAsia="sk-SK"/>
        </w:rPr>
        <w:t xml:space="preserve"> </w:t>
      </w:r>
      <w:r w:rsidRPr="001F29C5">
        <w:rPr>
          <w:rFonts w:eastAsia="Times New Roman" w:cs="Times New Roman"/>
          <w:lang w:eastAsia="sk-SK"/>
        </w:rPr>
        <w:t>investície do železničných koľajových vozidiel</w:t>
      </w:r>
      <w:r w:rsidR="007640FA">
        <w:rPr>
          <w:rFonts w:eastAsia="Times New Roman" w:cs="Times New Roman"/>
          <w:lang w:eastAsia="sk-SK"/>
        </w:rPr>
        <w:t xml:space="preserve"> </w:t>
      </w:r>
      <w:r w:rsidRPr="00A418A4">
        <w:rPr>
          <w:rFonts w:eastAsia="Times New Roman" w:cs="Times New Roman"/>
          <w:lang w:eastAsia="sk-SK"/>
        </w:rPr>
        <w:t xml:space="preserve"> vo výške 1</w:t>
      </w:r>
      <w:r>
        <w:rPr>
          <w:rFonts w:eastAsia="Times New Roman" w:cs="Times New Roman"/>
          <w:lang w:eastAsia="sk-SK"/>
        </w:rPr>
        <w:t> </w:t>
      </w:r>
      <w:r w:rsidRPr="00A418A4">
        <w:rPr>
          <w:rFonts w:eastAsia="Times New Roman" w:cs="Times New Roman"/>
          <w:lang w:eastAsia="sk-SK"/>
        </w:rPr>
        <w:t>614</w:t>
      </w:r>
      <w:r>
        <w:rPr>
          <w:rFonts w:eastAsia="Times New Roman" w:cs="Times New Roman"/>
          <w:lang w:eastAsia="sk-SK"/>
        </w:rPr>
        <w:t> </w:t>
      </w:r>
      <w:r w:rsidRPr="00A418A4">
        <w:rPr>
          <w:rFonts w:eastAsia="Times New Roman" w:cs="Times New Roman"/>
          <w:lang w:eastAsia="sk-SK"/>
        </w:rPr>
        <w:t>tis.</w:t>
      </w:r>
      <w:r>
        <w:rPr>
          <w:rFonts w:eastAsia="Times New Roman" w:cs="Times New Roman"/>
          <w:lang w:eastAsia="sk-SK"/>
        </w:rPr>
        <w:t xml:space="preserve"> eur, </w:t>
      </w:r>
      <w:r w:rsidRPr="00A418A4">
        <w:rPr>
          <w:rFonts w:eastAsia="Times New Roman" w:cs="Times New Roman"/>
          <w:lang w:eastAsia="sk-SK"/>
        </w:rPr>
        <w:t>investície do IT a predaja vo výške 6</w:t>
      </w:r>
      <w:r>
        <w:rPr>
          <w:rFonts w:eastAsia="Times New Roman" w:cs="Times New Roman"/>
          <w:lang w:eastAsia="sk-SK"/>
        </w:rPr>
        <w:t> </w:t>
      </w:r>
      <w:r w:rsidRPr="00A418A4">
        <w:rPr>
          <w:rFonts w:eastAsia="Times New Roman" w:cs="Times New Roman"/>
          <w:lang w:eastAsia="sk-SK"/>
        </w:rPr>
        <w:t>201</w:t>
      </w:r>
      <w:r>
        <w:rPr>
          <w:rFonts w:eastAsia="Times New Roman" w:cs="Times New Roman"/>
          <w:lang w:eastAsia="sk-SK"/>
        </w:rPr>
        <w:t> </w:t>
      </w:r>
      <w:r w:rsidRPr="00A418A4">
        <w:rPr>
          <w:rFonts w:eastAsia="Times New Roman" w:cs="Times New Roman"/>
          <w:lang w:eastAsia="sk-SK"/>
        </w:rPr>
        <w:t>tis.</w:t>
      </w:r>
      <w:r>
        <w:rPr>
          <w:rFonts w:eastAsia="Times New Roman" w:cs="Times New Roman"/>
          <w:lang w:eastAsia="sk-SK"/>
        </w:rPr>
        <w:t xml:space="preserve"> eur </w:t>
      </w:r>
      <w:r w:rsidRPr="00A418A4">
        <w:rPr>
          <w:rFonts w:eastAsia="Times New Roman" w:cs="Times New Roman"/>
          <w:lang w:eastAsia="sk-SK"/>
        </w:rPr>
        <w:t xml:space="preserve">a investície do stavieb a ostatného nehnuteľného majetku vo výške </w:t>
      </w:r>
      <w:r>
        <w:rPr>
          <w:rFonts w:eastAsia="Times New Roman" w:cs="Times New Roman"/>
          <w:lang w:eastAsia="sk-SK"/>
        </w:rPr>
        <w:t>16 </w:t>
      </w:r>
      <w:r w:rsidRPr="00A418A4">
        <w:rPr>
          <w:rFonts w:eastAsia="Times New Roman" w:cs="Times New Roman"/>
          <w:lang w:eastAsia="sk-SK"/>
        </w:rPr>
        <w:t>240</w:t>
      </w:r>
      <w:r>
        <w:rPr>
          <w:rFonts w:eastAsia="Times New Roman" w:cs="Times New Roman"/>
          <w:lang w:eastAsia="sk-SK"/>
        </w:rPr>
        <w:t> </w:t>
      </w:r>
      <w:r w:rsidRPr="00A418A4">
        <w:rPr>
          <w:rFonts w:eastAsia="Times New Roman" w:cs="Times New Roman"/>
          <w:lang w:eastAsia="sk-SK"/>
        </w:rPr>
        <w:t>tis.</w:t>
      </w:r>
      <w:r>
        <w:rPr>
          <w:rFonts w:eastAsia="Times New Roman" w:cs="Times New Roman"/>
          <w:lang w:eastAsia="sk-SK"/>
        </w:rPr>
        <w:t> eur</w:t>
      </w:r>
      <w:r w:rsidRPr="00A418A4">
        <w:rPr>
          <w:rFonts w:eastAsia="Times New Roman" w:cs="Times New Roman"/>
          <w:lang w:eastAsia="sk-SK"/>
        </w:rPr>
        <w:t xml:space="preserve">. Ide o projekty zamerané na modernizáciu a humanizáciu HKV a OV, nové a pokračujúce projekty do IT, </w:t>
      </w:r>
      <w:r>
        <w:rPr>
          <w:rFonts w:eastAsia="Times New Roman" w:cs="Times New Roman"/>
          <w:lang w:eastAsia="sk-SK"/>
        </w:rPr>
        <w:t>a d</w:t>
      </w:r>
      <w:r w:rsidRPr="00A418A4">
        <w:rPr>
          <w:rFonts w:eastAsia="Times New Roman" w:cs="Times New Roman"/>
          <w:lang w:eastAsia="sk-SK"/>
        </w:rPr>
        <w:t>o nehnuteľného majetku. Investície sú zamerané na</w:t>
      </w:r>
      <w:r>
        <w:rPr>
          <w:rFonts w:eastAsia="Times New Roman" w:cs="Times New Roman"/>
          <w:lang w:eastAsia="sk-SK"/>
        </w:rPr>
        <w:t> </w:t>
      </w:r>
      <w:r w:rsidRPr="00A418A4">
        <w:rPr>
          <w:rFonts w:eastAsia="Times New Roman" w:cs="Times New Roman"/>
          <w:lang w:eastAsia="sk-SK"/>
        </w:rPr>
        <w:t>zvýšenie bezpečnosti, spoľahlivosti, výkonnosti a komfortu vozového parku a zvyšovanie kvality poskytovaných služieb.</w:t>
      </w:r>
    </w:p>
    <w:p w14:paraId="0CB90E17" w14:textId="77777777" w:rsidR="004C6700" w:rsidRPr="00EE0E50" w:rsidRDefault="004C6700" w:rsidP="004C6700">
      <w:pPr>
        <w:spacing w:before="120" w:line="240" w:lineRule="auto"/>
        <w:rPr>
          <w:rFonts w:eastAsia="Times New Roman" w:cs="Times New Roman"/>
          <w:sz w:val="24"/>
          <w:szCs w:val="24"/>
          <w:lang w:eastAsia="sk-SK"/>
        </w:rPr>
      </w:pPr>
      <w:r w:rsidRPr="00EE0E50">
        <w:rPr>
          <w:rFonts w:cs="Times New Roman"/>
          <w:sz w:val="24"/>
          <w:szCs w:val="24"/>
        </w:rPr>
        <w:t>Negatívny vplyv na hospodárenie podľa metodiky ESA 2010 výrazne ovplyvnil medziročný</w:t>
      </w:r>
      <w:r w:rsidRPr="00EE0E50">
        <w:rPr>
          <w:rFonts w:eastAsia="Times New Roman" w:cs="Times New Roman"/>
          <w:sz w:val="24"/>
          <w:szCs w:val="24"/>
          <w:lang w:eastAsia="sk-SK"/>
        </w:rPr>
        <w:t xml:space="preserve"> pokles pohľadávok o 16 248 tis. eur eliminovaný poklesom záväzkov o 14 290 tis. eur.</w:t>
      </w:r>
    </w:p>
    <w:p w14:paraId="325E4499" w14:textId="77777777" w:rsidR="004C6700" w:rsidRPr="00EE0E50" w:rsidRDefault="004C6700" w:rsidP="004C6700">
      <w:pPr>
        <w:spacing w:before="120" w:line="240" w:lineRule="auto"/>
        <w:rPr>
          <w:rFonts w:eastAsia="Times New Roman" w:cs="Times New Roman"/>
          <w:sz w:val="24"/>
          <w:szCs w:val="24"/>
          <w:lang w:eastAsia="sk-SK"/>
        </w:rPr>
      </w:pPr>
      <w:r w:rsidRPr="00EE0E50">
        <w:rPr>
          <w:rFonts w:eastAsia="Times New Roman" w:cs="Times New Roman"/>
          <w:sz w:val="24"/>
          <w:szCs w:val="24"/>
          <w:lang w:eastAsia="sk-SK"/>
        </w:rPr>
        <w:t xml:space="preserve">Na ESA schodok vo výške 6 955 tis. eur (zhoršenie oproti rozpočtovanému prebytku o 20 499 tis. eur) pozitívne vplýval medziročný pokles záväzkov na účtoch dodávateľov a nevyfakturovaných dodávok o 17 429 tis. eur za stavebné práce pre EU projekt (vybudovanie infraštruktúry na kontrolu a prípravu vozového parku železničnej osobnej dopravy -Humenné, Nové Zámky a Zvolen, ďalej za inštaláciu </w:t>
      </w:r>
      <w:proofErr w:type="spellStart"/>
      <w:r w:rsidRPr="00EE0E50">
        <w:rPr>
          <w:rFonts w:eastAsia="Times New Roman" w:cs="Times New Roman"/>
          <w:sz w:val="24"/>
          <w:szCs w:val="24"/>
          <w:lang w:eastAsia="sk-SK"/>
        </w:rPr>
        <w:t>Blackboxov</w:t>
      </w:r>
      <w:proofErr w:type="spellEnd"/>
      <w:r w:rsidRPr="00EE0E50">
        <w:rPr>
          <w:rFonts w:eastAsia="Times New Roman" w:cs="Times New Roman"/>
          <w:sz w:val="24"/>
          <w:szCs w:val="24"/>
          <w:lang w:eastAsia="sk-SK"/>
        </w:rPr>
        <w:t>, dodanie rádiostaníc a záväzky za</w:t>
      </w:r>
      <w:r>
        <w:rPr>
          <w:rFonts w:eastAsia="Times New Roman" w:cs="Times New Roman"/>
          <w:sz w:val="24"/>
          <w:szCs w:val="24"/>
          <w:lang w:eastAsia="sk-SK"/>
        </w:rPr>
        <w:t> </w:t>
      </w:r>
      <w:r w:rsidRPr="00EE0E50">
        <w:rPr>
          <w:rFonts w:eastAsia="Times New Roman" w:cs="Times New Roman"/>
          <w:sz w:val="24"/>
          <w:szCs w:val="24"/>
          <w:lang w:eastAsia="sk-SK"/>
        </w:rPr>
        <w:t xml:space="preserve">nevyfakturované dodávky trakčnej energie voči ŽSR. </w:t>
      </w:r>
    </w:p>
    <w:p w14:paraId="657A7CEB" w14:textId="032254B8" w:rsidR="004C6700" w:rsidRDefault="004C6700" w:rsidP="004C6700">
      <w:pPr>
        <w:spacing w:before="120" w:line="240" w:lineRule="auto"/>
        <w:rPr>
          <w:rFonts w:cs="Times New Roman"/>
          <w:sz w:val="24"/>
          <w:szCs w:val="24"/>
        </w:rPr>
      </w:pPr>
      <w:r w:rsidRPr="00EE0E50">
        <w:rPr>
          <w:rFonts w:cs="Times New Roman"/>
          <w:sz w:val="24"/>
          <w:szCs w:val="24"/>
        </w:rPr>
        <w:t>Medziročne došlo k poklesu na účtoch pohľadávok – čerpanie záloh z predchádzajúcich rokov a ukončenie niektorých projektov na modernizáciu vozového parku (najmä</w:t>
      </w:r>
      <w:r>
        <w:rPr>
          <w:rFonts w:cs="Times New Roman"/>
          <w:sz w:val="24"/>
          <w:szCs w:val="24"/>
        </w:rPr>
        <w:t xml:space="preserve"> pokles preddavkov z roku 2022 z</w:t>
      </w:r>
      <w:r w:rsidRPr="00EE0E50">
        <w:rPr>
          <w:rFonts w:cs="Times New Roman"/>
          <w:sz w:val="24"/>
          <w:szCs w:val="24"/>
        </w:rPr>
        <w:t>a nákup elektrických jednotiek v hodnote 7 700 tis. eur), pokles prevádzkových preddavkov a zníženie nákladov budúcich období n</w:t>
      </w:r>
      <w:r w:rsidR="00914D4D">
        <w:rPr>
          <w:rFonts w:cs="Times New Roman"/>
          <w:sz w:val="24"/>
          <w:szCs w:val="24"/>
        </w:rPr>
        <w:t xml:space="preserve">a licencie produktov </w:t>
      </w:r>
      <w:proofErr w:type="spellStart"/>
      <w:r w:rsidR="00914D4D">
        <w:rPr>
          <w:rFonts w:cs="Times New Roman"/>
          <w:sz w:val="24"/>
          <w:szCs w:val="24"/>
        </w:rPr>
        <w:t>Forcepoint</w:t>
      </w:r>
      <w:proofErr w:type="spellEnd"/>
      <w:r w:rsidR="00914D4D">
        <w:rPr>
          <w:rFonts w:cs="Times New Roman"/>
          <w:sz w:val="24"/>
          <w:szCs w:val="24"/>
        </w:rPr>
        <w:t xml:space="preserve"> (ide o l</w:t>
      </w:r>
      <w:r w:rsidR="00914D4D" w:rsidRPr="00914D4D">
        <w:rPr>
          <w:rFonts w:cs="Times New Roman"/>
          <w:sz w:val="24"/>
          <w:szCs w:val="24"/>
        </w:rPr>
        <w:t>icencie a podpor</w:t>
      </w:r>
      <w:r w:rsidR="00914D4D">
        <w:rPr>
          <w:rFonts w:cs="Times New Roman"/>
          <w:sz w:val="24"/>
          <w:szCs w:val="24"/>
        </w:rPr>
        <w:t>u</w:t>
      </w:r>
      <w:r w:rsidR="00914D4D" w:rsidRPr="00914D4D">
        <w:rPr>
          <w:rFonts w:cs="Times New Roman"/>
          <w:sz w:val="24"/>
          <w:szCs w:val="24"/>
        </w:rPr>
        <w:t xml:space="preserve"> nástroja na ochranu pred hrozbami z internetu a e-mailu </w:t>
      </w:r>
      <w:proofErr w:type="spellStart"/>
      <w:r w:rsidR="00914D4D" w:rsidRPr="00914D4D">
        <w:rPr>
          <w:rFonts w:cs="Times New Roman"/>
          <w:sz w:val="24"/>
          <w:szCs w:val="24"/>
        </w:rPr>
        <w:t>Forcepoint</w:t>
      </w:r>
      <w:proofErr w:type="spellEnd"/>
      <w:r w:rsidR="00914D4D" w:rsidRPr="00914D4D">
        <w:rPr>
          <w:rFonts w:cs="Times New Roman"/>
          <w:sz w:val="24"/>
          <w:szCs w:val="24"/>
        </w:rPr>
        <w:t xml:space="preserve"> Web a Email </w:t>
      </w:r>
      <w:proofErr w:type="spellStart"/>
      <w:r w:rsidR="00914D4D" w:rsidRPr="00914D4D">
        <w:rPr>
          <w:rFonts w:cs="Times New Roman"/>
          <w:sz w:val="24"/>
          <w:szCs w:val="24"/>
        </w:rPr>
        <w:t>Security</w:t>
      </w:r>
      <w:proofErr w:type="spellEnd"/>
      <w:r w:rsidR="00914D4D">
        <w:rPr>
          <w:rFonts w:cs="Times New Roman"/>
          <w:sz w:val="24"/>
          <w:szCs w:val="24"/>
        </w:rPr>
        <w:t>).</w:t>
      </w:r>
    </w:p>
    <w:p w14:paraId="3F32767C" w14:textId="655236EB" w:rsidR="004C6700" w:rsidRPr="00FB3086" w:rsidRDefault="004C6700" w:rsidP="004C6700">
      <w:pPr>
        <w:spacing w:before="120" w:line="240" w:lineRule="auto"/>
        <w:rPr>
          <w:rFonts w:cs="Times New Roman"/>
          <w:sz w:val="24"/>
          <w:szCs w:val="24"/>
        </w:rPr>
      </w:pPr>
      <w:r w:rsidRPr="00FB3086">
        <w:rPr>
          <w:rFonts w:cs="Times New Roman"/>
          <w:sz w:val="24"/>
          <w:szCs w:val="24"/>
        </w:rPr>
        <w:t xml:space="preserve">Hotovostný schodok </w:t>
      </w:r>
      <w:r w:rsidRPr="00FB3086">
        <w:rPr>
          <w:rFonts w:cs="Times New Roman"/>
          <w:b/>
          <w:sz w:val="24"/>
          <w:szCs w:val="24"/>
        </w:rPr>
        <w:t xml:space="preserve">Jadrovej a vyraďovacej spoločnosti, </w:t>
      </w:r>
      <w:proofErr w:type="spellStart"/>
      <w:r w:rsidRPr="00FB3086">
        <w:rPr>
          <w:rFonts w:cs="Times New Roman"/>
          <w:b/>
          <w:sz w:val="24"/>
          <w:szCs w:val="24"/>
        </w:rPr>
        <w:t>a.s</w:t>
      </w:r>
      <w:proofErr w:type="spellEnd"/>
      <w:r w:rsidRPr="00FB3086">
        <w:rPr>
          <w:rFonts w:cs="Times New Roman"/>
          <w:b/>
          <w:sz w:val="24"/>
          <w:szCs w:val="24"/>
        </w:rPr>
        <w:t>.</w:t>
      </w:r>
      <w:r w:rsidRPr="00FB3086">
        <w:rPr>
          <w:rFonts w:cs="Times New Roman"/>
          <w:sz w:val="24"/>
          <w:szCs w:val="24"/>
        </w:rPr>
        <w:t xml:space="preserve"> (JAVYS) bol rozpočtovaný vo</w:t>
      </w:r>
      <w:r>
        <w:rPr>
          <w:rFonts w:cs="Times New Roman"/>
          <w:sz w:val="24"/>
          <w:szCs w:val="24"/>
        </w:rPr>
        <w:t> </w:t>
      </w:r>
      <w:r w:rsidRPr="00FB3086">
        <w:rPr>
          <w:rFonts w:cs="Times New Roman"/>
          <w:sz w:val="24"/>
          <w:szCs w:val="24"/>
        </w:rPr>
        <w:t xml:space="preserve">výške 630 tis. eur, v skutočnosti spoločnosť dosiahla hotovostný </w:t>
      </w:r>
      <w:r>
        <w:rPr>
          <w:rFonts w:cs="Times New Roman"/>
          <w:sz w:val="24"/>
          <w:szCs w:val="24"/>
        </w:rPr>
        <w:t>prebytok</w:t>
      </w:r>
      <w:r w:rsidRPr="00FB3086">
        <w:rPr>
          <w:rFonts w:cs="Times New Roman"/>
          <w:sz w:val="24"/>
          <w:szCs w:val="24"/>
        </w:rPr>
        <w:t xml:space="preserve"> 10 109 tis. eur. Na</w:t>
      </w:r>
      <w:r>
        <w:rPr>
          <w:rFonts w:cs="Times New Roman"/>
          <w:sz w:val="24"/>
          <w:szCs w:val="24"/>
        </w:rPr>
        <w:t> </w:t>
      </w:r>
      <w:r w:rsidRPr="00FB3086">
        <w:rPr>
          <w:rFonts w:cs="Times New Roman"/>
          <w:sz w:val="24"/>
          <w:szCs w:val="24"/>
        </w:rPr>
        <w:t xml:space="preserve">zlepšení hospodárenia o 10 739 tis. eur oproti rozpočtu vplýval </w:t>
      </w:r>
      <w:r>
        <w:rPr>
          <w:rFonts w:cs="Times New Roman"/>
          <w:sz w:val="24"/>
          <w:szCs w:val="24"/>
        </w:rPr>
        <w:t xml:space="preserve">nižší </w:t>
      </w:r>
      <w:r w:rsidRPr="00FB3086">
        <w:rPr>
          <w:rFonts w:cs="Times New Roman"/>
          <w:sz w:val="24"/>
          <w:szCs w:val="24"/>
        </w:rPr>
        <w:t>pokles celkových príjmov o</w:t>
      </w:r>
      <w:r>
        <w:rPr>
          <w:rFonts w:cs="Times New Roman"/>
          <w:sz w:val="24"/>
          <w:szCs w:val="24"/>
        </w:rPr>
        <w:t> </w:t>
      </w:r>
      <w:r w:rsidRPr="00FB3086">
        <w:rPr>
          <w:rFonts w:cs="Times New Roman"/>
          <w:sz w:val="24"/>
          <w:szCs w:val="24"/>
        </w:rPr>
        <w:t>17</w:t>
      </w:r>
      <w:r>
        <w:rPr>
          <w:rFonts w:cs="Times New Roman"/>
          <w:sz w:val="24"/>
          <w:szCs w:val="24"/>
        </w:rPr>
        <w:t> </w:t>
      </w:r>
      <w:r w:rsidRPr="00FB3086">
        <w:rPr>
          <w:rFonts w:cs="Times New Roman"/>
          <w:sz w:val="24"/>
          <w:szCs w:val="24"/>
        </w:rPr>
        <w:t>187 tis. eur, eliminovaný vplyvom</w:t>
      </w:r>
      <w:r w:rsidR="00CA553F">
        <w:rPr>
          <w:rFonts w:cs="Times New Roman"/>
          <w:sz w:val="24"/>
          <w:szCs w:val="24"/>
        </w:rPr>
        <w:t xml:space="preserve"> </w:t>
      </w:r>
      <w:proofErr w:type="spellStart"/>
      <w:r w:rsidR="00CA553F">
        <w:rPr>
          <w:rFonts w:cs="Times New Roman"/>
          <w:sz w:val="24"/>
          <w:szCs w:val="24"/>
        </w:rPr>
        <w:t>vyšieho</w:t>
      </w:r>
      <w:proofErr w:type="spellEnd"/>
      <w:r w:rsidRPr="00FB3086">
        <w:rPr>
          <w:rFonts w:cs="Times New Roman"/>
          <w:sz w:val="24"/>
          <w:szCs w:val="24"/>
        </w:rPr>
        <w:t xml:space="preserve"> poklesu výdavkov o 27 926 tis. eur.</w:t>
      </w:r>
    </w:p>
    <w:p w14:paraId="0DF848C5" w14:textId="33920DEE" w:rsidR="004C6700" w:rsidRPr="00722DDE" w:rsidRDefault="004C6700" w:rsidP="004C6700">
      <w:pPr>
        <w:spacing w:before="120" w:line="240" w:lineRule="auto"/>
        <w:rPr>
          <w:rFonts w:cs="Times New Roman"/>
          <w:sz w:val="24"/>
          <w:szCs w:val="24"/>
        </w:rPr>
      </w:pPr>
      <w:r w:rsidRPr="000F2B24">
        <w:rPr>
          <w:rFonts w:cs="Times New Roman"/>
          <w:sz w:val="24"/>
          <w:szCs w:val="24"/>
        </w:rPr>
        <w:t xml:space="preserve">Celkové príjmy boli v porovnaní s rozpočtom na rok 2023 nižšie najmä z dôvodu </w:t>
      </w:r>
      <w:r w:rsidRPr="00FA2BB9">
        <w:rPr>
          <w:rFonts w:cs="Times New Roman"/>
          <w:sz w:val="24"/>
          <w:szCs w:val="24"/>
        </w:rPr>
        <w:t xml:space="preserve">znížených príjmov z bežného a kapitálového transferu z Národného jadrového fondu o 25 308 tis. eur </w:t>
      </w:r>
      <w:r w:rsidRPr="00722DDE">
        <w:rPr>
          <w:rFonts w:cs="Times New Roman"/>
          <w:sz w:val="24"/>
          <w:szCs w:val="24"/>
        </w:rPr>
        <w:t>(v súvislosti s aktualizovaným harmonogramom vyraďovania, resp. nižšími žiadosťami o prostriedky na vyraďovanie na dané obdobie), nižších príjmov zo zahraničných grantov o</w:t>
      </w:r>
      <w:r>
        <w:rPr>
          <w:rFonts w:cs="Times New Roman"/>
          <w:sz w:val="24"/>
          <w:szCs w:val="24"/>
        </w:rPr>
        <w:t> </w:t>
      </w:r>
      <w:r w:rsidRPr="00722DDE">
        <w:rPr>
          <w:rFonts w:cs="Times New Roman"/>
          <w:sz w:val="24"/>
          <w:szCs w:val="24"/>
        </w:rPr>
        <w:t>7</w:t>
      </w:r>
      <w:r>
        <w:rPr>
          <w:rFonts w:cs="Times New Roman"/>
          <w:sz w:val="24"/>
          <w:szCs w:val="24"/>
        </w:rPr>
        <w:t> </w:t>
      </w:r>
      <w:r w:rsidRPr="00722DDE">
        <w:rPr>
          <w:rFonts w:cs="Times New Roman"/>
          <w:sz w:val="24"/>
          <w:szCs w:val="24"/>
        </w:rPr>
        <w:t xml:space="preserve">203 tis. eur (v súvislosti s posunom projektov vyraďovania, resp. platieb do ďalších období) a vyšších nedaňových príjmov o 13 427 tis. eur (v súvislosti s odkladom úhrady za vykonané jadrové služby pre Slovenské elektrárne, </w:t>
      </w:r>
      <w:proofErr w:type="spellStart"/>
      <w:r w:rsidRPr="00722DDE">
        <w:rPr>
          <w:rFonts w:cs="Times New Roman"/>
          <w:sz w:val="24"/>
          <w:szCs w:val="24"/>
        </w:rPr>
        <w:t>a.s</w:t>
      </w:r>
      <w:proofErr w:type="spellEnd"/>
      <w:r w:rsidRPr="00722DDE">
        <w:rPr>
          <w:rFonts w:cs="Times New Roman"/>
          <w:sz w:val="24"/>
          <w:szCs w:val="24"/>
        </w:rPr>
        <w:t xml:space="preserve">. z predchádzajúceho roka). </w:t>
      </w:r>
    </w:p>
    <w:p w14:paraId="090C5941" w14:textId="77777777" w:rsidR="004C6700" w:rsidRPr="00092ACB" w:rsidRDefault="004C6700" w:rsidP="004C6700">
      <w:pPr>
        <w:spacing w:before="120" w:line="240" w:lineRule="auto"/>
        <w:rPr>
          <w:rFonts w:cs="Times New Roman"/>
          <w:sz w:val="24"/>
          <w:szCs w:val="24"/>
          <w:highlight w:val="yellow"/>
        </w:rPr>
      </w:pPr>
      <w:r w:rsidRPr="008D1414">
        <w:rPr>
          <w:rFonts w:cs="Times New Roman"/>
          <w:sz w:val="24"/>
          <w:szCs w:val="24"/>
        </w:rPr>
        <w:t>Celkové výdavky boli v porovnaní s rozpočtom nižšie najmä z dôvodu nižšieho čerpania výdavkov na tovary a služby o 12 354 tis. eur</w:t>
      </w:r>
      <w:r w:rsidRPr="006C19AB">
        <w:rPr>
          <w:rFonts w:cs="Times New Roman"/>
          <w:sz w:val="24"/>
          <w:szCs w:val="24"/>
        </w:rPr>
        <w:t xml:space="preserve">, a to výdavkov na všeobecné služby (o 5 226 tis. eur) z dôvodu predĺženia obstarávania podprojektu „Dekontaminácia a demolácia </w:t>
      </w:r>
      <w:r w:rsidRPr="006C19AB">
        <w:rPr>
          <w:rFonts w:cs="Times New Roman"/>
          <w:sz w:val="24"/>
          <w:szCs w:val="24"/>
        </w:rPr>
        <w:lastRenderedPageBreak/>
        <w:t xml:space="preserve">objektov JE V1 a uvedenie areálu do pôvodného stavu“, výdavkov na špeciálne služby (o 7 179 tis. eur) a výdavkov na poplatkoch a odvodoch (o 2 181 tis. eur). </w:t>
      </w:r>
      <w:r>
        <w:rPr>
          <w:rFonts w:cs="Times New Roman"/>
          <w:sz w:val="24"/>
          <w:szCs w:val="24"/>
        </w:rPr>
        <w:t>Výdavky na </w:t>
      </w:r>
      <w:r w:rsidRPr="00604F6E">
        <w:rPr>
          <w:rFonts w:cs="Times New Roman"/>
          <w:sz w:val="24"/>
          <w:szCs w:val="24"/>
        </w:rPr>
        <w:t>obstaranie kapitálový aktív dosiahli úroveň 31 057 tis. eur, čo je oproti rozpočtu menej o</w:t>
      </w:r>
      <w:r>
        <w:rPr>
          <w:rFonts w:cs="Times New Roman"/>
          <w:sz w:val="24"/>
          <w:szCs w:val="24"/>
        </w:rPr>
        <w:t> 16 </w:t>
      </w:r>
      <w:r w:rsidRPr="00604F6E">
        <w:rPr>
          <w:rFonts w:cs="Times New Roman"/>
          <w:sz w:val="24"/>
          <w:szCs w:val="24"/>
        </w:rPr>
        <w:t xml:space="preserve">941 tis. eur. Nižšie čerpanie bolo zaznamenané hlavne z dôvodu posunu realizácie projektov spojených s vyraďovaním jadrových zariadení, resp. záverečnou časťou jadrovej energetiky do budúcich období. </w:t>
      </w:r>
    </w:p>
    <w:p w14:paraId="39C8C21E" w14:textId="48E04AA6" w:rsidR="004C6700" w:rsidRPr="00CA2CF0" w:rsidRDefault="004C6700" w:rsidP="004C6700">
      <w:pPr>
        <w:spacing w:before="120" w:line="240" w:lineRule="auto"/>
        <w:rPr>
          <w:rFonts w:cs="Times New Roman"/>
          <w:sz w:val="24"/>
          <w:szCs w:val="24"/>
        </w:rPr>
      </w:pPr>
      <w:r w:rsidRPr="00604F6E">
        <w:rPr>
          <w:rFonts w:cs="Times New Roman"/>
          <w:sz w:val="24"/>
          <w:szCs w:val="24"/>
        </w:rPr>
        <w:t>Oproti rozpočtovanému ESA schodku dosiahla spoločnosť zlepšenie o 39 317 tis. eur, keď hospodárila s ESA prebytkom vo výške 8 336 tis. </w:t>
      </w:r>
      <w:r w:rsidRPr="00064E4D">
        <w:rPr>
          <w:rFonts w:cs="Times New Roman"/>
          <w:sz w:val="24"/>
          <w:szCs w:val="24"/>
        </w:rPr>
        <w:t>eur. Na dosiahn</w:t>
      </w:r>
      <w:r>
        <w:rPr>
          <w:rFonts w:cs="Times New Roman"/>
          <w:sz w:val="24"/>
          <w:szCs w:val="24"/>
        </w:rPr>
        <w:t xml:space="preserve">uté zlepšenie pozitívne vplýval najmä hotovostný prebytok spoločnosti a fakt, že rozpočet očakával ESA </w:t>
      </w:r>
      <w:r w:rsidRPr="00064E4D">
        <w:rPr>
          <w:rFonts w:cs="Times New Roman"/>
          <w:sz w:val="24"/>
          <w:szCs w:val="24"/>
        </w:rPr>
        <w:t>úprav</w:t>
      </w:r>
      <w:r>
        <w:rPr>
          <w:rFonts w:cs="Times New Roman"/>
          <w:sz w:val="24"/>
          <w:szCs w:val="24"/>
        </w:rPr>
        <w:t xml:space="preserve">u </w:t>
      </w:r>
      <w:r w:rsidRPr="00785A33">
        <w:rPr>
          <w:rFonts w:cs="Times New Roman"/>
          <w:sz w:val="24"/>
          <w:szCs w:val="24"/>
        </w:rPr>
        <w:t>preklasifiko</w:t>
      </w:r>
      <w:r>
        <w:rPr>
          <w:rFonts w:cs="Times New Roman"/>
          <w:sz w:val="24"/>
          <w:szCs w:val="24"/>
        </w:rPr>
        <w:t>vanie prijatého transferu z Národného jadrového fondu</w:t>
      </w:r>
      <w:r w:rsidRPr="00785A33">
        <w:rPr>
          <w:rFonts w:cs="Times New Roman"/>
          <w:sz w:val="24"/>
          <w:szCs w:val="24"/>
        </w:rPr>
        <w:t xml:space="preserve"> na finančnú operáciu </w:t>
      </w:r>
      <w:r>
        <w:rPr>
          <w:rFonts w:cs="Times New Roman"/>
          <w:sz w:val="24"/>
          <w:szCs w:val="24"/>
        </w:rPr>
        <w:t xml:space="preserve">v sume 34 673 tis. </w:t>
      </w:r>
      <w:r w:rsidRPr="00785A33">
        <w:rPr>
          <w:rFonts w:cs="Times New Roman"/>
          <w:sz w:val="24"/>
          <w:szCs w:val="24"/>
        </w:rPr>
        <w:t xml:space="preserve">eur, </w:t>
      </w:r>
      <w:r>
        <w:rPr>
          <w:rFonts w:cs="Times New Roman"/>
          <w:sz w:val="24"/>
          <w:szCs w:val="24"/>
        </w:rPr>
        <w:t xml:space="preserve">no </w:t>
      </w:r>
      <w:r w:rsidRPr="00785A33">
        <w:rPr>
          <w:rFonts w:cs="Times New Roman"/>
          <w:sz w:val="24"/>
          <w:szCs w:val="24"/>
        </w:rPr>
        <w:t>v skutočnosti táto úprava nebola realizovaná</w:t>
      </w:r>
      <w:r>
        <w:rPr>
          <w:rFonts w:cs="Times New Roman"/>
          <w:sz w:val="24"/>
          <w:szCs w:val="24"/>
        </w:rPr>
        <w:t>, nakoľko Štatistický úrad SR v súlade s metodikou ESA 2010 stanovil nový metodický postup</w:t>
      </w:r>
      <w:r w:rsidR="00711A88">
        <w:rPr>
          <w:rStyle w:val="Odkaznapoznmkupodiarou"/>
          <w:rFonts w:cs="Times New Roman"/>
          <w:sz w:val="24"/>
          <w:szCs w:val="24"/>
        </w:rPr>
        <w:footnoteReference w:id="23"/>
      </w:r>
      <w:r>
        <w:rPr>
          <w:rFonts w:cs="Times New Roman"/>
          <w:sz w:val="24"/>
          <w:szCs w:val="24"/>
        </w:rPr>
        <w:t xml:space="preserve"> pri vykazovaní týchto príjmov </w:t>
      </w:r>
      <w:proofErr w:type="spellStart"/>
      <w:r>
        <w:rPr>
          <w:rFonts w:cs="Times New Roman"/>
          <w:sz w:val="24"/>
          <w:szCs w:val="24"/>
        </w:rPr>
        <w:t>JAVYSu</w:t>
      </w:r>
      <w:proofErr w:type="spellEnd"/>
      <w:r>
        <w:rPr>
          <w:rFonts w:cs="Times New Roman"/>
          <w:sz w:val="24"/>
          <w:szCs w:val="24"/>
        </w:rPr>
        <w:t xml:space="preserve">. </w:t>
      </w:r>
    </w:p>
    <w:p w14:paraId="65CBD8E1" w14:textId="77777777" w:rsidR="004C6700" w:rsidRDefault="004C6700" w:rsidP="004C6700">
      <w:pPr>
        <w:spacing w:before="120" w:line="240" w:lineRule="auto"/>
        <w:rPr>
          <w:rFonts w:cs="Times New Roman"/>
          <w:sz w:val="24"/>
          <w:szCs w:val="24"/>
        </w:rPr>
      </w:pPr>
      <w:r w:rsidRPr="00CA2CF0">
        <w:rPr>
          <w:rFonts w:cs="Times New Roman"/>
          <w:sz w:val="24"/>
          <w:szCs w:val="24"/>
        </w:rPr>
        <w:t xml:space="preserve">Hotovostný schodok </w:t>
      </w:r>
      <w:r w:rsidRPr="00CA2CF0">
        <w:rPr>
          <w:rFonts w:cs="Times New Roman"/>
          <w:b/>
          <w:sz w:val="24"/>
          <w:szCs w:val="24"/>
        </w:rPr>
        <w:t xml:space="preserve">MH </w:t>
      </w:r>
      <w:proofErr w:type="spellStart"/>
      <w:r w:rsidRPr="00CA2CF0">
        <w:rPr>
          <w:rFonts w:cs="Times New Roman"/>
          <w:b/>
          <w:sz w:val="24"/>
          <w:szCs w:val="24"/>
        </w:rPr>
        <w:t>Investu</w:t>
      </w:r>
      <w:proofErr w:type="spellEnd"/>
      <w:r w:rsidRPr="00CA2CF0">
        <w:rPr>
          <w:rFonts w:cs="Times New Roman"/>
          <w:b/>
          <w:sz w:val="24"/>
          <w:szCs w:val="24"/>
        </w:rPr>
        <w:t xml:space="preserve">, </w:t>
      </w:r>
      <w:proofErr w:type="spellStart"/>
      <w:r w:rsidRPr="00CA2CF0">
        <w:rPr>
          <w:rFonts w:cs="Times New Roman"/>
          <w:b/>
          <w:sz w:val="24"/>
          <w:szCs w:val="24"/>
        </w:rPr>
        <w:t>s.r.o</w:t>
      </w:r>
      <w:proofErr w:type="spellEnd"/>
      <w:r w:rsidRPr="00CA2CF0">
        <w:rPr>
          <w:rFonts w:cs="Times New Roman"/>
          <w:b/>
          <w:sz w:val="24"/>
          <w:szCs w:val="24"/>
        </w:rPr>
        <w:t>.</w:t>
      </w:r>
      <w:r>
        <w:rPr>
          <w:rFonts w:cs="Times New Roman"/>
          <w:b/>
          <w:sz w:val="24"/>
          <w:szCs w:val="24"/>
        </w:rPr>
        <w:t xml:space="preserve"> </w:t>
      </w:r>
      <w:r w:rsidRPr="00FB3086">
        <w:rPr>
          <w:rFonts w:cs="Times New Roman"/>
          <w:sz w:val="24"/>
          <w:szCs w:val="24"/>
        </w:rPr>
        <w:t xml:space="preserve">bol rozpočtovaný vo výške </w:t>
      </w:r>
      <w:r>
        <w:rPr>
          <w:rFonts w:cs="Times New Roman"/>
          <w:sz w:val="24"/>
          <w:szCs w:val="24"/>
        </w:rPr>
        <w:t>25 255</w:t>
      </w:r>
      <w:r w:rsidRPr="00FB3086">
        <w:rPr>
          <w:rFonts w:cs="Times New Roman"/>
          <w:sz w:val="24"/>
          <w:szCs w:val="24"/>
        </w:rPr>
        <w:t> tis. eur, v skutočnosti spoločnosť dosiah</w:t>
      </w:r>
      <w:r>
        <w:rPr>
          <w:rFonts w:cs="Times New Roman"/>
          <w:sz w:val="24"/>
          <w:szCs w:val="24"/>
        </w:rPr>
        <w:t>la</w:t>
      </w:r>
      <w:r w:rsidRPr="00FB3086">
        <w:rPr>
          <w:rFonts w:cs="Times New Roman"/>
          <w:sz w:val="24"/>
          <w:szCs w:val="24"/>
        </w:rPr>
        <w:t xml:space="preserve"> hotovostný </w:t>
      </w:r>
      <w:r>
        <w:rPr>
          <w:rFonts w:cs="Times New Roman"/>
          <w:sz w:val="24"/>
          <w:szCs w:val="24"/>
        </w:rPr>
        <w:t>prebytok</w:t>
      </w:r>
      <w:r w:rsidRPr="00FB3086">
        <w:rPr>
          <w:rFonts w:cs="Times New Roman"/>
          <w:sz w:val="24"/>
          <w:szCs w:val="24"/>
        </w:rPr>
        <w:t xml:space="preserve"> </w:t>
      </w:r>
      <w:r>
        <w:rPr>
          <w:rFonts w:cs="Times New Roman"/>
          <w:sz w:val="24"/>
          <w:szCs w:val="24"/>
        </w:rPr>
        <w:t>2 644</w:t>
      </w:r>
      <w:r w:rsidRPr="00FB3086">
        <w:rPr>
          <w:rFonts w:cs="Times New Roman"/>
          <w:sz w:val="24"/>
          <w:szCs w:val="24"/>
        </w:rPr>
        <w:t> tis. eur. Na zlepšení hospodárenia o</w:t>
      </w:r>
      <w:r>
        <w:rPr>
          <w:rFonts w:cs="Times New Roman"/>
          <w:sz w:val="24"/>
          <w:szCs w:val="24"/>
        </w:rPr>
        <w:t> 27 899</w:t>
      </w:r>
      <w:r w:rsidRPr="00FB3086">
        <w:rPr>
          <w:rFonts w:cs="Times New Roman"/>
          <w:sz w:val="24"/>
          <w:szCs w:val="24"/>
        </w:rPr>
        <w:t xml:space="preserve"> tis. eur oproti rozpočtu vplýval </w:t>
      </w:r>
      <w:r>
        <w:rPr>
          <w:rFonts w:cs="Times New Roman"/>
          <w:sz w:val="24"/>
          <w:szCs w:val="24"/>
        </w:rPr>
        <w:t>rast</w:t>
      </w:r>
      <w:r w:rsidRPr="00FB3086">
        <w:rPr>
          <w:rFonts w:cs="Times New Roman"/>
          <w:sz w:val="24"/>
          <w:szCs w:val="24"/>
        </w:rPr>
        <w:t xml:space="preserve"> celkových príjmov o</w:t>
      </w:r>
      <w:r>
        <w:rPr>
          <w:rFonts w:cs="Times New Roman"/>
          <w:sz w:val="24"/>
          <w:szCs w:val="24"/>
        </w:rPr>
        <w:t> 4 692</w:t>
      </w:r>
      <w:r w:rsidRPr="00FB3086">
        <w:rPr>
          <w:rFonts w:cs="Times New Roman"/>
          <w:sz w:val="24"/>
          <w:szCs w:val="24"/>
        </w:rPr>
        <w:t> tis. eur, eliminovaný vplyvom poklesu výdavkov o</w:t>
      </w:r>
      <w:r>
        <w:rPr>
          <w:rFonts w:cs="Times New Roman"/>
          <w:sz w:val="24"/>
          <w:szCs w:val="24"/>
        </w:rPr>
        <w:t> 23 207</w:t>
      </w:r>
      <w:r w:rsidRPr="00FB3086">
        <w:rPr>
          <w:rFonts w:cs="Times New Roman"/>
          <w:sz w:val="24"/>
          <w:szCs w:val="24"/>
        </w:rPr>
        <w:t> tis. eur.</w:t>
      </w:r>
    </w:p>
    <w:p w14:paraId="584C23BA" w14:textId="77777777" w:rsidR="004C6700" w:rsidRDefault="004C6700" w:rsidP="004C6700">
      <w:pPr>
        <w:spacing w:before="120" w:line="240" w:lineRule="auto"/>
        <w:rPr>
          <w:rFonts w:cs="Times New Roman"/>
          <w:sz w:val="24"/>
          <w:szCs w:val="24"/>
        </w:rPr>
      </w:pPr>
      <w:r w:rsidRPr="005A5FCC">
        <w:rPr>
          <w:rFonts w:cs="Times New Roman"/>
          <w:sz w:val="24"/>
          <w:szCs w:val="24"/>
        </w:rPr>
        <w:t>Celkové príjmy boli v porovnaní s rozpočtom na rok 2023 vyššie najmä z dôvodu zvýšených kapitálových príjmov o 4 075 tis. eur</w:t>
      </w:r>
      <w:r>
        <w:rPr>
          <w:rFonts w:cs="Times New Roman"/>
          <w:sz w:val="24"/>
          <w:szCs w:val="24"/>
        </w:rPr>
        <w:t>, ktoré predstavujú zálohu na budúci predaj pozemkov v priemyselnom parku Horná Streda.</w:t>
      </w:r>
    </w:p>
    <w:p w14:paraId="7C03774D" w14:textId="77777777" w:rsidR="004C6700" w:rsidRPr="005A5FCC" w:rsidRDefault="004C6700" w:rsidP="004C6700">
      <w:pPr>
        <w:spacing w:before="120" w:line="240" w:lineRule="auto"/>
        <w:rPr>
          <w:rFonts w:cs="Times New Roman"/>
          <w:sz w:val="24"/>
          <w:szCs w:val="24"/>
          <w:highlight w:val="yellow"/>
        </w:rPr>
      </w:pPr>
      <w:r>
        <w:rPr>
          <w:rFonts w:cs="Times New Roman"/>
          <w:sz w:val="24"/>
          <w:szCs w:val="24"/>
        </w:rPr>
        <w:t>C</w:t>
      </w:r>
      <w:r w:rsidRPr="005A5FCC">
        <w:rPr>
          <w:rFonts w:cs="Times New Roman"/>
          <w:sz w:val="24"/>
          <w:szCs w:val="24"/>
        </w:rPr>
        <w:t xml:space="preserve">elkové výdavky boli v porovnaní s rozpočtom nižšie </w:t>
      </w:r>
      <w:r w:rsidRPr="0047288A">
        <w:rPr>
          <w:rFonts w:cs="Times New Roman"/>
          <w:sz w:val="24"/>
          <w:szCs w:val="24"/>
        </w:rPr>
        <w:t>najmä z dôvodu nižšieho čerpania kapitálových výdavkov na obstarávanie kapitálových aktív</w:t>
      </w:r>
      <w:r>
        <w:rPr>
          <w:rFonts w:cs="Times New Roman"/>
          <w:sz w:val="24"/>
          <w:szCs w:val="24"/>
        </w:rPr>
        <w:t xml:space="preserve"> </w:t>
      </w:r>
      <w:r w:rsidRPr="0047288A">
        <w:rPr>
          <w:rFonts w:cs="Times New Roman"/>
          <w:sz w:val="24"/>
          <w:szCs w:val="24"/>
        </w:rPr>
        <w:t>o sumu 22 717 tis. eur</w:t>
      </w:r>
      <w:r>
        <w:rPr>
          <w:rFonts w:cs="Times New Roman"/>
          <w:sz w:val="24"/>
          <w:szCs w:val="24"/>
        </w:rPr>
        <w:t>, vzhľadom na posun realizácie investičných akcií v priemyselných parkoch Nitra, Rimavská Sobota, Sabinov a pod.</w:t>
      </w:r>
      <w:r w:rsidRPr="0047288A">
        <w:rPr>
          <w:rFonts w:cs="Times New Roman"/>
          <w:sz w:val="24"/>
          <w:szCs w:val="24"/>
        </w:rPr>
        <w:t xml:space="preserve"> </w:t>
      </w:r>
    </w:p>
    <w:p w14:paraId="2C04B1EC" w14:textId="77777777" w:rsidR="004C6700" w:rsidRPr="00FB3086" w:rsidRDefault="004C6700" w:rsidP="004C6700">
      <w:pPr>
        <w:spacing w:before="120" w:line="240" w:lineRule="auto"/>
        <w:rPr>
          <w:rFonts w:cs="Times New Roman"/>
          <w:sz w:val="24"/>
          <w:szCs w:val="24"/>
        </w:rPr>
      </w:pPr>
      <w:r w:rsidRPr="0047288A">
        <w:rPr>
          <w:rFonts w:cs="Times New Roman"/>
          <w:sz w:val="24"/>
          <w:szCs w:val="24"/>
        </w:rPr>
        <w:t xml:space="preserve">Oproti rozpočtovanému ESA schodku dosiahla spoločnosť zlepšenie o 21 683 tis. eur, keď hospodárila s ESA schodkom vo výške 3 572 tis. eur. </w:t>
      </w:r>
      <w:r w:rsidRPr="00364CC4">
        <w:rPr>
          <w:rFonts w:cs="Times New Roman"/>
          <w:sz w:val="24"/>
          <w:szCs w:val="24"/>
        </w:rPr>
        <w:t xml:space="preserve">Na dosiahnuté zlepšenie pozitívne vplýval najmä </w:t>
      </w:r>
      <w:r>
        <w:rPr>
          <w:rFonts w:cs="Times New Roman"/>
          <w:sz w:val="24"/>
          <w:szCs w:val="24"/>
        </w:rPr>
        <w:t>hotovostný prebytok spoločnosti, ktorý bol eliminovaný nárastom záväzkov od dodávateľov a nevyfakturovaných dodávok v sume 6 316 tis. eur.</w:t>
      </w:r>
    </w:p>
    <w:p w14:paraId="4B2A6268" w14:textId="3F444983" w:rsidR="004C6700" w:rsidRPr="00CF32AE" w:rsidRDefault="004C6700" w:rsidP="004C6700">
      <w:pPr>
        <w:spacing w:before="120" w:line="240" w:lineRule="auto"/>
        <w:rPr>
          <w:rFonts w:cs="Times New Roman"/>
          <w:sz w:val="24"/>
          <w:szCs w:val="24"/>
        </w:rPr>
      </w:pPr>
      <w:r w:rsidRPr="003A5533">
        <w:rPr>
          <w:b/>
          <w:sz w:val="24"/>
          <w:szCs w:val="24"/>
        </w:rPr>
        <w:t>Zdravotnícke zariadenia v ústrednej správe</w:t>
      </w:r>
      <w:r w:rsidRPr="003A5533">
        <w:rPr>
          <w:sz w:val="24"/>
          <w:szCs w:val="24"/>
        </w:rPr>
        <w:t xml:space="preserve"> dosiahli hotovostný schodok na úrovni 59 642 tis. eur, čo bolo o 65 397 tis. eur viac ako sa predpokladalo v rozpočte. Pozitívny vplyv predstavovali vyššie príjmy najmä z administratívnych </w:t>
      </w:r>
      <w:r w:rsidR="00A772D4">
        <w:rPr>
          <w:sz w:val="24"/>
          <w:szCs w:val="24"/>
        </w:rPr>
        <w:t xml:space="preserve">poplatkov </w:t>
      </w:r>
      <w:r w:rsidRPr="003A5533">
        <w:rPr>
          <w:sz w:val="24"/>
          <w:szCs w:val="24"/>
        </w:rPr>
        <w:t>a iných poplatkov</w:t>
      </w:r>
      <w:r w:rsidR="00A772D4">
        <w:rPr>
          <w:sz w:val="24"/>
          <w:szCs w:val="24"/>
        </w:rPr>
        <w:t xml:space="preserve"> a platieb</w:t>
      </w:r>
      <w:r w:rsidRPr="003A5533">
        <w:rPr>
          <w:sz w:val="24"/>
          <w:szCs w:val="24"/>
        </w:rPr>
        <w:t xml:space="preserve"> o 301 749 tis. eur (najmä za lekárske výkony a poskytnutú zdravotnú starostlivosť) a zároveň pozitívny vplyv </w:t>
      </w:r>
      <w:r>
        <w:rPr>
          <w:sz w:val="24"/>
          <w:szCs w:val="24"/>
        </w:rPr>
        <w:t>na</w:t>
      </w:r>
      <w:r w:rsidR="007D57AB">
        <w:rPr>
          <w:sz w:val="24"/>
          <w:szCs w:val="24"/>
        </w:rPr>
        <w:t> </w:t>
      </w:r>
      <w:r>
        <w:rPr>
          <w:sz w:val="24"/>
          <w:szCs w:val="24"/>
        </w:rPr>
        <w:t xml:space="preserve">hospodárenie </w:t>
      </w:r>
      <w:r w:rsidRPr="003A5533">
        <w:rPr>
          <w:sz w:val="24"/>
          <w:szCs w:val="24"/>
        </w:rPr>
        <w:t>mali vyššie príjmy o 149 038 tis. eur v kategórii granty a transfery. V rámci výdavkov na tovary a</w:t>
      </w:r>
      <w:r>
        <w:rPr>
          <w:sz w:val="24"/>
          <w:szCs w:val="24"/>
        </w:rPr>
        <w:t> </w:t>
      </w:r>
      <w:r w:rsidRPr="003A5533">
        <w:rPr>
          <w:sz w:val="24"/>
          <w:szCs w:val="24"/>
        </w:rPr>
        <w:t>služby sa však pri rozpočt</w:t>
      </w:r>
      <w:r w:rsidR="00BA4D8B">
        <w:rPr>
          <w:sz w:val="24"/>
          <w:szCs w:val="24"/>
        </w:rPr>
        <w:t>e</w:t>
      </w:r>
      <w:r w:rsidRPr="003A5533">
        <w:rPr>
          <w:sz w:val="24"/>
          <w:szCs w:val="24"/>
        </w:rPr>
        <w:t xml:space="preserve"> počítalo s nižšími výdavkami najmä na</w:t>
      </w:r>
      <w:r w:rsidR="007D57AB">
        <w:rPr>
          <w:sz w:val="24"/>
          <w:szCs w:val="24"/>
        </w:rPr>
        <w:t> </w:t>
      </w:r>
      <w:r w:rsidRPr="003A5533">
        <w:rPr>
          <w:sz w:val="24"/>
          <w:szCs w:val="24"/>
        </w:rPr>
        <w:t>obstaranie zdravotníckeho a špeciálneho materiálu, ale skutočnosť bola o 217 625 tis. eur vyššia ako sa plánovalo. Vyššie čerpanie výdavkov na obstaranie kapitálových aktív zhoršilo hospodárenie o 126 452 tis. eur oproti rozpočtu</w:t>
      </w:r>
      <w:r w:rsidRPr="00CF32AE">
        <w:rPr>
          <w:sz w:val="24"/>
          <w:szCs w:val="24"/>
        </w:rPr>
        <w:t>.</w:t>
      </w:r>
      <w:r w:rsidRPr="00CF32AE">
        <w:t xml:space="preserve"> </w:t>
      </w:r>
      <w:r w:rsidRPr="00CF32AE">
        <w:rPr>
          <w:sz w:val="24"/>
          <w:szCs w:val="24"/>
        </w:rPr>
        <w:t>Išlo predovšetkým o výdavky na obstaranie nového prístrojového vybavenia zdravotníckych zariadení, na rekonštrukciu, stavebné úpravy a</w:t>
      </w:r>
      <w:r>
        <w:rPr>
          <w:sz w:val="24"/>
          <w:szCs w:val="24"/>
        </w:rPr>
        <w:t> </w:t>
      </w:r>
      <w:r w:rsidRPr="00CF32AE">
        <w:rPr>
          <w:sz w:val="24"/>
          <w:szCs w:val="24"/>
        </w:rPr>
        <w:t xml:space="preserve">modernizáciu priestorov a budov zdravotníckych zariadení a taktiež aj nákup dopravných prostriedkov. </w:t>
      </w:r>
    </w:p>
    <w:p w14:paraId="340E080C" w14:textId="47BF7A68" w:rsidR="004C6700" w:rsidRPr="00092ACB" w:rsidRDefault="004C6700" w:rsidP="00691349">
      <w:pPr>
        <w:spacing w:line="240" w:lineRule="auto"/>
        <w:rPr>
          <w:sz w:val="24"/>
          <w:szCs w:val="24"/>
          <w:highlight w:val="yellow"/>
        </w:rPr>
      </w:pPr>
      <w:r w:rsidRPr="003A5533">
        <w:rPr>
          <w:sz w:val="24"/>
          <w:szCs w:val="24"/>
        </w:rPr>
        <w:t xml:space="preserve">V metodike ESA však zdravotnícke zariadenia dosiahli schodok vo výške </w:t>
      </w:r>
      <w:r w:rsidR="00A772D4">
        <w:rPr>
          <w:sz w:val="24"/>
          <w:szCs w:val="24"/>
        </w:rPr>
        <w:t xml:space="preserve">až </w:t>
      </w:r>
      <w:r w:rsidRPr="003A5533">
        <w:rPr>
          <w:sz w:val="24"/>
          <w:szCs w:val="24"/>
        </w:rPr>
        <w:t xml:space="preserve">281 682 tis. eur, zatiaľ čo rozpočtovaný bol prebytok vo výške 5 755 tis. eur. Hotovostný schodok bol ovplyvnený </w:t>
      </w:r>
      <w:proofErr w:type="spellStart"/>
      <w:r w:rsidRPr="003A5533">
        <w:rPr>
          <w:sz w:val="24"/>
          <w:szCs w:val="24"/>
        </w:rPr>
        <w:t>akrualizáciou</w:t>
      </w:r>
      <w:proofErr w:type="spellEnd"/>
      <w:r w:rsidRPr="003A5533">
        <w:rPr>
          <w:sz w:val="24"/>
          <w:szCs w:val="24"/>
        </w:rPr>
        <w:t xml:space="preserve"> pohľadávok a záväzkov, ktorá je v prípade zdravotníckych zariadení významnejšia ako pri iných subjektoch verejnej správy. Najväčší vplyv na zhoršenie </w:t>
      </w:r>
      <w:r w:rsidRPr="003A5533">
        <w:rPr>
          <w:sz w:val="24"/>
          <w:szCs w:val="24"/>
        </w:rPr>
        <w:lastRenderedPageBreak/>
        <w:t xml:space="preserve">hospodárenia oproti hotovostnému schodku predstavoval významný nárast celkových záväzkov o 211 889 tis. eur. </w:t>
      </w:r>
      <w:r w:rsidRPr="005E0E58">
        <w:rPr>
          <w:sz w:val="24"/>
          <w:szCs w:val="24"/>
        </w:rPr>
        <w:t>V príspevkových organizáciách, ktoré tvoria najväčšiu skupinu zdravotníckych zariadení z pohľadu právnej formy, došlo medziročne k nárastu záväzkov o 208 187 tis. eur. Išlo predovšetkým o nárast záväzkov voči orgánom sociálneho a zdravotného poistenia (najmä voči Sociálnej poisťovni) o 192 796 tis. eur. Aj napriek vplyvu oddlžovania voči ostatným veriteľom v roku 2023, kedy došlo k poklesu záväzkov o 77 059 tis. eur (vplyv za všetky právne formy je 79 030 tis. eur), došlo k medziročnému nárastu záväzkov voči dodávateľom o 29 727 tis. eur.</w:t>
      </w:r>
    </w:p>
    <w:p w14:paraId="19578D27" w14:textId="0496C19F" w:rsidR="004C6700" w:rsidRPr="00A610E5" w:rsidRDefault="004C6700" w:rsidP="00691349">
      <w:pPr>
        <w:spacing w:line="240" w:lineRule="auto"/>
        <w:rPr>
          <w:sz w:val="24"/>
          <w:szCs w:val="24"/>
        </w:rPr>
      </w:pPr>
      <w:r w:rsidRPr="00A610E5">
        <w:rPr>
          <w:sz w:val="24"/>
          <w:szCs w:val="24"/>
        </w:rPr>
        <w:t>Negatívny vplyv na celkové hospodárenie podľa ESA malo akruálne zaznamenanie výdavkov na</w:t>
      </w:r>
      <w:r>
        <w:rPr>
          <w:sz w:val="24"/>
          <w:szCs w:val="24"/>
        </w:rPr>
        <w:t> </w:t>
      </w:r>
      <w:r w:rsidRPr="00A610E5">
        <w:rPr>
          <w:sz w:val="24"/>
          <w:szCs w:val="24"/>
        </w:rPr>
        <w:t>stabilizačný príspevok</w:t>
      </w:r>
      <w:r>
        <w:rPr>
          <w:sz w:val="24"/>
          <w:szCs w:val="24"/>
        </w:rPr>
        <w:t xml:space="preserve"> vo výške 33 648 tis. eur</w:t>
      </w:r>
      <w:r w:rsidRPr="00A610E5">
        <w:rPr>
          <w:sz w:val="24"/>
          <w:szCs w:val="24"/>
        </w:rPr>
        <w:t>, ktoré sa v zmysle ESA metodiky majú zaznamenať do obdobia, s ktorými vecne a časovo súvisia. V zmysle dohody o poskytnutí stabilizačného príspevku sa zamestnanec zaviazal, že zotrvá v pracovnom pomere nepretržite počas troch rokov, preto výdavok zdravotníckych zariadení v sektore verejnej správy bude rozložený na obdobie rokov 202</w:t>
      </w:r>
      <w:r w:rsidR="00E635A9">
        <w:rPr>
          <w:sz w:val="24"/>
          <w:szCs w:val="24"/>
        </w:rPr>
        <w:t>3, 2024 a 2025 v pomernej časti</w:t>
      </w:r>
      <w:r w:rsidRPr="00A610E5">
        <w:rPr>
          <w:sz w:val="24"/>
          <w:szCs w:val="24"/>
        </w:rPr>
        <w:t xml:space="preserve"> </w:t>
      </w:r>
      <w:r w:rsidR="00E635A9">
        <w:rPr>
          <w:sz w:val="24"/>
          <w:szCs w:val="24"/>
        </w:rPr>
        <w:t>(hotovostný výdavok sa realizoval jednorazovo v roku 2022).</w:t>
      </w:r>
    </w:p>
    <w:p w14:paraId="4ECECE02" w14:textId="1B5F58A9" w:rsidR="004C6700" w:rsidRDefault="004C6700" w:rsidP="00691349">
      <w:pPr>
        <w:spacing w:line="240" w:lineRule="auto"/>
        <w:rPr>
          <w:sz w:val="24"/>
          <w:szCs w:val="24"/>
        </w:rPr>
      </w:pPr>
      <w:r w:rsidRPr="00A610E5">
        <w:rPr>
          <w:sz w:val="24"/>
          <w:szCs w:val="24"/>
        </w:rPr>
        <w:t>Pozitívny vplyv predstavoval nárast pohľadávok o 13 549 tis. eur (išlo najmä pohľadávky voči zdravotným poisťovniam za posk</w:t>
      </w:r>
      <w:r>
        <w:rPr>
          <w:sz w:val="24"/>
          <w:szCs w:val="24"/>
        </w:rPr>
        <w:t xml:space="preserve">ytnutú zdravotnú starostlivosť). Tento nižší medziročný nárast </w:t>
      </w:r>
      <w:r w:rsidR="00053AFE">
        <w:rPr>
          <w:sz w:val="24"/>
          <w:szCs w:val="24"/>
        </w:rPr>
        <w:t xml:space="preserve">(v roku 2022 bol medziročný nárast vo výške 33 691 tis. eur) </w:t>
      </w:r>
      <w:r>
        <w:rPr>
          <w:sz w:val="24"/>
          <w:szCs w:val="24"/>
        </w:rPr>
        <w:t xml:space="preserve">bol spôsobený vplyvom oddlžovania záväzkov zdravotníckych zariadení najmä voči Národnej transfúznej </w:t>
      </w:r>
      <w:r w:rsidR="009C66DE">
        <w:rPr>
          <w:sz w:val="24"/>
          <w:szCs w:val="24"/>
        </w:rPr>
        <w:t>spoločnosti</w:t>
      </w:r>
      <w:r>
        <w:rPr>
          <w:sz w:val="24"/>
          <w:szCs w:val="24"/>
        </w:rPr>
        <w:t xml:space="preserve"> (</w:t>
      </w:r>
      <w:r w:rsidR="00A772D4">
        <w:rPr>
          <w:sz w:val="24"/>
          <w:szCs w:val="24"/>
        </w:rPr>
        <w:t xml:space="preserve">medziročne </w:t>
      </w:r>
      <w:r>
        <w:rPr>
          <w:sz w:val="24"/>
          <w:szCs w:val="24"/>
        </w:rPr>
        <w:t xml:space="preserve">došlo k poklesu pohľadávok v Národnej transfúznej </w:t>
      </w:r>
      <w:r w:rsidR="009C66DE">
        <w:rPr>
          <w:sz w:val="24"/>
          <w:szCs w:val="24"/>
        </w:rPr>
        <w:t>spoločnosti</w:t>
      </w:r>
      <w:bookmarkStart w:id="25" w:name="_GoBack"/>
      <w:bookmarkEnd w:id="25"/>
      <w:r>
        <w:rPr>
          <w:sz w:val="24"/>
          <w:szCs w:val="24"/>
        </w:rPr>
        <w:t xml:space="preserve"> SR v celkovej výške 42 910 tis. eur).</w:t>
      </w:r>
    </w:p>
    <w:p w14:paraId="6EC20F72" w14:textId="440F2CF9" w:rsidR="004C6700" w:rsidRPr="00A610E5" w:rsidRDefault="004C6700" w:rsidP="00691349">
      <w:pPr>
        <w:spacing w:line="240" w:lineRule="auto"/>
        <w:rPr>
          <w:sz w:val="24"/>
          <w:szCs w:val="24"/>
        </w:rPr>
      </w:pPr>
      <w:r>
        <w:rPr>
          <w:sz w:val="24"/>
          <w:szCs w:val="24"/>
        </w:rPr>
        <w:t>Ďalší pozitívny vplyv predstavovala</w:t>
      </w:r>
      <w:r w:rsidRPr="00A610E5">
        <w:rPr>
          <w:sz w:val="24"/>
          <w:szCs w:val="24"/>
        </w:rPr>
        <w:t xml:space="preserve"> prijatá pôžička Kúpeľov Sliač, </w:t>
      </w:r>
      <w:proofErr w:type="spellStart"/>
      <w:r w:rsidRPr="00A610E5">
        <w:rPr>
          <w:sz w:val="24"/>
          <w:szCs w:val="24"/>
        </w:rPr>
        <w:t>a.s</w:t>
      </w:r>
      <w:proofErr w:type="spellEnd"/>
      <w:r w:rsidRPr="00A610E5">
        <w:rPr>
          <w:sz w:val="24"/>
          <w:szCs w:val="24"/>
        </w:rPr>
        <w:t>. vo výške 900 tis. eur a prijatý vklad do kapitálových fondov vo výške 945 tis. eur</w:t>
      </w:r>
      <w:r>
        <w:rPr>
          <w:sz w:val="24"/>
          <w:szCs w:val="24"/>
        </w:rPr>
        <w:t xml:space="preserve"> </w:t>
      </w:r>
      <w:r w:rsidR="006243D7">
        <w:rPr>
          <w:sz w:val="24"/>
          <w:szCs w:val="24"/>
        </w:rPr>
        <w:t xml:space="preserve">(od MH Manažmentu, </w:t>
      </w:r>
      <w:proofErr w:type="spellStart"/>
      <w:r w:rsidR="006243D7">
        <w:rPr>
          <w:sz w:val="24"/>
          <w:szCs w:val="24"/>
        </w:rPr>
        <w:t>a.</w:t>
      </w:r>
      <w:r w:rsidRPr="00A610E5">
        <w:rPr>
          <w:sz w:val="24"/>
          <w:szCs w:val="24"/>
        </w:rPr>
        <w:t>s</w:t>
      </w:r>
      <w:proofErr w:type="spellEnd"/>
      <w:r w:rsidRPr="00A610E5">
        <w:rPr>
          <w:sz w:val="24"/>
          <w:szCs w:val="24"/>
        </w:rPr>
        <w:t xml:space="preserve">.), ktoré boli preklasifikované na </w:t>
      </w:r>
      <w:r w:rsidR="00526359">
        <w:rPr>
          <w:sz w:val="24"/>
          <w:szCs w:val="24"/>
        </w:rPr>
        <w:t xml:space="preserve">prijatý </w:t>
      </w:r>
      <w:r w:rsidRPr="00A610E5">
        <w:rPr>
          <w:sz w:val="24"/>
          <w:szCs w:val="24"/>
        </w:rPr>
        <w:t>kapitálový transfer. Preklasifikovaný bol</w:t>
      </w:r>
      <w:r>
        <w:rPr>
          <w:sz w:val="24"/>
          <w:szCs w:val="24"/>
        </w:rPr>
        <w:t xml:space="preserve"> aj prijatý vklad do </w:t>
      </w:r>
      <w:r w:rsidRPr="00A610E5">
        <w:rPr>
          <w:sz w:val="24"/>
          <w:szCs w:val="24"/>
        </w:rPr>
        <w:t xml:space="preserve">základného imania UN sv. Michala (zo ŠFA) na </w:t>
      </w:r>
      <w:r w:rsidR="00526359">
        <w:rPr>
          <w:sz w:val="24"/>
          <w:szCs w:val="24"/>
        </w:rPr>
        <w:t xml:space="preserve">prijatý </w:t>
      </w:r>
      <w:r w:rsidRPr="00A610E5">
        <w:rPr>
          <w:sz w:val="24"/>
          <w:szCs w:val="24"/>
        </w:rPr>
        <w:t>kapitálový transfer vo výške 8 000 tis. eur.</w:t>
      </w:r>
      <w:r>
        <w:rPr>
          <w:sz w:val="24"/>
          <w:szCs w:val="24"/>
        </w:rPr>
        <w:t xml:space="preserve"> Tieto kapitálové transfery sa konsolidujú v rámci verejnej správy.</w:t>
      </w:r>
    </w:p>
    <w:p w14:paraId="25D777C2" w14:textId="02A4B6BE" w:rsidR="004C6700" w:rsidRPr="00E40542" w:rsidRDefault="004C6700" w:rsidP="00691349">
      <w:pPr>
        <w:spacing w:line="240" w:lineRule="auto"/>
        <w:rPr>
          <w:sz w:val="24"/>
          <w:szCs w:val="24"/>
        </w:rPr>
      </w:pPr>
      <w:r w:rsidRPr="00E40542">
        <w:rPr>
          <w:rFonts w:eastAsia="Calibri" w:cs="Times New Roman"/>
          <w:b/>
          <w:sz w:val="24"/>
          <w:szCs w:val="24"/>
        </w:rPr>
        <w:t>Príspevkové organizácie ústrednej správy</w:t>
      </w:r>
      <w:r w:rsidRPr="00E40542">
        <w:rPr>
          <w:rFonts w:eastAsia="Calibri" w:cs="Times New Roman"/>
          <w:sz w:val="24"/>
          <w:szCs w:val="24"/>
        </w:rPr>
        <w:t xml:space="preserve"> dosiahli </w:t>
      </w:r>
      <w:r w:rsidRPr="00E40542">
        <w:rPr>
          <w:rFonts w:eastAsia="Times New Roman" w:cs="Times New Roman"/>
          <w:sz w:val="24"/>
          <w:szCs w:val="24"/>
          <w:lang w:eastAsia="sk-SK"/>
        </w:rPr>
        <w:t xml:space="preserve">ESA schodok vo výške 2 013 tis. eur, čo predstavuje </w:t>
      </w:r>
      <w:r>
        <w:rPr>
          <w:rFonts w:eastAsia="Times New Roman" w:cs="Times New Roman"/>
          <w:sz w:val="24"/>
          <w:szCs w:val="24"/>
          <w:lang w:eastAsia="sk-SK"/>
        </w:rPr>
        <w:t>pozitívny vplyv</w:t>
      </w:r>
      <w:r w:rsidRPr="00E40542">
        <w:rPr>
          <w:rFonts w:eastAsia="Times New Roman" w:cs="Times New Roman"/>
          <w:sz w:val="24"/>
          <w:szCs w:val="24"/>
          <w:lang w:eastAsia="sk-SK"/>
        </w:rPr>
        <w:t xml:space="preserve"> oproti rozpočtu o 2 426 tis. eur. Podstatnou mierou k tomu prispel hotovostný prebytok vo výške 137 333 tis. eur, čo predstavuje </w:t>
      </w:r>
      <w:r>
        <w:rPr>
          <w:rFonts w:eastAsia="Times New Roman" w:cs="Times New Roman"/>
          <w:sz w:val="24"/>
          <w:szCs w:val="24"/>
          <w:lang w:eastAsia="sk-SK"/>
        </w:rPr>
        <w:t>nárast</w:t>
      </w:r>
      <w:r w:rsidRPr="00E40542">
        <w:rPr>
          <w:rFonts w:eastAsia="Times New Roman" w:cs="Times New Roman"/>
          <w:sz w:val="24"/>
          <w:szCs w:val="24"/>
          <w:lang w:eastAsia="sk-SK"/>
        </w:rPr>
        <w:t xml:space="preserve"> o 141 772 tis. eur oproti rozpočtu. Na zlepšenie hotovostného hospodárenia oproti rozpočtu vplývali vyššie príjmy na</w:t>
      </w:r>
      <w:r>
        <w:rPr>
          <w:rFonts w:eastAsia="Times New Roman" w:cs="Times New Roman"/>
          <w:sz w:val="24"/>
          <w:szCs w:val="24"/>
          <w:lang w:eastAsia="sk-SK"/>
        </w:rPr>
        <w:t> </w:t>
      </w:r>
      <w:r w:rsidRPr="00E40542">
        <w:rPr>
          <w:rFonts w:eastAsia="Times New Roman" w:cs="Times New Roman"/>
          <w:sz w:val="24"/>
          <w:szCs w:val="24"/>
          <w:lang w:eastAsia="sk-SK"/>
        </w:rPr>
        <w:t>položke granty a transfery o 597 840 tis. eur, ide najmä o bežné a kapitálové transfery zo</w:t>
      </w:r>
      <w:r>
        <w:rPr>
          <w:rFonts w:eastAsia="Times New Roman" w:cs="Times New Roman"/>
          <w:sz w:val="24"/>
          <w:szCs w:val="24"/>
          <w:lang w:eastAsia="sk-SK"/>
        </w:rPr>
        <w:t> </w:t>
      </w:r>
      <w:r w:rsidRPr="00E40542">
        <w:rPr>
          <w:rFonts w:eastAsia="Times New Roman" w:cs="Times New Roman"/>
          <w:sz w:val="24"/>
          <w:szCs w:val="24"/>
          <w:lang w:eastAsia="sk-SK"/>
        </w:rPr>
        <w:t>štátneho rozpočtu, ktoré boli recipročne eliminované vyššími výdavkami oproti rozpočtu na</w:t>
      </w:r>
      <w:r>
        <w:rPr>
          <w:rFonts w:eastAsia="Times New Roman" w:cs="Times New Roman"/>
          <w:sz w:val="24"/>
          <w:szCs w:val="24"/>
          <w:lang w:eastAsia="sk-SK"/>
        </w:rPr>
        <w:t> </w:t>
      </w:r>
      <w:r w:rsidRPr="00E40542">
        <w:rPr>
          <w:rFonts w:eastAsia="Times New Roman" w:cs="Times New Roman"/>
          <w:sz w:val="24"/>
          <w:szCs w:val="24"/>
          <w:lang w:eastAsia="sk-SK"/>
        </w:rPr>
        <w:t xml:space="preserve">položke bežné transfery vo výške 171 081 tis. eur. V roku 2023 Slovenská agentúra životného prostredia (SAŽP) zo štátneho rozpočtu prijala transfer zo zdrojov Plánu obnovy a odolnosti (POO) v objeme 179 660 tis. eur. Príjmy z POO bude SAŽP čerpať aj v nasledujúcich rokoch a preto </w:t>
      </w:r>
      <w:r>
        <w:rPr>
          <w:rFonts w:eastAsia="Times New Roman" w:cs="Times New Roman"/>
          <w:sz w:val="24"/>
          <w:szCs w:val="24"/>
          <w:lang w:eastAsia="sk-SK"/>
        </w:rPr>
        <w:t>bol imputovaný</w:t>
      </w:r>
      <w:r w:rsidRPr="00E40542">
        <w:rPr>
          <w:rFonts w:eastAsia="Calibri" w:cs="Times New Roman"/>
          <w:sz w:val="24"/>
          <w:szCs w:val="24"/>
        </w:rPr>
        <w:t xml:space="preserve"> SAŽP záväzok (ktorý podľa ESA metodik</w:t>
      </w:r>
      <w:r w:rsidR="004B4573">
        <w:rPr>
          <w:rFonts w:eastAsia="Calibri" w:cs="Times New Roman"/>
          <w:sz w:val="24"/>
          <w:szCs w:val="24"/>
        </w:rPr>
        <w:t>y znižuje akruálne</w:t>
      </w:r>
      <w:r w:rsidRPr="00E40542">
        <w:rPr>
          <w:rFonts w:eastAsia="Calibri" w:cs="Times New Roman"/>
          <w:sz w:val="24"/>
          <w:szCs w:val="24"/>
        </w:rPr>
        <w:t xml:space="preserve"> príjmy)  vyčerpať zd</w:t>
      </w:r>
      <w:r w:rsidR="00DA486C">
        <w:rPr>
          <w:rFonts w:eastAsia="Calibri" w:cs="Times New Roman"/>
          <w:sz w:val="24"/>
          <w:szCs w:val="24"/>
        </w:rPr>
        <w:t>roje POO v hodnote 177 674 tis.</w:t>
      </w:r>
      <w:r w:rsidRPr="00E40542">
        <w:rPr>
          <w:rFonts w:eastAsia="Calibri" w:cs="Times New Roman"/>
          <w:sz w:val="24"/>
          <w:szCs w:val="24"/>
        </w:rPr>
        <w:t> eur v nasledujúcich rokoch.</w:t>
      </w:r>
    </w:p>
    <w:p w14:paraId="561A2451" w14:textId="77777777" w:rsidR="004C6700" w:rsidRPr="002F579C" w:rsidRDefault="004C6700" w:rsidP="00691349">
      <w:pPr>
        <w:spacing w:line="240" w:lineRule="auto"/>
        <w:rPr>
          <w:rFonts w:eastAsia="Times New Roman" w:cs="Times New Roman"/>
          <w:sz w:val="24"/>
          <w:szCs w:val="24"/>
          <w:lang w:eastAsia="sk-SK"/>
        </w:rPr>
      </w:pPr>
      <w:r w:rsidRPr="002F579C">
        <w:rPr>
          <w:rFonts w:eastAsia="Times New Roman" w:cs="Times New Roman"/>
          <w:sz w:val="24"/>
          <w:szCs w:val="24"/>
          <w:lang w:eastAsia="sk-SK"/>
        </w:rPr>
        <w:t xml:space="preserve">Prebytok </w:t>
      </w:r>
      <w:r w:rsidRPr="002F579C">
        <w:rPr>
          <w:rFonts w:eastAsia="Times New Roman" w:cs="Times New Roman"/>
          <w:b/>
          <w:sz w:val="24"/>
          <w:szCs w:val="24"/>
          <w:lang w:eastAsia="sk-SK"/>
        </w:rPr>
        <w:t>verejných vysokých škôl</w:t>
      </w:r>
      <w:r w:rsidRPr="002F579C">
        <w:rPr>
          <w:rFonts w:eastAsia="Times New Roman" w:cs="Times New Roman"/>
          <w:sz w:val="24"/>
          <w:szCs w:val="24"/>
          <w:lang w:eastAsia="sk-SK"/>
        </w:rPr>
        <w:t xml:space="preserve"> podľa metodiky ESA bol v porovnaní s rozpočtom vyšší o 27 346 tis. eur, čo bolo spôsobené najmä hotovostným plnením rozpočtu.</w:t>
      </w:r>
    </w:p>
    <w:p w14:paraId="43F02545" w14:textId="6499C24E" w:rsidR="004C6700" w:rsidRDefault="004C6700" w:rsidP="00691349">
      <w:pPr>
        <w:spacing w:line="240" w:lineRule="auto"/>
        <w:rPr>
          <w:rFonts w:eastAsia="Times New Roman" w:cs="Times New Roman"/>
          <w:sz w:val="24"/>
          <w:szCs w:val="24"/>
          <w:lang w:eastAsia="sk-SK"/>
        </w:rPr>
      </w:pPr>
      <w:r w:rsidRPr="002F579C">
        <w:rPr>
          <w:rFonts w:eastAsia="Times New Roman" w:cs="Times New Roman"/>
          <w:sz w:val="24"/>
          <w:szCs w:val="24"/>
          <w:lang w:eastAsia="sk-SK"/>
        </w:rPr>
        <w:t>Verejné vysoké školy hospodárili v roku 2023 s hotovostným prebytkom 17 929 tis. eur. Lepšie hospodárenie oproti hotovostnému rozpočtu o 17 621 tis. eur bolo spôsobené vyššími prijatými grantmi a</w:t>
      </w:r>
      <w:r w:rsidR="00DA486C">
        <w:rPr>
          <w:rFonts w:eastAsia="Times New Roman" w:cs="Times New Roman"/>
          <w:sz w:val="24"/>
          <w:szCs w:val="24"/>
          <w:lang w:eastAsia="sk-SK"/>
        </w:rPr>
        <w:t xml:space="preserve"> </w:t>
      </w:r>
      <w:r w:rsidRPr="002F579C">
        <w:rPr>
          <w:rFonts w:eastAsia="Times New Roman" w:cs="Times New Roman"/>
          <w:sz w:val="24"/>
          <w:szCs w:val="24"/>
          <w:lang w:eastAsia="sk-SK"/>
        </w:rPr>
        <w:t>transfermi o 200 452 tis. eur, a to z dôvodu vyššieho čerpania prostriedkov štátneho rozpočtu určeného napríklad aj na modernizáciu budov a ich vnútorného vybavenia. Z toho bežné a kapitálové granty a transfery boli vyššie o 150 051 tis. eur a z</w:t>
      </w:r>
      <w:r w:rsidRPr="002F579C">
        <w:rPr>
          <w:rFonts w:eastAsia="Times New Roman" w:cs="Times New Roman"/>
          <w:bCs/>
          <w:sz w:val="24"/>
          <w:szCs w:val="24"/>
          <w:lang w:eastAsia="sk-SK"/>
        </w:rPr>
        <w:t>ahraničné granty, ktoré sa nerozpočtujú, boli prijaté v sume 50 271 tis. eur.</w:t>
      </w:r>
      <w:r w:rsidRPr="002F579C">
        <w:rPr>
          <w:rFonts w:eastAsia="Times New Roman" w:cs="Times New Roman"/>
          <w:sz w:val="24"/>
          <w:szCs w:val="24"/>
          <w:lang w:eastAsia="sk-SK"/>
        </w:rPr>
        <w:t xml:space="preserve"> Pozitívny vplyv spôsobený vyšším čerpaním grantov a transferov oproti rozpočtu bol čiastočne neutralizovaný vyššími kapitálovými výdavkami o 100 506 tis. eur. Tieto výdavky súviseli najmä s rekonštrukciami a modernizáciou kapitálových aktív. Negatívny vplyv na hotovostný prebytok mali vyššie výdavky na tovary </w:t>
      </w:r>
      <w:r w:rsidRPr="002F579C">
        <w:rPr>
          <w:rFonts w:eastAsia="Times New Roman" w:cs="Times New Roman"/>
          <w:sz w:val="24"/>
          <w:szCs w:val="24"/>
          <w:lang w:eastAsia="sk-SK"/>
        </w:rPr>
        <w:lastRenderedPageBreak/>
        <w:t xml:space="preserve">a služby v sume 71 581 tis. eur oproti rozpočtu, a to tiež z dôvodu, že niektoré zdroje sa nerozpočtujú, ale sú vykazované v čerpaní za rok 2023. Celkový ESA prebytok verejných vysokých škôl dosiahol výšku 27 654 tis. eur a na jeho zvýšení oproti hotovostnému prebytku má vplyv </w:t>
      </w:r>
      <w:r>
        <w:rPr>
          <w:rFonts w:eastAsia="Times New Roman" w:cs="Times New Roman"/>
          <w:sz w:val="24"/>
          <w:szCs w:val="24"/>
          <w:lang w:eastAsia="sk-SK"/>
        </w:rPr>
        <w:t xml:space="preserve">aj </w:t>
      </w:r>
      <w:r w:rsidRPr="002F579C">
        <w:rPr>
          <w:rFonts w:eastAsia="Times New Roman" w:cs="Times New Roman"/>
          <w:sz w:val="24"/>
          <w:szCs w:val="24"/>
          <w:lang w:eastAsia="sk-SK"/>
        </w:rPr>
        <w:t>medziročná zmena pohľadávok a záväzkov spolu o 9 </w:t>
      </w:r>
      <w:r>
        <w:rPr>
          <w:rFonts w:eastAsia="Times New Roman" w:cs="Times New Roman"/>
          <w:sz w:val="24"/>
          <w:szCs w:val="24"/>
          <w:lang w:eastAsia="sk-SK"/>
        </w:rPr>
        <w:t xml:space="preserve">702 tis. eur. </w:t>
      </w:r>
    </w:p>
    <w:p w14:paraId="6ED2ACD8" w14:textId="7C2A3EFF" w:rsidR="004C6700" w:rsidRPr="002F579C" w:rsidRDefault="004C6700" w:rsidP="00691349">
      <w:pPr>
        <w:spacing w:line="240" w:lineRule="auto"/>
        <w:rPr>
          <w:rFonts w:eastAsia="Times New Roman" w:cs="Times New Roman"/>
          <w:sz w:val="24"/>
          <w:szCs w:val="24"/>
          <w:lang w:eastAsia="sk-SK"/>
        </w:rPr>
      </w:pPr>
      <w:r w:rsidRPr="002F579C">
        <w:rPr>
          <w:rFonts w:eastAsia="Times New Roman" w:cs="Times New Roman"/>
          <w:b/>
          <w:sz w:val="24"/>
          <w:szCs w:val="24"/>
          <w:lang w:eastAsia="sk-SK"/>
        </w:rPr>
        <w:t>Štátne fondy</w:t>
      </w:r>
      <w:r w:rsidRPr="002F579C">
        <w:rPr>
          <w:rFonts w:eastAsia="Times New Roman" w:cs="Times New Roman"/>
          <w:sz w:val="24"/>
          <w:szCs w:val="24"/>
          <w:lang w:eastAsia="sk-SK"/>
        </w:rPr>
        <w:t xml:space="preserve"> v roku 2023 hospodárili s ESA úhrnným prebytkom 263 121 tis. eur, čo je o 8 868 tis. eur viac oproti rozpočtu, ktorý bol na úrovni 254 253 tis. eur. Najväčší vplyv na</w:t>
      </w:r>
      <w:r w:rsidR="007D57AB">
        <w:rPr>
          <w:rFonts w:eastAsia="Times New Roman" w:cs="Times New Roman"/>
          <w:sz w:val="24"/>
          <w:szCs w:val="24"/>
          <w:lang w:eastAsia="sk-SK"/>
        </w:rPr>
        <w:t> </w:t>
      </w:r>
      <w:r w:rsidRPr="002F579C">
        <w:rPr>
          <w:rFonts w:eastAsia="Times New Roman" w:cs="Times New Roman"/>
          <w:sz w:val="24"/>
          <w:szCs w:val="24"/>
          <w:lang w:eastAsia="sk-SK"/>
        </w:rPr>
        <w:t xml:space="preserve">dosiahnutý výsledok mal </w:t>
      </w:r>
      <w:r w:rsidRPr="002F579C">
        <w:rPr>
          <w:rFonts w:eastAsia="Times New Roman" w:cs="Times New Roman"/>
          <w:b/>
          <w:sz w:val="24"/>
          <w:szCs w:val="24"/>
          <w:lang w:eastAsia="sk-SK"/>
        </w:rPr>
        <w:t>Environmentálny fond</w:t>
      </w:r>
      <w:r w:rsidRPr="002F579C">
        <w:rPr>
          <w:rFonts w:eastAsia="Times New Roman" w:cs="Times New Roman"/>
          <w:sz w:val="24"/>
          <w:szCs w:val="24"/>
          <w:lang w:eastAsia="sk-SK"/>
        </w:rPr>
        <w:t xml:space="preserve">, ktorý hospodáril s hotovostným prebytkom 295 076 tis. eur, čo je o 93 745 tis. eur viac v porovnaní s rozpočtom. Pozitívny vplyv bol spôsobený najmä vyšším plnením príjmov z predaja emisných kvót o 90 355 tis. eur. ESA prebytok fondu dosiahol výšku 254 041 tis. eur, čo je o 15 585 tis. eur viac oproti rozpočtovanému ESA prebytku, ktorý bol na úrovni 238 456 tis. eur. </w:t>
      </w:r>
      <w:r w:rsidRPr="000C7A1B">
        <w:rPr>
          <w:rFonts w:eastAsia="Times New Roman" w:cs="Times New Roman"/>
          <w:sz w:val="24"/>
          <w:szCs w:val="24"/>
          <w:lang w:eastAsia="sk-SK"/>
        </w:rPr>
        <w:t>Rozdiel medzi hotovostným a ESA prebytkom v hodnote 41 035 tis. eur je spôsobený</w:t>
      </w:r>
      <w:r w:rsidRPr="002F579C">
        <w:rPr>
          <w:rFonts w:eastAsia="Times New Roman" w:cs="Times New Roman"/>
          <w:sz w:val="24"/>
          <w:szCs w:val="24"/>
          <w:lang w:eastAsia="sk-SK"/>
        </w:rPr>
        <w:t xml:space="preserve"> predovšetkým metodickou úpravou, ktorá zaznamenáva príjem z emisných kvót metódou časového posunu o jeden rok. Dochádza k vylúčeniu príjmu z predaja </w:t>
      </w:r>
      <w:proofErr w:type="spellStart"/>
      <w:r w:rsidRPr="002F579C">
        <w:rPr>
          <w:rFonts w:eastAsia="Times New Roman" w:cs="Times New Roman"/>
          <w:sz w:val="24"/>
          <w:szCs w:val="24"/>
          <w:lang w:eastAsia="sk-SK"/>
        </w:rPr>
        <w:t>aukcionovaných</w:t>
      </w:r>
      <w:proofErr w:type="spellEnd"/>
      <w:r w:rsidRPr="002F579C">
        <w:rPr>
          <w:rFonts w:eastAsia="Times New Roman" w:cs="Times New Roman"/>
          <w:sz w:val="24"/>
          <w:szCs w:val="24"/>
          <w:lang w:eastAsia="sk-SK"/>
        </w:rPr>
        <w:t xml:space="preserve"> kvót v roku t a následnej </w:t>
      </w:r>
      <w:proofErr w:type="spellStart"/>
      <w:r w:rsidRPr="002F579C">
        <w:rPr>
          <w:rFonts w:eastAsia="Times New Roman" w:cs="Times New Roman"/>
          <w:sz w:val="24"/>
          <w:szCs w:val="24"/>
          <w:lang w:eastAsia="sk-SK"/>
        </w:rPr>
        <w:t>imputácii</w:t>
      </w:r>
      <w:proofErr w:type="spellEnd"/>
      <w:r w:rsidRPr="002F579C">
        <w:rPr>
          <w:rFonts w:eastAsia="Times New Roman" w:cs="Times New Roman"/>
          <w:sz w:val="24"/>
          <w:szCs w:val="24"/>
          <w:lang w:eastAsia="sk-SK"/>
        </w:rPr>
        <w:t xml:space="preserve"> príjmu z predaja kvót z roku t-1.</w:t>
      </w:r>
      <w:r>
        <w:rPr>
          <w:rFonts w:eastAsia="Times New Roman" w:cs="Times New Roman"/>
          <w:sz w:val="24"/>
          <w:szCs w:val="24"/>
          <w:lang w:eastAsia="sk-SK"/>
        </w:rPr>
        <w:t xml:space="preserve"> </w:t>
      </w:r>
      <w:r w:rsidRPr="002F579C">
        <w:rPr>
          <w:rFonts w:eastAsia="Times New Roman" w:cs="Times New Roman"/>
          <w:sz w:val="24"/>
          <w:szCs w:val="24"/>
          <w:lang w:eastAsia="sk-SK"/>
        </w:rPr>
        <w:t xml:space="preserve">Rozpočet predpokladal, že táto úprava spôsobí zvýšenie prebytku o 37 125 tis. eur. </w:t>
      </w:r>
    </w:p>
    <w:p w14:paraId="233DC013" w14:textId="77777777" w:rsidR="004C6700" w:rsidRPr="002F579C" w:rsidRDefault="004C6700" w:rsidP="00691349">
      <w:pPr>
        <w:spacing w:line="240" w:lineRule="auto"/>
        <w:rPr>
          <w:rFonts w:eastAsia="Times New Roman" w:cs="Times New Roman"/>
          <w:sz w:val="24"/>
          <w:szCs w:val="24"/>
          <w:lang w:eastAsia="sk-SK"/>
        </w:rPr>
      </w:pPr>
      <w:r w:rsidRPr="002F579C">
        <w:rPr>
          <w:rFonts w:eastAsia="Times New Roman" w:cs="Times New Roman"/>
          <w:b/>
          <w:sz w:val="24"/>
          <w:szCs w:val="24"/>
          <w:lang w:eastAsia="sk-SK"/>
        </w:rPr>
        <w:t>Štátny fond rozvoja bývania</w:t>
      </w:r>
      <w:r w:rsidRPr="002F579C">
        <w:rPr>
          <w:rFonts w:eastAsia="Times New Roman" w:cs="Times New Roman"/>
          <w:sz w:val="24"/>
          <w:szCs w:val="24"/>
          <w:lang w:eastAsia="sk-SK"/>
        </w:rPr>
        <w:t xml:space="preserve"> hospodáril s hotovostným prebytkom 39 806 tis. eur, čo je o 8 174 tis. eur viac oproti hotovostnému rozpočtu. Najväčší pozitívny vplyv na skutočné hotovostné hospodárenie mali granty vyššie o 6 543 tis. eur, </w:t>
      </w:r>
      <w:r>
        <w:rPr>
          <w:rFonts w:eastAsia="Times New Roman" w:cs="Times New Roman"/>
          <w:sz w:val="24"/>
          <w:szCs w:val="24"/>
          <w:lang w:eastAsia="sk-SK"/>
        </w:rPr>
        <w:t xml:space="preserve">ktoré sú </w:t>
      </w:r>
      <w:r w:rsidRPr="002F579C">
        <w:rPr>
          <w:rFonts w:eastAsia="Times New Roman" w:cs="Times New Roman"/>
          <w:sz w:val="24"/>
          <w:szCs w:val="24"/>
          <w:lang w:eastAsia="sk-SK"/>
        </w:rPr>
        <w:t xml:space="preserve">určené na poskytovanie </w:t>
      </w:r>
      <w:r>
        <w:rPr>
          <w:rFonts w:eastAsia="Times New Roman" w:cs="Times New Roman"/>
          <w:sz w:val="24"/>
          <w:szCs w:val="24"/>
          <w:lang w:eastAsia="sk-SK"/>
        </w:rPr>
        <w:t>úverov fondu. Z celkového objemu grantov hodnota 3 271 tis. </w:t>
      </w:r>
      <w:r w:rsidRPr="002F579C">
        <w:rPr>
          <w:rFonts w:eastAsia="Times New Roman" w:cs="Times New Roman"/>
          <w:sz w:val="24"/>
          <w:szCs w:val="24"/>
          <w:lang w:eastAsia="sk-SK"/>
        </w:rPr>
        <w:t xml:space="preserve">eur </w:t>
      </w:r>
      <w:r>
        <w:rPr>
          <w:rFonts w:eastAsia="Times New Roman" w:cs="Times New Roman"/>
          <w:sz w:val="24"/>
          <w:szCs w:val="24"/>
          <w:lang w:eastAsia="sk-SK"/>
        </w:rPr>
        <w:t>predstavuje</w:t>
      </w:r>
      <w:r w:rsidRPr="002F579C">
        <w:rPr>
          <w:rFonts w:eastAsia="Times New Roman" w:cs="Times New Roman"/>
          <w:sz w:val="24"/>
          <w:szCs w:val="24"/>
          <w:lang w:eastAsia="sk-SK"/>
        </w:rPr>
        <w:t xml:space="preserve"> prostriedky EÚ, ktoré v súlade s metodikou ESA nemajú mať vplyv na akruálne saldo fondu. Preklasifikovanie týchto príjmov na finančnú operáciu spôsobilo zníženie ESA prebytku v porovnaní s hotovostným prebytkom, čo však bolo neutralizované pozitívnym vplyvom medziročnej zmeny stavu pohľadávok a záväzkov o 9 602 tis. eur</w:t>
      </w:r>
      <w:r>
        <w:rPr>
          <w:rFonts w:eastAsia="Times New Roman" w:cs="Times New Roman"/>
          <w:sz w:val="24"/>
          <w:szCs w:val="24"/>
          <w:lang w:eastAsia="sk-SK"/>
        </w:rPr>
        <w:t>.</w:t>
      </w:r>
      <w:r w:rsidRPr="002F579C">
        <w:rPr>
          <w:rFonts w:eastAsia="Times New Roman" w:cs="Times New Roman"/>
          <w:sz w:val="24"/>
          <w:szCs w:val="24"/>
          <w:lang w:eastAsia="sk-SK"/>
        </w:rPr>
        <w:t xml:space="preserve"> ESA prebytok ŠFRB bol vyšší oproti </w:t>
      </w:r>
      <w:r>
        <w:rPr>
          <w:rFonts w:eastAsia="Times New Roman" w:cs="Times New Roman"/>
          <w:sz w:val="24"/>
          <w:szCs w:val="24"/>
          <w:lang w:eastAsia="sk-SK"/>
        </w:rPr>
        <w:t>rozpočtovanej hodnote</w:t>
      </w:r>
      <w:r w:rsidRPr="002F579C">
        <w:rPr>
          <w:rFonts w:eastAsia="Times New Roman" w:cs="Times New Roman"/>
          <w:sz w:val="24"/>
          <w:szCs w:val="24"/>
          <w:lang w:eastAsia="sk-SK"/>
        </w:rPr>
        <w:t xml:space="preserve"> o 14 505 tis. eur.</w:t>
      </w:r>
    </w:p>
    <w:p w14:paraId="12FE5812" w14:textId="755E12D6" w:rsidR="004C6700" w:rsidRPr="002F579C" w:rsidRDefault="004C6700" w:rsidP="00691349">
      <w:pPr>
        <w:spacing w:line="240" w:lineRule="auto"/>
        <w:rPr>
          <w:rFonts w:cs="Times New Roman"/>
          <w:color w:val="000000" w:themeColor="text1"/>
          <w:sz w:val="24"/>
          <w:szCs w:val="24"/>
        </w:rPr>
      </w:pPr>
      <w:r w:rsidRPr="002F579C">
        <w:rPr>
          <w:rFonts w:eastAsia="Times New Roman" w:cs="Times New Roman"/>
          <w:sz w:val="24"/>
          <w:szCs w:val="24"/>
          <w:lang w:eastAsia="sk-SK"/>
        </w:rPr>
        <w:t xml:space="preserve">V roku 2023 </w:t>
      </w:r>
      <w:r w:rsidRPr="002F579C">
        <w:rPr>
          <w:rFonts w:eastAsia="Times New Roman" w:cs="Times New Roman"/>
          <w:b/>
          <w:sz w:val="24"/>
          <w:szCs w:val="24"/>
          <w:lang w:eastAsia="sk-SK"/>
        </w:rPr>
        <w:t>Národný jadrový fond</w:t>
      </w:r>
      <w:r w:rsidRPr="002F579C">
        <w:rPr>
          <w:rFonts w:eastAsia="Times New Roman" w:cs="Times New Roman"/>
          <w:sz w:val="24"/>
          <w:szCs w:val="24"/>
          <w:lang w:eastAsia="sk-SK"/>
        </w:rPr>
        <w:t xml:space="preserve"> vykázal hotovostný prebytok vo výške 123 620 tis. eur, čo je o 63 954 tis. eur viac v porovnaní s rozpočtom. Najväčší pozitívny vplyv mali iné nedaňové príjmy,</w:t>
      </w:r>
      <w:r>
        <w:rPr>
          <w:rFonts w:eastAsia="Times New Roman" w:cs="Times New Roman"/>
          <w:sz w:val="24"/>
          <w:szCs w:val="24"/>
          <w:lang w:eastAsia="sk-SK"/>
        </w:rPr>
        <w:t xml:space="preserve"> ktoré boli vyššie o 50 613 tis. </w:t>
      </w:r>
      <w:r w:rsidRPr="002F579C">
        <w:rPr>
          <w:rFonts w:eastAsia="Times New Roman" w:cs="Times New Roman"/>
          <w:sz w:val="24"/>
          <w:szCs w:val="24"/>
          <w:lang w:eastAsia="sk-SK"/>
        </w:rPr>
        <w:t>eur, čo bolo spôsobené vyplatením povinných príspevko</w:t>
      </w:r>
      <w:r w:rsidR="006243D7">
        <w:rPr>
          <w:rFonts w:eastAsia="Times New Roman" w:cs="Times New Roman"/>
          <w:sz w:val="24"/>
          <w:szCs w:val="24"/>
          <w:lang w:eastAsia="sk-SK"/>
        </w:rPr>
        <w:t xml:space="preserve">v od spoločnosti SE, </w:t>
      </w:r>
      <w:proofErr w:type="spellStart"/>
      <w:r w:rsidR="006243D7">
        <w:rPr>
          <w:rFonts w:eastAsia="Times New Roman" w:cs="Times New Roman"/>
          <w:sz w:val="24"/>
          <w:szCs w:val="24"/>
          <w:lang w:eastAsia="sk-SK"/>
        </w:rPr>
        <w:t>a.</w:t>
      </w:r>
      <w:r w:rsidRPr="002F579C">
        <w:rPr>
          <w:rFonts w:eastAsia="Times New Roman" w:cs="Times New Roman"/>
          <w:sz w:val="24"/>
          <w:szCs w:val="24"/>
          <w:lang w:eastAsia="sk-SK"/>
        </w:rPr>
        <w:t>s</w:t>
      </w:r>
      <w:proofErr w:type="spellEnd"/>
      <w:r w:rsidRPr="002F579C">
        <w:rPr>
          <w:rFonts w:eastAsia="Times New Roman" w:cs="Times New Roman"/>
          <w:sz w:val="24"/>
          <w:szCs w:val="24"/>
          <w:lang w:eastAsia="sk-SK"/>
        </w:rPr>
        <w:t>., za jadrové e</w:t>
      </w:r>
      <w:r>
        <w:rPr>
          <w:rFonts w:eastAsia="Times New Roman" w:cs="Times New Roman"/>
          <w:sz w:val="24"/>
          <w:szCs w:val="24"/>
          <w:lang w:eastAsia="sk-SK"/>
        </w:rPr>
        <w:t>lektrárne V2 a EMO1,2 v sume 65 928 tis. </w:t>
      </w:r>
      <w:r w:rsidRPr="002F579C">
        <w:rPr>
          <w:rFonts w:eastAsia="Times New Roman" w:cs="Times New Roman"/>
          <w:sz w:val="24"/>
          <w:szCs w:val="24"/>
          <w:lang w:eastAsia="sk-SK"/>
        </w:rPr>
        <w:t xml:space="preserve">eur. Tieto príspevky mali byť pôvodne vyplatené v roku 2022, avšak SE požiadali o odklad platby na rok 2023. Na druhej strane došlo k výpadku príjmov v sume 14 689 tis. eur oproti rozpočtu za blok 3,4 EMO v rámci vyplácania povinných príspevkov za rok 2023, keďže blok 3 bol v roku 2023 len v skúšobnej prevádzke. </w:t>
      </w:r>
      <w:r w:rsidRPr="002F579C">
        <w:rPr>
          <w:rFonts w:cs="Times New Roman"/>
          <w:sz w:val="24"/>
          <w:szCs w:val="24"/>
        </w:rPr>
        <w:t xml:space="preserve">Pozitívny vplyv na hospodárenie fondu mali </w:t>
      </w:r>
      <w:r w:rsidRPr="002F579C">
        <w:rPr>
          <w:rFonts w:cs="Times New Roman"/>
          <w:color w:val="000000" w:themeColor="text1"/>
          <w:sz w:val="24"/>
          <w:szCs w:val="24"/>
        </w:rPr>
        <w:t>nižšie celkové výdavky oproti rozpočtovaným o 26 356 tis. eur, k čomu prispeli nižšie bežné a kapitálové transfery o 25 308 tis. eur z dôvodu nižšieho plnenia naplánovaných výkonov u</w:t>
      </w:r>
      <w:r w:rsidR="007D57AB">
        <w:rPr>
          <w:rFonts w:cs="Times New Roman"/>
          <w:color w:val="000000" w:themeColor="text1"/>
          <w:sz w:val="24"/>
          <w:szCs w:val="24"/>
        </w:rPr>
        <w:t> </w:t>
      </w:r>
      <w:r w:rsidRPr="002F579C">
        <w:rPr>
          <w:rFonts w:cs="Times New Roman"/>
          <w:color w:val="000000" w:themeColor="text1"/>
          <w:sz w:val="24"/>
          <w:szCs w:val="24"/>
        </w:rPr>
        <w:t xml:space="preserve">spoločnosti JAVYS, </w:t>
      </w:r>
      <w:proofErr w:type="spellStart"/>
      <w:r w:rsidRPr="002F579C">
        <w:rPr>
          <w:rFonts w:cs="Times New Roman"/>
          <w:color w:val="000000" w:themeColor="text1"/>
          <w:sz w:val="24"/>
          <w:szCs w:val="24"/>
        </w:rPr>
        <w:t>a.s</w:t>
      </w:r>
      <w:proofErr w:type="spellEnd"/>
      <w:r w:rsidRPr="002F579C">
        <w:rPr>
          <w:rFonts w:cs="Times New Roman"/>
          <w:color w:val="000000" w:themeColor="text1"/>
          <w:sz w:val="24"/>
          <w:szCs w:val="24"/>
        </w:rPr>
        <w:t xml:space="preserve">. Negatívny vplyv </w:t>
      </w:r>
      <w:r>
        <w:rPr>
          <w:rFonts w:cs="Times New Roman"/>
          <w:color w:val="000000" w:themeColor="text1"/>
          <w:sz w:val="24"/>
          <w:szCs w:val="24"/>
        </w:rPr>
        <w:t xml:space="preserve">na saldo </w:t>
      </w:r>
      <w:r w:rsidRPr="002F579C">
        <w:rPr>
          <w:rFonts w:cs="Times New Roman"/>
          <w:color w:val="000000" w:themeColor="text1"/>
          <w:sz w:val="24"/>
          <w:szCs w:val="24"/>
        </w:rPr>
        <w:t xml:space="preserve">v porovnaní s rozpočtom mali nižšie </w:t>
      </w:r>
      <w:r>
        <w:rPr>
          <w:rFonts w:cs="Times New Roman"/>
          <w:color w:val="000000" w:themeColor="text1"/>
          <w:sz w:val="24"/>
          <w:szCs w:val="24"/>
        </w:rPr>
        <w:t xml:space="preserve">realizované </w:t>
      </w:r>
      <w:r w:rsidRPr="002F579C">
        <w:rPr>
          <w:rFonts w:cs="Times New Roman"/>
          <w:color w:val="000000" w:themeColor="text1"/>
          <w:sz w:val="24"/>
          <w:szCs w:val="24"/>
        </w:rPr>
        <w:t>g</w:t>
      </w:r>
      <w:r>
        <w:rPr>
          <w:rFonts w:cs="Times New Roman"/>
          <w:color w:val="000000" w:themeColor="text1"/>
          <w:sz w:val="24"/>
          <w:szCs w:val="24"/>
        </w:rPr>
        <w:t>ranty a transfery, a to o sumu 12 491 tis. </w:t>
      </w:r>
      <w:r w:rsidRPr="002F579C">
        <w:rPr>
          <w:rFonts w:cs="Times New Roman"/>
          <w:color w:val="000000" w:themeColor="text1"/>
          <w:sz w:val="24"/>
          <w:szCs w:val="24"/>
        </w:rPr>
        <w:t>eur. Národný jadrový fond hospodáril s ESA schodkom 37 057 tis. eur</w:t>
      </w:r>
      <w:r>
        <w:rPr>
          <w:rFonts w:cs="Times New Roman"/>
          <w:color w:val="000000" w:themeColor="text1"/>
          <w:sz w:val="24"/>
          <w:szCs w:val="24"/>
        </w:rPr>
        <w:t xml:space="preserve"> a tento</w:t>
      </w:r>
      <w:r w:rsidRPr="002F579C">
        <w:rPr>
          <w:rFonts w:cs="Times New Roman"/>
          <w:color w:val="000000" w:themeColor="text1"/>
          <w:sz w:val="24"/>
          <w:szCs w:val="24"/>
        </w:rPr>
        <w:t xml:space="preserve"> </w:t>
      </w:r>
      <w:r>
        <w:rPr>
          <w:rFonts w:cs="Times New Roman"/>
          <w:color w:val="000000" w:themeColor="text1"/>
          <w:sz w:val="24"/>
          <w:szCs w:val="24"/>
        </w:rPr>
        <w:t>r</w:t>
      </w:r>
      <w:r w:rsidRPr="002F579C">
        <w:rPr>
          <w:rFonts w:cs="Times New Roman"/>
          <w:color w:val="000000" w:themeColor="text1"/>
          <w:sz w:val="24"/>
          <w:szCs w:val="24"/>
        </w:rPr>
        <w:t>ozdiel medzi hotovostným prebytkom a E</w:t>
      </w:r>
      <w:r>
        <w:rPr>
          <w:rFonts w:cs="Times New Roman"/>
          <w:color w:val="000000" w:themeColor="text1"/>
          <w:sz w:val="24"/>
          <w:szCs w:val="24"/>
        </w:rPr>
        <w:t>SA schodkom v sume 160 677 tis. </w:t>
      </w:r>
      <w:r w:rsidRPr="002F579C">
        <w:rPr>
          <w:rFonts w:cs="Times New Roman"/>
          <w:color w:val="000000" w:themeColor="text1"/>
          <w:sz w:val="24"/>
          <w:szCs w:val="24"/>
        </w:rPr>
        <w:t>eur je spôsobený predovšetkým uplatňovaním ESA metodiky zaznamenávania príspevkov od prevádzkovateľov jadrových zariadení, pri ktorom sa do príjmov NJF zaznamenáva len 1 % z príspevkov od prevádzkovateľov jadrových zariadení a</w:t>
      </w:r>
      <w:r w:rsidR="00A96E0F">
        <w:rPr>
          <w:rFonts w:cs="Times New Roman"/>
          <w:color w:val="000000" w:themeColor="text1"/>
          <w:sz w:val="24"/>
          <w:szCs w:val="24"/>
        </w:rPr>
        <w:t xml:space="preserve"> </w:t>
      </w:r>
      <w:r w:rsidRPr="002F579C">
        <w:rPr>
          <w:rFonts w:cs="Times New Roman"/>
          <w:color w:val="000000" w:themeColor="text1"/>
          <w:sz w:val="24"/>
          <w:szCs w:val="24"/>
        </w:rPr>
        <w:t>1 % z úrokov, ktoré jadrový fond získava za správu naakumulovaných prostriedkov prevádzkovateľov jadrových zariadení</w:t>
      </w:r>
      <w:r>
        <w:rPr>
          <w:rFonts w:cs="Times New Roman"/>
          <w:color w:val="000000" w:themeColor="text1"/>
          <w:sz w:val="24"/>
          <w:szCs w:val="24"/>
        </w:rPr>
        <w:t>.</w:t>
      </w:r>
      <w:r w:rsidRPr="002F579C">
        <w:rPr>
          <w:rFonts w:cs="Times New Roman"/>
          <w:color w:val="000000" w:themeColor="text1"/>
          <w:sz w:val="24"/>
          <w:szCs w:val="24"/>
        </w:rPr>
        <w:t xml:space="preserve"> </w:t>
      </w:r>
      <w:r>
        <w:rPr>
          <w:rFonts w:cs="Times New Roman"/>
          <w:color w:val="000000" w:themeColor="text1"/>
          <w:sz w:val="24"/>
          <w:szCs w:val="24"/>
        </w:rPr>
        <w:t>Z</w:t>
      </w:r>
      <w:r w:rsidRPr="002F579C">
        <w:rPr>
          <w:rFonts w:cs="Times New Roman"/>
          <w:color w:val="000000" w:themeColor="text1"/>
          <w:sz w:val="24"/>
          <w:szCs w:val="24"/>
        </w:rPr>
        <w:t xml:space="preserve">vyšných 99 % z príspevkov sa zaznamenáva ako záväzok </w:t>
      </w:r>
      <w:r>
        <w:rPr>
          <w:rFonts w:cs="Times New Roman"/>
          <w:color w:val="000000" w:themeColor="text1"/>
          <w:sz w:val="24"/>
          <w:szCs w:val="24"/>
        </w:rPr>
        <w:t xml:space="preserve">(v hodnote 112 943 tis. eur) </w:t>
      </w:r>
      <w:r w:rsidRPr="002F579C">
        <w:rPr>
          <w:rFonts w:cs="Times New Roman"/>
          <w:color w:val="000000" w:themeColor="text1"/>
          <w:sz w:val="24"/>
          <w:szCs w:val="24"/>
        </w:rPr>
        <w:t xml:space="preserve">voči týmto prevádzkovateľom určený na budúce vyraďovanie jadrových zariadení. Negatívny vplyv </w:t>
      </w:r>
      <w:r>
        <w:rPr>
          <w:rFonts w:cs="Times New Roman"/>
          <w:color w:val="000000" w:themeColor="text1"/>
          <w:sz w:val="24"/>
          <w:szCs w:val="24"/>
        </w:rPr>
        <w:t xml:space="preserve">na saldo </w:t>
      </w:r>
      <w:r w:rsidRPr="002F579C">
        <w:rPr>
          <w:rFonts w:cs="Times New Roman"/>
          <w:color w:val="000000" w:themeColor="text1"/>
          <w:sz w:val="24"/>
          <w:szCs w:val="24"/>
        </w:rPr>
        <w:t xml:space="preserve">mala </w:t>
      </w:r>
      <w:r>
        <w:rPr>
          <w:rFonts w:cs="Times New Roman"/>
          <w:color w:val="000000" w:themeColor="text1"/>
          <w:sz w:val="24"/>
          <w:szCs w:val="24"/>
        </w:rPr>
        <w:t xml:space="preserve">aj </w:t>
      </w:r>
      <w:r w:rsidRPr="002F579C">
        <w:rPr>
          <w:rFonts w:cs="Times New Roman"/>
          <w:color w:val="000000" w:themeColor="text1"/>
          <w:sz w:val="24"/>
          <w:szCs w:val="24"/>
        </w:rPr>
        <w:t xml:space="preserve">medziročná zmena </w:t>
      </w:r>
      <w:r>
        <w:rPr>
          <w:rFonts w:cs="Times New Roman"/>
          <w:color w:val="000000" w:themeColor="text1"/>
          <w:sz w:val="24"/>
          <w:szCs w:val="24"/>
        </w:rPr>
        <w:t xml:space="preserve">stavu </w:t>
      </w:r>
      <w:r w:rsidRPr="002F579C">
        <w:rPr>
          <w:rFonts w:cs="Times New Roman"/>
          <w:color w:val="000000" w:themeColor="text1"/>
          <w:sz w:val="24"/>
          <w:szCs w:val="24"/>
        </w:rPr>
        <w:t>pohľadávo</w:t>
      </w:r>
      <w:r>
        <w:rPr>
          <w:rFonts w:cs="Times New Roman"/>
          <w:color w:val="000000" w:themeColor="text1"/>
          <w:sz w:val="24"/>
          <w:szCs w:val="24"/>
        </w:rPr>
        <w:t>k a záväzkov v sume 47 734 tis. </w:t>
      </w:r>
      <w:r w:rsidRPr="002F579C">
        <w:rPr>
          <w:rFonts w:cs="Times New Roman"/>
          <w:color w:val="000000" w:themeColor="text1"/>
          <w:sz w:val="24"/>
          <w:szCs w:val="24"/>
        </w:rPr>
        <w:t>eur, ktorá bola spôsobená predovšetkým vyššie spomenutým odkladom vyplatenia povinných p</w:t>
      </w:r>
      <w:r w:rsidR="006243D7">
        <w:rPr>
          <w:rFonts w:cs="Times New Roman"/>
          <w:color w:val="000000" w:themeColor="text1"/>
          <w:sz w:val="24"/>
          <w:szCs w:val="24"/>
        </w:rPr>
        <w:t xml:space="preserve">ríspevkov od spoločnosti SE, </w:t>
      </w:r>
      <w:proofErr w:type="spellStart"/>
      <w:r w:rsidR="006243D7">
        <w:rPr>
          <w:rFonts w:cs="Times New Roman"/>
          <w:color w:val="000000" w:themeColor="text1"/>
          <w:sz w:val="24"/>
          <w:szCs w:val="24"/>
        </w:rPr>
        <w:t>a.</w:t>
      </w:r>
      <w:r w:rsidRPr="002F579C">
        <w:rPr>
          <w:rFonts w:cs="Times New Roman"/>
          <w:color w:val="000000" w:themeColor="text1"/>
          <w:sz w:val="24"/>
          <w:szCs w:val="24"/>
        </w:rPr>
        <w:t>s</w:t>
      </w:r>
      <w:proofErr w:type="spellEnd"/>
      <w:r w:rsidRPr="002F579C">
        <w:rPr>
          <w:rFonts w:cs="Times New Roman"/>
          <w:color w:val="000000" w:themeColor="text1"/>
          <w:sz w:val="24"/>
          <w:szCs w:val="24"/>
        </w:rPr>
        <w:t xml:space="preserve">. z roku 2022 na rok 2023. ESA schodok Národného jadrového fondu </w:t>
      </w:r>
      <w:r>
        <w:rPr>
          <w:rFonts w:cs="Times New Roman"/>
          <w:color w:val="000000" w:themeColor="text1"/>
          <w:sz w:val="24"/>
          <w:szCs w:val="24"/>
        </w:rPr>
        <w:t>vo výške</w:t>
      </w:r>
      <w:r w:rsidRPr="002F579C">
        <w:rPr>
          <w:rFonts w:cs="Times New Roman"/>
          <w:color w:val="000000" w:themeColor="text1"/>
          <w:sz w:val="24"/>
          <w:szCs w:val="24"/>
        </w:rPr>
        <w:t xml:space="preserve"> 37 057 tis. eur je o 21 222 tis. eur </w:t>
      </w:r>
      <w:r>
        <w:rPr>
          <w:rFonts w:cs="Times New Roman"/>
          <w:color w:val="000000" w:themeColor="text1"/>
          <w:sz w:val="24"/>
          <w:szCs w:val="24"/>
        </w:rPr>
        <w:t>vyšší</w:t>
      </w:r>
      <w:r w:rsidRPr="002F579C">
        <w:rPr>
          <w:rFonts w:cs="Times New Roman"/>
          <w:color w:val="000000" w:themeColor="text1"/>
          <w:sz w:val="24"/>
          <w:szCs w:val="24"/>
        </w:rPr>
        <w:t xml:space="preserve"> oproti </w:t>
      </w:r>
      <w:r>
        <w:rPr>
          <w:rFonts w:cs="Times New Roman"/>
          <w:color w:val="000000" w:themeColor="text1"/>
          <w:sz w:val="24"/>
          <w:szCs w:val="24"/>
        </w:rPr>
        <w:t>plánovanej hodnote</w:t>
      </w:r>
      <w:r w:rsidRPr="002F579C">
        <w:rPr>
          <w:rFonts w:cs="Times New Roman"/>
          <w:color w:val="000000" w:themeColor="text1"/>
          <w:sz w:val="24"/>
          <w:szCs w:val="24"/>
        </w:rPr>
        <w:t>, keďže rozpočet počítal so schodkom na úrovni 15 835 tis.</w:t>
      </w:r>
      <w:r>
        <w:rPr>
          <w:rFonts w:cs="Times New Roman"/>
          <w:color w:val="000000" w:themeColor="text1"/>
          <w:sz w:val="24"/>
          <w:szCs w:val="24"/>
        </w:rPr>
        <w:t> </w:t>
      </w:r>
      <w:r w:rsidRPr="002F579C">
        <w:rPr>
          <w:rFonts w:cs="Times New Roman"/>
          <w:color w:val="000000" w:themeColor="text1"/>
          <w:sz w:val="24"/>
          <w:szCs w:val="24"/>
        </w:rPr>
        <w:t xml:space="preserve">eur. </w:t>
      </w:r>
    </w:p>
    <w:p w14:paraId="428562BC" w14:textId="77777777" w:rsidR="004C6700" w:rsidRPr="00463B72" w:rsidRDefault="004C6700" w:rsidP="00691349">
      <w:pPr>
        <w:spacing w:line="240" w:lineRule="auto"/>
        <w:rPr>
          <w:sz w:val="24"/>
          <w:szCs w:val="24"/>
        </w:rPr>
      </w:pPr>
      <w:r w:rsidRPr="00463B72">
        <w:rPr>
          <w:b/>
          <w:sz w:val="24"/>
          <w:szCs w:val="24"/>
        </w:rPr>
        <w:lastRenderedPageBreak/>
        <w:t xml:space="preserve">Ostatné subjekty ústrednej správy </w:t>
      </w:r>
      <w:r w:rsidRPr="00463B72">
        <w:rPr>
          <w:sz w:val="24"/>
          <w:szCs w:val="24"/>
        </w:rPr>
        <w:t>(v tom Rozhlas a televízia Slovenska, Slovenský pozemkový fond, Agentúra pre núdzové zásoby ropy a ropných výrobkov, neziskové organizácie štátu a ostatné podniky ústrednej správy)</w:t>
      </w:r>
      <w:r w:rsidRPr="00463B72">
        <w:rPr>
          <w:b/>
          <w:sz w:val="24"/>
          <w:szCs w:val="24"/>
        </w:rPr>
        <w:t xml:space="preserve"> </w:t>
      </w:r>
      <w:r w:rsidRPr="00463B72">
        <w:rPr>
          <w:sz w:val="24"/>
          <w:szCs w:val="24"/>
        </w:rPr>
        <w:t xml:space="preserve">spolu dosiahli prebytok v hodnote </w:t>
      </w:r>
      <w:r>
        <w:rPr>
          <w:sz w:val="24"/>
          <w:szCs w:val="24"/>
        </w:rPr>
        <w:t>118 </w:t>
      </w:r>
      <w:r w:rsidRPr="00463B72">
        <w:rPr>
          <w:sz w:val="24"/>
          <w:szCs w:val="24"/>
        </w:rPr>
        <w:t xml:space="preserve">248 tis. eur a zlepšili tak svoje hospodárenie o 206 528 tis. eur oproti rozpočtu </w:t>
      </w:r>
      <w:r w:rsidRPr="00463B72">
        <w:rPr>
          <w:rFonts w:eastAsia="Times New Roman"/>
          <w:sz w:val="24"/>
          <w:szCs w:val="24"/>
        </w:rPr>
        <w:t>na rok 2023</w:t>
      </w:r>
      <w:r w:rsidRPr="00463B72">
        <w:rPr>
          <w:sz w:val="24"/>
          <w:szCs w:val="24"/>
        </w:rPr>
        <w:t xml:space="preserve">. </w:t>
      </w:r>
    </w:p>
    <w:p w14:paraId="1229A8FB" w14:textId="15134887" w:rsidR="004C6700" w:rsidRPr="00C91C6E" w:rsidRDefault="004C6700" w:rsidP="00691349">
      <w:pPr>
        <w:spacing w:line="240" w:lineRule="auto"/>
        <w:rPr>
          <w:rFonts w:cs="Times New Roman"/>
          <w:sz w:val="24"/>
          <w:szCs w:val="24"/>
        </w:rPr>
      </w:pPr>
      <w:r w:rsidRPr="005147A0">
        <w:rPr>
          <w:sz w:val="24"/>
          <w:szCs w:val="24"/>
        </w:rPr>
        <w:t>N</w:t>
      </w:r>
      <w:r w:rsidRPr="005147A0">
        <w:rPr>
          <w:rFonts w:cs="Times New Roman"/>
          <w:sz w:val="24"/>
          <w:szCs w:val="24"/>
        </w:rPr>
        <w:t xml:space="preserve">a tomto výsledku sa výrazne podieľala skupina </w:t>
      </w:r>
      <w:r w:rsidRPr="005147A0">
        <w:rPr>
          <w:rFonts w:cs="Times New Roman"/>
          <w:b/>
          <w:sz w:val="24"/>
          <w:szCs w:val="24"/>
        </w:rPr>
        <w:t>ostatných podnikov ústrednej správy</w:t>
      </w:r>
      <w:r w:rsidRPr="005147A0">
        <w:rPr>
          <w:rFonts w:cs="Times New Roman"/>
          <w:sz w:val="24"/>
          <w:szCs w:val="24"/>
        </w:rPr>
        <w:t xml:space="preserve"> svojím prebytkom 124 218 tis. eur. Prebytkové hospodárenie dosiahli v súvislosti </w:t>
      </w:r>
      <w:r>
        <w:rPr>
          <w:rFonts w:cs="Times New Roman"/>
          <w:sz w:val="24"/>
          <w:szCs w:val="24"/>
        </w:rPr>
        <w:t xml:space="preserve">s vkladom do ZI spoločnosti DMD Group </w:t>
      </w:r>
      <w:proofErr w:type="spellStart"/>
      <w:r>
        <w:rPr>
          <w:rFonts w:cs="Times New Roman"/>
          <w:sz w:val="24"/>
          <w:szCs w:val="24"/>
        </w:rPr>
        <w:t>a.s</w:t>
      </w:r>
      <w:proofErr w:type="spellEnd"/>
      <w:r>
        <w:rPr>
          <w:rFonts w:cs="Times New Roman"/>
          <w:sz w:val="24"/>
          <w:szCs w:val="24"/>
        </w:rPr>
        <w:t xml:space="preserve">. v sume 90 001 tis. eur a </w:t>
      </w:r>
      <w:r w:rsidRPr="005147A0">
        <w:rPr>
          <w:rFonts w:cs="Times New Roman"/>
          <w:sz w:val="24"/>
          <w:szCs w:val="24"/>
        </w:rPr>
        <w:t xml:space="preserve">s vkladom Ministerstva hospodárstva SR do ZI spoločnosti Valaliky Industrial Park, </w:t>
      </w:r>
      <w:proofErr w:type="spellStart"/>
      <w:r w:rsidR="00837EB9">
        <w:rPr>
          <w:rFonts w:cs="Times New Roman"/>
          <w:sz w:val="24"/>
          <w:szCs w:val="24"/>
        </w:rPr>
        <w:t>s.r.o</w:t>
      </w:r>
      <w:proofErr w:type="spellEnd"/>
      <w:r w:rsidR="00837EB9">
        <w:rPr>
          <w:rFonts w:cs="Times New Roman"/>
          <w:sz w:val="24"/>
          <w:szCs w:val="24"/>
        </w:rPr>
        <w:t>.</w:t>
      </w:r>
      <w:r w:rsidRPr="005147A0">
        <w:rPr>
          <w:rFonts w:cs="Times New Roman"/>
          <w:sz w:val="24"/>
          <w:szCs w:val="24"/>
        </w:rPr>
        <w:t>, na financovanie významnej investície “Strategické územie Valaliky“ v celkovej sume 88 629 tis. eur. V súlade s metodikou ESA2010 sa tento vklad považuje za kapitálový transfer a na úrovni celej verejnej správy sa konsoliduje na</w:t>
      </w:r>
      <w:r>
        <w:rPr>
          <w:rFonts w:cs="Times New Roman"/>
          <w:sz w:val="24"/>
          <w:szCs w:val="24"/>
        </w:rPr>
        <w:t> </w:t>
      </w:r>
      <w:r w:rsidRPr="005147A0">
        <w:rPr>
          <w:rFonts w:cs="Times New Roman"/>
          <w:sz w:val="24"/>
          <w:szCs w:val="24"/>
        </w:rPr>
        <w:t>strane príjmov ako aj výdavkov, a teda nemá vplyv na saldo verejnej správy</w:t>
      </w:r>
      <w:r w:rsidRPr="00C91C6E">
        <w:rPr>
          <w:rFonts w:cs="Times New Roman"/>
          <w:sz w:val="24"/>
          <w:szCs w:val="24"/>
        </w:rPr>
        <w:t xml:space="preserve">. Pozitívny vplyv bol čiastočne </w:t>
      </w:r>
      <w:r>
        <w:rPr>
          <w:rFonts w:cs="Times New Roman"/>
          <w:sz w:val="24"/>
          <w:szCs w:val="24"/>
        </w:rPr>
        <w:t>eliminovaný</w:t>
      </w:r>
      <w:r w:rsidRPr="00C91C6E">
        <w:rPr>
          <w:rFonts w:cs="Times New Roman"/>
          <w:sz w:val="24"/>
          <w:szCs w:val="24"/>
        </w:rPr>
        <w:t xml:space="preserve"> nárastom výdavkov na obstaranie kapitálových aktív v sume 145 250 tis. eur, z toho investičné výdavky spoločnosti Valaliky Industrial park v sume 104 283 tis. eur boli spojené s majetkovo právnym vysporiadaním pozemkov a</w:t>
      </w:r>
      <w:r>
        <w:rPr>
          <w:rFonts w:cs="Times New Roman"/>
          <w:sz w:val="24"/>
          <w:szCs w:val="24"/>
        </w:rPr>
        <w:t> prípravných prác súvisiacich</w:t>
      </w:r>
      <w:r w:rsidRPr="00C91C6E">
        <w:rPr>
          <w:rFonts w:cs="Times New Roman"/>
          <w:sz w:val="24"/>
          <w:szCs w:val="24"/>
        </w:rPr>
        <w:t xml:space="preserve"> </w:t>
      </w:r>
      <w:r>
        <w:rPr>
          <w:rFonts w:cs="Times New Roman"/>
          <w:sz w:val="24"/>
          <w:szCs w:val="24"/>
        </w:rPr>
        <w:t>s investičným projektom „Strategické územie Valaliky“</w:t>
      </w:r>
      <w:r w:rsidRPr="00C91C6E">
        <w:rPr>
          <w:rFonts w:cs="Times New Roman"/>
          <w:sz w:val="24"/>
          <w:szCs w:val="24"/>
        </w:rPr>
        <w:t>.</w:t>
      </w:r>
    </w:p>
    <w:p w14:paraId="63446120" w14:textId="77777777" w:rsidR="004C6700" w:rsidRPr="005801E6" w:rsidRDefault="004C6700" w:rsidP="00691349">
      <w:pPr>
        <w:spacing w:line="240" w:lineRule="auto"/>
        <w:rPr>
          <w:rFonts w:cs="Times New Roman"/>
          <w:sz w:val="24"/>
          <w:szCs w:val="24"/>
        </w:rPr>
      </w:pPr>
      <w:r w:rsidRPr="00FD2E1D">
        <w:rPr>
          <w:rFonts w:cs="Times New Roman"/>
          <w:b/>
          <w:sz w:val="24"/>
          <w:szCs w:val="24"/>
        </w:rPr>
        <w:t>Agentúra pre núdzové zásoby ropy a ropných výdavkov (EOSA)</w:t>
      </w:r>
      <w:r w:rsidRPr="00FD2E1D">
        <w:rPr>
          <w:rFonts w:cs="Times New Roman"/>
          <w:sz w:val="24"/>
          <w:szCs w:val="24"/>
        </w:rPr>
        <w:t xml:space="preserve"> zaznamenala zhoršenie hospodárenia v porovnaní s rozpočtom o 36 069 tis. eur, keď dosiahla prebytok v sume 11 805 tis. eur. </w:t>
      </w:r>
      <w:r w:rsidRPr="007E7720">
        <w:rPr>
          <w:rFonts w:cs="Times New Roman"/>
          <w:sz w:val="24"/>
          <w:szCs w:val="24"/>
        </w:rPr>
        <w:t>Hlavným zdrojom príjmov sú príjmy z povinného poplatku za udržiavanie núdzových zásob ropy a ropných výrobkov, ktoré dosiahli hodnotu 97 936 tis. eur</w:t>
      </w:r>
      <w:r w:rsidRPr="005801E6">
        <w:rPr>
          <w:rFonts w:cs="Times New Roman"/>
          <w:sz w:val="24"/>
          <w:szCs w:val="24"/>
        </w:rPr>
        <w:t xml:space="preserve">. Pokles o 1 217 tis. eur oproti rozpočtu súvisel s vyšším predpokladaným objemom dovezených ropných výrobkov pri tvorbe rozpočtu na rok 2023. </w:t>
      </w:r>
    </w:p>
    <w:p w14:paraId="514EEE74" w14:textId="04D4FF57" w:rsidR="004C6700" w:rsidRPr="003C6566" w:rsidRDefault="004C6700" w:rsidP="00691349">
      <w:pPr>
        <w:spacing w:line="240" w:lineRule="auto"/>
        <w:rPr>
          <w:rFonts w:cs="Times New Roman"/>
          <w:sz w:val="24"/>
          <w:szCs w:val="24"/>
        </w:rPr>
      </w:pPr>
      <w:r w:rsidRPr="002C3EFF">
        <w:rPr>
          <w:rFonts w:cs="Times New Roman"/>
          <w:sz w:val="24"/>
          <w:szCs w:val="24"/>
        </w:rPr>
        <w:t xml:space="preserve">Pokles pohľadávok v sume 30 402 tis. eur </w:t>
      </w:r>
      <w:r w:rsidRPr="003C6566">
        <w:rPr>
          <w:rFonts w:cs="Times New Roman"/>
          <w:sz w:val="24"/>
          <w:szCs w:val="24"/>
        </w:rPr>
        <w:t xml:space="preserve">súvisel so zapožičaním núdzových zásob motorovej nafty a automobilového benzínu spoločnosti OMV Slovensko, </w:t>
      </w:r>
      <w:proofErr w:type="spellStart"/>
      <w:r w:rsidR="00837EB9">
        <w:rPr>
          <w:rFonts w:cs="Times New Roman"/>
          <w:sz w:val="24"/>
          <w:szCs w:val="24"/>
        </w:rPr>
        <w:t>s.r.o</w:t>
      </w:r>
      <w:proofErr w:type="spellEnd"/>
      <w:r w:rsidR="00837EB9">
        <w:rPr>
          <w:rFonts w:cs="Times New Roman"/>
          <w:sz w:val="24"/>
          <w:szCs w:val="24"/>
        </w:rPr>
        <w:t>.</w:t>
      </w:r>
      <w:r w:rsidR="00DA486C">
        <w:rPr>
          <w:rFonts w:cs="Times New Roman"/>
          <w:sz w:val="24"/>
          <w:szCs w:val="24"/>
        </w:rPr>
        <w:t xml:space="preserve"> podľa zákona č. 218/2013</w:t>
      </w:r>
      <w:r w:rsidRPr="003C6566">
        <w:rPr>
          <w:rFonts w:cs="Times New Roman"/>
          <w:sz w:val="24"/>
          <w:szCs w:val="24"/>
        </w:rPr>
        <w:t xml:space="preserve"> Z. z. o núdzových zásobách ropy a ropných výrobkov a o riešení stavu ropnej núdze, a to z dôvodu vážnej poruchy destilačnej jednotky v rafinérii OMV vo </w:t>
      </w:r>
      <w:proofErr w:type="spellStart"/>
      <w:r w:rsidRPr="003C6566">
        <w:rPr>
          <w:rFonts w:cs="Times New Roman"/>
          <w:sz w:val="24"/>
          <w:szCs w:val="24"/>
        </w:rPr>
        <w:t>Schwechate</w:t>
      </w:r>
      <w:proofErr w:type="spellEnd"/>
      <w:r w:rsidRPr="003C6566">
        <w:rPr>
          <w:rFonts w:cs="Times New Roman"/>
          <w:sz w:val="24"/>
          <w:szCs w:val="24"/>
        </w:rPr>
        <w:t xml:space="preserve"> a tým aj ohrozenia zásobovania ropných výrobkov na slovenskom trhu.</w:t>
      </w:r>
    </w:p>
    <w:p w14:paraId="5C1EAC35" w14:textId="2DB2045C" w:rsidR="004C6700" w:rsidRPr="00876354" w:rsidRDefault="004C6700" w:rsidP="00691349">
      <w:pPr>
        <w:spacing w:line="240" w:lineRule="auto"/>
        <w:rPr>
          <w:rFonts w:cs="Times New Roman"/>
          <w:sz w:val="24"/>
          <w:szCs w:val="24"/>
        </w:rPr>
      </w:pPr>
      <w:r w:rsidRPr="00876354">
        <w:rPr>
          <w:b/>
          <w:sz w:val="24"/>
          <w:szCs w:val="24"/>
        </w:rPr>
        <w:t>Š</w:t>
      </w:r>
      <w:r w:rsidRPr="00876354">
        <w:rPr>
          <w:rFonts w:cs="Times New Roman"/>
          <w:b/>
          <w:sz w:val="24"/>
          <w:szCs w:val="24"/>
        </w:rPr>
        <w:t>tátne neziskové organizácie</w:t>
      </w:r>
      <w:r w:rsidRPr="00876354">
        <w:rPr>
          <w:rFonts w:cs="Times New Roman"/>
          <w:sz w:val="24"/>
          <w:szCs w:val="24"/>
        </w:rPr>
        <w:t xml:space="preserve"> </w:t>
      </w:r>
      <w:r>
        <w:rPr>
          <w:rFonts w:cs="Times New Roman"/>
          <w:sz w:val="24"/>
          <w:szCs w:val="24"/>
        </w:rPr>
        <w:t>vykázali ESA schodok vo výške</w:t>
      </w:r>
      <w:r w:rsidRPr="00876354">
        <w:rPr>
          <w:rFonts w:cs="Times New Roman"/>
          <w:sz w:val="24"/>
          <w:szCs w:val="24"/>
        </w:rPr>
        <w:t xml:space="preserve"> 33 742 tis. eur, čo je o 36 894 tis. eur horší hospodársky výsledok v porovnaní s rozpočtom. </w:t>
      </w:r>
      <w:r w:rsidRPr="00876354">
        <w:rPr>
          <w:rFonts w:eastAsia="Times New Roman" w:cs="Times New Roman"/>
          <w:sz w:val="24"/>
          <w:szCs w:val="24"/>
          <w:lang w:eastAsia="sk-SK"/>
        </w:rPr>
        <w:t xml:space="preserve">Najväčší vplyv na </w:t>
      </w:r>
      <w:r>
        <w:rPr>
          <w:rFonts w:eastAsia="Times New Roman" w:cs="Times New Roman"/>
          <w:sz w:val="24"/>
          <w:szCs w:val="24"/>
          <w:lang w:eastAsia="sk-SK"/>
        </w:rPr>
        <w:t xml:space="preserve">ich </w:t>
      </w:r>
      <w:r w:rsidRPr="00876354">
        <w:rPr>
          <w:rFonts w:eastAsia="Times New Roman" w:cs="Times New Roman"/>
          <w:sz w:val="24"/>
          <w:szCs w:val="24"/>
          <w:lang w:eastAsia="sk-SK"/>
        </w:rPr>
        <w:t xml:space="preserve">hospodárenie mal </w:t>
      </w:r>
      <w:r w:rsidRPr="00876354">
        <w:rPr>
          <w:rFonts w:cs="Times New Roman"/>
          <w:sz w:val="24"/>
          <w:szCs w:val="24"/>
          <w:u w:val="single"/>
        </w:rPr>
        <w:t>Fond na podporu športu</w:t>
      </w:r>
      <w:r w:rsidRPr="00876354">
        <w:rPr>
          <w:rFonts w:cs="Times New Roman"/>
          <w:sz w:val="24"/>
          <w:szCs w:val="24"/>
        </w:rPr>
        <w:t xml:space="preserve">, ktorý </w:t>
      </w:r>
      <w:r>
        <w:rPr>
          <w:rFonts w:cs="Times New Roman"/>
          <w:sz w:val="24"/>
          <w:szCs w:val="24"/>
        </w:rPr>
        <w:t>skončil</w:t>
      </w:r>
      <w:r w:rsidRPr="00876354">
        <w:rPr>
          <w:rFonts w:cs="Times New Roman"/>
          <w:sz w:val="24"/>
          <w:szCs w:val="24"/>
        </w:rPr>
        <w:t xml:space="preserve"> s ESA schodkom 31 546 tis. eur. </w:t>
      </w:r>
      <w:r>
        <w:rPr>
          <w:rFonts w:cs="Times New Roman"/>
          <w:sz w:val="24"/>
          <w:szCs w:val="24"/>
        </w:rPr>
        <w:t>Tento výsledok bol</w:t>
      </w:r>
      <w:r w:rsidRPr="00876354">
        <w:rPr>
          <w:rFonts w:cs="Times New Roman"/>
          <w:sz w:val="24"/>
          <w:szCs w:val="24"/>
        </w:rPr>
        <w:t xml:space="preserve"> spôsoben</w:t>
      </w:r>
      <w:r>
        <w:rPr>
          <w:rFonts w:cs="Times New Roman"/>
          <w:sz w:val="24"/>
          <w:szCs w:val="24"/>
        </w:rPr>
        <w:t>ý</w:t>
      </w:r>
      <w:r w:rsidRPr="00876354">
        <w:rPr>
          <w:rFonts w:cs="Times New Roman"/>
          <w:sz w:val="24"/>
          <w:szCs w:val="24"/>
        </w:rPr>
        <w:t xml:space="preserve"> predovšetkým </w:t>
      </w:r>
      <w:r>
        <w:rPr>
          <w:rFonts w:cs="Times New Roman"/>
          <w:sz w:val="24"/>
          <w:szCs w:val="24"/>
        </w:rPr>
        <w:t xml:space="preserve">realizovanými </w:t>
      </w:r>
      <w:r w:rsidRPr="00876354">
        <w:rPr>
          <w:rFonts w:cs="Times New Roman"/>
          <w:sz w:val="24"/>
          <w:szCs w:val="24"/>
        </w:rPr>
        <w:t xml:space="preserve">kapitálovými transfermi vyššími o 28 808 tis. eur, ktoré boli využité na budovanie športovej infraštruktúry národného významu. Negatívny vplyv na </w:t>
      </w:r>
      <w:r>
        <w:rPr>
          <w:rFonts w:cs="Times New Roman"/>
          <w:sz w:val="24"/>
          <w:szCs w:val="24"/>
        </w:rPr>
        <w:t>hospodárenie</w:t>
      </w:r>
      <w:r w:rsidRPr="00876354">
        <w:rPr>
          <w:rFonts w:cs="Times New Roman"/>
          <w:sz w:val="24"/>
          <w:szCs w:val="24"/>
        </w:rPr>
        <w:t xml:space="preserve"> štátnych neziskových organizácii mal </w:t>
      </w:r>
      <w:r>
        <w:rPr>
          <w:rFonts w:cs="Times New Roman"/>
          <w:sz w:val="24"/>
          <w:szCs w:val="24"/>
        </w:rPr>
        <w:t>aj</w:t>
      </w:r>
      <w:r w:rsidRPr="00876354">
        <w:rPr>
          <w:rFonts w:cs="Times New Roman"/>
          <w:sz w:val="24"/>
          <w:szCs w:val="24"/>
        </w:rPr>
        <w:t xml:space="preserve"> </w:t>
      </w:r>
      <w:r w:rsidRPr="00876354">
        <w:rPr>
          <w:rFonts w:cs="Times New Roman"/>
          <w:sz w:val="24"/>
          <w:szCs w:val="24"/>
          <w:u w:val="single"/>
        </w:rPr>
        <w:t>Úrad pre dohľad nad</w:t>
      </w:r>
      <w:r w:rsidR="007D57AB">
        <w:rPr>
          <w:rFonts w:cs="Times New Roman"/>
          <w:sz w:val="24"/>
          <w:szCs w:val="24"/>
          <w:u w:val="single"/>
        </w:rPr>
        <w:t> </w:t>
      </w:r>
      <w:r w:rsidRPr="00876354">
        <w:rPr>
          <w:rFonts w:cs="Times New Roman"/>
          <w:sz w:val="24"/>
          <w:szCs w:val="24"/>
          <w:u w:val="single"/>
        </w:rPr>
        <w:t>zdravotnou starostlivosťou</w:t>
      </w:r>
      <w:r w:rsidRPr="00876354">
        <w:rPr>
          <w:rFonts w:cs="Times New Roman"/>
          <w:sz w:val="24"/>
          <w:szCs w:val="24"/>
        </w:rPr>
        <w:t xml:space="preserve">, ktorý dosiahol ESA schodok </w:t>
      </w:r>
      <w:r>
        <w:rPr>
          <w:rFonts w:cs="Times New Roman"/>
          <w:sz w:val="24"/>
          <w:szCs w:val="24"/>
        </w:rPr>
        <w:t xml:space="preserve">vo výške </w:t>
      </w:r>
      <w:r w:rsidRPr="00876354">
        <w:rPr>
          <w:rFonts w:cs="Times New Roman"/>
          <w:sz w:val="24"/>
          <w:szCs w:val="24"/>
        </w:rPr>
        <w:t>23 096 tis.</w:t>
      </w:r>
      <w:r>
        <w:rPr>
          <w:rFonts w:cs="Times New Roman"/>
          <w:sz w:val="24"/>
          <w:szCs w:val="24"/>
        </w:rPr>
        <w:t> </w:t>
      </w:r>
      <w:r w:rsidRPr="00876354">
        <w:rPr>
          <w:rFonts w:cs="Times New Roman"/>
          <w:sz w:val="24"/>
          <w:szCs w:val="24"/>
        </w:rPr>
        <w:t>eur</w:t>
      </w:r>
      <w:r>
        <w:rPr>
          <w:rFonts w:cs="Times New Roman"/>
          <w:sz w:val="24"/>
          <w:szCs w:val="24"/>
        </w:rPr>
        <w:t>.</w:t>
      </w:r>
      <w:r w:rsidRPr="00876354">
        <w:rPr>
          <w:rFonts w:cs="Times New Roman"/>
          <w:sz w:val="24"/>
          <w:szCs w:val="24"/>
        </w:rPr>
        <w:t xml:space="preserve"> </w:t>
      </w:r>
      <w:r>
        <w:rPr>
          <w:rFonts w:cs="Times New Roman"/>
          <w:sz w:val="24"/>
          <w:szCs w:val="24"/>
        </w:rPr>
        <w:t xml:space="preserve">Tento výsledok </w:t>
      </w:r>
      <w:r w:rsidRPr="00876354">
        <w:rPr>
          <w:rFonts w:cs="Times New Roman"/>
          <w:sz w:val="24"/>
          <w:szCs w:val="24"/>
        </w:rPr>
        <w:t>bol spôsoben</w:t>
      </w:r>
      <w:r>
        <w:rPr>
          <w:rFonts w:cs="Times New Roman"/>
          <w:sz w:val="24"/>
          <w:szCs w:val="24"/>
        </w:rPr>
        <w:t>ý</w:t>
      </w:r>
      <w:r w:rsidRPr="00876354">
        <w:rPr>
          <w:rFonts w:cs="Times New Roman"/>
          <w:sz w:val="24"/>
          <w:szCs w:val="24"/>
        </w:rPr>
        <w:t xml:space="preserve"> hlavne legislatívnou zmenou zákona č. 581/2004 Z. z. o zdravotných poisťovniach, kde došlo k časovému posunu poukazovan</w:t>
      </w:r>
      <w:r>
        <w:rPr>
          <w:rFonts w:cs="Times New Roman"/>
          <w:sz w:val="24"/>
          <w:szCs w:val="24"/>
        </w:rPr>
        <w:t>ia príspevku na činnosť úradu z </w:t>
      </w:r>
      <w:r w:rsidRPr="00876354">
        <w:rPr>
          <w:rFonts w:cs="Times New Roman"/>
          <w:sz w:val="24"/>
          <w:szCs w:val="24"/>
        </w:rPr>
        <w:t>pôvodného termínu 20. december predchádzajúceho roka na 20. január aktuálneho roka. Na</w:t>
      </w:r>
      <w:r w:rsidR="007D57AB">
        <w:rPr>
          <w:rFonts w:cs="Times New Roman"/>
          <w:sz w:val="24"/>
          <w:szCs w:val="24"/>
        </w:rPr>
        <w:t> </w:t>
      </w:r>
      <w:r w:rsidRPr="00876354">
        <w:rPr>
          <w:rFonts w:cs="Times New Roman"/>
          <w:sz w:val="24"/>
          <w:szCs w:val="24"/>
        </w:rPr>
        <w:t xml:space="preserve">druhej strane </w:t>
      </w:r>
      <w:r>
        <w:rPr>
          <w:rFonts w:cs="Times New Roman"/>
          <w:sz w:val="24"/>
          <w:szCs w:val="24"/>
        </w:rPr>
        <w:t xml:space="preserve">celkové saldo štátnych neziskových organizácií </w:t>
      </w:r>
      <w:r w:rsidRPr="00876354">
        <w:rPr>
          <w:rFonts w:cs="Times New Roman"/>
          <w:sz w:val="24"/>
          <w:szCs w:val="24"/>
        </w:rPr>
        <w:t>pozitívn</w:t>
      </w:r>
      <w:r>
        <w:rPr>
          <w:rFonts w:cs="Times New Roman"/>
          <w:sz w:val="24"/>
          <w:szCs w:val="24"/>
        </w:rPr>
        <w:t>e ovplyvnil</w:t>
      </w:r>
      <w:r w:rsidRPr="00876354">
        <w:rPr>
          <w:rFonts w:cs="Times New Roman"/>
          <w:sz w:val="24"/>
          <w:szCs w:val="24"/>
        </w:rPr>
        <w:t xml:space="preserve"> </w:t>
      </w:r>
      <w:r w:rsidRPr="00876354">
        <w:rPr>
          <w:rFonts w:cs="Times New Roman"/>
          <w:sz w:val="24"/>
          <w:szCs w:val="24"/>
          <w:u w:val="single"/>
        </w:rPr>
        <w:t>Fond pre</w:t>
      </w:r>
      <w:r w:rsidR="007D57AB">
        <w:rPr>
          <w:rFonts w:cs="Times New Roman"/>
          <w:sz w:val="24"/>
          <w:szCs w:val="24"/>
          <w:u w:val="single"/>
        </w:rPr>
        <w:t> </w:t>
      </w:r>
      <w:r w:rsidRPr="00876354">
        <w:rPr>
          <w:rFonts w:cs="Times New Roman"/>
          <w:sz w:val="24"/>
          <w:szCs w:val="24"/>
          <w:u w:val="single"/>
        </w:rPr>
        <w:t>ochranu vkladov</w:t>
      </w:r>
      <w:r w:rsidRPr="00876354">
        <w:rPr>
          <w:rFonts w:cs="Times New Roman"/>
          <w:sz w:val="24"/>
          <w:szCs w:val="24"/>
        </w:rPr>
        <w:t>, ktorý hospodáril s ESA prebytkom 16</w:t>
      </w:r>
      <w:r>
        <w:rPr>
          <w:rFonts w:cs="Times New Roman"/>
          <w:sz w:val="24"/>
          <w:szCs w:val="24"/>
        </w:rPr>
        <w:t> </w:t>
      </w:r>
      <w:r w:rsidRPr="00876354">
        <w:rPr>
          <w:rFonts w:cs="Times New Roman"/>
          <w:sz w:val="24"/>
          <w:szCs w:val="24"/>
        </w:rPr>
        <w:t>828</w:t>
      </w:r>
      <w:r>
        <w:rPr>
          <w:rFonts w:cs="Times New Roman"/>
          <w:sz w:val="24"/>
          <w:szCs w:val="24"/>
        </w:rPr>
        <w:t> </w:t>
      </w:r>
      <w:r w:rsidRPr="00876354">
        <w:rPr>
          <w:rFonts w:cs="Times New Roman"/>
          <w:sz w:val="24"/>
          <w:szCs w:val="24"/>
        </w:rPr>
        <w:t>tis. eur, jeho hospodárenie sa však nerozpočtuje.</w:t>
      </w:r>
    </w:p>
    <w:p w14:paraId="1FC165D1" w14:textId="77777777" w:rsidR="004C6700" w:rsidRPr="00876354" w:rsidRDefault="004C6700" w:rsidP="00691349">
      <w:pPr>
        <w:spacing w:line="240" w:lineRule="auto"/>
        <w:rPr>
          <w:rFonts w:cs="Times New Roman"/>
          <w:sz w:val="24"/>
          <w:szCs w:val="24"/>
        </w:rPr>
      </w:pPr>
      <w:r w:rsidRPr="00876354">
        <w:rPr>
          <w:rFonts w:cs="Times New Roman"/>
          <w:b/>
          <w:sz w:val="24"/>
          <w:szCs w:val="24"/>
        </w:rPr>
        <w:t>Rozhlas a televízia Slovenska</w:t>
      </w:r>
      <w:r w:rsidRPr="00876354">
        <w:rPr>
          <w:rFonts w:cs="Times New Roman"/>
          <w:sz w:val="24"/>
          <w:szCs w:val="24"/>
        </w:rPr>
        <w:t xml:space="preserve"> dosiahl</w:t>
      </w:r>
      <w:r>
        <w:rPr>
          <w:rFonts w:cs="Times New Roman"/>
          <w:sz w:val="24"/>
          <w:szCs w:val="24"/>
        </w:rPr>
        <w:t>a</w:t>
      </w:r>
      <w:r w:rsidRPr="00876354">
        <w:rPr>
          <w:rFonts w:cs="Times New Roman"/>
          <w:sz w:val="24"/>
          <w:szCs w:val="24"/>
        </w:rPr>
        <w:t xml:space="preserve"> hotovostný schodok </w:t>
      </w:r>
      <w:r>
        <w:rPr>
          <w:rFonts w:cs="Times New Roman"/>
          <w:sz w:val="24"/>
          <w:szCs w:val="24"/>
        </w:rPr>
        <w:t xml:space="preserve">vo výške </w:t>
      </w:r>
      <w:r w:rsidRPr="00876354">
        <w:rPr>
          <w:rFonts w:cs="Times New Roman"/>
          <w:sz w:val="24"/>
          <w:szCs w:val="24"/>
        </w:rPr>
        <w:t xml:space="preserve">12 159 tis. eur, čo </w:t>
      </w:r>
      <w:r>
        <w:rPr>
          <w:rFonts w:cs="Times New Roman"/>
          <w:sz w:val="24"/>
          <w:szCs w:val="24"/>
        </w:rPr>
        <w:t>predstavuje zhoršenie oproti plánovanej hodnote</w:t>
      </w:r>
      <w:r w:rsidRPr="00876354">
        <w:rPr>
          <w:rFonts w:cs="Times New Roman"/>
          <w:sz w:val="24"/>
          <w:szCs w:val="24"/>
        </w:rPr>
        <w:t xml:space="preserve"> o 15 860 tis. eur</w:t>
      </w:r>
      <w:r>
        <w:rPr>
          <w:rFonts w:cs="Times New Roman"/>
          <w:sz w:val="24"/>
          <w:szCs w:val="24"/>
        </w:rPr>
        <w:t>.</w:t>
      </w:r>
      <w:r w:rsidRPr="00876354">
        <w:rPr>
          <w:rFonts w:cs="Times New Roman"/>
          <w:sz w:val="24"/>
          <w:szCs w:val="24"/>
        </w:rPr>
        <w:t xml:space="preserve"> </w:t>
      </w:r>
      <w:r>
        <w:rPr>
          <w:rFonts w:cs="Times New Roman"/>
          <w:sz w:val="24"/>
          <w:szCs w:val="24"/>
        </w:rPr>
        <w:t>Prispeli k tomu najmä</w:t>
      </w:r>
      <w:r w:rsidRPr="00876354">
        <w:rPr>
          <w:rFonts w:cs="Times New Roman"/>
          <w:sz w:val="24"/>
          <w:szCs w:val="24"/>
        </w:rPr>
        <w:t xml:space="preserve"> vyšš</w:t>
      </w:r>
      <w:r>
        <w:rPr>
          <w:rFonts w:cs="Times New Roman"/>
          <w:sz w:val="24"/>
          <w:szCs w:val="24"/>
        </w:rPr>
        <w:t>ie</w:t>
      </w:r>
      <w:r w:rsidRPr="00876354">
        <w:rPr>
          <w:rFonts w:cs="Times New Roman"/>
          <w:sz w:val="24"/>
          <w:szCs w:val="24"/>
        </w:rPr>
        <w:t xml:space="preserve"> výdavk</w:t>
      </w:r>
      <w:r>
        <w:rPr>
          <w:rFonts w:cs="Times New Roman"/>
          <w:sz w:val="24"/>
          <w:szCs w:val="24"/>
        </w:rPr>
        <w:t>y</w:t>
      </w:r>
      <w:r w:rsidRPr="00876354">
        <w:rPr>
          <w:rFonts w:cs="Times New Roman"/>
          <w:sz w:val="24"/>
          <w:szCs w:val="24"/>
        </w:rPr>
        <w:t xml:space="preserve"> na obstaranie kapitálových aktív</w:t>
      </w:r>
      <w:r>
        <w:rPr>
          <w:rFonts w:cs="Times New Roman"/>
          <w:sz w:val="24"/>
          <w:szCs w:val="24"/>
        </w:rPr>
        <w:t xml:space="preserve"> o hodnotu </w:t>
      </w:r>
      <w:r w:rsidRPr="00876354">
        <w:rPr>
          <w:rFonts w:cs="Times New Roman"/>
          <w:sz w:val="24"/>
          <w:szCs w:val="24"/>
        </w:rPr>
        <w:t>27 499 tis. eur</w:t>
      </w:r>
      <w:r>
        <w:rPr>
          <w:rFonts w:cs="Times New Roman"/>
          <w:sz w:val="24"/>
          <w:szCs w:val="24"/>
        </w:rPr>
        <w:t>, ktoré</w:t>
      </w:r>
      <w:r w:rsidRPr="00876354">
        <w:rPr>
          <w:rFonts w:cs="Times New Roman"/>
          <w:sz w:val="24"/>
          <w:szCs w:val="24"/>
        </w:rPr>
        <w:t xml:space="preserve"> súvis</w:t>
      </w:r>
      <w:r>
        <w:rPr>
          <w:rFonts w:cs="Times New Roman"/>
          <w:sz w:val="24"/>
          <w:szCs w:val="24"/>
        </w:rPr>
        <w:t>eli</w:t>
      </w:r>
      <w:r w:rsidRPr="00876354">
        <w:rPr>
          <w:rFonts w:cs="Times New Roman"/>
          <w:sz w:val="24"/>
          <w:szCs w:val="24"/>
        </w:rPr>
        <w:t xml:space="preserve"> prevažne </w:t>
      </w:r>
      <w:r>
        <w:rPr>
          <w:rFonts w:cs="Times New Roman"/>
          <w:sz w:val="24"/>
          <w:szCs w:val="24"/>
        </w:rPr>
        <w:t>s </w:t>
      </w:r>
      <w:r w:rsidRPr="00876354">
        <w:rPr>
          <w:rFonts w:cs="Times New Roman"/>
          <w:sz w:val="24"/>
          <w:szCs w:val="24"/>
        </w:rPr>
        <w:t>nákupom prevádzkových strojov a</w:t>
      </w:r>
      <w:r>
        <w:rPr>
          <w:rFonts w:cs="Times New Roman"/>
          <w:sz w:val="24"/>
          <w:szCs w:val="24"/>
        </w:rPr>
        <w:t> </w:t>
      </w:r>
      <w:r w:rsidRPr="00876354">
        <w:rPr>
          <w:rFonts w:cs="Times New Roman"/>
          <w:sz w:val="24"/>
          <w:szCs w:val="24"/>
        </w:rPr>
        <w:t xml:space="preserve">modernizáciou, </w:t>
      </w:r>
      <w:r>
        <w:rPr>
          <w:rFonts w:cs="Times New Roman"/>
          <w:sz w:val="24"/>
          <w:szCs w:val="24"/>
        </w:rPr>
        <w:t xml:space="preserve">rovnako </w:t>
      </w:r>
      <w:r w:rsidRPr="00876354">
        <w:rPr>
          <w:rFonts w:cs="Times New Roman"/>
          <w:sz w:val="24"/>
          <w:szCs w:val="24"/>
        </w:rPr>
        <w:t>nárast výdavkov na tovary a služby o 20 588 tis. eur súvisiacich s vyššími výdavkami na tvorbu programov</w:t>
      </w:r>
      <w:r>
        <w:rPr>
          <w:rFonts w:cs="Times New Roman"/>
          <w:sz w:val="24"/>
          <w:szCs w:val="24"/>
        </w:rPr>
        <w:t>,</w:t>
      </w:r>
      <w:r w:rsidRPr="00876354">
        <w:rPr>
          <w:rFonts w:cs="Times New Roman"/>
          <w:sz w:val="24"/>
          <w:szCs w:val="24"/>
        </w:rPr>
        <w:t xml:space="preserve"> ako aj rastom cien režijných položiek. Negatívny vplyv </w:t>
      </w:r>
      <w:r>
        <w:rPr>
          <w:rFonts w:cs="Times New Roman"/>
          <w:sz w:val="24"/>
          <w:szCs w:val="24"/>
        </w:rPr>
        <w:t xml:space="preserve">na výsledok </w:t>
      </w:r>
      <w:r w:rsidRPr="00876354">
        <w:rPr>
          <w:rFonts w:cs="Times New Roman"/>
          <w:sz w:val="24"/>
          <w:szCs w:val="24"/>
        </w:rPr>
        <w:t xml:space="preserve">mali tiež výdavky na mzdy vyššie o 8 936 tis. eur a nižšie príjmy z daní za tovary a služby o 30 810 tis. eur súvisiace so zrušením tzv. koncesionárskych poplatkov od 1.7.2023. Tieto negatívne vplyvy sú čiastočne kompenzované vyššími grantmi o 69 722 tis. eur - od 1.7.2023 boli zrušené úhrady za služby </w:t>
      </w:r>
      <w:r w:rsidRPr="00876354">
        <w:rPr>
          <w:rFonts w:cs="Times New Roman"/>
          <w:sz w:val="24"/>
          <w:szCs w:val="24"/>
        </w:rPr>
        <w:lastRenderedPageBreak/>
        <w:t xml:space="preserve">verejnosti a nahradené </w:t>
      </w:r>
      <w:proofErr w:type="spellStart"/>
      <w:r w:rsidRPr="00876354">
        <w:rPr>
          <w:rFonts w:cs="Times New Roman"/>
          <w:sz w:val="24"/>
          <w:szCs w:val="24"/>
        </w:rPr>
        <w:t>nárokovateľným</w:t>
      </w:r>
      <w:proofErr w:type="spellEnd"/>
      <w:r w:rsidRPr="00876354">
        <w:rPr>
          <w:rFonts w:cs="Times New Roman"/>
          <w:sz w:val="24"/>
          <w:szCs w:val="24"/>
        </w:rPr>
        <w:t xml:space="preserve"> príspevkom zo štátneho rozpočtu. Rozhlas a televízia Slovenska dosiahla </w:t>
      </w:r>
      <w:r>
        <w:rPr>
          <w:rFonts w:cs="Times New Roman"/>
          <w:sz w:val="24"/>
          <w:szCs w:val="24"/>
        </w:rPr>
        <w:t xml:space="preserve">konečný </w:t>
      </w:r>
      <w:r w:rsidRPr="00876354">
        <w:rPr>
          <w:rFonts w:cs="Times New Roman"/>
          <w:sz w:val="24"/>
          <w:szCs w:val="24"/>
        </w:rPr>
        <w:t xml:space="preserve">ESA schodok 12 831 tis. eur, čo bolo o 16 532 tis. eur horšie hospodárenie oproti rozpočtu. Dôvodom zhoršeného hospodárenia bolo aj zahrnutie medziročnej zmeny stavu pohľadávok a záväzkov s negatívnym vplyvom </w:t>
      </w:r>
      <w:r>
        <w:rPr>
          <w:rFonts w:cs="Times New Roman"/>
          <w:sz w:val="24"/>
          <w:szCs w:val="24"/>
        </w:rPr>
        <w:t xml:space="preserve">na saldo </w:t>
      </w:r>
      <w:r w:rsidRPr="00876354">
        <w:rPr>
          <w:rFonts w:cs="Times New Roman"/>
          <w:sz w:val="24"/>
          <w:szCs w:val="24"/>
        </w:rPr>
        <w:t>vo výške 712 tis. eur.</w:t>
      </w:r>
    </w:p>
    <w:p w14:paraId="596BC05E" w14:textId="2CC7D517" w:rsidR="004C6700" w:rsidRPr="00876354" w:rsidRDefault="004C6700" w:rsidP="00691349">
      <w:pPr>
        <w:spacing w:line="240" w:lineRule="auto"/>
        <w:rPr>
          <w:rFonts w:eastAsia="Times New Roman" w:cs="Times New Roman"/>
          <w:sz w:val="24"/>
          <w:szCs w:val="24"/>
          <w:lang w:eastAsia="sk-SK"/>
        </w:rPr>
      </w:pPr>
      <w:r w:rsidRPr="00876354">
        <w:rPr>
          <w:rFonts w:eastAsia="Times New Roman" w:cs="Times New Roman"/>
          <w:b/>
          <w:sz w:val="24"/>
          <w:szCs w:val="24"/>
          <w:lang w:eastAsia="sk-SK"/>
        </w:rPr>
        <w:t>Slovenský pozemkový fond</w:t>
      </w:r>
      <w:r w:rsidRPr="00876354">
        <w:rPr>
          <w:rFonts w:eastAsia="Times New Roman" w:cs="Times New Roman"/>
          <w:sz w:val="24"/>
          <w:szCs w:val="24"/>
          <w:lang w:eastAsia="sk-SK"/>
        </w:rPr>
        <w:t xml:space="preserve"> hospodáril s ESA prebytkom 28 798 tis. eur, čo </w:t>
      </w:r>
      <w:r>
        <w:rPr>
          <w:rFonts w:eastAsia="Times New Roman" w:cs="Times New Roman"/>
          <w:sz w:val="24"/>
          <w:szCs w:val="24"/>
          <w:lang w:eastAsia="sk-SK"/>
        </w:rPr>
        <w:t>predstavuje</w:t>
      </w:r>
      <w:r w:rsidRPr="00876354">
        <w:rPr>
          <w:rFonts w:eastAsia="Times New Roman" w:cs="Times New Roman"/>
          <w:sz w:val="24"/>
          <w:szCs w:val="24"/>
          <w:lang w:eastAsia="sk-SK"/>
        </w:rPr>
        <w:t xml:space="preserve"> o 28 220 tis. eur </w:t>
      </w:r>
      <w:r>
        <w:rPr>
          <w:rFonts w:eastAsia="Times New Roman" w:cs="Times New Roman"/>
          <w:sz w:val="24"/>
          <w:szCs w:val="24"/>
          <w:lang w:eastAsia="sk-SK"/>
        </w:rPr>
        <w:t>vyšší prebytok</w:t>
      </w:r>
      <w:r w:rsidRPr="00876354">
        <w:rPr>
          <w:rFonts w:eastAsia="Times New Roman" w:cs="Times New Roman"/>
          <w:sz w:val="24"/>
          <w:szCs w:val="24"/>
          <w:lang w:eastAsia="sk-SK"/>
        </w:rPr>
        <w:t xml:space="preserve"> oproti rozpočtu. Najväčší pozit</w:t>
      </w:r>
      <w:r>
        <w:rPr>
          <w:rFonts w:eastAsia="Times New Roman" w:cs="Times New Roman"/>
          <w:sz w:val="24"/>
          <w:szCs w:val="24"/>
          <w:lang w:eastAsia="sk-SK"/>
        </w:rPr>
        <w:t>ívny vplyv mali vyššie príjmy z </w:t>
      </w:r>
      <w:r w:rsidRPr="00876354">
        <w:rPr>
          <w:rFonts w:eastAsia="Times New Roman" w:cs="Times New Roman"/>
          <w:sz w:val="24"/>
          <w:szCs w:val="24"/>
          <w:lang w:eastAsia="sk-SK"/>
        </w:rPr>
        <w:t xml:space="preserve">prenájmu pozemkov o 13 757 tis. eur a vyššie príjmy z úrokov o 6 995 tis. eur. Pozitívny vplyv </w:t>
      </w:r>
      <w:r>
        <w:rPr>
          <w:rFonts w:eastAsia="Times New Roman" w:cs="Times New Roman"/>
          <w:sz w:val="24"/>
          <w:szCs w:val="24"/>
          <w:lang w:eastAsia="sk-SK"/>
        </w:rPr>
        <w:t xml:space="preserve">na saldo </w:t>
      </w:r>
      <w:r w:rsidRPr="00876354">
        <w:rPr>
          <w:rFonts w:eastAsia="Times New Roman" w:cs="Times New Roman"/>
          <w:sz w:val="24"/>
          <w:szCs w:val="24"/>
          <w:lang w:eastAsia="sk-SK"/>
        </w:rPr>
        <w:t xml:space="preserve">mali </w:t>
      </w:r>
      <w:r>
        <w:rPr>
          <w:rFonts w:eastAsia="Times New Roman" w:cs="Times New Roman"/>
          <w:sz w:val="24"/>
          <w:szCs w:val="24"/>
          <w:lang w:eastAsia="sk-SK"/>
        </w:rPr>
        <w:t>aj</w:t>
      </w:r>
      <w:r w:rsidRPr="00876354">
        <w:rPr>
          <w:rFonts w:eastAsia="Times New Roman" w:cs="Times New Roman"/>
          <w:sz w:val="24"/>
          <w:szCs w:val="24"/>
          <w:lang w:eastAsia="sk-SK"/>
        </w:rPr>
        <w:t xml:space="preserve"> výdavky na mzdy nižšie o 1 050 tis. eur </w:t>
      </w:r>
      <w:r>
        <w:rPr>
          <w:rFonts w:eastAsia="Times New Roman" w:cs="Times New Roman"/>
          <w:sz w:val="24"/>
          <w:szCs w:val="24"/>
          <w:lang w:eastAsia="sk-SK"/>
        </w:rPr>
        <w:t xml:space="preserve">ako sa pôvodne plánovalo </w:t>
      </w:r>
      <w:r w:rsidRPr="00876354">
        <w:rPr>
          <w:rFonts w:eastAsia="Times New Roman" w:cs="Times New Roman"/>
          <w:sz w:val="24"/>
          <w:szCs w:val="24"/>
          <w:lang w:eastAsia="sk-SK"/>
        </w:rPr>
        <w:t>a neodvedenie odvodu z hospodárskeho výsledku v objeme 1 500 </w:t>
      </w:r>
      <w:r>
        <w:rPr>
          <w:rFonts w:eastAsia="Times New Roman" w:cs="Times New Roman"/>
          <w:sz w:val="24"/>
          <w:szCs w:val="24"/>
          <w:lang w:eastAsia="sk-SK"/>
        </w:rPr>
        <w:t>tis. eur z dôvodu, že nedošlo k </w:t>
      </w:r>
      <w:r w:rsidRPr="00876354">
        <w:rPr>
          <w:rFonts w:eastAsia="Times New Roman" w:cs="Times New Roman"/>
          <w:sz w:val="24"/>
          <w:szCs w:val="24"/>
          <w:lang w:eastAsia="sk-SK"/>
        </w:rPr>
        <w:t>dohode o</w:t>
      </w:r>
      <w:r w:rsidR="007D57AB">
        <w:rPr>
          <w:rFonts w:eastAsia="Times New Roman" w:cs="Times New Roman"/>
          <w:sz w:val="24"/>
          <w:szCs w:val="24"/>
          <w:lang w:eastAsia="sk-SK"/>
        </w:rPr>
        <w:t> </w:t>
      </w:r>
      <w:r w:rsidRPr="00876354">
        <w:rPr>
          <w:rFonts w:eastAsia="Times New Roman" w:cs="Times New Roman"/>
          <w:sz w:val="24"/>
          <w:szCs w:val="24"/>
          <w:lang w:eastAsia="sk-SK"/>
        </w:rPr>
        <w:t>prerozdelení hospodárskeho výsledku.</w:t>
      </w:r>
    </w:p>
    <w:p w14:paraId="15BFADE4" w14:textId="6208E977" w:rsidR="004C6700" w:rsidRPr="00D94D52" w:rsidRDefault="004C6700" w:rsidP="00691349">
      <w:pPr>
        <w:spacing w:line="240" w:lineRule="auto"/>
        <w:rPr>
          <w:rFonts w:eastAsia="Times New Roman" w:cs="Times New Roman"/>
          <w:b/>
          <w:sz w:val="24"/>
          <w:szCs w:val="24"/>
          <w:lang w:eastAsia="sk-SK"/>
        </w:rPr>
      </w:pPr>
      <w:r w:rsidRPr="00D94D52">
        <w:rPr>
          <w:b/>
          <w:sz w:val="24"/>
          <w:szCs w:val="24"/>
        </w:rPr>
        <w:t xml:space="preserve">Územná samospráva dosiahla ESA prebytok 97 707 tis. eur, čo je oproti rozpočtu viac o 420 317 tis. eur (plánovaný schodok </w:t>
      </w:r>
      <w:r w:rsidR="000665E4">
        <w:rPr>
          <w:b/>
          <w:sz w:val="24"/>
          <w:szCs w:val="24"/>
        </w:rPr>
        <w:t>bol vo výške 322 610 tis. eur).</w:t>
      </w:r>
    </w:p>
    <w:p w14:paraId="757ED233" w14:textId="1F70DDD1" w:rsidR="004C6700" w:rsidRPr="006247CA" w:rsidRDefault="004C6700" w:rsidP="00691349">
      <w:pPr>
        <w:spacing w:line="240" w:lineRule="auto"/>
        <w:rPr>
          <w:rFonts w:cs="Times New Roman"/>
          <w:sz w:val="24"/>
          <w:szCs w:val="24"/>
        </w:rPr>
      </w:pPr>
      <w:r w:rsidRPr="00D94D52">
        <w:rPr>
          <w:sz w:val="24"/>
          <w:szCs w:val="24"/>
        </w:rPr>
        <w:t xml:space="preserve">Výšku prebytku ovplyvnilo </w:t>
      </w:r>
      <w:r w:rsidRPr="00D94D52">
        <w:rPr>
          <w:b/>
          <w:sz w:val="24"/>
          <w:szCs w:val="24"/>
        </w:rPr>
        <w:t>hospodárenie obcí</w:t>
      </w:r>
      <w:r w:rsidRPr="00D94D52">
        <w:rPr>
          <w:sz w:val="24"/>
          <w:szCs w:val="24"/>
        </w:rPr>
        <w:t xml:space="preserve">, ktoré </w:t>
      </w:r>
      <w:r w:rsidRPr="00D94D52">
        <w:rPr>
          <w:rFonts w:cs="Times New Roman"/>
          <w:sz w:val="24"/>
          <w:szCs w:val="24"/>
        </w:rPr>
        <w:t>mali rozpočtovaný hotovostný schodok 255 679 tis. eur, v skutočnosti dosiahli prebytok vo</w:t>
      </w:r>
      <w:r>
        <w:rPr>
          <w:rFonts w:cs="Times New Roman"/>
          <w:sz w:val="24"/>
          <w:szCs w:val="24"/>
        </w:rPr>
        <w:t> </w:t>
      </w:r>
      <w:r w:rsidRPr="00D94D52">
        <w:rPr>
          <w:rFonts w:cs="Times New Roman"/>
          <w:sz w:val="24"/>
          <w:szCs w:val="24"/>
        </w:rPr>
        <w:t xml:space="preserve">výške </w:t>
      </w:r>
      <w:r>
        <w:rPr>
          <w:rFonts w:cs="Times New Roman"/>
          <w:sz w:val="24"/>
          <w:szCs w:val="24"/>
        </w:rPr>
        <w:t>11</w:t>
      </w:r>
      <w:r w:rsidRPr="00D94D52">
        <w:rPr>
          <w:rFonts w:cs="Times New Roman"/>
          <w:sz w:val="24"/>
          <w:szCs w:val="24"/>
        </w:rPr>
        <w:t> 7</w:t>
      </w:r>
      <w:r>
        <w:rPr>
          <w:rFonts w:cs="Times New Roman"/>
          <w:sz w:val="24"/>
          <w:szCs w:val="24"/>
        </w:rPr>
        <w:t>08</w:t>
      </w:r>
      <w:r w:rsidRPr="00D94D52">
        <w:rPr>
          <w:rFonts w:cs="Times New Roman"/>
          <w:sz w:val="24"/>
          <w:szCs w:val="24"/>
        </w:rPr>
        <w:t> tis. eur, čo predstavuje zlepšenie o </w:t>
      </w:r>
      <w:r>
        <w:rPr>
          <w:rFonts w:cs="Times New Roman"/>
          <w:sz w:val="24"/>
          <w:szCs w:val="24"/>
        </w:rPr>
        <w:t>267</w:t>
      </w:r>
      <w:r w:rsidRPr="00D94D52">
        <w:rPr>
          <w:rFonts w:cs="Times New Roman"/>
          <w:sz w:val="24"/>
          <w:szCs w:val="24"/>
        </w:rPr>
        <w:t> </w:t>
      </w:r>
      <w:r>
        <w:rPr>
          <w:rFonts w:cs="Times New Roman"/>
          <w:sz w:val="24"/>
          <w:szCs w:val="24"/>
        </w:rPr>
        <w:t>387</w:t>
      </w:r>
      <w:r w:rsidRPr="00D94D52">
        <w:rPr>
          <w:rFonts w:cs="Times New Roman"/>
          <w:sz w:val="24"/>
          <w:szCs w:val="24"/>
        </w:rPr>
        <w:t xml:space="preserve"> tis. eur. </w:t>
      </w:r>
      <w:r w:rsidRPr="000520D0">
        <w:rPr>
          <w:rFonts w:cs="Times New Roman"/>
          <w:sz w:val="24"/>
          <w:szCs w:val="24"/>
        </w:rPr>
        <w:t>Výrazne viac sa napĺňali príjmy oproti čerpaniu výdavkov. Pozitívny vplyv mali zvýšené daňové príjmy o 98 622 tis. eur, najmä príjmy z podielových daní,</w:t>
      </w:r>
      <w:r w:rsidR="00201C3D">
        <w:rPr>
          <w:rFonts w:cs="Times New Roman"/>
          <w:sz w:val="24"/>
          <w:szCs w:val="24"/>
        </w:rPr>
        <w:t xml:space="preserve"> vyplatený príjem DPPO. </w:t>
      </w:r>
      <w:r w:rsidR="00201C3D" w:rsidRPr="0054081E">
        <w:rPr>
          <w:rFonts w:cs="Times New Roman"/>
          <w:sz w:val="24"/>
          <w:szCs w:val="24"/>
        </w:rPr>
        <w:t>V roku 2</w:t>
      </w:r>
      <w:r w:rsidR="00201C3D">
        <w:rPr>
          <w:rFonts w:cs="Times New Roman"/>
          <w:sz w:val="24"/>
          <w:szCs w:val="24"/>
        </w:rPr>
        <w:t>023 bol podiel na výnose dane z </w:t>
      </w:r>
      <w:r w:rsidR="00201C3D" w:rsidRPr="006247CA">
        <w:rPr>
          <w:rFonts w:cs="Times New Roman"/>
          <w:sz w:val="24"/>
          <w:szCs w:val="24"/>
        </w:rPr>
        <w:t xml:space="preserve">príjmov fyzických osôb poukazovaný obciam zvýšený o sumu 228 059 tis. eur zo zdrojov z DPPO. </w:t>
      </w:r>
      <w:r w:rsidR="00276A01" w:rsidRPr="006247CA">
        <w:rPr>
          <w:rFonts w:cs="Times New Roman"/>
          <w:sz w:val="24"/>
          <w:szCs w:val="24"/>
        </w:rPr>
        <w:t xml:space="preserve">Vyplatenie príjmu DPPO nebolo zapracované v schválenom rozpočte na rok 2023, čo malo pozitívny vplyv na hospodárenie obcí. </w:t>
      </w:r>
      <w:r w:rsidR="00201C3D" w:rsidRPr="006247CA">
        <w:rPr>
          <w:rFonts w:cs="Times New Roman"/>
          <w:sz w:val="24"/>
          <w:szCs w:val="24"/>
        </w:rPr>
        <w:t>Skutočný hotovostný prevod dane z príjmov fyzických osôb do rozpočtov obcí (vrátane DPPO) bol prevedený vo výške 2 700 920 tis. eur vrátane</w:t>
      </w:r>
      <w:r w:rsidR="00201C3D" w:rsidRPr="0054081E">
        <w:rPr>
          <w:rFonts w:cs="Times New Roman"/>
          <w:sz w:val="24"/>
          <w:szCs w:val="24"/>
        </w:rPr>
        <w:t xml:space="preserve"> zúčtovania za predchádzajúci rok (zúčtovanie z</w:t>
      </w:r>
      <w:r w:rsidR="00201C3D">
        <w:rPr>
          <w:rFonts w:cs="Times New Roman"/>
          <w:sz w:val="24"/>
          <w:szCs w:val="24"/>
        </w:rPr>
        <w:t xml:space="preserve">a rok 2022: 15 141 </w:t>
      </w:r>
      <w:r w:rsidR="00201C3D" w:rsidRPr="0054081E">
        <w:rPr>
          <w:rFonts w:cs="Times New Roman"/>
          <w:sz w:val="24"/>
          <w:szCs w:val="24"/>
        </w:rPr>
        <w:t>tis.</w:t>
      </w:r>
      <w:r w:rsidR="00201C3D">
        <w:rPr>
          <w:rFonts w:cs="Times New Roman"/>
          <w:sz w:val="24"/>
          <w:szCs w:val="24"/>
        </w:rPr>
        <w:t> </w:t>
      </w:r>
      <w:r w:rsidR="00201C3D" w:rsidRPr="0054081E">
        <w:rPr>
          <w:rFonts w:cs="Times New Roman"/>
          <w:sz w:val="24"/>
          <w:szCs w:val="24"/>
        </w:rPr>
        <w:t>eur). Prevod za rok 2023 bez zúčtovania bol vo výške</w:t>
      </w:r>
      <w:r w:rsidR="00201C3D">
        <w:rPr>
          <w:rFonts w:cs="Times New Roman"/>
          <w:sz w:val="24"/>
          <w:szCs w:val="24"/>
        </w:rPr>
        <w:t> 2 685 778 </w:t>
      </w:r>
      <w:r w:rsidR="00201C3D" w:rsidRPr="0054081E">
        <w:rPr>
          <w:rFonts w:cs="Times New Roman"/>
          <w:sz w:val="24"/>
          <w:szCs w:val="24"/>
        </w:rPr>
        <w:t>tis.</w:t>
      </w:r>
      <w:r w:rsidR="00201C3D">
        <w:rPr>
          <w:rFonts w:cs="Times New Roman"/>
          <w:sz w:val="24"/>
          <w:szCs w:val="24"/>
        </w:rPr>
        <w:t> </w:t>
      </w:r>
      <w:r w:rsidR="00201C3D" w:rsidRPr="0054081E">
        <w:rPr>
          <w:rFonts w:cs="Times New Roman"/>
          <w:sz w:val="24"/>
          <w:szCs w:val="24"/>
        </w:rPr>
        <w:t>eur</w:t>
      </w:r>
      <w:r w:rsidR="00201C3D">
        <w:rPr>
          <w:rFonts w:cs="Times New Roman"/>
          <w:sz w:val="24"/>
          <w:szCs w:val="24"/>
        </w:rPr>
        <w:t>. K zlepšeniu hospodárenie prispel aj nárast príjmov</w:t>
      </w:r>
      <w:r w:rsidRPr="000520D0">
        <w:rPr>
          <w:rFonts w:cs="Times New Roman"/>
          <w:sz w:val="24"/>
          <w:szCs w:val="24"/>
        </w:rPr>
        <w:t xml:space="preserve"> z dane zo</w:t>
      </w:r>
      <w:r>
        <w:rPr>
          <w:rFonts w:cs="Times New Roman"/>
          <w:sz w:val="24"/>
          <w:szCs w:val="24"/>
        </w:rPr>
        <w:t> </w:t>
      </w:r>
      <w:r w:rsidRPr="000520D0">
        <w:rPr>
          <w:rFonts w:cs="Times New Roman"/>
          <w:sz w:val="24"/>
          <w:szCs w:val="24"/>
        </w:rPr>
        <w:t>stavieb, bytov</w:t>
      </w:r>
      <w:r w:rsidR="00201C3D">
        <w:rPr>
          <w:rFonts w:cs="Times New Roman"/>
          <w:sz w:val="24"/>
          <w:szCs w:val="24"/>
        </w:rPr>
        <w:t xml:space="preserve"> a nebytových priestorov, príjmov</w:t>
      </w:r>
      <w:r w:rsidRPr="000520D0">
        <w:rPr>
          <w:rFonts w:cs="Times New Roman"/>
          <w:sz w:val="24"/>
          <w:szCs w:val="24"/>
        </w:rPr>
        <w:t xml:space="preserve"> z dane za rozvoj, ubytovanie a</w:t>
      </w:r>
      <w:r>
        <w:rPr>
          <w:rFonts w:cs="Times New Roman"/>
          <w:sz w:val="24"/>
          <w:szCs w:val="24"/>
        </w:rPr>
        <w:t xml:space="preserve"> tiež aj </w:t>
      </w:r>
      <w:r w:rsidRPr="000520D0">
        <w:rPr>
          <w:rFonts w:cs="Times New Roman"/>
          <w:sz w:val="24"/>
          <w:szCs w:val="24"/>
        </w:rPr>
        <w:t xml:space="preserve">nárast nedaňových príjmov o 143 024 tis. eur. </w:t>
      </w:r>
      <w:r w:rsidRPr="00954AD9">
        <w:rPr>
          <w:rFonts w:cs="Times New Roman"/>
          <w:sz w:val="24"/>
          <w:szCs w:val="24"/>
        </w:rPr>
        <w:t>Dôvodom bolo zvýšenie najmä administratívnych a správnych poplatkov platených prostredníctvom integrovaných obslužných miest, príjmov za stravné, za p</w:t>
      </w:r>
      <w:r>
        <w:rPr>
          <w:rFonts w:cs="Times New Roman"/>
          <w:sz w:val="24"/>
          <w:szCs w:val="24"/>
        </w:rPr>
        <w:t>redaj výrobkov a služieb, príjmov</w:t>
      </w:r>
      <w:r w:rsidRPr="00954AD9">
        <w:rPr>
          <w:rFonts w:cs="Times New Roman"/>
          <w:sz w:val="24"/>
          <w:szCs w:val="24"/>
        </w:rPr>
        <w:t xml:space="preserve"> z prenájmov budov a priestorov a príjm</w:t>
      </w:r>
      <w:r>
        <w:rPr>
          <w:rFonts w:cs="Times New Roman"/>
          <w:sz w:val="24"/>
          <w:szCs w:val="24"/>
        </w:rPr>
        <w:t>ov</w:t>
      </w:r>
      <w:r w:rsidR="00BE2173">
        <w:rPr>
          <w:rFonts w:cs="Times New Roman"/>
          <w:sz w:val="24"/>
          <w:szCs w:val="24"/>
        </w:rPr>
        <w:t xml:space="preserve"> od </w:t>
      </w:r>
      <w:r w:rsidRPr="00954AD9">
        <w:rPr>
          <w:rFonts w:cs="Times New Roman"/>
          <w:sz w:val="24"/>
          <w:szCs w:val="24"/>
        </w:rPr>
        <w:t>rodičov na úhradu nákladov v súlade s osobitnými predpismi v školách a školských zariadeniach (zrušenie obmedzeného režimu v</w:t>
      </w:r>
      <w:r>
        <w:rPr>
          <w:rFonts w:cs="Times New Roman"/>
          <w:sz w:val="24"/>
          <w:szCs w:val="24"/>
        </w:rPr>
        <w:t> </w:t>
      </w:r>
      <w:r w:rsidRPr="00954AD9">
        <w:rPr>
          <w:rFonts w:cs="Times New Roman"/>
          <w:sz w:val="24"/>
          <w:szCs w:val="24"/>
        </w:rPr>
        <w:t xml:space="preserve">predškolských a školských zariadeniach). Oproti rozpočtu narástli aj príjmy z predaja kapitálových aktív a z predaja pozemkov úhrnom o 22 605 tis. eur. </w:t>
      </w:r>
      <w:r w:rsidRPr="00005CBF">
        <w:rPr>
          <w:rFonts w:cs="Times New Roman"/>
          <w:sz w:val="24"/>
          <w:szCs w:val="24"/>
        </w:rPr>
        <w:t>Tento pozitívny trend mierne utlmil pokles ostatných príjmov o 8 084 tis. eur z odvodu hazardných hier, z náhrad poistného, z dobropisov, refundácií a príjm</w:t>
      </w:r>
      <w:r>
        <w:rPr>
          <w:rFonts w:cs="Times New Roman"/>
          <w:sz w:val="24"/>
          <w:szCs w:val="24"/>
        </w:rPr>
        <w:t>ov</w:t>
      </w:r>
      <w:r w:rsidRPr="00005CBF">
        <w:rPr>
          <w:rFonts w:cs="Times New Roman"/>
          <w:sz w:val="24"/>
          <w:szCs w:val="24"/>
        </w:rPr>
        <w:t xml:space="preserve"> </w:t>
      </w:r>
      <w:r w:rsidRPr="006247CA">
        <w:rPr>
          <w:rFonts w:cs="Times New Roman"/>
          <w:sz w:val="24"/>
          <w:szCs w:val="24"/>
        </w:rPr>
        <w:t>od rozpočtových a príspevkových organizácií.</w:t>
      </w:r>
    </w:p>
    <w:p w14:paraId="1D52EE95" w14:textId="1FE44EEA" w:rsidR="004C6700" w:rsidRPr="00092ACB" w:rsidRDefault="00BB5109" w:rsidP="004C6700">
      <w:pPr>
        <w:spacing w:before="120" w:line="240" w:lineRule="auto"/>
        <w:rPr>
          <w:rFonts w:cs="Times New Roman"/>
          <w:sz w:val="24"/>
          <w:szCs w:val="24"/>
          <w:highlight w:val="yellow"/>
        </w:rPr>
      </w:pPr>
      <w:r w:rsidRPr="006247CA">
        <w:rPr>
          <w:rFonts w:cs="Times New Roman"/>
          <w:sz w:val="24"/>
          <w:szCs w:val="24"/>
        </w:rPr>
        <w:t>Jednotlivé rozpočtové kapitoly v rámci schváleného rozpočtu na rok 2023 predbežne nerozpočtovali najmä transfery na financovanie spoločných projektov EÚ a SR a zapájali ich až v priebehu roka, čo spôsobilo ďalší pozitívny vplyv na hospodárenie obcí a prijaté granty a transfery vzrástli o 1 374 553 tis. eur oproti rozpočtu v hotovostnom vyjadrení, z toho bežné transfery sa zvýšili o 878 411 tis. eur, kapitálové transfery o 468 338 tis. eur a transfery od zahraničných subjektov a prostriedky z rozpočtu Európskej únie o 27 804 tis.</w:t>
      </w:r>
      <w:r w:rsidRPr="006247CA">
        <w:t> </w:t>
      </w:r>
      <w:r w:rsidRPr="006247CA">
        <w:rPr>
          <w:rFonts w:cs="Times New Roman"/>
          <w:sz w:val="24"/>
          <w:szCs w:val="24"/>
        </w:rPr>
        <w:t>eur</w:t>
      </w:r>
      <w:r w:rsidR="004C6700" w:rsidRPr="006247CA">
        <w:rPr>
          <w:rFonts w:cs="Times New Roman"/>
          <w:sz w:val="24"/>
          <w:szCs w:val="24"/>
        </w:rPr>
        <w:t>.</w:t>
      </w:r>
      <w:r w:rsidR="004C6700" w:rsidRPr="006F2993">
        <w:rPr>
          <w:rFonts w:cs="Times New Roman"/>
          <w:sz w:val="24"/>
          <w:szCs w:val="24"/>
        </w:rPr>
        <w:t xml:space="preserve"> Na celkovom objeme prijatých transferov sa sumou 1 327 527 tis. eur podieľali transfery na úhradu nákladov na prenesený výkon štátnej správy na normatívne a nenormatívne výdavky. Ďalšie čiastky, ktoré prijali obce v rámci bežných transferov boli určené na úhradu nákladov súvisiacich s ozbrojeným konfliktom na Ukrajine (na ubytovanie odídencov), na refundáciu výdavkov v súvislosti s ochorením COVID-19, na ochranu životného prostredia, na sociálne služby a iné. </w:t>
      </w:r>
      <w:r w:rsidR="004C6700">
        <w:rPr>
          <w:rFonts w:cs="Times New Roman"/>
          <w:sz w:val="24"/>
          <w:szCs w:val="24"/>
        </w:rPr>
        <w:t xml:space="preserve">Časť dotácií bola určená na odstránenie následkov ničivého požiaru pre mesto Banská Štiavnica, dotácie v súvislosti s negatívnymi dôsledkami inflácie, odstraňovania následkov po zemetrasení na východnom Slovensku a na rozvojové aktivity v obciach a mestách. </w:t>
      </w:r>
      <w:r w:rsidR="004C6700" w:rsidRPr="006F2993">
        <w:rPr>
          <w:rFonts w:cs="Times New Roman"/>
          <w:sz w:val="24"/>
          <w:szCs w:val="24"/>
        </w:rPr>
        <w:t xml:space="preserve">Kapitálové transfery zo ŠR a zahraničných subjektov a tiež prostriedky z EÚ boli obciam poskytnuté na realizáciu </w:t>
      </w:r>
      <w:r w:rsidR="004C6700" w:rsidRPr="006F2993">
        <w:rPr>
          <w:rFonts w:cs="Times New Roman"/>
          <w:sz w:val="24"/>
          <w:szCs w:val="24"/>
        </w:rPr>
        <w:lastRenderedPageBreak/>
        <w:t>prebiehajúcich a plánovaných investičných akcií v rámci projektov odpadového hospodárstva, kvality zelene, sociálnych služieb, školstva a dopravy.</w:t>
      </w:r>
    </w:p>
    <w:p w14:paraId="11978DF1" w14:textId="77777777" w:rsidR="004C6700" w:rsidRPr="006247CA" w:rsidRDefault="004C6700" w:rsidP="00691349">
      <w:pPr>
        <w:spacing w:line="240" w:lineRule="auto"/>
        <w:rPr>
          <w:rFonts w:cs="Times New Roman"/>
          <w:sz w:val="24"/>
          <w:szCs w:val="24"/>
        </w:rPr>
      </w:pPr>
      <w:r w:rsidRPr="00215B6B">
        <w:rPr>
          <w:rFonts w:cs="Times New Roman"/>
          <w:sz w:val="24"/>
          <w:szCs w:val="24"/>
        </w:rPr>
        <w:t>Z výdavkov sa oproti rozpočtu ušetrilo na položke poskytnutých kapitálových transferoch (o 15 492 tis. eur), všetky ostatné výdavkové položky sa čerpali viac ako bolo plánované. V roku 2023 sa vyplatilo oproti rozpočtu menej kapitálových transferov doprav</w:t>
      </w:r>
      <w:r>
        <w:rPr>
          <w:rFonts w:cs="Times New Roman"/>
          <w:sz w:val="24"/>
          <w:szCs w:val="24"/>
        </w:rPr>
        <w:t>ným podnikom, ostatným subjektom verejnej správy,</w:t>
      </w:r>
      <w:r w:rsidRPr="00215B6B">
        <w:rPr>
          <w:rFonts w:cs="Times New Roman"/>
          <w:sz w:val="24"/>
          <w:szCs w:val="24"/>
        </w:rPr>
        <w:t xml:space="preserve"> príspevkovým organizáciám</w:t>
      </w:r>
      <w:r>
        <w:rPr>
          <w:rFonts w:cs="Times New Roman"/>
          <w:sz w:val="24"/>
          <w:szCs w:val="24"/>
        </w:rPr>
        <w:t xml:space="preserve"> a transfery nefinančným subjektom</w:t>
      </w:r>
      <w:r w:rsidRPr="00215B6B">
        <w:rPr>
          <w:rFonts w:cs="Times New Roman"/>
          <w:sz w:val="24"/>
          <w:szCs w:val="24"/>
        </w:rPr>
        <w:t>. Naopak, viac kapitálových transfero</w:t>
      </w:r>
      <w:r>
        <w:rPr>
          <w:rFonts w:cs="Times New Roman"/>
          <w:sz w:val="24"/>
          <w:szCs w:val="24"/>
        </w:rPr>
        <w:t>v</w:t>
      </w:r>
      <w:r w:rsidRPr="00215B6B">
        <w:rPr>
          <w:rFonts w:cs="Times New Roman"/>
          <w:sz w:val="24"/>
          <w:szCs w:val="24"/>
        </w:rPr>
        <w:t xml:space="preserve"> smerovalo do ostatných obcí a vyšší</w:t>
      </w:r>
      <w:r>
        <w:rPr>
          <w:rFonts w:cs="Times New Roman"/>
          <w:sz w:val="24"/>
          <w:szCs w:val="24"/>
        </w:rPr>
        <w:t>ch</w:t>
      </w:r>
      <w:r w:rsidRPr="00215B6B">
        <w:rPr>
          <w:rFonts w:cs="Times New Roman"/>
          <w:sz w:val="24"/>
          <w:szCs w:val="24"/>
        </w:rPr>
        <w:t xml:space="preserve"> územný</w:t>
      </w:r>
      <w:r>
        <w:rPr>
          <w:rFonts w:cs="Times New Roman"/>
          <w:sz w:val="24"/>
          <w:szCs w:val="24"/>
        </w:rPr>
        <w:t>ch</w:t>
      </w:r>
      <w:r w:rsidRPr="00215B6B">
        <w:rPr>
          <w:rFonts w:cs="Times New Roman"/>
          <w:sz w:val="24"/>
          <w:szCs w:val="24"/>
        </w:rPr>
        <w:t xml:space="preserve"> celko</w:t>
      </w:r>
      <w:r>
        <w:rPr>
          <w:rFonts w:cs="Times New Roman"/>
          <w:sz w:val="24"/>
          <w:szCs w:val="24"/>
        </w:rPr>
        <w:t xml:space="preserve">v,  </w:t>
      </w:r>
      <w:r w:rsidRPr="006247CA">
        <w:rPr>
          <w:rFonts w:cs="Times New Roman"/>
          <w:sz w:val="24"/>
          <w:szCs w:val="24"/>
        </w:rPr>
        <w:t xml:space="preserve">jednotlivcom a neziskovým právnickým osobám a do zahraničia. </w:t>
      </w:r>
    </w:p>
    <w:p w14:paraId="7E2D18C9" w14:textId="31A5C5C1" w:rsidR="004C6700" w:rsidRPr="00C24B22" w:rsidRDefault="003D3382" w:rsidP="00691349">
      <w:pPr>
        <w:spacing w:line="240" w:lineRule="auto"/>
        <w:rPr>
          <w:rFonts w:cs="Times New Roman"/>
          <w:sz w:val="24"/>
          <w:szCs w:val="24"/>
        </w:rPr>
      </w:pPr>
      <w:r w:rsidRPr="006247CA">
        <w:rPr>
          <w:rFonts w:cs="Times New Roman"/>
          <w:sz w:val="24"/>
          <w:szCs w:val="24"/>
        </w:rPr>
        <w:t>V nadväznosti na postupné navyšovanie  bežných transferov poskytovaných obciam jednotlivými rozpočtovými kapitolami v priebehu roka 2023 sa zvýšili aj bežné výdavky o 658 195 tis. eur.</w:t>
      </w:r>
      <w:r w:rsidR="004C6700" w:rsidRPr="00B750FF">
        <w:rPr>
          <w:rFonts w:cs="Times New Roman"/>
          <w:sz w:val="24"/>
          <w:szCs w:val="24"/>
        </w:rPr>
        <w:t xml:space="preserve"> V nadväznosti na legislatívne zmeny a prijaté opatrenia v odmeňovaní zamestnancov verejnej správy a v zmysle uzatvorenej kolektívnej zmluvy vyššieho stupňa narástli osobné výdavky o 167 585 tis. eur pre zamestnancov miest a obcí a ich rozpočtových organizácií (z toho najviac vyplatenie odmien vo výške 59 739 tis</w:t>
      </w:r>
      <w:r w:rsidR="004C6700">
        <w:rPr>
          <w:rFonts w:cs="Times New Roman"/>
          <w:sz w:val="24"/>
          <w:szCs w:val="24"/>
        </w:rPr>
        <w:t xml:space="preserve">. eur). Výdavky na tovary a služby boli oproti rozpočtu vyššie o 211 636 tis. eur, z toho sa najviac v </w:t>
      </w:r>
      <w:r w:rsidR="004C6700" w:rsidRPr="00C24B22">
        <w:rPr>
          <w:rFonts w:cs="Times New Roman"/>
          <w:sz w:val="24"/>
          <w:szCs w:val="24"/>
        </w:rPr>
        <w:t>sumáre o 209 691 tis. eur narástli najmä výdavky na energie, všeobecný materiál, učebnice, na potraviny do školských jedální, na rutinnú údržbu bu</w:t>
      </w:r>
      <w:r w:rsidR="004C6700">
        <w:rPr>
          <w:rFonts w:cs="Times New Roman"/>
          <w:sz w:val="24"/>
          <w:szCs w:val="24"/>
        </w:rPr>
        <w:t>dov a objektov, na </w:t>
      </w:r>
      <w:r w:rsidR="004C6700" w:rsidRPr="00C24B22">
        <w:rPr>
          <w:rFonts w:cs="Times New Roman"/>
          <w:sz w:val="24"/>
          <w:szCs w:val="24"/>
        </w:rPr>
        <w:t xml:space="preserve">všeobecných a špeciálnych službách, na vyplatených zvýšených odmenách poslancov a členom komisií a na </w:t>
      </w:r>
      <w:proofErr w:type="spellStart"/>
      <w:r w:rsidR="004C6700" w:rsidRPr="00C24B22">
        <w:rPr>
          <w:rFonts w:cs="Times New Roman"/>
          <w:sz w:val="24"/>
          <w:szCs w:val="24"/>
        </w:rPr>
        <w:t>vratkách</w:t>
      </w:r>
      <w:proofErr w:type="spellEnd"/>
      <w:r w:rsidR="004C6700" w:rsidRPr="00C24B22">
        <w:rPr>
          <w:rFonts w:cs="Times New Roman"/>
          <w:sz w:val="24"/>
          <w:szCs w:val="24"/>
        </w:rPr>
        <w:t>. Nárast cien energií štát výrazne kompenzoval uvoľnením finančných prostriedkov pre regionálne školstvo. Úspora v úhrne 13 629</w:t>
      </w:r>
      <w:r w:rsidR="004C6700">
        <w:rPr>
          <w:rFonts w:cs="Times New Roman"/>
          <w:sz w:val="24"/>
          <w:szCs w:val="24"/>
        </w:rPr>
        <w:t> tis. eur sa prejavila v </w:t>
      </w:r>
      <w:r w:rsidR="004C6700" w:rsidRPr="00C24B22">
        <w:rPr>
          <w:rFonts w:cs="Times New Roman"/>
          <w:sz w:val="24"/>
          <w:szCs w:val="24"/>
        </w:rPr>
        <w:t>čerpaní prostriedkov na palivá, komunikačnú infraštruktúru, na opravy výpočtovej techniky, nájme budov a objektov a nezrovnalostiach za prostriedky EU.</w:t>
      </w:r>
    </w:p>
    <w:p w14:paraId="231CC6BD" w14:textId="190FBC8B" w:rsidR="004C6700" w:rsidRPr="00C24B22" w:rsidRDefault="004C6700" w:rsidP="00691349">
      <w:pPr>
        <w:spacing w:line="240" w:lineRule="auto"/>
        <w:rPr>
          <w:rFonts w:cs="Times New Roman"/>
          <w:sz w:val="24"/>
          <w:szCs w:val="24"/>
        </w:rPr>
      </w:pPr>
      <w:r w:rsidRPr="00C24B22">
        <w:rPr>
          <w:rFonts w:cs="Times New Roman"/>
          <w:sz w:val="24"/>
          <w:szCs w:val="24"/>
        </w:rPr>
        <w:t xml:space="preserve">Prebytkové hotovostné hospodárenie obcí negatívne ovplyvnili vyplatené bežné transfery v sume 986 216 tis. eur, čo predstavuje nárast o 268 368 tis. eur. </w:t>
      </w:r>
      <w:r w:rsidRPr="00095964">
        <w:rPr>
          <w:rFonts w:cs="Times New Roman"/>
          <w:sz w:val="24"/>
          <w:szCs w:val="24"/>
        </w:rPr>
        <w:t>Najväčší objem tvorili transfery v rámci verejnej správy obciam na prenesený výkon štátnej správy (12 723 tis. eur), pre dopravné podniky (7 440 tis. eur), pre príspevkové organizácie (3 021 tis. eur) a mimo sektor verejnej správy jednotlivcom (86 670 tis. eur), na dávku v hmotnej núdzi (4 014 tis. eur), nefinančným subjektom – právnickým osobám (12 361 tis. eur). Transfermi</w:t>
      </w:r>
      <w:r w:rsidRPr="00C24B22">
        <w:rPr>
          <w:rFonts w:cs="Times New Roman"/>
          <w:sz w:val="24"/>
          <w:szCs w:val="24"/>
        </w:rPr>
        <w:t xml:space="preserve"> sa financovalo vzdelávanie, činnosti obecných a mestských úradov, cestnej dopravy, rozvoja obcí a bývania, sociálneho zabezpečenia, rekreačných a kultúrnych služieb, požiarnej ochrany a verejného poriadku i</w:t>
      </w:r>
      <w:r>
        <w:rPr>
          <w:rFonts w:cs="Times New Roman"/>
          <w:sz w:val="24"/>
          <w:szCs w:val="24"/>
        </w:rPr>
        <w:t> </w:t>
      </w:r>
      <w:r w:rsidRPr="00C24B22">
        <w:rPr>
          <w:rFonts w:cs="Times New Roman"/>
          <w:sz w:val="24"/>
          <w:szCs w:val="24"/>
        </w:rPr>
        <w:t>ochrany životného prostredia najmä v oblasti nakladania s odpadmi. </w:t>
      </w:r>
    </w:p>
    <w:p w14:paraId="220113E8" w14:textId="1F2C9BCF" w:rsidR="004C6700" w:rsidRPr="006C5581" w:rsidRDefault="00200355" w:rsidP="00691349">
      <w:pPr>
        <w:spacing w:line="240" w:lineRule="auto"/>
        <w:rPr>
          <w:sz w:val="24"/>
          <w:szCs w:val="24"/>
        </w:rPr>
      </w:pPr>
      <w:r w:rsidRPr="006247CA">
        <w:rPr>
          <w:rFonts w:cs="Times New Roman"/>
          <w:sz w:val="24"/>
          <w:szCs w:val="24"/>
        </w:rPr>
        <w:t xml:space="preserve">Výdavky na obstaranie kapitálových aktív sa čerpali </w:t>
      </w:r>
      <w:r w:rsidR="006F5CF7" w:rsidRPr="006247CA">
        <w:rPr>
          <w:rFonts w:cs="Times New Roman"/>
          <w:sz w:val="24"/>
          <w:szCs w:val="24"/>
        </w:rPr>
        <w:t>vo výške 1 329 238 tis. eur, t. </w:t>
      </w:r>
      <w:r w:rsidRPr="006247CA">
        <w:rPr>
          <w:rFonts w:cs="Times New Roman"/>
          <w:sz w:val="24"/>
          <w:szCs w:val="24"/>
        </w:rPr>
        <w:t xml:space="preserve">j. vo výške vyššej o 706 109 tis. eur ako bolo rozpočtované najmä z dôvodu nízkeho rozpočtovania finančných prostriedkov na transfery pre obce na realizáciu plánovaných investičných akcií na rok 2023 jednotlivými rozpočtovými kapitolami a následným zapájaním týchto finančných prostriedkov až počas roka. </w:t>
      </w:r>
      <w:r w:rsidR="004C6700" w:rsidRPr="006247CA">
        <w:rPr>
          <w:rFonts w:cs="Times New Roman"/>
          <w:sz w:val="24"/>
          <w:szCs w:val="24"/>
        </w:rPr>
        <w:t>Financovanie</w:t>
      </w:r>
      <w:r w:rsidR="004C6700" w:rsidRPr="00200355">
        <w:rPr>
          <w:rFonts w:cs="Times New Roman"/>
          <w:sz w:val="24"/>
          <w:szCs w:val="24"/>
        </w:rPr>
        <w:t xml:space="preserve"> investičných projektov bolo zo zdrojov Plánu obnovy a odolnosti najmä pre oblasť vzdelávania a športu, z Integrovaného regionálneho operačného programu </w:t>
      </w:r>
      <w:r w:rsidR="004C6700" w:rsidRPr="00200355">
        <w:rPr>
          <w:sz w:val="24"/>
          <w:szCs w:val="24"/>
        </w:rPr>
        <w:t>na zlepšenie kvality života v regiónoch s dôrazom na životné prostredie, na modernizáciu zdravotníckej a vzdelávacej infraštruktúry, na zníženie energetickej náročnosti a zvýšenie energetickej účinnosti budov, zvyšovanie kapacity budov</w:t>
      </w:r>
      <w:r w:rsidR="004C6700" w:rsidRPr="00593CB4">
        <w:rPr>
          <w:sz w:val="24"/>
          <w:szCs w:val="24"/>
        </w:rPr>
        <w:t>. V rámci podprogramu Výstavba a</w:t>
      </w:r>
      <w:r w:rsidR="004C6700">
        <w:rPr>
          <w:sz w:val="24"/>
          <w:szCs w:val="24"/>
        </w:rPr>
        <w:t> </w:t>
      </w:r>
      <w:r w:rsidR="004C6700" w:rsidRPr="00593CB4">
        <w:rPr>
          <w:sz w:val="24"/>
          <w:szCs w:val="24"/>
        </w:rPr>
        <w:t xml:space="preserve">obnova bytového fondu boli výdavky určené najmä na obstaranie nájomných bytov. Ostatné kapitálové výdavky sa použili na výstavbu a modernizáciu, resp. rekonštrukciu cestnej dopravy, ekologickej dopravy (budovanie cyklotrás), kultúrnych pamiatok a ďalšieho majetku obce, prostriedky na rozšírenie kanalizácie a čističiek odpadových vôd, na vybudovanie zberných dvorov, </w:t>
      </w:r>
      <w:proofErr w:type="spellStart"/>
      <w:r w:rsidR="004C6700" w:rsidRPr="00593CB4">
        <w:rPr>
          <w:sz w:val="24"/>
          <w:szCs w:val="24"/>
        </w:rPr>
        <w:t>kompostární</w:t>
      </w:r>
      <w:proofErr w:type="spellEnd"/>
      <w:r w:rsidR="004C6700" w:rsidRPr="00593CB4">
        <w:rPr>
          <w:sz w:val="24"/>
          <w:szCs w:val="24"/>
        </w:rPr>
        <w:t>, zhodnocovania biologicky rozložiteľného komunálneho odpadu a</w:t>
      </w:r>
      <w:r w:rsidR="004C6700">
        <w:rPr>
          <w:sz w:val="24"/>
          <w:szCs w:val="24"/>
        </w:rPr>
        <w:t> </w:t>
      </w:r>
      <w:r w:rsidR="004C6700" w:rsidRPr="00593CB4">
        <w:rPr>
          <w:sz w:val="24"/>
          <w:szCs w:val="24"/>
        </w:rPr>
        <w:t>na</w:t>
      </w:r>
      <w:r w:rsidR="004C6700">
        <w:rPr>
          <w:sz w:val="24"/>
          <w:szCs w:val="24"/>
        </w:rPr>
        <w:t> </w:t>
      </w:r>
      <w:proofErr w:type="spellStart"/>
      <w:r w:rsidR="004C6700" w:rsidRPr="00593CB4">
        <w:rPr>
          <w:sz w:val="24"/>
          <w:szCs w:val="24"/>
        </w:rPr>
        <w:t>vodozádržné</w:t>
      </w:r>
      <w:proofErr w:type="spellEnd"/>
      <w:r w:rsidR="004C6700" w:rsidRPr="00593CB4">
        <w:rPr>
          <w:sz w:val="24"/>
          <w:szCs w:val="24"/>
        </w:rPr>
        <w:t xml:space="preserve"> opatrenia v intraviláne miest a obcí, na technickú vybavenosť v obciach evidovaných v Atlase rómskych komunít s prítomnosťou marginalizovaných rómskych komunít a projekty sociálnej inklúzie. </w:t>
      </w:r>
      <w:r w:rsidR="004C6700" w:rsidRPr="00593CB4">
        <w:rPr>
          <w:rFonts w:cs="Times New Roman"/>
          <w:sz w:val="24"/>
          <w:szCs w:val="24"/>
        </w:rPr>
        <w:t xml:space="preserve">Najvyšší objem investičných prostriedkov použili obce </w:t>
      </w:r>
      <w:r w:rsidR="004C6700" w:rsidRPr="00593CB4">
        <w:rPr>
          <w:rFonts w:cs="Times New Roman"/>
          <w:sz w:val="24"/>
          <w:szCs w:val="24"/>
        </w:rPr>
        <w:lastRenderedPageBreak/>
        <w:t>na</w:t>
      </w:r>
      <w:r w:rsidR="004C6700">
        <w:rPr>
          <w:rFonts w:cs="Times New Roman"/>
          <w:sz w:val="24"/>
          <w:szCs w:val="24"/>
        </w:rPr>
        <w:t> </w:t>
      </w:r>
      <w:r w:rsidR="004C6700" w:rsidRPr="00593CB4">
        <w:rPr>
          <w:rFonts w:cs="Times New Roman"/>
          <w:sz w:val="24"/>
          <w:szCs w:val="24"/>
        </w:rPr>
        <w:t xml:space="preserve">realizáciu stavieb a ich technického zhodnotenia (1 064 501 tis. eur), na nákup prevádzkových strojov a zariadení (95 164 tis. eur), na prípravnú a projektovú dokumentáciu (48 165 tis. eur) a na nákup pozemkov a nehmotných aktív (41 895 tis. eur). Výdavky boli čerpané v rámci programov financovaných z vlastných a úverových zdrojov, ale i zo zdrojov EÚ a spolufinancovania ŠR. </w:t>
      </w:r>
    </w:p>
    <w:p w14:paraId="1E657D8E" w14:textId="36EDE6FC" w:rsidR="004C6700" w:rsidRDefault="004C6700" w:rsidP="00691349">
      <w:pPr>
        <w:spacing w:line="240" w:lineRule="auto"/>
        <w:rPr>
          <w:sz w:val="24"/>
          <w:szCs w:val="24"/>
        </w:rPr>
      </w:pPr>
      <w:r w:rsidRPr="00F026FB">
        <w:rPr>
          <w:rFonts w:cs="Times New Roman"/>
          <w:sz w:val="24"/>
          <w:szCs w:val="24"/>
        </w:rPr>
        <w:t xml:space="preserve">Hospodárenie podľa metodiky ESA 2010 skončilo s prebytkom 124 779 tis. eur, z dôvodu pozitívneho vplyvu časového rozlíšenia vo výške 15 084 tis. eur a ostatných úprav vo výške 97 987 tis. eur. Z časového rozlíšenia sa na vyššom ESA prebytku najviac podieľal medziročný nárast iných pohľadávok o 12 802 tis. eur, ostatných pohľadávok o 10 471 tis. eur eliminovaný poklesom pohľadávok z nedaňových príjmov o 11 710 tis. eur a medziročným nárastom záväzkov o 2 493 tis. eur (z toho záväzky voči zamestnancom narástli o 27 275 tis. eur, záväzky voči orgánom zdravotného a sociálneho poistenia o 16 815 tis. eur, </w:t>
      </w:r>
      <w:r w:rsidRPr="00F026FB">
        <w:rPr>
          <w:sz w:val="24"/>
          <w:szCs w:val="24"/>
        </w:rPr>
        <w:t>ale zároveň sa znížili záväzky voči dodávateľom o 44 507 tis. eur).</w:t>
      </w:r>
      <w:r>
        <w:rPr>
          <w:sz w:val="24"/>
          <w:szCs w:val="24"/>
        </w:rPr>
        <w:t xml:space="preserve"> Mierny negatívny vplyv mali výdavky na obstaranie kapitálových aktív lízingom v sume 1 764 tis. eur. V roku 2023 sa obciam odpustila poskytnutá návratná finančná výpomoc, ktorou sa kompenzoval výpadok DPFO v roku 2020 v dôsledku pandémie COVID-19. Toto odpustenie sa v zmysle metodike ESA 2010 zaznamenalo ako </w:t>
      </w:r>
      <w:proofErr w:type="spellStart"/>
      <w:r>
        <w:rPr>
          <w:sz w:val="24"/>
          <w:szCs w:val="24"/>
        </w:rPr>
        <w:t>imputácia</w:t>
      </w:r>
      <w:proofErr w:type="spellEnd"/>
      <w:r>
        <w:rPr>
          <w:sz w:val="24"/>
          <w:szCs w:val="24"/>
        </w:rPr>
        <w:t xml:space="preserve"> prijatého kapitálového transferu vo výške 99 749 tis. eur, čo </w:t>
      </w:r>
      <w:r w:rsidR="000665E4">
        <w:rPr>
          <w:sz w:val="24"/>
          <w:szCs w:val="24"/>
        </w:rPr>
        <w:t>výrazne</w:t>
      </w:r>
      <w:r>
        <w:rPr>
          <w:sz w:val="24"/>
          <w:szCs w:val="24"/>
        </w:rPr>
        <w:t xml:space="preserve"> pozitívne ovplyvnilo ESA prebytok.</w:t>
      </w:r>
    </w:p>
    <w:p w14:paraId="368E74FF" w14:textId="28099B9C" w:rsidR="004C6700" w:rsidRPr="0054081E" w:rsidRDefault="004C6700" w:rsidP="00691349">
      <w:pPr>
        <w:spacing w:line="240" w:lineRule="auto"/>
        <w:rPr>
          <w:rFonts w:cs="Times New Roman"/>
          <w:sz w:val="24"/>
          <w:szCs w:val="24"/>
        </w:rPr>
      </w:pPr>
      <w:r w:rsidRPr="0054081E">
        <w:rPr>
          <w:rFonts w:cs="Times New Roman"/>
          <w:b/>
          <w:sz w:val="24"/>
          <w:szCs w:val="24"/>
        </w:rPr>
        <w:t>Vyššie územné celky</w:t>
      </w:r>
      <w:r w:rsidRPr="00F17A8A">
        <w:rPr>
          <w:rFonts w:cs="Times New Roman"/>
          <w:sz w:val="24"/>
          <w:szCs w:val="24"/>
        </w:rPr>
        <w:t xml:space="preserve"> hotovostne hospodárili oproti rozpočtu horšie o sumu 104 780 tis. eur a napriek zvýšenému prijatému výnosu z dane z príjmov o 26 917 tis. eur dosiahli </w:t>
      </w:r>
      <w:r>
        <w:rPr>
          <w:rFonts w:cs="Times New Roman"/>
          <w:sz w:val="24"/>
          <w:szCs w:val="24"/>
        </w:rPr>
        <w:t xml:space="preserve">hotovostný </w:t>
      </w:r>
      <w:r w:rsidRPr="0054081E">
        <w:rPr>
          <w:rFonts w:cs="Times New Roman"/>
          <w:sz w:val="24"/>
          <w:szCs w:val="24"/>
        </w:rPr>
        <w:t>schodok vo výške 154 947 tis. eur. V roku 2</w:t>
      </w:r>
      <w:r>
        <w:rPr>
          <w:rFonts w:cs="Times New Roman"/>
          <w:sz w:val="24"/>
          <w:szCs w:val="24"/>
        </w:rPr>
        <w:t>023 bol podiel na výnose dane z </w:t>
      </w:r>
      <w:r w:rsidRPr="0054081E">
        <w:rPr>
          <w:rFonts w:cs="Times New Roman"/>
          <w:sz w:val="24"/>
          <w:szCs w:val="24"/>
        </w:rPr>
        <w:t>príjmov fyzických osôb poukazovaný VÚC zvýšený o sumu 97</w:t>
      </w:r>
      <w:r>
        <w:rPr>
          <w:rFonts w:cs="Times New Roman"/>
          <w:sz w:val="24"/>
          <w:szCs w:val="24"/>
        </w:rPr>
        <w:t> 739 </w:t>
      </w:r>
      <w:r w:rsidRPr="0054081E">
        <w:rPr>
          <w:rFonts w:cs="Times New Roman"/>
          <w:sz w:val="24"/>
          <w:szCs w:val="24"/>
        </w:rPr>
        <w:t>tis.</w:t>
      </w:r>
      <w:r>
        <w:rPr>
          <w:rFonts w:cs="Times New Roman"/>
          <w:sz w:val="24"/>
          <w:szCs w:val="24"/>
        </w:rPr>
        <w:t> </w:t>
      </w:r>
      <w:r w:rsidRPr="0054081E">
        <w:rPr>
          <w:rFonts w:cs="Times New Roman"/>
          <w:sz w:val="24"/>
          <w:szCs w:val="24"/>
        </w:rPr>
        <w:t>eur zo zdrojov z</w:t>
      </w:r>
      <w:r>
        <w:rPr>
          <w:rFonts w:cs="Times New Roman"/>
          <w:sz w:val="24"/>
          <w:szCs w:val="24"/>
        </w:rPr>
        <w:t> </w:t>
      </w:r>
      <w:r w:rsidRPr="0054081E">
        <w:rPr>
          <w:rFonts w:cs="Times New Roman"/>
          <w:sz w:val="24"/>
          <w:szCs w:val="24"/>
        </w:rPr>
        <w:t>DPPO</w:t>
      </w:r>
      <w:r>
        <w:rPr>
          <w:rFonts w:cs="Times New Roman"/>
          <w:sz w:val="24"/>
          <w:szCs w:val="24"/>
        </w:rPr>
        <w:t xml:space="preserve">. </w:t>
      </w:r>
      <w:r w:rsidRPr="0054081E">
        <w:rPr>
          <w:rFonts w:cs="Times New Roman"/>
          <w:sz w:val="24"/>
          <w:szCs w:val="24"/>
        </w:rPr>
        <w:t>Skutočný hotovostný prevod dane z príjmov fyzických osôb do rozpočtov VÚC (vrátan</w:t>
      </w:r>
      <w:r>
        <w:rPr>
          <w:rFonts w:cs="Times New Roman"/>
          <w:sz w:val="24"/>
          <w:szCs w:val="24"/>
        </w:rPr>
        <w:t>e DPPO) bol prevedený vo výške 1 </w:t>
      </w:r>
      <w:r w:rsidRPr="0054081E">
        <w:rPr>
          <w:rFonts w:cs="Times New Roman"/>
          <w:sz w:val="24"/>
          <w:szCs w:val="24"/>
        </w:rPr>
        <w:t>157</w:t>
      </w:r>
      <w:r>
        <w:rPr>
          <w:rFonts w:cs="Times New Roman"/>
          <w:sz w:val="24"/>
          <w:szCs w:val="24"/>
        </w:rPr>
        <w:t> </w:t>
      </w:r>
      <w:r w:rsidRPr="006247CA">
        <w:rPr>
          <w:rFonts w:cs="Times New Roman"/>
          <w:sz w:val="24"/>
          <w:szCs w:val="24"/>
        </w:rPr>
        <w:t>537 tis. eur vrátane zúčtovania za predchádzajúci rok (zúčtovanie za rok 2022: 6 489 tis. eur).</w:t>
      </w:r>
      <w:r w:rsidR="004C5C54" w:rsidRPr="006247CA">
        <w:rPr>
          <w:rFonts w:cs="Times New Roman"/>
          <w:sz w:val="24"/>
          <w:szCs w:val="24"/>
        </w:rPr>
        <w:t xml:space="preserve"> Vyplatenie príjmu DPPO nebolo zapracované v schválenom rozpočte na rok 2023, čo malo pozitívny vplyv na hospodárenie VÚC.</w:t>
      </w:r>
      <w:r w:rsidRPr="006247CA">
        <w:rPr>
          <w:rFonts w:cs="Times New Roman"/>
          <w:sz w:val="24"/>
          <w:szCs w:val="24"/>
        </w:rPr>
        <w:t xml:space="preserve"> Prevod</w:t>
      </w:r>
      <w:r w:rsidRPr="0054081E">
        <w:rPr>
          <w:rFonts w:cs="Times New Roman"/>
          <w:sz w:val="24"/>
          <w:szCs w:val="24"/>
        </w:rPr>
        <w:t xml:space="preserve"> za rok 2023 bez zúčtovania bol vo výške</w:t>
      </w:r>
      <w:r>
        <w:rPr>
          <w:rFonts w:cs="Times New Roman"/>
          <w:sz w:val="24"/>
          <w:szCs w:val="24"/>
        </w:rPr>
        <w:t> </w:t>
      </w:r>
      <w:r w:rsidRPr="0054081E">
        <w:rPr>
          <w:rFonts w:cs="Times New Roman"/>
          <w:sz w:val="24"/>
          <w:szCs w:val="24"/>
        </w:rPr>
        <w:t>1</w:t>
      </w:r>
      <w:r>
        <w:rPr>
          <w:rFonts w:cs="Times New Roman"/>
          <w:sz w:val="24"/>
          <w:szCs w:val="24"/>
        </w:rPr>
        <w:t> </w:t>
      </w:r>
      <w:r w:rsidRPr="0054081E">
        <w:rPr>
          <w:rFonts w:cs="Times New Roman"/>
          <w:sz w:val="24"/>
          <w:szCs w:val="24"/>
        </w:rPr>
        <w:t>151</w:t>
      </w:r>
      <w:r>
        <w:rPr>
          <w:rFonts w:cs="Times New Roman"/>
          <w:sz w:val="24"/>
          <w:szCs w:val="24"/>
        </w:rPr>
        <w:t> </w:t>
      </w:r>
      <w:r w:rsidRPr="0054081E">
        <w:rPr>
          <w:rFonts w:cs="Times New Roman"/>
          <w:sz w:val="24"/>
          <w:szCs w:val="24"/>
        </w:rPr>
        <w:t>04</w:t>
      </w:r>
      <w:r>
        <w:rPr>
          <w:rFonts w:cs="Times New Roman"/>
          <w:sz w:val="24"/>
          <w:szCs w:val="24"/>
        </w:rPr>
        <w:t>8 </w:t>
      </w:r>
      <w:r w:rsidRPr="0054081E">
        <w:rPr>
          <w:rFonts w:cs="Times New Roman"/>
          <w:sz w:val="24"/>
          <w:szCs w:val="24"/>
        </w:rPr>
        <w:t>tis.</w:t>
      </w:r>
      <w:r>
        <w:rPr>
          <w:rFonts w:cs="Times New Roman"/>
          <w:sz w:val="24"/>
          <w:szCs w:val="24"/>
        </w:rPr>
        <w:t> </w:t>
      </w:r>
      <w:r w:rsidRPr="0054081E">
        <w:rPr>
          <w:rFonts w:cs="Times New Roman"/>
          <w:sz w:val="24"/>
          <w:szCs w:val="24"/>
        </w:rPr>
        <w:t>eur.</w:t>
      </w:r>
    </w:p>
    <w:p w14:paraId="122B2E43" w14:textId="2E28B5D0" w:rsidR="004C6700" w:rsidRPr="0054081E" w:rsidRDefault="004C6700" w:rsidP="00691349">
      <w:pPr>
        <w:spacing w:line="240" w:lineRule="auto"/>
        <w:rPr>
          <w:rFonts w:cs="Times New Roman"/>
          <w:sz w:val="24"/>
          <w:szCs w:val="24"/>
        </w:rPr>
      </w:pPr>
      <w:r w:rsidRPr="0054081E">
        <w:rPr>
          <w:rFonts w:cs="Times New Roman"/>
          <w:sz w:val="24"/>
          <w:szCs w:val="24"/>
        </w:rPr>
        <w:t>V roku 2023 mali celkové príjmy v sume 2 369 251 tis. eur, čo predstavuje nárast o 511 225 tis. eur oproti plánovaným. Z nedaňových príjmov najvyšší nárast bol za príjmy z administratívnych poplatkov o 13 649 tis. eur najmä za predaj výrobkov</w:t>
      </w:r>
      <w:r>
        <w:rPr>
          <w:rFonts w:cs="Times New Roman"/>
          <w:sz w:val="24"/>
          <w:szCs w:val="24"/>
        </w:rPr>
        <w:t xml:space="preserve">, tovarov a služieb a stravné. Vyššie územné celky prijali bežné granty a transfery vo výške 724 339 tis. eur, kapitálové </w:t>
      </w:r>
      <w:r w:rsidRPr="006247CA">
        <w:rPr>
          <w:rFonts w:cs="Times New Roman"/>
          <w:sz w:val="24"/>
          <w:szCs w:val="24"/>
        </w:rPr>
        <w:t xml:space="preserve">granty a transfery vo výške 350 044 tis. eur a zahraničné granty vo výške 7 473 tis. eur. </w:t>
      </w:r>
      <w:r w:rsidR="00DC0BD2" w:rsidRPr="006247CA">
        <w:rPr>
          <w:rFonts w:cs="Times New Roman"/>
          <w:sz w:val="24"/>
          <w:szCs w:val="24"/>
        </w:rPr>
        <w:t>Jednotlivé rozpočtové kapitoly v rámci schváleného rozpočtu na rok 2023 predbežne nezapájali zdroje na financovanie spoločných projektov EÚ a SR do rozpočtov vyšších územných celkov, čo spôsobilo pozitívny vplyv na hospodárenie vyšších územných celkov a prijaté bežné a kapitálové granty a transfery a zahraničné granty sa zvýšili úhrnom o 469 450 tis. eur. Boli určené najmä na financovanie preneseného výkonu štátnej správy na úseku školstva (nárast o 68 486 tis. eur) a na financovanie investičných projektov.</w:t>
      </w:r>
    </w:p>
    <w:p w14:paraId="1D9A68BB" w14:textId="77777777" w:rsidR="004C6700" w:rsidRPr="00A54DB0" w:rsidRDefault="004C6700" w:rsidP="00691349">
      <w:pPr>
        <w:spacing w:line="240" w:lineRule="auto"/>
        <w:rPr>
          <w:rFonts w:cs="Times New Roman"/>
          <w:sz w:val="24"/>
          <w:szCs w:val="24"/>
          <w:highlight w:val="yellow"/>
        </w:rPr>
      </w:pPr>
      <w:r w:rsidRPr="00AC73B2">
        <w:rPr>
          <w:rFonts w:cs="Times New Roman"/>
          <w:sz w:val="24"/>
          <w:szCs w:val="24"/>
        </w:rPr>
        <w:t>Dosiahnutý hotovostný schodok negatívne ovplyvnil nárast bežných aj kapitálových výdavkov. Z </w:t>
      </w:r>
      <w:r w:rsidRPr="00A54DB0">
        <w:rPr>
          <w:rFonts w:cs="Times New Roman"/>
          <w:sz w:val="24"/>
          <w:szCs w:val="24"/>
        </w:rPr>
        <w:t>celkového nárastu výdavkov (o 616 005 tis. eur) sa zvýšili o sumu 113 000 tis. eur výdavky na</w:t>
      </w:r>
      <w:r>
        <w:rPr>
          <w:rFonts w:cs="Times New Roman"/>
          <w:sz w:val="24"/>
          <w:szCs w:val="24"/>
        </w:rPr>
        <w:t> </w:t>
      </w:r>
      <w:r w:rsidRPr="00A54DB0">
        <w:rPr>
          <w:rFonts w:cs="Times New Roman"/>
          <w:sz w:val="24"/>
          <w:szCs w:val="24"/>
        </w:rPr>
        <w:t xml:space="preserve">bežné transfery (transfery v rámci VS) a o sumu 525 556 tis. eur narástli kapitálové výdavky, z toho výdavky na obstaranie kapitálových aktív o 466 569 tis. eur. Tieto výdavky boli alokované na implementáciu projektov modernizácie stredných škôl, v </w:t>
      </w:r>
      <w:r w:rsidRPr="00A54DB0">
        <w:rPr>
          <w:sz w:val="24"/>
          <w:szCs w:val="24"/>
        </w:rPr>
        <w:t>oblasti zlepšovania bezpečnosti a ekológie dopravy v regiónoch vrátane rekonštrukcie ciest 1. a 2. triedy, obnovy mostných objektov a obnovy dopravných prostriedkov verejnej osobnej dopravy, z toho najviac pre T</w:t>
      </w:r>
      <w:r>
        <w:rPr>
          <w:sz w:val="24"/>
          <w:szCs w:val="24"/>
        </w:rPr>
        <w:t>renčiansky samosprávny kraj (70 </w:t>
      </w:r>
      <w:r w:rsidRPr="00A54DB0">
        <w:rPr>
          <w:sz w:val="24"/>
          <w:szCs w:val="24"/>
        </w:rPr>
        <w:t>213</w:t>
      </w:r>
      <w:r>
        <w:rPr>
          <w:sz w:val="24"/>
          <w:szCs w:val="24"/>
        </w:rPr>
        <w:t xml:space="preserve"> </w:t>
      </w:r>
      <w:r w:rsidRPr="00A54DB0">
        <w:rPr>
          <w:sz w:val="24"/>
          <w:szCs w:val="24"/>
        </w:rPr>
        <w:t>tis.</w:t>
      </w:r>
      <w:r>
        <w:rPr>
          <w:sz w:val="24"/>
          <w:szCs w:val="24"/>
        </w:rPr>
        <w:t xml:space="preserve"> </w:t>
      </w:r>
      <w:r w:rsidRPr="00A54DB0">
        <w:rPr>
          <w:sz w:val="24"/>
          <w:szCs w:val="24"/>
        </w:rPr>
        <w:t xml:space="preserve">eur), Prešovský samosprávny kraj (56 408 tis. eur) a Banskobystrický samosprávny kraj (7 375 tis. eur). Samosprávne kraje použili prostriedky na implementáciu projektov v oblasti ochrany prírodného a kultúrneho dedičstva </w:t>
      </w:r>
      <w:r w:rsidRPr="00A54DB0">
        <w:rPr>
          <w:sz w:val="24"/>
          <w:szCs w:val="24"/>
        </w:rPr>
        <w:lastRenderedPageBreak/>
        <w:t>a</w:t>
      </w:r>
      <w:r>
        <w:rPr>
          <w:sz w:val="24"/>
          <w:szCs w:val="24"/>
        </w:rPr>
        <w:t> </w:t>
      </w:r>
      <w:r w:rsidRPr="00A54DB0">
        <w:rPr>
          <w:sz w:val="24"/>
          <w:szCs w:val="24"/>
        </w:rPr>
        <w:t>na</w:t>
      </w:r>
      <w:r>
        <w:rPr>
          <w:sz w:val="24"/>
          <w:szCs w:val="24"/>
        </w:rPr>
        <w:t> </w:t>
      </w:r>
      <w:r w:rsidRPr="00A54DB0">
        <w:rPr>
          <w:sz w:val="24"/>
          <w:szCs w:val="24"/>
        </w:rPr>
        <w:t>podporu udržateľných dopravných riešení z programov INTERREG V-A SK-AT, INTERREG V-A SK-CZ INTERREG V-A PL-SK a INTERREG V-A HU-SK.</w:t>
      </w:r>
      <w:r w:rsidRPr="00A54DB0">
        <w:rPr>
          <w:rFonts w:cs="Times New Roman"/>
          <w:sz w:val="24"/>
          <w:szCs w:val="24"/>
        </w:rPr>
        <w:t xml:space="preserve"> </w:t>
      </w:r>
    </w:p>
    <w:p w14:paraId="47B07DBD" w14:textId="00BBA800" w:rsidR="004C6700" w:rsidRDefault="004C6700" w:rsidP="00691349">
      <w:pPr>
        <w:spacing w:line="240" w:lineRule="auto"/>
        <w:rPr>
          <w:sz w:val="24"/>
          <w:szCs w:val="24"/>
        </w:rPr>
      </w:pPr>
      <w:r w:rsidRPr="00BF79B3">
        <w:rPr>
          <w:rFonts w:cs="Times New Roman"/>
          <w:sz w:val="24"/>
          <w:szCs w:val="24"/>
        </w:rPr>
        <w:t xml:space="preserve">Oproti hotovostnému schodku sa ESA schodok znížil na sumu 89 995 tis. eur vplyvom medziročného nárastu pohľadávok o 5 639 tis. eur a medziročného poklesu záväzkov o 7 800 tis. eur, z toho najvyšší medziročný pokles mali záväzky voči dodávateľom (o 11 288 tis. eur). V menšej miere k zhoršeniu prebytku prispel nárast ostatných záväzkov (o 5 108 tis. eur) oproti predchádzajúcemu obdobiu. </w:t>
      </w:r>
      <w:r w:rsidRPr="00BF79B3">
        <w:rPr>
          <w:sz w:val="24"/>
          <w:szCs w:val="24"/>
        </w:rPr>
        <w:t>V roku 2023 sa vyšším územným celkom odpustila poskytnutá návratná finančná výpomoc, ktorou</w:t>
      </w:r>
      <w:r>
        <w:rPr>
          <w:sz w:val="24"/>
          <w:szCs w:val="24"/>
        </w:rPr>
        <w:t xml:space="preserve"> sa kompenzoval výpadok DPFO v roku 2020 v dôsledku pandémie COVID-19. Toto odpustenie sa v zmysle metodike ESA 2010 zaznamenalo ako </w:t>
      </w:r>
      <w:proofErr w:type="spellStart"/>
      <w:r>
        <w:rPr>
          <w:sz w:val="24"/>
          <w:szCs w:val="24"/>
        </w:rPr>
        <w:t>imputácia</w:t>
      </w:r>
      <w:proofErr w:type="spellEnd"/>
      <w:r>
        <w:rPr>
          <w:sz w:val="24"/>
          <w:szCs w:val="24"/>
        </w:rPr>
        <w:t xml:space="preserve"> prijatého kapitálového transferu vo výške 52 074 tis. eur, čo </w:t>
      </w:r>
      <w:r w:rsidR="000F607C">
        <w:rPr>
          <w:sz w:val="24"/>
          <w:szCs w:val="24"/>
        </w:rPr>
        <w:t>výrazne</w:t>
      </w:r>
      <w:r>
        <w:rPr>
          <w:sz w:val="24"/>
          <w:szCs w:val="24"/>
        </w:rPr>
        <w:t xml:space="preserve"> pozitívne ovplyvnilo ESA </w:t>
      </w:r>
      <w:r w:rsidR="002A4082">
        <w:rPr>
          <w:sz w:val="24"/>
          <w:szCs w:val="24"/>
        </w:rPr>
        <w:t>schodok</w:t>
      </w:r>
      <w:r>
        <w:rPr>
          <w:sz w:val="24"/>
          <w:szCs w:val="24"/>
        </w:rPr>
        <w:t>.</w:t>
      </w:r>
    </w:p>
    <w:p w14:paraId="58D49127" w14:textId="77777777" w:rsidR="004C6700" w:rsidRPr="008E6E4B" w:rsidRDefault="004C6700" w:rsidP="004C6700">
      <w:pPr>
        <w:spacing w:before="120" w:line="240" w:lineRule="auto"/>
        <w:rPr>
          <w:rFonts w:cs="Times New Roman"/>
          <w:sz w:val="24"/>
          <w:szCs w:val="24"/>
        </w:rPr>
      </w:pPr>
      <w:r w:rsidRPr="008E6E4B">
        <w:rPr>
          <w:rFonts w:cs="Times New Roman"/>
          <w:b/>
          <w:sz w:val="24"/>
          <w:szCs w:val="24"/>
        </w:rPr>
        <w:t>Dopravné podniky</w:t>
      </w:r>
      <w:r w:rsidRPr="008E6E4B">
        <w:rPr>
          <w:rFonts w:cs="Times New Roman"/>
          <w:sz w:val="24"/>
          <w:szCs w:val="24"/>
        </w:rPr>
        <w:t xml:space="preserve"> zlepšili svoje hotovostné hospodárenie o 48 956 tis. eur a oproti rozpočtovanému schodku vo výške 32 507 tis. eur dosiahli hotovostný schodok vo výške 16 449 tis. eur. Celkové príjmy dopravných podnikov sa zvýšili o 183 421 tis. eur a celkové výdavky narástli o 134 465 tis. eur. </w:t>
      </w:r>
    </w:p>
    <w:p w14:paraId="6DD168AC" w14:textId="04F5153C" w:rsidR="004C6700" w:rsidRPr="00092ACB" w:rsidRDefault="004C6700" w:rsidP="004C6700">
      <w:pPr>
        <w:spacing w:before="120" w:line="240" w:lineRule="auto"/>
        <w:rPr>
          <w:rFonts w:cs="Times New Roman"/>
          <w:sz w:val="24"/>
          <w:szCs w:val="24"/>
          <w:highlight w:val="yellow"/>
        </w:rPr>
      </w:pPr>
      <w:r w:rsidRPr="00834020">
        <w:rPr>
          <w:rFonts w:cs="Times New Roman"/>
          <w:sz w:val="24"/>
          <w:szCs w:val="24"/>
        </w:rPr>
        <w:t>Podobne ako v predchádzajúcom roku aj v roku 2023 zaznamenali dopravné podniky pokles cestujúcej verejnosti a tým nedosiahli očakávané výnosy, čo sa prejavilo poklesom tržieb za</w:t>
      </w:r>
      <w:r>
        <w:rPr>
          <w:rFonts w:cs="Times New Roman"/>
          <w:sz w:val="24"/>
          <w:szCs w:val="24"/>
        </w:rPr>
        <w:t> </w:t>
      </w:r>
      <w:r w:rsidRPr="00834020">
        <w:rPr>
          <w:rFonts w:cs="Times New Roman"/>
          <w:sz w:val="24"/>
          <w:szCs w:val="24"/>
        </w:rPr>
        <w:t>predaj cestovných lístkov a služieb, nižších príjmov z pokút a vymožených pohľadávok za</w:t>
      </w:r>
      <w:r>
        <w:rPr>
          <w:rFonts w:cs="Times New Roman"/>
          <w:sz w:val="24"/>
          <w:szCs w:val="24"/>
        </w:rPr>
        <w:t> </w:t>
      </w:r>
      <w:r w:rsidRPr="00834020">
        <w:rPr>
          <w:rFonts w:cs="Times New Roman"/>
          <w:sz w:val="24"/>
          <w:szCs w:val="24"/>
        </w:rPr>
        <w:t>cestovanie bez platného cestovného lístka, znížených príjmov z reklám a nízkeho dopytu na</w:t>
      </w:r>
      <w:r>
        <w:rPr>
          <w:rFonts w:cs="Times New Roman"/>
          <w:sz w:val="24"/>
          <w:szCs w:val="24"/>
        </w:rPr>
        <w:t> </w:t>
      </w:r>
      <w:r w:rsidRPr="00834020">
        <w:rPr>
          <w:rFonts w:cs="Times New Roman"/>
          <w:sz w:val="24"/>
          <w:szCs w:val="24"/>
        </w:rPr>
        <w:t>zájazdovú, zmluvnú a príležitostnú dopravu. Pár me</w:t>
      </w:r>
      <w:r>
        <w:rPr>
          <w:rFonts w:cs="Times New Roman"/>
          <w:sz w:val="24"/>
          <w:szCs w:val="24"/>
        </w:rPr>
        <w:t>siacov prevádzkovania dopravy v </w:t>
      </w:r>
      <w:r w:rsidRPr="00834020">
        <w:rPr>
          <w:rFonts w:cs="Times New Roman"/>
          <w:sz w:val="24"/>
          <w:szCs w:val="24"/>
        </w:rPr>
        <w:t xml:space="preserve">prázdninovom režime sa prejavilo poklesom nedaňových príjmov o 11 157 tis. eur, čo v konečnom dôsledku nemalo výrazný vplyv na hotovostný prebytok. </w:t>
      </w:r>
    </w:p>
    <w:p w14:paraId="15A970B8" w14:textId="77777777" w:rsidR="004C6700" w:rsidRDefault="004C6700" w:rsidP="004C6700">
      <w:pPr>
        <w:spacing w:before="120" w:line="240" w:lineRule="auto"/>
        <w:rPr>
          <w:rFonts w:cs="Times New Roman"/>
          <w:sz w:val="24"/>
          <w:szCs w:val="24"/>
        </w:rPr>
      </w:pPr>
      <w:r w:rsidRPr="00AA55CD">
        <w:rPr>
          <w:rFonts w:cs="Times New Roman"/>
          <w:sz w:val="24"/>
          <w:szCs w:val="24"/>
        </w:rPr>
        <w:t>Bežné granty a transfery na financovanie MHD v zmysle Zmlúv o službách vo verejnom záujme prekročili plánovaný rozpočet o 194 578 tis. eur z dôvodu prijatých vyšších transferov z rozpočtov miest a z dofinancovania príspev</w:t>
      </w:r>
      <w:r>
        <w:rPr>
          <w:rFonts w:cs="Times New Roman"/>
          <w:sz w:val="24"/>
          <w:szCs w:val="24"/>
        </w:rPr>
        <w:t>k</w:t>
      </w:r>
      <w:r w:rsidRPr="00AA55CD">
        <w:rPr>
          <w:rFonts w:cs="Times New Roman"/>
          <w:sz w:val="24"/>
          <w:szCs w:val="24"/>
        </w:rPr>
        <w:t>u za predchádzajúce obdobie. Išlo o príjmy na</w:t>
      </w:r>
      <w:r>
        <w:rPr>
          <w:rFonts w:cs="Times New Roman"/>
          <w:sz w:val="24"/>
          <w:szCs w:val="24"/>
        </w:rPr>
        <w:t> </w:t>
      </w:r>
      <w:r w:rsidRPr="00AA55CD">
        <w:rPr>
          <w:rFonts w:cs="Times New Roman"/>
          <w:sz w:val="24"/>
          <w:szCs w:val="24"/>
        </w:rPr>
        <w:t>bežnú prevádzku podnikov, na rozvoj dopravnej infraštruktúry</w:t>
      </w:r>
      <w:r>
        <w:rPr>
          <w:rFonts w:cs="Times New Roman"/>
          <w:sz w:val="24"/>
          <w:szCs w:val="24"/>
        </w:rPr>
        <w:t xml:space="preserve"> a dotácia na energetickú pomoc</w:t>
      </w:r>
      <w:r w:rsidRPr="00B7135E">
        <w:rPr>
          <w:rFonts w:cs="Times New Roman"/>
          <w:sz w:val="24"/>
          <w:szCs w:val="24"/>
        </w:rPr>
        <w:t>.</w:t>
      </w:r>
    </w:p>
    <w:p w14:paraId="2055FB6B" w14:textId="643336DA" w:rsidR="004C6700" w:rsidRPr="00B7135E" w:rsidRDefault="004C6700" w:rsidP="004C6700">
      <w:pPr>
        <w:spacing w:before="120" w:line="240" w:lineRule="auto"/>
        <w:rPr>
          <w:rFonts w:cs="Times New Roman"/>
          <w:sz w:val="24"/>
          <w:szCs w:val="24"/>
        </w:rPr>
      </w:pPr>
      <w:r w:rsidRPr="00B7135E">
        <w:rPr>
          <w:rFonts w:cs="Times New Roman"/>
          <w:sz w:val="24"/>
          <w:szCs w:val="24"/>
        </w:rPr>
        <w:t>Dopravný podnik Bratislava v rámci OP Doprava a OPII prijal z </w:t>
      </w:r>
      <w:r>
        <w:rPr>
          <w:rFonts w:cs="Times New Roman"/>
          <w:sz w:val="24"/>
          <w:szCs w:val="24"/>
        </w:rPr>
        <w:t>prostriedky</w:t>
      </w:r>
      <w:r w:rsidRPr="00B7135E">
        <w:rPr>
          <w:rFonts w:cs="Times New Roman"/>
          <w:sz w:val="24"/>
          <w:szCs w:val="24"/>
        </w:rPr>
        <w:t xml:space="preserve"> EU formou refundácie a </w:t>
      </w:r>
      <w:proofErr w:type="spellStart"/>
      <w:r w:rsidRPr="00B7135E">
        <w:rPr>
          <w:rFonts w:cs="Times New Roman"/>
          <w:sz w:val="24"/>
          <w:szCs w:val="24"/>
        </w:rPr>
        <w:t>predfinancovania</w:t>
      </w:r>
      <w:proofErr w:type="spellEnd"/>
      <w:r w:rsidRPr="00B7135E">
        <w:rPr>
          <w:rFonts w:cs="Times New Roman"/>
          <w:sz w:val="24"/>
          <w:szCs w:val="24"/>
        </w:rPr>
        <w:t xml:space="preserve"> na modernizáciu dráhovej</w:t>
      </w:r>
      <w:r>
        <w:rPr>
          <w:rFonts w:cs="Times New Roman"/>
          <w:sz w:val="24"/>
          <w:szCs w:val="24"/>
        </w:rPr>
        <w:t xml:space="preserve"> infraštruktúry a údržbovej základne. </w:t>
      </w:r>
      <w:r w:rsidRPr="00AA55CD">
        <w:rPr>
          <w:rFonts w:cs="Times New Roman"/>
          <w:sz w:val="24"/>
          <w:szCs w:val="24"/>
        </w:rPr>
        <w:t>D</w:t>
      </w:r>
      <w:r>
        <w:rPr>
          <w:rFonts w:cs="Times New Roman"/>
          <w:sz w:val="24"/>
          <w:szCs w:val="24"/>
        </w:rPr>
        <w:t>opravný podnik m</w:t>
      </w:r>
      <w:r w:rsidRPr="00AA55CD">
        <w:rPr>
          <w:rFonts w:cs="Times New Roman"/>
          <w:sz w:val="24"/>
          <w:szCs w:val="24"/>
        </w:rPr>
        <w:t>esta Martin dostal kapitálový transfer z rozpočtu mesta na nákup 9 ks autobusov a</w:t>
      </w:r>
      <w:r>
        <w:rPr>
          <w:rFonts w:cs="Times New Roman"/>
          <w:sz w:val="24"/>
          <w:szCs w:val="24"/>
        </w:rPr>
        <w:t> </w:t>
      </w:r>
      <w:r w:rsidRPr="00AA55CD">
        <w:rPr>
          <w:rFonts w:cs="Times New Roman"/>
          <w:sz w:val="24"/>
          <w:szCs w:val="24"/>
        </w:rPr>
        <w:t>D</w:t>
      </w:r>
      <w:r>
        <w:rPr>
          <w:rFonts w:cs="Times New Roman"/>
          <w:sz w:val="24"/>
          <w:szCs w:val="24"/>
        </w:rPr>
        <w:t>opravný podnik</w:t>
      </w:r>
      <w:r w:rsidRPr="00AA55CD">
        <w:rPr>
          <w:rFonts w:cs="Times New Roman"/>
          <w:sz w:val="24"/>
          <w:szCs w:val="24"/>
        </w:rPr>
        <w:t xml:space="preserve"> </w:t>
      </w:r>
      <w:r>
        <w:rPr>
          <w:rFonts w:cs="Times New Roman"/>
          <w:sz w:val="24"/>
          <w:szCs w:val="24"/>
        </w:rPr>
        <w:t>m</w:t>
      </w:r>
      <w:r w:rsidRPr="00AA55CD">
        <w:rPr>
          <w:rFonts w:cs="Times New Roman"/>
          <w:sz w:val="24"/>
          <w:szCs w:val="24"/>
        </w:rPr>
        <w:t xml:space="preserve">esta Košice na modernizáciu električkového depa (Operačný program </w:t>
      </w:r>
      <w:r w:rsidRPr="000D0B2A">
        <w:rPr>
          <w:rFonts w:cs="Times New Roman"/>
          <w:sz w:val="24"/>
          <w:szCs w:val="24"/>
        </w:rPr>
        <w:t>Doprava</w:t>
      </w:r>
      <w:r>
        <w:rPr>
          <w:rFonts w:cs="Times New Roman"/>
          <w:sz w:val="24"/>
          <w:szCs w:val="24"/>
        </w:rPr>
        <w:t>)</w:t>
      </w:r>
      <w:r w:rsidRPr="000D0B2A">
        <w:rPr>
          <w:rFonts w:cs="Times New Roman"/>
          <w:sz w:val="24"/>
          <w:szCs w:val="24"/>
        </w:rPr>
        <w:t xml:space="preserve">. Presun časti plánovaných investičných akcií do ďalšieho obdobia v rámci projektov modernizácie a obstarania technologických vozidiel, modernizácie údržbovej základne a zastávok, obnovy vozového parku vrátane </w:t>
      </w:r>
      <w:r>
        <w:rPr>
          <w:rFonts w:cs="Times New Roman"/>
          <w:sz w:val="24"/>
          <w:szCs w:val="24"/>
        </w:rPr>
        <w:t xml:space="preserve">nákupu </w:t>
      </w:r>
      <w:r w:rsidRPr="000D0B2A">
        <w:rPr>
          <w:rFonts w:cs="Times New Roman"/>
          <w:sz w:val="24"/>
          <w:szCs w:val="24"/>
        </w:rPr>
        <w:t xml:space="preserve">CNG autobusov, </w:t>
      </w:r>
      <w:proofErr w:type="spellStart"/>
      <w:r w:rsidRPr="000D0B2A">
        <w:rPr>
          <w:rFonts w:cs="Times New Roman"/>
          <w:sz w:val="24"/>
          <w:szCs w:val="24"/>
        </w:rPr>
        <w:t>elektrobusov</w:t>
      </w:r>
      <w:proofErr w:type="spellEnd"/>
      <w:r w:rsidRPr="000D0B2A">
        <w:rPr>
          <w:rFonts w:cs="Times New Roman"/>
          <w:sz w:val="24"/>
          <w:szCs w:val="24"/>
        </w:rPr>
        <w:t xml:space="preserve">, projekt modernizácie infraštruktúry trolejbusovej trate ovplyvnil výšku prijatých kapitálových transferov, ktoré sa oproti rozpočtu zvýšili o 9 289 tis. eur. </w:t>
      </w:r>
    </w:p>
    <w:p w14:paraId="1D9AF0AB" w14:textId="78FC01C9" w:rsidR="004C6700" w:rsidRPr="000D0B2A" w:rsidRDefault="004C6700" w:rsidP="004C6700">
      <w:pPr>
        <w:spacing w:before="120" w:line="240" w:lineRule="auto"/>
        <w:rPr>
          <w:rFonts w:cs="Times New Roman"/>
          <w:sz w:val="24"/>
          <w:szCs w:val="24"/>
        </w:rPr>
      </w:pPr>
      <w:r w:rsidRPr="000D0B2A">
        <w:rPr>
          <w:rFonts w:cs="Times New Roman"/>
          <w:sz w:val="24"/>
          <w:szCs w:val="24"/>
        </w:rPr>
        <w:t>Celkové výdavky sa čerpali vo výške 4</w:t>
      </w:r>
      <w:r>
        <w:rPr>
          <w:rFonts w:cs="Times New Roman"/>
          <w:sz w:val="24"/>
          <w:szCs w:val="24"/>
        </w:rPr>
        <w:t>1</w:t>
      </w:r>
      <w:r w:rsidRPr="000D0B2A">
        <w:rPr>
          <w:rFonts w:cs="Times New Roman"/>
          <w:sz w:val="24"/>
          <w:szCs w:val="24"/>
        </w:rPr>
        <w:t>6 227 tis. eur, z toho bežné výdavky prekročili plánovaný rozpočet o 586 tis. eur a v kapitálové výdavky o 133 879 tis. eur.</w:t>
      </w:r>
    </w:p>
    <w:p w14:paraId="5C0F9DD2" w14:textId="1C6FD948" w:rsidR="004C6700" w:rsidRDefault="004C6700" w:rsidP="004C6700">
      <w:pPr>
        <w:spacing w:before="120" w:line="240" w:lineRule="auto"/>
        <w:rPr>
          <w:rFonts w:cs="Times New Roman"/>
          <w:sz w:val="24"/>
          <w:szCs w:val="24"/>
        </w:rPr>
      </w:pPr>
      <w:r w:rsidRPr="00E722E3">
        <w:rPr>
          <w:rFonts w:cs="Times New Roman"/>
          <w:sz w:val="24"/>
          <w:szCs w:val="24"/>
        </w:rPr>
        <w:t>Napriek zvýšeniu mzdových taríf zamestnancom na základe kolektívneho vyjednávania bola oproti rozpočtu úspora vo výdavkoch na osobné náklady o 2 250 tis. eur. Zhoršená situácia na</w:t>
      </w:r>
      <w:r>
        <w:rPr>
          <w:rFonts w:cs="Times New Roman"/>
          <w:sz w:val="24"/>
          <w:szCs w:val="24"/>
        </w:rPr>
        <w:t> </w:t>
      </w:r>
      <w:r w:rsidRPr="00E722E3">
        <w:rPr>
          <w:rFonts w:cs="Times New Roman"/>
          <w:sz w:val="24"/>
          <w:szCs w:val="24"/>
        </w:rPr>
        <w:t>trhu s energiami sa prejavila nárastom cien energií, pohonných hmôt a palív. Opravy električkových tratí a trolejbusových vedení, údržba koľajových tratí a vozidiel, nákup náhradných dielov, spotrebného materiálu a služieb na prevádzkovú činnosť</w:t>
      </w:r>
      <w:r>
        <w:rPr>
          <w:rFonts w:cs="Times New Roman"/>
          <w:sz w:val="24"/>
          <w:szCs w:val="24"/>
        </w:rPr>
        <w:t>, vyššie príspevky na stravovanie</w:t>
      </w:r>
      <w:r w:rsidRPr="00E722E3">
        <w:rPr>
          <w:rFonts w:cs="Times New Roman"/>
          <w:sz w:val="24"/>
          <w:szCs w:val="24"/>
        </w:rPr>
        <w:t xml:space="preserve"> zvýšil</w:t>
      </w:r>
      <w:r>
        <w:rPr>
          <w:rFonts w:cs="Times New Roman"/>
          <w:sz w:val="24"/>
          <w:szCs w:val="24"/>
        </w:rPr>
        <w:t>i</w:t>
      </w:r>
      <w:r w:rsidRPr="00E722E3">
        <w:rPr>
          <w:rFonts w:cs="Times New Roman"/>
          <w:sz w:val="24"/>
          <w:szCs w:val="24"/>
        </w:rPr>
        <w:t xml:space="preserve"> výdavky na tovary a služby oproti plánovaným o 2 202 tis. eur</w:t>
      </w:r>
      <w:r>
        <w:rPr>
          <w:rFonts w:cs="Times New Roman"/>
          <w:sz w:val="24"/>
          <w:szCs w:val="24"/>
        </w:rPr>
        <w:t xml:space="preserve">. </w:t>
      </w:r>
    </w:p>
    <w:p w14:paraId="5E2668FD" w14:textId="77777777" w:rsidR="004C6700" w:rsidRPr="00022091" w:rsidRDefault="004C6700" w:rsidP="004C6700">
      <w:pPr>
        <w:spacing w:before="120" w:line="240" w:lineRule="auto"/>
        <w:rPr>
          <w:rFonts w:cs="Times New Roman"/>
          <w:sz w:val="24"/>
          <w:szCs w:val="24"/>
        </w:rPr>
      </w:pPr>
      <w:r w:rsidRPr="00022091">
        <w:rPr>
          <w:rFonts w:cs="Times New Roman"/>
          <w:sz w:val="24"/>
          <w:szCs w:val="24"/>
        </w:rPr>
        <w:t>Negatívom bol nárast výdavkov obstaranie kapitálových aktív o 133 879 tis. eur. Kapitálové výdavky rozpočtované v sume 66 218 tis. eur sa čerpali vo výške 200 097 tis. eur.</w:t>
      </w:r>
    </w:p>
    <w:p w14:paraId="02969ABD" w14:textId="1DBAF3AA" w:rsidR="004C6700" w:rsidRPr="00E57792" w:rsidRDefault="004C6700" w:rsidP="004C6700">
      <w:pPr>
        <w:spacing w:before="120" w:line="240" w:lineRule="auto"/>
        <w:rPr>
          <w:rFonts w:cs="Times New Roman"/>
          <w:sz w:val="24"/>
          <w:szCs w:val="24"/>
        </w:rPr>
      </w:pPr>
      <w:r>
        <w:rPr>
          <w:rFonts w:cs="Times New Roman"/>
          <w:sz w:val="24"/>
          <w:szCs w:val="24"/>
        </w:rPr>
        <w:lastRenderedPageBreak/>
        <w:t xml:space="preserve">Prostriedky sa čerpali </w:t>
      </w:r>
      <w:r w:rsidRPr="00E57792">
        <w:rPr>
          <w:rFonts w:cs="Times New Roman"/>
          <w:sz w:val="24"/>
          <w:szCs w:val="24"/>
        </w:rPr>
        <w:t xml:space="preserve">v rámci modernizácií električkových tratí a údržbovej základne trolejbusov, na obnovu vozového parku električiek, nákup </w:t>
      </w:r>
      <w:r>
        <w:rPr>
          <w:rFonts w:cs="Times New Roman"/>
          <w:sz w:val="24"/>
          <w:szCs w:val="24"/>
        </w:rPr>
        <w:t xml:space="preserve">hybridných </w:t>
      </w:r>
      <w:r w:rsidRPr="00E57792">
        <w:rPr>
          <w:rFonts w:cs="Times New Roman"/>
          <w:sz w:val="24"/>
          <w:szCs w:val="24"/>
        </w:rPr>
        <w:t>trolejbusov a</w:t>
      </w:r>
      <w:r>
        <w:rPr>
          <w:rFonts w:cs="Times New Roman"/>
          <w:sz w:val="24"/>
          <w:szCs w:val="24"/>
        </w:rPr>
        <w:t xml:space="preserve"> vodíkových </w:t>
      </w:r>
      <w:r w:rsidRPr="00E57792">
        <w:rPr>
          <w:rFonts w:cs="Times New Roman"/>
          <w:sz w:val="24"/>
          <w:szCs w:val="24"/>
        </w:rPr>
        <w:t>autobusov, na obnovu prístreškov, modernizáciu dopravného dispečingu, na zakúpenie zariadení na vybavenie depa, na projekčné a prípravn</w:t>
      </w:r>
      <w:r>
        <w:rPr>
          <w:rFonts w:cs="Times New Roman"/>
          <w:sz w:val="24"/>
          <w:szCs w:val="24"/>
        </w:rPr>
        <w:t>é práce k plánovaným projektom.</w:t>
      </w:r>
      <w:r w:rsidR="007D57AB">
        <w:rPr>
          <w:rFonts w:cs="Times New Roman"/>
          <w:sz w:val="24"/>
          <w:szCs w:val="24"/>
        </w:rPr>
        <w:t xml:space="preserve"> </w:t>
      </w:r>
      <w:r w:rsidRPr="00E57792">
        <w:rPr>
          <w:rFonts w:cs="Times New Roman"/>
          <w:sz w:val="24"/>
          <w:szCs w:val="24"/>
        </w:rPr>
        <w:t>Výdavky na</w:t>
      </w:r>
      <w:r w:rsidR="007D57AB">
        <w:rPr>
          <w:rFonts w:cs="Times New Roman"/>
          <w:sz w:val="24"/>
          <w:szCs w:val="24"/>
        </w:rPr>
        <w:t> </w:t>
      </w:r>
      <w:r w:rsidRPr="00E57792">
        <w:rPr>
          <w:rFonts w:cs="Times New Roman"/>
          <w:sz w:val="24"/>
          <w:szCs w:val="24"/>
        </w:rPr>
        <w:t xml:space="preserve">kapitálové aktíva sa oproti prijatým kapitálovým transferom čerpali v menšom objeme a to nadväznosti na prehodnotenie priorít v rámci investičných akcií prebiehajúcich alebo plánovaných projektov, ich presun do ďalších rokov (modernizácia električkových a trolejbusových tratí, dopravného dispečingu, nákup CNC autobusov a </w:t>
      </w:r>
      <w:proofErr w:type="spellStart"/>
      <w:r w:rsidRPr="00E57792">
        <w:rPr>
          <w:rFonts w:cs="Times New Roman"/>
          <w:sz w:val="24"/>
          <w:szCs w:val="24"/>
        </w:rPr>
        <w:t>elektrobusov</w:t>
      </w:r>
      <w:proofErr w:type="spellEnd"/>
      <w:r w:rsidRPr="00E57792">
        <w:rPr>
          <w:rFonts w:cs="Times New Roman"/>
          <w:sz w:val="24"/>
          <w:szCs w:val="24"/>
        </w:rPr>
        <w:t xml:space="preserve">, informatizácia MHD, modernizácia vajnorskej </w:t>
      </w:r>
      <w:proofErr w:type="spellStart"/>
      <w:r w:rsidRPr="00E57792">
        <w:rPr>
          <w:rFonts w:cs="Times New Roman"/>
          <w:sz w:val="24"/>
          <w:szCs w:val="24"/>
        </w:rPr>
        <w:t>radiály</w:t>
      </w:r>
      <w:proofErr w:type="spellEnd"/>
      <w:r w:rsidRPr="00E57792">
        <w:rPr>
          <w:rFonts w:cs="Times New Roman"/>
          <w:sz w:val="24"/>
          <w:szCs w:val="24"/>
        </w:rPr>
        <w:t>, modernizácia údržbovej základne a nákup špeciálnych vozidiel, prístrojov a zariadení). Zostatok prostriedkov bude použitý na</w:t>
      </w:r>
      <w:r>
        <w:rPr>
          <w:rFonts w:cs="Times New Roman"/>
          <w:sz w:val="24"/>
          <w:szCs w:val="24"/>
        </w:rPr>
        <w:t> </w:t>
      </w:r>
      <w:r w:rsidRPr="00E57792">
        <w:rPr>
          <w:rFonts w:cs="Times New Roman"/>
          <w:sz w:val="24"/>
          <w:szCs w:val="24"/>
        </w:rPr>
        <w:t xml:space="preserve">obstaranie kapitálových aktív v ďalšom období. </w:t>
      </w:r>
    </w:p>
    <w:p w14:paraId="66BAFC8E" w14:textId="1CEBFF43" w:rsidR="004C6700" w:rsidRPr="00856DC9" w:rsidRDefault="004C6700" w:rsidP="004C6700">
      <w:pPr>
        <w:spacing w:before="120" w:line="240" w:lineRule="auto"/>
        <w:rPr>
          <w:rFonts w:cs="Times New Roman"/>
          <w:sz w:val="24"/>
          <w:szCs w:val="24"/>
        </w:rPr>
      </w:pPr>
      <w:r w:rsidRPr="00856DC9">
        <w:rPr>
          <w:rFonts w:cs="Times New Roman"/>
          <w:sz w:val="24"/>
          <w:szCs w:val="24"/>
        </w:rPr>
        <w:t xml:space="preserve">Prebytkové hotovostné hospodárenie dopravných podnikov bolo pozitívne ovplyvnené nárastom pohľadávok o 82 921 tis. eur avšak čiastočne eliminované nárastom záväzkov o 36 128 tis. eur. Najvyšší medziročný nárast na položke poskytnuté prevádzkové preddavky na dlhodobý hmotný a nehmotný majetok </w:t>
      </w:r>
      <w:r w:rsidRPr="00432365">
        <w:rPr>
          <w:rFonts w:cs="Times New Roman"/>
          <w:sz w:val="24"/>
          <w:szCs w:val="24"/>
        </w:rPr>
        <w:t>o 98 686 tis. eur bol spôsobený poskytnutím vyšších</w:t>
      </w:r>
      <w:r w:rsidRPr="00856DC9">
        <w:rPr>
          <w:rFonts w:cs="Times New Roman"/>
          <w:sz w:val="24"/>
          <w:szCs w:val="24"/>
        </w:rPr>
        <w:t xml:space="preserve"> preddavkových pl</w:t>
      </w:r>
      <w:r>
        <w:rPr>
          <w:rFonts w:cs="Times New Roman"/>
          <w:sz w:val="24"/>
          <w:szCs w:val="24"/>
        </w:rPr>
        <w:t xml:space="preserve">atieb na obstaranie električiek, na stavebné práce na modernizáciu údržbovej základne a modernizáciu </w:t>
      </w:r>
      <w:r w:rsidRPr="00856DC9">
        <w:rPr>
          <w:rFonts w:cs="Times New Roman"/>
          <w:sz w:val="24"/>
          <w:szCs w:val="24"/>
        </w:rPr>
        <w:t xml:space="preserve">infraštruktúry pre Dopravný podnik Bratislava, </w:t>
      </w:r>
      <w:proofErr w:type="spellStart"/>
      <w:r w:rsidRPr="00856DC9">
        <w:rPr>
          <w:rFonts w:cs="Times New Roman"/>
          <w:sz w:val="24"/>
          <w:szCs w:val="24"/>
        </w:rPr>
        <w:t>a.s</w:t>
      </w:r>
      <w:proofErr w:type="spellEnd"/>
      <w:r w:rsidRPr="00856DC9">
        <w:rPr>
          <w:rFonts w:cs="Times New Roman"/>
          <w:sz w:val="24"/>
          <w:szCs w:val="24"/>
        </w:rPr>
        <w:t>. a malú časť tvorila pohľadávka za mýto. Na</w:t>
      </w:r>
      <w:r>
        <w:rPr>
          <w:rFonts w:cs="Times New Roman"/>
          <w:sz w:val="24"/>
          <w:szCs w:val="24"/>
        </w:rPr>
        <w:t> </w:t>
      </w:r>
      <w:r w:rsidRPr="00B7135E">
        <w:rPr>
          <w:rFonts w:cs="Times New Roman"/>
          <w:sz w:val="24"/>
          <w:szCs w:val="24"/>
        </w:rPr>
        <w:t>strane záväzkov najvyšší medziročný nárast bol na záväzkoch voči dodávateľom a</w:t>
      </w:r>
      <w:r>
        <w:rPr>
          <w:rFonts w:cs="Times New Roman"/>
          <w:sz w:val="24"/>
          <w:szCs w:val="24"/>
        </w:rPr>
        <w:t> </w:t>
      </w:r>
      <w:r w:rsidRPr="00B7135E">
        <w:rPr>
          <w:rFonts w:cs="Times New Roman"/>
          <w:sz w:val="24"/>
          <w:szCs w:val="24"/>
        </w:rPr>
        <w:t>z</w:t>
      </w:r>
      <w:r>
        <w:rPr>
          <w:rFonts w:cs="Times New Roman"/>
          <w:sz w:val="24"/>
          <w:szCs w:val="24"/>
        </w:rPr>
        <w:t> </w:t>
      </w:r>
      <w:r w:rsidRPr="00B7135E">
        <w:rPr>
          <w:rFonts w:cs="Times New Roman"/>
          <w:sz w:val="24"/>
          <w:szCs w:val="24"/>
        </w:rPr>
        <w:t>nevyfakturovaných dodávok o 41 784 tis. eur, z toho najvyšší nárast mal DP Bratislava (o 41 058 tis. eur) za neuhradené zálohové faktúry za stavebné práce na údržbovej základni a</w:t>
      </w:r>
      <w:r w:rsidR="00691349">
        <w:rPr>
          <w:rFonts w:cs="Times New Roman"/>
          <w:sz w:val="24"/>
          <w:szCs w:val="24"/>
        </w:rPr>
        <w:t xml:space="preserve"> </w:t>
      </w:r>
      <w:r w:rsidRPr="00B7135E">
        <w:rPr>
          <w:rFonts w:cs="Times New Roman"/>
          <w:sz w:val="24"/>
          <w:szCs w:val="24"/>
        </w:rPr>
        <w:t>za</w:t>
      </w:r>
      <w:r>
        <w:rPr>
          <w:rFonts w:cs="Times New Roman"/>
          <w:sz w:val="24"/>
          <w:szCs w:val="24"/>
        </w:rPr>
        <w:t> </w:t>
      </w:r>
      <w:r w:rsidRPr="00B7135E">
        <w:rPr>
          <w:rFonts w:cs="Times New Roman"/>
          <w:sz w:val="24"/>
          <w:szCs w:val="24"/>
        </w:rPr>
        <w:t>obstaranie dopravných prostriedkov.</w:t>
      </w:r>
      <w:r>
        <w:rPr>
          <w:rFonts w:cs="Times New Roman"/>
          <w:sz w:val="24"/>
          <w:szCs w:val="24"/>
        </w:rPr>
        <w:t xml:space="preserve"> Dopravné podniky dosiahli ESA prebytok</w:t>
      </w:r>
      <w:r w:rsidRPr="00B7135E">
        <w:rPr>
          <w:rFonts w:cs="Times New Roman"/>
          <w:sz w:val="24"/>
          <w:szCs w:val="24"/>
        </w:rPr>
        <w:t xml:space="preserve"> vo</w:t>
      </w:r>
      <w:r>
        <w:rPr>
          <w:rFonts w:cs="Times New Roman"/>
          <w:sz w:val="24"/>
          <w:szCs w:val="24"/>
        </w:rPr>
        <w:t> </w:t>
      </w:r>
      <w:r w:rsidRPr="00B7135E">
        <w:rPr>
          <w:rFonts w:cs="Times New Roman"/>
          <w:sz w:val="24"/>
          <w:szCs w:val="24"/>
        </w:rPr>
        <w:t>výške</w:t>
      </w:r>
      <w:r w:rsidR="00691349">
        <w:rPr>
          <w:rFonts w:cs="Times New Roman"/>
          <w:sz w:val="24"/>
          <w:szCs w:val="24"/>
        </w:rPr>
        <w:t xml:space="preserve"> </w:t>
      </w:r>
      <w:r w:rsidRPr="00B7135E">
        <w:rPr>
          <w:rFonts w:cs="Times New Roman"/>
          <w:sz w:val="24"/>
          <w:szCs w:val="24"/>
        </w:rPr>
        <w:t>63 062 tis. eur.</w:t>
      </w:r>
      <w:r w:rsidRPr="00856DC9">
        <w:rPr>
          <w:rFonts w:cs="Times New Roman"/>
          <w:sz w:val="24"/>
          <w:szCs w:val="24"/>
        </w:rPr>
        <w:t xml:space="preserve"> </w:t>
      </w:r>
    </w:p>
    <w:p w14:paraId="2E77C0C3" w14:textId="7202C0A2" w:rsidR="004C6700" w:rsidRPr="00092ACB" w:rsidRDefault="004C6700" w:rsidP="004C6700">
      <w:pPr>
        <w:spacing w:before="120" w:line="240" w:lineRule="auto"/>
        <w:rPr>
          <w:rFonts w:cs="Times New Roman"/>
          <w:sz w:val="24"/>
          <w:szCs w:val="24"/>
          <w:highlight w:val="yellow"/>
        </w:rPr>
      </w:pPr>
      <w:r w:rsidRPr="00E826A0">
        <w:rPr>
          <w:b/>
          <w:sz w:val="24"/>
          <w:szCs w:val="24"/>
        </w:rPr>
        <w:t>Zdravotnícke zariadenia </w:t>
      </w:r>
      <w:r w:rsidR="00EE6CF6">
        <w:rPr>
          <w:b/>
          <w:sz w:val="24"/>
          <w:szCs w:val="24"/>
        </w:rPr>
        <w:t>územnej samosprávy</w:t>
      </w:r>
      <w:r w:rsidRPr="00E826A0">
        <w:rPr>
          <w:b/>
          <w:sz w:val="24"/>
          <w:szCs w:val="24"/>
        </w:rPr>
        <w:t xml:space="preserve"> </w:t>
      </w:r>
      <w:r w:rsidRPr="00E826A0">
        <w:rPr>
          <w:sz w:val="24"/>
          <w:szCs w:val="24"/>
        </w:rPr>
        <w:t xml:space="preserve">dosiahli hotovostný </w:t>
      </w:r>
      <w:r>
        <w:rPr>
          <w:sz w:val="24"/>
          <w:szCs w:val="24"/>
        </w:rPr>
        <w:t>schod</w:t>
      </w:r>
      <w:r w:rsidRPr="00E826A0">
        <w:rPr>
          <w:sz w:val="24"/>
          <w:szCs w:val="24"/>
        </w:rPr>
        <w:t xml:space="preserve">ok na úrovni 4 752 tis. eur, čo bolo o 5 045 tis. eur viac ako sa predpokladalo v rozpočte. Pozitívny vplyv predstavovali vyššie príjmy najmä z administratívnych a iných poplatkov o 53 930 tis. eur (najmä za lekárske výkony a poskytnutú zdravotnú starostlivosť) a zároveň pozitívny vplyv mali vyššie príjmy o 9 741 tis. eur v kategórii granty a transfery. </w:t>
      </w:r>
      <w:r w:rsidRPr="002346DB">
        <w:rPr>
          <w:sz w:val="24"/>
          <w:szCs w:val="24"/>
        </w:rPr>
        <w:t xml:space="preserve">V rámci bežných výdavkov vzrástli oproti rozpočtu výdavky na </w:t>
      </w:r>
      <w:r>
        <w:rPr>
          <w:sz w:val="24"/>
          <w:szCs w:val="24"/>
        </w:rPr>
        <w:t>mzdy o 26 620 tis. </w:t>
      </w:r>
      <w:r w:rsidRPr="002346DB">
        <w:rPr>
          <w:sz w:val="24"/>
          <w:szCs w:val="24"/>
        </w:rPr>
        <w:t>eur, na tovary a služby</w:t>
      </w:r>
      <w:r>
        <w:rPr>
          <w:sz w:val="24"/>
          <w:szCs w:val="24"/>
        </w:rPr>
        <w:t xml:space="preserve"> o 18 786 tis. </w:t>
      </w:r>
      <w:r w:rsidRPr="002346DB">
        <w:rPr>
          <w:sz w:val="24"/>
          <w:szCs w:val="24"/>
        </w:rPr>
        <w:t xml:space="preserve">eur (vzrástli najmä výdavky na obstaranie zdravotníckeho a špeciálneho materiálu, všeobecné služby a taktiež aj </w:t>
      </w:r>
      <w:r>
        <w:rPr>
          <w:sz w:val="24"/>
          <w:szCs w:val="24"/>
        </w:rPr>
        <w:t xml:space="preserve">vzrástli aj </w:t>
      </w:r>
      <w:r w:rsidRPr="002346DB">
        <w:rPr>
          <w:sz w:val="24"/>
          <w:szCs w:val="24"/>
        </w:rPr>
        <w:t>výdavky na energie a</w:t>
      </w:r>
      <w:r>
        <w:rPr>
          <w:sz w:val="24"/>
          <w:szCs w:val="24"/>
        </w:rPr>
        <w:t xml:space="preserve"> nákup </w:t>
      </w:r>
      <w:r w:rsidRPr="002346DB">
        <w:rPr>
          <w:sz w:val="24"/>
          <w:szCs w:val="24"/>
        </w:rPr>
        <w:t>potrav</w:t>
      </w:r>
      <w:r>
        <w:rPr>
          <w:sz w:val="24"/>
          <w:szCs w:val="24"/>
        </w:rPr>
        <w:t>ín</w:t>
      </w:r>
      <w:r w:rsidRPr="002346DB">
        <w:rPr>
          <w:sz w:val="24"/>
          <w:szCs w:val="24"/>
        </w:rPr>
        <w:t>). Vyššie čerpanie kapitálových výdavkov zhoršilo hospodárenie o 13</w:t>
      </w:r>
      <w:r>
        <w:rPr>
          <w:sz w:val="24"/>
          <w:szCs w:val="24"/>
        </w:rPr>
        <w:t> 527 tis. </w:t>
      </w:r>
      <w:r w:rsidRPr="002346DB">
        <w:rPr>
          <w:sz w:val="24"/>
          <w:szCs w:val="24"/>
        </w:rPr>
        <w:t>eur oproti rozpočtu. Išlo predovšetkým o výdavky na obstaranie nového prístrojového vybavenia zdravotníckych zariadení, na rekonštrukciu, stavebné úpravy a modernizáciu priestorov a budov zdravotníckych zariadení.</w:t>
      </w:r>
    </w:p>
    <w:p w14:paraId="432AB5E8" w14:textId="13964174" w:rsidR="004C6700" w:rsidRDefault="004C6700" w:rsidP="004C6700">
      <w:pPr>
        <w:spacing w:line="240" w:lineRule="auto"/>
        <w:rPr>
          <w:sz w:val="24"/>
          <w:szCs w:val="24"/>
        </w:rPr>
      </w:pPr>
      <w:r w:rsidRPr="00C52865">
        <w:rPr>
          <w:sz w:val="24"/>
          <w:szCs w:val="24"/>
        </w:rPr>
        <w:t xml:space="preserve">V metodike ESA zdravotnícke zariadenia dosiahli schodok vo výške 13 352 tis. eur, zatiaľ čo rozpočtovaný bol prebytok vo výške 293 tis. eur (dosiahli zhoršenie hospodárenia o 13 3645 tis. eur). </w:t>
      </w:r>
      <w:r>
        <w:rPr>
          <w:sz w:val="24"/>
          <w:szCs w:val="24"/>
        </w:rPr>
        <w:t>Negatí</w:t>
      </w:r>
      <w:r w:rsidRPr="0040141A">
        <w:rPr>
          <w:sz w:val="24"/>
          <w:szCs w:val="24"/>
        </w:rPr>
        <w:t>vny vplyv na celkové hospodárenie podľa ESA malo akruálne zaznamenanie výdavkov na stabilizačný príspevok</w:t>
      </w:r>
      <w:r>
        <w:rPr>
          <w:sz w:val="24"/>
          <w:szCs w:val="24"/>
        </w:rPr>
        <w:t xml:space="preserve"> vo výške 5 510 tis. eur</w:t>
      </w:r>
      <w:r w:rsidRPr="0040141A">
        <w:rPr>
          <w:sz w:val="24"/>
          <w:szCs w:val="24"/>
        </w:rPr>
        <w:t>, obdobne ako pri</w:t>
      </w:r>
      <w:r w:rsidR="007D57AB">
        <w:rPr>
          <w:sz w:val="24"/>
          <w:szCs w:val="24"/>
        </w:rPr>
        <w:t> </w:t>
      </w:r>
      <w:r w:rsidRPr="0040141A">
        <w:rPr>
          <w:sz w:val="24"/>
          <w:szCs w:val="24"/>
        </w:rPr>
        <w:t xml:space="preserve">zdravotníckych zariadeniach ústrednej správy. </w:t>
      </w:r>
    </w:p>
    <w:p w14:paraId="5891608B" w14:textId="77777777" w:rsidR="004C6700" w:rsidRPr="00092ACB" w:rsidRDefault="004C6700" w:rsidP="004C6700">
      <w:pPr>
        <w:spacing w:line="240" w:lineRule="auto"/>
        <w:rPr>
          <w:sz w:val="24"/>
          <w:szCs w:val="24"/>
          <w:highlight w:val="yellow"/>
        </w:rPr>
      </w:pPr>
      <w:r w:rsidRPr="0040141A">
        <w:rPr>
          <w:sz w:val="24"/>
          <w:szCs w:val="24"/>
        </w:rPr>
        <w:t xml:space="preserve">Pozitívny vplyv mal aj nárast pohľadávok o 5 493 tis. eur </w:t>
      </w:r>
      <w:r>
        <w:rPr>
          <w:sz w:val="24"/>
          <w:szCs w:val="24"/>
        </w:rPr>
        <w:t>a nárast</w:t>
      </w:r>
      <w:r w:rsidRPr="00D1115A">
        <w:rPr>
          <w:sz w:val="24"/>
          <w:szCs w:val="24"/>
        </w:rPr>
        <w:t xml:space="preserve"> celkových záväzkov o 8 505 tis. eur. V príspevkových organizáciách zriadených VÚC, ktoré tvoria najväčšiu skupinu </w:t>
      </w:r>
      <w:r w:rsidRPr="00FC71EF">
        <w:rPr>
          <w:sz w:val="24"/>
          <w:szCs w:val="24"/>
        </w:rPr>
        <w:t>zdravotníckych zariadení miestnych z pohľadu právnej formy, došlo medziročne k nárastu záväzkov o 7 981 tis. eur. Išlo</w:t>
      </w:r>
      <w:r w:rsidRPr="005E0E58">
        <w:rPr>
          <w:sz w:val="24"/>
          <w:szCs w:val="24"/>
        </w:rPr>
        <w:t xml:space="preserve"> predovšetkým o nárast záväzkov voči orgánom sociálneho a zdravotného poistenia (najm</w:t>
      </w:r>
      <w:r>
        <w:rPr>
          <w:sz w:val="24"/>
          <w:szCs w:val="24"/>
        </w:rPr>
        <w:t>ä voči Sociálnej poisťovni) o 11</w:t>
      </w:r>
      <w:r w:rsidRPr="005E0E58">
        <w:rPr>
          <w:sz w:val="24"/>
          <w:szCs w:val="24"/>
        </w:rPr>
        <w:t> </w:t>
      </w:r>
      <w:r>
        <w:rPr>
          <w:sz w:val="24"/>
          <w:szCs w:val="24"/>
        </w:rPr>
        <w:t>008</w:t>
      </w:r>
      <w:r w:rsidRPr="005E0E58">
        <w:rPr>
          <w:sz w:val="24"/>
          <w:szCs w:val="24"/>
        </w:rPr>
        <w:t> tis. eur. Aj napriek vplyvu oddlžovania voči ostatným veriteľom v roku 2023, kedy došlo k poklesu záväzkov o</w:t>
      </w:r>
      <w:r>
        <w:rPr>
          <w:sz w:val="24"/>
          <w:szCs w:val="24"/>
        </w:rPr>
        <w:t> 1</w:t>
      </w:r>
      <w:r w:rsidRPr="005E0E58">
        <w:rPr>
          <w:sz w:val="24"/>
          <w:szCs w:val="24"/>
        </w:rPr>
        <w:t> </w:t>
      </w:r>
      <w:r>
        <w:rPr>
          <w:sz w:val="24"/>
          <w:szCs w:val="24"/>
        </w:rPr>
        <w:t>648</w:t>
      </w:r>
      <w:r w:rsidRPr="005E0E58">
        <w:rPr>
          <w:sz w:val="24"/>
          <w:szCs w:val="24"/>
        </w:rPr>
        <w:t> tis. eur, došlo k medziročnému nárastu záväzkov voči dodávateľom o</w:t>
      </w:r>
      <w:r>
        <w:rPr>
          <w:sz w:val="24"/>
          <w:szCs w:val="24"/>
        </w:rPr>
        <w:t> 885</w:t>
      </w:r>
      <w:r w:rsidRPr="005E0E58">
        <w:rPr>
          <w:sz w:val="24"/>
          <w:szCs w:val="24"/>
        </w:rPr>
        <w:t> tis. eur.</w:t>
      </w:r>
    </w:p>
    <w:tbl>
      <w:tblPr>
        <w:tblW w:w="9236" w:type="dxa"/>
        <w:tblCellMar>
          <w:left w:w="70" w:type="dxa"/>
          <w:right w:w="70" w:type="dxa"/>
        </w:tblCellMar>
        <w:tblLook w:val="04A0" w:firstRow="1" w:lastRow="0" w:firstColumn="1" w:lastColumn="0" w:noHBand="0" w:noVBand="1"/>
      </w:tblPr>
      <w:tblGrid>
        <w:gridCol w:w="223"/>
        <w:gridCol w:w="223"/>
        <w:gridCol w:w="2882"/>
        <w:gridCol w:w="1165"/>
        <w:gridCol w:w="1164"/>
        <w:gridCol w:w="1209"/>
        <w:gridCol w:w="1167"/>
        <w:gridCol w:w="1117"/>
        <w:gridCol w:w="86"/>
      </w:tblGrid>
      <w:tr w:rsidR="004C6700" w:rsidRPr="003F677D" w14:paraId="758CFB22" w14:textId="77777777" w:rsidTr="00836EB5">
        <w:trPr>
          <w:gridAfter w:val="1"/>
          <w:wAfter w:w="86" w:type="dxa"/>
          <w:trHeight w:val="331"/>
          <w:tblHeader/>
        </w:trPr>
        <w:tc>
          <w:tcPr>
            <w:tcW w:w="9150" w:type="dxa"/>
            <w:gridSpan w:val="8"/>
            <w:tcBorders>
              <w:top w:val="nil"/>
              <w:left w:val="nil"/>
              <w:bottom w:val="single" w:sz="4" w:space="0" w:color="auto"/>
              <w:right w:val="nil"/>
            </w:tcBorders>
            <w:shd w:val="clear" w:color="auto" w:fill="auto"/>
            <w:noWrap/>
            <w:vAlign w:val="center"/>
            <w:hideMark/>
          </w:tcPr>
          <w:p w14:paraId="5C31977A" w14:textId="77777777" w:rsidR="004C6700" w:rsidRPr="003F677D" w:rsidRDefault="004C6700" w:rsidP="00691349">
            <w:pPr>
              <w:spacing w:line="240" w:lineRule="auto"/>
              <w:jc w:val="left"/>
              <w:rPr>
                <w:rFonts w:eastAsia="Times New Roman" w:cs="Times New Roman"/>
                <w:b/>
                <w:bCs/>
                <w:color w:val="5B9BD5"/>
                <w:sz w:val="20"/>
                <w:szCs w:val="20"/>
                <w:lang w:eastAsia="sk-SK"/>
              </w:rPr>
            </w:pPr>
            <w:r>
              <w:rPr>
                <w:rFonts w:eastAsia="Times New Roman" w:cs="Times New Roman"/>
                <w:b/>
                <w:bCs/>
                <w:color w:val="5B9BD5"/>
                <w:sz w:val="20"/>
                <w:szCs w:val="20"/>
                <w:lang w:eastAsia="sk-SK"/>
              </w:rPr>
              <w:lastRenderedPageBreak/>
              <w:t>Tabuľka 11</w:t>
            </w:r>
            <w:r w:rsidRPr="003F677D">
              <w:rPr>
                <w:rFonts w:eastAsia="Times New Roman" w:cs="Times New Roman"/>
                <w:b/>
                <w:bCs/>
                <w:color w:val="5B9BD5"/>
                <w:sz w:val="20"/>
                <w:szCs w:val="20"/>
                <w:lang w:eastAsia="sk-SK"/>
              </w:rPr>
              <w:t xml:space="preserve"> - Schodok verejnej správy podľa jednotlivých subjektov (zložiek)</w:t>
            </w:r>
          </w:p>
        </w:tc>
      </w:tr>
      <w:tr w:rsidR="004C6700" w:rsidRPr="00691349" w14:paraId="03DF9EC1" w14:textId="77777777" w:rsidTr="00836EB5">
        <w:trPr>
          <w:trHeight w:val="331"/>
          <w:tblHeader/>
        </w:trPr>
        <w:tc>
          <w:tcPr>
            <w:tcW w:w="3328" w:type="dxa"/>
            <w:gridSpan w:val="3"/>
            <w:vMerge w:val="restart"/>
            <w:tcBorders>
              <w:top w:val="single" w:sz="4" w:space="0" w:color="auto"/>
              <w:left w:val="nil"/>
              <w:bottom w:val="single" w:sz="4" w:space="0" w:color="000000"/>
              <w:right w:val="nil"/>
            </w:tcBorders>
            <w:shd w:val="clear" w:color="auto" w:fill="auto"/>
            <w:noWrap/>
            <w:vAlign w:val="center"/>
            <w:hideMark/>
          </w:tcPr>
          <w:p w14:paraId="3C8B430F" w14:textId="77777777" w:rsidR="004C6700" w:rsidRPr="00691349" w:rsidRDefault="004C6700" w:rsidP="00836EB5">
            <w:pPr>
              <w:spacing w:after="0" w:line="240" w:lineRule="auto"/>
              <w:jc w:val="left"/>
              <w:rPr>
                <w:rFonts w:eastAsia="Times New Roman" w:cs="Times New Roman"/>
                <w:b/>
                <w:bCs/>
                <w:sz w:val="18"/>
                <w:szCs w:val="18"/>
                <w:lang w:eastAsia="sk-SK"/>
              </w:rPr>
            </w:pPr>
            <w:r w:rsidRPr="00691349">
              <w:rPr>
                <w:rFonts w:eastAsia="Times New Roman" w:cs="Times New Roman"/>
                <w:b/>
                <w:bCs/>
                <w:sz w:val="18"/>
                <w:szCs w:val="18"/>
                <w:lang w:eastAsia="sk-SK"/>
              </w:rPr>
              <w:t>v tis. eur</w:t>
            </w:r>
          </w:p>
        </w:tc>
        <w:tc>
          <w:tcPr>
            <w:tcW w:w="1165" w:type="dxa"/>
            <w:tcBorders>
              <w:top w:val="single" w:sz="4" w:space="0" w:color="auto"/>
              <w:left w:val="nil"/>
              <w:bottom w:val="nil"/>
              <w:right w:val="nil"/>
            </w:tcBorders>
            <w:shd w:val="clear" w:color="auto" w:fill="auto"/>
            <w:noWrap/>
            <w:vAlign w:val="center"/>
            <w:hideMark/>
          </w:tcPr>
          <w:p w14:paraId="45986C18" w14:textId="77777777" w:rsidR="004C6700" w:rsidRPr="00691349" w:rsidRDefault="004C6700" w:rsidP="00836EB5">
            <w:pPr>
              <w:spacing w:after="0" w:line="240" w:lineRule="auto"/>
              <w:jc w:val="center"/>
              <w:rPr>
                <w:rFonts w:eastAsia="Times New Roman" w:cs="Times New Roman"/>
                <w:b/>
                <w:bCs/>
                <w:sz w:val="18"/>
                <w:szCs w:val="18"/>
                <w:lang w:eastAsia="sk-SK"/>
              </w:rPr>
            </w:pPr>
            <w:r w:rsidRPr="00691349">
              <w:rPr>
                <w:rFonts w:eastAsia="Times New Roman" w:cs="Times New Roman"/>
                <w:b/>
                <w:bCs/>
                <w:sz w:val="18"/>
                <w:szCs w:val="18"/>
                <w:lang w:eastAsia="sk-SK"/>
              </w:rPr>
              <w:t>2021 S</w:t>
            </w:r>
          </w:p>
        </w:tc>
        <w:tc>
          <w:tcPr>
            <w:tcW w:w="1164" w:type="dxa"/>
            <w:tcBorders>
              <w:top w:val="single" w:sz="4" w:space="0" w:color="auto"/>
              <w:left w:val="nil"/>
              <w:bottom w:val="nil"/>
              <w:right w:val="nil"/>
            </w:tcBorders>
            <w:shd w:val="clear" w:color="auto" w:fill="auto"/>
            <w:noWrap/>
            <w:vAlign w:val="center"/>
            <w:hideMark/>
          </w:tcPr>
          <w:p w14:paraId="03779FCD" w14:textId="77777777" w:rsidR="004C6700" w:rsidRPr="00691349" w:rsidRDefault="004C6700" w:rsidP="00836EB5">
            <w:pPr>
              <w:spacing w:after="0" w:line="240" w:lineRule="auto"/>
              <w:jc w:val="center"/>
              <w:rPr>
                <w:rFonts w:eastAsia="Times New Roman" w:cs="Times New Roman"/>
                <w:b/>
                <w:bCs/>
                <w:sz w:val="18"/>
                <w:szCs w:val="18"/>
                <w:lang w:eastAsia="sk-SK"/>
              </w:rPr>
            </w:pPr>
            <w:r w:rsidRPr="00691349">
              <w:rPr>
                <w:rFonts w:eastAsia="Times New Roman" w:cs="Times New Roman"/>
                <w:b/>
                <w:bCs/>
                <w:sz w:val="18"/>
                <w:szCs w:val="18"/>
                <w:lang w:eastAsia="sk-SK"/>
              </w:rPr>
              <w:t>2022 S</w:t>
            </w:r>
          </w:p>
        </w:tc>
        <w:tc>
          <w:tcPr>
            <w:tcW w:w="1209" w:type="dxa"/>
            <w:tcBorders>
              <w:top w:val="single" w:sz="4" w:space="0" w:color="auto"/>
              <w:left w:val="nil"/>
              <w:bottom w:val="nil"/>
              <w:right w:val="nil"/>
            </w:tcBorders>
            <w:shd w:val="clear" w:color="auto" w:fill="auto"/>
            <w:noWrap/>
            <w:vAlign w:val="center"/>
            <w:hideMark/>
          </w:tcPr>
          <w:p w14:paraId="1F3A2F1A" w14:textId="77777777" w:rsidR="004C6700" w:rsidRPr="00691349" w:rsidRDefault="004C6700" w:rsidP="00836EB5">
            <w:pPr>
              <w:spacing w:after="0" w:line="240" w:lineRule="auto"/>
              <w:jc w:val="center"/>
              <w:rPr>
                <w:rFonts w:eastAsia="Times New Roman" w:cs="Times New Roman"/>
                <w:b/>
                <w:bCs/>
                <w:sz w:val="18"/>
                <w:szCs w:val="18"/>
                <w:lang w:eastAsia="sk-SK"/>
              </w:rPr>
            </w:pPr>
            <w:r w:rsidRPr="00691349">
              <w:rPr>
                <w:rFonts w:eastAsia="Times New Roman" w:cs="Times New Roman"/>
                <w:b/>
                <w:bCs/>
                <w:sz w:val="18"/>
                <w:szCs w:val="18"/>
                <w:lang w:eastAsia="sk-SK"/>
              </w:rPr>
              <w:t>2023 R</w:t>
            </w:r>
          </w:p>
        </w:tc>
        <w:tc>
          <w:tcPr>
            <w:tcW w:w="1167" w:type="dxa"/>
            <w:tcBorders>
              <w:top w:val="nil"/>
              <w:left w:val="nil"/>
              <w:bottom w:val="nil"/>
              <w:right w:val="nil"/>
            </w:tcBorders>
            <w:shd w:val="clear" w:color="auto" w:fill="auto"/>
            <w:noWrap/>
            <w:vAlign w:val="center"/>
            <w:hideMark/>
          </w:tcPr>
          <w:p w14:paraId="162DB1B2" w14:textId="77777777" w:rsidR="004C6700" w:rsidRPr="00691349" w:rsidRDefault="004C6700" w:rsidP="00836EB5">
            <w:pPr>
              <w:spacing w:after="0" w:line="240" w:lineRule="auto"/>
              <w:jc w:val="center"/>
              <w:rPr>
                <w:rFonts w:eastAsia="Times New Roman" w:cs="Times New Roman"/>
                <w:b/>
                <w:bCs/>
                <w:sz w:val="18"/>
                <w:szCs w:val="18"/>
                <w:lang w:eastAsia="sk-SK"/>
              </w:rPr>
            </w:pPr>
            <w:r w:rsidRPr="00691349">
              <w:rPr>
                <w:rFonts w:eastAsia="Times New Roman" w:cs="Times New Roman"/>
                <w:b/>
                <w:bCs/>
                <w:sz w:val="18"/>
                <w:szCs w:val="18"/>
                <w:lang w:eastAsia="sk-SK"/>
              </w:rPr>
              <w:t>2023 S</w:t>
            </w:r>
          </w:p>
        </w:tc>
        <w:tc>
          <w:tcPr>
            <w:tcW w:w="1203" w:type="dxa"/>
            <w:gridSpan w:val="2"/>
            <w:tcBorders>
              <w:top w:val="single" w:sz="4" w:space="0" w:color="auto"/>
              <w:left w:val="nil"/>
              <w:bottom w:val="nil"/>
              <w:right w:val="nil"/>
            </w:tcBorders>
            <w:shd w:val="clear" w:color="auto" w:fill="auto"/>
            <w:noWrap/>
            <w:vAlign w:val="center"/>
            <w:hideMark/>
          </w:tcPr>
          <w:p w14:paraId="7206A472" w14:textId="77777777" w:rsidR="004C6700" w:rsidRPr="00691349" w:rsidRDefault="004C6700" w:rsidP="00836EB5">
            <w:pPr>
              <w:spacing w:after="0" w:line="240" w:lineRule="auto"/>
              <w:jc w:val="center"/>
              <w:rPr>
                <w:rFonts w:eastAsia="Times New Roman" w:cs="Times New Roman"/>
                <w:b/>
                <w:bCs/>
                <w:sz w:val="18"/>
                <w:szCs w:val="18"/>
                <w:lang w:eastAsia="sk-SK"/>
              </w:rPr>
            </w:pPr>
            <w:r w:rsidRPr="00691349">
              <w:rPr>
                <w:rFonts w:eastAsia="Times New Roman" w:cs="Times New Roman"/>
                <w:b/>
                <w:bCs/>
                <w:sz w:val="18"/>
                <w:szCs w:val="18"/>
                <w:lang w:eastAsia="sk-SK"/>
              </w:rPr>
              <w:t>Rozdiel</w:t>
            </w:r>
          </w:p>
        </w:tc>
      </w:tr>
      <w:tr w:rsidR="004C6700" w:rsidRPr="00691349" w14:paraId="3FE967D3" w14:textId="77777777" w:rsidTr="00836EB5">
        <w:trPr>
          <w:trHeight w:val="331"/>
          <w:tblHeader/>
        </w:trPr>
        <w:tc>
          <w:tcPr>
            <w:tcW w:w="3328" w:type="dxa"/>
            <w:gridSpan w:val="3"/>
            <w:vMerge/>
            <w:tcBorders>
              <w:top w:val="single" w:sz="4" w:space="0" w:color="auto"/>
              <w:left w:val="nil"/>
              <w:bottom w:val="single" w:sz="4" w:space="0" w:color="000000"/>
              <w:right w:val="nil"/>
            </w:tcBorders>
            <w:vAlign w:val="center"/>
            <w:hideMark/>
          </w:tcPr>
          <w:p w14:paraId="34DA16F9" w14:textId="77777777" w:rsidR="004C6700" w:rsidRPr="00691349" w:rsidRDefault="004C6700" w:rsidP="00836EB5">
            <w:pPr>
              <w:spacing w:after="0" w:line="240" w:lineRule="auto"/>
              <w:jc w:val="left"/>
              <w:rPr>
                <w:rFonts w:eastAsia="Times New Roman" w:cs="Times New Roman"/>
                <w:b/>
                <w:bCs/>
                <w:sz w:val="18"/>
                <w:szCs w:val="18"/>
                <w:lang w:eastAsia="sk-SK"/>
              </w:rPr>
            </w:pPr>
          </w:p>
        </w:tc>
        <w:tc>
          <w:tcPr>
            <w:tcW w:w="1165" w:type="dxa"/>
            <w:tcBorders>
              <w:top w:val="nil"/>
              <w:left w:val="nil"/>
              <w:bottom w:val="single" w:sz="4" w:space="0" w:color="auto"/>
              <w:right w:val="nil"/>
            </w:tcBorders>
            <w:shd w:val="clear" w:color="auto" w:fill="auto"/>
            <w:noWrap/>
            <w:vAlign w:val="center"/>
            <w:hideMark/>
          </w:tcPr>
          <w:p w14:paraId="2DB02586" w14:textId="77777777" w:rsidR="004C6700" w:rsidRPr="00691349" w:rsidRDefault="004C6700" w:rsidP="00836EB5">
            <w:pPr>
              <w:spacing w:after="0" w:line="240" w:lineRule="auto"/>
              <w:jc w:val="center"/>
              <w:rPr>
                <w:rFonts w:eastAsia="Times New Roman" w:cs="Times New Roman"/>
                <w:b/>
                <w:bCs/>
                <w:sz w:val="18"/>
                <w:szCs w:val="18"/>
                <w:lang w:eastAsia="sk-SK"/>
              </w:rPr>
            </w:pPr>
            <w:r w:rsidRPr="00691349">
              <w:rPr>
                <w:rFonts w:eastAsia="Times New Roman" w:cs="Times New Roman"/>
                <w:b/>
                <w:bCs/>
                <w:sz w:val="18"/>
                <w:szCs w:val="18"/>
                <w:lang w:eastAsia="sk-SK"/>
              </w:rPr>
              <w:t>1</w:t>
            </w:r>
          </w:p>
        </w:tc>
        <w:tc>
          <w:tcPr>
            <w:tcW w:w="1164" w:type="dxa"/>
            <w:tcBorders>
              <w:top w:val="nil"/>
              <w:left w:val="nil"/>
              <w:bottom w:val="single" w:sz="4" w:space="0" w:color="auto"/>
              <w:right w:val="nil"/>
            </w:tcBorders>
            <w:shd w:val="clear" w:color="auto" w:fill="auto"/>
            <w:noWrap/>
            <w:vAlign w:val="center"/>
            <w:hideMark/>
          </w:tcPr>
          <w:p w14:paraId="599C6211" w14:textId="77777777" w:rsidR="004C6700" w:rsidRPr="00691349" w:rsidRDefault="004C6700" w:rsidP="00836EB5">
            <w:pPr>
              <w:spacing w:after="0" w:line="240" w:lineRule="auto"/>
              <w:jc w:val="center"/>
              <w:rPr>
                <w:rFonts w:eastAsia="Times New Roman" w:cs="Times New Roman"/>
                <w:b/>
                <w:bCs/>
                <w:sz w:val="18"/>
                <w:szCs w:val="18"/>
                <w:lang w:eastAsia="sk-SK"/>
              </w:rPr>
            </w:pPr>
            <w:r w:rsidRPr="00691349">
              <w:rPr>
                <w:rFonts w:eastAsia="Times New Roman" w:cs="Times New Roman"/>
                <w:b/>
                <w:bCs/>
                <w:sz w:val="18"/>
                <w:szCs w:val="18"/>
                <w:lang w:eastAsia="sk-SK"/>
              </w:rPr>
              <w:t>2</w:t>
            </w:r>
          </w:p>
        </w:tc>
        <w:tc>
          <w:tcPr>
            <w:tcW w:w="1209" w:type="dxa"/>
            <w:tcBorders>
              <w:top w:val="nil"/>
              <w:left w:val="nil"/>
              <w:bottom w:val="single" w:sz="4" w:space="0" w:color="auto"/>
              <w:right w:val="nil"/>
            </w:tcBorders>
            <w:shd w:val="clear" w:color="auto" w:fill="auto"/>
            <w:noWrap/>
            <w:vAlign w:val="center"/>
            <w:hideMark/>
          </w:tcPr>
          <w:p w14:paraId="5F6AFE97" w14:textId="77777777" w:rsidR="004C6700" w:rsidRPr="00691349" w:rsidRDefault="004C6700" w:rsidP="00836EB5">
            <w:pPr>
              <w:spacing w:after="0" w:line="240" w:lineRule="auto"/>
              <w:jc w:val="center"/>
              <w:rPr>
                <w:rFonts w:eastAsia="Times New Roman" w:cs="Times New Roman"/>
                <w:b/>
                <w:bCs/>
                <w:sz w:val="18"/>
                <w:szCs w:val="18"/>
                <w:lang w:eastAsia="sk-SK"/>
              </w:rPr>
            </w:pPr>
            <w:r w:rsidRPr="00691349">
              <w:rPr>
                <w:rFonts w:eastAsia="Times New Roman" w:cs="Times New Roman"/>
                <w:b/>
                <w:bCs/>
                <w:sz w:val="18"/>
                <w:szCs w:val="18"/>
                <w:lang w:eastAsia="sk-SK"/>
              </w:rPr>
              <w:t>3</w:t>
            </w:r>
          </w:p>
        </w:tc>
        <w:tc>
          <w:tcPr>
            <w:tcW w:w="1167" w:type="dxa"/>
            <w:tcBorders>
              <w:top w:val="nil"/>
              <w:left w:val="nil"/>
              <w:bottom w:val="single" w:sz="4" w:space="0" w:color="auto"/>
              <w:right w:val="nil"/>
            </w:tcBorders>
            <w:shd w:val="clear" w:color="auto" w:fill="auto"/>
            <w:noWrap/>
            <w:vAlign w:val="center"/>
            <w:hideMark/>
          </w:tcPr>
          <w:p w14:paraId="26B5CD96" w14:textId="77777777" w:rsidR="004C6700" w:rsidRPr="00691349" w:rsidRDefault="004C6700" w:rsidP="00836EB5">
            <w:pPr>
              <w:spacing w:after="0" w:line="240" w:lineRule="auto"/>
              <w:jc w:val="center"/>
              <w:rPr>
                <w:rFonts w:eastAsia="Times New Roman" w:cs="Times New Roman"/>
                <w:b/>
                <w:bCs/>
                <w:sz w:val="18"/>
                <w:szCs w:val="18"/>
                <w:lang w:eastAsia="sk-SK"/>
              </w:rPr>
            </w:pPr>
            <w:r w:rsidRPr="00691349">
              <w:rPr>
                <w:rFonts w:eastAsia="Times New Roman" w:cs="Times New Roman"/>
                <w:b/>
                <w:bCs/>
                <w:sz w:val="18"/>
                <w:szCs w:val="18"/>
                <w:lang w:eastAsia="sk-SK"/>
              </w:rPr>
              <w:t>4</w:t>
            </w:r>
          </w:p>
        </w:tc>
        <w:tc>
          <w:tcPr>
            <w:tcW w:w="1203" w:type="dxa"/>
            <w:gridSpan w:val="2"/>
            <w:tcBorders>
              <w:top w:val="nil"/>
              <w:left w:val="nil"/>
              <w:bottom w:val="single" w:sz="4" w:space="0" w:color="auto"/>
              <w:right w:val="nil"/>
            </w:tcBorders>
            <w:shd w:val="clear" w:color="auto" w:fill="auto"/>
            <w:noWrap/>
            <w:vAlign w:val="center"/>
            <w:hideMark/>
          </w:tcPr>
          <w:p w14:paraId="279CA818" w14:textId="77777777" w:rsidR="004C6700" w:rsidRPr="00691349" w:rsidRDefault="004C6700" w:rsidP="00836EB5">
            <w:pPr>
              <w:spacing w:after="0" w:line="240" w:lineRule="auto"/>
              <w:jc w:val="center"/>
              <w:rPr>
                <w:rFonts w:eastAsia="Times New Roman" w:cs="Times New Roman"/>
                <w:b/>
                <w:bCs/>
                <w:sz w:val="18"/>
                <w:szCs w:val="18"/>
                <w:lang w:eastAsia="sk-SK"/>
              </w:rPr>
            </w:pPr>
            <w:r w:rsidRPr="00691349">
              <w:rPr>
                <w:rFonts w:eastAsia="Times New Roman" w:cs="Times New Roman"/>
                <w:b/>
                <w:bCs/>
                <w:sz w:val="18"/>
                <w:szCs w:val="18"/>
                <w:lang w:eastAsia="sk-SK"/>
              </w:rPr>
              <w:t>5=4-3</w:t>
            </w:r>
          </w:p>
        </w:tc>
      </w:tr>
      <w:tr w:rsidR="004C6700" w:rsidRPr="00691349" w14:paraId="7E4E0ED2" w14:textId="77777777" w:rsidTr="00836EB5">
        <w:trPr>
          <w:trHeight w:val="227"/>
        </w:trPr>
        <w:tc>
          <w:tcPr>
            <w:tcW w:w="3328" w:type="dxa"/>
            <w:gridSpan w:val="3"/>
            <w:tcBorders>
              <w:top w:val="nil"/>
              <w:left w:val="nil"/>
              <w:bottom w:val="nil"/>
              <w:right w:val="nil"/>
            </w:tcBorders>
            <w:shd w:val="clear" w:color="000000" w:fill="FFFFFF"/>
            <w:noWrap/>
            <w:hideMark/>
          </w:tcPr>
          <w:p w14:paraId="7840F1F3"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Ústredná správa, z toho</w:t>
            </w:r>
          </w:p>
        </w:tc>
        <w:tc>
          <w:tcPr>
            <w:tcW w:w="1165" w:type="dxa"/>
            <w:tcBorders>
              <w:top w:val="nil"/>
              <w:left w:val="nil"/>
              <w:bottom w:val="nil"/>
              <w:right w:val="nil"/>
            </w:tcBorders>
            <w:shd w:val="clear" w:color="000000" w:fill="FFFFFF"/>
            <w:noWrap/>
            <w:hideMark/>
          </w:tcPr>
          <w:p w14:paraId="6E8EF17C"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 </w:t>
            </w:r>
          </w:p>
        </w:tc>
        <w:tc>
          <w:tcPr>
            <w:tcW w:w="1164" w:type="dxa"/>
            <w:tcBorders>
              <w:top w:val="nil"/>
              <w:left w:val="nil"/>
              <w:bottom w:val="nil"/>
              <w:right w:val="nil"/>
            </w:tcBorders>
            <w:shd w:val="clear" w:color="000000" w:fill="FFFFFF"/>
            <w:noWrap/>
            <w:hideMark/>
          </w:tcPr>
          <w:p w14:paraId="7CD305C6"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 </w:t>
            </w:r>
          </w:p>
        </w:tc>
        <w:tc>
          <w:tcPr>
            <w:tcW w:w="1209" w:type="dxa"/>
            <w:tcBorders>
              <w:top w:val="nil"/>
              <w:left w:val="nil"/>
              <w:bottom w:val="nil"/>
              <w:right w:val="nil"/>
            </w:tcBorders>
            <w:shd w:val="clear" w:color="000000" w:fill="FFFFFF"/>
            <w:noWrap/>
            <w:hideMark/>
          </w:tcPr>
          <w:p w14:paraId="46917424"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 </w:t>
            </w:r>
          </w:p>
        </w:tc>
        <w:tc>
          <w:tcPr>
            <w:tcW w:w="1167" w:type="dxa"/>
            <w:tcBorders>
              <w:top w:val="nil"/>
              <w:left w:val="nil"/>
              <w:bottom w:val="nil"/>
              <w:right w:val="nil"/>
            </w:tcBorders>
            <w:shd w:val="clear" w:color="000000" w:fill="FFFFFF"/>
            <w:noWrap/>
            <w:hideMark/>
          </w:tcPr>
          <w:p w14:paraId="5521629E"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 </w:t>
            </w:r>
          </w:p>
        </w:tc>
        <w:tc>
          <w:tcPr>
            <w:tcW w:w="1203" w:type="dxa"/>
            <w:gridSpan w:val="2"/>
            <w:tcBorders>
              <w:top w:val="nil"/>
              <w:left w:val="nil"/>
              <w:bottom w:val="nil"/>
              <w:right w:val="nil"/>
            </w:tcBorders>
            <w:shd w:val="clear" w:color="000000" w:fill="FFFFFF"/>
            <w:noWrap/>
            <w:hideMark/>
          </w:tcPr>
          <w:p w14:paraId="7CD1238F"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 </w:t>
            </w:r>
          </w:p>
        </w:tc>
      </w:tr>
      <w:tr w:rsidR="004C6700" w:rsidRPr="00691349" w14:paraId="5A18F746" w14:textId="77777777" w:rsidTr="00836EB5">
        <w:trPr>
          <w:trHeight w:val="227"/>
        </w:trPr>
        <w:tc>
          <w:tcPr>
            <w:tcW w:w="223" w:type="dxa"/>
            <w:tcBorders>
              <w:top w:val="nil"/>
              <w:left w:val="nil"/>
              <w:bottom w:val="nil"/>
              <w:right w:val="nil"/>
            </w:tcBorders>
            <w:shd w:val="clear" w:color="000000" w:fill="FFFFFF"/>
            <w:noWrap/>
            <w:hideMark/>
          </w:tcPr>
          <w:p w14:paraId="139B8175"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 </w:t>
            </w:r>
          </w:p>
        </w:tc>
        <w:tc>
          <w:tcPr>
            <w:tcW w:w="3105" w:type="dxa"/>
            <w:gridSpan w:val="2"/>
            <w:tcBorders>
              <w:top w:val="nil"/>
              <w:left w:val="nil"/>
              <w:bottom w:val="nil"/>
              <w:right w:val="nil"/>
            </w:tcBorders>
            <w:shd w:val="clear" w:color="000000" w:fill="FFFFFF"/>
            <w:noWrap/>
            <w:hideMark/>
          </w:tcPr>
          <w:p w14:paraId="4FC22006" w14:textId="77777777" w:rsidR="004C6700" w:rsidRPr="00691349" w:rsidRDefault="004C6700" w:rsidP="00836EB5">
            <w:pPr>
              <w:spacing w:after="0" w:line="240" w:lineRule="auto"/>
              <w:ind w:right="924"/>
              <w:jc w:val="left"/>
              <w:rPr>
                <w:rFonts w:eastAsia="Times New Roman" w:cs="Times New Roman"/>
                <w:sz w:val="18"/>
                <w:szCs w:val="18"/>
                <w:lang w:eastAsia="sk-SK"/>
              </w:rPr>
            </w:pPr>
            <w:r w:rsidRPr="00691349">
              <w:rPr>
                <w:rFonts w:eastAsia="Times New Roman" w:cs="Times New Roman"/>
                <w:sz w:val="18"/>
                <w:szCs w:val="18"/>
                <w:lang w:eastAsia="sk-SK"/>
              </w:rPr>
              <w:t>Štátny rozpočet</w:t>
            </w:r>
            <w:r w:rsidRPr="00691349">
              <w:rPr>
                <w:rFonts w:eastAsia="Times New Roman" w:cs="Times New Roman"/>
                <w:sz w:val="18"/>
                <w:szCs w:val="18"/>
                <w:vertAlign w:val="superscript"/>
                <w:lang w:eastAsia="sk-SK"/>
              </w:rPr>
              <w:t>1</w:t>
            </w:r>
            <w:r w:rsidRPr="00691349">
              <w:rPr>
                <w:rFonts w:eastAsia="Times New Roman" w:cs="Times New Roman"/>
                <w:color w:val="000000"/>
                <w:sz w:val="18"/>
                <w:szCs w:val="18"/>
                <w:vertAlign w:val="superscript"/>
                <w:lang w:eastAsia="sk-SK"/>
              </w:rPr>
              <w:t>)</w:t>
            </w:r>
          </w:p>
        </w:tc>
        <w:tc>
          <w:tcPr>
            <w:tcW w:w="1165" w:type="dxa"/>
            <w:tcBorders>
              <w:top w:val="nil"/>
              <w:left w:val="nil"/>
              <w:bottom w:val="nil"/>
              <w:right w:val="nil"/>
            </w:tcBorders>
            <w:shd w:val="clear" w:color="000000" w:fill="FFFFFF"/>
            <w:noWrap/>
            <w:hideMark/>
          </w:tcPr>
          <w:p w14:paraId="65535AB2"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-6 181 562</w:t>
            </w:r>
          </w:p>
        </w:tc>
        <w:tc>
          <w:tcPr>
            <w:tcW w:w="1164" w:type="dxa"/>
            <w:tcBorders>
              <w:top w:val="nil"/>
              <w:left w:val="nil"/>
              <w:bottom w:val="nil"/>
              <w:right w:val="nil"/>
            </w:tcBorders>
            <w:shd w:val="clear" w:color="000000" w:fill="FFFFFF"/>
            <w:noWrap/>
            <w:hideMark/>
          </w:tcPr>
          <w:p w14:paraId="49CB5AAC"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-2 420 063</w:t>
            </w:r>
          </w:p>
        </w:tc>
        <w:tc>
          <w:tcPr>
            <w:tcW w:w="1209" w:type="dxa"/>
            <w:tcBorders>
              <w:top w:val="nil"/>
              <w:left w:val="nil"/>
              <w:bottom w:val="nil"/>
              <w:right w:val="nil"/>
            </w:tcBorders>
            <w:shd w:val="clear" w:color="000000" w:fill="FFFFFF"/>
            <w:noWrap/>
            <w:hideMark/>
          </w:tcPr>
          <w:p w14:paraId="19624391"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-7 505 086</w:t>
            </w:r>
          </w:p>
        </w:tc>
        <w:tc>
          <w:tcPr>
            <w:tcW w:w="1167" w:type="dxa"/>
            <w:tcBorders>
              <w:top w:val="nil"/>
              <w:left w:val="nil"/>
              <w:bottom w:val="nil"/>
              <w:right w:val="nil"/>
            </w:tcBorders>
            <w:shd w:val="clear" w:color="000000" w:fill="FFFFFF"/>
            <w:noWrap/>
            <w:hideMark/>
          </w:tcPr>
          <w:p w14:paraId="69C6C54D"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-6 628 026</w:t>
            </w:r>
          </w:p>
        </w:tc>
        <w:tc>
          <w:tcPr>
            <w:tcW w:w="1203" w:type="dxa"/>
            <w:gridSpan w:val="2"/>
            <w:tcBorders>
              <w:top w:val="nil"/>
              <w:left w:val="nil"/>
              <w:bottom w:val="nil"/>
              <w:right w:val="nil"/>
            </w:tcBorders>
            <w:shd w:val="clear" w:color="000000" w:fill="FFFFFF"/>
            <w:noWrap/>
            <w:hideMark/>
          </w:tcPr>
          <w:p w14:paraId="098BFA96"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877 060</w:t>
            </w:r>
          </w:p>
        </w:tc>
      </w:tr>
      <w:tr w:rsidR="004C6700" w:rsidRPr="00691349" w14:paraId="0769B2A1" w14:textId="77777777" w:rsidTr="00836EB5">
        <w:trPr>
          <w:trHeight w:val="227"/>
        </w:trPr>
        <w:tc>
          <w:tcPr>
            <w:tcW w:w="223" w:type="dxa"/>
            <w:tcBorders>
              <w:top w:val="nil"/>
              <w:left w:val="nil"/>
              <w:bottom w:val="nil"/>
              <w:right w:val="nil"/>
            </w:tcBorders>
            <w:shd w:val="clear" w:color="000000" w:fill="FFFFFF"/>
            <w:noWrap/>
            <w:hideMark/>
          </w:tcPr>
          <w:p w14:paraId="0AD32DC5"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 </w:t>
            </w:r>
          </w:p>
        </w:tc>
        <w:tc>
          <w:tcPr>
            <w:tcW w:w="3105" w:type="dxa"/>
            <w:gridSpan w:val="2"/>
            <w:tcBorders>
              <w:top w:val="nil"/>
              <w:left w:val="nil"/>
              <w:bottom w:val="nil"/>
              <w:right w:val="nil"/>
            </w:tcBorders>
            <w:shd w:val="clear" w:color="000000" w:fill="FFFFFF"/>
            <w:noWrap/>
            <w:hideMark/>
          </w:tcPr>
          <w:p w14:paraId="628FA346" w14:textId="77777777" w:rsidR="004C6700" w:rsidRPr="00691349" w:rsidRDefault="004C6700" w:rsidP="00836EB5">
            <w:pPr>
              <w:spacing w:after="0" w:line="240" w:lineRule="auto"/>
              <w:ind w:right="-27"/>
              <w:jc w:val="left"/>
              <w:rPr>
                <w:rFonts w:eastAsia="Times New Roman" w:cs="Times New Roman"/>
                <w:sz w:val="18"/>
                <w:szCs w:val="18"/>
                <w:lang w:eastAsia="sk-SK"/>
              </w:rPr>
            </w:pPr>
            <w:r w:rsidRPr="00691349">
              <w:rPr>
                <w:rFonts w:eastAsia="Times New Roman" w:cs="Times New Roman"/>
                <w:sz w:val="18"/>
                <w:szCs w:val="18"/>
                <w:lang w:eastAsia="sk-SK"/>
              </w:rPr>
              <w:t>Príspevkové organizácie ústrednej správy</w:t>
            </w:r>
          </w:p>
        </w:tc>
        <w:tc>
          <w:tcPr>
            <w:tcW w:w="1165" w:type="dxa"/>
            <w:tcBorders>
              <w:top w:val="nil"/>
              <w:left w:val="nil"/>
              <w:bottom w:val="nil"/>
              <w:right w:val="nil"/>
            </w:tcBorders>
            <w:shd w:val="clear" w:color="000000" w:fill="FFFFFF"/>
            <w:noWrap/>
            <w:hideMark/>
          </w:tcPr>
          <w:p w14:paraId="3B77A3EC"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-838</w:t>
            </w:r>
          </w:p>
        </w:tc>
        <w:tc>
          <w:tcPr>
            <w:tcW w:w="1164" w:type="dxa"/>
            <w:tcBorders>
              <w:top w:val="nil"/>
              <w:left w:val="nil"/>
              <w:bottom w:val="nil"/>
              <w:right w:val="nil"/>
            </w:tcBorders>
            <w:shd w:val="clear" w:color="000000" w:fill="FFFFFF"/>
            <w:noWrap/>
            <w:hideMark/>
          </w:tcPr>
          <w:p w14:paraId="77D8795C"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44 011</w:t>
            </w:r>
          </w:p>
        </w:tc>
        <w:tc>
          <w:tcPr>
            <w:tcW w:w="1209" w:type="dxa"/>
            <w:tcBorders>
              <w:top w:val="nil"/>
              <w:left w:val="nil"/>
              <w:bottom w:val="nil"/>
              <w:right w:val="nil"/>
            </w:tcBorders>
            <w:shd w:val="clear" w:color="000000" w:fill="FFFFFF"/>
            <w:noWrap/>
            <w:hideMark/>
          </w:tcPr>
          <w:p w14:paraId="46B4BC74"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-4 439</w:t>
            </w:r>
          </w:p>
        </w:tc>
        <w:tc>
          <w:tcPr>
            <w:tcW w:w="1167" w:type="dxa"/>
            <w:tcBorders>
              <w:top w:val="nil"/>
              <w:left w:val="nil"/>
              <w:bottom w:val="nil"/>
              <w:right w:val="nil"/>
            </w:tcBorders>
            <w:shd w:val="clear" w:color="000000" w:fill="FFFFFF"/>
            <w:noWrap/>
            <w:hideMark/>
          </w:tcPr>
          <w:p w14:paraId="1EAE75B3"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-2 013</w:t>
            </w:r>
          </w:p>
        </w:tc>
        <w:tc>
          <w:tcPr>
            <w:tcW w:w="1203" w:type="dxa"/>
            <w:gridSpan w:val="2"/>
            <w:tcBorders>
              <w:top w:val="nil"/>
              <w:left w:val="nil"/>
              <w:bottom w:val="nil"/>
              <w:right w:val="nil"/>
            </w:tcBorders>
            <w:shd w:val="clear" w:color="000000" w:fill="FFFFFF"/>
            <w:noWrap/>
            <w:hideMark/>
          </w:tcPr>
          <w:p w14:paraId="25E6196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2 426</w:t>
            </w:r>
          </w:p>
        </w:tc>
      </w:tr>
      <w:tr w:rsidR="004C6700" w:rsidRPr="00691349" w14:paraId="32C9BF45" w14:textId="77777777" w:rsidTr="00836EB5">
        <w:trPr>
          <w:trHeight w:val="227"/>
        </w:trPr>
        <w:tc>
          <w:tcPr>
            <w:tcW w:w="223" w:type="dxa"/>
            <w:tcBorders>
              <w:top w:val="nil"/>
              <w:left w:val="nil"/>
              <w:bottom w:val="nil"/>
              <w:right w:val="nil"/>
            </w:tcBorders>
            <w:shd w:val="clear" w:color="000000" w:fill="FFFFFF"/>
            <w:noWrap/>
            <w:hideMark/>
          </w:tcPr>
          <w:p w14:paraId="7CF68A06"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 </w:t>
            </w:r>
          </w:p>
        </w:tc>
        <w:tc>
          <w:tcPr>
            <w:tcW w:w="3105" w:type="dxa"/>
            <w:gridSpan w:val="2"/>
            <w:tcBorders>
              <w:top w:val="nil"/>
              <w:left w:val="nil"/>
              <w:bottom w:val="nil"/>
              <w:right w:val="nil"/>
            </w:tcBorders>
            <w:shd w:val="clear" w:color="000000" w:fill="FFFFFF"/>
            <w:noWrap/>
            <w:hideMark/>
          </w:tcPr>
          <w:p w14:paraId="191A0995"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Štátne fondy</w:t>
            </w:r>
          </w:p>
        </w:tc>
        <w:tc>
          <w:tcPr>
            <w:tcW w:w="1165" w:type="dxa"/>
            <w:tcBorders>
              <w:top w:val="nil"/>
              <w:left w:val="nil"/>
              <w:bottom w:val="nil"/>
              <w:right w:val="nil"/>
            </w:tcBorders>
            <w:shd w:val="clear" w:color="000000" w:fill="FFFFFF"/>
            <w:noWrap/>
            <w:hideMark/>
          </w:tcPr>
          <w:p w14:paraId="16EE6748"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252 755</w:t>
            </w:r>
          </w:p>
        </w:tc>
        <w:tc>
          <w:tcPr>
            <w:tcW w:w="1164" w:type="dxa"/>
            <w:tcBorders>
              <w:top w:val="nil"/>
              <w:left w:val="nil"/>
              <w:bottom w:val="nil"/>
              <w:right w:val="nil"/>
            </w:tcBorders>
            <w:shd w:val="clear" w:color="000000" w:fill="FFFFFF"/>
            <w:noWrap/>
            <w:hideMark/>
          </w:tcPr>
          <w:p w14:paraId="52FCF9F1"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239 386</w:t>
            </w:r>
          </w:p>
        </w:tc>
        <w:tc>
          <w:tcPr>
            <w:tcW w:w="1209" w:type="dxa"/>
            <w:tcBorders>
              <w:top w:val="nil"/>
              <w:left w:val="nil"/>
              <w:bottom w:val="nil"/>
              <w:right w:val="nil"/>
            </w:tcBorders>
            <w:shd w:val="clear" w:color="000000" w:fill="FFFFFF"/>
            <w:noWrap/>
            <w:hideMark/>
          </w:tcPr>
          <w:p w14:paraId="4E0D62A6"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254 253</w:t>
            </w:r>
          </w:p>
        </w:tc>
        <w:tc>
          <w:tcPr>
            <w:tcW w:w="1167" w:type="dxa"/>
            <w:tcBorders>
              <w:top w:val="nil"/>
              <w:left w:val="nil"/>
              <w:bottom w:val="nil"/>
              <w:right w:val="nil"/>
            </w:tcBorders>
            <w:shd w:val="clear" w:color="000000" w:fill="FFFFFF"/>
            <w:noWrap/>
            <w:hideMark/>
          </w:tcPr>
          <w:p w14:paraId="728E5ACF"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263 121</w:t>
            </w:r>
          </w:p>
        </w:tc>
        <w:tc>
          <w:tcPr>
            <w:tcW w:w="1203" w:type="dxa"/>
            <w:gridSpan w:val="2"/>
            <w:tcBorders>
              <w:top w:val="nil"/>
              <w:left w:val="nil"/>
              <w:bottom w:val="nil"/>
              <w:right w:val="nil"/>
            </w:tcBorders>
            <w:shd w:val="clear" w:color="000000" w:fill="FFFFFF"/>
            <w:noWrap/>
            <w:hideMark/>
          </w:tcPr>
          <w:p w14:paraId="5A3EB59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8 868</w:t>
            </w:r>
          </w:p>
        </w:tc>
      </w:tr>
      <w:tr w:rsidR="004C6700" w:rsidRPr="00691349" w14:paraId="0B327BD1" w14:textId="77777777" w:rsidTr="00836EB5">
        <w:trPr>
          <w:trHeight w:val="227"/>
        </w:trPr>
        <w:tc>
          <w:tcPr>
            <w:tcW w:w="223" w:type="dxa"/>
            <w:tcBorders>
              <w:top w:val="nil"/>
              <w:left w:val="nil"/>
              <w:bottom w:val="nil"/>
              <w:right w:val="nil"/>
            </w:tcBorders>
            <w:shd w:val="clear" w:color="000000" w:fill="FFFFFF"/>
            <w:noWrap/>
            <w:hideMark/>
          </w:tcPr>
          <w:p w14:paraId="00BB8A3E"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 </w:t>
            </w:r>
          </w:p>
        </w:tc>
        <w:tc>
          <w:tcPr>
            <w:tcW w:w="3105" w:type="dxa"/>
            <w:gridSpan w:val="2"/>
            <w:tcBorders>
              <w:top w:val="nil"/>
              <w:left w:val="nil"/>
              <w:bottom w:val="nil"/>
              <w:right w:val="nil"/>
            </w:tcBorders>
            <w:shd w:val="clear" w:color="000000" w:fill="FFFFFF"/>
            <w:noWrap/>
            <w:hideMark/>
          </w:tcPr>
          <w:p w14:paraId="35B32DA3" w14:textId="77777777" w:rsidR="004C6700" w:rsidRPr="008F10FA" w:rsidRDefault="004C6700" w:rsidP="00836EB5">
            <w:pPr>
              <w:spacing w:after="0" w:line="240" w:lineRule="auto"/>
              <w:jc w:val="left"/>
              <w:rPr>
                <w:rFonts w:eastAsia="Times New Roman" w:cs="Times New Roman"/>
                <w:sz w:val="18"/>
                <w:szCs w:val="18"/>
                <w:lang w:eastAsia="sk-SK"/>
              </w:rPr>
            </w:pPr>
            <w:r w:rsidRPr="008F10FA">
              <w:rPr>
                <w:rFonts w:eastAsia="Times New Roman" w:cs="Times New Roman"/>
                <w:sz w:val="18"/>
                <w:szCs w:val="18"/>
                <w:lang w:eastAsia="sk-SK"/>
              </w:rPr>
              <w:t>Eximbanka SR</w:t>
            </w:r>
          </w:p>
        </w:tc>
        <w:tc>
          <w:tcPr>
            <w:tcW w:w="1165" w:type="dxa"/>
            <w:tcBorders>
              <w:top w:val="nil"/>
              <w:left w:val="nil"/>
              <w:bottom w:val="nil"/>
              <w:right w:val="nil"/>
            </w:tcBorders>
            <w:shd w:val="clear" w:color="000000" w:fill="FFFFFF"/>
            <w:noWrap/>
            <w:hideMark/>
          </w:tcPr>
          <w:p w14:paraId="35EA9A23" w14:textId="7FFF5FC1" w:rsidR="004C6700" w:rsidRPr="008F10FA" w:rsidRDefault="005B5415" w:rsidP="00836EB5">
            <w:pPr>
              <w:spacing w:after="0" w:line="240" w:lineRule="auto"/>
              <w:jc w:val="right"/>
              <w:rPr>
                <w:rFonts w:eastAsia="Times New Roman" w:cs="Times New Roman"/>
                <w:sz w:val="18"/>
                <w:szCs w:val="18"/>
                <w:lang w:eastAsia="sk-SK"/>
              </w:rPr>
            </w:pPr>
            <w:r w:rsidRPr="008F10FA">
              <w:rPr>
                <w:sz w:val="18"/>
                <w:szCs w:val="18"/>
              </w:rPr>
              <w:t>13 078</w:t>
            </w:r>
          </w:p>
        </w:tc>
        <w:tc>
          <w:tcPr>
            <w:tcW w:w="1164" w:type="dxa"/>
            <w:tcBorders>
              <w:top w:val="nil"/>
              <w:left w:val="nil"/>
              <w:bottom w:val="nil"/>
              <w:right w:val="nil"/>
            </w:tcBorders>
            <w:shd w:val="clear" w:color="000000" w:fill="FFFFFF"/>
            <w:noWrap/>
            <w:hideMark/>
          </w:tcPr>
          <w:p w14:paraId="04280071" w14:textId="57AB06FB" w:rsidR="004C6700" w:rsidRPr="008F10FA" w:rsidRDefault="005B5415" w:rsidP="005B5415">
            <w:pPr>
              <w:spacing w:after="0" w:line="240" w:lineRule="auto"/>
              <w:jc w:val="right"/>
              <w:rPr>
                <w:rFonts w:eastAsia="Times New Roman" w:cs="Times New Roman"/>
                <w:sz w:val="18"/>
                <w:szCs w:val="18"/>
                <w:lang w:eastAsia="sk-SK"/>
              </w:rPr>
            </w:pPr>
            <w:r w:rsidRPr="008F10FA">
              <w:rPr>
                <w:sz w:val="18"/>
                <w:szCs w:val="18"/>
              </w:rPr>
              <w:t>2</w:t>
            </w:r>
            <w:r w:rsidR="004C6700" w:rsidRPr="008F10FA">
              <w:rPr>
                <w:sz w:val="18"/>
                <w:szCs w:val="18"/>
              </w:rPr>
              <w:t xml:space="preserve"> 9</w:t>
            </w:r>
            <w:r w:rsidRPr="008F10FA">
              <w:rPr>
                <w:sz w:val="18"/>
                <w:szCs w:val="18"/>
              </w:rPr>
              <w:t>61</w:t>
            </w:r>
          </w:p>
        </w:tc>
        <w:tc>
          <w:tcPr>
            <w:tcW w:w="1209" w:type="dxa"/>
            <w:tcBorders>
              <w:top w:val="nil"/>
              <w:left w:val="nil"/>
              <w:bottom w:val="nil"/>
              <w:right w:val="nil"/>
            </w:tcBorders>
            <w:shd w:val="clear" w:color="000000" w:fill="FFFFFF"/>
            <w:noWrap/>
            <w:hideMark/>
          </w:tcPr>
          <w:p w14:paraId="0DA5ACB8" w14:textId="1C1FDDF4" w:rsidR="004C6700" w:rsidRPr="008F10FA" w:rsidRDefault="005B5415" w:rsidP="00836EB5">
            <w:pPr>
              <w:spacing w:after="0" w:line="240" w:lineRule="auto"/>
              <w:jc w:val="right"/>
              <w:rPr>
                <w:rFonts w:eastAsia="Times New Roman" w:cs="Times New Roman"/>
                <w:sz w:val="18"/>
                <w:szCs w:val="18"/>
                <w:lang w:eastAsia="sk-SK"/>
              </w:rPr>
            </w:pPr>
            <w:r w:rsidRPr="008F10FA">
              <w:rPr>
                <w:sz w:val="18"/>
                <w:szCs w:val="18"/>
              </w:rPr>
              <w:t>6 530</w:t>
            </w:r>
          </w:p>
        </w:tc>
        <w:tc>
          <w:tcPr>
            <w:tcW w:w="1167" w:type="dxa"/>
            <w:tcBorders>
              <w:top w:val="nil"/>
              <w:left w:val="nil"/>
              <w:bottom w:val="nil"/>
              <w:right w:val="nil"/>
            </w:tcBorders>
            <w:shd w:val="clear" w:color="000000" w:fill="FFFFFF"/>
            <w:noWrap/>
            <w:hideMark/>
          </w:tcPr>
          <w:p w14:paraId="27DFD521" w14:textId="0A21FA27" w:rsidR="004C6700" w:rsidRPr="008F10FA" w:rsidRDefault="005B5415" w:rsidP="005B5415">
            <w:pPr>
              <w:spacing w:after="0" w:line="240" w:lineRule="auto"/>
              <w:jc w:val="right"/>
              <w:rPr>
                <w:rFonts w:eastAsia="Times New Roman" w:cs="Times New Roman"/>
                <w:sz w:val="18"/>
                <w:szCs w:val="18"/>
                <w:lang w:eastAsia="sk-SK"/>
              </w:rPr>
            </w:pPr>
            <w:r w:rsidRPr="008F10FA">
              <w:rPr>
                <w:sz w:val="18"/>
                <w:szCs w:val="18"/>
              </w:rPr>
              <w:t>11 944</w:t>
            </w:r>
          </w:p>
        </w:tc>
        <w:tc>
          <w:tcPr>
            <w:tcW w:w="1203" w:type="dxa"/>
            <w:gridSpan w:val="2"/>
            <w:tcBorders>
              <w:top w:val="nil"/>
              <w:left w:val="nil"/>
              <w:bottom w:val="nil"/>
              <w:right w:val="nil"/>
            </w:tcBorders>
            <w:shd w:val="clear" w:color="000000" w:fill="FFFFFF"/>
            <w:noWrap/>
            <w:hideMark/>
          </w:tcPr>
          <w:p w14:paraId="51001500" w14:textId="33C8D290" w:rsidR="004C6700" w:rsidRPr="008F10FA" w:rsidRDefault="005B5415" w:rsidP="00836EB5">
            <w:pPr>
              <w:spacing w:after="0" w:line="240" w:lineRule="auto"/>
              <w:jc w:val="right"/>
              <w:rPr>
                <w:rFonts w:eastAsia="Times New Roman" w:cs="Times New Roman"/>
                <w:sz w:val="18"/>
                <w:szCs w:val="18"/>
                <w:lang w:eastAsia="sk-SK"/>
              </w:rPr>
            </w:pPr>
            <w:r w:rsidRPr="008F10FA">
              <w:rPr>
                <w:sz w:val="18"/>
                <w:szCs w:val="18"/>
              </w:rPr>
              <w:t>5 41</w:t>
            </w:r>
            <w:r w:rsidR="004C6700" w:rsidRPr="008F10FA">
              <w:rPr>
                <w:sz w:val="18"/>
                <w:szCs w:val="18"/>
              </w:rPr>
              <w:t>4</w:t>
            </w:r>
          </w:p>
        </w:tc>
      </w:tr>
      <w:tr w:rsidR="004C6700" w:rsidRPr="00691349" w14:paraId="0AE61904" w14:textId="77777777" w:rsidTr="00836EB5">
        <w:trPr>
          <w:trHeight w:val="227"/>
        </w:trPr>
        <w:tc>
          <w:tcPr>
            <w:tcW w:w="223" w:type="dxa"/>
            <w:tcBorders>
              <w:top w:val="nil"/>
              <w:left w:val="nil"/>
              <w:bottom w:val="nil"/>
              <w:right w:val="nil"/>
            </w:tcBorders>
            <w:shd w:val="clear" w:color="000000" w:fill="FFFFFF"/>
            <w:noWrap/>
            <w:hideMark/>
          </w:tcPr>
          <w:p w14:paraId="2AC4BA19"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 </w:t>
            </w:r>
          </w:p>
        </w:tc>
        <w:tc>
          <w:tcPr>
            <w:tcW w:w="3105" w:type="dxa"/>
            <w:gridSpan w:val="2"/>
            <w:tcBorders>
              <w:top w:val="nil"/>
              <w:left w:val="nil"/>
              <w:bottom w:val="nil"/>
              <w:right w:val="nil"/>
            </w:tcBorders>
            <w:shd w:val="clear" w:color="auto" w:fill="auto"/>
            <w:noWrap/>
            <w:vAlign w:val="bottom"/>
            <w:hideMark/>
          </w:tcPr>
          <w:p w14:paraId="58241B43" w14:textId="77777777" w:rsidR="004C6700" w:rsidRPr="008F10FA" w:rsidRDefault="004C6700" w:rsidP="00836EB5">
            <w:pPr>
              <w:spacing w:after="0" w:line="240" w:lineRule="auto"/>
              <w:jc w:val="left"/>
              <w:rPr>
                <w:rFonts w:eastAsia="Times New Roman" w:cs="Times New Roman"/>
                <w:color w:val="000000"/>
                <w:sz w:val="18"/>
                <w:szCs w:val="18"/>
                <w:lang w:eastAsia="sk-SK"/>
              </w:rPr>
            </w:pPr>
            <w:r w:rsidRPr="008F10FA">
              <w:rPr>
                <w:rFonts w:eastAsia="Times New Roman" w:cs="Times New Roman"/>
                <w:color w:val="000000"/>
                <w:sz w:val="18"/>
                <w:szCs w:val="18"/>
                <w:lang w:eastAsia="sk-SK"/>
              </w:rPr>
              <w:t xml:space="preserve">SIH a investičné fondy SIH-u </w:t>
            </w:r>
          </w:p>
        </w:tc>
        <w:tc>
          <w:tcPr>
            <w:tcW w:w="1165" w:type="dxa"/>
            <w:tcBorders>
              <w:top w:val="nil"/>
              <w:left w:val="nil"/>
              <w:bottom w:val="nil"/>
              <w:right w:val="nil"/>
            </w:tcBorders>
            <w:shd w:val="clear" w:color="000000" w:fill="FFFFFF"/>
            <w:noWrap/>
            <w:hideMark/>
          </w:tcPr>
          <w:p w14:paraId="7C36AC6F" w14:textId="4C418BE4" w:rsidR="004C6700" w:rsidRPr="008F10FA" w:rsidRDefault="005B5415" w:rsidP="00836EB5">
            <w:pPr>
              <w:spacing w:after="0" w:line="240" w:lineRule="auto"/>
              <w:jc w:val="right"/>
              <w:rPr>
                <w:rFonts w:eastAsia="Times New Roman" w:cs="Times New Roman"/>
                <w:sz w:val="18"/>
                <w:szCs w:val="18"/>
                <w:lang w:eastAsia="sk-SK"/>
              </w:rPr>
            </w:pPr>
            <w:r w:rsidRPr="008F10FA">
              <w:rPr>
                <w:sz w:val="18"/>
                <w:szCs w:val="18"/>
              </w:rPr>
              <w:t>32 682</w:t>
            </w:r>
          </w:p>
        </w:tc>
        <w:tc>
          <w:tcPr>
            <w:tcW w:w="1164" w:type="dxa"/>
            <w:tcBorders>
              <w:top w:val="nil"/>
              <w:left w:val="nil"/>
              <w:bottom w:val="nil"/>
              <w:right w:val="nil"/>
            </w:tcBorders>
            <w:shd w:val="clear" w:color="000000" w:fill="FFFFFF"/>
            <w:noWrap/>
            <w:hideMark/>
          </w:tcPr>
          <w:p w14:paraId="58820905" w14:textId="79AB62FA" w:rsidR="004C6700" w:rsidRPr="008F10FA" w:rsidRDefault="005B5415" w:rsidP="00836EB5">
            <w:pPr>
              <w:spacing w:after="0" w:line="240" w:lineRule="auto"/>
              <w:jc w:val="right"/>
              <w:rPr>
                <w:rFonts w:eastAsia="Times New Roman" w:cs="Times New Roman"/>
                <w:sz w:val="18"/>
                <w:szCs w:val="18"/>
                <w:lang w:eastAsia="sk-SK"/>
              </w:rPr>
            </w:pPr>
            <w:r w:rsidRPr="008F10FA">
              <w:rPr>
                <w:sz w:val="18"/>
                <w:szCs w:val="18"/>
              </w:rPr>
              <w:t>40 982</w:t>
            </w:r>
          </w:p>
        </w:tc>
        <w:tc>
          <w:tcPr>
            <w:tcW w:w="1209" w:type="dxa"/>
            <w:tcBorders>
              <w:top w:val="nil"/>
              <w:left w:val="nil"/>
              <w:bottom w:val="nil"/>
              <w:right w:val="nil"/>
            </w:tcBorders>
            <w:shd w:val="clear" w:color="000000" w:fill="FFFFFF"/>
            <w:noWrap/>
            <w:hideMark/>
          </w:tcPr>
          <w:p w14:paraId="0FA0F7D6" w14:textId="3C1947ED" w:rsidR="004C6700" w:rsidRPr="008F10FA" w:rsidRDefault="004C6700" w:rsidP="00836EB5">
            <w:pPr>
              <w:spacing w:after="0" w:line="240" w:lineRule="auto"/>
              <w:jc w:val="right"/>
              <w:rPr>
                <w:rFonts w:eastAsia="Times New Roman" w:cs="Times New Roman"/>
                <w:sz w:val="18"/>
                <w:szCs w:val="18"/>
                <w:lang w:eastAsia="sk-SK"/>
              </w:rPr>
            </w:pPr>
            <w:r w:rsidRPr="008F10FA">
              <w:rPr>
                <w:sz w:val="18"/>
                <w:szCs w:val="18"/>
              </w:rPr>
              <w:t>0</w:t>
            </w:r>
          </w:p>
        </w:tc>
        <w:tc>
          <w:tcPr>
            <w:tcW w:w="1167" w:type="dxa"/>
            <w:tcBorders>
              <w:top w:val="nil"/>
              <w:left w:val="nil"/>
              <w:bottom w:val="nil"/>
              <w:right w:val="nil"/>
            </w:tcBorders>
            <w:shd w:val="clear" w:color="000000" w:fill="FFFFFF"/>
            <w:noWrap/>
            <w:hideMark/>
          </w:tcPr>
          <w:p w14:paraId="2D507940" w14:textId="12887101" w:rsidR="004C6700" w:rsidRPr="008F10FA" w:rsidRDefault="005B5415" w:rsidP="005B5415">
            <w:pPr>
              <w:spacing w:after="0" w:line="240" w:lineRule="auto"/>
              <w:jc w:val="right"/>
              <w:rPr>
                <w:rFonts w:eastAsia="Times New Roman" w:cs="Times New Roman"/>
                <w:sz w:val="18"/>
                <w:szCs w:val="18"/>
                <w:lang w:eastAsia="sk-SK"/>
              </w:rPr>
            </w:pPr>
            <w:r w:rsidRPr="008F10FA">
              <w:rPr>
                <w:sz w:val="18"/>
                <w:szCs w:val="18"/>
              </w:rPr>
              <w:t>89</w:t>
            </w:r>
            <w:r w:rsidR="004C6700" w:rsidRPr="008F10FA">
              <w:rPr>
                <w:sz w:val="18"/>
                <w:szCs w:val="18"/>
              </w:rPr>
              <w:t xml:space="preserve"> </w:t>
            </w:r>
            <w:r w:rsidRPr="008F10FA">
              <w:rPr>
                <w:sz w:val="18"/>
                <w:szCs w:val="18"/>
              </w:rPr>
              <w:t>524</w:t>
            </w:r>
          </w:p>
        </w:tc>
        <w:tc>
          <w:tcPr>
            <w:tcW w:w="1203" w:type="dxa"/>
            <w:gridSpan w:val="2"/>
            <w:tcBorders>
              <w:top w:val="nil"/>
              <w:left w:val="nil"/>
              <w:bottom w:val="nil"/>
              <w:right w:val="nil"/>
            </w:tcBorders>
            <w:shd w:val="clear" w:color="000000" w:fill="FFFFFF"/>
            <w:noWrap/>
            <w:hideMark/>
          </w:tcPr>
          <w:p w14:paraId="0348620C" w14:textId="65D61AFD" w:rsidR="004C6700" w:rsidRPr="008F10FA" w:rsidRDefault="005B5415" w:rsidP="00836EB5">
            <w:pPr>
              <w:spacing w:after="0" w:line="240" w:lineRule="auto"/>
              <w:jc w:val="right"/>
              <w:rPr>
                <w:rFonts w:eastAsia="Times New Roman" w:cs="Times New Roman"/>
                <w:sz w:val="18"/>
                <w:szCs w:val="18"/>
                <w:lang w:eastAsia="sk-SK"/>
              </w:rPr>
            </w:pPr>
            <w:r w:rsidRPr="008F10FA">
              <w:rPr>
                <w:sz w:val="18"/>
                <w:szCs w:val="18"/>
              </w:rPr>
              <w:t>89 524</w:t>
            </w:r>
          </w:p>
        </w:tc>
      </w:tr>
      <w:tr w:rsidR="004C6700" w:rsidRPr="00691349" w14:paraId="174F328C" w14:textId="77777777" w:rsidTr="00836EB5">
        <w:trPr>
          <w:trHeight w:val="227"/>
        </w:trPr>
        <w:tc>
          <w:tcPr>
            <w:tcW w:w="223" w:type="dxa"/>
            <w:tcBorders>
              <w:top w:val="nil"/>
              <w:left w:val="nil"/>
              <w:bottom w:val="nil"/>
              <w:right w:val="nil"/>
            </w:tcBorders>
            <w:shd w:val="clear" w:color="000000" w:fill="FFFFFF"/>
            <w:noWrap/>
            <w:hideMark/>
          </w:tcPr>
          <w:p w14:paraId="385A59D7"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 </w:t>
            </w:r>
          </w:p>
        </w:tc>
        <w:tc>
          <w:tcPr>
            <w:tcW w:w="3105" w:type="dxa"/>
            <w:gridSpan w:val="2"/>
            <w:tcBorders>
              <w:top w:val="nil"/>
              <w:left w:val="nil"/>
              <w:bottom w:val="nil"/>
              <w:right w:val="nil"/>
            </w:tcBorders>
            <w:shd w:val="clear" w:color="000000" w:fill="FFFFFF"/>
            <w:noWrap/>
            <w:hideMark/>
          </w:tcPr>
          <w:p w14:paraId="7D355E17" w14:textId="77777777" w:rsidR="004C6700" w:rsidRPr="00691349" w:rsidRDefault="004C6700" w:rsidP="00836EB5">
            <w:pPr>
              <w:spacing w:after="0" w:line="240" w:lineRule="auto"/>
              <w:ind w:right="-494"/>
              <w:jc w:val="left"/>
              <w:rPr>
                <w:rFonts w:eastAsia="Times New Roman" w:cs="Times New Roman"/>
                <w:sz w:val="18"/>
                <w:szCs w:val="18"/>
                <w:lang w:eastAsia="sk-SK"/>
              </w:rPr>
            </w:pPr>
            <w:r w:rsidRPr="00691349">
              <w:rPr>
                <w:rFonts w:eastAsia="Times New Roman" w:cs="Times New Roman"/>
                <w:sz w:val="18"/>
                <w:szCs w:val="18"/>
                <w:lang w:eastAsia="sk-SK"/>
              </w:rPr>
              <w:t>Obchodné spoločnosti štátu, z toho:</w:t>
            </w:r>
          </w:p>
        </w:tc>
        <w:tc>
          <w:tcPr>
            <w:tcW w:w="1165" w:type="dxa"/>
            <w:tcBorders>
              <w:top w:val="nil"/>
              <w:left w:val="nil"/>
              <w:bottom w:val="nil"/>
              <w:right w:val="nil"/>
            </w:tcBorders>
            <w:shd w:val="clear" w:color="000000" w:fill="FFFFFF"/>
            <w:noWrap/>
            <w:hideMark/>
          </w:tcPr>
          <w:p w14:paraId="036796D7"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287 809</w:t>
            </w:r>
          </w:p>
        </w:tc>
        <w:tc>
          <w:tcPr>
            <w:tcW w:w="1164" w:type="dxa"/>
            <w:tcBorders>
              <w:top w:val="nil"/>
              <w:left w:val="nil"/>
              <w:bottom w:val="nil"/>
              <w:right w:val="nil"/>
            </w:tcBorders>
            <w:shd w:val="clear" w:color="000000" w:fill="FFFFFF"/>
            <w:noWrap/>
            <w:hideMark/>
          </w:tcPr>
          <w:p w14:paraId="38125A99"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66 471</w:t>
            </w:r>
          </w:p>
        </w:tc>
        <w:tc>
          <w:tcPr>
            <w:tcW w:w="1209" w:type="dxa"/>
            <w:tcBorders>
              <w:top w:val="nil"/>
              <w:left w:val="nil"/>
              <w:bottom w:val="nil"/>
              <w:right w:val="nil"/>
            </w:tcBorders>
            <w:shd w:val="clear" w:color="000000" w:fill="FFFFFF"/>
            <w:noWrap/>
            <w:hideMark/>
          </w:tcPr>
          <w:p w14:paraId="332A64AB"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-36 118</w:t>
            </w:r>
          </w:p>
        </w:tc>
        <w:tc>
          <w:tcPr>
            <w:tcW w:w="1167" w:type="dxa"/>
            <w:tcBorders>
              <w:top w:val="nil"/>
              <w:left w:val="nil"/>
              <w:bottom w:val="nil"/>
              <w:right w:val="nil"/>
            </w:tcBorders>
            <w:shd w:val="clear" w:color="000000" w:fill="FFFFFF"/>
            <w:noWrap/>
            <w:hideMark/>
          </w:tcPr>
          <w:p w14:paraId="7C64B9B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15 477</w:t>
            </w:r>
          </w:p>
        </w:tc>
        <w:tc>
          <w:tcPr>
            <w:tcW w:w="1203" w:type="dxa"/>
            <w:gridSpan w:val="2"/>
            <w:tcBorders>
              <w:top w:val="nil"/>
              <w:left w:val="nil"/>
              <w:bottom w:val="nil"/>
              <w:right w:val="nil"/>
            </w:tcBorders>
            <w:shd w:val="clear" w:color="000000" w:fill="FFFFFF"/>
            <w:noWrap/>
            <w:hideMark/>
          </w:tcPr>
          <w:p w14:paraId="3F360AF5"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51 595</w:t>
            </w:r>
          </w:p>
        </w:tc>
      </w:tr>
      <w:tr w:rsidR="004C6700" w:rsidRPr="00691349" w14:paraId="766BD6A5" w14:textId="77777777" w:rsidTr="00836EB5">
        <w:trPr>
          <w:trHeight w:val="227"/>
        </w:trPr>
        <w:tc>
          <w:tcPr>
            <w:tcW w:w="223" w:type="dxa"/>
            <w:tcBorders>
              <w:top w:val="nil"/>
              <w:left w:val="nil"/>
              <w:bottom w:val="nil"/>
              <w:right w:val="nil"/>
            </w:tcBorders>
            <w:shd w:val="clear" w:color="000000" w:fill="FFFFFF"/>
            <w:noWrap/>
            <w:hideMark/>
          </w:tcPr>
          <w:p w14:paraId="5452DAA8"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 </w:t>
            </w:r>
          </w:p>
        </w:tc>
        <w:tc>
          <w:tcPr>
            <w:tcW w:w="223" w:type="dxa"/>
            <w:tcBorders>
              <w:top w:val="nil"/>
              <w:left w:val="nil"/>
              <w:bottom w:val="nil"/>
              <w:right w:val="nil"/>
            </w:tcBorders>
            <w:shd w:val="clear" w:color="000000" w:fill="FFFFFF"/>
            <w:noWrap/>
            <w:hideMark/>
          </w:tcPr>
          <w:p w14:paraId="099B48E9"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 </w:t>
            </w:r>
          </w:p>
        </w:tc>
        <w:tc>
          <w:tcPr>
            <w:tcW w:w="2882" w:type="dxa"/>
            <w:tcBorders>
              <w:top w:val="nil"/>
              <w:left w:val="nil"/>
              <w:bottom w:val="nil"/>
              <w:right w:val="nil"/>
            </w:tcBorders>
            <w:shd w:val="clear" w:color="000000" w:fill="FFFFFF"/>
            <w:noWrap/>
            <w:hideMark/>
          </w:tcPr>
          <w:p w14:paraId="2548B903"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 xml:space="preserve">MH Manažment, </w:t>
            </w:r>
            <w:proofErr w:type="spellStart"/>
            <w:r w:rsidRPr="00691349">
              <w:rPr>
                <w:rFonts w:eastAsia="Times New Roman" w:cs="Times New Roman"/>
                <w:sz w:val="18"/>
                <w:szCs w:val="18"/>
                <w:lang w:eastAsia="sk-SK"/>
              </w:rPr>
              <w:t>a.s</w:t>
            </w:r>
            <w:proofErr w:type="spellEnd"/>
            <w:r w:rsidRPr="00691349">
              <w:rPr>
                <w:rFonts w:eastAsia="Times New Roman" w:cs="Times New Roman"/>
                <w:sz w:val="18"/>
                <w:szCs w:val="18"/>
                <w:lang w:eastAsia="sk-SK"/>
              </w:rPr>
              <w:t>.</w:t>
            </w:r>
          </w:p>
        </w:tc>
        <w:tc>
          <w:tcPr>
            <w:tcW w:w="1165" w:type="dxa"/>
            <w:tcBorders>
              <w:top w:val="nil"/>
              <w:left w:val="nil"/>
              <w:bottom w:val="nil"/>
              <w:right w:val="nil"/>
            </w:tcBorders>
            <w:shd w:val="clear" w:color="000000" w:fill="FFFFFF"/>
            <w:noWrap/>
            <w:hideMark/>
          </w:tcPr>
          <w:p w14:paraId="71EE5B90"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sz w:val="18"/>
                <w:szCs w:val="18"/>
              </w:rPr>
              <w:t>62</w:t>
            </w:r>
          </w:p>
        </w:tc>
        <w:tc>
          <w:tcPr>
            <w:tcW w:w="1164" w:type="dxa"/>
            <w:tcBorders>
              <w:top w:val="nil"/>
              <w:left w:val="nil"/>
              <w:bottom w:val="nil"/>
              <w:right w:val="nil"/>
            </w:tcBorders>
            <w:shd w:val="clear" w:color="000000" w:fill="FFFFFF"/>
            <w:noWrap/>
            <w:hideMark/>
          </w:tcPr>
          <w:p w14:paraId="603B9B59"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sz w:val="18"/>
                <w:szCs w:val="18"/>
              </w:rPr>
              <w:t>6 338</w:t>
            </w:r>
          </w:p>
        </w:tc>
        <w:tc>
          <w:tcPr>
            <w:tcW w:w="1209" w:type="dxa"/>
            <w:tcBorders>
              <w:top w:val="nil"/>
              <w:left w:val="nil"/>
              <w:bottom w:val="nil"/>
              <w:right w:val="nil"/>
            </w:tcBorders>
            <w:shd w:val="clear" w:color="000000" w:fill="FFFFFF"/>
            <w:noWrap/>
            <w:hideMark/>
          </w:tcPr>
          <w:p w14:paraId="69C37EDE"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sz w:val="18"/>
                <w:szCs w:val="18"/>
              </w:rPr>
              <w:t>-2 474</w:t>
            </w:r>
          </w:p>
        </w:tc>
        <w:tc>
          <w:tcPr>
            <w:tcW w:w="1167" w:type="dxa"/>
            <w:tcBorders>
              <w:top w:val="nil"/>
              <w:left w:val="nil"/>
              <w:bottom w:val="nil"/>
              <w:right w:val="nil"/>
            </w:tcBorders>
            <w:shd w:val="clear" w:color="000000" w:fill="FFFFFF"/>
            <w:noWrap/>
            <w:hideMark/>
          </w:tcPr>
          <w:p w14:paraId="0BE70D2D"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sz w:val="18"/>
                <w:szCs w:val="18"/>
              </w:rPr>
              <w:t>-1 955</w:t>
            </w:r>
          </w:p>
        </w:tc>
        <w:tc>
          <w:tcPr>
            <w:tcW w:w="1203" w:type="dxa"/>
            <w:gridSpan w:val="2"/>
            <w:tcBorders>
              <w:top w:val="nil"/>
              <w:left w:val="nil"/>
              <w:bottom w:val="nil"/>
              <w:right w:val="nil"/>
            </w:tcBorders>
            <w:shd w:val="clear" w:color="000000" w:fill="FFFFFF"/>
            <w:noWrap/>
            <w:hideMark/>
          </w:tcPr>
          <w:p w14:paraId="39F13ADC"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sz w:val="18"/>
                <w:szCs w:val="18"/>
              </w:rPr>
              <w:t>519</w:t>
            </w:r>
          </w:p>
        </w:tc>
      </w:tr>
      <w:tr w:rsidR="004C6700" w:rsidRPr="00691349" w14:paraId="5E78443B" w14:textId="77777777" w:rsidTr="00836EB5">
        <w:trPr>
          <w:trHeight w:val="227"/>
        </w:trPr>
        <w:tc>
          <w:tcPr>
            <w:tcW w:w="223" w:type="dxa"/>
            <w:tcBorders>
              <w:top w:val="nil"/>
              <w:left w:val="nil"/>
              <w:bottom w:val="nil"/>
              <w:right w:val="nil"/>
            </w:tcBorders>
            <w:shd w:val="clear" w:color="000000" w:fill="FFFFFF"/>
            <w:noWrap/>
            <w:hideMark/>
          </w:tcPr>
          <w:p w14:paraId="22167825"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 </w:t>
            </w:r>
          </w:p>
        </w:tc>
        <w:tc>
          <w:tcPr>
            <w:tcW w:w="223" w:type="dxa"/>
            <w:tcBorders>
              <w:top w:val="nil"/>
              <w:left w:val="nil"/>
              <w:bottom w:val="nil"/>
              <w:right w:val="nil"/>
            </w:tcBorders>
            <w:shd w:val="clear" w:color="000000" w:fill="FFFFFF"/>
            <w:noWrap/>
            <w:hideMark/>
          </w:tcPr>
          <w:p w14:paraId="530BF530"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 </w:t>
            </w:r>
          </w:p>
        </w:tc>
        <w:tc>
          <w:tcPr>
            <w:tcW w:w="2882" w:type="dxa"/>
            <w:tcBorders>
              <w:top w:val="nil"/>
              <w:left w:val="nil"/>
              <w:bottom w:val="nil"/>
              <w:right w:val="nil"/>
            </w:tcBorders>
            <w:shd w:val="clear" w:color="000000" w:fill="FFFFFF"/>
            <w:noWrap/>
            <w:hideMark/>
          </w:tcPr>
          <w:p w14:paraId="0CCA12CC"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 xml:space="preserve">MH </w:t>
            </w:r>
            <w:proofErr w:type="spellStart"/>
            <w:r w:rsidRPr="00691349">
              <w:rPr>
                <w:rFonts w:eastAsia="Times New Roman" w:cs="Times New Roman"/>
                <w:sz w:val="18"/>
                <w:szCs w:val="18"/>
                <w:lang w:eastAsia="sk-SK"/>
              </w:rPr>
              <w:t>Invest</w:t>
            </w:r>
            <w:proofErr w:type="spellEnd"/>
            <w:r w:rsidRPr="00691349">
              <w:rPr>
                <w:rFonts w:eastAsia="Times New Roman" w:cs="Times New Roman"/>
                <w:sz w:val="18"/>
                <w:szCs w:val="18"/>
                <w:lang w:eastAsia="sk-SK"/>
              </w:rPr>
              <w:t xml:space="preserve">, </w:t>
            </w:r>
            <w:proofErr w:type="spellStart"/>
            <w:r w:rsidRPr="00691349">
              <w:rPr>
                <w:rFonts w:eastAsia="Times New Roman" w:cs="Times New Roman"/>
                <w:sz w:val="18"/>
                <w:szCs w:val="18"/>
                <w:lang w:eastAsia="sk-SK"/>
              </w:rPr>
              <w:t>s.r.o</w:t>
            </w:r>
            <w:proofErr w:type="spellEnd"/>
            <w:r w:rsidRPr="00691349">
              <w:rPr>
                <w:rFonts w:eastAsia="Times New Roman" w:cs="Times New Roman"/>
                <w:sz w:val="18"/>
                <w:szCs w:val="18"/>
                <w:lang w:eastAsia="sk-SK"/>
              </w:rPr>
              <w:t>.</w:t>
            </w:r>
          </w:p>
        </w:tc>
        <w:tc>
          <w:tcPr>
            <w:tcW w:w="1165" w:type="dxa"/>
            <w:tcBorders>
              <w:top w:val="nil"/>
              <w:left w:val="nil"/>
              <w:bottom w:val="nil"/>
              <w:right w:val="nil"/>
            </w:tcBorders>
            <w:shd w:val="clear" w:color="000000" w:fill="FFFFFF"/>
            <w:noWrap/>
            <w:hideMark/>
          </w:tcPr>
          <w:p w14:paraId="3F3FE637"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128 464</w:t>
            </w:r>
          </w:p>
        </w:tc>
        <w:tc>
          <w:tcPr>
            <w:tcW w:w="1164" w:type="dxa"/>
            <w:tcBorders>
              <w:top w:val="nil"/>
              <w:left w:val="nil"/>
              <w:bottom w:val="nil"/>
              <w:right w:val="nil"/>
            </w:tcBorders>
            <w:shd w:val="clear" w:color="000000" w:fill="FFFFFF"/>
            <w:noWrap/>
            <w:hideMark/>
          </w:tcPr>
          <w:p w14:paraId="116F981C"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-3 138</w:t>
            </w:r>
          </w:p>
        </w:tc>
        <w:tc>
          <w:tcPr>
            <w:tcW w:w="1209" w:type="dxa"/>
            <w:tcBorders>
              <w:top w:val="nil"/>
              <w:left w:val="nil"/>
              <w:bottom w:val="nil"/>
              <w:right w:val="nil"/>
            </w:tcBorders>
            <w:shd w:val="clear" w:color="000000" w:fill="FFFFFF"/>
            <w:noWrap/>
            <w:hideMark/>
          </w:tcPr>
          <w:p w14:paraId="012B32A2"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-25 255</w:t>
            </w:r>
          </w:p>
        </w:tc>
        <w:tc>
          <w:tcPr>
            <w:tcW w:w="1167" w:type="dxa"/>
            <w:tcBorders>
              <w:top w:val="nil"/>
              <w:left w:val="nil"/>
              <w:bottom w:val="nil"/>
              <w:right w:val="nil"/>
            </w:tcBorders>
            <w:shd w:val="clear" w:color="000000" w:fill="FFFFFF"/>
            <w:noWrap/>
            <w:hideMark/>
          </w:tcPr>
          <w:p w14:paraId="714216C3"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-3 572</w:t>
            </w:r>
          </w:p>
        </w:tc>
        <w:tc>
          <w:tcPr>
            <w:tcW w:w="1203" w:type="dxa"/>
            <w:gridSpan w:val="2"/>
            <w:tcBorders>
              <w:top w:val="nil"/>
              <w:left w:val="nil"/>
              <w:bottom w:val="nil"/>
              <w:right w:val="nil"/>
            </w:tcBorders>
            <w:shd w:val="clear" w:color="000000" w:fill="FFFFFF"/>
            <w:noWrap/>
            <w:hideMark/>
          </w:tcPr>
          <w:p w14:paraId="0F70339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21 683</w:t>
            </w:r>
          </w:p>
        </w:tc>
      </w:tr>
      <w:tr w:rsidR="004C6700" w:rsidRPr="00691349" w14:paraId="5A9288A5" w14:textId="77777777" w:rsidTr="00836EB5">
        <w:trPr>
          <w:trHeight w:val="227"/>
        </w:trPr>
        <w:tc>
          <w:tcPr>
            <w:tcW w:w="223" w:type="dxa"/>
            <w:tcBorders>
              <w:top w:val="nil"/>
              <w:left w:val="nil"/>
              <w:bottom w:val="nil"/>
              <w:right w:val="nil"/>
            </w:tcBorders>
            <w:shd w:val="clear" w:color="000000" w:fill="FFFFFF"/>
            <w:noWrap/>
            <w:hideMark/>
          </w:tcPr>
          <w:p w14:paraId="46DE687F"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 </w:t>
            </w:r>
          </w:p>
        </w:tc>
        <w:tc>
          <w:tcPr>
            <w:tcW w:w="223" w:type="dxa"/>
            <w:tcBorders>
              <w:top w:val="nil"/>
              <w:left w:val="nil"/>
              <w:bottom w:val="nil"/>
              <w:right w:val="nil"/>
            </w:tcBorders>
            <w:shd w:val="clear" w:color="000000" w:fill="FFFFFF"/>
            <w:noWrap/>
            <w:hideMark/>
          </w:tcPr>
          <w:p w14:paraId="5D5B9A8A"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 </w:t>
            </w:r>
          </w:p>
        </w:tc>
        <w:tc>
          <w:tcPr>
            <w:tcW w:w="2882" w:type="dxa"/>
            <w:tcBorders>
              <w:top w:val="nil"/>
              <w:left w:val="nil"/>
              <w:bottom w:val="nil"/>
              <w:right w:val="nil"/>
            </w:tcBorders>
            <w:shd w:val="clear" w:color="000000" w:fill="FFFFFF"/>
            <w:noWrap/>
            <w:hideMark/>
          </w:tcPr>
          <w:p w14:paraId="1E448823"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 xml:space="preserve">MH </w:t>
            </w:r>
            <w:proofErr w:type="spellStart"/>
            <w:r w:rsidRPr="00691349">
              <w:rPr>
                <w:rFonts w:eastAsia="Times New Roman" w:cs="Times New Roman"/>
                <w:sz w:val="18"/>
                <w:szCs w:val="18"/>
                <w:lang w:eastAsia="sk-SK"/>
              </w:rPr>
              <w:t>Invest</w:t>
            </w:r>
            <w:proofErr w:type="spellEnd"/>
            <w:r w:rsidRPr="00691349">
              <w:rPr>
                <w:rFonts w:eastAsia="Times New Roman" w:cs="Times New Roman"/>
                <w:sz w:val="18"/>
                <w:szCs w:val="18"/>
                <w:lang w:eastAsia="sk-SK"/>
              </w:rPr>
              <w:t xml:space="preserve"> II, </w:t>
            </w:r>
            <w:proofErr w:type="spellStart"/>
            <w:r w:rsidRPr="00691349">
              <w:rPr>
                <w:rFonts w:eastAsia="Times New Roman" w:cs="Times New Roman"/>
                <w:sz w:val="18"/>
                <w:szCs w:val="18"/>
                <w:lang w:eastAsia="sk-SK"/>
              </w:rPr>
              <w:t>s.r.o</w:t>
            </w:r>
            <w:proofErr w:type="spellEnd"/>
            <w:r w:rsidRPr="00691349">
              <w:rPr>
                <w:rFonts w:eastAsia="Times New Roman" w:cs="Times New Roman"/>
                <w:sz w:val="18"/>
                <w:szCs w:val="18"/>
                <w:lang w:eastAsia="sk-SK"/>
              </w:rPr>
              <w:t>.</w:t>
            </w:r>
          </w:p>
        </w:tc>
        <w:tc>
          <w:tcPr>
            <w:tcW w:w="1165" w:type="dxa"/>
            <w:tcBorders>
              <w:top w:val="nil"/>
              <w:left w:val="nil"/>
              <w:bottom w:val="nil"/>
              <w:right w:val="nil"/>
            </w:tcBorders>
            <w:shd w:val="clear" w:color="000000" w:fill="FFFFFF"/>
            <w:noWrap/>
            <w:hideMark/>
          </w:tcPr>
          <w:p w14:paraId="46275EB0"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1 292</w:t>
            </w:r>
          </w:p>
        </w:tc>
        <w:tc>
          <w:tcPr>
            <w:tcW w:w="1164" w:type="dxa"/>
            <w:tcBorders>
              <w:top w:val="nil"/>
              <w:left w:val="nil"/>
              <w:bottom w:val="nil"/>
              <w:right w:val="nil"/>
            </w:tcBorders>
            <w:shd w:val="clear" w:color="000000" w:fill="FFFFFF"/>
            <w:noWrap/>
            <w:hideMark/>
          </w:tcPr>
          <w:p w14:paraId="6F6853B6"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838</w:t>
            </w:r>
          </w:p>
        </w:tc>
        <w:tc>
          <w:tcPr>
            <w:tcW w:w="1209" w:type="dxa"/>
            <w:tcBorders>
              <w:top w:val="nil"/>
              <w:left w:val="nil"/>
              <w:bottom w:val="nil"/>
              <w:right w:val="nil"/>
            </w:tcBorders>
            <w:shd w:val="clear" w:color="000000" w:fill="FFFFFF"/>
            <w:noWrap/>
            <w:hideMark/>
          </w:tcPr>
          <w:p w14:paraId="10605BC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-331</w:t>
            </w:r>
          </w:p>
        </w:tc>
        <w:tc>
          <w:tcPr>
            <w:tcW w:w="1167" w:type="dxa"/>
            <w:tcBorders>
              <w:top w:val="nil"/>
              <w:left w:val="nil"/>
              <w:bottom w:val="nil"/>
              <w:right w:val="nil"/>
            </w:tcBorders>
            <w:shd w:val="clear" w:color="000000" w:fill="FFFFFF"/>
            <w:noWrap/>
            <w:hideMark/>
          </w:tcPr>
          <w:p w14:paraId="5BAE12CC"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-969</w:t>
            </w:r>
          </w:p>
        </w:tc>
        <w:tc>
          <w:tcPr>
            <w:tcW w:w="1203" w:type="dxa"/>
            <w:gridSpan w:val="2"/>
            <w:tcBorders>
              <w:top w:val="nil"/>
              <w:left w:val="nil"/>
              <w:bottom w:val="nil"/>
              <w:right w:val="nil"/>
            </w:tcBorders>
            <w:shd w:val="clear" w:color="000000" w:fill="FFFFFF"/>
            <w:noWrap/>
            <w:hideMark/>
          </w:tcPr>
          <w:p w14:paraId="401401B6"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-638</w:t>
            </w:r>
          </w:p>
        </w:tc>
      </w:tr>
      <w:tr w:rsidR="004C6700" w:rsidRPr="00691349" w14:paraId="5F0E6A8B" w14:textId="77777777" w:rsidTr="00836EB5">
        <w:trPr>
          <w:trHeight w:val="227"/>
        </w:trPr>
        <w:tc>
          <w:tcPr>
            <w:tcW w:w="223" w:type="dxa"/>
            <w:tcBorders>
              <w:top w:val="nil"/>
              <w:left w:val="nil"/>
              <w:bottom w:val="nil"/>
              <w:right w:val="nil"/>
            </w:tcBorders>
            <w:shd w:val="clear" w:color="000000" w:fill="FFFFFF"/>
            <w:noWrap/>
            <w:hideMark/>
          </w:tcPr>
          <w:p w14:paraId="42910080"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 </w:t>
            </w:r>
          </w:p>
        </w:tc>
        <w:tc>
          <w:tcPr>
            <w:tcW w:w="223" w:type="dxa"/>
            <w:tcBorders>
              <w:top w:val="nil"/>
              <w:left w:val="nil"/>
              <w:bottom w:val="nil"/>
              <w:right w:val="nil"/>
            </w:tcBorders>
            <w:shd w:val="clear" w:color="000000" w:fill="FFFFFF"/>
            <w:noWrap/>
            <w:hideMark/>
          </w:tcPr>
          <w:p w14:paraId="4FCD112E"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 </w:t>
            </w:r>
          </w:p>
        </w:tc>
        <w:tc>
          <w:tcPr>
            <w:tcW w:w="2882" w:type="dxa"/>
            <w:tcBorders>
              <w:top w:val="nil"/>
              <w:left w:val="nil"/>
              <w:bottom w:val="nil"/>
              <w:right w:val="nil"/>
            </w:tcBorders>
            <w:shd w:val="clear" w:color="000000" w:fill="FFFFFF"/>
            <w:noWrap/>
            <w:hideMark/>
          </w:tcPr>
          <w:p w14:paraId="0918F405"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 xml:space="preserve">JAVYS, </w:t>
            </w:r>
            <w:proofErr w:type="spellStart"/>
            <w:r w:rsidRPr="00691349">
              <w:rPr>
                <w:rFonts w:eastAsia="Times New Roman" w:cs="Times New Roman"/>
                <w:sz w:val="18"/>
                <w:szCs w:val="18"/>
                <w:lang w:eastAsia="sk-SK"/>
              </w:rPr>
              <w:t>a.s</w:t>
            </w:r>
            <w:proofErr w:type="spellEnd"/>
            <w:r w:rsidRPr="00691349">
              <w:rPr>
                <w:rFonts w:eastAsia="Times New Roman" w:cs="Times New Roman"/>
                <w:sz w:val="18"/>
                <w:szCs w:val="18"/>
                <w:lang w:eastAsia="sk-SK"/>
              </w:rPr>
              <w:t>.</w:t>
            </w:r>
          </w:p>
        </w:tc>
        <w:tc>
          <w:tcPr>
            <w:tcW w:w="1165" w:type="dxa"/>
            <w:tcBorders>
              <w:top w:val="nil"/>
              <w:left w:val="nil"/>
              <w:bottom w:val="nil"/>
              <w:right w:val="nil"/>
            </w:tcBorders>
            <w:shd w:val="clear" w:color="000000" w:fill="FFFFFF"/>
            <w:noWrap/>
            <w:hideMark/>
          </w:tcPr>
          <w:p w14:paraId="1D562348"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2 973</w:t>
            </w:r>
          </w:p>
        </w:tc>
        <w:tc>
          <w:tcPr>
            <w:tcW w:w="1164" w:type="dxa"/>
            <w:tcBorders>
              <w:top w:val="nil"/>
              <w:left w:val="nil"/>
              <w:bottom w:val="nil"/>
              <w:right w:val="nil"/>
            </w:tcBorders>
            <w:shd w:val="clear" w:color="000000" w:fill="FFFFFF"/>
            <w:noWrap/>
            <w:hideMark/>
          </w:tcPr>
          <w:p w14:paraId="0C94553B"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1 974</w:t>
            </w:r>
          </w:p>
        </w:tc>
        <w:tc>
          <w:tcPr>
            <w:tcW w:w="1209" w:type="dxa"/>
            <w:tcBorders>
              <w:top w:val="nil"/>
              <w:left w:val="nil"/>
              <w:bottom w:val="nil"/>
              <w:right w:val="nil"/>
            </w:tcBorders>
            <w:shd w:val="clear" w:color="000000" w:fill="FFFFFF"/>
            <w:noWrap/>
            <w:hideMark/>
          </w:tcPr>
          <w:p w14:paraId="31966445"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-30 981</w:t>
            </w:r>
          </w:p>
        </w:tc>
        <w:tc>
          <w:tcPr>
            <w:tcW w:w="1167" w:type="dxa"/>
            <w:tcBorders>
              <w:top w:val="nil"/>
              <w:left w:val="nil"/>
              <w:bottom w:val="nil"/>
              <w:right w:val="nil"/>
            </w:tcBorders>
            <w:shd w:val="clear" w:color="000000" w:fill="FFFFFF"/>
            <w:noWrap/>
            <w:hideMark/>
          </w:tcPr>
          <w:p w14:paraId="71916881"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8 336</w:t>
            </w:r>
          </w:p>
        </w:tc>
        <w:tc>
          <w:tcPr>
            <w:tcW w:w="1203" w:type="dxa"/>
            <w:gridSpan w:val="2"/>
            <w:tcBorders>
              <w:top w:val="nil"/>
              <w:left w:val="nil"/>
              <w:bottom w:val="nil"/>
              <w:right w:val="nil"/>
            </w:tcBorders>
            <w:shd w:val="clear" w:color="000000" w:fill="FFFFFF"/>
            <w:noWrap/>
            <w:hideMark/>
          </w:tcPr>
          <w:p w14:paraId="72631AF7"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39 317</w:t>
            </w:r>
          </w:p>
        </w:tc>
      </w:tr>
      <w:tr w:rsidR="004C6700" w:rsidRPr="00691349" w14:paraId="37944FE9" w14:textId="77777777" w:rsidTr="00836EB5">
        <w:trPr>
          <w:trHeight w:val="227"/>
        </w:trPr>
        <w:tc>
          <w:tcPr>
            <w:tcW w:w="223" w:type="dxa"/>
            <w:tcBorders>
              <w:top w:val="nil"/>
              <w:left w:val="nil"/>
              <w:bottom w:val="nil"/>
              <w:right w:val="nil"/>
            </w:tcBorders>
            <w:shd w:val="clear" w:color="000000" w:fill="FFFFFF"/>
            <w:noWrap/>
            <w:hideMark/>
          </w:tcPr>
          <w:p w14:paraId="471A373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 </w:t>
            </w:r>
          </w:p>
        </w:tc>
        <w:tc>
          <w:tcPr>
            <w:tcW w:w="223" w:type="dxa"/>
            <w:tcBorders>
              <w:top w:val="nil"/>
              <w:left w:val="nil"/>
              <w:bottom w:val="nil"/>
              <w:right w:val="nil"/>
            </w:tcBorders>
            <w:shd w:val="clear" w:color="000000" w:fill="FFFFFF"/>
            <w:noWrap/>
            <w:hideMark/>
          </w:tcPr>
          <w:p w14:paraId="53C59904"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 </w:t>
            </w:r>
          </w:p>
        </w:tc>
        <w:tc>
          <w:tcPr>
            <w:tcW w:w="2882" w:type="dxa"/>
            <w:tcBorders>
              <w:top w:val="nil"/>
              <w:left w:val="nil"/>
              <w:bottom w:val="nil"/>
              <w:right w:val="nil"/>
            </w:tcBorders>
            <w:shd w:val="clear" w:color="000000" w:fill="FFFFFF"/>
            <w:noWrap/>
            <w:hideMark/>
          </w:tcPr>
          <w:p w14:paraId="5E8C0C56"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Železnice Slovenskej republiky</w:t>
            </w:r>
          </w:p>
        </w:tc>
        <w:tc>
          <w:tcPr>
            <w:tcW w:w="1165" w:type="dxa"/>
            <w:tcBorders>
              <w:top w:val="nil"/>
              <w:left w:val="nil"/>
              <w:bottom w:val="nil"/>
              <w:right w:val="nil"/>
            </w:tcBorders>
            <w:shd w:val="clear" w:color="000000" w:fill="FFFFFF"/>
            <w:noWrap/>
            <w:hideMark/>
          </w:tcPr>
          <w:p w14:paraId="3DC22FEF"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-18 146</w:t>
            </w:r>
          </w:p>
        </w:tc>
        <w:tc>
          <w:tcPr>
            <w:tcW w:w="1164" w:type="dxa"/>
            <w:tcBorders>
              <w:top w:val="nil"/>
              <w:left w:val="nil"/>
              <w:bottom w:val="nil"/>
              <w:right w:val="nil"/>
            </w:tcBorders>
            <w:shd w:val="clear" w:color="000000" w:fill="FFFFFF"/>
            <w:noWrap/>
            <w:hideMark/>
          </w:tcPr>
          <w:p w14:paraId="5DB5C4DB"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106 668</w:t>
            </w:r>
          </w:p>
        </w:tc>
        <w:tc>
          <w:tcPr>
            <w:tcW w:w="1209" w:type="dxa"/>
            <w:tcBorders>
              <w:top w:val="nil"/>
              <w:left w:val="nil"/>
              <w:bottom w:val="nil"/>
              <w:right w:val="nil"/>
            </w:tcBorders>
            <w:shd w:val="clear" w:color="000000" w:fill="FFFFFF"/>
            <w:noWrap/>
            <w:hideMark/>
          </w:tcPr>
          <w:p w14:paraId="214DE804"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12 981</w:t>
            </w:r>
          </w:p>
        </w:tc>
        <w:tc>
          <w:tcPr>
            <w:tcW w:w="1167" w:type="dxa"/>
            <w:tcBorders>
              <w:top w:val="nil"/>
              <w:left w:val="nil"/>
              <w:bottom w:val="nil"/>
              <w:right w:val="nil"/>
            </w:tcBorders>
            <w:shd w:val="clear" w:color="000000" w:fill="FFFFFF"/>
            <w:noWrap/>
            <w:hideMark/>
          </w:tcPr>
          <w:p w14:paraId="44CAAEDB"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-33 092</w:t>
            </w:r>
          </w:p>
        </w:tc>
        <w:tc>
          <w:tcPr>
            <w:tcW w:w="1203" w:type="dxa"/>
            <w:gridSpan w:val="2"/>
            <w:tcBorders>
              <w:top w:val="nil"/>
              <w:left w:val="nil"/>
              <w:bottom w:val="nil"/>
              <w:right w:val="nil"/>
            </w:tcBorders>
            <w:shd w:val="clear" w:color="000000" w:fill="FFFFFF"/>
            <w:noWrap/>
            <w:hideMark/>
          </w:tcPr>
          <w:p w14:paraId="2EA2D363"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-46 073</w:t>
            </w:r>
          </w:p>
        </w:tc>
      </w:tr>
      <w:tr w:rsidR="004C6700" w:rsidRPr="00691349" w14:paraId="35738B86" w14:textId="77777777" w:rsidTr="00836EB5">
        <w:trPr>
          <w:trHeight w:val="227"/>
        </w:trPr>
        <w:tc>
          <w:tcPr>
            <w:tcW w:w="223" w:type="dxa"/>
            <w:tcBorders>
              <w:top w:val="nil"/>
              <w:left w:val="nil"/>
              <w:bottom w:val="nil"/>
              <w:right w:val="nil"/>
            </w:tcBorders>
            <w:shd w:val="clear" w:color="000000" w:fill="FFFFFF"/>
            <w:noWrap/>
            <w:hideMark/>
          </w:tcPr>
          <w:p w14:paraId="4FCA7A68"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 </w:t>
            </w:r>
          </w:p>
        </w:tc>
        <w:tc>
          <w:tcPr>
            <w:tcW w:w="223" w:type="dxa"/>
            <w:tcBorders>
              <w:top w:val="nil"/>
              <w:left w:val="nil"/>
              <w:bottom w:val="nil"/>
              <w:right w:val="nil"/>
            </w:tcBorders>
            <w:shd w:val="clear" w:color="000000" w:fill="FFFFFF"/>
            <w:noWrap/>
            <w:hideMark/>
          </w:tcPr>
          <w:p w14:paraId="25C6BCAD"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 </w:t>
            </w:r>
          </w:p>
        </w:tc>
        <w:tc>
          <w:tcPr>
            <w:tcW w:w="2882" w:type="dxa"/>
            <w:tcBorders>
              <w:top w:val="nil"/>
              <w:left w:val="nil"/>
              <w:bottom w:val="nil"/>
              <w:right w:val="nil"/>
            </w:tcBorders>
            <w:shd w:val="clear" w:color="000000" w:fill="FFFFFF"/>
            <w:noWrap/>
            <w:hideMark/>
          </w:tcPr>
          <w:p w14:paraId="54410AF8"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 xml:space="preserve">Železničná spoločnosť Slovensko, </w:t>
            </w:r>
            <w:proofErr w:type="spellStart"/>
            <w:r w:rsidRPr="00691349">
              <w:rPr>
                <w:rFonts w:eastAsia="Times New Roman" w:cs="Times New Roman"/>
                <w:sz w:val="18"/>
                <w:szCs w:val="18"/>
                <w:lang w:eastAsia="sk-SK"/>
              </w:rPr>
              <w:t>a.s</w:t>
            </w:r>
            <w:proofErr w:type="spellEnd"/>
            <w:r w:rsidRPr="00691349">
              <w:rPr>
                <w:rFonts w:eastAsia="Times New Roman" w:cs="Times New Roman"/>
                <w:sz w:val="18"/>
                <w:szCs w:val="18"/>
                <w:lang w:eastAsia="sk-SK"/>
              </w:rPr>
              <w:t>.</w:t>
            </w:r>
          </w:p>
        </w:tc>
        <w:tc>
          <w:tcPr>
            <w:tcW w:w="1165" w:type="dxa"/>
            <w:tcBorders>
              <w:top w:val="nil"/>
              <w:left w:val="nil"/>
              <w:bottom w:val="nil"/>
              <w:right w:val="nil"/>
            </w:tcBorders>
            <w:shd w:val="clear" w:color="000000" w:fill="FFFFFF"/>
            <w:noWrap/>
            <w:hideMark/>
          </w:tcPr>
          <w:p w14:paraId="5E4EA8EE"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187 769</w:t>
            </w:r>
          </w:p>
        </w:tc>
        <w:tc>
          <w:tcPr>
            <w:tcW w:w="1164" w:type="dxa"/>
            <w:tcBorders>
              <w:top w:val="nil"/>
              <w:left w:val="nil"/>
              <w:bottom w:val="nil"/>
              <w:right w:val="nil"/>
            </w:tcBorders>
            <w:shd w:val="clear" w:color="000000" w:fill="FFFFFF"/>
            <w:noWrap/>
            <w:hideMark/>
          </w:tcPr>
          <w:p w14:paraId="0AB38E54"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-4 029</w:t>
            </w:r>
          </w:p>
        </w:tc>
        <w:tc>
          <w:tcPr>
            <w:tcW w:w="1209" w:type="dxa"/>
            <w:tcBorders>
              <w:top w:val="nil"/>
              <w:left w:val="nil"/>
              <w:bottom w:val="nil"/>
              <w:right w:val="nil"/>
            </w:tcBorders>
            <w:shd w:val="clear" w:color="000000" w:fill="FFFFFF"/>
            <w:noWrap/>
            <w:hideMark/>
          </w:tcPr>
          <w:p w14:paraId="2567D428"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13 544</w:t>
            </w:r>
          </w:p>
        </w:tc>
        <w:tc>
          <w:tcPr>
            <w:tcW w:w="1167" w:type="dxa"/>
            <w:tcBorders>
              <w:top w:val="nil"/>
              <w:left w:val="nil"/>
              <w:bottom w:val="nil"/>
              <w:right w:val="nil"/>
            </w:tcBorders>
            <w:shd w:val="clear" w:color="000000" w:fill="FFFFFF"/>
            <w:noWrap/>
            <w:hideMark/>
          </w:tcPr>
          <w:p w14:paraId="1B42B962"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-6 955</w:t>
            </w:r>
          </w:p>
        </w:tc>
        <w:tc>
          <w:tcPr>
            <w:tcW w:w="1203" w:type="dxa"/>
            <w:gridSpan w:val="2"/>
            <w:tcBorders>
              <w:top w:val="nil"/>
              <w:left w:val="nil"/>
              <w:bottom w:val="nil"/>
              <w:right w:val="nil"/>
            </w:tcBorders>
            <w:shd w:val="clear" w:color="000000" w:fill="FFFFFF"/>
            <w:noWrap/>
            <w:hideMark/>
          </w:tcPr>
          <w:p w14:paraId="69CE9694"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-20 499</w:t>
            </w:r>
          </w:p>
        </w:tc>
      </w:tr>
      <w:tr w:rsidR="004C6700" w:rsidRPr="00691349" w14:paraId="6497B2EA" w14:textId="77777777" w:rsidTr="00836EB5">
        <w:trPr>
          <w:trHeight w:val="227"/>
        </w:trPr>
        <w:tc>
          <w:tcPr>
            <w:tcW w:w="223" w:type="dxa"/>
            <w:tcBorders>
              <w:top w:val="nil"/>
              <w:left w:val="nil"/>
              <w:bottom w:val="nil"/>
              <w:right w:val="nil"/>
            </w:tcBorders>
            <w:shd w:val="clear" w:color="000000" w:fill="FFFFFF"/>
            <w:noWrap/>
            <w:hideMark/>
          </w:tcPr>
          <w:p w14:paraId="2CBC72C4"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 </w:t>
            </w:r>
          </w:p>
        </w:tc>
        <w:tc>
          <w:tcPr>
            <w:tcW w:w="223" w:type="dxa"/>
            <w:tcBorders>
              <w:top w:val="nil"/>
              <w:left w:val="nil"/>
              <w:bottom w:val="nil"/>
              <w:right w:val="nil"/>
            </w:tcBorders>
            <w:shd w:val="clear" w:color="000000" w:fill="FFFFFF"/>
            <w:noWrap/>
            <w:hideMark/>
          </w:tcPr>
          <w:p w14:paraId="548B8FEF"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 </w:t>
            </w:r>
          </w:p>
        </w:tc>
        <w:tc>
          <w:tcPr>
            <w:tcW w:w="2882" w:type="dxa"/>
            <w:tcBorders>
              <w:top w:val="nil"/>
              <w:left w:val="nil"/>
              <w:bottom w:val="nil"/>
              <w:right w:val="nil"/>
            </w:tcBorders>
            <w:shd w:val="clear" w:color="000000" w:fill="FFFFFF"/>
            <w:noWrap/>
            <w:hideMark/>
          </w:tcPr>
          <w:p w14:paraId="091DAFA6"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 xml:space="preserve">Národná diaľničná spoločnosť, </w:t>
            </w:r>
            <w:proofErr w:type="spellStart"/>
            <w:r w:rsidRPr="00691349">
              <w:rPr>
                <w:rFonts w:eastAsia="Times New Roman" w:cs="Times New Roman"/>
                <w:sz w:val="18"/>
                <w:szCs w:val="18"/>
                <w:lang w:eastAsia="sk-SK"/>
              </w:rPr>
              <w:t>a.s</w:t>
            </w:r>
            <w:proofErr w:type="spellEnd"/>
            <w:r w:rsidRPr="00691349">
              <w:rPr>
                <w:rFonts w:eastAsia="Times New Roman" w:cs="Times New Roman"/>
                <w:sz w:val="18"/>
                <w:szCs w:val="18"/>
                <w:lang w:eastAsia="sk-SK"/>
              </w:rPr>
              <w:t>.</w:t>
            </w:r>
          </w:p>
        </w:tc>
        <w:tc>
          <w:tcPr>
            <w:tcW w:w="1165" w:type="dxa"/>
            <w:tcBorders>
              <w:top w:val="nil"/>
              <w:left w:val="nil"/>
              <w:bottom w:val="nil"/>
              <w:right w:val="nil"/>
            </w:tcBorders>
            <w:shd w:val="clear" w:color="000000" w:fill="FFFFFF"/>
            <w:noWrap/>
            <w:hideMark/>
          </w:tcPr>
          <w:p w14:paraId="52E83564"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-11 721</w:t>
            </w:r>
          </w:p>
        </w:tc>
        <w:tc>
          <w:tcPr>
            <w:tcW w:w="1164" w:type="dxa"/>
            <w:tcBorders>
              <w:top w:val="nil"/>
              <w:left w:val="nil"/>
              <w:bottom w:val="nil"/>
              <w:right w:val="nil"/>
            </w:tcBorders>
            <w:shd w:val="clear" w:color="000000" w:fill="FFFFFF"/>
            <w:noWrap/>
            <w:hideMark/>
          </w:tcPr>
          <w:p w14:paraId="31551F1C"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-45 578</w:t>
            </w:r>
          </w:p>
        </w:tc>
        <w:tc>
          <w:tcPr>
            <w:tcW w:w="1209" w:type="dxa"/>
            <w:tcBorders>
              <w:top w:val="nil"/>
              <w:left w:val="nil"/>
              <w:bottom w:val="nil"/>
              <w:right w:val="nil"/>
            </w:tcBorders>
            <w:shd w:val="clear" w:color="000000" w:fill="FFFFFF"/>
            <w:noWrap/>
            <w:hideMark/>
          </w:tcPr>
          <w:p w14:paraId="29975096"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0</w:t>
            </w:r>
          </w:p>
        </w:tc>
        <w:tc>
          <w:tcPr>
            <w:tcW w:w="1167" w:type="dxa"/>
            <w:tcBorders>
              <w:top w:val="nil"/>
              <w:left w:val="nil"/>
              <w:bottom w:val="nil"/>
              <w:right w:val="nil"/>
            </w:tcBorders>
            <w:shd w:val="clear" w:color="000000" w:fill="FFFFFF"/>
            <w:noWrap/>
            <w:hideMark/>
          </w:tcPr>
          <w:p w14:paraId="2CFB550C"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53 383</w:t>
            </w:r>
          </w:p>
        </w:tc>
        <w:tc>
          <w:tcPr>
            <w:tcW w:w="1203" w:type="dxa"/>
            <w:gridSpan w:val="2"/>
            <w:tcBorders>
              <w:top w:val="nil"/>
              <w:left w:val="nil"/>
              <w:bottom w:val="nil"/>
              <w:right w:val="nil"/>
            </w:tcBorders>
            <w:shd w:val="clear" w:color="000000" w:fill="FFFFFF"/>
            <w:noWrap/>
            <w:hideMark/>
          </w:tcPr>
          <w:p w14:paraId="40FA7CEF"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53 383</w:t>
            </w:r>
          </w:p>
        </w:tc>
      </w:tr>
      <w:tr w:rsidR="004C6700" w:rsidRPr="00691349" w14:paraId="128785EB" w14:textId="77777777" w:rsidTr="00836EB5">
        <w:trPr>
          <w:trHeight w:val="227"/>
        </w:trPr>
        <w:tc>
          <w:tcPr>
            <w:tcW w:w="223" w:type="dxa"/>
            <w:tcBorders>
              <w:top w:val="nil"/>
              <w:left w:val="nil"/>
              <w:bottom w:val="nil"/>
              <w:right w:val="nil"/>
            </w:tcBorders>
            <w:shd w:val="clear" w:color="000000" w:fill="FFFFFF"/>
            <w:noWrap/>
            <w:hideMark/>
          </w:tcPr>
          <w:p w14:paraId="2AB7AFE6"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 </w:t>
            </w:r>
          </w:p>
        </w:tc>
        <w:tc>
          <w:tcPr>
            <w:tcW w:w="223" w:type="dxa"/>
            <w:tcBorders>
              <w:top w:val="nil"/>
              <w:left w:val="nil"/>
              <w:bottom w:val="nil"/>
              <w:right w:val="nil"/>
            </w:tcBorders>
            <w:shd w:val="clear" w:color="000000" w:fill="FFFFFF"/>
            <w:noWrap/>
            <w:hideMark/>
          </w:tcPr>
          <w:p w14:paraId="63E3CBD1"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 </w:t>
            </w:r>
          </w:p>
        </w:tc>
        <w:tc>
          <w:tcPr>
            <w:tcW w:w="2882" w:type="dxa"/>
            <w:tcBorders>
              <w:top w:val="nil"/>
              <w:left w:val="nil"/>
              <w:bottom w:val="nil"/>
              <w:right w:val="nil"/>
            </w:tcBorders>
            <w:shd w:val="clear" w:color="000000" w:fill="FFFFFF"/>
            <w:noWrap/>
            <w:hideMark/>
          </w:tcPr>
          <w:p w14:paraId="350EF2C8"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 xml:space="preserve">Slovenská konsolidačná, </w:t>
            </w:r>
            <w:proofErr w:type="spellStart"/>
            <w:r w:rsidRPr="00691349">
              <w:rPr>
                <w:rFonts w:eastAsia="Times New Roman" w:cs="Times New Roman"/>
                <w:sz w:val="18"/>
                <w:szCs w:val="18"/>
                <w:lang w:eastAsia="sk-SK"/>
              </w:rPr>
              <w:t>a.s</w:t>
            </w:r>
            <w:proofErr w:type="spellEnd"/>
            <w:r w:rsidRPr="00691349">
              <w:rPr>
                <w:rFonts w:eastAsia="Times New Roman" w:cs="Times New Roman"/>
                <w:sz w:val="18"/>
                <w:szCs w:val="18"/>
                <w:lang w:eastAsia="sk-SK"/>
              </w:rPr>
              <w:t>.</w:t>
            </w:r>
          </w:p>
        </w:tc>
        <w:tc>
          <w:tcPr>
            <w:tcW w:w="1165" w:type="dxa"/>
            <w:tcBorders>
              <w:top w:val="nil"/>
              <w:left w:val="nil"/>
              <w:bottom w:val="nil"/>
              <w:right w:val="nil"/>
            </w:tcBorders>
            <w:shd w:val="clear" w:color="000000" w:fill="FFFFFF"/>
            <w:noWrap/>
            <w:hideMark/>
          </w:tcPr>
          <w:p w14:paraId="1984C50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-2 780</w:t>
            </w:r>
          </w:p>
        </w:tc>
        <w:tc>
          <w:tcPr>
            <w:tcW w:w="1164" w:type="dxa"/>
            <w:tcBorders>
              <w:top w:val="nil"/>
              <w:left w:val="nil"/>
              <w:bottom w:val="nil"/>
              <w:right w:val="nil"/>
            </w:tcBorders>
            <w:shd w:val="clear" w:color="000000" w:fill="FFFFFF"/>
            <w:noWrap/>
            <w:hideMark/>
          </w:tcPr>
          <w:p w14:paraId="1587D711"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3 495</w:t>
            </w:r>
          </w:p>
        </w:tc>
        <w:tc>
          <w:tcPr>
            <w:tcW w:w="1209" w:type="dxa"/>
            <w:tcBorders>
              <w:top w:val="nil"/>
              <w:left w:val="nil"/>
              <w:bottom w:val="nil"/>
              <w:right w:val="nil"/>
            </w:tcBorders>
            <w:shd w:val="clear" w:color="000000" w:fill="FFFFFF"/>
            <w:noWrap/>
            <w:hideMark/>
          </w:tcPr>
          <w:p w14:paraId="17527721"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-3 602</w:t>
            </w:r>
          </w:p>
        </w:tc>
        <w:tc>
          <w:tcPr>
            <w:tcW w:w="1167" w:type="dxa"/>
            <w:tcBorders>
              <w:top w:val="nil"/>
              <w:left w:val="nil"/>
              <w:bottom w:val="nil"/>
              <w:right w:val="nil"/>
            </w:tcBorders>
            <w:shd w:val="clear" w:color="000000" w:fill="FFFFFF"/>
            <w:noWrap/>
            <w:hideMark/>
          </w:tcPr>
          <w:p w14:paraId="51B0D932"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392</w:t>
            </w:r>
          </w:p>
        </w:tc>
        <w:tc>
          <w:tcPr>
            <w:tcW w:w="1203" w:type="dxa"/>
            <w:gridSpan w:val="2"/>
            <w:tcBorders>
              <w:top w:val="nil"/>
              <w:left w:val="nil"/>
              <w:bottom w:val="nil"/>
              <w:right w:val="nil"/>
            </w:tcBorders>
            <w:shd w:val="clear" w:color="000000" w:fill="FFFFFF"/>
            <w:noWrap/>
            <w:hideMark/>
          </w:tcPr>
          <w:p w14:paraId="08893373"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3 994</w:t>
            </w:r>
          </w:p>
        </w:tc>
      </w:tr>
      <w:tr w:rsidR="004C6700" w:rsidRPr="00691349" w14:paraId="57E0F43B" w14:textId="77777777" w:rsidTr="00836EB5">
        <w:trPr>
          <w:trHeight w:val="227"/>
        </w:trPr>
        <w:tc>
          <w:tcPr>
            <w:tcW w:w="223" w:type="dxa"/>
            <w:tcBorders>
              <w:top w:val="nil"/>
              <w:left w:val="nil"/>
              <w:bottom w:val="nil"/>
              <w:right w:val="nil"/>
            </w:tcBorders>
            <w:shd w:val="clear" w:color="000000" w:fill="FFFFFF"/>
            <w:noWrap/>
            <w:hideMark/>
          </w:tcPr>
          <w:p w14:paraId="74293241"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 </w:t>
            </w:r>
          </w:p>
        </w:tc>
        <w:tc>
          <w:tcPr>
            <w:tcW w:w="3105" w:type="dxa"/>
            <w:gridSpan w:val="2"/>
            <w:tcBorders>
              <w:top w:val="nil"/>
              <w:left w:val="nil"/>
              <w:bottom w:val="nil"/>
              <w:right w:val="nil"/>
            </w:tcBorders>
            <w:shd w:val="clear" w:color="000000" w:fill="FFFFFF"/>
            <w:noWrap/>
            <w:hideMark/>
          </w:tcPr>
          <w:p w14:paraId="6B79D60E"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Verejné vysoké školy</w:t>
            </w:r>
          </w:p>
        </w:tc>
        <w:tc>
          <w:tcPr>
            <w:tcW w:w="1165" w:type="dxa"/>
            <w:tcBorders>
              <w:top w:val="nil"/>
              <w:left w:val="nil"/>
              <w:bottom w:val="nil"/>
              <w:right w:val="nil"/>
            </w:tcBorders>
            <w:shd w:val="clear" w:color="000000" w:fill="FFFFFF"/>
            <w:noWrap/>
            <w:hideMark/>
          </w:tcPr>
          <w:p w14:paraId="3C15CD66"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40 394</w:t>
            </w:r>
          </w:p>
        </w:tc>
        <w:tc>
          <w:tcPr>
            <w:tcW w:w="1164" w:type="dxa"/>
            <w:tcBorders>
              <w:top w:val="nil"/>
              <w:left w:val="nil"/>
              <w:bottom w:val="nil"/>
              <w:right w:val="nil"/>
            </w:tcBorders>
            <w:shd w:val="clear" w:color="000000" w:fill="FFFFFF"/>
            <w:noWrap/>
            <w:hideMark/>
          </w:tcPr>
          <w:p w14:paraId="2B7594B4"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-1 806</w:t>
            </w:r>
          </w:p>
        </w:tc>
        <w:tc>
          <w:tcPr>
            <w:tcW w:w="1209" w:type="dxa"/>
            <w:tcBorders>
              <w:top w:val="nil"/>
              <w:left w:val="nil"/>
              <w:bottom w:val="nil"/>
              <w:right w:val="nil"/>
            </w:tcBorders>
            <w:shd w:val="clear" w:color="000000" w:fill="FFFFFF"/>
            <w:noWrap/>
            <w:hideMark/>
          </w:tcPr>
          <w:p w14:paraId="58D67E47"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308</w:t>
            </w:r>
          </w:p>
        </w:tc>
        <w:tc>
          <w:tcPr>
            <w:tcW w:w="1167" w:type="dxa"/>
            <w:tcBorders>
              <w:top w:val="nil"/>
              <w:left w:val="nil"/>
              <w:bottom w:val="nil"/>
              <w:right w:val="nil"/>
            </w:tcBorders>
            <w:shd w:val="clear" w:color="000000" w:fill="FFFFFF"/>
            <w:noWrap/>
            <w:hideMark/>
          </w:tcPr>
          <w:p w14:paraId="37B74F2C"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27 654</w:t>
            </w:r>
          </w:p>
        </w:tc>
        <w:tc>
          <w:tcPr>
            <w:tcW w:w="1203" w:type="dxa"/>
            <w:gridSpan w:val="2"/>
            <w:tcBorders>
              <w:top w:val="nil"/>
              <w:left w:val="nil"/>
              <w:bottom w:val="nil"/>
              <w:right w:val="nil"/>
            </w:tcBorders>
            <w:shd w:val="clear" w:color="000000" w:fill="FFFFFF"/>
            <w:noWrap/>
            <w:hideMark/>
          </w:tcPr>
          <w:p w14:paraId="0E651B9C"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27 346</w:t>
            </w:r>
          </w:p>
        </w:tc>
      </w:tr>
      <w:tr w:rsidR="004C6700" w:rsidRPr="00691349" w14:paraId="7F7A9C21" w14:textId="77777777" w:rsidTr="00836EB5">
        <w:trPr>
          <w:trHeight w:val="227"/>
        </w:trPr>
        <w:tc>
          <w:tcPr>
            <w:tcW w:w="223" w:type="dxa"/>
            <w:tcBorders>
              <w:top w:val="nil"/>
              <w:left w:val="nil"/>
              <w:bottom w:val="nil"/>
              <w:right w:val="nil"/>
            </w:tcBorders>
            <w:shd w:val="clear" w:color="000000" w:fill="FFFFFF"/>
            <w:noWrap/>
            <w:hideMark/>
          </w:tcPr>
          <w:p w14:paraId="6C065CFD"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 </w:t>
            </w:r>
          </w:p>
        </w:tc>
        <w:tc>
          <w:tcPr>
            <w:tcW w:w="3105" w:type="dxa"/>
            <w:gridSpan w:val="2"/>
            <w:tcBorders>
              <w:top w:val="nil"/>
              <w:left w:val="nil"/>
              <w:bottom w:val="nil"/>
              <w:right w:val="nil"/>
            </w:tcBorders>
            <w:shd w:val="clear" w:color="000000" w:fill="FFFFFF"/>
            <w:noWrap/>
            <w:hideMark/>
          </w:tcPr>
          <w:p w14:paraId="4B2A42C8"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Verejné výskumné inštitúcie</w:t>
            </w:r>
          </w:p>
        </w:tc>
        <w:tc>
          <w:tcPr>
            <w:tcW w:w="1165" w:type="dxa"/>
            <w:tcBorders>
              <w:top w:val="nil"/>
              <w:left w:val="nil"/>
              <w:bottom w:val="nil"/>
              <w:right w:val="nil"/>
            </w:tcBorders>
            <w:shd w:val="clear" w:color="000000" w:fill="FFFFFF"/>
            <w:noWrap/>
            <w:hideMark/>
          </w:tcPr>
          <w:p w14:paraId="2F50C9A6"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0</w:t>
            </w:r>
          </w:p>
        </w:tc>
        <w:tc>
          <w:tcPr>
            <w:tcW w:w="1164" w:type="dxa"/>
            <w:tcBorders>
              <w:top w:val="nil"/>
              <w:left w:val="nil"/>
              <w:bottom w:val="nil"/>
              <w:right w:val="nil"/>
            </w:tcBorders>
            <w:shd w:val="clear" w:color="000000" w:fill="FFFFFF"/>
            <w:noWrap/>
            <w:hideMark/>
          </w:tcPr>
          <w:p w14:paraId="4954BAB9"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2 314</w:t>
            </w:r>
          </w:p>
        </w:tc>
        <w:tc>
          <w:tcPr>
            <w:tcW w:w="1209" w:type="dxa"/>
            <w:tcBorders>
              <w:top w:val="nil"/>
              <w:left w:val="nil"/>
              <w:bottom w:val="nil"/>
              <w:right w:val="nil"/>
            </w:tcBorders>
            <w:shd w:val="clear" w:color="000000" w:fill="FFFFFF"/>
            <w:noWrap/>
            <w:hideMark/>
          </w:tcPr>
          <w:p w14:paraId="528C27BE"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250</w:t>
            </w:r>
          </w:p>
        </w:tc>
        <w:tc>
          <w:tcPr>
            <w:tcW w:w="1167" w:type="dxa"/>
            <w:tcBorders>
              <w:top w:val="nil"/>
              <w:left w:val="nil"/>
              <w:bottom w:val="nil"/>
              <w:right w:val="nil"/>
            </w:tcBorders>
            <w:shd w:val="clear" w:color="000000" w:fill="FFFFFF"/>
            <w:noWrap/>
            <w:hideMark/>
          </w:tcPr>
          <w:p w14:paraId="65DD8A60"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3 817</w:t>
            </w:r>
          </w:p>
        </w:tc>
        <w:tc>
          <w:tcPr>
            <w:tcW w:w="1203" w:type="dxa"/>
            <w:gridSpan w:val="2"/>
            <w:tcBorders>
              <w:top w:val="nil"/>
              <w:left w:val="nil"/>
              <w:bottom w:val="nil"/>
              <w:right w:val="nil"/>
            </w:tcBorders>
            <w:shd w:val="clear" w:color="000000" w:fill="FFFFFF"/>
            <w:noWrap/>
            <w:hideMark/>
          </w:tcPr>
          <w:p w14:paraId="7F12635B"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3 567</w:t>
            </w:r>
          </w:p>
        </w:tc>
      </w:tr>
      <w:tr w:rsidR="004C6700" w:rsidRPr="00691349" w14:paraId="26C081AA" w14:textId="77777777" w:rsidTr="00836EB5">
        <w:trPr>
          <w:trHeight w:val="227"/>
        </w:trPr>
        <w:tc>
          <w:tcPr>
            <w:tcW w:w="223" w:type="dxa"/>
            <w:tcBorders>
              <w:top w:val="nil"/>
              <w:left w:val="nil"/>
              <w:bottom w:val="nil"/>
              <w:right w:val="nil"/>
            </w:tcBorders>
            <w:shd w:val="clear" w:color="000000" w:fill="FFFFFF"/>
            <w:noWrap/>
            <w:hideMark/>
          </w:tcPr>
          <w:p w14:paraId="1DC4AAC8"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 </w:t>
            </w:r>
          </w:p>
        </w:tc>
        <w:tc>
          <w:tcPr>
            <w:tcW w:w="3105" w:type="dxa"/>
            <w:gridSpan w:val="2"/>
            <w:tcBorders>
              <w:top w:val="nil"/>
              <w:left w:val="nil"/>
              <w:bottom w:val="nil"/>
              <w:right w:val="nil"/>
            </w:tcBorders>
            <w:shd w:val="clear" w:color="000000" w:fill="FFFFFF"/>
            <w:noWrap/>
            <w:hideMark/>
          </w:tcPr>
          <w:p w14:paraId="1CD879D3"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Zdravotnícke zariadenia ústrednej správy</w:t>
            </w:r>
          </w:p>
        </w:tc>
        <w:tc>
          <w:tcPr>
            <w:tcW w:w="1165" w:type="dxa"/>
            <w:tcBorders>
              <w:top w:val="nil"/>
              <w:left w:val="nil"/>
              <w:bottom w:val="nil"/>
              <w:right w:val="nil"/>
            </w:tcBorders>
            <w:shd w:val="clear" w:color="000000" w:fill="FFFFFF"/>
            <w:noWrap/>
            <w:hideMark/>
          </w:tcPr>
          <w:p w14:paraId="37C64BD9"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-45 957</w:t>
            </w:r>
          </w:p>
        </w:tc>
        <w:tc>
          <w:tcPr>
            <w:tcW w:w="1164" w:type="dxa"/>
            <w:tcBorders>
              <w:top w:val="nil"/>
              <w:left w:val="nil"/>
              <w:bottom w:val="nil"/>
              <w:right w:val="nil"/>
            </w:tcBorders>
            <w:shd w:val="clear" w:color="000000" w:fill="FFFFFF"/>
            <w:noWrap/>
            <w:hideMark/>
          </w:tcPr>
          <w:p w14:paraId="4D58A683"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250 011</w:t>
            </w:r>
          </w:p>
        </w:tc>
        <w:tc>
          <w:tcPr>
            <w:tcW w:w="1209" w:type="dxa"/>
            <w:tcBorders>
              <w:top w:val="nil"/>
              <w:left w:val="nil"/>
              <w:bottom w:val="nil"/>
              <w:right w:val="nil"/>
            </w:tcBorders>
            <w:shd w:val="clear" w:color="000000" w:fill="FFFFFF"/>
            <w:noWrap/>
            <w:hideMark/>
          </w:tcPr>
          <w:p w14:paraId="5CF8D1E5"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5 755</w:t>
            </w:r>
          </w:p>
        </w:tc>
        <w:tc>
          <w:tcPr>
            <w:tcW w:w="1167" w:type="dxa"/>
            <w:tcBorders>
              <w:top w:val="nil"/>
              <w:left w:val="nil"/>
              <w:bottom w:val="nil"/>
              <w:right w:val="nil"/>
            </w:tcBorders>
            <w:shd w:val="clear" w:color="000000" w:fill="FFFFFF"/>
            <w:noWrap/>
            <w:hideMark/>
          </w:tcPr>
          <w:p w14:paraId="50992405"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-281 682</w:t>
            </w:r>
          </w:p>
        </w:tc>
        <w:tc>
          <w:tcPr>
            <w:tcW w:w="1203" w:type="dxa"/>
            <w:gridSpan w:val="2"/>
            <w:tcBorders>
              <w:top w:val="nil"/>
              <w:left w:val="nil"/>
              <w:bottom w:val="nil"/>
              <w:right w:val="nil"/>
            </w:tcBorders>
            <w:shd w:val="clear" w:color="000000" w:fill="FFFFFF"/>
            <w:noWrap/>
            <w:hideMark/>
          </w:tcPr>
          <w:p w14:paraId="1E07A7E3"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-287 437</w:t>
            </w:r>
          </w:p>
        </w:tc>
      </w:tr>
      <w:tr w:rsidR="004C6700" w:rsidRPr="00691349" w14:paraId="47570DD7" w14:textId="77777777" w:rsidTr="00836EB5">
        <w:trPr>
          <w:trHeight w:val="227"/>
        </w:trPr>
        <w:tc>
          <w:tcPr>
            <w:tcW w:w="223" w:type="dxa"/>
            <w:tcBorders>
              <w:top w:val="nil"/>
              <w:left w:val="nil"/>
              <w:bottom w:val="nil"/>
              <w:right w:val="nil"/>
            </w:tcBorders>
            <w:shd w:val="clear" w:color="000000" w:fill="FFFFFF"/>
            <w:noWrap/>
            <w:hideMark/>
          </w:tcPr>
          <w:p w14:paraId="423B1433"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 </w:t>
            </w:r>
          </w:p>
        </w:tc>
        <w:tc>
          <w:tcPr>
            <w:tcW w:w="3105" w:type="dxa"/>
            <w:gridSpan w:val="2"/>
            <w:tcBorders>
              <w:top w:val="nil"/>
              <w:left w:val="nil"/>
              <w:bottom w:val="nil"/>
              <w:right w:val="nil"/>
            </w:tcBorders>
            <w:shd w:val="clear" w:color="000000" w:fill="FFFFFF"/>
            <w:noWrap/>
            <w:hideMark/>
          </w:tcPr>
          <w:p w14:paraId="6F82C044"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Ostatné subjekty ústrednej správy</w:t>
            </w:r>
          </w:p>
        </w:tc>
        <w:tc>
          <w:tcPr>
            <w:tcW w:w="1165" w:type="dxa"/>
            <w:tcBorders>
              <w:top w:val="nil"/>
              <w:left w:val="nil"/>
              <w:bottom w:val="nil"/>
              <w:right w:val="nil"/>
            </w:tcBorders>
            <w:shd w:val="clear" w:color="000000" w:fill="FFFFFF"/>
            <w:noWrap/>
            <w:hideMark/>
          </w:tcPr>
          <w:p w14:paraId="0616E572"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142 818</w:t>
            </w:r>
          </w:p>
        </w:tc>
        <w:tc>
          <w:tcPr>
            <w:tcW w:w="1164" w:type="dxa"/>
            <w:tcBorders>
              <w:top w:val="nil"/>
              <w:left w:val="nil"/>
              <w:bottom w:val="nil"/>
              <w:right w:val="nil"/>
            </w:tcBorders>
            <w:shd w:val="clear" w:color="000000" w:fill="FFFFFF"/>
            <w:noWrap/>
            <w:hideMark/>
          </w:tcPr>
          <w:p w14:paraId="376CF9E4"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263 728</w:t>
            </w:r>
          </w:p>
        </w:tc>
        <w:tc>
          <w:tcPr>
            <w:tcW w:w="1209" w:type="dxa"/>
            <w:tcBorders>
              <w:top w:val="nil"/>
              <w:left w:val="nil"/>
              <w:bottom w:val="nil"/>
              <w:right w:val="nil"/>
            </w:tcBorders>
            <w:shd w:val="clear" w:color="000000" w:fill="FFFFFF"/>
            <w:noWrap/>
            <w:hideMark/>
          </w:tcPr>
          <w:p w14:paraId="6ABB717F"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-88 280</w:t>
            </w:r>
          </w:p>
        </w:tc>
        <w:tc>
          <w:tcPr>
            <w:tcW w:w="1167" w:type="dxa"/>
            <w:tcBorders>
              <w:top w:val="nil"/>
              <w:left w:val="nil"/>
              <w:bottom w:val="nil"/>
              <w:right w:val="nil"/>
            </w:tcBorders>
            <w:shd w:val="clear" w:color="000000" w:fill="FFFFFF"/>
            <w:noWrap/>
            <w:hideMark/>
          </w:tcPr>
          <w:p w14:paraId="33FE14E4"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118 248</w:t>
            </w:r>
          </w:p>
        </w:tc>
        <w:tc>
          <w:tcPr>
            <w:tcW w:w="1203" w:type="dxa"/>
            <w:gridSpan w:val="2"/>
            <w:tcBorders>
              <w:top w:val="nil"/>
              <w:left w:val="nil"/>
              <w:bottom w:val="nil"/>
              <w:right w:val="nil"/>
            </w:tcBorders>
            <w:shd w:val="clear" w:color="000000" w:fill="FFFFFF"/>
            <w:noWrap/>
            <w:hideMark/>
          </w:tcPr>
          <w:p w14:paraId="35743D0E"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206 528</w:t>
            </w:r>
          </w:p>
        </w:tc>
      </w:tr>
      <w:tr w:rsidR="004C6700" w:rsidRPr="00691349" w14:paraId="685174AC" w14:textId="77777777" w:rsidTr="00836EB5">
        <w:trPr>
          <w:trHeight w:val="227"/>
        </w:trPr>
        <w:tc>
          <w:tcPr>
            <w:tcW w:w="3328" w:type="dxa"/>
            <w:gridSpan w:val="3"/>
            <w:tcBorders>
              <w:top w:val="nil"/>
              <w:left w:val="nil"/>
              <w:bottom w:val="nil"/>
              <w:right w:val="nil"/>
            </w:tcBorders>
            <w:shd w:val="clear" w:color="000000" w:fill="FFFFFF"/>
            <w:noWrap/>
            <w:hideMark/>
          </w:tcPr>
          <w:p w14:paraId="71BABD14"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Územná samospráva, z toho</w:t>
            </w:r>
          </w:p>
        </w:tc>
        <w:tc>
          <w:tcPr>
            <w:tcW w:w="1165" w:type="dxa"/>
            <w:tcBorders>
              <w:top w:val="nil"/>
              <w:left w:val="nil"/>
              <w:bottom w:val="nil"/>
              <w:right w:val="nil"/>
            </w:tcBorders>
            <w:shd w:val="clear" w:color="000000" w:fill="FFFFFF"/>
            <w:noWrap/>
            <w:hideMark/>
          </w:tcPr>
          <w:p w14:paraId="23F4AF83"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 </w:t>
            </w:r>
          </w:p>
        </w:tc>
        <w:tc>
          <w:tcPr>
            <w:tcW w:w="1164" w:type="dxa"/>
            <w:tcBorders>
              <w:top w:val="nil"/>
              <w:left w:val="nil"/>
              <w:bottom w:val="nil"/>
              <w:right w:val="nil"/>
            </w:tcBorders>
            <w:shd w:val="clear" w:color="000000" w:fill="FFFFFF"/>
            <w:noWrap/>
            <w:hideMark/>
          </w:tcPr>
          <w:p w14:paraId="7CFE092E"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 </w:t>
            </w:r>
          </w:p>
        </w:tc>
        <w:tc>
          <w:tcPr>
            <w:tcW w:w="1209" w:type="dxa"/>
            <w:tcBorders>
              <w:top w:val="nil"/>
              <w:left w:val="nil"/>
              <w:bottom w:val="nil"/>
              <w:right w:val="nil"/>
            </w:tcBorders>
            <w:shd w:val="clear" w:color="000000" w:fill="FFFFFF"/>
            <w:noWrap/>
            <w:hideMark/>
          </w:tcPr>
          <w:p w14:paraId="38B32CB0"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 </w:t>
            </w:r>
          </w:p>
        </w:tc>
        <w:tc>
          <w:tcPr>
            <w:tcW w:w="1167" w:type="dxa"/>
            <w:tcBorders>
              <w:top w:val="nil"/>
              <w:left w:val="nil"/>
              <w:bottom w:val="nil"/>
              <w:right w:val="nil"/>
            </w:tcBorders>
            <w:shd w:val="clear" w:color="000000" w:fill="FFFFFF"/>
            <w:noWrap/>
            <w:hideMark/>
          </w:tcPr>
          <w:p w14:paraId="4CC622E5"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 </w:t>
            </w:r>
          </w:p>
        </w:tc>
        <w:tc>
          <w:tcPr>
            <w:tcW w:w="1203" w:type="dxa"/>
            <w:gridSpan w:val="2"/>
            <w:tcBorders>
              <w:top w:val="nil"/>
              <w:left w:val="nil"/>
              <w:bottom w:val="nil"/>
              <w:right w:val="nil"/>
            </w:tcBorders>
            <w:shd w:val="clear" w:color="000000" w:fill="FFFFFF"/>
            <w:noWrap/>
            <w:hideMark/>
          </w:tcPr>
          <w:p w14:paraId="6835858E"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 </w:t>
            </w:r>
          </w:p>
        </w:tc>
      </w:tr>
      <w:tr w:rsidR="004C6700" w:rsidRPr="00691349" w14:paraId="1797A0EA" w14:textId="77777777" w:rsidTr="00836EB5">
        <w:trPr>
          <w:trHeight w:val="227"/>
        </w:trPr>
        <w:tc>
          <w:tcPr>
            <w:tcW w:w="223" w:type="dxa"/>
            <w:tcBorders>
              <w:top w:val="nil"/>
              <w:left w:val="nil"/>
              <w:bottom w:val="nil"/>
              <w:right w:val="nil"/>
            </w:tcBorders>
            <w:shd w:val="clear" w:color="000000" w:fill="FFFFFF"/>
            <w:noWrap/>
            <w:hideMark/>
          </w:tcPr>
          <w:p w14:paraId="17F5CD64"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 </w:t>
            </w:r>
          </w:p>
        </w:tc>
        <w:tc>
          <w:tcPr>
            <w:tcW w:w="3105" w:type="dxa"/>
            <w:gridSpan w:val="2"/>
            <w:tcBorders>
              <w:top w:val="nil"/>
              <w:left w:val="nil"/>
              <w:bottom w:val="nil"/>
              <w:right w:val="nil"/>
            </w:tcBorders>
            <w:shd w:val="clear" w:color="000000" w:fill="FFFFFF"/>
            <w:noWrap/>
            <w:hideMark/>
          </w:tcPr>
          <w:p w14:paraId="4BD5462D"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Obce a ich rozpočtové organizácie</w:t>
            </w:r>
          </w:p>
        </w:tc>
        <w:tc>
          <w:tcPr>
            <w:tcW w:w="1165" w:type="dxa"/>
            <w:tcBorders>
              <w:top w:val="nil"/>
              <w:left w:val="nil"/>
              <w:bottom w:val="nil"/>
              <w:right w:val="nil"/>
            </w:tcBorders>
            <w:shd w:val="clear" w:color="000000" w:fill="FFFFFF"/>
            <w:noWrap/>
            <w:hideMark/>
          </w:tcPr>
          <w:p w14:paraId="4FF205D0"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2 371</w:t>
            </w:r>
          </w:p>
        </w:tc>
        <w:tc>
          <w:tcPr>
            <w:tcW w:w="1164" w:type="dxa"/>
            <w:tcBorders>
              <w:top w:val="nil"/>
              <w:left w:val="nil"/>
              <w:bottom w:val="nil"/>
              <w:right w:val="nil"/>
            </w:tcBorders>
            <w:shd w:val="clear" w:color="000000" w:fill="FFFFFF"/>
            <w:noWrap/>
            <w:hideMark/>
          </w:tcPr>
          <w:p w14:paraId="12D5D1C2"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-287 784</w:t>
            </w:r>
          </w:p>
        </w:tc>
        <w:tc>
          <w:tcPr>
            <w:tcW w:w="1209" w:type="dxa"/>
            <w:tcBorders>
              <w:top w:val="nil"/>
              <w:left w:val="nil"/>
              <w:bottom w:val="nil"/>
              <w:right w:val="nil"/>
            </w:tcBorders>
            <w:shd w:val="clear" w:color="000000" w:fill="FFFFFF"/>
            <w:noWrap/>
            <w:hideMark/>
          </w:tcPr>
          <w:p w14:paraId="2FDCC71C"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-255 679</w:t>
            </w:r>
          </w:p>
        </w:tc>
        <w:tc>
          <w:tcPr>
            <w:tcW w:w="1167" w:type="dxa"/>
            <w:tcBorders>
              <w:top w:val="nil"/>
              <w:left w:val="nil"/>
              <w:bottom w:val="nil"/>
              <w:right w:val="nil"/>
            </w:tcBorders>
            <w:shd w:val="clear" w:color="000000" w:fill="FFFFFF"/>
            <w:noWrap/>
            <w:hideMark/>
          </w:tcPr>
          <w:p w14:paraId="43CF4986"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124 779</w:t>
            </w:r>
          </w:p>
        </w:tc>
        <w:tc>
          <w:tcPr>
            <w:tcW w:w="1203" w:type="dxa"/>
            <w:gridSpan w:val="2"/>
            <w:tcBorders>
              <w:top w:val="nil"/>
              <w:left w:val="nil"/>
              <w:bottom w:val="nil"/>
              <w:right w:val="nil"/>
            </w:tcBorders>
            <w:shd w:val="clear" w:color="000000" w:fill="FFFFFF"/>
            <w:noWrap/>
            <w:hideMark/>
          </w:tcPr>
          <w:p w14:paraId="0244770B"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380 458</w:t>
            </w:r>
          </w:p>
        </w:tc>
      </w:tr>
      <w:tr w:rsidR="004C6700" w:rsidRPr="00691349" w14:paraId="54D5AE74" w14:textId="77777777" w:rsidTr="00836EB5">
        <w:trPr>
          <w:trHeight w:val="227"/>
        </w:trPr>
        <w:tc>
          <w:tcPr>
            <w:tcW w:w="223" w:type="dxa"/>
            <w:tcBorders>
              <w:top w:val="nil"/>
              <w:left w:val="nil"/>
              <w:bottom w:val="nil"/>
              <w:right w:val="nil"/>
            </w:tcBorders>
            <w:shd w:val="clear" w:color="000000" w:fill="FFFFFF"/>
            <w:noWrap/>
            <w:hideMark/>
          </w:tcPr>
          <w:p w14:paraId="2F04E22A"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 </w:t>
            </w:r>
          </w:p>
        </w:tc>
        <w:tc>
          <w:tcPr>
            <w:tcW w:w="3105" w:type="dxa"/>
            <w:gridSpan w:val="2"/>
            <w:tcBorders>
              <w:top w:val="nil"/>
              <w:left w:val="nil"/>
              <w:bottom w:val="nil"/>
              <w:right w:val="nil"/>
            </w:tcBorders>
            <w:shd w:val="clear" w:color="000000" w:fill="FFFFFF"/>
            <w:noWrap/>
            <w:hideMark/>
          </w:tcPr>
          <w:p w14:paraId="696535BB"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VÚC a ich rozpočtové organizácie</w:t>
            </w:r>
          </w:p>
        </w:tc>
        <w:tc>
          <w:tcPr>
            <w:tcW w:w="1165" w:type="dxa"/>
            <w:tcBorders>
              <w:top w:val="nil"/>
              <w:left w:val="nil"/>
              <w:bottom w:val="nil"/>
              <w:right w:val="nil"/>
            </w:tcBorders>
            <w:shd w:val="clear" w:color="000000" w:fill="FFFFFF"/>
            <w:noWrap/>
            <w:hideMark/>
          </w:tcPr>
          <w:p w14:paraId="6ACB23EB"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-26 748</w:t>
            </w:r>
          </w:p>
        </w:tc>
        <w:tc>
          <w:tcPr>
            <w:tcW w:w="1164" w:type="dxa"/>
            <w:tcBorders>
              <w:top w:val="nil"/>
              <w:left w:val="nil"/>
              <w:bottom w:val="nil"/>
              <w:right w:val="nil"/>
            </w:tcBorders>
            <w:shd w:val="clear" w:color="000000" w:fill="FFFFFF"/>
            <w:noWrap/>
            <w:hideMark/>
          </w:tcPr>
          <w:p w14:paraId="0E2DD82C"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-141 839</w:t>
            </w:r>
          </w:p>
        </w:tc>
        <w:tc>
          <w:tcPr>
            <w:tcW w:w="1209" w:type="dxa"/>
            <w:tcBorders>
              <w:top w:val="nil"/>
              <w:left w:val="nil"/>
              <w:bottom w:val="nil"/>
              <w:right w:val="nil"/>
            </w:tcBorders>
            <w:shd w:val="clear" w:color="000000" w:fill="FFFFFF"/>
            <w:noWrap/>
            <w:hideMark/>
          </w:tcPr>
          <w:p w14:paraId="0FCAD5BF"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-50 167</w:t>
            </w:r>
          </w:p>
        </w:tc>
        <w:tc>
          <w:tcPr>
            <w:tcW w:w="1167" w:type="dxa"/>
            <w:tcBorders>
              <w:top w:val="nil"/>
              <w:left w:val="nil"/>
              <w:bottom w:val="nil"/>
              <w:right w:val="nil"/>
            </w:tcBorders>
            <w:shd w:val="clear" w:color="000000" w:fill="FFFFFF"/>
            <w:noWrap/>
            <w:hideMark/>
          </w:tcPr>
          <w:p w14:paraId="7376B7FB"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-89 995</w:t>
            </w:r>
          </w:p>
        </w:tc>
        <w:tc>
          <w:tcPr>
            <w:tcW w:w="1203" w:type="dxa"/>
            <w:gridSpan w:val="2"/>
            <w:tcBorders>
              <w:top w:val="nil"/>
              <w:left w:val="nil"/>
              <w:bottom w:val="nil"/>
              <w:right w:val="nil"/>
            </w:tcBorders>
            <w:shd w:val="clear" w:color="000000" w:fill="FFFFFF"/>
            <w:noWrap/>
            <w:hideMark/>
          </w:tcPr>
          <w:p w14:paraId="2C7D0FD8"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-39 828</w:t>
            </w:r>
          </w:p>
        </w:tc>
      </w:tr>
      <w:tr w:rsidR="004C6700" w:rsidRPr="00691349" w14:paraId="2FAADC9E" w14:textId="77777777" w:rsidTr="00836EB5">
        <w:trPr>
          <w:trHeight w:val="227"/>
        </w:trPr>
        <w:tc>
          <w:tcPr>
            <w:tcW w:w="223" w:type="dxa"/>
            <w:tcBorders>
              <w:top w:val="nil"/>
              <w:left w:val="nil"/>
              <w:bottom w:val="nil"/>
              <w:right w:val="nil"/>
            </w:tcBorders>
            <w:shd w:val="clear" w:color="000000" w:fill="FFFFFF"/>
            <w:noWrap/>
            <w:hideMark/>
          </w:tcPr>
          <w:p w14:paraId="249281F1"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 </w:t>
            </w:r>
          </w:p>
        </w:tc>
        <w:tc>
          <w:tcPr>
            <w:tcW w:w="3105" w:type="dxa"/>
            <w:gridSpan w:val="2"/>
            <w:tcBorders>
              <w:top w:val="nil"/>
              <w:left w:val="nil"/>
              <w:bottom w:val="nil"/>
              <w:right w:val="nil"/>
            </w:tcBorders>
            <w:shd w:val="clear" w:color="000000" w:fill="FFFFFF"/>
            <w:noWrap/>
            <w:hideMark/>
          </w:tcPr>
          <w:p w14:paraId="238FC050"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Príspevkové organizácie obcí</w:t>
            </w:r>
          </w:p>
        </w:tc>
        <w:tc>
          <w:tcPr>
            <w:tcW w:w="1165" w:type="dxa"/>
            <w:tcBorders>
              <w:top w:val="nil"/>
              <w:left w:val="nil"/>
              <w:bottom w:val="nil"/>
              <w:right w:val="nil"/>
            </w:tcBorders>
            <w:shd w:val="clear" w:color="000000" w:fill="FFFFFF"/>
            <w:noWrap/>
            <w:hideMark/>
          </w:tcPr>
          <w:p w14:paraId="5CD174A8"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44</w:t>
            </w:r>
          </w:p>
        </w:tc>
        <w:tc>
          <w:tcPr>
            <w:tcW w:w="1164" w:type="dxa"/>
            <w:tcBorders>
              <w:top w:val="nil"/>
              <w:left w:val="nil"/>
              <w:bottom w:val="nil"/>
              <w:right w:val="nil"/>
            </w:tcBorders>
            <w:shd w:val="clear" w:color="000000" w:fill="FFFFFF"/>
            <w:noWrap/>
            <w:hideMark/>
          </w:tcPr>
          <w:p w14:paraId="6A7548B1"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-1 694</w:t>
            </w:r>
          </w:p>
        </w:tc>
        <w:tc>
          <w:tcPr>
            <w:tcW w:w="1209" w:type="dxa"/>
            <w:tcBorders>
              <w:top w:val="nil"/>
              <w:left w:val="nil"/>
              <w:bottom w:val="nil"/>
              <w:right w:val="nil"/>
            </w:tcBorders>
            <w:shd w:val="clear" w:color="000000" w:fill="FFFFFF"/>
            <w:noWrap/>
            <w:hideMark/>
          </w:tcPr>
          <w:p w14:paraId="30728B37"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6 163</w:t>
            </w:r>
          </w:p>
        </w:tc>
        <w:tc>
          <w:tcPr>
            <w:tcW w:w="1167" w:type="dxa"/>
            <w:tcBorders>
              <w:top w:val="nil"/>
              <w:left w:val="nil"/>
              <w:bottom w:val="nil"/>
              <w:right w:val="nil"/>
            </w:tcBorders>
            <w:shd w:val="clear" w:color="000000" w:fill="FFFFFF"/>
            <w:noWrap/>
            <w:hideMark/>
          </w:tcPr>
          <w:p w14:paraId="35537973"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1 213</w:t>
            </w:r>
          </w:p>
        </w:tc>
        <w:tc>
          <w:tcPr>
            <w:tcW w:w="1203" w:type="dxa"/>
            <w:gridSpan w:val="2"/>
            <w:tcBorders>
              <w:top w:val="nil"/>
              <w:left w:val="nil"/>
              <w:bottom w:val="nil"/>
              <w:right w:val="nil"/>
            </w:tcBorders>
            <w:shd w:val="clear" w:color="000000" w:fill="FFFFFF"/>
            <w:noWrap/>
            <w:hideMark/>
          </w:tcPr>
          <w:p w14:paraId="5E66FAA8"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-4 950</w:t>
            </w:r>
          </w:p>
        </w:tc>
      </w:tr>
      <w:tr w:rsidR="004C6700" w:rsidRPr="00691349" w14:paraId="38253290" w14:textId="77777777" w:rsidTr="00836EB5">
        <w:trPr>
          <w:trHeight w:val="227"/>
        </w:trPr>
        <w:tc>
          <w:tcPr>
            <w:tcW w:w="223" w:type="dxa"/>
            <w:tcBorders>
              <w:top w:val="nil"/>
              <w:left w:val="nil"/>
              <w:bottom w:val="nil"/>
              <w:right w:val="nil"/>
            </w:tcBorders>
            <w:shd w:val="clear" w:color="000000" w:fill="FFFFFF"/>
            <w:noWrap/>
            <w:hideMark/>
          </w:tcPr>
          <w:p w14:paraId="48DE6E38"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 </w:t>
            </w:r>
          </w:p>
        </w:tc>
        <w:tc>
          <w:tcPr>
            <w:tcW w:w="3105" w:type="dxa"/>
            <w:gridSpan w:val="2"/>
            <w:tcBorders>
              <w:top w:val="nil"/>
              <w:left w:val="nil"/>
              <w:bottom w:val="nil"/>
              <w:right w:val="nil"/>
            </w:tcBorders>
            <w:shd w:val="clear" w:color="000000" w:fill="FFFFFF"/>
            <w:noWrap/>
            <w:hideMark/>
          </w:tcPr>
          <w:p w14:paraId="18372580"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Príspevkové organizácie VÚC</w:t>
            </w:r>
          </w:p>
        </w:tc>
        <w:tc>
          <w:tcPr>
            <w:tcW w:w="1165" w:type="dxa"/>
            <w:tcBorders>
              <w:top w:val="nil"/>
              <w:left w:val="nil"/>
              <w:bottom w:val="nil"/>
              <w:right w:val="nil"/>
            </w:tcBorders>
            <w:shd w:val="clear" w:color="000000" w:fill="FFFFFF"/>
            <w:noWrap/>
            <w:hideMark/>
          </w:tcPr>
          <w:p w14:paraId="16A65A19"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13 940</w:t>
            </w:r>
          </w:p>
        </w:tc>
        <w:tc>
          <w:tcPr>
            <w:tcW w:w="1164" w:type="dxa"/>
            <w:tcBorders>
              <w:top w:val="nil"/>
              <w:left w:val="nil"/>
              <w:bottom w:val="nil"/>
              <w:right w:val="nil"/>
            </w:tcBorders>
            <w:shd w:val="clear" w:color="000000" w:fill="FFFFFF"/>
            <w:noWrap/>
            <w:hideMark/>
          </w:tcPr>
          <w:p w14:paraId="06DB2636"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-1 050</w:t>
            </w:r>
          </w:p>
        </w:tc>
        <w:tc>
          <w:tcPr>
            <w:tcW w:w="1209" w:type="dxa"/>
            <w:tcBorders>
              <w:top w:val="nil"/>
              <w:left w:val="nil"/>
              <w:bottom w:val="nil"/>
              <w:right w:val="nil"/>
            </w:tcBorders>
            <w:shd w:val="clear" w:color="000000" w:fill="FFFFFF"/>
            <w:noWrap/>
            <w:hideMark/>
          </w:tcPr>
          <w:p w14:paraId="205590C7"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9 287</w:t>
            </w:r>
          </w:p>
        </w:tc>
        <w:tc>
          <w:tcPr>
            <w:tcW w:w="1167" w:type="dxa"/>
            <w:tcBorders>
              <w:top w:val="nil"/>
              <w:left w:val="nil"/>
              <w:bottom w:val="nil"/>
              <w:right w:val="nil"/>
            </w:tcBorders>
            <w:shd w:val="clear" w:color="000000" w:fill="FFFFFF"/>
            <w:noWrap/>
            <w:hideMark/>
          </w:tcPr>
          <w:p w14:paraId="0D9FEDC0"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11 419</w:t>
            </w:r>
          </w:p>
        </w:tc>
        <w:tc>
          <w:tcPr>
            <w:tcW w:w="1203" w:type="dxa"/>
            <w:gridSpan w:val="2"/>
            <w:tcBorders>
              <w:top w:val="nil"/>
              <w:left w:val="nil"/>
              <w:bottom w:val="nil"/>
              <w:right w:val="nil"/>
            </w:tcBorders>
            <w:shd w:val="clear" w:color="000000" w:fill="FFFFFF"/>
            <w:noWrap/>
            <w:hideMark/>
          </w:tcPr>
          <w:p w14:paraId="4B708EDB"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2 132</w:t>
            </w:r>
          </w:p>
        </w:tc>
      </w:tr>
      <w:tr w:rsidR="004C6700" w:rsidRPr="00691349" w14:paraId="7884E856" w14:textId="77777777" w:rsidTr="00836EB5">
        <w:trPr>
          <w:trHeight w:val="227"/>
        </w:trPr>
        <w:tc>
          <w:tcPr>
            <w:tcW w:w="223" w:type="dxa"/>
            <w:tcBorders>
              <w:top w:val="nil"/>
              <w:left w:val="nil"/>
              <w:bottom w:val="nil"/>
              <w:right w:val="nil"/>
            </w:tcBorders>
            <w:shd w:val="clear" w:color="000000" w:fill="FFFFFF"/>
            <w:noWrap/>
            <w:hideMark/>
          </w:tcPr>
          <w:p w14:paraId="06119156"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 </w:t>
            </w:r>
          </w:p>
        </w:tc>
        <w:tc>
          <w:tcPr>
            <w:tcW w:w="3105" w:type="dxa"/>
            <w:gridSpan w:val="2"/>
            <w:tcBorders>
              <w:top w:val="nil"/>
              <w:left w:val="nil"/>
              <w:bottom w:val="nil"/>
              <w:right w:val="nil"/>
            </w:tcBorders>
            <w:shd w:val="clear" w:color="000000" w:fill="FFFFFF"/>
            <w:noWrap/>
            <w:hideMark/>
          </w:tcPr>
          <w:p w14:paraId="6B014D9B"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Dopravné podniky</w:t>
            </w:r>
          </w:p>
        </w:tc>
        <w:tc>
          <w:tcPr>
            <w:tcW w:w="1165" w:type="dxa"/>
            <w:tcBorders>
              <w:top w:val="nil"/>
              <w:left w:val="nil"/>
              <w:bottom w:val="nil"/>
              <w:right w:val="nil"/>
            </w:tcBorders>
            <w:shd w:val="clear" w:color="000000" w:fill="FFFFFF"/>
            <w:noWrap/>
            <w:hideMark/>
          </w:tcPr>
          <w:p w14:paraId="2C0B2A72"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-9 641</w:t>
            </w:r>
          </w:p>
        </w:tc>
        <w:tc>
          <w:tcPr>
            <w:tcW w:w="1164" w:type="dxa"/>
            <w:tcBorders>
              <w:top w:val="nil"/>
              <w:left w:val="nil"/>
              <w:bottom w:val="nil"/>
              <w:right w:val="nil"/>
            </w:tcBorders>
            <w:shd w:val="clear" w:color="000000" w:fill="FFFFFF"/>
            <w:noWrap/>
            <w:hideMark/>
          </w:tcPr>
          <w:p w14:paraId="43682A0F"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-9 411</w:t>
            </w:r>
          </w:p>
        </w:tc>
        <w:tc>
          <w:tcPr>
            <w:tcW w:w="1209" w:type="dxa"/>
            <w:tcBorders>
              <w:top w:val="nil"/>
              <w:left w:val="nil"/>
              <w:bottom w:val="nil"/>
              <w:right w:val="nil"/>
            </w:tcBorders>
            <w:shd w:val="clear" w:color="000000" w:fill="FFFFFF"/>
            <w:noWrap/>
            <w:hideMark/>
          </w:tcPr>
          <w:p w14:paraId="0E2268B4"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-32 507</w:t>
            </w:r>
          </w:p>
        </w:tc>
        <w:tc>
          <w:tcPr>
            <w:tcW w:w="1167" w:type="dxa"/>
            <w:tcBorders>
              <w:top w:val="nil"/>
              <w:left w:val="nil"/>
              <w:bottom w:val="nil"/>
              <w:right w:val="nil"/>
            </w:tcBorders>
            <w:shd w:val="clear" w:color="000000" w:fill="FFFFFF"/>
            <w:noWrap/>
            <w:hideMark/>
          </w:tcPr>
          <w:p w14:paraId="59178067"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63 062</w:t>
            </w:r>
          </w:p>
        </w:tc>
        <w:tc>
          <w:tcPr>
            <w:tcW w:w="1203" w:type="dxa"/>
            <w:gridSpan w:val="2"/>
            <w:tcBorders>
              <w:top w:val="nil"/>
              <w:left w:val="nil"/>
              <w:bottom w:val="nil"/>
              <w:right w:val="nil"/>
            </w:tcBorders>
            <w:shd w:val="clear" w:color="000000" w:fill="FFFFFF"/>
            <w:noWrap/>
            <w:hideMark/>
          </w:tcPr>
          <w:p w14:paraId="75A5E667"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95 569</w:t>
            </w:r>
          </w:p>
        </w:tc>
      </w:tr>
      <w:tr w:rsidR="004C6700" w:rsidRPr="00691349" w14:paraId="1C08EBEB" w14:textId="77777777" w:rsidTr="00836EB5">
        <w:trPr>
          <w:trHeight w:val="227"/>
        </w:trPr>
        <w:tc>
          <w:tcPr>
            <w:tcW w:w="223" w:type="dxa"/>
            <w:tcBorders>
              <w:top w:val="nil"/>
              <w:left w:val="nil"/>
              <w:bottom w:val="nil"/>
              <w:right w:val="nil"/>
            </w:tcBorders>
            <w:shd w:val="clear" w:color="000000" w:fill="FFFFFF"/>
            <w:noWrap/>
            <w:hideMark/>
          </w:tcPr>
          <w:p w14:paraId="1DD2333D"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 </w:t>
            </w:r>
          </w:p>
        </w:tc>
        <w:tc>
          <w:tcPr>
            <w:tcW w:w="3105" w:type="dxa"/>
            <w:gridSpan w:val="2"/>
            <w:tcBorders>
              <w:top w:val="nil"/>
              <w:left w:val="nil"/>
              <w:bottom w:val="nil"/>
              <w:right w:val="nil"/>
            </w:tcBorders>
            <w:shd w:val="clear" w:color="000000" w:fill="FFFFFF"/>
            <w:hideMark/>
          </w:tcPr>
          <w:p w14:paraId="240478B7"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Zdravotnícke zariadenia územnej samosprávy</w:t>
            </w:r>
          </w:p>
        </w:tc>
        <w:tc>
          <w:tcPr>
            <w:tcW w:w="1165" w:type="dxa"/>
            <w:tcBorders>
              <w:top w:val="nil"/>
              <w:left w:val="nil"/>
              <w:bottom w:val="nil"/>
              <w:right w:val="nil"/>
            </w:tcBorders>
            <w:shd w:val="clear" w:color="000000" w:fill="FFFFFF"/>
            <w:noWrap/>
            <w:hideMark/>
          </w:tcPr>
          <w:p w14:paraId="5A97B7E1"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-8 710</w:t>
            </w:r>
          </w:p>
        </w:tc>
        <w:tc>
          <w:tcPr>
            <w:tcW w:w="1164" w:type="dxa"/>
            <w:tcBorders>
              <w:top w:val="nil"/>
              <w:left w:val="nil"/>
              <w:bottom w:val="nil"/>
              <w:right w:val="nil"/>
            </w:tcBorders>
            <w:shd w:val="clear" w:color="000000" w:fill="FFFFFF"/>
            <w:noWrap/>
            <w:hideMark/>
          </w:tcPr>
          <w:p w14:paraId="097623CF"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29 023</w:t>
            </w:r>
          </w:p>
        </w:tc>
        <w:tc>
          <w:tcPr>
            <w:tcW w:w="1209" w:type="dxa"/>
            <w:tcBorders>
              <w:top w:val="nil"/>
              <w:left w:val="nil"/>
              <w:bottom w:val="nil"/>
              <w:right w:val="nil"/>
            </w:tcBorders>
            <w:shd w:val="clear" w:color="000000" w:fill="FFFFFF"/>
            <w:noWrap/>
            <w:hideMark/>
          </w:tcPr>
          <w:p w14:paraId="14487359"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293</w:t>
            </w:r>
          </w:p>
        </w:tc>
        <w:tc>
          <w:tcPr>
            <w:tcW w:w="1167" w:type="dxa"/>
            <w:tcBorders>
              <w:top w:val="nil"/>
              <w:left w:val="nil"/>
              <w:bottom w:val="nil"/>
              <w:right w:val="nil"/>
            </w:tcBorders>
            <w:shd w:val="clear" w:color="000000" w:fill="FFFFFF"/>
            <w:noWrap/>
            <w:hideMark/>
          </w:tcPr>
          <w:p w14:paraId="3A7DEB2F"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-13 352</w:t>
            </w:r>
          </w:p>
        </w:tc>
        <w:tc>
          <w:tcPr>
            <w:tcW w:w="1203" w:type="dxa"/>
            <w:gridSpan w:val="2"/>
            <w:tcBorders>
              <w:top w:val="nil"/>
              <w:left w:val="nil"/>
              <w:bottom w:val="nil"/>
              <w:right w:val="nil"/>
            </w:tcBorders>
            <w:shd w:val="clear" w:color="000000" w:fill="FFFFFF"/>
            <w:noWrap/>
            <w:hideMark/>
          </w:tcPr>
          <w:p w14:paraId="0BB4395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-13 645</w:t>
            </w:r>
          </w:p>
        </w:tc>
      </w:tr>
      <w:tr w:rsidR="004C6700" w:rsidRPr="00691349" w14:paraId="25411F1B" w14:textId="77777777" w:rsidTr="00836EB5">
        <w:trPr>
          <w:trHeight w:val="227"/>
        </w:trPr>
        <w:tc>
          <w:tcPr>
            <w:tcW w:w="223" w:type="dxa"/>
            <w:tcBorders>
              <w:top w:val="nil"/>
              <w:left w:val="nil"/>
              <w:bottom w:val="nil"/>
              <w:right w:val="nil"/>
            </w:tcBorders>
            <w:shd w:val="clear" w:color="000000" w:fill="FFFFFF"/>
            <w:noWrap/>
            <w:hideMark/>
          </w:tcPr>
          <w:p w14:paraId="1D4F4F05"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 </w:t>
            </w:r>
          </w:p>
        </w:tc>
        <w:tc>
          <w:tcPr>
            <w:tcW w:w="3105" w:type="dxa"/>
            <w:gridSpan w:val="2"/>
            <w:tcBorders>
              <w:top w:val="nil"/>
              <w:left w:val="nil"/>
              <w:bottom w:val="nil"/>
              <w:right w:val="nil"/>
            </w:tcBorders>
            <w:shd w:val="clear" w:color="000000" w:fill="FFFFFF"/>
            <w:noWrap/>
            <w:hideMark/>
          </w:tcPr>
          <w:p w14:paraId="06973296"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Ostatné subjekty územnej samosprávy</w:t>
            </w:r>
          </w:p>
        </w:tc>
        <w:tc>
          <w:tcPr>
            <w:tcW w:w="1165" w:type="dxa"/>
            <w:tcBorders>
              <w:top w:val="nil"/>
              <w:left w:val="nil"/>
              <w:bottom w:val="nil"/>
              <w:right w:val="nil"/>
            </w:tcBorders>
            <w:shd w:val="clear" w:color="000000" w:fill="FFFFFF"/>
            <w:noWrap/>
            <w:hideMark/>
          </w:tcPr>
          <w:p w14:paraId="717C47B5"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7 550</w:t>
            </w:r>
          </w:p>
        </w:tc>
        <w:tc>
          <w:tcPr>
            <w:tcW w:w="1164" w:type="dxa"/>
            <w:tcBorders>
              <w:top w:val="nil"/>
              <w:left w:val="nil"/>
              <w:bottom w:val="nil"/>
              <w:right w:val="nil"/>
            </w:tcBorders>
            <w:shd w:val="clear" w:color="000000" w:fill="FFFFFF"/>
            <w:noWrap/>
            <w:hideMark/>
          </w:tcPr>
          <w:p w14:paraId="47D7D2D4"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821</w:t>
            </w:r>
          </w:p>
        </w:tc>
        <w:tc>
          <w:tcPr>
            <w:tcW w:w="1209" w:type="dxa"/>
            <w:tcBorders>
              <w:top w:val="nil"/>
              <w:left w:val="nil"/>
              <w:bottom w:val="nil"/>
              <w:right w:val="nil"/>
            </w:tcBorders>
            <w:shd w:val="clear" w:color="000000" w:fill="FFFFFF"/>
            <w:noWrap/>
            <w:hideMark/>
          </w:tcPr>
          <w:p w14:paraId="3DBFF465"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0</w:t>
            </w:r>
          </w:p>
        </w:tc>
        <w:tc>
          <w:tcPr>
            <w:tcW w:w="1167" w:type="dxa"/>
            <w:tcBorders>
              <w:top w:val="nil"/>
              <w:left w:val="nil"/>
              <w:bottom w:val="nil"/>
              <w:right w:val="nil"/>
            </w:tcBorders>
            <w:shd w:val="clear" w:color="000000" w:fill="FFFFFF"/>
            <w:noWrap/>
            <w:hideMark/>
          </w:tcPr>
          <w:p w14:paraId="080F9751"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581</w:t>
            </w:r>
          </w:p>
        </w:tc>
        <w:tc>
          <w:tcPr>
            <w:tcW w:w="1203" w:type="dxa"/>
            <w:gridSpan w:val="2"/>
            <w:tcBorders>
              <w:top w:val="nil"/>
              <w:left w:val="nil"/>
              <w:bottom w:val="nil"/>
              <w:right w:val="nil"/>
            </w:tcBorders>
            <w:shd w:val="clear" w:color="000000" w:fill="FFFFFF"/>
            <w:noWrap/>
            <w:hideMark/>
          </w:tcPr>
          <w:p w14:paraId="592CC2FC"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581</w:t>
            </w:r>
          </w:p>
        </w:tc>
      </w:tr>
      <w:tr w:rsidR="004C6700" w:rsidRPr="00691349" w14:paraId="3E4D389B" w14:textId="77777777" w:rsidTr="00836EB5">
        <w:trPr>
          <w:trHeight w:val="227"/>
        </w:trPr>
        <w:tc>
          <w:tcPr>
            <w:tcW w:w="3328" w:type="dxa"/>
            <w:gridSpan w:val="3"/>
            <w:tcBorders>
              <w:top w:val="nil"/>
              <w:left w:val="nil"/>
              <w:bottom w:val="nil"/>
              <w:right w:val="nil"/>
            </w:tcBorders>
            <w:shd w:val="clear" w:color="000000" w:fill="FFFFFF"/>
            <w:noWrap/>
            <w:hideMark/>
          </w:tcPr>
          <w:p w14:paraId="4E531551"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Fondy sociálneho zabezpečenia</w:t>
            </w:r>
          </w:p>
        </w:tc>
        <w:tc>
          <w:tcPr>
            <w:tcW w:w="1165" w:type="dxa"/>
            <w:tcBorders>
              <w:top w:val="nil"/>
              <w:left w:val="nil"/>
              <w:bottom w:val="nil"/>
              <w:right w:val="nil"/>
            </w:tcBorders>
            <w:shd w:val="clear" w:color="000000" w:fill="FFFFFF"/>
            <w:noWrap/>
            <w:hideMark/>
          </w:tcPr>
          <w:p w14:paraId="64659B57"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 </w:t>
            </w:r>
          </w:p>
        </w:tc>
        <w:tc>
          <w:tcPr>
            <w:tcW w:w="1164" w:type="dxa"/>
            <w:tcBorders>
              <w:top w:val="nil"/>
              <w:left w:val="nil"/>
              <w:bottom w:val="nil"/>
              <w:right w:val="nil"/>
            </w:tcBorders>
            <w:shd w:val="clear" w:color="000000" w:fill="FFFFFF"/>
            <w:noWrap/>
            <w:hideMark/>
          </w:tcPr>
          <w:p w14:paraId="29054D6C"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 </w:t>
            </w:r>
          </w:p>
        </w:tc>
        <w:tc>
          <w:tcPr>
            <w:tcW w:w="1209" w:type="dxa"/>
            <w:tcBorders>
              <w:top w:val="nil"/>
              <w:left w:val="nil"/>
              <w:bottom w:val="nil"/>
              <w:right w:val="nil"/>
            </w:tcBorders>
            <w:shd w:val="clear" w:color="000000" w:fill="FFFFFF"/>
            <w:noWrap/>
            <w:hideMark/>
          </w:tcPr>
          <w:p w14:paraId="4B77E287"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 </w:t>
            </w:r>
          </w:p>
        </w:tc>
        <w:tc>
          <w:tcPr>
            <w:tcW w:w="1167" w:type="dxa"/>
            <w:tcBorders>
              <w:top w:val="nil"/>
              <w:left w:val="nil"/>
              <w:bottom w:val="nil"/>
              <w:right w:val="nil"/>
            </w:tcBorders>
            <w:shd w:val="clear" w:color="000000" w:fill="FFFFFF"/>
            <w:noWrap/>
            <w:hideMark/>
          </w:tcPr>
          <w:p w14:paraId="513A3B05"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 </w:t>
            </w:r>
          </w:p>
        </w:tc>
        <w:tc>
          <w:tcPr>
            <w:tcW w:w="1203" w:type="dxa"/>
            <w:gridSpan w:val="2"/>
            <w:tcBorders>
              <w:top w:val="nil"/>
              <w:left w:val="nil"/>
              <w:bottom w:val="nil"/>
              <w:right w:val="nil"/>
            </w:tcBorders>
            <w:shd w:val="clear" w:color="000000" w:fill="FFFFFF"/>
            <w:noWrap/>
            <w:hideMark/>
          </w:tcPr>
          <w:p w14:paraId="41F710D3"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 </w:t>
            </w:r>
          </w:p>
        </w:tc>
      </w:tr>
      <w:tr w:rsidR="004C6700" w:rsidRPr="00691349" w14:paraId="1AAF5E88" w14:textId="77777777" w:rsidTr="00836EB5">
        <w:trPr>
          <w:trHeight w:val="227"/>
        </w:trPr>
        <w:tc>
          <w:tcPr>
            <w:tcW w:w="223" w:type="dxa"/>
            <w:tcBorders>
              <w:top w:val="nil"/>
              <w:left w:val="nil"/>
              <w:bottom w:val="nil"/>
              <w:right w:val="nil"/>
            </w:tcBorders>
            <w:shd w:val="clear" w:color="000000" w:fill="FFFFFF"/>
            <w:noWrap/>
            <w:hideMark/>
          </w:tcPr>
          <w:p w14:paraId="338176DD"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 </w:t>
            </w:r>
          </w:p>
        </w:tc>
        <w:tc>
          <w:tcPr>
            <w:tcW w:w="3105" w:type="dxa"/>
            <w:gridSpan w:val="2"/>
            <w:tcBorders>
              <w:top w:val="nil"/>
              <w:left w:val="nil"/>
              <w:bottom w:val="nil"/>
              <w:right w:val="nil"/>
            </w:tcBorders>
            <w:shd w:val="clear" w:color="000000" w:fill="FFFFFF"/>
            <w:noWrap/>
            <w:hideMark/>
          </w:tcPr>
          <w:p w14:paraId="08B9CCFD"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Sociálna poisťovňa</w:t>
            </w:r>
          </w:p>
        </w:tc>
        <w:tc>
          <w:tcPr>
            <w:tcW w:w="1165" w:type="dxa"/>
            <w:tcBorders>
              <w:top w:val="nil"/>
              <w:left w:val="nil"/>
              <w:bottom w:val="nil"/>
              <w:right w:val="nil"/>
            </w:tcBorders>
            <w:shd w:val="clear" w:color="000000" w:fill="FFFFFF"/>
            <w:noWrap/>
            <w:hideMark/>
          </w:tcPr>
          <w:p w14:paraId="5AF9AB13" w14:textId="77777777" w:rsidR="004C6700" w:rsidRPr="008F10FA" w:rsidRDefault="004C6700" w:rsidP="00836EB5">
            <w:pPr>
              <w:spacing w:after="0" w:line="240" w:lineRule="auto"/>
              <w:jc w:val="right"/>
              <w:rPr>
                <w:rFonts w:eastAsia="Times New Roman" w:cs="Times New Roman"/>
                <w:sz w:val="18"/>
                <w:szCs w:val="18"/>
                <w:lang w:eastAsia="sk-SK"/>
              </w:rPr>
            </w:pPr>
            <w:r w:rsidRPr="008F10FA">
              <w:rPr>
                <w:sz w:val="18"/>
                <w:szCs w:val="18"/>
              </w:rPr>
              <w:t>327 853</w:t>
            </w:r>
          </w:p>
        </w:tc>
        <w:tc>
          <w:tcPr>
            <w:tcW w:w="1164" w:type="dxa"/>
            <w:tcBorders>
              <w:top w:val="nil"/>
              <w:left w:val="nil"/>
              <w:bottom w:val="nil"/>
              <w:right w:val="nil"/>
            </w:tcBorders>
            <w:shd w:val="clear" w:color="000000" w:fill="FFFFFF"/>
            <w:noWrap/>
            <w:hideMark/>
          </w:tcPr>
          <w:p w14:paraId="3724D557" w14:textId="77777777" w:rsidR="004C6700" w:rsidRPr="008F10FA" w:rsidRDefault="004C6700" w:rsidP="00836EB5">
            <w:pPr>
              <w:spacing w:after="0" w:line="240" w:lineRule="auto"/>
              <w:jc w:val="right"/>
              <w:rPr>
                <w:rFonts w:eastAsia="Times New Roman" w:cs="Times New Roman"/>
                <w:sz w:val="18"/>
                <w:szCs w:val="18"/>
                <w:lang w:eastAsia="sk-SK"/>
              </w:rPr>
            </w:pPr>
            <w:r w:rsidRPr="008F10FA">
              <w:rPr>
                <w:sz w:val="18"/>
                <w:szCs w:val="18"/>
              </w:rPr>
              <w:t>87 441</w:t>
            </w:r>
          </w:p>
        </w:tc>
        <w:tc>
          <w:tcPr>
            <w:tcW w:w="1209" w:type="dxa"/>
            <w:tcBorders>
              <w:top w:val="nil"/>
              <w:left w:val="nil"/>
              <w:bottom w:val="nil"/>
              <w:right w:val="nil"/>
            </w:tcBorders>
            <w:shd w:val="clear" w:color="000000" w:fill="FFFFFF"/>
            <w:noWrap/>
            <w:hideMark/>
          </w:tcPr>
          <w:p w14:paraId="1B19317D"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-226 004</w:t>
            </w:r>
          </w:p>
        </w:tc>
        <w:tc>
          <w:tcPr>
            <w:tcW w:w="1167" w:type="dxa"/>
            <w:tcBorders>
              <w:top w:val="nil"/>
              <w:left w:val="nil"/>
              <w:bottom w:val="nil"/>
              <w:right w:val="nil"/>
            </w:tcBorders>
            <w:shd w:val="clear" w:color="000000" w:fill="FFFFFF"/>
            <w:noWrap/>
            <w:hideMark/>
          </w:tcPr>
          <w:p w14:paraId="308C5BCE"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51 124</w:t>
            </w:r>
          </w:p>
        </w:tc>
        <w:tc>
          <w:tcPr>
            <w:tcW w:w="1203" w:type="dxa"/>
            <w:gridSpan w:val="2"/>
            <w:tcBorders>
              <w:top w:val="nil"/>
              <w:left w:val="nil"/>
              <w:bottom w:val="nil"/>
              <w:right w:val="nil"/>
            </w:tcBorders>
            <w:shd w:val="clear" w:color="000000" w:fill="FFFFFF"/>
            <w:noWrap/>
            <w:hideMark/>
          </w:tcPr>
          <w:p w14:paraId="13AACE0C"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277 128</w:t>
            </w:r>
          </w:p>
        </w:tc>
      </w:tr>
      <w:tr w:rsidR="004C6700" w:rsidRPr="00691349" w14:paraId="723A708E" w14:textId="77777777" w:rsidTr="00836EB5">
        <w:trPr>
          <w:trHeight w:val="227"/>
        </w:trPr>
        <w:tc>
          <w:tcPr>
            <w:tcW w:w="223" w:type="dxa"/>
            <w:tcBorders>
              <w:top w:val="nil"/>
              <w:left w:val="nil"/>
              <w:bottom w:val="single" w:sz="4" w:space="0" w:color="auto"/>
              <w:right w:val="nil"/>
            </w:tcBorders>
            <w:shd w:val="clear" w:color="000000" w:fill="FFFFFF"/>
            <w:noWrap/>
            <w:hideMark/>
          </w:tcPr>
          <w:p w14:paraId="54CA3569"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 </w:t>
            </w:r>
          </w:p>
        </w:tc>
        <w:tc>
          <w:tcPr>
            <w:tcW w:w="3105" w:type="dxa"/>
            <w:gridSpan w:val="2"/>
            <w:tcBorders>
              <w:top w:val="nil"/>
              <w:left w:val="nil"/>
              <w:bottom w:val="single" w:sz="4" w:space="0" w:color="auto"/>
              <w:right w:val="nil"/>
            </w:tcBorders>
            <w:shd w:val="clear" w:color="000000" w:fill="FFFFFF"/>
            <w:noWrap/>
            <w:hideMark/>
          </w:tcPr>
          <w:p w14:paraId="6C6FEB36" w14:textId="77777777" w:rsidR="004C6700" w:rsidRPr="00691349" w:rsidRDefault="004C6700" w:rsidP="00836EB5">
            <w:pPr>
              <w:spacing w:after="0" w:line="240" w:lineRule="auto"/>
              <w:jc w:val="left"/>
              <w:rPr>
                <w:rFonts w:eastAsia="Times New Roman" w:cs="Times New Roman"/>
                <w:sz w:val="18"/>
                <w:szCs w:val="18"/>
                <w:lang w:eastAsia="sk-SK"/>
              </w:rPr>
            </w:pPr>
            <w:r w:rsidRPr="00691349">
              <w:rPr>
                <w:rFonts w:eastAsia="Times New Roman" w:cs="Times New Roman"/>
                <w:sz w:val="18"/>
                <w:szCs w:val="18"/>
                <w:lang w:eastAsia="sk-SK"/>
              </w:rPr>
              <w:t>Verejné zdravotné poistenie</w:t>
            </w:r>
          </w:p>
        </w:tc>
        <w:tc>
          <w:tcPr>
            <w:tcW w:w="1165" w:type="dxa"/>
            <w:tcBorders>
              <w:top w:val="nil"/>
              <w:left w:val="nil"/>
              <w:bottom w:val="single" w:sz="4" w:space="0" w:color="auto"/>
              <w:right w:val="nil"/>
            </w:tcBorders>
            <w:shd w:val="clear" w:color="000000" w:fill="FFFFFF"/>
            <w:noWrap/>
            <w:hideMark/>
          </w:tcPr>
          <w:p w14:paraId="1C9F704E"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-42 511</w:t>
            </w:r>
          </w:p>
        </w:tc>
        <w:tc>
          <w:tcPr>
            <w:tcW w:w="1164" w:type="dxa"/>
            <w:tcBorders>
              <w:top w:val="nil"/>
              <w:left w:val="nil"/>
              <w:bottom w:val="single" w:sz="4" w:space="0" w:color="auto"/>
              <w:right w:val="nil"/>
            </w:tcBorders>
            <w:shd w:val="clear" w:color="000000" w:fill="FFFFFF"/>
            <w:noWrap/>
            <w:hideMark/>
          </w:tcPr>
          <w:p w14:paraId="2BA41337"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552</w:t>
            </w:r>
          </w:p>
        </w:tc>
        <w:tc>
          <w:tcPr>
            <w:tcW w:w="1209" w:type="dxa"/>
            <w:tcBorders>
              <w:top w:val="nil"/>
              <w:left w:val="nil"/>
              <w:bottom w:val="single" w:sz="4" w:space="0" w:color="auto"/>
              <w:right w:val="nil"/>
            </w:tcBorders>
            <w:shd w:val="clear" w:color="000000" w:fill="FFFFFF"/>
            <w:noWrap/>
            <w:hideMark/>
          </w:tcPr>
          <w:p w14:paraId="5081E545"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44 245</w:t>
            </w:r>
          </w:p>
        </w:tc>
        <w:tc>
          <w:tcPr>
            <w:tcW w:w="1167" w:type="dxa"/>
            <w:tcBorders>
              <w:top w:val="nil"/>
              <w:left w:val="nil"/>
              <w:bottom w:val="single" w:sz="4" w:space="0" w:color="auto"/>
              <w:right w:val="nil"/>
            </w:tcBorders>
            <w:shd w:val="clear" w:color="000000" w:fill="FFFFFF"/>
            <w:noWrap/>
            <w:hideMark/>
          </w:tcPr>
          <w:p w14:paraId="22455C10"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223 292</w:t>
            </w:r>
          </w:p>
        </w:tc>
        <w:tc>
          <w:tcPr>
            <w:tcW w:w="1203" w:type="dxa"/>
            <w:gridSpan w:val="2"/>
            <w:tcBorders>
              <w:top w:val="nil"/>
              <w:left w:val="nil"/>
              <w:bottom w:val="single" w:sz="4" w:space="0" w:color="auto"/>
              <w:right w:val="nil"/>
            </w:tcBorders>
            <w:shd w:val="clear" w:color="000000" w:fill="FFFFFF"/>
            <w:noWrap/>
            <w:hideMark/>
          </w:tcPr>
          <w:p w14:paraId="59E99D0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sz w:val="18"/>
                <w:szCs w:val="18"/>
              </w:rPr>
              <w:t>179 047</w:t>
            </w:r>
          </w:p>
        </w:tc>
      </w:tr>
      <w:tr w:rsidR="004C6700" w:rsidRPr="00691349" w14:paraId="7FCF05DA" w14:textId="77777777" w:rsidTr="00836EB5">
        <w:trPr>
          <w:trHeight w:val="227"/>
        </w:trPr>
        <w:tc>
          <w:tcPr>
            <w:tcW w:w="3328" w:type="dxa"/>
            <w:gridSpan w:val="3"/>
            <w:tcBorders>
              <w:top w:val="single" w:sz="4" w:space="0" w:color="auto"/>
              <w:left w:val="nil"/>
              <w:bottom w:val="nil"/>
              <w:right w:val="nil"/>
            </w:tcBorders>
            <w:shd w:val="clear" w:color="000000" w:fill="FFFFFF"/>
            <w:noWrap/>
            <w:hideMark/>
          </w:tcPr>
          <w:p w14:paraId="46FCF551" w14:textId="77777777" w:rsidR="004C6700" w:rsidRPr="00691349" w:rsidRDefault="004C6700" w:rsidP="00836EB5">
            <w:pPr>
              <w:spacing w:after="0" w:line="240" w:lineRule="auto"/>
              <w:jc w:val="left"/>
              <w:rPr>
                <w:rFonts w:eastAsia="Times New Roman" w:cs="Times New Roman"/>
                <w:b/>
                <w:bCs/>
                <w:sz w:val="18"/>
                <w:szCs w:val="18"/>
                <w:lang w:eastAsia="sk-SK"/>
              </w:rPr>
            </w:pPr>
            <w:r w:rsidRPr="00691349">
              <w:rPr>
                <w:rFonts w:eastAsia="Times New Roman" w:cs="Times New Roman"/>
                <w:b/>
                <w:bCs/>
                <w:sz w:val="18"/>
                <w:szCs w:val="18"/>
                <w:lang w:eastAsia="sk-SK"/>
              </w:rPr>
              <w:t>Schodok verejnej správy spolu</w:t>
            </w:r>
          </w:p>
        </w:tc>
        <w:tc>
          <w:tcPr>
            <w:tcW w:w="1165" w:type="dxa"/>
            <w:tcBorders>
              <w:top w:val="single" w:sz="4" w:space="0" w:color="auto"/>
              <w:left w:val="nil"/>
              <w:bottom w:val="nil"/>
              <w:right w:val="nil"/>
            </w:tcBorders>
            <w:shd w:val="clear" w:color="000000" w:fill="FFFFFF"/>
            <w:noWrap/>
            <w:hideMark/>
          </w:tcPr>
          <w:p w14:paraId="715BF678"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b/>
                <w:bCs/>
                <w:sz w:val="18"/>
                <w:szCs w:val="18"/>
              </w:rPr>
              <w:t>-5 194 673</w:t>
            </w:r>
          </w:p>
        </w:tc>
        <w:tc>
          <w:tcPr>
            <w:tcW w:w="1164" w:type="dxa"/>
            <w:tcBorders>
              <w:top w:val="single" w:sz="4" w:space="0" w:color="auto"/>
              <w:left w:val="nil"/>
              <w:bottom w:val="nil"/>
              <w:right w:val="nil"/>
            </w:tcBorders>
            <w:shd w:val="clear" w:color="000000" w:fill="FFFFFF"/>
            <w:noWrap/>
            <w:hideMark/>
          </w:tcPr>
          <w:p w14:paraId="700B55D2"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b/>
                <w:bCs/>
                <w:sz w:val="18"/>
                <w:szCs w:val="18"/>
              </w:rPr>
              <w:t>-1 835 946</w:t>
            </w:r>
          </w:p>
        </w:tc>
        <w:tc>
          <w:tcPr>
            <w:tcW w:w="1209" w:type="dxa"/>
            <w:tcBorders>
              <w:top w:val="single" w:sz="4" w:space="0" w:color="auto"/>
              <w:left w:val="nil"/>
              <w:bottom w:val="nil"/>
              <w:right w:val="nil"/>
            </w:tcBorders>
            <w:shd w:val="clear" w:color="000000" w:fill="FFFFFF"/>
            <w:noWrap/>
            <w:hideMark/>
          </w:tcPr>
          <w:p w14:paraId="7DE85FC8"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b/>
                <w:bCs/>
                <w:sz w:val="18"/>
                <w:szCs w:val="18"/>
              </w:rPr>
              <w:t>-7 871 196</w:t>
            </w:r>
          </w:p>
        </w:tc>
        <w:tc>
          <w:tcPr>
            <w:tcW w:w="1167" w:type="dxa"/>
            <w:tcBorders>
              <w:top w:val="single" w:sz="4" w:space="0" w:color="auto"/>
              <w:left w:val="nil"/>
              <w:bottom w:val="nil"/>
              <w:right w:val="nil"/>
            </w:tcBorders>
            <w:shd w:val="clear" w:color="000000" w:fill="FFFFFF"/>
            <w:noWrap/>
            <w:hideMark/>
          </w:tcPr>
          <w:p w14:paraId="56AF7DA8"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b/>
                <w:bCs/>
                <w:sz w:val="18"/>
                <w:szCs w:val="18"/>
              </w:rPr>
              <w:t>-6 009 813</w:t>
            </w:r>
          </w:p>
        </w:tc>
        <w:tc>
          <w:tcPr>
            <w:tcW w:w="1203" w:type="dxa"/>
            <w:gridSpan w:val="2"/>
            <w:tcBorders>
              <w:top w:val="single" w:sz="4" w:space="0" w:color="auto"/>
              <w:left w:val="nil"/>
              <w:bottom w:val="nil"/>
              <w:right w:val="nil"/>
            </w:tcBorders>
            <w:shd w:val="clear" w:color="000000" w:fill="FFFFFF"/>
            <w:noWrap/>
            <w:hideMark/>
          </w:tcPr>
          <w:p w14:paraId="25747591"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b/>
                <w:bCs/>
                <w:sz w:val="18"/>
                <w:szCs w:val="18"/>
              </w:rPr>
              <w:t>1 861 383</w:t>
            </w:r>
          </w:p>
        </w:tc>
      </w:tr>
      <w:tr w:rsidR="004C6700" w:rsidRPr="00691349" w14:paraId="242AC337" w14:textId="77777777" w:rsidTr="00836EB5">
        <w:trPr>
          <w:trHeight w:val="227"/>
        </w:trPr>
        <w:tc>
          <w:tcPr>
            <w:tcW w:w="3328" w:type="dxa"/>
            <w:gridSpan w:val="3"/>
            <w:tcBorders>
              <w:top w:val="nil"/>
              <w:left w:val="nil"/>
              <w:bottom w:val="single" w:sz="4" w:space="0" w:color="auto"/>
              <w:right w:val="nil"/>
            </w:tcBorders>
            <w:shd w:val="clear" w:color="000000" w:fill="FFFFFF"/>
            <w:noWrap/>
            <w:hideMark/>
          </w:tcPr>
          <w:p w14:paraId="442075A7" w14:textId="77777777" w:rsidR="004C6700" w:rsidRPr="00691349" w:rsidRDefault="004C6700" w:rsidP="00836EB5">
            <w:pPr>
              <w:spacing w:after="0" w:line="240" w:lineRule="auto"/>
              <w:jc w:val="left"/>
              <w:rPr>
                <w:rFonts w:eastAsia="Times New Roman" w:cs="Times New Roman"/>
                <w:b/>
                <w:bCs/>
                <w:sz w:val="18"/>
                <w:szCs w:val="18"/>
                <w:lang w:eastAsia="sk-SK"/>
              </w:rPr>
            </w:pPr>
            <w:r w:rsidRPr="00691349">
              <w:rPr>
                <w:rFonts w:eastAsia="Times New Roman" w:cs="Times New Roman"/>
                <w:b/>
                <w:bCs/>
                <w:sz w:val="18"/>
                <w:szCs w:val="18"/>
                <w:lang w:eastAsia="sk-SK"/>
              </w:rPr>
              <w:t xml:space="preserve"> % z HDP</w:t>
            </w:r>
          </w:p>
        </w:tc>
        <w:tc>
          <w:tcPr>
            <w:tcW w:w="1165" w:type="dxa"/>
            <w:tcBorders>
              <w:top w:val="nil"/>
              <w:left w:val="nil"/>
              <w:bottom w:val="single" w:sz="4" w:space="0" w:color="auto"/>
              <w:right w:val="nil"/>
            </w:tcBorders>
            <w:shd w:val="clear" w:color="000000" w:fill="FFFFFF"/>
            <w:noWrap/>
            <w:hideMark/>
          </w:tcPr>
          <w:p w14:paraId="2C4E7271"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b/>
                <w:bCs/>
                <w:sz w:val="18"/>
                <w:szCs w:val="18"/>
              </w:rPr>
              <w:t>-5,2</w:t>
            </w:r>
          </w:p>
        </w:tc>
        <w:tc>
          <w:tcPr>
            <w:tcW w:w="1164" w:type="dxa"/>
            <w:tcBorders>
              <w:top w:val="nil"/>
              <w:left w:val="nil"/>
              <w:bottom w:val="single" w:sz="4" w:space="0" w:color="auto"/>
              <w:right w:val="nil"/>
            </w:tcBorders>
            <w:shd w:val="clear" w:color="000000" w:fill="FFFFFF"/>
            <w:noWrap/>
            <w:hideMark/>
          </w:tcPr>
          <w:p w14:paraId="58892CAB"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b/>
                <w:bCs/>
                <w:sz w:val="18"/>
                <w:szCs w:val="18"/>
              </w:rPr>
              <w:t>-1,7</w:t>
            </w:r>
          </w:p>
        </w:tc>
        <w:tc>
          <w:tcPr>
            <w:tcW w:w="1209" w:type="dxa"/>
            <w:tcBorders>
              <w:top w:val="nil"/>
              <w:left w:val="nil"/>
              <w:bottom w:val="single" w:sz="4" w:space="0" w:color="auto"/>
              <w:right w:val="nil"/>
            </w:tcBorders>
            <w:shd w:val="clear" w:color="000000" w:fill="FFFFFF"/>
            <w:noWrap/>
            <w:hideMark/>
          </w:tcPr>
          <w:p w14:paraId="2183913C"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b/>
                <w:bCs/>
                <w:sz w:val="18"/>
                <w:szCs w:val="18"/>
              </w:rPr>
              <w:t>-6,4</w:t>
            </w:r>
          </w:p>
        </w:tc>
        <w:tc>
          <w:tcPr>
            <w:tcW w:w="1167" w:type="dxa"/>
            <w:tcBorders>
              <w:top w:val="nil"/>
              <w:left w:val="nil"/>
              <w:bottom w:val="single" w:sz="4" w:space="0" w:color="auto"/>
              <w:right w:val="nil"/>
            </w:tcBorders>
            <w:shd w:val="clear" w:color="000000" w:fill="FFFFFF"/>
            <w:noWrap/>
            <w:hideMark/>
          </w:tcPr>
          <w:p w14:paraId="4F6780F7"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b/>
                <w:bCs/>
                <w:sz w:val="18"/>
                <w:szCs w:val="18"/>
              </w:rPr>
              <w:t>-4,9</w:t>
            </w:r>
          </w:p>
        </w:tc>
        <w:tc>
          <w:tcPr>
            <w:tcW w:w="1203" w:type="dxa"/>
            <w:gridSpan w:val="2"/>
            <w:tcBorders>
              <w:top w:val="nil"/>
              <w:left w:val="nil"/>
              <w:bottom w:val="single" w:sz="4" w:space="0" w:color="auto"/>
              <w:right w:val="nil"/>
            </w:tcBorders>
            <w:shd w:val="clear" w:color="000000" w:fill="FFFFFF"/>
            <w:noWrap/>
            <w:hideMark/>
          </w:tcPr>
          <w:p w14:paraId="50CB5939"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b/>
                <w:bCs/>
                <w:sz w:val="18"/>
                <w:szCs w:val="18"/>
              </w:rPr>
              <w:t>1,5</w:t>
            </w:r>
          </w:p>
        </w:tc>
      </w:tr>
    </w:tbl>
    <w:p w14:paraId="178FD0DA" w14:textId="77777777" w:rsidR="004C6700" w:rsidRPr="00691349" w:rsidRDefault="004C6700" w:rsidP="004C6700">
      <w:pPr>
        <w:spacing w:after="0" w:line="240" w:lineRule="auto"/>
        <w:ind w:left="7650" w:firstLine="510"/>
        <w:rPr>
          <w:rFonts w:eastAsia="Times New Roman" w:cs="Times New Roman"/>
          <w:color w:val="000000"/>
          <w:sz w:val="18"/>
          <w:szCs w:val="18"/>
          <w:lang w:eastAsia="sk-SK"/>
        </w:rPr>
      </w:pPr>
      <w:r w:rsidRPr="00691349">
        <w:rPr>
          <w:rFonts w:eastAsia="Times New Roman" w:cs="Times New Roman"/>
          <w:color w:val="000000"/>
          <w:sz w:val="18"/>
          <w:szCs w:val="18"/>
          <w:lang w:eastAsia="sk-SK"/>
        </w:rPr>
        <w:t>Zdroj: MF SR</w:t>
      </w:r>
    </w:p>
    <w:p w14:paraId="034BF3B2" w14:textId="77777777" w:rsidR="004C6700" w:rsidRPr="00691349" w:rsidRDefault="004C6700" w:rsidP="004C6700">
      <w:pPr>
        <w:spacing w:after="0" w:line="240" w:lineRule="auto"/>
        <w:rPr>
          <w:rFonts w:cs="Times New Roman"/>
          <w:sz w:val="18"/>
          <w:szCs w:val="18"/>
        </w:rPr>
      </w:pPr>
      <w:r w:rsidRPr="00691349">
        <w:rPr>
          <w:rFonts w:eastAsia="Times New Roman" w:cs="Times New Roman"/>
          <w:color w:val="000000"/>
          <w:sz w:val="18"/>
          <w:szCs w:val="18"/>
          <w:vertAlign w:val="superscript"/>
          <w:lang w:eastAsia="sk-SK"/>
        </w:rPr>
        <w:t>1</w:t>
      </w:r>
      <w:r w:rsidRPr="00691349">
        <w:rPr>
          <w:rFonts w:eastAsia="Times New Roman" w:cs="Times New Roman"/>
          <w:color w:val="000000"/>
          <w:sz w:val="18"/>
          <w:szCs w:val="18"/>
          <w:lang w:eastAsia="sk-SK"/>
        </w:rPr>
        <w:t xml:space="preserve">)Vrátane štátnych finančných aktív, samostatných účtov a salda účtu štátneho dlhu                                                                        </w:t>
      </w:r>
    </w:p>
    <w:p w14:paraId="1ED8063E" w14:textId="5ECB45B0" w:rsidR="003A0696" w:rsidRDefault="003A0696" w:rsidP="00691349">
      <w:pPr>
        <w:pStyle w:val="Nadpis2"/>
      </w:pPr>
      <w:bookmarkStart w:id="26" w:name="_Toc101999908"/>
      <w:bookmarkStart w:id="27" w:name="_Toc164846933"/>
      <w:r>
        <w:t>Jednorazové v</w:t>
      </w:r>
      <w:r w:rsidRPr="003A719D">
        <w:t>plyv</w:t>
      </w:r>
      <w:r>
        <w:t xml:space="preserve">y </w:t>
      </w:r>
      <w:r w:rsidRPr="003A719D">
        <w:t>na saldo verejnej správy</w:t>
      </w:r>
      <w:bookmarkEnd w:id="26"/>
      <w:bookmarkEnd w:id="27"/>
    </w:p>
    <w:p w14:paraId="71B9749A" w14:textId="77A5FF60" w:rsidR="004C6700" w:rsidRPr="00122152" w:rsidRDefault="004C6700" w:rsidP="004C6700">
      <w:pPr>
        <w:spacing w:before="120" w:line="240" w:lineRule="auto"/>
        <w:rPr>
          <w:sz w:val="24"/>
          <w:szCs w:val="24"/>
        </w:rPr>
      </w:pPr>
      <w:r>
        <w:rPr>
          <w:sz w:val="24"/>
          <w:szCs w:val="24"/>
        </w:rPr>
        <w:t xml:space="preserve">Členské krajiny EÚ boli </w:t>
      </w:r>
      <w:r w:rsidRPr="00122152">
        <w:rPr>
          <w:sz w:val="24"/>
          <w:szCs w:val="24"/>
        </w:rPr>
        <w:t xml:space="preserve">povinné </w:t>
      </w:r>
      <w:proofErr w:type="spellStart"/>
      <w:r w:rsidRPr="00122152">
        <w:rPr>
          <w:sz w:val="24"/>
          <w:szCs w:val="24"/>
        </w:rPr>
        <w:t>Eurostatu</w:t>
      </w:r>
      <w:proofErr w:type="spellEnd"/>
      <w:r w:rsidRPr="00122152">
        <w:rPr>
          <w:sz w:val="24"/>
          <w:szCs w:val="24"/>
        </w:rPr>
        <w:t xml:space="preserve"> poskytnúť v rámci notifikácie výsledkov hospodárenia verejnej správy aj informácie o výdavkoch </w:t>
      </w:r>
      <w:r>
        <w:rPr>
          <w:sz w:val="24"/>
          <w:szCs w:val="24"/>
        </w:rPr>
        <w:t xml:space="preserve">vynaložených </w:t>
      </w:r>
      <w:r w:rsidRPr="00122152">
        <w:rPr>
          <w:sz w:val="24"/>
          <w:szCs w:val="24"/>
        </w:rPr>
        <w:t xml:space="preserve">na opatrenia prijaté v súvislosti s vojenským konfliktom na Ukrajine a o výdavkoch </w:t>
      </w:r>
      <w:r>
        <w:rPr>
          <w:sz w:val="24"/>
          <w:szCs w:val="24"/>
        </w:rPr>
        <w:t xml:space="preserve">minutých </w:t>
      </w:r>
      <w:r w:rsidRPr="00122152">
        <w:rPr>
          <w:sz w:val="24"/>
          <w:szCs w:val="24"/>
        </w:rPr>
        <w:t>na riešenie energetickej krízy a výrazného nárastu cien energií.</w:t>
      </w:r>
      <w:r>
        <w:rPr>
          <w:sz w:val="24"/>
          <w:szCs w:val="24"/>
        </w:rPr>
        <w:t xml:space="preserve"> Slovensko poskytlo Ukrajine vojenskú, finančnú aj humanitárnu pomoc, či už darovaním vojenskej techniky alebo pomoc utečencom na</w:t>
      </w:r>
      <w:r w:rsidR="007D57AB">
        <w:rPr>
          <w:sz w:val="24"/>
          <w:szCs w:val="24"/>
        </w:rPr>
        <w:t> </w:t>
      </w:r>
      <w:r>
        <w:rPr>
          <w:sz w:val="24"/>
          <w:szCs w:val="24"/>
        </w:rPr>
        <w:t>území Slovenska z prostriedkov ŠR, ale aj z prostriedkov nevyčerpaných eurofondov operačných programov.</w:t>
      </w:r>
    </w:p>
    <w:p w14:paraId="72BB208B" w14:textId="77777777" w:rsidR="004C6700" w:rsidRPr="00122152" w:rsidRDefault="004C6700" w:rsidP="004C6700">
      <w:pPr>
        <w:pStyle w:val="v1msonormal"/>
        <w:shd w:val="clear" w:color="auto" w:fill="FFFFFF"/>
        <w:spacing w:before="0" w:beforeAutospacing="0" w:after="0" w:afterAutospacing="0"/>
        <w:jc w:val="both"/>
        <w:rPr>
          <w:rFonts w:eastAsiaTheme="minorHAnsi" w:cstheme="minorBidi"/>
          <w:lang w:eastAsia="en-US"/>
        </w:rPr>
      </w:pPr>
      <w:r w:rsidRPr="00122152">
        <w:rPr>
          <w:rFonts w:eastAsiaTheme="minorHAnsi" w:cstheme="minorBidi"/>
          <w:lang w:eastAsia="en-US"/>
        </w:rPr>
        <w:t xml:space="preserve">Európska komisia schválila slovenskú schému vo výške 20 miliónov eur na podporu podnikov pôsobiacich v prvovýrobe poľnohospodárskych výrobkov a/alebo v odvetví rybolovu a </w:t>
      </w:r>
      <w:proofErr w:type="spellStart"/>
      <w:r w:rsidRPr="00122152">
        <w:rPr>
          <w:rFonts w:eastAsiaTheme="minorHAnsi" w:cstheme="minorBidi"/>
          <w:lang w:eastAsia="en-US"/>
        </w:rPr>
        <w:t>akvakultúry</w:t>
      </w:r>
      <w:proofErr w:type="spellEnd"/>
      <w:r w:rsidRPr="00122152">
        <w:rPr>
          <w:rFonts w:eastAsiaTheme="minorHAnsi" w:cstheme="minorBidi"/>
          <w:lang w:eastAsia="en-US"/>
        </w:rPr>
        <w:t> v kontexte vojny Ruska proti Ukrajine.</w:t>
      </w:r>
    </w:p>
    <w:p w14:paraId="0FDC6438" w14:textId="77777777" w:rsidR="004C6700" w:rsidRPr="00122152" w:rsidRDefault="004C6700" w:rsidP="004C6700">
      <w:pPr>
        <w:pStyle w:val="v1msonormal"/>
        <w:shd w:val="clear" w:color="auto" w:fill="FFFFFF"/>
        <w:spacing w:before="0" w:beforeAutospacing="0" w:after="0" w:afterAutospacing="0"/>
        <w:jc w:val="both"/>
        <w:rPr>
          <w:rFonts w:eastAsiaTheme="minorHAnsi" w:cstheme="minorBidi"/>
          <w:lang w:eastAsia="en-US"/>
        </w:rPr>
      </w:pPr>
      <w:r w:rsidRPr="00122152">
        <w:rPr>
          <w:rFonts w:eastAsiaTheme="minorHAnsi" w:cstheme="minorBidi"/>
          <w:lang w:eastAsia="en-US"/>
        </w:rPr>
        <w:t>Schéma bola schválená v rámci</w:t>
      </w:r>
      <w:r w:rsidRPr="00122152">
        <w:rPr>
          <w:rFonts w:eastAsiaTheme="minorHAnsi" w:cstheme="minorBidi"/>
          <w:b/>
          <w:bCs/>
          <w:lang w:eastAsia="en-US"/>
        </w:rPr>
        <w:t> </w:t>
      </w:r>
      <w:hyperlink r:id="rId13" w:tgtFrame="_blank" w:history="1">
        <w:r w:rsidRPr="00122152">
          <w:rPr>
            <w:rFonts w:eastAsiaTheme="minorHAnsi" w:cstheme="minorBidi"/>
            <w:lang w:eastAsia="en-US"/>
          </w:rPr>
          <w:t>dočasného krízového a prechodného rámca</w:t>
        </w:r>
      </w:hyperlink>
      <w:r w:rsidRPr="00122152">
        <w:rPr>
          <w:rFonts w:eastAsiaTheme="minorHAnsi" w:cstheme="minorBidi"/>
          <w:b/>
          <w:bCs/>
          <w:lang w:eastAsia="en-US"/>
        </w:rPr>
        <w:t> </w:t>
      </w:r>
      <w:r w:rsidRPr="00122152">
        <w:rPr>
          <w:rFonts w:eastAsiaTheme="minorHAnsi" w:cstheme="minorBidi"/>
          <w:lang w:eastAsia="en-US"/>
        </w:rPr>
        <w:t>pre štátnu pomoc prijatého Komisiou </w:t>
      </w:r>
      <w:hyperlink r:id="rId14" w:tgtFrame="_blank" w:history="1">
        <w:r w:rsidRPr="00122152">
          <w:rPr>
            <w:rFonts w:eastAsiaTheme="minorHAnsi" w:cstheme="minorBidi"/>
            <w:lang w:eastAsia="en-US"/>
          </w:rPr>
          <w:t>9. marca 2023</w:t>
        </w:r>
      </w:hyperlink>
      <w:r w:rsidRPr="00122152">
        <w:rPr>
          <w:rFonts w:eastAsiaTheme="minorHAnsi" w:cstheme="minorBidi"/>
          <w:b/>
          <w:bCs/>
          <w:lang w:eastAsia="en-US"/>
        </w:rPr>
        <w:t> </w:t>
      </w:r>
      <w:r w:rsidRPr="00122152">
        <w:rPr>
          <w:rFonts w:eastAsiaTheme="minorHAnsi" w:cstheme="minorBidi"/>
          <w:lang w:eastAsia="en-US"/>
        </w:rPr>
        <w:t>a zmeneného </w:t>
      </w:r>
      <w:hyperlink r:id="rId15" w:tgtFrame="_blank" w:history="1">
        <w:r w:rsidRPr="00122152">
          <w:rPr>
            <w:rFonts w:eastAsiaTheme="minorHAnsi" w:cstheme="minorBidi"/>
            <w:lang w:eastAsia="en-US"/>
          </w:rPr>
          <w:t>20. novembra 2023</w:t>
        </w:r>
      </w:hyperlink>
      <w:r w:rsidRPr="00122152">
        <w:rPr>
          <w:rFonts w:eastAsiaTheme="minorHAnsi" w:cstheme="minorBidi"/>
          <w:b/>
          <w:bCs/>
          <w:lang w:eastAsia="en-US"/>
        </w:rPr>
        <w:t>.</w:t>
      </w:r>
      <w:r w:rsidRPr="00122152">
        <w:rPr>
          <w:rFonts w:eastAsiaTheme="minorHAnsi" w:cstheme="minorBidi"/>
          <w:lang w:eastAsia="en-US"/>
        </w:rPr>
        <w:t xml:space="preserve"> V rámci schémy bude pomoc pozostávať z obmedzených súm vo forme priamych grantov. Cieľom opatrenia </w:t>
      </w:r>
      <w:r w:rsidRPr="00122152">
        <w:rPr>
          <w:rFonts w:eastAsiaTheme="minorHAnsi" w:cstheme="minorBidi"/>
          <w:lang w:eastAsia="en-US"/>
        </w:rPr>
        <w:lastRenderedPageBreak/>
        <w:t xml:space="preserve">je kompenzovať časť zvýšenia výrobných nákladov výrobcov v primárnych odvetviach poľnohospodárstva, rybolovu a </w:t>
      </w:r>
      <w:proofErr w:type="spellStart"/>
      <w:r w:rsidRPr="00122152">
        <w:rPr>
          <w:rFonts w:eastAsiaTheme="minorHAnsi" w:cstheme="minorBidi"/>
          <w:lang w:eastAsia="en-US"/>
        </w:rPr>
        <w:t>akvakultúry</w:t>
      </w:r>
      <w:proofErr w:type="spellEnd"/>
      <w:r w:rsidRPr="00122152">
        <w:rPr>
          <w:rFonts w:eastAsiaTheme="minorHAnsi" w:cstheme="minorBidi"/>
          <w:lang w:eastAsia="en-US"/>
        </w:rPr>
        <w:t>, ktoré čelia nedostatku finančnej likvidity v</w:t>
      </w:r>
      <w:r>
        <w:rPr>
          <w:rFonts w:eastAsiaTheme="minorHAnsi" w:cstheme="minorBidi"/>
          <w:lang w:eastAsia="en-US"/>
        </w:rPr>
        <w:t> </w:t>
      </w:r>
      <w:r w:rsidRPr="00122152">
        <w:rPr>
          <w:rFonts w:eastAsiaTheme="minorHAnsi" w:cstheme="minorBidi"/>
          <w:lang w:eastAsia="en-US"/>
        </w:rPr>
        <w:t>dôsledku ťažkostí na trhu spôsobených súčasnou krízou.</w:t>
      </w:r>
    </w:p>
    <w:p w14:paraId="14FD653B" w14:textId="5ED8E9EA" w:rsidR="004C6700" w:rsidRDefault="004C6700" w:rsidP="004C6700">
      <w:pPr>
        <w:pStyle w:val="v1msonormal"/>
        <w:shd w:val="clear" w:color="auto" w:fill="FFFFFF"/>
        <w:spacing w:before="0" w:beforeAutospacing="0" w:after="0" w:afterAutospacing="0"/>
        <w:jc w:val="both"/>
        <w:rPr>
          <w:rFonts w:ascii="Trebuchet MS" w:hAnsi="Trebuchet MS"/>
          <w:color w:val="333333"/>
          <w:sz w:val="20"/>
          <w:szCs w:val="20"/>
        </w:rPr>
      </w:pPr>
      <w:r w:rsidRPr="00122152">
        <w:rPr>
          <w:rFonts w:eastAsiaTheme="minorHAnsi" w:cstheme="minorBidi"/>
          <w:lang w:eastAsia="en-US"/>
        </w:rPr>
        <w:t>V rá</w:t>
      </w:r>
      <w:r w:rsidR="0051636E">
        <w:rPr>
          <w:rFonts w:eastAsiaTheme="minorHAnsi" w:cstheme="minorBidi"/>
          <w:lang w:eastAsia="en-US"/>
        </w:rPr>
        <w:t xml:space="preserve">mci slovenskej schémy pomoc </w:t>
      </w:r>
      <w:r w:rsidRPr="00122152">
        <w:rPr>
          <w:rFonts w:eastAsiaTheme="minorHAnsi" w:cstheme="minorBidi"/>
          <w:lang w:eastAsia="en-US"/>
        </w:rPr>
        <w:t>nepresiahne</w:t>
      </w:r>
      <w:r w:rsidR="00691349">
        <w:rPr>
          <w:rFonts w:eastAsiaTheme="minorHAnsi" w:cstheme="minorBidi"/>
          <w:lang w:eastAsia="en-US"/>
        </w:rPr>
        <w:t xml:space="preserve"> </w:t>
      </w:r>
      <w:r w:rsidRPr="00691349">
        <w:rPr>
          <w:rFonts w:eastAsiaTheme="minorHAnsi"/>
        </w:rPr>
        <w:t>280</w:t>
      </w:r>
      <w:r w:rsidR="00691349">
        <w:rPr>
          <w:rFonts w:eastAsiaTheme="minorHAnsi"/>
        </w:rPr>
        <w:t> </w:t>
      </w:r>
      <w:r w:rsidRPr="00691349">
        <w:rPr>
          <w:rFonts w:eastAsiaTheme="minorHAnsi"/>
        </w:rPr>
        <w:t>000</w:t>
      </w:r>
      <w:r w:rsidR="00691349">
        <w:rPr>
          <w:rFonts w:eastAsiaTheme="minorHAnsi" w:cstheme="minorBidi"/>
          <w:lang w:eastAsia="en-US"/>
        </w:rPr>
        <w:t> </w:t>
      </w:r>
      <w:r>
        <w:rPr>
          <w:rFonts w:eastAsiaTheme="minorHAnsi" w:cstheme="minorBidi"/>
          <w:lang w:eastAsia="en-US"/>
        </w:rPr>
        <w:t>eur na podniky pôsobiace v </w:t>
      </w:r>
      <w:r w:rsidRPr="00122152">
        <w:rPr>
          <w:rFonts w:eastAsiaTheme="minorHAnsi" w:cstheme="minorBidi"/>
          <w:lang w:eastAsia="en-US"/>
        </w:rPr>
        <w:t>prvovýrobe poľnohospodá</w:t>
      </w:r>
      <w:r w:rsidR="0051636E">
        <w:rPr>
          <w:rFonts w:eastAsiaTheme="minorHAnsi" w:cstheme="minorBidi"/>
          <w:lang w:eastAsia="en-US"/>
        </w:rPr>
        <w:t>rskych výrobkov,</w:t>
      </w:r>
      <w:r w:rsidR="00691349">
        <w:rPr>
          <w:rFonts w:eastAsiaTheme="minorHAnsi" w:cstheme="minorBidi"/>
          <w:lang w:eastAsia="en-US"/>
        </w:rPr>
        <w:t xml:space="preserve"> neprekročí 335 </w:t>
      </w:r>
      <w:r w:rsidRPr="00122152">
        <w:rPr>
          <w:rFonts w:eastAsiaTheme="minorHAnsi" w:cstheme="minorBidi"/>
          <w:lang w:eastAsia="en-US"/>
        </w:rPr>
        <w:t>000 eur na podnik pôsobiaci v</w:t>
      </w:r>
      <w:r>
        <w:rPr>
          <w:rFonts w:eastAsiaTheme="minorHAnsi" w:cstheme="minorBidi"/>
          <w:lang w:eastAsia="en-US"/>
        </w:rPr>
        <w:t> </w:t>
      </w:r>
      <w:r w:rsidRPr="00122152">
        <w:rPr>
          <w:rFonts w:eastAsiaTheme="minorHAnsi" w:cstheme="minorBidi"/>
          <w:lang w:eastAsia="en-US"/>
        </w:rPr>
        <w:t>odvetví rybolovu a</w:t>
      </w:r>
      <w:r w:rsidR="0051636E">
        <w:rPr>
          <w:rFonts w:eastAsiaTheme="minorHAnsi" w:cstheme="minorBidi"/>
          <w:lang w:eastAsia="en-US"/>
        </w:rPr>
        <w:t> </w:t>
      </w:r>
      <w:proofErr w:type="spellStart"/>
      <w:r w:rsidRPr="00122152">
        <w:rPr>
          <w:rFonts w:eastAsiaTheme="minorHAnsi" w:cstheme="minorBidi"/>
          <w:lang w:eastAsia="en-US"/>
        </w:rPr>
        <w:t>akvakultúry</w:t>
      </w:r>
      <w:proofErr w:type="spellEnd"/>
      <w:r w:rsidR="0051636E">
        <w:rPr>
          <w:rFonts w:eastAsiaTheme="minorHAnsi" w:cstheme="minorBidi"/>
          <w:lang w:eastAsia="en-US"/>
        </w:rPr>
        <w:t xml:space="preserve"> a </w:t>
      </w:r>
      <w:r w:rsidRPr="00122152">
        <w:rPr>
          <w:rFonts w:eastAsiaTheme="minorHAnsi" w:cstheme="minorBidi"/>
          <w:lang w:eastAsia="en-US"/>
        </w:rPr>
        <w:t>bude</w:t>
      </w:r>
      <w:r w:rsidR="00691349">
        <w:rPr>
          <w:rFonts w:eastAsiaTheme="minorHAnsi" w:cstheme="minorBidi"/>
          <w:lang w:eastAsia="en-US"/>
        </w:rPr>
        <w:t xml:space="preserve"> </w:t>
      </w:r>
      <w:r w:rsidRPr="00122152">
        <w:rPr>
          <w:rFonts w:eastAsiaTheme="minorHAnsi" w:cstheme="minorBidi"/>
          <w:lang w:eastAsia="en-US"/>
        </w:rPr>
        <w:t>poskytnutá najneskôr do 30. júna 2024. Komisia dospela k záveru, že schéma je potrebná, vhodná a primeraná na nápravu vážnej poruchy fungovania hospodárstva členského štátu v súlade s</w:t>
      </w:r>
      <w:r w:rsidR="00691349">
        <w:rPr>
          <w:rFonts w:eastAsiaTheme="minorHAnsi" w:cstheme="minorBidi"/>
          <w:lang w:eastAsia="en-US"/>
        </w:rPr>
        <w:t> </w:t>
      </w:r>
      <w:r w:rsidRPr="00122152">
        <w:rPr>
          <w:rFonts w:eastAsiaTheme="minorHAnsi" w:cstheme="minorBidi"/>
          <w:lang w:eastAsia="en-US"/>
        </w:rPr>
        <w:t>článkom</w:t>
      </w:r>
      <w:r w:rsidR="00691349">
        <w:rPr>
          <w:rFonts w:eastAsiaTheme="minorHAnsi" w:cstheme="minorBidi"/>
          <w:lang w:eastAsia="en-US"/>
        </w:rPr>
        <w:t xml:space="preserve"> 107 ods. 3 písm. b) ZFEÚ </w:t>
      </w:r>
      <w:r w:rsidRPr="00122152">
        <w:rPr>
          <w:rFonts w:eastAsiaTheme="minorHAnsi" w:cstheme="minorBidi"/>
          <w:lang w:eastAsia="en-US"/>
        </w:rPr>
        <w:t>a podmienkami stanovenými v dočasnom krízovom a prechodnom rámci a na základe toho ju schválila podľa pravidiel EÚ o štátnej pomoci</w:t>
      </w:r>
      <w:r>
        <w:rPr>
          <w:rFonts w:ascii="Trebuchet MS" w:hAnsi="Trebuchet MS"/>
          <w:color w:val="333333"/>
          <w:sz w:val="20"/>
          <w:szCs w:val="20"/>
          <w:bdr w:val="none" w:sz="0" w:space="0" w:color="auto" w:frame="1"/>
        </w:rPr>
        <w:t>.</w:t>
      </w:r>
    </w:p>
    <w:p w14:paraId="0CE1D862" w14:textId="4574484B" w:rsidR="004C6700" w:rsidRPr="00E90FB6" w:rsidRDefault="004C6700" w:rsidP="004C6700">
      <w:pPr>
        <w:spacing w:before="120" w:line="240" w:lineRule="auto"/>
        <w:rPr>
          <w:rFonts w:cs="Times New Roman"/>
          <w:b/>
          <w:color w:val="5B9BD5" w:themeColor="accent1"/>
          <w:sz w:val="24"/>
          <w:szCs w:val="24"/>
        </w:rPr>
      </w:pPr>
      <w:r w:rsidRPr="00E90FB6">
        <w:rPr>
          <w:rFonts w:cs="Times New Roman"/>
          <w:b/>
          <w:color w:val="5B9BD5" w:themeColor="accent1"/>
          <w:sz w:val="24"/>
          <w:szCs w:val="24"/>
        </w:rPr>
        <w:t>Výdavky na pomoc Ukrajine</w:t>
      </w:r>
    </w:p>
    <w:tbl>
      <w:tblPr>
        <w:tblW w:w="5000" w:type="pct"/>
        <w:tblCellMar>
          <w:left w:w="70" w:type="dxa"/>
          <w:right w:w="70" w:type="dxa"/>
        </w:tblCellMar>
        <w:tblLook w:val="04A0" w:firstRow="1" w:lastRow="0" w:firstColumn="1" w:lastColumn="0" w:noHBand="0" w:noVBand="1"/>
      </w:tblPr>
      <w:tblGrid>
        <w:gridCol w:w="8411"/>
        <w:gridCol w:w="803"/>
      </w:tblGrid>
      <w:tr w:rsidR="004C6700" w:rsidRPr="002A608F" w14:paraId="0590CAAD" w14:textId="77777777" w:rsidTr="00836EB5">
        <w:trPr>
          <w:trHeight w:val="290"/>
        </w:trPr>
        <w:tc>
          <w:tcPr>
            <w:tcW w:w="5000" w:type="pct"/>
            <w:gridSpan w:val="2"/>
            <w:tcBorders>
              <w:top w:val="nil"/>
              <w:left w:val="nil"/>
              <w:bottom w:val="nil"/>
              <w:right w:val="nil"/>
            </w:tcBorders>
            <w:shd w:val="clear" w:color="auto" w:fill="auto"/>
            <w:noWrap/>
            <w:vAlign w:val="center"/>
            <w:hideMark/>
          </w:tcPr>
          <w:p w14:paraId="4F36D4DC" w14:textId="77777777" w:rsidR="004C6700" w:rsidRPr="002A608F" w:rsidRDefault="004C6700" w:rsidP="00836EB5">
            <w:pPr>
              <w:spacing w:after="0" w:line="240" w:lineRule="auto"/>
              <w:jc w:val="left"/>
              <w:rPr>
                <w:rFonts w:eastAsia="Times New Roman" w:cs="Times New Roman"/>
                <w:b/>
                <w:bCs/>
                <w:color w:val="5B9BD5"/>
                <w:sz w:val="20"/>
                <w:szCs w:val="20"/>
                <w:lang w:eastAsia="sk-SK"/>
              </w:rPr>
            </w:pPr>
            <w:r>
              <w:rPr>
                <w:rFonts w:eastAsia="Times New Roman" w:cs="Times New Roman"/>
                <w:b/>
                <w:bCs/>
                <w:color w:val="5B9BD5"/>
                <w:sz w:val="20"/>
                <w:szCs w:val="20"/>
                <w:lang w:eastAsia="sk-SK"/>
              </w:rPr>
              <w:t xml:space="preserve">Tabuľka 12 - </w:t>
            </w:r>
            <w:r w:rsidRPr="002A608F">
              <w:rPr>
                <w:rFonts w:eastAsia="Times New Roman" w:cs="Times New Roman"/>
                <w:b/>
                <w:bCs/>
                <w:color w:val="5B9BD5"/>
                <w:sz w:val="20"/>
                <w:szCs w:val="20"/>
                <w:lang w:eastAsia="sk-SK"/>
              </w:rPr>
              <w:t xml:space="preserve">Výdavky na pomoc Ukrajine s vplyvom </w:t>
            </w:r>
            <w:r>
              <w:rPr>
                <w:rFonts w:eastAsia="Times New Roman" w:cs="Times New Roman"/>
                <w:b/>
                <w:bCs/>
                <w:color w:val="5B9BD5"/>
                <w:sz w:val="20"/>
                <w:szCs w:val="20"/>
                <w:lang w:eastAsia="sk-SK"/>
              </w:rPr>
              <w:t>na saldo VS v metodike ESA 2010</w:t>
            </w:r>
          </w:p>
        </w:tc>
      </w:tr>
      <w:tr w:rsidR="004C6700" w:rsidRPr="00691349" w14:paraId="049C6267" w14:textId="77777777" w:rsidTr="00836EB5">
        <w:trPr>
          <w:trHeight w:val="300"/>
        </w:trPr>
        <w:tc>
          <w:tcPr>
            <w:tcW w:w="4564" w:type="pct"/>
            <w:tcBorders>
              <w:top w:val="nil"/>
              <w:left w:val="nil"/>
              <w:bottom w:val="single" w:sz="8" w:space="0" w:color="auto"/>
              <w:right w:val="nil"/>
            </w:tcBorders>
            <w:shd w:val="clear" w:color="auto" w:fill="auto"/>
            <w:noWrap/>
            <w:vAlign w:val="center"/>
            <w:hideMark/>
          </w:tcPr>
          <w:p w14:paraId="1EBBFEA7"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Oblasť výdavkov</w:t>
            </w:r>
          </w:p>
        </w:tc>
        <w:tc>
          <w:tcPr>
            <w:tcW w:w="436" w:type="pct"/>
            <w:tcBorders>
              <w:top w:val="nil"/>
              <w:left w:val="nil"/>
              <w:bottom w:val="single" w:sz="8" w:space="0" w:color="auto"/>
              <w:right w:val="nil"/>
            </w:tcBorders>
            <w:shd w:val="clear" w:color="auto" w:fill="auto"/>
            <w:noWrap/>
            <w:vAlign w:val="center"/>
            <w:hideMark/>
          </w:tcPr>
          <w:p w14:paraId="2D25222A"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tis. eur </w:t>
            </w:r>
          </w:p>
        </w:tc>
      </w:tr>
      <w:tr w:rsidR="004C6700" w:rsidRPr="00691349" w14:paraId="2EF64195" w14:textId="77777777" w:rsidTr="00836EB5">
        <w:trPr>
          <w:trHeight w:val="290"/>
        </w:trPr>
        <w:tc>
          <w:tcPr>
            <w:tcW w:w="4564" w:type="pct"/>
            <w:tcBorders>
              <w:top w:val="nil"/>
              <w:left w:val="nil"/>
              <w:bottom w:val="nil"/>
              <w:right w:val="nil"/>
            </w:tcBorders>
            <w:shd w:val="clear" w:color="auto" w:fill="auto"/>
            <w:noWrap/>
            <w:vAlign w:val="center"/>
            <w:hideMark/>
          </w:tcPr>
          <w:p w14:paraId="7E77C548"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Výdavky spojené s odídencami</w:t>
            </w:r>
          </w:p>
        </w:tc>
        <w:tc>
          <w:tcPr>
            <w:tcW w:w="436" w:type="pct"/>
            <w:tcBorders>
              <w:top w:val="nil"/>
              <w:left w:val="nil"/>
              <w:bottom w:val="nil"/>
              <w:right w:val="nil"/>
            </w:tcBorders>
            <w:shd w:val="clear" w:color="auto" w:fill="auto"/>
            <w:noWrap/>
            <w:vAlign w:val="center"/>
            <w:hideMark/>
          </w:tcPr>
          <w:p w14:paraId="53D86061" w14:textId="77777777" w:rsidR="004C6700" w:rsidRPr="00691349" w:rsidRDefault="004C6700" w:rsidP="00836EB5">
            <w:pPr>
              <w:spacing w:after="0" w:line="240" w:lineRule="auto"/>
              <w:jc w:val="righ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128 193</w:t>
            </w:r>
          </w:p>
        </w:tc>
      </w:tr>
      <w:tr w:rsidR="004C6700" w:rsidRPr="00691349" w14:paraId="1CE9E6F0" w14:textId="77777777" w:rsidTr="00836EB5">
        <w:trPr>
          <w:trHeight w:val="290"/>
        </w:trPr>
        <w:tc>
          <w:tcPr>
            <w:tcW w:w="4564" w:type="pct"/>
            <w:tcBorders>
              <w:top w:val="nil"/>
              <w:left w:val="nil"/>
              <w:bottom w:val="nil"/>
              <w:right w:val="nil"/>
            </w:tcBorders>
            <w:shd w:val="clear" w:color="auto" w:fill="auto"/>
            <w:noWrap/>
            <w:vAlign w:val="center"/>
            <w:hideMark/>
          </w:tcPr>
          <w:p w14:paraId="383EAA86"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Financovanie úloh MV SR vyplývajúce z prílevu veľkého množstva osôb + transport</w:t>
            </w:r>
          </w:p>
        </w:tc>
        <w:tc>
          <w:tcPr>
            <w:tcW w:w="436" w:type="pct"/>
            <w:tcBorders>
              <w:top w:val="nil"/>
              <w:left w:val="nil"/>
              <w:bottom w:val="nil"/>
              <w:right w:val="nil"/>
            </w:tcBorders>
            <w:shd w:val="clear" w:color="auto" w:fill="auto"/>
            <w:noWrap/>
            <w:vAlign w:val="center"/>
            <w:hideMark/>
          </w:tcPr>
          <w:p w14:paraId="5720B5C3"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4 269</w:t>
            </w:r>
          </w:p>
        </w:tc>
      </w:tr>
      <w:tr w:rsidR="004C6700" w:rsidRPr="00691349" w14:paraId="0424D21D" w14:textId="77777777" w:rsidTr="00836EB5">
        <w:trPr>
          <w:trHeight w:val="290"/>
        </w:trPr>
        <w:tc>
          <w:tcPr>
            <w:tcW w:w="4564" w:type="pct"/>
            <w:tcBorders>
              <w:top w:val="nil"/>
              <w:left w:val="nil"/>
              <w:bottom w:val="nil"/>
              <w:right w:val="nil"/>
            </w:tcBorders>
            <w:shd w:val="clear" w:color="auto" w:fill="auto"/>
            <w:noWrap/>
            <w:vAlign w:val="center"/>
            <w:hideMark/>
          </w:tcPr>
          <w:p w14:paraId="544D4AA5"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 xml:space="preserve">Žiaci v regionálnom školstve     </w:t>
            </w:r>
          </w:p>
        </w:tc>
        <w:tc>
          <w:tcPr>
            <w:tcW w:w="436" w:type="pct"/>
            <w:tcBorders>
              <w:top w:val="nil"/>
              <w:left w:val="nil"/>
              <w:bottom w:val="nil"/>
              <w:right w:val="nil"/>
            </w:tcBorders>
            <w:shd w:val="clear" w:color="auto" w:fill="auto"/>
            <w:noWrap/>
            <w:vAlign w:val="center"/>
            <w:hideMark/>
          </w:tcPr>
          <w:p w14:paraId="34358464"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24 237</w:t>
            </w:r>
          </w:p>
        </w:tc>
      </w:tr>
      <w:tr w:rsidR="004C6700" w:rsidRPr="00691349" w14:paraId="2BE0FBEF" w14:textId="77777777" w:rsidTr="00836EB5">
        <w:trPr>
          <w:trHeight w:val="290"/>
        </w:trPr>
        <w:tc>
          <w:tcPr>
            <w:tcW w:w="4564" w:type="pct"/>
            <w:tcBorders>
              <w:top w:val="nil"/>
              <w:left w:val="nil"/>
              <w:bottom w:val="nil"/>
              <w:right w:val="nil"/>
            </w:tcBorders>
            <w:shd w:val="clear" w:color="auto" w:fill="auto"/>
            <w:noWrap/>
            <w:vAlign w:val="center"/>
            <w:hideMark/>
          </w:tcPr>
          <w:p w14:paraId="139D5796"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 xml:space="preserve">Dávky v hmotnej núdzi                                                                                                                                                                                                                                                                                        </w:t>
            </w:r>
          </w:p>
        </w:tc>
        <w:tc>
          <w:tcPr>
            <w:tcW w:w="436" w:type="pct"/>
            <w:tcBorders>
              <w:top w:val="nil"/>
              <w:left w:val="nil"/>
              <w:bottom w:val="nil"/>
              <w:right w:val="nil"/>
            </w:tcBorders>
            <w:shd w:val="clear" w:color="auto" w:fill="auto"/>
            <w:noWrap/>
            <w:vAlign w:val="bottom"/>
            <w:hideMark/>
          </w:tcPr>
          <w:p w14:paraId="1635E00C"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16 477</w:t>
            </w:r>
          </w:p>
        </w:tc>
      </w:tr>
      <w:tr w:rsidR="004C6700" w:rsidRPr="00691349" w14:paraId="3A9C46D1" w14:textId="77777777" w:rsidTr="00836EB5">
        <w:trPr>
          <w:trHeight w:val="290"/>
        </w:trPr>
        <w:tc>
          <w:tcPr>
            <w:tcW w:w="4564" w:type="pct"/>
            <w:tcBorders>
              <w:top w:val="nil"/>
              <w:left w:val="nil"/>
              <w:bottom w:val="nil"/>
              <w:right w:val="nil"/>
            </w:tcBorders>
            <w:shd w:val="clear" w:color="auto" w:fill="auto"/>
            <w:noWrap/>
            <w:vAlign w:val="center"/>
            <w:hideMark/>
          </w:tcPr>
          <w:p w14:paraId="712DD5EA"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 xml:space="preserve">Náklady na integráciu (jazyk, školenia, poradenstvo)                                                  </w:t>
            </w:r>
          </w:p>
        </w:tc>
        <w:tc>
          <w:tcPr>
            <w:tcW w:w="436" w:type="pct"/>
            <w:tcBorders>
              <w:top w:val="nil"/>
              <w:left w:val="nil"/>
              <w:bottom w:val="nil"/>
              <w:right w:val="nil"/>
            </w:tcBorders>
            <w:shd w:val="clear" w:color="auto" w:fill="auto"/>
            <w:noWrap/>
            <w:vAlign w:val="center"/>
            <w:hideMark/>
          </w:tcPr>
          <w:p w14:paraId="067466E6"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203</w:t>
            </w:r>
          </w:p>
        </w:tc>
      </w:tr>
      <w:tr w:rsidR="004C6700" w:rsidRPr="00691349" w14:paraId="483A3E11" w14:textId="77777777" w:rsidTr="00836EB5">
        <w:trPr>
          <w:trHeight w:val="290"/>
        </w:trPr>
        <w:tc>
          <w:tcPr>
            <w:tcW w:w="4564" w:type="pct"/>
            <w:tcBorders>
              <w:top w:val="nil"/>
              <w:left w:val="nil"/>
              <w:bottom w:val="nil"/>
              <w:right w:val="nil"/>
            </w:tcBorders>
            <w:shd w:val="clear" w:color="auto" w:fill="auto"/>
            <w:noWrap/>
            <w:vAlign w:val="center"/>
            <w:hideMark/>
          </w:tcPr>
          <w:p w14:paraId="1855A1C9"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 xml:space="preserve">Zdravotná starostlivosť                                                                                                                                                                </w:t>
            </w:r>
          </w:p>
        </w:tc>
        <w:tc>
          <w:tcPr>
            <w:tcW w:w="436" w:type="pct"/>
            <w:tcBorders>
              <w:top w:val="nil"/>
              <w:left w:val="nil"/>
              <w:bottom w:val="nil"/>
              <w:right w:val="nil"/>
            </w:tcBorders>
            <w:shd w:val="clear" w:color="auto" w:fill="auto"/>
            <w:noWrap/>
            <w:vAlign w:val="bottom"/>
            <w:hideMark/>
          </w:tcPr>
          <w:p w14:paraId="282C580A"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11 775</w:t>
            </w:r>
          </w:p>
        </w:tc>
      </w:tr>
      <w:tr w:rsidR="004C6700" w:rsidRPr="00691349" w14:paraId="4B7D3699" w14:textId="77777777" w:rsidTr="00836EB5">
        <w:trPr>
          <w:trHeight w:val="290"/>
        </w:trPr>
        <w:tc>
          <w:tcPr>
            <w:tcW w:w="4564" w:type="pct"/>
            <w:tcBorders>
              <w:top w:val="nil"/>
              <w:left w:val="nil"/>
              <w:bottom w:val="single" w:sz="4" w:space="0" w:color="auto"/>
              <w:right w:val="nil"/>
            </w:tcBorders>
            <w:shd w:val="clear" w:color="auto" w:fill="auto"/>
            <w:noWrap/>
            <w:vAlign w:val="center"/>
            <w:hideMark/>
          </w:tcPr>
          <w:p w14:paraId="7D6BE21F"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Príspevok na ubytovanie</w:t>
            </w:r>
          </w:p>
        </w:tc>
        <w:tc>
          <w:tcPr>
            <w:tcW w:w="436" w:type="pct"/>
            <w:tcBorders>
              <w:top w:val="nil"/>
              <w:left w:val="nil"/>
              <w:bottom w:val="single" w:sz="4" w:space="0" w:color="auto"/>
              <w:right w:val="nil"/>
            </w:tcBorders>
            <w:shd w:val="clear" w:color="auto" w:fill="auto"/>
            <w:noWrap/>
            <w:vAlign w:val="center"/>
            <w:hideMark/>
          </w:tcPr>
          <w:p w14:paraId="2ECEB833"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70 962</w:t>
            </w:r>
          </w:p>
        </w:tc>
      </w:tr>
      <w:tr w:rsidR="004C6700" w:rsidRPr="00691349" w14:paraId="5C2E8576" w14:textId="77777777" w:rsidTr="00836EB5">
        <w:trPr>
          <w:trHeight w:val="290"/>
        </w:trPr>
        <w:tc>
          <w:tcPr>
            <w:tcW w:w="4564" w:type="pct"/>
            <w:tcBorders>
              <w:top w:val="single" w:sz="4" w:space="0" w:color="auto"/>
              <w:left w:val="nil"/>
              <w:bottom w:val="single" w:sz="4" w:space="0" w:color="auto"/>
              <w:right w:val="nil"/>
            </w:tcBorders>
            <w:shd w:val="clear" w:color="auto" w:fill="auto"/>
            <w:noWrap/>
            <w:vAlign w:val="center"/>
            <w:hideMark/>
          </w:tcPr>
          <w:p w14:paraId="1DA45CA8"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Ostatné (vyvolané) výdavky</w:t>
            </w:r>
          </w:p>
        </w:tc>
        <w:tc>
          <w:tcPr>
            <w:tcW w:w="436" w:type="pct"/>
            <w:tcBorders>
              <w:top w:val="single" w:sz="4" w:space="0" w:color="auto"/>
              <w:left w:val="nil"/>
              <w:bottom w:val="single" w:sz="4" w:space="0" w:color="auto"/>
              <w:right w:val="nil"/>
            </w:tcBorders>
            <w:shd w:val="clear" w:color="auto" w:fill="auto"/>
            <w:noWrap/>
            <w:vAlign w:val="center"/>
            <w:hideMark/>
          </w:tcPr>
          <w:p w14:paraId="4583610A" w14:textId="77777777" w:rsidR="004C6700" w:rsidRPr="00691349" w:rsidRDefault="004C6700" w:rsidP="00836EB5">
            <w:pPr>
              <w:spacing w:after="0" w:line="240" w:lineRule="auto"/>
              <w:jc w:val="righ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23 641</w:t>
            </w:r>
          </w:p>
        </w:tc>
      </w:tr>
      <w:tr w:rsidR="004C6700" w:rsidRPr="00691349" w14:paraId="4DB49616" w14:textId="77777777" w:rsidTr="00836EB5">
        <w:trPr>
          <w:trHeight w:val="290"/>
        </w:trPr>
        <w:tc>
          <w:tcPr>
            <w:tcW w:w="4564" w:type="pct"/>
            <w:tcBorders>
              <w:top w:val="nil"/>
              <w:left w:val="nil"/>
              <w:bottom w:val="nil"/>
              <w:right w:val="nil"/>
            </w:tcBorders>
            <w:shd w:val="clear" w:color="auto" w:fill="auto"/>
            <w:noWrap/>
            <w:vAlign w:val="center"/>
            <w:hideMark/>
          </w:tcPr>
          <w:p w14:paraId="7FC2EEFB"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Ostatné (napr. náklady na opravu civilných krytov, dodatočné výdavky na obranu)</w:t>
            </w:r>
          </w:p>
        </w:tc>
        <w:tc>
          <w:tcPr>
            <w:tcW w:w="436" w:type="pct"/>
            <w:tcBorders>
              <w:top w:val="nil"/>
              <w:left w:val="nil"/>
              <w:bottom w:val="nil"/>
              <w:right w:val="nil"/>
            </w:tcBorders>
            <w:shd w:val="clear" w:color="auto" w:fill="auto"/>
            <w:noWrap/>
            <w:vAlign w:val="center"/>
            <w:hideMark/>
          </w:tcPr>
          <w:p w14:paraId="745721B2"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4 061</w:t>
            </w:r>
          </w:p>
        </w:tc>
      </w:tr>
      <w:tr w:rsidR="004C6700" w:rsidRPr="00691349" w14:paraId="70F7B14B" w14:textId="77777777" w:rsidTr="00836EB5">
        <w:trPr>
          <w:trHeight w:val="290"/>
        </w:trPr>
        <w:tc>
          <w:tcPr>
            <w:tcW w:w="4564" w:type="pct"/>
            <w:tcBorders>
              <w:top w:val="nil"/>
              <w:left w:val="nil"/>
              <w:bottom w:val="nil"/>
              <w:right w:val="nil"/>
            </w:tcBorders>
            <w:shd w:val="clear" w:color="auto" w:fill="auto"/>
            <w:noWrap/>
            <w:vAlign w:val="center"/>
            <w:hideMark/>
          </w:tcPr>
          <w:p w14:paraId="23EE9D8A"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Vyvolané investície (kontajnerové mestečko pre vojakov NATO a iné)</w:t>
            </w:r>
          </w:p>
        </w:tc>
        <w:tc>
          <w:tcPr>
            <w:tcW w:w="436" w:type="pct"/>
            <w:tcBorders>
              <w:top w:val="nil"/>
              <w:left w:val="nil"/>
              <w:bottom w:val="nil"/>
              <w:right w:val="nil"/>
            </w:tcBorders>
            <w:shd w:val="clear" w:color="auto" w:fill="auto"/>
            <w:noWrap/>
            <w:vAlign w:val="center"/>
            <w:hideMark/>
          </w:tcPr>
          <w:p w14:paraId="141E7EEB"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19 580</w:t>
            </w:r>
          </w:p>
        </w:tc>
      </w:tr>
      <w:tr w:rsidR="004C6700" w:rsidRPr="00691349" w14:paraId="0FD2190F" w14:textId="77777777" w:rsidTr="00836EB5">
        <w:trPr>
          <w:trHeight w:val="300"/>
        </w:trPr>
        <w:tc>
          <w:tcPr>
            <w:tcW w:w="4564" w:type="pct"/>
            <w:tcBorders>
              <w:top w:val="nil"/>
              <w:left w:val="nil"/>
              <w:bottom w:val="single" w:sz="8" w:space="0" w:color="auto"/>
              <w:right w:val="nil"/>
            </w:tcBorders>
            <w:shd w:val="clear" w:color="auto" w:fill="auto"/>
            <w:noWrap/>
            <w:vAlign w:val="center"/>
            <w:hideMark/>
          </w:tcPr>
          <w:p w14:paraId="695985BA"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Spolu</w:t>
            </w:r>
          </w:p>
        </w:tc>
        <w:tc>
          <w:tcPr>
            <w:tcW w:w="436" w:type="pct"/>
            <w:tcBorders>
              <w:top w:val="nil"/>
              <w:left w:val="nil"/>
              <w:bottom w:val="single" w:sz="8" w:space="0" w:color="auto"/>
              <w:right w:val="nil"/>
            </w:tcBorders>
            <w:shd w:val="clear" w:color="auto" w:fill="auto"/>
            <w:noWrap/>
            <w:vAlign w:val="center"/>
            <w:hideMark/>
          </w:tcPr>
          <w:p w14:paraId="2A6C1799" w14:textId="77777777" w:rsidR="004C6700" w:rsidRPr="00691349" w:rsidRDefault="004C6700" w:rsidP="00836EB5">
            <w:pPr>
              <w:spacing w:after="0" w:line="240" w:lineRule="auto"/>
              <w:jc w:val="righ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151 834</w:t>
            </w:r>
          </w:p>
        </w:tc>
      </w:tr>
      <w:tr w:rsidR="004C6700" w:rsidRPr="00691349" w14:paraId="22ED1E5E" w14:textId="77777777" w:rsidTr="00836EB5">
        <w:trPr>
          <w:trHeight w:val="300"/>
        </w:trPr>
        <w:tc>
          <w:tcPr>
            <w:tcW w:w="4564" w:type="pct"/>
            <w:tcBorders>
              <w:top w:val="single" w:sz="8" w:space="0" w:color="auto"/>
              <w:left w:val="nil"/>
              <w:bottom w:val="single" w:sz="8" w:space="0" w:color="auto"/>
              <w:right w:val="nil"/>
            </w:tcBorders>
            <w:shd w:val="clear" w:color="auto" w:fill="auto"/>
            <w:noWrap/>
            <w:vAlign w:val="center"/>
            <w:hideMark/>
          </w:tcPr>
          <w:p w14:paraId="0A180B13"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Vplyv výdavkov na saldo VS</w:t>
            </w:r>
          </w:p>
        </w:tc>
        <w:tc>
          <w:tcPr>
            <w:tcW w:w="436" w:type="pct"/>
            <w:tcBorders>
              <w:top w:val="single" w:sz="8" w:space="0" w:color="auto"/>
              <w:left w:val="nil"/>
              <w:bottom w:val="single" w:sz="8" w:space="0" w:color="auto"/>
              <w:right w:val="nil"/>
            </w:tcBorders>
            <w:shd w:val="clear" w:color="auto" w:fill="auto"/>
            <w:noWrap/>
            <w:vAlign w:val="center"/>
            <w:hideMark/>
          </w:tcPr>
          <w:p w14:paraId="576D9B56" w14:textId="77777777" w:rsidR="004C6700" w:rsidRPr="00691349" w:rsidRDefault="004C6700" w:rsidP="00836EB5">
            <w:pPr>
              <w:spacing w:after="0" w:line="240" w:lineRule="auto"/>
              <w:jc w:val="righ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151 834</w:t>
            </w:r>
          </w:p>
        </w:tc>
      </w:tr>
    </w:tbl>
    <w:p w14:paraId="5A27C4BF" w14:textId="17914D37" w:rsidR="004C6700" w:rsidRPr="00691349" w:rsidRDefault="00691349" w:rsidP="00691349">
      <w:pPr>
        <w:spacing w:after="0" w:line="240" w:lineRule="auto"/>
        <w:jc w:val="right"/>
        <w:rPr>
          <w:rFonts w:eastAsia="Times New Roman" w:cs="Times New Roman"/>
          <w:color w:val="000000"/>
          <w:sz w:val="18"/>
          <w:szCs w:val="18"/>
          <w:lang w:eastAsia="sk-SK"/>
        </w:rPr>
      </w:pPr>
      <w:r w:rsidRPr="00691349">
        <w:rPr>
          <w:sz w:val="18"/>
          <w:szCs w:val="18"/>
        </w:rPr>
        <w:t>Zdroj: IFP, MFSR</w:t>
      </w:r>
    </w:p>
    <w:p w14:paraId="42B3BF82" w14:textId="62CECD5E" w:rsidR="004C6700" w:rsidRPr="00DD3CB7" w:rsidRDefault="004C6700" w:rsidP="004C6700">
      <w:pPr>
        <w:spacing w:before="120" w:line="240" w:lineRule="auto"/>
        <w:rPr>
          <w:sz w:val="24"/>
          <w:szCs w:val="24"/>
        </w:rPr>
      </w:pPr>
      <w:r w:rsidRPr="00B27C08">
        <w:rPr>
          <w:sz w:val="24"/>
          <w:szCs w:val="24"/>
        </w:rPr>
        <w:t xml:space="preserve">Kapitole Ministerstvo obrany SR boli v januári 2023 ako druhá </w:t>
      </w:r>
      <w:proofErr w:type="spellStart"/>
      <w:r w:rsidRPr="00B27C08">
        <w:rPr>
          <w:sz w:val="24"/>
          <w:szCs w:val="24"/>
        </w:rPr>
        <w:t>tranža</w:t>
      </w:r>
      <w:proofErr w:type="spellEnd"/>
      <w:r w:rsidRPr="00B27C08">
        <w:rPr>
          <w:sz w:val="24"/>
          <w:szCs w:val="24"/>
        </w:rPr>
        <w:t xml:space="preserve"> poskytnuté prostriedky z</w:t>
      </w:r>
      <w:r w:rsidR="007D57AB">
        <w:rPr>
          <w:sz w:val="24"/>
          <w:szCs w:val="24"/>
        </w:rPr>
        <w:t> </w:t>
      </w:r>
      <w:r w:rsidRPr="00B27C08">
        <w:rPr>
          <w:sz w:val="24"/>
          <w:szCs w:val="24"/>
        </w:rPr>
        <w:t>Európskeho mierového nástroja EPF (zaradené do príjmov štátneho rozpočtu) v sume 41 902 tis. eur formou transferu v rámci pomoci Ukrajine. V</w:t>
      </w:r>
      <w:r w:rsidRPr="00DD3CB7">
        <w:rPr>
          <w:sz w:val="24"/>
          <w:szCs w:val="24"/>
        </w:rPr>
        <w:t> súvislosti so vzniknutou situáciou spôsobenou ozbrojeným konfliktom na Ukrajine boli v priebehu roka kapitolami čerpané finančné prostriedky vo forme bežných výdavkov v sume 1</w:t>
      </w:r>
      <w:r>
        <w:rPr>
          <w:sz w:val="24"/>
          <w:szCs w:val="24"/>
        </w:rPr>
        <w:t>30</w:t>
      </w:r>
      <w:r w:rsidRPr="00DD3CB7">
        <w:rPr>
          <w:sz w:val="24"/>
          <w:szCs w:val="24"/>
        </w:rPr>
        <w:t> </w:t>
      </w:r>
      <w:r>
        <w:rPr>
          <w:sz w:val="24"/>
          <w:szCs w:val="24"/>
        </w:rPr>
        <w:t>606</w:t>
      </w:r>
      <w:r w:rsidRPr="00DD3CB7">
        <w:rPr>
          <w:sz w:val="24"/>
          <w:szCs w:val="24"/>
        </w:rPr>
        <w:t> tis. eur (mzdy, poist</w:t>
      </w:r>
      <w:r>
        <w:rPr>
          <w:sz w:val="24"/>
          <w:szCs w:val="24"/>
        </w:rPr>
        <w:t xml:space="preserve">né, tovary a služby, transfery). Najviac výdavkov v sume 57 133 tis. eur išlo z kapitoly Ministerstva dopravy SR a v sume 24 239 tis. eur z kapitoly Ministerstva školstva SR. Hotovostný príjem mala kapitola Ministerstvo školstva SR za stravné a služby v sume 37 tis. eur. </w:t>
      </w:r>
      <w:r w:rsidRPr="00DD3CB7">
        <w:rPr>
          <w:sz w:val="24"/>
          <w:szCs w:val="24"/>
        </w:rPr>
        <w:t>Podrobnejší rozpis hotovostného čerpania je v kapitole 3.</w:t>
      </w:r>
      <w:r>
        <w:rPr>
          <w:sz w:val="24"/>
          <w:szCs w:val="24"/>
        </w:rPr>
        <w:t xml:space="preserve"> </w:t>
      </w:r>
    </w:p>
    <w:p w14:paraId="572E4EBC" w14:textId="77777777" w:rsidR="004C6700" w:rsidRPr="00723B19" w:rsidRDefault="004C6700" w:rsidP="00691349">
      <w:pPr>
        <w:spacing w:line="240" w:lineRule="auto"/>
        <w:rPr>
          <w:rFonts w:cs="Times New Roman"/>
          <w:b/>
          <w:color w:val="5B9BD5" w:themeColor="accent1"/>
          <w:sz w:val="24"/>
          <w:szCs w:val="24"/>
        </w:rPr>
      </w:pPr>
      <w:r w:rsidRPr="00723B19">
        <w:rPr>
          <w:rFonts w:cs="Times New Roman"/>
          <w:b/>
          <w:color w:val="5B9BD5" w:themeColor="accent1"/>
          <w:sz w:val="24"/>
          <w:szCs w:val="24"/>
        </w:rPr>
        <w:t>Energetická pomoc</w:t>
      </w:r>
    </w:p>
    <w:p w14:paraId="268F5F36" w14:textId="31B9D591" w:rsidR="004C6700" w:rsidRPr="00723B19" w:rsidRDefault="004C6700" w:rsidP="00691349">
      <w:pPr>
        <w:spacing w:line="240" w:lineRule="auto"/>
        <w:rPr>
          <w:sz w:val="24"/>
          <w:szCs w:val="24"/>
        </w:rPr>
      </w:pPr>
      <w:r w:rsidRPr="00723B19">
        <w:rPr>
          <w:sz w:val="24"/>
          <w:szCs w:val="24"/>
        </w:rPr>
        <w:t>V roku 2023 MH SR spolu s vládou pokračovali v riešení pomoci s vysokými cenami energií pre</w:t>
      </w:r>
      <w:r w:rsidR="007D57AB">
        <w:rPr>
          <w:sz w:val="24"/>
          <w:szCs w:val="24"/>
        </w:rPr>
        <w:t> </w:t>
      </w:r>
      <w:r w:rsidRPr="00723B19">
        <w:rPr>
          <w:sz w:val="24"/>
          <w:szCs w:val="24"/>
        </w:rPr>
        <w:t xml:space="preserve">domácnosti, verejný sektor a podnikateľské subjekty. </w:t>
      </w:r>
    </w:p>
    <w:p w14:paraId="65445715" w14:textId="3AB698E1" w:rsidR="004C6700" w:rsidRPr="00723B19" w:rsidRDefault="004C6700" w:rsidP="00691349">
      <w:pPr>
        <w:spacing w:line="240" w:lineRule="auto"/>
        <w:rPr>
          <w:sz w:val="24"/>
          <w:szCs w:val="24"/>
        </w:rPr>
      </w:pPr>
      <w:r w:rsidRPr="00723B19">
        <w:rPr>
          <w:sz w:val="24"/>
          <w:szCs w:val="24"/>
        </w:rPr>
        <w:t xml:space="preserve">Štát v priebehu roka 2023 subvencoval ceny energií rôznymi formami. Išlo o výdavky spojené so </w:t>
      </w:r>
      <w:proofErr w:type="spellStart"/>
      <w:r w:rsidRPr="00723B19">
        <w:rPr>
          <w:sz w:val="24"/>
          <w:szCs w:val="24"/>
        </w:rPr>
        <w:t>zastropovaním</w:t>
      </w:r>
      <w:proofErr w:type="spellEnd"/>
      <w:r w:rsidRPr="00723B19">
        <w:rPr>
          <w:sz w:val="24"/>
          <w:szCs w:val="24"/>
        </w:rPr>
        <w:t xml:space="preserve"> cien elektriny, plynu a teplom, ako sú kompenzácia cien energií vybraných zraniteľných odberateľov, dotácie cien tepla, kompenzácia cien plynu za domácnosti, kompenzácia cien energií za malých odberateľov, kompenzácia taríf za odberateľov elektriny a </w:t>
      </w:r>
      <w:proofErr w:type="spellStart"/>
      <w:r w:rsidRPr="00723B19">
        <w:rPr>
          <w:sz w:val="24"/>
          <w:szCs w:val="24"/>
        </w:rPr>
        <w:t>energodotácie</w:t>
      </w:r>
      <w:proofErr w:type="spellEnd"/>
      <w:r w:rsidRPr="00723B19">
        <w:rPr>
          <w:sz w:val="24"/>
          <w:szCs w:val="24"/>
        </w:rPr>
        <w:t xml:space="preserve">. </w:t>
      </w:r>
    </w:p>
    <w:p w14:paraId="09CDB0E0" w14:textId="4EEE54E8" w:rsidR="004C6700" w:rsidRPr="00723B19" w:rsidRDefault="004C6700" w:rsidP="00691349">
      <w:pPr>
        <w:spacing w:line="240" w:lineRule="auto"/>
        <w:rPr>
          <w:sz w:val="24"/>
          <w:szCs w:val="24"/>
        </w:rPr>
      </w:pPr>
      <w:r w:rsidRPr="001620AF">
        <w:rPr>
          <w:sz w:val="24"/>
          <w:szCs w:val="24"/>
        </w:rPr>
        <w:t xml:space="preserve">Okrem subvencií boli s energetickou pomocou spojené aj ďalšie náklady. Najväčšou položkou bolo dotovanie plynu pre domácnosti. Išlo o kompenzácie, ktoré ministerstvo priebežne vyplácalo dodávateľom plynu. Tým rozhodnutia ÚRSO umožnili zvýšiť ceny v priemere </w:t>
      </w:r>
      <w:r w:rsidRPr="001620AF">
        <w:rPr>
          <w:sz w:val="24"/>
          <w:szCs w:val="24"/>
        </w:rPr>
        <w:lastRenderedPageBreak/>
        <w:t>o</w:t>
      </w:r>
      <w:r w:rsidR="007D57AB">
        <w:rPr>
          <w:sz w:val="24"/>
          <w:szCs w:val="24"/>
        </w:rPr>
        <w:t> </w:t>
      </w:r>
      <w:r w:rsidRPr="001620AF">
        <w:rPr>
          <w:sz w:val="24"/>
          <w:szCs w:val="24"/>
        </w:rPr>
        <w:t>zhruba 200</w:t>
      </w:r>
      <w:r>
        <w:rPr>
          <w:sz w:val="24"/>
          <w:szCs w:val="24"/>
        </w:rPr>
        <w:t xml:space="preserve"> </w:t>
      </w:r>
      <w:r w:rsidRPr="001620AF">
        <w:rPr>
          <w:sz w:val="24"/>
          <w:szCs w:val="24"/>
        </w:rPr>
        <w:t>%, ale vládne nariadenie pripustilo maximálne 15</w:t>
      </w:r>
      <w:r>
        <w:rPr>
          <w:sz w:val="24"/>
          <w:szCs w:val="24"/>
        </w:rPr>
        <w:t xml:space="preserve"> </w:t>
      </w:r>
      <w:r w:rsidRPr="001620AF">
        <w:rPr>
          <w:sz w:val="24"/>
          <w:szCs w:val="24"/>
        </w:rPr>
        <w:t>% zdraženie. Druhou najväčšou položkou bolo „zmrazenie“ distribučných taríf a ďalších regulovaných poplatkov obsiahnutých v cene elektriny. V praxi to znamenalo, že vláda musela počas roka kompenzovať príjemcov týchto „zmrazených“ poplatkov. Podobn</w:t>
      </w:r>
      <w:r>
        <w:rPr>
          <w:sz w:val="24"/>
          <w:szCs w:val="24"/>
        </w:rPr>
        <w:t>e ako v prípade dotácií plynu</w:t>
      </w:r>
      <w:r w:rsidRPr="001620AF">
        <w:rPr>
          <w:sz w:val="24"/>
          <w:szCs w:val="24"/>
        </w:rPr>
        <w:t xml:space="preserve"> štát vlani dotoval ceny tepla</w:t>
      </w:r>
      <w:r>
        <w:rPr>
          <w:sz w:val="24"/>
          <w:szCs w:val="24"/>
        </w:rPr>
        <w:t xml:space="preserve"> a to vyplácaním kompenzácií, ktoré mali pokryť </w:t>
      </w:r>
      <w:proofErr w:type="spellStart"/>
      <w:r>
        <w:rPr>
          <w:sz w:val="24"/>
          <w:szCs w:val="24"/>
        </w:rPr>
        <w:t>nárokovateľné</w:t>
      </w:r>
      <w:proofErr w:type="spellEnd"/>
      <w:r>
        <w:rPr>
          <w:sz w:val="24"/>
          <w:szCs w:val="24"/>
        </w:rPr>
        <w:t xml:space="preserve"> príjmy, ktoré kvôli vládnemu „</w:t>
      </w:r>
      <w:proofErr w:type="spellStart"/>
      <w:r>
        <w:rPr>
          <w:sz w:val="24"/>
          <w:szCs w:val="24"/>
        </w:rPr>
        <w:t>zastropovaniu</w:t>
      </w:r>
      <w:proofErr w:type="spellEnd"/>
      <w:r>
        <w:rPr>
          <w:sz w:val="24"/>
          <w:szCs w:val="24"/>
        </w:rPr>
        <w:t>“ cien nedosiahli</w:t>
      </w:r>
      <w:r w:rsidRPr="001620AF">
        <w:rPr>
          <w:sz w:val="24"/>
          <w:szCs w:val="24"/>
        </w:rPr>
        <w:t>. Ďalšími položkami sú kompenzácie spojené so</w:t>
      </w:r>
      <w:r w:rsidR="007D57AB">
        <w:rPr>
          <w:sz w:val="24"/>
          <w:szCs w:val="24"/>
        </w:rPr>
        <w:t> </w:t>
      </w:r>
      <w:proofErr w:type="spellStart"/>
      <w:r w:rsidRPr="001620AF">
        <w:rPr>
          <w:sz w:val="24"/>
          <w:szCs w:val="24"/>
        </w:rPr>
        <w:t>zastropovaním</w:t>
      </w:r>
      <w:proofErr w:type="spellEnd"/>
      <w:r w:rsidRPr="001620AF">
        <w:rPr>
          <w:sz w:val="24"/>
          <w:szCs w:val="24"/>
        </w:rPr>
        <w:t xml:space="preserve"> cien elektriny a plynu pre malé firmy a vybraných zraniteľných odberateľov. Pomoc vo forme tzv. </w:t>
      </w:r>
      <w:proofErr w:type="spellStart"/>
      <w:r w:rsidRPr="001620AF">
        <w:rPr>
          <w:sz w:val="24"/>
          <w:szCs w:val="24"/>
        </w:rPr>
        <w:t>energodotácií</w:t>
      </w:r>
      <w:proofErr w:type="spellEnd"/>
      <w:r w:rsidRPr="001620AF">
        <w:rPr>
          <w:sz w:val="24"/>
          <w:szCs w:val="24"/>
        </w:rPr>
        <w:t xml:space="preserve"> ministerstvo vyplácalo priamo odberateľom energií.</w:t>
      </w:r>
    </w:p>
    <w:p w14:paraId="33073899" w14:textId="77777777" w:rsidR="004C6700" w:rsidRDefault="004C6700" w:rsidP="004C6700">
      <w:pPr>
        <w:spacing w:before="120" w:line="240" w:lineRule="auto"/>
        <w:rPr>
          <w:sz w:val="24"/>
          <w:szCs w:val="24"/>
        </w:rPr>
      </w:pPr>
      <w:r w:rsidRPr="00723B19">
        <w:rPr>
          <w:sz w:val="24"/>
          <w:szCs w:val="24"/>
        </w:rPr>
        <w:t>O kompenzácie žiadali podniky, ale i verejný sektor, ako sú samosprávy, domovy sociálnych služieb či občianske združenia.</w:t>
      </w:r>
      <w:r>
        <w:rPr>
          <w:sz w:val="24"/>
          <w:szCs w:val="24"/>
        </w:rPr>
        <w:t xml:space="preserve"> </w:t>
      </w:r>
    </w:p>
    <w:p w14:paraId="37131A67" w14:textId="021BD401" w:rsidR="004C6700" w:rsidRPr="0095759E" w:rsidRDefault="004C6700" w:rsidP="004C6700">
      <w:pPr>
        <w:spacing w:before="120" w:line="240" w:lineRule="auto"/>
        <w:rPr>
          <w:sz w:val="24"/>
          <w:szCs w:val="24"/>
        </w:rPr>
      </w:pPr>
      <w:r w:rsidRPr="005C118B">
        <w:rPr>
          <w:sz w:val="24"/>
          <w:szCs w:val="24"/>
        </w:rPr>
        <w:t>Hotovostné čerpanie vyplatené v roku 2023 bolo v sume 2 995 076 tis. eur. V zmysle metodiky ESA 2010 navyše do roka 2023 patria aj pomoci vyplatené v roku 2024, ktoré sa vecne vzťahujú na schémy z roku 2023 (69 017 tis. eur a 51 890 tis. eur).</w:t>
      </w:r>
    </w:p>
    <w:p w14:paraId="63313DFF" w14:textId="77777777" w:rsidR="004C6700" w:rsidRPr="00E90FB6" w:rsidRDefault="004C6700" w:rsidP="004C6700">
      <w:pPr>
        <w:spacing w:line="240" w:lineRule="auto"/>
        <w:jc w:val="left"/>
        <w:rPr>
          <w:rFonts w:eastAsia="Times New Roman" w:cs="Times New Roman"/>
          <w:b/>
          <w:bCs/>
          <w:color w:val="5B9BD5" w:themeColor="accent1"/>
          <w:sz w:val="20"/>
          <w:szCs w:val="20"/>
          <w:lang w:eastAsia="sk-SK"/>
        </w:rPr>
      </w:pPr>
      <w:r w:rsidRPr="00E90FB6">
        <w:rPr>
          <w:rFonts w:eastAsia="Times New Roman" w:cs="Times New Roman"/>
          <w:b/>
          <w:bCs/>
          <w:color w:val="5B9BD5" w:themeColor="accent1"/>
          <w:sz w:val="20"/>
          <w:szCs w:val="20"/>
          <w:lang w:eastAsia="sk-SK"/>
        </w:rPr>
        <w:t>Tabuľka 1</w:t>
      </w:r>
      <w:r>
        <w:rPr>
          <w:rFonts w:eastAsia="Times New Roman" w:cs="Times New Roman"/>
          <w:b/>
          <w:bCs/>
          <w:color w:val="5B9BD5" w:themeColor="accent1"/>
          <w:sz w:val="20"/>
          <w:szCs w:val="20"/>
          <w:lang w:eastAsia="sk-SK"/>
        </w:rPr>
        <w:t>3</w:t>
      </w:r>
      <w:r w:rsidRPr="00E90FB6">
        <w:rPr>
          <w:rFonts w:eastAsia="Times New Roman" w:cs="Times New Roman"/>
          <w:b/>
          <w:bCs/>
          <w:color w:val="5B9BD5" w:themeColor="accent1"/>
          <w:sz w:val="20"/>
          <w:szCs w:val="20"/>
          <w:lang w:eastAsia="sk-SK"/>
        </w:rPr>
        <w:t xml:space="preserve"> - Výdavky na </w:t>
      </w:r>
      <w:r>
        <w:rPr>
          <w:rFonts w:eastAsia="Times New Roman" w:cs="Times New Roman"/>
          <w:b/>
          <w:bCs/>
          <w:color w:val="5B9BD5" w:themeColor="accent1"/>
          <w:sz w:val="20"/>
          <w:szCs w:val="20"/>
          <w:lang w:eastAsia="sk-SK"/>
        </w:rPr>
        <w:t xml:space="preserve">energetickú pomoc </w:t>
      </w:r>
      <w:r w:rsidRPr="00E90FB6">
        <w:rPr>
          <w:rFonts w:eastAsia="Times New Roman" w:cs="Times New Roman"/>
          <w:b/>
          <w:bCs/>
          <w:color w:val="5B9BD5" w:themeColor="accent1"/>
          <w:sz w:val="20"/>
          <w:szCs w:val="20"/>
          <w:lang w:eastAsia="sk-SK"/>
        </w:rPr>
        <w:t>v tis. eur</w:t>
      </w:r>
    </w:p>
    <w:tbl>
      <w:tblPr>
        <w:tblW w:w="5000" w:type="pct"/>
        <w:tblCellMar>
          <w:left w:w="70" w:type="dxa"/>
          <w:right w:w="70" w:type="dxa"/>
        </w:tblCellMar>
        <w:tblLook w:val="04A0" w:firstRow="1" w:lastRow="0" w:firstColumn="1" w:lastColumn="0" w:noHBand="0" w:noVBand="1"/>
      </w:tblPr>
      <w:tblGrid>
        <w:gridCol w:w="3678"/>
        <w:gridCol w:w="2768"/>
        <w:gridCol w:w="2768"/>
      </w:tblGrid>
      <w:tr w:rsidR="004C6700" w:rsidRPr="00691349" w14:paraId="4984EF97" w14:textId="77777777" w:rsidTr="00836EB5">
        <w:trPr>
          <w:trHeight w:val="285"/>
        </w:trPr>
        <w:tc>
          <w:tcPr>
            <w:tcW w:w="1996" w:type="pct"/>
            <w:tcBorders>
              <w:top w:val="single" w:sz="4" w:space="0" w:color="auto"/>
              <w:left w:val="nil"/>
              <w:bottom w:val="single" w:sz="4" w:space="0" w:color="auto"/>
              <w:right w:val="nil"/>
            </w:tcBorders>
            <w:shd w:val="clear" w:color="auto" w:fill="auto"/>
            <w:vAlign w:val="center"/>
            <w:hideMark/>
          </w:tcPr>
          <w:p w14:paraId="73243B45" w14:textId="77777777" w:rsidR="004C6700" w:rsidRPr="00691349" w:rsidRDefault="004C6700" w:rsidP="00836EB5">
            <w:pPr>
              <w:spacing w:after="0" w:line="240" w:lineRule="auto"/>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Schéma</w:t>
            </w:r>
          </w:p>
        </w:tc>
        <w:tc>
          <w:tcPr>
            <w:tcW w:w="1502" w:type="pct"/>
            <w:tcBorders>
              <w:top w:val="single" w:sz="4" w:space="0" w:color="auto"/>
              <w:left w:val="nil"/>
              <w:bottom w:val="single" w:sz="4" w:space="0" w:color="auto"/>
              <w:right w:val="nil"/>
            </w:tcBorders>
            <w:shd w:val="clear" w:color="auto" w:fill="auto"/>
            <w:vAlign w:val="center"/>
            <w:hideMark/>
          </w:tcPr>
          <w:p w14:paraId="5002CBE3" w14:textId="67711DAF" w:rsidR="004C6700" w:rsidRPr="00691349" w:rsidRDefault="004C6700" w:rsidP="00836EB5">
            <w:pPr>
              <w:spacing w:after="0" w:line="240" w:lineRule="auto"/>
              <w:jc w:val="righ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Vyplatené v roku 2023</w:t>
            </w:r>
            <w:r w:rsidR="00AE5047" w:rsidRPr="00AE5047">
              <w:rPr>
                <w:rFonts w:eastAsia="Times New Roman" w:cs="Times New Roman"/>
                <w:b/>
                <w:bCs/>
                <w:color w:val="000000"/>
                <w:sz w:val="18"/>
                <w:szCs w:val="18"/>
                <w:vertAlign w:val="superscript"/>
                <w:lang w:eastAsia="sk-SK"/>
              </w:rPr>
              <w:t>1</w:t>
            </w:r>
          </w:p>
        </w:tc>
        <w:tc>
          <w:tcPr>
            <w:tcW w:w="1502" w:type="pct"/>
            <w:tcBorders>
              <w:top w:val="single" w:sz="4" w:space="0" w:color="auto"/>
              <w:left w:val="nil"/>
              <w:bottom w:val="single" w:sz="4" w:space="0" w:color="auto"/>
              <w:right w:val="nil"/>
            </w:tcBorders>
            <w:shd w:val="clear" w:color="auto" w:fill="auto"/>
            <w:vAlign w:val="center"/>
            <w:hideMark/>
          </w:tcPr>
          <w:p w14:paraId="1654AD31" w14:textId="642015B6" w:rsidR="004C6700" w:rsidRPr="00691349" w:rsidRDefault="004C6700" w:rsidP="00DA486C">
            <w:pPr>
              <w:spacing w:after="0" w:line="240" w:lineRule="auto"/>
              <w:jc w:val="righ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Vyplatené 2024 za 2023</w:t>
            </w:r>
          </w:p>
        </w:tc>
      </w:tr>
      <w:tr w:rsidR="004C6700" w:rsidRPr="00691349" w14:paraId="5AEA4674" w14:textId="77777777" w:rsidTr="00836EB5">
        <w:trPr>
          <w:trHeight w:val="285"/>
        </w:trPr>
        <w:tc>
          <w:tcPr>
            <w:tcW w:w="1996" w:type="pct"/>
            <w:tcBorders>
              <w:top w:val="nil"/>
              <w:left w:val="nil"/>
              <w:bottom w:val="nil"/>
              <w:right w:val="nil"/>
            </w:tcBorders>
            <w:shd w:val="clear" w:color="auto" w:fill="auto"/>
            <w:vAlign w:val="bottom"/>
            <w:hideMark/>
          </w:tcPr>
          <w:p w14:paraId="0BE855F1"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Plyn domácnosti</w:t>
            </w:r>
          </w:p>
        </w:tc>
        <w:tc>
          <w:tcPr>
            <w:tcW w:w="1502" w:type="pct"/>
            <w:tcBorders>
              <w:top w:val="nil"/>
              <w:left w:val="nil"/>
              <w:bottom w:val="nil"/>
              <w:right w:val="nil"/>
            </w:tcBorders>
            <w:shd w:val="clear" w:color="auto" w:fill="auto"/>
            <w:vAlign w:val="bottom"/>
            <w:hideMark/>
          </w:tcPr>
          <w:p w14:paraId="6B35A91C"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 xml:space="preserve">1 236 733 </w:t>
            </w:r>
          </w:p>
        </w:tc>
        <w:tc>
          <w:tcPr>
            <w:tcW w:w="1502" w:type="pct"/>
            <w:tcBorders>
              <w:top w:val="nil"/>
              <w:left w:val="nil"/>
              <w:bottom w:val="nil"/>
              <w:right w:val="nil"/>
            </w:tcBorders>
            <w:shd w:val="clear" w:color="auto" w:fill="auto"/>
            <w:vAlign w:val="bottom"/>
            <w:hideMark/>
          </w:tcPr>
          <w:p w14:paraId="04A5779C"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 xml:space="preserve">0 </w:t>
            </w:r>
          </w:p>
        </w:tc>
      </w:tr>
      <w:tr w:rsidR="004C6700" w:rsidRPr="00691349" w14:paraId="26559FEB" w14:textId="77777777" w:rsidTr="00836EB5">
        <w:trPr>
          <w:trHeight w:val="285"/>
        </w:trPr>
        <w:tc>
          <w:tcPr>
            <w:tcW w:w="1996" w:type="pct"/>
            <w:tcBorders>
              <w:top w:val="nil"/>
              <w:left w:val="nil"/>
              <w:bottom w:val="nil"/>
              <w:right w:val="nil"/>
            </w:tcBorders>
            <w:shd w:val="clear" w:color="auto" w:fill="auto"/>
            <w:vAlign w:val="bottom"/>
            <w:hideMark/>
          </w:tcPr>
          <w:p w14:paraId="689DC57A"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Teplo domácnosti</w:t>
            </w:r>
          </w:p>
        </w:tc>
        <w:tc>
          <w:tcPr>
            <w:tcW w:w="1502" w:type="pct"/>
            <w:tcBorders>
              <w:top w:val="nil"/>
              <w:left w:val="nil"/>
              <w:bottom w:val="nil"/>
              <w:right w:val="nil"/>
            </w:tcBorders>
            <w:shd w:val="clear" w:color="auto" w:fill="auto"/>
            <w:vAlign w:val="bottom"/>
            <w:hideMark/>
          </w:tcPr>
          <w:p w14:paraId="07ADC466"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 xml:space="preserve">370 767  </w:t>
            </w:r>
          </w:p>
        </w:tc>
        <w:tc>
          <w:tcPr>
            <w:tcW w:w="1502" w:type="pct"/>
            <w:tcBorders>
              <w:top w:val="nil"/>
              <w:left w:val="nil"/>
              <w:bottom w:val="nil"/>
              <w:right w:val="nil"/>
            </w:tcBorders>
            <w:shd w:val="clear" w:color="auto" w:fill="auto"/>
            <w:vAlign w:val="bottom"/>
            <w:hideMark/>
          </w:tcPr>
          <w:p w14:paraId="30541FD3"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 xml:space="preserve">158  </w:t>
            </w:r>
          </w:p>
        </w:tc>
      </w:tr>
      <w:tr w:rsidR="004C6700" w:rsidRPr="00691349" w14:paraId="624C7AC6" w14:textId="77777777" w:rsidTr="00836EB5">
        <w:trPr>
          <w:trHeight w:val="285"/>
        </w:trPr>
        <w:tc>
          <w:tcPr>
            <w:tcW w:w="1996" w:type="pct"/>
            <w:tcBorders>
              <w:top w:val="nil"/>
              <w:left w:val="nil"/>
              <w:bottom w:val="nil"/>
              <w:right w:val="nil"/>
            </w:tcBorders>
            <w:shd w:val="clear" w:color="auto" w:fill="auto"/>
            <w:vAlign w:val="bottom"/>
            <w:hideMark/>
          </w:tcPr>
          <w:p w14:paraId="3DE4D20A"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Vybrané zraniteľné skupiny osôb (elektrina + plyn)</w:t>
            </w:r>
          </w:p>
        </w:tc>
        <w:tc>
          <w:tcPr>
            <w:tcW w:w="1502" w:type="pct"/>
            <w:tcBorders>
              <w:top w:val="nil"/>
              <w:left w:val="nil"/>
              <w:bottom w:val="nil"/>
              <w:right w:val="nil"/>
            </w:tcBorders>
            <w:shd w:val="clear" w:color="auto" w:fill="auto"/>
            <w:vAlign w:val="bottom"/>
            <w:hideMark/>
          </w:tcPr>
          <w:p w14:paraId="0E5A910B"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 xml:space="preserve">54 857  </w:t>
            </w:r>
          </w:p>
        </w:tc>
        <w:tc>
          <w:tcPr>
            <w:tcW w:w="1502" w:type="pct"/>
            <w:tcBorders>
              <w:top w:val="nil"/>
              <w:left w:val="nil"/>
              <w:bottom w:val="nil"/>
              <w:right w:val="nil"/>
            </w:tcBorders>
            <w:shd w:val="clear" w:color="auto" w:fill="auto"/>
            <w:vAlign w:val="bottom"/>
            <w:hideMark/>
          </w:tcPr>
          <w:p w14:paraId="437B0A71"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20 638</w:t>
            </w:r>
          </w:p>
        </w:tc>
      </w:tr>
      <w:tr w:rsidR="004C6700" w:rsidRPr="00691349" w14:paraId="4B6BA911" w14:textId="77777777" w:rsidTr="00836EB5">
        <w:trPr>
          <w:trHeight w:val="285"/>
        </w:trPr>
        <w:tc>
          <w:tcPr>
            <w:tcW w:w="1996" w:type="pct"/>
            <w:tcBorders>
              <w:top w:val="nil"/>
              <w:left w:val="nil"/>
              <w:bottom w:val="nil"/>
              <w:right w:val="nil"/>
            </w:tcBorders>
            <w:shd w:val="clear" w:color="auto" w:fill="auto"/>
            <w:vAlign w:val="bottom"/>
            <w:hideMark/>
          </w:tcPr>
          <w:p w14:paraId="2B0EE316"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Malí odberatelia (elektrina + plyn)</w:t>
            </w:r>
          </w:p>
        </w:tc>
        <w:tc>
          <w:tcPr>
            <w:tcW w:w="1502" w:type="pct"/>
            <w:tcBorders>
              <w:top w:val="nil"/>
              <w:left w:val="nil"/>
              <w:bottom w:val="nil"/>
              <w:right w:val="nil"/>
            </w:tcBorders>
            <w:shd w:val="clear" w:color="auto" w:fill="auto"/>
            <w:vAlign w:val="bottom"/>
            <w:hideMark/>
          </w:tcPr>
          <w:p w14:paraId="752A7EB5"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 xml:space="preserve">200 656  </w:t>
            </w:r>
          </w:p>
        </w:tc>
        <w:tc>
          <w:tcPr>
            <w:tcW w:w="1502" w:type="pct"/>
            <w:tcBorders>
              <w:top w:val="nil"/>
              <w:left w:val="nil"/>
              <w:bottom w:val="nil"/>
              <w:right w:val="nil"/>
            </w:tcBorders>
            <w:shd w:val="clear" w:color="auto" w:fill="auto"/>
            <w:vAlign w:val="bottom"/>
            <w:hideMark/>
          </w:tcPr>
          <w:p w14:paraId="7A4BDD09"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 xml:space="preserve">36 132 </w:t>
            </w:r>
          </w:p>
        </w:tc>
      </w:tr>
      <w:tr w:rsidR="004C6700" w:rsidRPr="00691349" w14:paraId="2FCEBAE7" w14:textId="77777777" w:rsidTr="00836EB5">
        <w:trPr>
          <w:trHeight w:val="285"/>
        </w:trPr>
        <w:tc>
          <w:tcPr>
            <w:tcW w:w="1996" w:type="pct"/>
            <w:tcBorders>
              <w:top w:val="nil"/>
              <w:left w:val="nil"/>
              <w:bottom w:val="nil"/>
              <w:right w:val="nil"/>
            </w:tcBorders>
            <w:shd w:val="clear" w:color="auto" w:fill="auto"/>
            <w:vAlign w:val="bottom"/>
            <w:hideMark/>
          </w:tcPr>
          <w:p w14:paraId="7C41C252"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Tarify elektriny (domácnosti + ostatní)</w:t>
            </w:r>
          </w:p>
        </w:tc>
        <w:tc>
          <w:tcPr>
            <w:tcW w:w="1502" w:type="pct"/>
            <w:tcBorders>
              <w:top w:val="nil"/>
              <w:left w:val="nil"/>
              <w:bottom w:val="nil"/>
              <w:right w:val="nil"/>
            </w:tcBorders>
            <w:shd w:val="clear" w:color="auto" w:fill="auto"/>
            <w:vAlign w:val="bottom"/>
            <w:hideMark/>
          </w:tcPr>
          <w:p w14:paraId="01C8B922"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 xml:space="preserve">901 452  </w:t>
            </w:r>
          </w:p>
        </w:tc>
        <w:tc>
          <w:tcPr>
            <w:tcW w:w="1502" w:type="pct"/>
            <w:tcBorders>
              <w:top w:val="nil"/>
              <w:left w:val="nil"/>
              <w:bottom w:val="nil"/>
              <w:right w:val="nil"/>
            </w:tcBorders>
            <w:shd w:val="clear" w:color="auto" w:fill="auto"/>
            <w:vAlign w:val="bottom"/>
            <w:hideMark/>
          </w:tcPr>
          <w:p w14:paraId="0C72EBDA"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12 089</w:t>
            </w:r>
          </w:p>
        </w:tc>
      </w:tr>
      <w:tr w:rsidR="004C6700" w:rsidRPr="00691349" w14:paraId="3E91AD0A" w14:textId="77777777" w:rsidTr="00836EB5">
        <w:trPr>
          <w:trHeight w:val="285"/>
        </w:trPr>
        <w:tc>
          <w:tcPr>
            <w:tcW w:w="1996" w:type="pct"/>
            <w:tcBorders>
              <w:top w:val="nil"/>
              <w:left w:val="nil"/>
              <w:bottom w:val="single" w:sz="4" w:space="0" w:color="auto"/>
              <w:right w:val="nil"/>
            </w:tcBorders>
            <w:shd w:val="clear" w:color="auto" w:fill="auto"/>
            <w:vAlign w:val="bottom"/>
            <w:hideMark/>
          </w:tcPr>
          <w:p w14:paraId="28E4FCF0"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Tarify plyn  (domácnosti + ostatní)</w:t>
            </w:r>
          </w:p>
        </w:tc>
        <w:tc>
          <w:tcPr>
            <w:tcW w:w="1502" w:type="pct"/>
            <w:tcBorders>
              <w:top w:val="nil"/>
              <w:left w:val="nil"/>
              <w:bottom w:val="single" w:sz="4" w:space="0" w:color="auto"/>
              <w:right w:val="nil"/>
            </w:tcBorders>
            <w:shd w:val="clear" w:color="auto" w:fill="auto"/>
            <w:vAlign w:val="bottom"/>
            <w:hideMark/>
          </w:tcPr>
          <w:p w14:paraId="73C84349"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n/a</w:t>
            </w:r>
          </w:p>
        </w:tc>
        <w:tc>
          <w:tcPr>
            <w:tcW w:w="1502" w:type="pct"/>
            <w:tcBorders>
              <w:top w:val="nil"/>
              <w:left w:val="nil"/>
              <w:bottom w:val="single" w:sz="4" w:space="0" w:color="auto"/>
              <w:right w:val="nil"/>
            </w:tcBorders>
            <w:shd w:val="clear" w:color="auto" w:fill="auto"/>
            <w:vAlign w:val="bottom"/>
            <w:hideMark/>
          </w:tcPr>
          <w:p w14:paraId="64CA43A3"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n/a</w:t>
            </w:r>
          </w:p>
        </w:tc>
      </w:tr>
      <w:tr w:rsidR="004C6700" w:rsidRPr="00691349" w14:paraId="12391BCD" w14:textId="77777777" w:rsidTr="00836EB5">
        <w:trPr>
          <w:trHeight w:val="285"/>
        </w:trPr>
        <w:tc>
          <w:tcPr>
            <w:tcW w:w="1996" w:type="pct"/>
            <w:tcBorders>
              <w:top w:val="nil"/>
              <w:left w:val="nil"/>
              <w:bottom w:val="single" w:sz="4" w:space="0" w:color="auto"/>
              <w:right w:val="nil"/>
            </w:tcBorders>
            <w:shd w:val="clear" w:color="auto" w:fill="auto"/>
            <w:vAlign w:val="bottom"/>
            <w:hideMark/>
          </w:tcPr>
          <w:p w14:paraId="75A836E4"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Spolu (bez 2.1.)</w:t>
            </w:r>
          </w:p>
        </w:tc>
        <w:tc>
          <w:tcPr>
            <w:tcW w:w="1502" w:type="pct"/>
            <w:tcBorders>
              <w:top w:val="nil"/>
              <w:left w:val="nil"/>
              <w:bottom w:val="single" w:sz="4" w:space="0" w:color="auto"/>
              <w:right w:val="nil"/>
            </w:tcBorders>
            <w:shd w:val="clear" w:color="auto" w:fill="auto"/>
            <w:vAlign w:val="bottom"/>
            <w:hideMark/>
          </w:tcPr>
          <w:p w14:paraId="514EB5FF" w14:textId="77777777" w:rsidR="004C6700" w:rsidRPr="00691349" w:rsidRDefault="004C6700" w:rsidP="00836EB5">
            <w:pPr>
              <w:spacing w:after="0" w:line="240" w:lineRule="auto"/>
              <w:jc w:val="righ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 xml:space="preserve">2 764 465 </w:t>
            </w:r>
          </w:p>
        </w:tc>
        <w:tc>
          <w:tcPr>
            <w:tcW w:w="1502" w:type="pct"/>
            <w:tcBorders>
              <w:top w:val="nil"/>
              <w:left w:val="nil"/>
              <w:bottom w:val="single" w:sz="4" w:space="0" w:color="auto"/>
              <w:right w:val="nil"/>
            </w:tcBorders>
            <w:shd w:val="clear" w:color="auto" w:fill="auto"/>
            <w:vAlign w:val="bottom"/>
            <w:hideMark/>
          </w:tcPr>
          <w:p w14:paraId="53A8EA80" w14:textId="77777777" w:rsidR="004C6700" w:rsidRPr="00691349" w:rsidRDefault="004C6700" w:rsidP="00836EB5">
            <w:pPr>
              <w:spacing w:after="0" w:line="240" w:lineRule="auto"/>
              <w:jc w:val="righ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 xml:space="preserve">69 017 </w:t>
            </w:r>
          </w:p>
        </w:tc>
      </w:tr>
      <w:tr w:rsidR="004C6700" w:rsidRPr="00691349" w14:paraId="1AD2C5B4" w14:textId="77777777" w:rsidTr="00836EB5">
        <w:trPr>
          <w:trHeight w:val="285"/>
        </w:trPr>
        <w:tc>
          <w:tcPr>
            <w:tcW w:w="1996" w:type="pct"/>
            <w:tcBorders>
              <w:top w:val="nil"/>
              <w:left w:val="nil"/>
              <w:bottom w:val="single" w:sz="4" w:space="0" w:color="auto"/>
              <w:right w:val="nil"/>
            </w:tcBorders>
            <w:shd w:val="clear" w:color="auto" w:fill="auto"/>
            <w:vAlign w:val="bottom"/>
            <w:hideMark/>
          </w:tcPr>
          <w:p w14:paraId="33EC3F25"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 xml:space="preserve">2.1. (firmy + verejný sektor + </w:t>
            </w:r>
            <w:proofErr w:type="spellStart"/>
            <w:r w:rsidRPr="00691349">
              <w:rPr>
                <w:rFonts w:eastAsia="Times New Roman" w:cs="Times New Roman"/>
                <w:color w:val="000000"/>
                <w:sz w:val="18"/>
                <w:szCs w:val="18"/>
                <w:lang w:eastAsia="sk-SK"/>
              </w:rPr>
              <w:t>neziskovky</w:t>
            </w:r>
            <w:proofErr w:type="spellEnd"/>
            <w:r w:rsidRPr="00691349">
              <w:rPr>
                <w:rFonts w:eastAsia="Times New Roman" w:cs="Times New Roman"/>
                <w:color w:val="000000"/>
                <w:sz w:val="18"/>
                <w:szCs w:val="18"/>
                <w:lang w:eastAsia="sk-SK"/>
              </w:rPr>
              <w:t>)</w:t>
            </w:r>
          </w:p>
        </w:tc>
        <w:tc>
          <w:tcPr>
            <w:tcW w:w="1502" w:type="pct"/>
            <w:tcBorders>
              <w:top w:val="nil"/>
              <w:left w:val="nil"/>
              <w:bottom w:val="nil"/>
              <w:right w:val="nil"/>
            </w:tcBorders>
            <w:shd w:val="clear" w:color="auto" w:fill="auto"/>
            <w:vAlign w:val="bottom"/>
            <w:hideMark/>
          </w:tcPr>
          <w:p w14:paraId="093F46B6"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 xml:space="preserve">230 611  </w:t>
            </w:r>
          </w:p>
        </w:tc>
        <w:tc>
          <w:tcPr>
            <w:tcW w:w="1502" w:type="pct"/>
            <w:tcBorders>
              <w:top w:val="nil"/>
              <w:left w:val="nil"/>
              <w:bottom w:val="nil"/>
              <w:right w:val="nil"/>
            </w:tcBorders>
            <w:shd w:val="clear" w:color="auto" w:fill="auto"/>
            <w:vAlign w:val="bottom"/>
            <w:hideMark/>
          </w:tcPr>
          <w:p w14:paraId="5B88668B"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rFonts w:eastAsia="Times New Roman" w:cs="Times New Roman"/>
                <w:color w:val="000000"/>
                <w:sz w:val="18"/>
                <w:szCs w:val="18"/>
                <w:lang w:eastAsia="sk-SK"/>
              </w:rPr>
              <w:t xml:space="preserve">51 890 </w:t>
            </w:r>
          </w:p>
        </w:tc>
      </w:tr>
      <w:tr w:rsidR="004C6700" w:rsidRPr="00691349" w14:paraId="526FD408" w14:textId="77777777" w:rsidTr="00836EB5">
        <w:trPr>
          <w:trHeight w:val="285"/>
        </w:trPr>
        <w:tc>
          <w:tcPr>
            <w:tcW w:w="1996" w:type="pct"/>
            <w:tcBorders>
              <w:top w:val="single" w:sz="4" w:space="0" w:color="auto"/>
              <w:bottom w:val="single" w:sz="4" w:space="0" w:color="auto"/>
              <w:right w:val="nil"/>
            </w:tcBorders>
            <w:shd w:val="clear" w:color="auto" w:fill="auto"/>
            <w:vAlign w:val="bottom"/>
            <w:hideMark/>
          </w:tcPr>
          <w:p w14:paraId="22F750C0"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 xml:space="preserve">Spolu </w:t>
            </w:r>
            <w:r w:rsidRPr="00691349">
              <w:rPr>
                <w:rFonts w:eastAsia="Times New Roman" w:cs="Times New Roman"/>
                <w:color w:val="000000"/>
                <w:sz w:val="18"/>
                <w:szCs w:val="18"/>
                <w:lang w:eastAsia="sk-SK"/>
              </w:rPr>
              <w:t>(sumy sú vrátane DPH)</w:t>
            </w:r>
          </w:p>
        </w:tc>
        <w:tc>
          <w:tcPr>
            <w:tcW w:w="1502" w:type="pct"/>
            <w:tcBorders>
              <w:top w:val="single" w:sz="4" w:space="0" w:color="auto"/>
              <w:left w:val="nil"/>
              <w:bottom w:val="single" w:sz="4" w:space="0" w:color="auto"/>
              <w:right w:val="nil"/>
            </w:tcBorders>
            <w:shd w:val="clear" w:color="auto" w:fill="auto"/>
            <w:vAlign w:val="bottom"/>
            <w:hideMark/>
          </w:tcPr>
          <w:p w14:paraId="04E19EBC" w14:textId="77777777" w:rsidR="004C6700" w:rsidRPr="00533EDE" w:rsidRDefault="004C6700" w:rsidP="00836EB5">
            <w:pPr>
              <w:spacing w:after="0" w:line="240" w:lineRule="auto"/>
              <w:jc w:val="right"/>
              <w:rPr>
                <w:rFonts w:eastAsia="Times New Roman" w:cs="Times New Roman"/>
                <w:b/>
                <w:bCs/>
                <w:color w:val="000000"/>
                <w:sz w:val="18"/>
                <w:szCs w:val="18"/>
                <w:lang w:eastAsia="sk-SK"/>
              </w:rPr>
            </w:pPr>
            <w:r w:rsidRPr="00533EDE">
              <w:rPr>
                <w:rFonts w:eastAsia="Times New Roman" w:cs="Times New Roman"/>
                <w:b/>
                <w:bCs/>
                <w:color w:val="000000"/>
                <w:sz w:val="18"/>
                <w:szCs w:val="18"/>
                <w:lang w:eastAsia="sk-SK"/>
              </w:rPr>
              <w:t xml:space="preserve">2 995 076 </w:t>
            </w:r>
          </w:p>
        </w:tc>
        <w:tc>
          <w:tcPr>
            <w:tcW w:w="1502" w:type="pct"/>
            <w:tcBorders>
              <w:top w:val="single" w:sz="4" w:space="0" w:color="auto"/>
              <w:left w:val="nil"/>
              <w:bottom w:val="single" w:sz="4" w:space="0" w:color="auto"/>
              <w:right w:val="nil"/>
            </w:tcBorders>
            <w:shd w:val="clear" w:color="auto" w:fill="auto"/>
            <w:vAlign w:val="bottom"/>
            <w:hideMark/>
          </w:tcPr>
          <w:p w14:paraId="5E9342A0" w14:textId="77777777" w:rsidR="004C6700" w:rsidRPr="00533EDE" w:rsidRDefault="004C6700" w:rsidP="00836EB5">
            <w:pPr>
              <w:spacing w:after="0" w:line="240" w:lineRule="auto"/>
              <w:jc w:val="right"/>
              <w:rPr>
                <w:rFonts w:eastAsia="Times New Roman" w:cs="Times New Roman"/>
                <w:b/>
                <w:bCs/>
                <w:color w:val="000000"/>
                <w:sz w:val="18"/>
                <w:szCs w:val="18"/>
                <w:lang w:eastAsia="sk-SK"/>
              </w:rPr>
            </w:pPr>
            <w:r w:rsidRPr="00533EDE">
              <w:rPr>
                <w:rFonts w:eastAsia="Times New Roman" w:cs="Times New Roman"/>
                <w:b/>
                <w:bCs/>
                <w:color w:val="000000"/>
                <w:sz w:val="18"/>
                <w:szCs w:val="18"/>
                <w:lang w:eastAsia="sk-SK"/>
              </w:rPr>
              <w:t>120 907</w:t>
            </w:r>
          </w:p>
        </w:tc>
      </w:tr>
    </w:tbl>
    <w:p w14:paraId="373D6095" w14:textId="3A828E13" w:rsidR="004C6700" w:rsidRDefault="003A430A" w:rsidP="003A430A">
      <w:pPr>
        <w:spacing w:after="0" w:line="240" w:lineRule="auto"/>
        <w:jc w:val="left"/>
        <w:rPr>
          <w:sz w:val="18"/>
          <w:szCs w:val="18"/>
        </w:rPr>
      </w:pPr>
      <w:r w:rsidRPr="00533EDE">
        <w:rPr>
          <w:sz w:val="18"/>
          <w:szCs w:val="18"/>
          <w:vertAlign w:val="superscript"/>
        </w:rPr>
        <w:t>1)</w:t>
      </w:r>
      <w:r w:rsidRPr="00533EDE">
        <w:rPr>
          <w:sz w:val="18"/>
          <w:szCs w:val="18"/>
        </w:rPr>
        <w:t xml:space="preserve"> Hodnoty za rok 2023 sú aj s </w:t>
      </w:r>
      <w:proofErr w:type="spellStart"/>
      <w:r w:rsidRPr="00533EDE">
        <w:rPr>
          <w:sz w:val="18"/>
          <w:szCs w:val="18"/>
        </w:rPr>
        <w:t>vratkami</w:t>
      </w:r>
      <w:proofErr w:type="spellEnd"/>
      <w:r w:rsidRPr="00533EDE">
        <w:rPr>
          <w:sz w:val="18"/>
          <w:szCs w:val="18"/>
        </w:rPr>
        <w:t xml:space="preserve">, ktoré predstavujú hodnotu 72 mil. eur.                                                   </w:t>
      </w:r>
      <w:r w:rsidR="004C6700" w:rsidRPr="00691349">
        <w:rPr>
          <w:sz w:val="18"/>
          <w:szCs w:val="18"/>
        </w:rPr>
        <w:t xml:space="preserve">Zdroj: </w:t>
      </w:r>
      <w:r w:rsidR="00691349">
        <w:rPr>
          <w:sz w:val="18"/>
          <w:szCs w:val="18"/>
        </w:rPr>
        <w:t>MF SR</w:t>
      </w:r>
    </w:p>
    <w:p w14:paraId="3D9141EC" w14:textId="77777777" w:rsidR="003A430A" w:rsidRDefault="003A430A" w:rsidP="003A430A">
      <w:pPr>
        <w:spacing w:after="0" w:line="240" w:lineRule="auto"/>
        <w:jc w:val="left"/>
        <w:rPr>
          <w:sz w:val="18"/>
          <w:szCs w:val="18"/>
        </w:rPr>
      </w:pPr>
    </w:p>
    <w:p w14:paraId="122BB172" w14:textId="3827355C" w:rsidR="003A0696" w:rsidRDefault="003A0696" w:rsidP="003A0696">
      <w:pPr>
        <w:pStyle w:val="Nadpis2"/>
        <w:spacing w:line="240" w:lineRule="auto"/>
      </w:pPr>
      <w:bookmarkStart w:id="28" w:name="_Toc6415636"/>
      <w:bookmarkStart w:id="29" w:name="_Toc164846934"/>
      <w:r w:rsidRPr="005D545B">
        <w:t>Dlh verejnej správy</w:t>
      </w:r>
      <w:bookmarkEnd w:id="28"/>
      <w:bookmarkEnd w:id="29"/>
    </w:p>
    <w:p w14:paraId="78442844" w14:textId="5FC7A172" w:rsidR="004C6700" w:rsidRDefault="004C6700" w:rsidP="00691349">
      <w:pPr>
        <w:spacing w:line="240" w:lineRule="auto"/>
        <w:rPr>
          <w:sz w:val="24"/>
          <w:szCs w:val="24"/>
        </w:rPr>
      </w:pPr>
      <w:r w:rsidRPr="00914070">
        <w:rPr>
          <w:b/>
          <w:sz w:val="24"/>
          <w:szCs w:val="24"/>
        </w:rPr>
        <w:t xml:space="preserve">Maastrichtský </w:t>
      </w:r>
      <w:r>
        <w:rPr>
          <w:b/>
          <w:sz w:val="24"/>
          <w:szCs w:val="24"/>
        </w:rPr>
        <w:t xml:space="preserve">hrubý </w:t>
      </w:r>
      <w:r w:rsidRPr="00914070">
        <w:rPr>
          <w:b/>
          <w:sz w:val="24"/>
          <w:szCs w:val="24"/>
        </w:rPr>
        <w:t>dlh verejnej správy</w:t>
      </w:r>
      <w:r w:rsidRPr="00914070">
        <w:rPr>
          <w:sz w:val="24"/>
          <w:szCs w:val="24"/>
        </w:rPr>
        <w:t xml:space="preserve"> dosiahol k 31.12.2023 hodnotu 68 830 043 tis. eur, čo predstavuje </w:t>
      </w:r>
      <w:r w:rsidRPr="00914070">
        <w:rPr>
          <w:b/>
          <w:sz w:val="24"/>
          <w:szCs w:val="24"/>
        </w:rPr>
        <w:t>56,0 % HDP.</w:t>
      </w:r>
      <w:r w:rsidRPr="00914070">
        <w:rPr>
          <w:sz w:val="24"/>
          <w:szCs w:val="24"/>
        </w:rPr>
        <w:t xml:space="preserve"> </w:t>
      </w:r>
      <w:r w:rsidRPr="00914070">
        <w:rPr>
          <w:b/>
          <w:sz w:val="24"/>
          <w:szCs w:val="24"/>
        </w:rPr>
        <w:t>V pomere k HDP hrubý dlh medziročne klesol o 1,7 p. b.</w:t>
      </w:r>
      <w:r w:rsidRPr="00914070">
        <w:rPr>
          <w:sz w:val="24"/>
          <w:szCs w:val="24"/>
        </w:rPr>
        <w:t xml:space="preserve"> </w:t>
      </w:r>
      <w:r w:rsidRPr="002D4254">
        <w:rPr>
          <w:sz w:val="24"/>
          <w:szCs w:val="24"/>
        </w:rPr>
        <w:t xml:space="preserve">Východiská rozpočtu predpokladali dlh na konci roka 2023 na úrovni 57,9 % HDP, čo v absolútnom vyjadrení malo predstavovať 70 861 274 tis. eur. Skutočne dosiahnutý dlh je v pomere k HDP oproti rozpočtu nižší o 1,9 p. b., v absolútnej hodnote je oproti rozpočtu nižší o 2 031 231 tis. eur. </w:t>
      </w:r>
      <w:r w:rsidRPr="00287424">
        <w:rPr>
          <w:sz w:val="24"/>
          <w:szCs w:val="24"/>
        </w:rPr>
        <w:t>V medziročnom porovnaní dlh verejnej správy vzrástol v nominálnom vyjadrení o 5 451 763 tis. eur (avšak oproti HDP klesol o 1,7 p. b.) pričom medziročný nárast HDP spôsobil zníženie dlhu verejnej správy o 6,7 p. b.</w:t>
      </w:r>
    </w:p>
    <w:p w14:paraId="69C9AD5D" w14:textId="77777777" w:rsidR="004C6700" w:rsidRPr="009B6E45" w:rsidRDefault="004C6700" w:rsidP="00691349">
      <w:pPr>
        <w:spacing w:line="240" w:lineRule="auto"/>
        <w:rPr>
          <w:sz w:val="24"/>
          <w:szCs w:val="24"/>
        </w:rPr>
      </w:pPr>
      <w:r w:rsidRPr="009B6E45">
        <w:rPr>
          <w:b/>
          <w:sz w:val="24"/>
          <w:szCs w:val="24"/>
        </w:rPr>
        <w:t xml:space="preserve">Hrubý dlh SR v roku 2023 klesol najmä z dôvodu lepšieho ako v rozpočte očakávaného hospodárenia verejnej správy. </w:t>
      </w:r>
      <w:r w:rsidRPr="009B6E45">
        <w:rPr>
          <w:sz w:val="24"/>
          <w:szCs w:val="24"/>
        </w:rPr>
        <w:t>Kým rozpočet ešte v končiacom roku 2022 počítal s</w:t>
      </w:r>
      <w:r>
        <w:rPr>
          <w:sz w:val="24"/>
          <w:szCs w:val="24"/>
        </w:rPr>
        <w:t> </w:t>
      </w:r>
      <w:r w:rsidRPr="009B6E45">
        <w:rPr>
          <w:sz w:val="24"/>
          <w:szCs w:val="24"/>
        </w:rPr>
        <w:t>akruálnym schodkom verejnej správy 5 % HDP, v skutočnosti dosiahol 1,7 % HDP. Podobne v 2023 očakávaný deficit (6,4</w:t>
      </w:r>
      <w:r>
        <w:rPr>
          <w:sz w:val="24"/>
          <w:szCs w:val="24"/>
        </w:rPr>
        <w:t> </w:t>
      </w:r>
      <w:r w:rsidRPr="009B6E45">
        <w:rPr>
          <w:sz w:val="24"/>
          <w:szCs w:val="24"/>
        </w:rPr>
        <w:t>%</w:t>
      </w:r>
      <w:r>
        <w:rPr>
          <w:sz w:val="24"/>
          <w:szCs w:val="24"/>
        </w:rPr>
        <w:t> </w:t>
      </w:r>
      <w:r w:rsidRPr="009B6E45">
        <w:rPr>
          <w:sz w:val="24"/>
          <w:szCs w:val="24"/>
        </w:rPr>
        <w:t>HDP) nakoniec dosiahol 4,9 % HDP. Za priaznivým výsledkom v oboch rokoch boli dodatočné daňové príjmy (daň z príjmu právnických osôb podporená oživením ekonomickej aktivity, či spotrebné dane) a odvodové príjmy. Príjmovú časť zvýšili aj nedaňové príjmy cez</w:t>
      </w:r>
      <w:r>
        <w:rPr>
          <w:sz w:val="24"/>
          <w:szCs w:val="24"/>
        </w:rPr>
        <w:t> </w:t>
      </w:r>
      <w:r w:rsidRPr="009B6E45">
        <w:rPr>
          <w:sz w:val="24"/>
          <w:szCs w:val="24"/>
        </w:rPr>
        <w:t>tržby a získané úroky (plynúce tiež z vyšších ako očakávaných úrokových sadzieb)</w:t>
      </w:r>
      <w:r>
        <w:rPr>
          <w:sz w:val="24"/>
          <w:szCs w:val="24"/>
        </w:rPr>
        <w:t>. Na výdavkovej strane sa prejavila skutočnosť, že v roku 2022 boli vynaložené nižšie výdavky ŠR určené na spolufinancovanie spoločných EÚ projektov a na medzispotrebu</w:t>
      </w:r>
      <w:r w:rsidRPr="009B6E45">
        <w:rPr>
          <w:sz w:val="24"/>
          <w:szCs w:val="24"/>
        </w:rPr>
        <w:t xml:space="preserve">. </w:t>
      </w:r>
    </w:p>
    <w:p w14:paraId="790CC1F1" w14:textId="77777777" w:rsidR="004C6700" w:rsidRDefault="004C6700" w:rsidP="00691349">
      <w:pPr>
        <w:spacing w:line="240" w:lineRule="auto"/>
        <w:rPr>
          <w:sz w:val="24"/>
          <w:szCs w:val="24"/>
        </w:rPr>
      </w:pPr>
      <w:r w:rsidRPr="009B6E45">
        <w:rPr>
          <w:b/>
          <w:sz w:val="24"/>
          <w:szCs w:val="24"/>
        </w:rPr>
        <w:t xml:space="preserve">Lepšie než očakávané hospodárenie sa v revízii dlhu nadol prejavilo v menšej miere. </w:t>
      </w:r>
      <w:r w:rsidRPr="009B6E45">
        <w:rPr>
          <w:sz w:val="24"/>
          <w:szCs w:val="24"/>
        </w:rPr>
        <w:t xml:space="preserve">Menšie potreby financovania boli sčasti premietnuté v nižšom objeme predaja štátnych dlhopisov. </w:t>
      </w:r>
      <w:r w:rsidRPr="009B6E45">
        <w:rPr>
          <w:sz w:val="24"/>
          <w:szCs w:val="24"/>
        </w:rPr>
        <w:lastRenderedPageBreak/>
        <w:t>Využitie vlastných finančných zdrojov verejnej správy však bolo nakoniec menšie ako sa očakávalo, a to na úkor vyššieho hrubého zadlženia. Rozpočet predpokladal väčšie využitie dostupných likvidných zdrojov, v skutočnosti bolo čerpanie pomalšie o 1,7 % HDP. Dodatočným vplyvom, ktorý tlmil revíziu dlhu nadol oproti pôvodným očakávaniam, bola skutočnosť, že lepší výsledok deficitu sa neprejavil plne v akruálnej metodike (najmä v prípade daňovo-odvodových príjmov, či pri finančnej pomoci SPP).</w:t>
      </w: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4693"/>
        <w:gridCol w:w="60"/>
        <w:gridCol w:w="86"/>
        <w:gridCol w:w="58"/>
        <w:gridCol w:w="944"/>
        <w:gridCol w:w="1124"/>
        <w:gridCol w:w="1124"/>
        <w:gridCol w:w="1125"/>
      </w:tblGrid>
      <w:tr w:rsidR="004C6700" w:rsidRPr="00094D9B" w14:paraId="7FB5FB6E" w14:textId="77777777" w:rsidTr="00836EB5">
        <w:trPr>
          <w:trHeight w:val="454"/>
          <w:jc w:val="center"/>
        </w:trPr>
        <w:tc>
          <w:tcPr>
            <w:tcW w:w="2547" w:type="pct"/>
            <w:tcBorders>
              <w:top w:val="nil"/>
              <w:left w:val="nil"/>
              <w:bottom w:val="single" w:sz="4" w:space="0" w:color="000000"/>
              <w:right w:val="nil"/>
            </w:tcBorders>
            <w:shd w:val="clear" w:color="auto" w:fill="auto"/>
          </w:tcPr>
          <w:p w14:paraId="79792FBC" w14:textId="00EABD49" w:rsidR="004C6700" w:rsidRPr="00094D9B" w:rsidRDefault="004C6700" w:rsidP="00836EB5">
            <w:pPr>
              <w:pStyle w:val="Graf"/>
              <w:jc w:val="left"/>
              <w:rPr>
                <w:highlight w:val="yellow"/>
              </w:rPr>
            </w:pPr>
            <w:r w:rsidRPr="00DD0F08">
              <w:t xml:space="preserve">Graf </w:t>
            </w:r>
            <w:r w:rsidRPr="00DD0F08">
              <w:rPr>
                <w:szCs w:val="20"/>
              </w:rPr>
              <w:t>6</w:t>
            </w:r>
            <w:r w:rsidRPr="00DD0F08">
              <w:t xml:space="preserve"> – Dôvody rozdielov skutočnej a rozpočtovanej úrovne hrubého dlhu verejnej správy za rok 2023 (v % HDP)</w:t>
            </w:r>
          </w:p>
        </w:tc>
        <w:tc>
          <w:tcPr>
            <w:tcW w:w="79" w:type="pct"/>
            <w:gridSpan w:val="2"/>
            <w:tcBorders>
              <w:top w:val="nil"/>
              <w:left w:val="nil"/>
              <w:bottom w:val="nil"/>
              <w:right w:val="nil"/>
            </w:tcBorders>
            <w:shd w:val="clear" w:color="auto" w:fill="auto"/>
            <w:vAlign w:val="center"/>
          </w:tcPr>
          <w:p w14:paraId="392942CC" w14:textId="77777777" w:rsidR="004C6700" w:rsidRPr="00094D9B" w:rsidRDefault="004C6700" w:rsidP="00836EB5">
            <w:pPr>
              <w:pStyle w:val="Graf"/>
              <w:jc w:val="left"/>
              <w:rPr>
                <w:highlight w:val="yellow"/>
              </w:rPr>
            </w:pPr>
          </w:p>
        </w:tc>
        <w:tc>
          <w:tcPr>
            <w:tcW w:w="2374" w:type="pct"/>
            <w:gridSpan w:val="5"/>
            <w:tcBorders>
              <w:top w:val="nil"/>
              <w:left w:val="nil"/>
              <w:bottom w:val="single" w:sz="4" w:space="0" w:color="000000"/>
              <w:right w:val="nil"/>
            </w:tcBorders>
            <w:shd w:val="clear" w:color="auto" w:fill="auto"/>
            <w:vAlign w:val="center"/>
          </w:tcPr>
          <w:p w14:paraId="7EF45D8E" w14:textId="60CD862A" w:rsidR="004C6700" w:rsidRPr="004D7438" w:rsidRDefault="004C6700" w:rsidP="00F90C51">
            <w:pPr>
              <w:pStyle w:val="Graf"/>
              <w:jc w:val="left"/>
            </w:pPr>
            <w:r w:rsidRPr="00186FBA">
              <w:t xml:space="preserve">Graf </w:t>
            </w:r>
            <w:r w:rsidRPr="00186FBA">
              <w:rPr>
                <w:szCs w:val="20"/>
              </w:rPr>
              <w:t>7</w:t>
            </w:r>
            <w:r w:rsidRPr="00243873">
              <w:t xml:space="preserve"> – </w:t>
            </w:r>
            <w:r>
              <w:t>Rozdiel v skutočných a rozpočtovaných príjmoch a výdavkoch verejnej správy (bez EÚ zdrojov, v mil. eur)</w:t>
            </w:r>
          </w:p>
        </w:tc>
      </w:tr>
      <w:tr w:rsidR="004C6700" w:rsidRPr="00094D9B" w14:paraId="26C88FBF" w14:textId="77777777" w:rsidTr="00836EB5">
        <w:trPr>
          <w:trHeight w:val="20"/>
          <w:jc w:val="center"/>
        </w:trPr>
        <w:tc>
          <w:tcPr>
            <w:tcW w:w="2547" w:type="pct"/>
            <w:tcBorders>
              <w:top w:val="single" w:sz="4" w:space="0" w:color="000000"/>
              <w:left w:val="nil"/>
              <w:bottom w:val="single" w:sz="4" w:space="0" w:color="000000"/>
              <w:right w:val="nil"/>
            </w:tcBorders>
            <w:shd w:val="clear" w:color="auto" w:fill="auto"/>
            <w:vAlign w:val="center"/>
          </w:tcPr>
          <w:p w14:paraId="037BAC11" w14:textId="77777777" w:rsidR="004C6700" w:rsidRPr="00094D9B" w:rsidRDefault="004C6700" w:rsidP="00836EB5">
            <w:pPr>
              <w:tabs>
                <w:tab w:val="left" w:pos="2887"/>
              </w:tabs>
              <w:spacing w:before="40" w:after="40"/>
              <w:jc w:val="center"/>
              <w:rPr>
                <w:rFonts w:ascii="Arial Narrow" w:hAnsi="Arial Narrow"/>
                <w:sz w:val="18"/>
                <w:szCs w:val="18"/>
                <w:highlight w:val="yellow"/>
              </w:rPr>
            </w:pPr>
            <w:r>
              <w:rPr>
                <w:noProof/>
                <w:lang w:eastAsia="sk-SK"/>
              </w:rPr>
              <w:drawing>
                <wp:inline distT="0" distB="0" distL="0" distR="0" wp14:anchorId="5DD2356D" wp14:editId="23EA73DC">
                  <wp:extent cx="2870200" cy="2000250"/>
                  <wp:effectExtent l="0" t="0" r="6350" b="0"/>
                  <wp:docPr id="10" name="Graf 10">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79" w:type="pct"/>
            <w:gridSpan w:val="2"/>
            <w:tcBorders>
              <w:top w:val="nil"/>
              <w:left w:val="nil"/>
              <w:bottom w:val="nil"/>
              <w:right w:val="nil"/>
            </w:tcBorders>
            <w:shd w:val="clear" w:color="auto" w:fill="auto"/>
            <w:vAlign w:val="center"/>
          </w:tcPr>
          <w:p w14:paraId="3A84BA74" w14:textId="77777777" w:rsidR="004C6700" w:rsidRPr="00094D9B" w:rsidRDefault="004C6700" w:rsidP="00836EB5">
            <w:pPr>
              <w:spacing w:before="40" w:after="40"/>
              <w:jc w:val="center"/>
              <w:rPr>
                <w:rFonts w:ascii="Arial Narrow" w:hAnsi="Arial Narrow"/>
                <w:highlight w:val="yellow"/>
              </w:rPr>
            </w:pPr>
          </w:p>
        </w:tc>
        <w:tc>
          <w:tcPr>
            <w:tcW w:w="2374" w:type="pct"/>
            <w:gridSpan w:val="5"/>
            <w:tcBorders>
              <w:top w:val="single" w:sz="4" w:space="0" w:color="000000"/>
              <w:left w:val="nil"/>
              <w:bottom w:val="single" w:sz="4" w:space="0" w:color="000000"/>
              <w:right w:val="nil"/>
            </w:tcBorders>
            <w:shd w:val="clear" w:color="auto" w:fill="auto"/>
            <w:vAlign w:val="center"/>
          </w:tcPr>
          <w:p w14:paraId="10F1C96A" w14:textId="77777777" w:rsidR="004C6700" w:rsidRPr="00616C97" w:rsidRDefault="004C6700" w:rsidP="00836EB5">
            <w:pPr>
              <w:spacing w:before="40" w:after="40"/>
              <w:rPr>
                <w:rFonts w:ascii="Arial Narrow" w:hAnsi="Arial Narrow"/>
                <w:color w:val="000000" w:themeColor="text1"/>
                <w:sz w:val="18"/>
                <w:szCs w:val="18"/>
                <w:highlight w:val="yellow"/>
              </w:rPr>
            </w:pPr>
            <w:r>
              <w:rPr>
                <w:noProof/>
                <w:lang w:eastAsia="sk-SK"/>
              </w:rPr>
              <w:drawing>
                <wp:inline distT="0" distB="0" distL="0" distR="0" wp14:anchorId="30656448" wp14:editId="6E5BC952">
                  <wp:extent cx="2681492" cy="2120511"/>
                  <wp:effectExtent l="0" t="0" r="5080" b="0"/>
                  <wp:docPr id="13" name="Graf 13">
                    <a:extLst xmlns:a="http://schemas.openxmlformats.org/drawingml/2006/main">
                      <a:ext uri="{FF2B5EF4-FFF2-40B4-BE49-F238E27FC236}">
                        <a16:creationId xmlns:a16="http://schemas.microsoft.com/office/drawing/2014/main" id="{C3115F06-3512-EE66-E737-115F9F78AE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4C6700" w:rsidRPr="004D7438" w14:paraId="323700EA" w14:textId="77777777" w:rsidTr="00523A23">
        <w:trPr>
          <w:trHeight w:val="260"/>
          <w:jc w:val="center"/>
        </w:trPr>
        <w:tc>
          <w:tcPr>
            <w:tcW w:w="2579" w:type="pct"/>
            <w:gridSpan w:val="2"/>
            <w:tcBorders>
              <w:top w:val="single" w:sz="4" w:space="0" w:color="000000"/>
              <w:left w:val="nil"/>
              <w:bottom w:val="nil"/>
              <w:right w:val="nil"/>
            </w:tcBorders>
            <w:shd w:val="clear" w:color="auto" w:fill="auto"/>
            <w:vAlign w:val="center"/>
          </w:tcPr>
          <w:p w14:paraId="0BFAB5A5" w14:textId="77777777" w:rsidR="00DD0F08" w:rsidRDefault="004C6700" w:rsidP="00836EB5">
            <w:pPr>
              <w:spacing w:after="0" w:line="240" w:lineRule="auto"/>
            </w:pPr>
            <w:r w:rsidRPr="004D7438">
              <w:rPr>
                <w:sz w:val="18"/>
                <w:szCs w:val="18"/>
              </w:rPr>
              <w:t xml:space="preserve">Pozn.: Zosúladenie deficitu a dlhu predstavuje najmä </w:t>
            </w:r>
            <w:proofErr w:type="spellStart"/>
            <w:r w:rsidRPr="004D7438">
              <w:rPr>
                <w:sz w:val="18"/>
                <w:szCs w:val="18"/>
              </w:rPr>
              <w:t>akrualizačné</w:t>
            </w:r>
            <w:proofErr w:type="spellEnd"/>
            <w:r w:rsidRPr="004D7438">
              <w:rPr>
                <w:sz w:val="18"/>
                <w:szCs w:val="18"/>
              </w:rPr>
              <w:t xml:space="preserve"> položky deficitu verejnej správy, zmenu stavu finančných aktív mimo hotovosti VS a diskonty pri emisii a splatnosti dlhopisov.</w:t>
            </w:r>
            <w:r w:rsidR="00DD0F08">
              <w:t xml:space="preserve"> </w:t>
            </w:r>
          </w:p>
          <w:p w14:paraId="773F5A9D" w14:textId="4341AE79" w:rsidR="004C6700" w:rsidRPr="004D7438" w:rsidRDefault="00DD0F08" w:rsidP="00836EB5">
            <w:pPr>
              <w:spacing w:after="0" w:line="240" w:lineRule="auto"/>
              <w:rPr>
                <w:sz w:val="16"/>
                <w:szCs w:val="16"/>
              </w:rPr>
            </w:pPr>
            <w:r>
              <w:rPr>
                <w:sz w:val="18"/>
                <w:szCs w:val="18"/>
              </w:rPr>
              <w:t>Hodnoty vplyvov v grafe  predstavujú</w:t>
            </w:r>
            <w:r w:rsidRPr="00DD0F08">
              <w:rPr>
                <w:sz w:val="18"/>
                <w:szCs w:val="18"/>
              </w:rPr>
              <w:t xml:space="preserve"> kumulatívne rozdiely s vplyvom na dlh za roky 2022 a</w:t>
            </w:r>
            <w:r>
              <w:rPr>
                <w:sz w:val="18"/>
                <w:szCs w:val="18"/>
              </w:rPr>
              <w:t> </w:t>
            </w:r>
            <w:r w:rsidRPr="00DD0F08">
              <w:rPr>
                <w:sz w:val="18"/>
                <w:szCs w:val="18"/>
              </w:rPr>
              <w:t>2023</w:t>
            </w:r>
            <w:r>
              <w:rPr>
                <w:sz w:val="18"/>
                <w:szCs w:val="18"/>
              </w:rPr>
              <w:t>.</w:t>
            </w:r>
          </w:p>
        </w:tc>
        <w:tc>
          <w:tcPr>
            <w:tcW w:w="79" w:type="pct"/>
            <w:gridSpan w:val="2"/>
            <w:tcBorders>
              <w:top w:val="nil"/>
              <w:left w:val="nil"/>
              <w:bottom w:val="nil"/>
              <w:right w:val="nil"/>
            </w:tcBorders>
            <w:shd w:val="clear" w:color="auto" w:fill="auto"/>
            <w:vAlign w:val="center"/>
          </w:tcPr>
          <w:p w14:paraId="54843D22" w14:textId="77777777" w:rsidR="004C6700" w:rsidRPr="004D7438" w:rsidRDefault="004C6700" w:rsidP="00836EB5">
            <w:pPr>
              <w:spacing w:after="0" w:line="240" w:lineRule="auto"/>
              <w:jc w:val="center"/>
              <w:rPr>
                <w:sz w:val="16"/>
                <w:szCs w:val="16"/>
              </w:rPr>
            </w:pPr>
          </w:p>
        </w:tc>
        <w:tc>
          <w:tcPr>
            <w:tcW w:w="2343" w:type="pct"/>
            <w:gridSpan w:val="4"/>
            <w:tcBorders>
              <w:top w:val="single" w:sz="4" w:space="0" w:color="000000"/>
              <w:left w:val="nil"/>
              <w:bottom w:val="nil"/>
              <w:right w:val="nil"/>
            </w:tcBorders>
            <w:shd w:val="clear" w:color="auto" w:fill="auto"/>
            <w:vAlign w:val="center"/>
          </w:tcPr>
          <w:p w14:paraId="702A242E" w14:textId="77777777" w:rsidR="004C6700" w:rsidRPr="004D7438" w:rsidRDefault="004C6700" w:rsidP="00836EB5">
            <w:pPr>
              <w:spacing w:after="0" w:line="240" w:lineRule="auto"/>
              <w:jc w:val="right"/>
              <w:rPr>
                <w:sz w:val="16"/>
                <w:szCs w:val="16"/>
              </w:rPr>
            </w:pPr>
            <w:r w:rsidRPr="004D7438">
              <w:rPr>
                <w:sz w:val="16"/>
                <w:szCs w:val="16"/>
              </w:rPr>
              <w:t>Zdroj: MF SR</w:t>
            </w:r>
          </w:p>
          <w:p w14:paraId="1BBAE8F5" w14:textId="77777777" w:rsidR="004C6700" w:rsidRPr="004D7438" w:rsidRDefault="004C6700" w:rsidP="00836EB5">
            <w:pPr>
              <w:spacing w:after="0" w:line="240" w:lineRule="auto"/>
              <w:jc w:val="right"/>
              <w:rPr>
                <w:sz w:val="16"/>
                <w:szCs w:val="16"/>
              </w:rPr>
            </w:pPr>
          </w:p>
          <w:p w14:paraId="6C87B660" w14:textId="77777777" w:rsidR="004C6700" w:rsidRPr="004D7438" w:rsidRDefault="004C6700" w:rsidP="00836EB5">
            <w:pPr>
              <w:spacing w:after="0" w:line="240" w:lineRule="auto"/>
              <w:jc w:val="right"/>
              <w:rPr>
                <w:sz w:val="16"/>
                <w:szCs w:val="16"/>
              </w:rPr>
            </w:pPr>
          </w:p>
          <w:p w14:paraId="2D6C63A2" w14:textId="77777777" w:rsidR="004C6700" w:rsidRPr="004D7438" w:rsidRDefault="004C6700" w:rsidP="00836EB5">
            <w:pPr>
              <w:spacing w:after="0" w:line="240" w:lineRule="auto"/>
              <w:jc w:val="right"/>
              <w:rPr>
                <w:sz w:val="16"/>
                <w:szCs w:val="16"/>
              </w:rPr>
            </w:pPr>
          </w:p>
        </w:tc>
      </w:tr>
      <w:tr w:rsidR="004C6700" w:rsidRPr="001B6C05" w14:paraId="4735F602" w14:textId="77777777" w:rsidTr="00836EB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3170" w:type="pct"/>
            <w:gridSpan w:val="5"/>
            <w:tcBorders>
              <w:top w:val="nil"/>
              <w:left w:val="nil"/>
              <w:bottom w:val="nil"/>
              <w:right w:val="nil"/>
            </w:tcBorders>
            <w:shd w:val="clear" w:color="auto" w:fill="auto"/>
            <w:noWrap/>
            <w:vAlign w:val="bottom"/>
            <w:hideMark/>
          </w:tcPr>
          <w:p w14:paraId="1E051516" w14:textId="77777777" w:rsidR="004C6700" w:rsidRPr="001B6C05" w:rsidRDefault="004C6700" w:rsidP="00691349">
            <w:pPr>
              <w:spacing w:before="120" w:line="240" w:lineRule="auto"/>
              <w:jc w:val="left"/>
              <w:rPr>
                <w:rFonts w:eastAsia="Times New Roman" w:cs="Times New Roman"/>
                <w:b/>
                <w:bCs/>
                <w:color w:val="5B9BD5"/>
                <w:sz w:val="20"/>
                <w:szCs w:val="20"/>
                <w:lang w:eastAsia="sk-SK"/>
              </w:rPr>
            </w:pPr>
            <w:r w:rsidRPr="001B6C05">
              <w:rPr>
                <w:rFonts w:eastAsia="Times New Roman" w:cs="Times New Roman"/>
                <w:b/>
                <w:bCs/>
                <w:color w:val="5B9BD5"/>
                <w:sz w:val="20"/>
                <w:szCs w:val="20"/>
                <w:lang w:eastAsia="sk-SK"/>
              </w:rPr>
              <w:t>Tabuľka 1</w:t>
            </w:r>
            <w:r>
              <w:rPr>
                <w:rFonts w:eastAsia="Times New Roman" w:cs="Times New Roman"/>
                <w:b/>
                <w:bCs/>
                <w:color w:val="5B9BD5"/>
                <w:sz w:val="20"/>
                <w:szCs w:val="20"/>
                <w:lang w:eastAsia="sk-SK"/>
              </w:rPr>
              <w:t>4</w:t>
            </w:r>
            <w:r w:rsidRPr="001B6C05">
              <w:rPr>
                <w:rFonts w:eastAsia="Times New Roman" w:cs="Times New Roman"/>
                <w:b/>
                <w:bCs/>
                <w:color w:val="5B9BD5"/>
                <w:sz w:val="20"/>
                <w:szCs w:val="20"/>
                <w:lang w:eastAsia="sk-SK"/>
              </w:rPr>
              <w:t xml:space="preserve"> - Hrubý dlh verejnej správy</w:t>
            </w:r>
          </w:p>
        </w:tc>
        <w:tc>
          <w:tcPr>
            <w:tcW w:w="610" w:type="pct"/>
            <w:tcBorders>
              <w:top w:val="nil"/>
              <w:left w:val="nil"/>
              <w:bottom w:val="nil"/>
              <w:right w:val="nil"/>
            </w:tcBorders>
            <w:shd w:val="clear" w:color="auto" w:fill="auto"/>
            <w:noWrap/>
            <w:vAlign w:val="bottom"/>
            <w:hideMark/>
          </w:tcPr>
          <w:p w14:paraId="4406BC6B" w14:textId="77777777" w:rsidR="004C6700" w:rsidRPr="001B6C05" w:rsidRDefault="004C6700" w:rsidP="00836EB5">
            <w:pPr>
              <w:spacing w:after="0" w:line="240" w:lineRule="auto"/>
              <w:jc w:val="left"/>
              <w:rPr>
                <w:rFonts w:eastAsia="Times New Roman" w:cs="Times New Roman"/>
                <w:b/>
                <w:bCs/>
                <w:color w:val="5B9BD5"/>
                <w:sz w:val="20"/>
                <w:szCs w:val="20"/>
                <w:lang w:eastAsia="sk-SK"/>
              </w:rPr>
            </w:pPr>
          </w:p>
        </w:tc>
        <w:tc>
          <w:tcPr>
            <w:tcW w:w="610" w:type="pct"/>
            <w:tcBorders>
              <w:top w:val="nil"/>
              <w:left w:val="nil"/>
              <w:bottom w:val="nil"/>
              <w:right w:val="nil"/>
            </w:tcBorders>
            <w:shd w:val="clear" w:color="auto" w:fill="auto"/>
            <w:noWrap/>
            <w:vAlign w:val="bottom"/>
            <w:hideMark/>
          </w:tcPr>
          <w:p w14:paraId="51773407" w14:textId="77777777" w:rsidR="004C6700" w:rsidRPr="001B6C05" w:rsidRDefault="004C6700" w:rsidP="00836EB5">
            <w:pPr>
              <w:spacing w:after="0" w:line="240" w:lineRule="auto"/>
              <w:jc w:val="left"/>
              <w:rPr>
                <w:rFonts w:eastAsia="Times New Roman" w:cs="Times New Roman"/>
                <w:sz w:val="20"/>
                <w:szCs w:val="20"/>
                <w:lang w:eastAsia="sk-SK"/>
              </w:rPr>
            </w:pPr>
          </w:p>
        </w:tc>
        <w:tc>
          <w:tcPr>
            <w:tcW w:w="610" w:type="pct"/>
            <w:tcBorders>
              <w:top w:val="nil"/>
              <w:left w:val="nil"/>
              <w:bottom w:val="nil"/>
              <w:right w:val="nil"/>
            </w:tcBorders>
            <w:shd w:val="clear" w:color="auto" w:fill="auto"/>
            <w:noWrap/>
            <w:vAlign w:val="bottom"/>
            <w:hideMark/>
          </w:tcPr>
          <w:p w14:paraId="6513E49B" w14:textId="77777777" w:rsidR="004C6700" w:rsidRPr="001B6C05" w:rsidRDefault="004C6700" w:rsidP="00836EB5">
            <w:pPr>
              <w:spacing w:after="0" w:line="240" w:lineRule="auto"/>
              <w:jc w:val="left"/>
              <w:rPr>
                <w:rFonts w:eastAsia="Times New Roman" w:cs="Times New Roman"/>
                <w:sz w:val="20"/>
                <w:szCs w:val="20"/>
                <w:lang w:eastAsia="sk-SK"/>
              </w:rPr>
            </w:pPr>
          </w:p>
        </w:tc>
      </w:tr>
      <w:tr w:rsidR="004C6700" w:rsidRPr="00691349" w14:paraId="7F06F5A7" w14:textId="77777777" w:rsidTr="00836EB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3170" w:type="pct"/>
            <w:gridSpan w:val="5"/>
            <w:tcBorders>
              <w:top w:val="single" w:sz="4" w:space="0" w:color="auto"/>
              <w:left w:val="nil"/>
              <w:bottom w:val="single" w:sz="4" w:space="0" w:color="auto"/>
              <w:right w:val="nil"/>
            </w:tcBorders>
            <w:shd w:val="clear" w:color="auto" w:fill="auto"/>
            <w:noWrap/>
            <w:vAlign w:val="bottom"/>
            <w:hideMark/>
          </w:tcPr>
          <w:p w14:paraId="7C2B938C"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v % HDP</w:t>
            </w:r>
          </w:p>
        </w:tc>
        <w:tc>
          <w:tcPr>
            <w:tcW w:w="610" w:type="pct"/>
            <w:tcBorders>
              <w:top w:val="single" w:sz="4" w:space="0" w:color="auto"/>
              <w:left w:val="nil"/>
              <w:bottom w:val="single" w:sz="4" w:space="0" w:color="auto"/>
              <w:right w:val="nil"/>
            </w:tcBorders>
            <w:shd w:val="clear" w:color="auto" w:fill="auto"/>
            <w:noWrap/>
            <w:vAlign w:val="bottom"/>
            <w:hideMark/>
          </w:tcPr>
          <w:p w14:paraId="2EC8667C" w14:textId="77777777" w:rsidR="004C6700" w:rsidRPr="00691349" w:rsidRDefault="004C6700" w:rsidP="00836EB5">
            <w:pPr>
              <w:spacing w:after="0" w:line="240" w:lineRule="auto"/>
              <w:jc w:val="right"/>
              <w:rPr>
                <w:rFonts w:eastAsia="Times New Roman" w:cs="Times New Roman"/>
                <w:b/>
                <w:bCs/>
                <w:color w:val="000000"/>
                <w:sz w:val="18"/>
                <w:szCs w:val="18"/>
                <w:lang w:eastAsia="sk-SK"/>
              </w:rPr>
            </w:pPr>
            <w:r w:rsidRPr="00691349">
              <w:rPr>
                <w:b/>
                <w:bCs/>
                <w:color w:val="000000"/>
                <w:sz w:val="18"/>
                <w:szCs w:val="18"/>
              </w:rPr>
              <w:t>2021 S</w:t>
            </w:r>
          </w:p>
        </w:tc>
        <w:tc>
          <w:tcPr>
            <w:tcW w:w="610" w:type="pct"/>
            <w:tcBorders>
              <w:top w:val="single" w:sz="4" w:space="0" w:color="auto"/>
              <w:left w:val="nil"/>
              <w:bottom w:val="single" w:sz="4" w:space="0" w:color="auto"/>
              <w:right w:val="nil"/>
            </w:tcBorders>
            <w:shd w:val="clear" w:color="auto" w:fill="auto"/>
            <w:noWrap/>
            <w:vAlign w:val="bottom"/>
            <w:hideMark/>
          </w:tcPr>
          <w:p w14:paraId="59106A01" w14:textId="77777777" w:rsidR="004C6700" w:rsidRPr="00691349" w:rsidRDefault="004C6700" w:rsidP="00836EB5">
            <w:pPr>
              <w:spacing w:after="0" w:line="240" w:lineRule="auto"/>
              <w:jc w:val="right"/>
              <w:rPr>
                <w:rFonts w:eastAsia="Times New Roman" w:cs="Times New Roman"/>
                <w:b/>
                <w:bCs/>
                <w:color w:val="000000"/>
                <w:sz w:val="18"/>
                <w:szCs w:val="18"/>
                <w:lang w:eastAsia="sk-SK"/>
              </w:rPr>
            </w:pPr>
            <w:r w:rsidRPr="00691349">
              <w:rPr>
                <w:b/>
                <w:bCs/>
                <w:color w:val="000000"/>
                <w:sz w:val="18"/>
                <w:szCs w:val="18"/>
              </w:rPr>
              <w:t>2022 S</w:t>
            </w:r>
          </w:p>
        </w:tc>
        <w:tc>
          <w:tcPr>
            <w:tcW w:w="610" w:type="pct"/>
            <w:tcBorders>
              <w:top w:val="single" w:sz="4" w:space="0" w:color="auto"/>
              <w:left w:val="nil"/>
              <w:bottom w:val="single" w:sz="4" w:space="0" w:color="auto"/>
              <w:right w:val="nil"/>
            </w:tcBorders>
            <w:shd w:val="clear" w:color="auto" w:fill="auto"/>
            <w:noWrap/>
            <w:vAlign w:val="bottom"/>
            <w:hideMark/>
          </w:tcPr>
          <w:p w14:paraId="65BF82BA" w14:textId="77777777" w:rsidR="004C6700" w:rsidRPr="00691349" w:rsidRDefault="004C6700" w:rsidP="00836EB5">
            <w:pPr>
              <w:spacing w:after="0" w:line="240" w:lineRule="auto"/>
              <w:jc w:val="right"/>
              <w:rPr>
                <w:rFonts w:eastAsia="Times New Roman" w:cs="Times New Roman"/>
                <w:b/>
                <w:bCs/>
                <w:color w:val="000000"/>
                <w:sz w:val="18"/>
                <w:szCs w:val="18"/>
                <w:lang w:eastAsia="sk-SK"/>
              </w:rPr>
            </w:pPr>
            <w:r w:rsidRPr="00691349">
              <w:rPr>
                <w:b/>
                <w:bCs/>
                <w:color w:val="000000"/>
                <w:sz w:val="18"/>
                <w:szCs w:val="18"/>
              </w:rPr>
              <w:t>2023 S</w:t>
            </w:r>
          </w:p>
        </w:tc>
      </w:tr>
      <w:tr w:rsidR="004C6700" w:rsidRPr="00691349" w14:paraId="27E64068" w14:textId="77777777" w:rsidTr="00836EB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3170" w:type="pct"/>
            <w:gridSpan w:val="5"/>
            <w:tcBorders>
              <w:top w:val="nil"/>
              <w:left w:val="nil"/>
              <w:bottom w:val="nil"/>
              <w:right w:val="nil"/>
            </w:tcBorders>
            <w:shd w:val="clear" w:color="auto" w:fill="auto"/>
            <w:noWrap/>
            <w:vAlign w:val="bottom"/>
            <w:hideMark/>
          </w:tcPr>
          <w:p w14:paraId="490B10F0"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Hrubý dlh verejnej správy</w:t>
            </w:r>
          </w:p>
        </w:tc>
        <w:tc>
          <w:tcPr>
            <w:tcW w:w="610" w:type="pct"/>
            <w:tcBorders>
              <w:top w:val="nil"/>
              <w:left w:val="nil"/>
              <w:bottom w:val="nil"/>
              <w:right w:val="nil"/>
            </w:tcBorders>
            <w:shd w:val="clear" w:color="auto" w:fill="auto"/>
            <w:noWrap/>
            <w:vAlign w:val="bottom"/>
            <w:hideMark/>
          </w:tcPr>
          <w:p w14:paraId="48959809"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color w:val="000000"/>
                <w:sz w:val="18"/>
                <w:szCs w:val="18"/>
              </w:rPr>
              <w:t>61,1</w:t>
            </w:r>
          </w:p>
        </w:tc>
        <w:tc>
          <w:tcPr>
            <w:tcW w:w="610" w:type="pct"/>
            <w:tcBorders>
              <w:top w:val="nil"/>
              <w:left w:val="nil"/>
              <w:bottom w:val="nil"/>
              <w:right w:val="nil"/>
            </w:tcBorders>
            <w:shd w:val="clear" w:color="auto" w:fill="auto"/>
            <w:noWrap/>
            <w:vAlign w:val="bottom"/>
            <w:hideMark/>
          </w:tcPr>
          <w:p w14:paraId="2DF66ABC"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color w:val="000000"/>
                <w:sz w:val="18"/>
                <w:szCs w:val="18"/>
              </w:rPr>
              <w:t>57,7</w:t>
            </w:r>
          </w:p>
        </w:tc>
        <w:tc>
          <w:tcPr>
            <w:tcW w:w="610" w:type="pct"/>
            <w:tcBorders>
              <w:top w:val="nil"/>
              <w:left w:val="nil"/>
              <w:bottom w:val="nil"/>
              <w:right w:val="nil"/>
            </w:tcBorders>
            <w:shd w:val="clear" w:color="auto" w:fill="auto"/>
            <w:noWrap/>
            <w:vAlign w:val="bottom"/>
            <w:hideMark/>
          </w:tcPr>
          <w:p w14:paraId="6169837D"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color w:val="000000"/>
                <w:sz w:val="18"/>
                <w:szCs w:val="18"/>
              </w:rPr>
              <w:t>56,0</w:t>
            </w:r>
          </w:p>
        </w:tc>
      </w:tr>
      <w:tr w:rsidR="004C6700" w:rsidRPr="00691349" w14:paraId="3CE63A16" w14:textId="77777777" w:rsidTr="00836EB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3170" w:type="pct"/>
            <w:gridSpan w:val="5"/>
            <w:tcBorders>
              <w:top w:val="nil"/>
              <w:left w:val="nil"/>
              <w:bottom w:val="nil"/>
              <w:right w:val="nil"/>
            </w:tcBorders>
            <w:shd w:val="clear" w:color="auto" w:fill="auto"/>
            <w:noWrap/>
            <w:vAlign w:val="bottom"/>
            <w:hideMark/>
          </w:tcPr>
          <w:p w14:paraId="4741A222"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 xml:space="preserve"> - štátny dlh (bez vplyvu medzinár. záväzkov)</w:t>
            </w:r>
          </w:p>
        </w:tc>
        <w:tc>
          <w:tcPr>
            <w:tcW w:w="610" w:type="pct"/>
            <w:tcBorders>
              <w:top w:val="nil"/>
              <w:left w:val="nil"/>
              <w:bottom w:val="nil"/>
              <w:right w:val="nil"/>
            </w:tcBorders>
            <w:shd w:val="clear" w:color="auto" w:fill="auto"/>
            <w:noWrap/>
            <w:vAlign w:val="bottom"/>
            <w:hideMark/>
          </w:tcPr>
          <w:p w14:paraId="3BF5CFB6"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color w:val="000000"/>
                <w:sz w:val="18"/>
                <w:szCs w:val="18"/>
              </w:rPr>
              <w:t>57,2</w:t>
            </w:r>
          </w:p>
        </w:tc>
        <w:tc>
          <w:tcPr>
            <w:tcW w:w="610" w:type="pct"/>
            <w:tcBorders>
              <w:top w:val="nil"/>
              <w:left w:val="nil"/>
              <w:bottom w:val="nil"/>
              <w:right w:val="nil"/>
            </w:tcBorders>
            <w:shd w:val="clear" w:color="auto" w:fill="auto"/>
            <w:noWrap/>
            <w:vAlign w:val="bottom"/>
            <w:hideMark/>
          </w:tcPr>
          <w:p w14:paraId="602E5F65"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color w:val="000000"/>
                <w:sz w:val="18"/>
                <w:szCs w:val="18"/>
              </w:rPr>
              <w:t>54,1</w:t>
            </w:r>
          </w:p>
        </w:tc>
        <w:tc>
          <w:tcPr>
            <w:tcW w:w="610" w:type="pct"/>
            <w:tcBorders>
              <w:top w:val="nil"/>
              <w:left w:val="nil"/>
              <w:bottom w:val="nil"/>
              <w:right w:val="nil"/>
            </w:tcBorders>
            <w:shd w:val="clear" w:color="auto" w:fill="auto"/>
            <w:noWrap/>
            <w:vAlign w:val="bottom"/>
            <w:hideMark/>
          </w:tcPr>
          <w:p w14:paraId="6E0E7D35"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color w:val="000000"/>
                <w:sz w:val="18"/>
                <w:szCs w:val="18"/>
              </w:rPr>
              <w:t>52,6</w:t>
            </w:r>
          </w:p>
        </w:tc>
      </w:tr>
      <w:tr w:rsidR="004C6700" w:rsidRPr="00691349" w14:paraId="73A18F1B" w14:textId="77777777" w:rsidTr="00836EB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3170" w:type="pct"/>
            <w:gridSpan w:val="5"/>
            <w:tcBorders>
              <w:top w:val="nil"/>
              <w:left w:val="nil"/>
              <w:bottom w:val="nil"/>
              <w:right w:val="nil"/>
            </w:tcBorders>
            <w:shd w:val="clear" w:color="auto" w:fill="auto"/>
            <w:noWrap/>
            <w:vAlign w:val="bottom"/>
            <w:hideMark/>
          </w:tcPr>
          <w:p w14:paraId="674F441E"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 xml:space="preserve"> - podiel SR na dlhu EFSF</w:t>
            </w:r>
          </w:p>
        </w:tc>
        <w:tc>
          <w:tcPr>
            <w:tcW w:w="610" w:type="pct"/>
            <w:tcBorders>
              <w:top w:val="nil"/>
              <w:left w:val="nil"/>
              <w:bottom w:val="nil"/>
              <w:right w:val="nil"/>
            </w:tcBorders>
            <w:shd w:val="clear" w:color="auto" w:fill="auto"/>
            <w:noWrap/>
            <w:vAlign w:val="bottom"/>
            <w:hideMark/>
          </w:tcPr>
          <w:p w14:paraId="66F522D7"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color w:val="000000"/>
                <w:sz w:val="18"/>
                <w:szCs w:val="18"/>
              </w:rPr>
              <w:t>1,9</w:t>
            </w:r>
          </w:p>
        </w:tc>
        <w:tc>
          <w:tcPr>
            <w:tcW w:w="610" w:type="pct"/>
            <w:tcBorders>
              <w:top w:val="nil"/>
              <w:left w:val="nil"/>
              <w:bottom w:val="nil"/>
              <w:right w:val="nil"/>
            </w:tcBorders>
            <w:shd w:val="clear" w:color="auto" w:fill="auto"/>
            <w:noWrap/>
            <w:vAlign w:val="bottom"/>
            <w:hideMark/>
          </w:tcPr>
          <w:p w14:paraId="65467A2E"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color w:val="000000"/>
                <w:sz w:val="18"/>
                <w:szCs w:val="18"/>
              </w:rPr>
              <w:t>1,7</w:t>
            </w:r>
          </w:p>
        </w:tc>
        <w:tc>
          <w:tcPr>
            <w:tcW w:w="610" w:type="pct"/>
            <w:tcBorders>
              <w:top w:val="nil"/>
              <w:left w:val="nil"/>
              <w:bottom w:val="nil"/>
              <w:right w:val="nil"/>
            </w:tcBorders>
            <w:shd w:val="clear" w:color="auto" w:fill="auto"/>
            <w:noWrap/>
            <w:vAlign w:val="bottom"/>
            <w:hideMark/>
          </w:tcPr>
          <w:p w14:paraId="5BCA1C03"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color w:val="000000"/>
                <w:sz w:val="18"/>
                <w:szCs w:val="18"/>
              </w:rPr>
              <w:t>1,5</w:t>
            </w:r>
          </w:p>
        </w:tc>
      </w:tr>
      <w:tr w:rsidR="004C6700" w:rsidRPr="00691349" w14:paraId="5B41AE0D" w14:textId="77777777" w:rsidTr="00836EB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3170" w:type="pct"/>
            <w:gridSpan w:val="5"/>
            <w:tcBorders>
              <w:top w:val="nil"/>
              <w:left w:val="nil"/>
              <w:bottom w:val="nil"/>
              <w:right w:val="nil"/>
            </w:tcBorders>
            <w:shd w:val="clear" w:color="auto" w:fill="auto"/>
            <w:noWrap/>
            <w:vAlign w:val="bottom"/>
            <w:hideMark/>
          </w:tcPr>
          <w:p w14:paraId="17FBEDDB" w14:textId="77777777" w:rsidR="004C6700" w:rsidRPr="00691349" w:rsidRDefault="004C6700" w:rsidP="00836EB5">
            <w:pPr>
              <w:spacing w:after="0" w:line="240" w:lineRule="auto"/>
              <w:jc w:val="left"/>
              <w:rPr>
                <w:rFonts w:eastAsia="Times New Roman" w:cs="Times New Roman"/>
                <w:color w:val="000000"/>
                <w:sz w:val="18"/>
                <w:szCs w:val="18"/>
                <w:lang w:eastAsia="sk-SK"/>
              </w:rPr>
            </w:pPr>
            <w:r w:rsidRPr="00691349">
              <w:rPr>
                <w:rFonts w:eastAsia="Times New Roman" w:cs="Times New Roman"/>
                <w:color w:val="000000"/>
                <w:sz w:val="18"/>
                <w:szCs w:val="18"/>
                <w:lang w:eastAsia="sk-SK"/>
              </w:rPr>
              <w:t xml:space="preserve"> - dlh ostatných subjektov verejnej správy</w:t>
            </w:r>
          </w:p>
        </w:tc>
        <w:tc>
          <w:tcPr>
            <w:tcW w:w="610" w:type="pct"/>
            <w:tcBorders>
              <w:top w:val="nil"/>
              <w:left w:val="nil"/>
              <w:bottom w:val="nil"/>
              <w:right w:val="nil"/>
            </w:tcBorders>
            <w:shd w:val="clear" w:color="auto" w:fill="auto"/>
            <w:noWrap/>
            <w:vAlign w:val="bottom"/>
            <w:hideMark/>
          </w:tcPr>
          <w:p w14:paraId="36E0A587"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color w:val="000000"/>
                <w:sz w:val="18"/>
                <w:szCs w:val="18"/>
              </w:rPr>
              <w:t>2,0</w:t>
            </w:r>
          </w:p>
        </w:tc>
        <w:tc>
          <w:tcPr>
            <w:tcW w:w="610" w:type="pct"/>
            <w:tcBorders>
              <w:top w:val="nil"/>
              <w:left w:val="nil"/>
              <w:bottom w:val="nil"/>
              <w:right w:val="nil"/>
            </w:tcBorders>
            <w:shd w:val="clear" w:color="auto" w:fill="auto"/>
            <w:noWrap/>
            <w:vAlign w:val="bottom"/>
            <w:hideMark/>
          </w:tcPr>
          <w:p w14:paraId="633B0402"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color w:val="000000"/>
                <w:sz w:val="18"/>
                <w:szCs w:val="18"/>
              </w:rPr>
              <w:t>2,0</w:t>
            </w:r>
          </w:p>
        </w:tc>
        <w:tc>
          <w:tcPr>
            <w:tcW w:w="610" w:type="pct"/>
            <w:tcBorders>
              <w:top w:val="nil"/>
              <w:left w:val="nil"/>
              <w:bottom w:val="nil"/>
              <w:right w:val="nil"/>
            </w:tcBorders>
            <w:shd w:val="clear" w:color="auto" w:fill="auto"/>
            <w:noWrap/>
            <w:vAlign w:val="bottom"/>
            <w:hideMark/>
          </w:tcPr>
          <w:p w14:paraId="6A15A401"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color w:val="000000"/>
                <w:sz w:val="18"/>
                <w:szCs w:val="18"/>
              </w:rPr>
              <w:t>2,0</w:t>
            </w:r>
          </w:p>
        </w:tc>
      </w:tr>
      <w:tr w:rsidR="004C6700" w:rsidRPr="00691349" w14:paraId="0682FC2B" w14:textId="77777777" w:rsidTr="00836EB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3170" w:type="pct"/>
            <w:gridSpan w:val="5"/>
            <w:tcBorders>
              <w:top w:val="nil"/>
              <w:left w:val="nil"/>
              <w:bottom w:val="single" w:sz="4" w:space="0" w:color="auto"/>
              <w:right w:val="nil"/>
            </w:tcBorders>
            <w:shd w:val="clear" w:color="auto" w:fill="auto"/>
            <w:noWrap/>
            <w:vAlign w:val="bottom"/>
            <w:hideMark/>
          </w:tcPr>
          <w:p w14:paraId="01BF13F3"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Medziročná zmena hrubého dlhu</w:t>
            </w:r>
          </w:p>
        </w:tc>
        <w:tc>
          <w:tcPr>
            <w:tcW w:w="610" w:type="pct"/>
            <w:tcBorders>
              <w:top w:val="nil"/>
              <w:left w:val="nil"/>
              <w:bottom w:val="single" w:sz="4" w:space="0" w:color="auto"/>
              <w:right w:val="nil"/>
            </w:tcBorders>
            <w:shd w:val="clear" w:color="auto" w:fill="auto"/>
            <w:noWrap/>
            <w:vAlign w:val="bottom"/>
            <w:hideMark/>
          </w:tcPr>
          <w:p w14:paraId="1A6D01FC"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color w:val="000000"/>
                <w:sz w:val="18"/>
                <w:szCs w:val="18"/>
              </w:rPr>
              <w:t>2,3</w:t>
            </w:r>
          </w:p>
        </w:tc>
        <w:tc>
          <w:tcPr>
            <w:tcW w:w="610" w:type="pct"/>
            <w:tcBorders>
              <w:top w:val="nil"/>
              <w:left w:val="nil"/>
              <w:bottom w:val="single" w:sz="4" w:space="0" w:color="auto"/>
              <w:right w:val="nil"/>
            </w:tcBorders>
            <w:shd w:val="clear" w:color="auto" w:fill="auto"/>
            <w:noWrap/>
            <w:vAlign w:val="bottom"/>
            <w:hideMark/>
          </w:tcPr>
          <w:p w14:paraId="62F1D692"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color w:val="000000"/>
                <w:sz w:val="18"/>
                <w:szCs w:val="18"/>
              </w:rPr>
              <w:t>-3,2</w:t>
            </w:r>
          </w:p>
        </w:tc>
        <w:tc>
          <w:tcPr>
            <w:tcW w:w="610" w:type="pct"/>
            <w:tcBorders>
              <w:top w:val="nil"/>
              <w:left w:val="nil"/>
              <w:bottom w:val="single" w:sz="4" w:space="0" w:color="auto"/>
              <w:right w:val="nil"/>
            </w:tcBorders>
            <w:shd w:val="clear" w:color="auto" w:fill="auto"/>
            <w:noWrap/>
            <w:vAlign w:val="bottom"/>
            <w:hideMark/>
          </w:tcPr>
          <w:p w14:paraId="72C18E74"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color w:val="000000"/>
                <w:sz w:val="18"/>
                <w:szCs w:val="18"/>
              </w:rPr>
              <w:t>-1,7</w:t>
            </w:r>
          </w:p>
        </w:tc>
      </w:tr>
      <w:tr w:rsidR="004C6700" w:rsidRPr="00691349" w14:paraId="306D8171" w14:textId="77777777" w:rsidTr="00836EB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3170" w:type="pct"/>
            <w:gridSpan w:val="5"/>
            <w:tcBorders>
              <w:top w:val="nil"/>
              <w:left w:val="nil"/>
              <w:right w:val="nil"/>
            </w:tcBorders>
            <w:shd w:val="clear" w:color="auto" w:fill="auto"/>
            <w:noWrap/>
            <w:vAlign w:val="bottom"/>
            <w:hideMark/>
          </w:tcPr>
          <w:p w14:paraId="6A10B331" w14:textId="77777777" w:rsidR="004C6700" w:rsidRPr="00691349" w:rsidRDefault="004C6700" w:rsidP="00836EB5">
            <w:pPr>
              <w:spacing w:after="0" w:line="240" w:lineRule="auto"/>
              <w:jc w:val="left"/>
              <w:rPr>
                <w:rFonts w:eastAsia="Times New Roman" w:cs="Times New Roman"/>
                <w:b/>
                <w:bCs/>
                <w:color w:val="000000"/>
                <w:sz w:val="18"/>
                <w:szCs w:val="18"/>
                <w:lang w:eastAsia="sk-SK"/>
              </w:rPr>
            </w:pPr>
            <w:r w:rsidRPr="00691349">
              <w:rPr>
                <w:rFonts w:eastAsia="Times New Roman" w:cs="Times New Roman"/>
                <w:b/>
                <w:bCs/>
                <w:color w:val="000000"/>
                <w:sz w:val="18"/>
                <w:szCs w:val="18"/>
                <w:lang w:eastAsia="sk-SK"/>
              </w:rPr>
              <w:t>Čistý dlh verejnej správy</w:t>
            </w:r>
          </w:p>
        </w:tc>
        <w:tc>
          <w:tcPr>
            <w:tcW w:w="610" w:type="pct"/>
            <w:tcBorders>
              <w:top w:val="nil"/>
              <w:left w:val="nil"/>
              <w:right w:val="nil"/>
            </w:tcBorders>
            <w:shd w:val="clear" w:color="auto" w:fill="auto"/>
            <w:noWrap/>
            <w:vAlign w:val="bottom"/>
            <w:hideMark/>
          </w:tcPr>
          <w:p w14:paraId="1DB75A23"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color w:val="000000"/>
                <w:sz w:val="18"/>
                <w:szCs w:val="18"/>
              </w:rPr>
              <w:t>49,6</w:t>
            </w:r>
          </w:p>
        </w:tc>
        <w:tc>
          <w:tcPr>
            <w:tcW w:w="610" w:type="pct"/>
            <w:tcBorders>
              <w:top w:val="nil"/>
              <w:left w:val="nil"/>
              <w:right w:val="nil"/>
            </w:tcBorders>
            <w:shd w:val="clear" w:color="auto" w:fill="auto"/>
            <w:noWrap/>
            <w:vAlign w:val="bottom"/>
            <w:hideMark/>
          </w:tcPr>
          <w:p w14:paraId="1E09A372"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color w:val="000000"/>
                <w:sz w:val="18"/>
                <w:szCs w:val="18"/>
              </w:rPr>
              <w:t>47,6</w:t>
            </w:r>
          </w:p>
        </w:tc>
        <w:tc>
          <w:tcPr>
            <w:tcW w:w="610" w:type="pct"/>
            <w:tcBorders>
              <w:top w:val="nil"/>
              <w:left w:val="nil"/>
              <w:right w:val="nil"/>
            </w:tcBorders>
            <w:shd w:val="clear" w:color="auto" w:fill="auto"/>
            <w:noWrap/>
            <w:vAlign w:val="bottom"/>
            <w:hideMark/>
          </w:tcPr>
          <w:p w14:paraId="72CFFEC3" w14:textId="77777777" w:rsidR="004C6700" w:rsidRPr="00691349" w:rsidRDefault="004C6700" w:rsidP="00836EB5">
            <w:pPr>
              <w:spacing w:after="0" w:line="240" w:lineRule="auto"/>
              <w:jc w:val="right"/>
              <w:rPr>
                <w:rFonts w:eastAsia="Times New Roman" w:cs="Times New Roman"/>
                <w:color w:val="000000"/>
                <w:sz w:val="18"/>
                <w:szCs w:val="18"/>
                <w:lang w:eastAsia="sk-SK"/>
              </w:rPr>
            </w:pPr>
            <w:r w:rsidRPr="00691349">
              <w:rPr>
                <w:color w:val="000000"/>
                <w:sz w:val="18"/>
                <w:szCs w:val="18"/>
              </w:rPr>
              <w:t>48,3</w:t>
            </w:r>
          </w:p>
        </w:tc>
      </w:tr>
      <w:tr w:rsidR="004C6700" w:rsidRPr="00691349" w14:paraId="30798E37" w14:textId="77777777" w:rsidTr="00836EB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3170" w:type="pct"/>
            <w:gridSpan w:val="5"/>
            <w:tcBorders>
              <w:top w:val="nil"/>
              <w:left w:val="nil"/>
              <w:bottom w:val="single" w:sz="4" w:space="0" w:color="auto"/>
              <w:right w:val="nil"/>
            </w:tcBorders>
            <w:shd w:val="clear" w:color="auto" w:fill="auto"/>
            <w:noWrap/>
            <w:vAlign w:val="bottom"/>
            <w:hideMark/>
          </w:tcPr>
          <w:p w14:paraId="740B969A" w14:textId="77777777" w:rsidR="004C6700" w:rsidRPr="00691349" w:rsidRDefault="004C6700" w:rsidP="00836EB5">
            <w:pPr>
              <w:spacing w:after="0" w:line="240" w:lineRule="auto"/>
              <w:jc w:val="left"/>
              <w:rPr>
                <w:rFonts w:eastAsia="Times New Roman" w:cs="Times New Roman"/>
                <w:i/>
                <w:iCs/>
                <w:color w:val="000000"/>
                <w:sz w:val="18"/>
                <w:szCs w:val="18"/>
                <w:lang w:eastAsia="sk-SK"/>
              </w:rPr>
            </w:pPr>
            <w:r w:rsidRPr="00691349">
              <w:rPr>
                <w:rFonts w:eastAsia="Times New Roman" w:cs="Times New Roman"/>
                <w:i/>
                <w:iCs/>
                <w:color w:val="000000"/>
                <w:sz w:val="18"/>
                <w:szCs w:val="18"/>
                <w:lang w:eastAsia="sk-SK"/>
              </w:rPr>
              <w:t>Vklad SR do ESM (nevstupuje do maastrichtského dlhu)</w:t>
            </w:r>
          </w:p>
        </w:tc>
        <w:tc>
          <w:tcPr>
            <w:tcW w:w="610" w:type="pct"/>
            <w:tcBorders>
              <w:top w:val="nil"/>
              <w:left w:val="nil"/>
              <w:bottom w:val="single" w:sz="4" w:space="0" w:color="auto"/>
              <w:right w:val="nil"/>
            </w:tcBorders>
            <w:shd w:val="clear" w:color="auto" w:fill="auto"/>
            <w:noWrap/>
            <w:vAlign w:val="bottom"/>
            <w:hideMark/>
          </w:tcPr>
          <w:p w14:paraId="7B9D87E1" w14:textId="77777777" w:rsidR="004C6700" w:rsidRPr="00691349" w:rsidRDefault="004C6700" w:rsidP="00836EB5">
            <w:pPr>
              <w:spacing w:after="0" w:line="240" w:lineRule="auto"/>
              <w:jc w:val="right"/>
              <w:rPr>
                <w:rFonts w:eastAsia="Times New Roman" w:cs="Times New Roman"/>
                <w:i/>
                <w:iCs/>
                <w:color w:val="000000"/>
                <w:sz w:val="18"/>
                <w:szCs w:val="18"/>
                <w:lang w:eastAsia="sk-SK"/>
              </w:rPr>
            </w:pPr>
            <w:r w:rsidRPr="00691349">
              <w:rPr>
                <w:i/>
                <w:iCs/>
                <w:color w:val="000000"/>
                <w:sz w:val="18"/>
                <w:szCs w:val="18"/>
              </w:rPr>
              <w:t>0,8</w:t>
            </w:r>
          </w:p>
        </w:tc>
        <w:tc>
          <w:tcPr>
            <w:tcW w:w="610" w:type="pct"/>
            <w:tcBorders>
              <w:top w:val="nil"/>
              <w:left w:val="nil"/>
              <w:bottom w:val="single" w:sz="4" w:space="0" w:color="auto"/>
              <w:right w:val="nil"/>
            </w:tcBorders>
            <w:shd w:val="clear" w:color="auto" w:fill="auto"/>
            <w:noWrap/>
            <w:vAlign w:val="bottom"/>
            <w:hideMark/>
          </w:tcPr>
          <w:p w14:paraId="6572BF58" w14:textId="77777777" w:rsidR="004C6700" w:rsidRPr="00691349" w:rsidRDefault="004C6700" w:rsidP="00836EB5">
            <w:pPr>
              <w:spacing w:after="0" w:line="240" w:lineRule="auto"/>
              <w:jc w:val="right"/>
              <w:rPr>
                <w:rFonts w:eastAsia="Times New Roman" w:cs="Times New Roman"/>
                <w:i/>
                <w:iCs/>
                <w:color w:val="000000"/>
                <w:sz w:val="18"/>
                <w:szCs w:val="18"/>
                <w:lang w:eastAsia="sk-SK"/>
              </w:rPr>
            </w:pPr>
            <w:r w:rsidRPr="00691349">
              <w:rPr>
                <w:i/>
                <w:iCs/>
                <w:color w:val="000000"/>
                <w:sz w:val="18"/>
                <w:szCs w:val="18"/>
              </w:rPr>
              <w:t>0,7</w:t>
            </w:r>
          </w:p>
        </w:tc>
        <w:tc>
          <w:tcPr>
            <w:tcW w:w="610" w:type="pct"/>
            <w:tcBorders>
              <w:top w:val="nil"/>
              <w:left w:val="nil"/>
              <w:bottom w:val="single" w:sz="4" w:space="0" w:color="auto"/>
              <w:right w:val="nil"/>
            </w:tcBorders>
            <w:shd w:val="clear" w:color="auto" w:fill="auto"/>
            <w:noWrap/>
            <w:vAlign w:val="bottom"/>
            <w:hideMark/>
          </w:tcPr>
          <w:p w14:paraId="7E236F80" w14:textId="77777777" w:rsidR="004C6700" w:rsidRPr="00691349" w:rsidRDefault="004C6700" w:rsidP="00836EB5">
            <w:pPr>
              <w:spacing w:after="0" w:line="240" w:lineRule="auto"/>
              <w:jc w:val="right"/>
              <w:rPr>
                <w:rFonts w:eastAsia="Times New Roman" w:cs="Times New Roman"/>
                <w:i/>
                <w:iCs/>
                <w:color w:val="000000"/>
                <w:sz w:val="18"/>
                <w:szCs w:val="18"/>
                <w:lang w:eastAsia="sk-SK"/>
              </w:rPr>
            </w:pPr>
            <w:r w:rsidRPr="00691349">
              <w:rPr>
                <w:i/>
                <w:iCs/>
                <w:color w:val="000000"/>
                <w:sz w:val="18"/>
                <w:szCs w:val="18"/>
              </w:rPr>
              <w:t>0,6</w:t>
            </w:r>
          </w:p>
        </w:tc>
      </w:tr>
    </w:tbl>
    <w:p w14:paraId="4251B29D" w14:textId="77777777" w:rsidR="004C6700" w:rsidRPr="00691349" w:rsidRDefault="004C6700" w:rsidP="004C6700">
      <w:pPr>
        <w:spacing w:line="240" w:lineRule="auto"/>
        <w:jc w:val="right"/>
        <w:rPr>
          <w:sz w:val="18"/>
          <w:szCs w:val="18"/>
        </w:rPr>
      </w:pPr>
      <w:r w:rsidRPr="00691349">
        <w:rPr>
          <w:sz w:val="18"/>
          <w:szCs w:val="18"/>
        </w:rPr>
        <w:t>Zdroj: MF SR, ŠÚ SR</w:t>
      </w:r>
    </w:p>
    <w:p w14:paraId="533E1AAF" w14:textId="77777777" w:rsidR="004C6700" w:rsidRPr="001A59FB" w:rsidRDefault="004C6700" w:rsidP="004C6700">
      <w:pPr>
        <w:spacing w:line="240" w:lineRule="auto"/>
        <w:rPr>
          <w:sz w:val="24"/>
          <w:szCs w:val="24"/>
        </w:rPr>
      </w:pPr>
      <w:r w:rsidRPr="001A59FB">
        <w:rPr>
          <w:b/>
          <w:sz w:val="24"/>
          <w:szCs w:val="24"/>
        </w:rPr>
        <w:t>Maastrichtský dlh verejnej správy sa prezentuje ako konsolidovaný</w:t>
      </w:r>
      <w:r w:rsidRPr="001A59FB">
        <w:rPr>
          <w:sz w:val="24"/>
          <w:szCs w:val="24"/>
        </w:rPr>
        <w:t>, to znamená, že vzťahy medzi jednotlivými subjektmi verejnej správy sú vylúčené. Skupiny subjektov verejnej správy uvedené v tabuľke nižšie sú vnútorne skonsolidované o vzájomné vzťahy v rámci danej skupiny (napríklad územná samospráva). Hodnota konsolidácie vo výške 1 331 017 tis. eur predstavuje len pôžičky medzi skupinami verejnej správy</w:t>
      </w:r>
      <w:r w:rsidRPr="001A59FB">
        <w:rPr>
          <w:sz w:val="24"/>
          <w:szCs w:val="24"/>
          <w:vertAlign w:val="superscript"/>
        </w:rPr>
        <w:footnoteReference w:id="24"/>
      </w:r>
      <w:r w:rsidRPr="001A59FB">
        <w:rPr>
          <w:sz w:val="24"/>
          <w:szCs w:val="24"/>
        </w:rPr>
        <w:t xml:space="preserve">, napríklad pôžičky Štátneho fondu rozvoja bývania poskytnuté subjektom územnej samosprávy. </w:t>
      </w:r>
    </w:p>
    <w:p w14:paraId="109289C3" w14:textId="77777777" w:rsidR="004C6700" w:rsidRPr="00FB0894" w:rsidRDefault="004C6700" w:rsidP="004C6700">
      <w:pPr>
        <w:spacing w:line="240" w:lineRule="auto"/>
        <w:rPr>
          <w:sz w:val="24"/>
          <w:szCs w:val="24"/>
        </w:rPr>
      </w:pPr>
      <w:r w:rsidRPr="00FB0894">
        <w:rPr>
          <w:sz w:val="24"/>
          <w:szCs w:val="24"/>
        </w:rPr>
        <w:t>Konsolidované vzájomné pôžičky predstavovali najmä:</w:t>
      </w:r>
    </w:p>
    <w:p w14:paraId="60BBBDAD" w14:textId="77777777" w:rsidR="004C6700" w:rsidRPr="00FB0894" w:rsidRDefault="004C6700" w:rsidP="005E4981">
      <w:pPr>
        <w:spacing w:after="0" w:line="240" w:lineRule="auto"/>
        <w:ind w:left="284" w:hanging="284"/>
        <w:rPr>
          <w:sz w:val="24"/>
          <w:szCs w:val="24"/>
        </w:rPr>
      </w:pPr>
      <w:r w:rsidRPr="00FB0894">
        <w:rPr>
          <w:sz w:val="24"/>
          <w:szCs w:val="24"/>
        </w:rPr>
        <w:t>- pôžičky ŠFRB 737 891 tis. eur, ktorý poskytuje návratné finančné prostriedky najmä subjektom územnej samosprávy v oblasti podpory bývania,</w:t>
      </w:r>
    </w:p>
    <w:p w14:paraId="1D688CC3" w14:textId="77777777" w:rsidR="004C6700" w:rsidRPr="00FB0894" w:rsidRDefault="004C6700" w:rsidP="005E4981">
      <w:pPr>
        <w:spacing w:after="0" w:line="240" w:lineRule="auto"/>
        <w:ind w:left="142" w:hanging="142"/>
        <w:rPr>
          <w:sz w:val="24"/>
          <w:szCs w:val="24"/>
        </w:rPr>
      </w:pPr>
      <w:r w:rsidRPr="00FB0894">
        <w:rPr>
          <w:sz w:val="24"/>
          <w:szCs w:val="24"/>
        </w:rPr>
        <w:lastRenderedPageBreak/>
        <w:t xml:space="preserve">- návratná finančná výpomoc poskytnutá zo štátneho rozpočtu Agentúre pre núdzové zásoby ropy a ropných výrobkov 219 000 tis. eur, </w:t>
      </w:r>
    </w:p>
    <w:p w14:paraId="4EECD26E" w14:textId="77777777" w:rsidR="004C6700" w:rsidRPr="00FB0894" w:rsidRDefault="004C6700" w:rsidP="005E4981">
      <w:pPr>
        <w:spacing w:after="0" w:line="240" w:lineRule="auto"/>
        <w:rPr>
          <w:sz w:val="24"/>
          <w:szCs w:val="24"/>
        </w:rPr>
      </w:pPr>
      <w:r w:rsidRPr="00FB0894">
        <w:rPr>
          <w:sz w:val="24"/>
          <w:szCs w:val="24"/>
        </w:rPr>
        <w:t>- imputovaná pôžička Agentúry pre núdzové zásoby ropy a ropných výrobkov 20 945 tis. eur,</w:t>
      </w:r>
    </w:p>
    <w:p w14:paraId="6E51ABA3" w14:textId="77777777" w:rsidR="004C6700" w:rsidRPr="00FB0894" w:rsidRDefault="004C6700" w:rsidP="005E4981">
      <w:pPr>
        <w:spacing w:line="240" w:lineRule="auto"/>
        <w:ind w:left="142" w:hanging="142"/>
        <w:rPr>
          <w:sz w:val="24"/>
          <w:szCs w:val="24"/>
        </w:rPr>
      </w:pPr>
      <w:r w:rsidRPr="00FB0894">
        <w:rPr>
          <w:sz w:val="24"/>
          <w:szCs w:val="24"/>
        </w:rPr>
        <w:t>- návratné finančné výpomoci poskytnuté zo štátneho rozpočtu mestám, obciam a ostatným subjektom verejnej správy 164 119 tis. eur.</w:t>
      </w:r>
    </w:p>
    <w:p w14:paraId="4E3278B6" w14:textId="77777777" w:rsidR="004C6700" w:rsidRPr="00FB0894" w:rsidRDefault="004C6700" w:rsidP="004C6700">
      <w:pPr>
        <w:spacing w:line="240" w:lineRule="auto"/>
        <w:rPr>
          <w:sz w:val="24"/>
          <w:szCs w:val="24"/>
        </w:rPr>
      </w:pPr>
      <w:r w:rsidRPr="00FB0894">
        <w:rPr>
          <w:sz w:val="24"/>
          <w:szCs w:val="24"/>
        </w:rPr>
        <w:t>V prehľade maastrichtského dlhu podľa zložiek verejnej správy sú uvedené hodnoty na nekonsolidovanej báze, pričom výsledná hodnota dlhu a opis medziročných vplyvov sú uvádzané po konsolidácii.</w:t>
      </w:r>
    </w:p>
    <w:tbl>
      <w:tblPr>
        <w:tblW w:w="5000" w:type="pct"/>
        <w:tblCellMar>
          <w:left w:w="70" w:type="dxa"/>
          <w:right w:w="70" w:type="dxa"/>
        </w:tblCellMar>
        <w:tblLook w:val="04A0" w:firstRow="1" w:lastRow="0" w:firstColumn="1" w:lastColumn="0" w:noHBand="0" w:noVBand="1"/>
      </w:tblPr>
      <w:tblGrid>
        <w:gridCol w:w="5059"/>
        <w:gridCol w:w="1039"/>
        <w:gridCol w:w="1087"/>
        <w:gridCol w:w="1087"/>
        <w:gridCol w:w="942"/>
      </w:tblGrid>
      <w:tr w:rsidR="004C6700" w:rsidRPr="004E347D" w14:paraId="37A82C5D" w14:textId="77777777" w:rsidTr="00836EB5">
        <w:trPr>
          <w:trHeight w:val="290"/>
        </w:trPr>
        <w:tc>
          <w:tcPr>
            <w:tcW w:w="5000" w:type="pct"/>
            <w:gridSpan w:val="5"/>
            <w:tcBorders>
              <w:top w:val="nil"/>
              <w:left w:val="nil"/>
              <w:bottom w:val="single" w:sz="4" w:space="0" w:color="auto"/>
              <w:right w:val="nil"/>
            </w:tcBorders>
            <w:shd w:val="clear" w:color="auto" w:fill="auto"/>
            <w:noWrap/>
            <w:vAlign w:val="center"/>
            <w:hideMark/>
          </w:tcPr>
          <w:p w14:paraId="1DAE02A5" w14:textId="77777777" w:rsidR="004C6700" w:rsidRPr="004E347D" w:rsidRDefault="004C6700" w:rsidP="00691349">
            <w:pPr>
              <w:spacing w:line="240" w:lineRule="auto"/>
              <w:jc w:val="left"/>
              <w:rPr>
                <w:rFonts w:eastAsia="Times New Roman" w:cs="Times New Roman"/>
                <w:b/>
                <w:bCs/>
                <w:color w:val="5B9BD5"/>
                <w:sz w:val="20"/>
                <w:szCs w:val="20"/>
                <w:lang w:eastAsia="sk-SK"/>
              </w:rPr>
            </w:pPr>
            <w:r>
              <w:rPr>
                <w:rFonts w:eastAsia="Times New Roman" w:cs="Times New Roman"/>
                <w:b/>
                <w:bCs/>
                <w:color w:val="5B9BD5"/>
                <w:sz w:val="20"/>
                <w:szCs w:val="20"/>
                <w:lang w:eastAsia="sk-SK"/>
              </w:rPr>
              <w:t>Tabuľka 15</w:t>
            </w:r>
            <w:r w:rsidRPr="004E347D">
              <w:rPr>
                <w:rFonts w:eastAsia="Times New Roman" w:cs="Times New Roman"/>
                <w:b/>
                <w:bCs/>
                <w:color w:val="5B9BD5"/>
                <w:sz w:val="20"/>
                <w:szCs w:val="20"/>
                <w:lang w:eastAsia="sk-SK"/>
              </w:rPr>
              <w:t xml:space="preserve"> - Maastrichtský dlh verejnej správy podľa jednotlivých subjektov</w:t>
            </w:r>
            <w:r>
              <w:rPr>
                <w:rFonts w:eastAsia="Times New Roman" w:cs="Times New Roman"/>
                <w:b/>
                <w:bCs/>
                <w:color w:val="5B9BD5"/>
                <w:sz w:val="20"/>
                <w:szCs w:val="20"/>
                <w:lang w:eastAsia="sk-SK"/>
              </w:rPr>
              <w:t xml:space="preserve"> (zložiek)</w:t>
            </w:r>
          </w:p>
        </w:tc>
      </w:tr>
      <w:tr w:rsidR="004C6700" w:rsidRPr="00691349" w14:paraId="1B370E58" w14:textId="77777777" w:rsidTr="00836EB5">
        <w:trPr>
          <w:trHeight w:val="285"/>
        </w:trPr>
        <w:tc>
          <w:tcPr>
            <w:tcW w:w="2745" w:type="pct"/>
            <w:vMerge w:val="restart"/>
            <w:tcBorders>
              <w:top w:val="single" w:sz="4" w:space="0" w:color="auto"/>
              <w:left w:val="nil"/>
              <w:bottom w:val="single" w:sz="4" w:space="0" w:color="000000"/>
              <w:right w:val="nil"/>
            </w:tcBorders>
            <w:shd w:val="clear" w:color="auto" w:fill="auto"/>
            <w:vAlign w:val="center"/>
            <w:hideMark/>
          </w:tcPr>
          <w:p w14:paraId="49BAC882" w14:textId="77777777" w:rsidR="004C6700" w:rsidRPr="00691349" w:rsidRDefault="004C6700" w:rsidP="00836EB5">
            <w:pPr>
              <w:spacing w:after="0" w:line="240" w:lineRule="auto"/>
              <w:rPr>
                <w:rFonts w:eastAsia="Times New Roman" w:cs="Times New Roman"/>
                <w:b/>
                <w:bCs/>
                <w:sz w:val="18"/>
                <w:szCs w:val="18"/>
                <w:lang w:eastAsia="sk-SK"/>
              </w:rPr>
            </w:pPr>
            <w:r w:rsidRPr="00691349">
              <w:rPr>
                <w:rFonts w:eastAsia="Times New Roman" w:cs="Times New Roman"/>
                <w:b/>
                <w:bCs/>
                <w:sz w:val="18"/>
                <w:szCs w:val="18"/>
                <w:lang w:eastAsia="sk-SK"/>
              </w:rPr>
              <w:t>v tis. eur</w:t>
            </w:r>
          </w:p>
        </w:tc>
        <w:tc>
          <w:tcPr>
            <w:tcW w:w="564" w:type="pct"/>
            <w:tcBorders>
              <w:top w:val="single" w:sz="4" w:space="0" w:color="auto"/>
              <w:left w:val="nil"/>
              <w:bottom w:val="nil"/>
              <w:right w:val="nil"/>
            </w:tcBorders>
            <w:shd w:val="clear" w:color="auto" w:fill="auto"/>
            <w:vAlign w:val="center"/>
            <w:hideMark/>
          </w:tcPr>
          <w:p w14:paraId="1DAB07C8" w14:textId="77777777" w:rsidR="004C6700" w:rsidRPr="00691349" w:rsidRDefault="004C6700" w:rsidP="00836EB5">
            <w:pPr>
              <w:spacing w:after="0" w:line="240" w:lineRule="auto"/>
              <w:jc w:val="center"/>
              <w:rPr>
                <w:rFonts w:eastAsia="Times New Roman" w:cs="Times New Roman"/>
                <w:b/>
                <w:bCs/>
                <w:sz w:val="18"/>
                <w:szCs w:val="18"/>
                <w:lang w:eastAsia="sk-SK"/>
              </w:rPr>
            </w:pPr>
            <w:r w:rsidRPr="00691349">
              <w:rPr>
                <w:rFonts w:eastAsia="Times New Roman" w:cs="Times New Roman"/>
                <w:b/>
                <w:bCs/>
                <w:sz w:val="18"/>
                <w:szCs w:val="18"/>
                <w:lang w:eastAsia="sk-SK"/>
              </w:rPr>
              <w:t>2021 S</w:t>
            </w:r>
          </w:p>
        </w:tc>
        <w:tc>
          <w:tcPr>
            <w:tcW w:w="590" w:type="pct"/>
            <w:tcBorders>
              <w:top w:val="single" w:sz="4" w:space="0" w:color="auto"/>
              <w:left w:val="nil"/>
              <w:bottom w:val="nil"/>
              <w:right w:val="nil"/>
            </w:tcBorders>
            <w:shd w:val="clear" w:color="auto" w:fill="auto"/>
            <w:vAlign w:val="center"/>
            <w:hideMark/>
          </w:tcPr>
          <w:p w14:paraId="4556545B" w14:textId="77777777" w:rsidR="004C6700" w:rsidRPr="00691349" w:rsidRDefault="004C6700" w:rsidP="00836EB5">
            <w:pPr>
              <w:spacing w:after="0" w:line="240" w:lineRule="auto"/>
              <w:jc w:val="center"/>
              <w:rPr>
                <w:rFonts w:eastAsia="Times New Roman" w:cs="Times New Roman"/>
                <w:b/>
                <w:bCs/>
                <w:sz w:val="18"/>
                <w:szCs w:val="18"/>
                <w:lang w:eastAsia="sk-SK"/>
              </w:rPr>
            </w:pPr>
            <w:r w:rsidRPr="00691349">
              <w:rPr>
                <w:rFonts w:eastAsia="Times New Roman" w:cs="Times New Roman"/>
                <w:b/>
                <w:bCs/>
                <w:sz w:val="18"/>
                <w:szCs w:val="18"/>
                <w:lang w:eastAsia="sk-SK"/>
              </w:rPr>
              <w:t>2022 S</w:t>
            </w:r>
          </w:p>
        </w:tc>
        <w:tc>
          <w:tcPr>
            <w:tcW w:w="590" w:type="pct"/>
            <w:tcBorders>
              <w:top w:val="single" w:sz="4" w:space="0" w:color="auto"/>
              <w:left w:val="nil"/>
              <w:bottom w:val="nil"/>
              <w:right w:val="nil"/>
            </w:tcBorders>
            <w:shd w:val="clear" w:color="auto" w:fill="auto"/>
            <w:vAlign w:val="center"/>
            <w:hideMark/>
          </w:tcPr>
          <w:p w14:paraId="1BEEF297" w14:textId="77777777" w:rsidR="004C6700" w:rsidRPr="00691349" w:rsidRDefault="004C6700" w:rsidP="00836EB5">
            <w:pPr>
              <w:spacing w:after="0" w:line="240" w:lineRule="auto"/>
              <w:jc w:val="center"/>
              <w:rPr>
                <w:rFonts w:eastAsia="Times New Roman" w:cs="Times New Roman"/>
                <w:b/>
                <w:bCs/>
                <w:sz w:val="18"/>
                <w:szCs w:val="18"/>
                <w:lang w:eastAsia="sk-SK"/>
              </w:rPr>
            </w:pPr>
            <w:r w:rsidRPr="00691349">
              <w:rPr>
                <w:rFonts w:eastAsia="Times New Roman" w:cs="Times New Roman"/>
                <w:b/>
                <w:bCs/>
                <w:sz w:val="18"/>
                <w:szCs w:val="18"/>
                <w:lang w:eastAsia="sk-SK"/>
              </w:rPr>
              <w:t>2023 S</w:t>
            </w:r>
          </w:p>
        </w:tc>
        <w:tc>
          <w:tcPr>
            <w:tcW w:w="511" w:type="pct"/>
            <w:tcBorders>
              <w:top w:val="single" w:sz="4" w:space="0" w:color="auto"/>
              <w:left w:val="nil"/>
              <w:bottom w:val="nil"/>
              <w:right w:val="nil"/>
            </w:tcBorders>
            <w:shd w:val="clear" w:color="auto" w:fill="auto"/>
            <w:vAlign w:val="center"/>
            <w:hideMark/>
          </w:tcPr>
          <w:p w14:paraId="38DD41EE" w14:textId="77777777" w:rsidR="004C6700" w:rsidRPr="00691349" w:rsidRDefault="004C6700" w:rsidP="00836EB5">
            <w:pPr>
              <w:spacing w:after="0" w:line="240" w:lineRule="auto"/>
              <w:jc w:val="center"/>
              <w:rPr>
                <w:rFonts w:eastAsia="Times New Roman" w:cs="Times New Roman"/>
                <w:b/>
                <w:bCs/>
                <w:sz w:val="18"/>
                <w:szCs w:val="18"/>
                <w:lang w:eastAsia="sk-SK"/>
              </w:rPr>
            </w:pPr>
            <w:r w:rsidRPr="00691349">
              <w:rPr>
                <w:rFonts w:eastAsia="Times New Roman" w:cs="Times New Roman"/>
                <w:b/>
                <w:bCs/>
                <w:sz w:val="18"/>
                <w:szCs w:val="18"/>
                <w:lang w:eastAsia="sk-SK"/>
              </w:rPr>
              <w:t>Zmena</w:t>
            </w:r>
          </w:p>
        </w:tc>
      </w:tr>
      <w:tr w:rsidR="004C6700" w:rsidRPr="00691349" w14:paraId="24C2F1B1" w14:textId="77777777" w:rsidTr="00836EB5">
        <w:trPr>
          <w:trHeight w:val="285"/>
        </w:trPr>
        <w:tc>
          <w:tcPr>
            <w:tcW w:w="2745" w:type="pct"/>
            <w:vMerge/>
            <w:tcBorders>
              <w:top w:val="single" w:sz="4" w:space="0" w:color="auto"/>
              <w:left w:val="nil"/>
              <w:bottom w:val="single" w:sz="4" w:space="0" w:color="000000"/>
              <w:right w:val="nil"/>
            </w:tcBorders>
            <w:vAlign w:val="center"/>
            <w:hideMark/>
          </w:tcPr>
          <w:p w14:paraId="2A2E195E" w14:textId="77777777" w:rsidR="004C6700" w:rsidRPr="00691349" w:rsidRDefault="004C6700" w:rsidP="00836EB5">
            <w:pPr>
              <w:spacing w:after="0" w:line="240" w:lineRule="auto"/>
              <w:jc w:val="left"/>
              <w:rPr>
                <w:rFonts w:eastAsia="Times New Roman" w:cs="Times New Roman"/>
                <w:b/>
                <w:bCs/>
                <w:sz w:val="18"/>
                <w:szCs w:val="18"/>
                <w:lang w:eastAsia="sk-SK"/>
              </w:rPr>
            </w:pPr>
          </w:p>
        </w:tc>
        <w:tc>
          <w:tcPr>
            <w:tcW w:w="564" w:type="pct"/>
            <w:tcBorders>
              <w:top w:val="nil"/>
              <w:left w:val="nil"/>
              <w:bottom w:val="single" w:sz="4" w:space="0" w:color="auto"/>
              <w:right w:val="nil"/>
            </w:tcBorders>
            <w:shd w:val="clear" w:color="auto" w:fill="auto"/>
            <w:noWrap/>
            <w:vAlign w:val="bottom"/>
            <w:hideMark/>
          </w:tcPr>
          <w:p w14:paraId="458FE4FE" w14:textId="77777777" w:rsidR="004C6700" w:rsidRPr="00691349" w:rsidRDefault="004C6700" w:rsidP="00836EB5">
            <w:pPr>
              <w:spacing w:after="0" w:line="240" w:lineRule="auto"/>
              <w:jc w:val="center"/>
              <w:rPr>
                <w:rFonts w:eastAsia="Times New Roman" w:cs="Times New Roman"/>
                <w:b/>
                <w:bCs/>
                <w:sz w:val="18"/>
                <w:szCs w:val="18"/>
                <w:lang w:eastAsia="sk-SK"/>
              </w:rPr>
            </w:pPr>
            <w:r w:rsidRPr="00691349">
              <w:rPr>
                <w:rFonts w:eastAsia="Times New Roman" w:cs="Times New Roman"/>
                <w:b/>
                <w:bCs/>
                <w:sz w:val="18"/>
                <w:szCs w:val="18"/>
                <w:lang w:eastAsia="sk-SK"/>
              </w:rPr>
              <w:t>1</w:t>
            </w:r>
          </w:p>
        </w:tc>
        <w:tc>
          <w:tcPr>
            <w:tcW w:w="590" w:type="pct"/>
            <w:tcBorders>
              <w:top w:val="nil"/>
              <w:left w:val="nil"/>
              <w:bottom w:val="single" w:sz="4" w:space="0" w:color="auto"/>
              <w:right w:val="nil"/>
            </w:tcBorders>
            <w:shd w:val="clear" w:color="auto" w:fill="auto"/>
            <w:noWrap/>
            <w:vAlign w:val="bottom"/>
            <w:hideMark/>
          </w:tcPr>
          <w:p w14:paraId="3C50C6CE" w14:textId="77777777" w:rsidR="004C6700" w:rsidRPr="00691349" w:rsidRDefault="004C6700" w:rsidP="00836EB5">
            <w:pPr>
              <w:spacing w:after="0" w:line="240" w:lineRule="auto"/>
              <w:jc w:val="center"/>
              <w:rPr>
                <w:rFonts w:eastAsia="Times New Roman" w:cs="Times New Roman"/>
                <w:b/>
                <w:bCs/>
                <w:sz w:val="18"/>
                <w:szCs w:val="18"/>
                <w:lang w:eastAsia="sk-SK"/>
              </w:rPr>
            </w:pPr>
            <w:r w:rsidRPr="00691349">
              <w:rPr>
                <w:rFonts w:eastAsia="Times New Roman" w:cs="Times New Roman"/>
                <w:b/>
                <w:bCs/>
                <w:sz w:val="18"/>
                <w:szCs w:val="18"/>
                <w:lang w:eastAsia="sk-SK"/>
              </w:rPr>
              <w:t>2</w:t>
            </w:r>
          </w:p>
        </w:tc>
        <w:tc>
          <w:tcPr>
            <w:tcW w:w="590" w:type="pct"/>
            <w:tcBorders>
              <w:top w:val="nil"/>
              <w:left w:val="nil"/>
              <w:bottom w:val="single" w:sz="4" w:space="0" w:color="auto"/>
              <w:right w:val="nil"/>
            </w:tcBorders>
            <w:shd w:val="clear" w:color="auto" w:fill="auto"/>
            <w:noWrap/>
            <w:vAlign w:val="bottom"/>
            <w:hideMark/>
          </w:tcPr>
          <w:p w14:paraId="01E7A136" w14:textId="77777777" w:rsidR="004C6700" w:rsidRPr="00691349" w:rsidRDefault="004C6700" w:rsidP="00836EB5">
            <w:pPr>
              <w:spacing w:after="0" w:line="240" w:lineRule="auto"/>
              <w:jc w:val="center"/>
              <w:rPr>
                <w:rFonts w:eastAsia="Times New Roman" w:cs="Times New Roman"/>
                <w:b/>
                <w:bCs/>
                <w:sz w:val="18"/>
                <w:szCs w:val="18"/>
                <w:lang w:eastAsia="sk-SK"/>
              </w:rPr>
            </w:pPr>
            <w:r w:rsidRPr="00691349">
              <w:rPr>
                <w:rFonts w:eastAsia="Times New Roman" w:cs="Times New Roman"/>
                <w:b/>
                <w:bCs/>
                <w:sz w:val="18"/>
                <w:szCs w:val="18"/>
                <w:lang w:eastAsia="sk-SK"/>
              </w:rPr>
              <w:t>3</w:t>
            </w:r>
          </w:p>
        </w:tc>
        <w:tc>
          <w:tcPr>
            <w:tcW w:w="511" w:type="pct"/>
            <w:tcBorders>
              <w:top w:val="nil"/>
              <w:left w:val="nil"/>
              <w:bottom w:val="single" w:sz="4" w:space="0" w:color="auto"/>
              <w:right w:val="nil"/>
            </w:tcBorders>
            <w:shd w:val="clear" w:color="auto" w:fill="auto"/>
            <w:noWrap/>
            <w:vAlign w:val="bottom"/>
            <w:hideMark/>
          </w:tcPr>
          <w:p w14:paraId="2E2035F6" w14:textId="77777777" w:rsidR="004C6700" w:rsidRPr="00691349" w:rsidRDefault="004C6700" w:rsidP="00836EB5">
            <w:pPr>
              <w:spacing w:after="0" w:line="240" w:lineRule="auto"/>
              <w:jc w:val="center"/>
              <w:rPr>
                <w:rFonts w:eastAsia="Times New Roman" w:cs="Times New Roman"/>
                <w:b/>
                <w:bCs/>
                <w:sz w:val="18"/>
                <w:szCs w:val="18"/>
                <w:lang w:eastAsia="sk-SK"/>
              </w:rPr>
            </w:pPr>
            <w:r w:rsidRPr="00691349">
              <w:rPr>
                <w:rFonts w:eastAsia="Times New Roman" w:cs="Times New Roman"/>
                <w:b/>
                <w:bCs/>
                <w:sz w:val="18"/>
                <w:szCs w:val="18"/>
                <w:lang w:eastAsia="sk-SK"/>
              </w:rPr>
              <w:t>4=(3-2)</w:t>
            </w:r>
          </w:p>
        </w:tc>
      </w:tr>
      <w:tr w:rsidR="004C6700" w:rsidRPr="00691349" w14:paraId="5AA64442" w14:textId="77777777" w:rsidTr="00836EB5">
        <w:trPr>
          <w:trHeight w:val="290"/>
        </w:trPr>
        <w:tc>
          <w:tcPr>
            <w:tcW w:w="2745" w:type="pct"/>
            <w:tcBorders>
              <w:top w:val="nil"/>
              <w:left w:val="nil"/>
              <w:bottom w:val="nil"/>
              <w:right w:val="nil"/>
            </w:tcBorders>
            <w:shd w:val="clear" w:color="auto" w:fill="auto"/>
            <w:noWrap/>
            <w:vAlign w:val="bottom"/>
            <w:hideMark/>
          </w:tcPr>
          <w:p w14:paraId="65BEDD2E" w14:textId="77777777" w:rsidR="004C6700" w:rsidRPr="00691349" w:rsidRDefault="004C6700" w:rsidP="00836EB5">
            <w:pPr>
              <w:spacing w:after="0" w:line="240" w:lineRule="auto"/>
              <w:jc w:val="left"/>
              <w:rPr>
                <w:rFonts w:eastAsia="Times New Roman" w:cs="Times New Roman"/>
                <w:b/>
                <w:bCs/>
                <w:sz w:val="18"/>
                <w:szCs w:val="18"/>
                <w:lang w:eastAsia="sk-SK"/>
              </w:rPr>
            </w:pPr>
            <w:r w:rsidRPr="00691349">
              <w:rPr>
                <w:rFonts w:eastAsia="Times New Roman" w:cs="Times New Roman"/>
                <w:b/>
                <w:bCs/>
                <w:sz w:val="18"/>
                <w:szCs w:val="18"/>
                <w:lang w:eastAsia="sk-SK"/>
              </w:rPr>
              <w:t>Ústredná správa</w:t>
            </w:r>
          </w:p>
        </w:tc>
        <w:tc>
          <w:tcPr>
            <w:tcW w:w="564" w:type="pct"/>
            <w:tcBorders>
              <w:top w:val="nil"/>
              <w:left w:val="nil"/>
              <w:bottom w:val="nil"/>
              <w:right w:val="nil"/>
            </w:tcBorders>
            <w:shd w:val="clear" w:color="auto" w:fill="auto"/>
            <w:noWrap/>
            <w:vAlign w:val="bottom"/>
            <w:hideMark/>
          </w:tcPr>
          <w:p w14:paraId="66380B4B" w14:textId="77777777" w:rsidR="004C6700" w:rsidRPr="00691349" w:rsidRDefault="004C6700" w:rsidP="00836EB5">
            <w:pPr>
              <w:spacing w:after="0" w:line="240" w:lineRule="auto"/>
              <w:jc w:val="left"/>
              <w:rPr>
                <w:rFonts w:eastAsia="Times New Roman" w:cs="Times New Roman"/>
                <w:b/>
                <w:bCs/>
                <w:sz w:val="18"/>
                <w:szCs w:val="18"/>
                <w:lang w:eastAsia="sk-SK"/>
              </w:rPr>
            </w:pPr>
          </w:p>
        </w:tc>
        <w:tc>
          <w:tcPr>
            <w:tcW w:w="590" w:type="pct"/>
            <w:tcBorders>
              <w:top w:val="nil"/>
              <w:left w:val="nil"/>
              <w:bottom w:val="nil"/>
              <w:right w:val="nil"/>
            </w:tcBorders>
            <w:shd w:val="clear" w:color="auto" w:fill="auto"/>
            <w:noWrap/>
            <w:vAlign w:val="bottom"/>
            <w:hideMark/>
          </w:tcPr>
          <w:p w14:paraId="0F16376E" w14:textId="77777777" w:rsidR="004C6700" w:rsidRPr="00691349" w:rsidRDefault="004C6700" w:rsidP="00836EB5">
            <w:pPr>
              <w:spacing w:after="0" w:line="240" w:lineRule="auto"/>
              <w:jc w:val="left"/>
              <w:rPr>
                <w:rFonts w:eastAsia="Times New Roman" w:cs="Times New Roman"/>
                <w:sz w:val="18"/>
                <w:szCs w:val="18"/>
                <w:lang w:eastAsia="sk-SK"/>
              </w:rPr>
            </w:pPr>
          </w:p>
        </w:tc>
        <w:tc>
          <w:tcPr>
            <w:tcW w:w="590" w:type="pct"/>
            <w:tcBorders>
              <w:top w:val="nil"/>
              <w:left w:val="nil"/>
              <w:bottom w:val="nil"/>
              <w:right w:val="nil"/>
            </w:tcBorders>
            <w:shd w:val="clear" w:color="auto" w:fill="auto"/>
            <w:noWrap/>
            <w:vAlign w:val="bottom"/>
            <w:hideMark/>
          </w:tcPr>
          <w:p w14:paraId="6259421D" w14:textId="77777777" w:rsidR="004C6700" w:rsidRPr="00691349" w:rsidRDefault="004C6700" w:rsidP="00836EB5">
            <w:pPr>
              <w:spacing w:after="0" w:line="240" w:lineRule="auto"/>
              <w:jc w:val="left"/>
              <w:rPr>
                <w:rFonts w:eastAsia="Times New Roman" w:cs="Times New Roman"/>
                <w:sz w:val="18"/>
                <w:szCs w:val="18"/>
                <w:lang w:eastAsia="sk-SK"/>
              </w:rPr>
            </w:pPr>
          </w:p>
        </w:tc>
        <w:tc>
          <w:tcPr>
            <w:tcW w:w="511" w:type="pct"/>
            <w:tcBorders>
              <w:top w:val="nil"/>
              <w:left w:val="nil"/>
              <w:bottom w:val="nil"/>
              <w:right w:val="nil"/>
            </w:tcBorders>
            <w:shd w:val="clear" w:color="auto" w:fill="auto"/>
            <w:noWrap/>
            <w:vAlign w:val="bottom"/>
            <w:hideMark/>
          </w:tcPr>
          <w:p w14:paraId="154A337F" w14:textId="77777777" w:rsidR="004C6700" w:rsidRPr="00691349" w:rsidRDefault="004C6700" w:rsidP="00836EB5">
            <w:pPr>
              <w:spacing w:after="0" w:line="240" w:lineRule="auto"/>
              <w:jc w:val="left"/>
              <w:rPr>
                <w:rFonts w:eastAsia="Times New Roman" w:cs="Times New Roman"/>
                <w:sz w:val="18"/>
                <w:szCs w:val="18"/>
                <w:lang w:eastAsia="sk-SK"/>
              </w:rPr>
            </w:pPr>
          </w:p>
        </w:tc>
      </w:tr>
      <w:tr w:rsidR="004C6700" w:rsidRPr="00691349" w14:paraId="441570E8" w14:textId="77777777" w:rsidTr="00836EB5">
        <w:trPr>
          <w:trHeight w:val="290"/>
        </w:trPr>
        <w:tc>
          <w:tcPr>
            <w:tcW w:w="2745" w:type="pct"/>
            <w:tcBorders>
              <w:top w:val="nil"/>
              <w:left w:val="nil"/>
              <w:bottom w:val="nil"/>
              <w:right w:val="nil"/>
            </w:tcBorders>
            <w:shd w:val="clear" w:color="auto" w:fill="auto"/>
            <w:noWrap/>
            <w:vAlign w:val="bottom"/>
            <w:hideMark/>
          </w:tcPr>
          <w:p w14:paraId="37958FDD" w14:textId="77777777" w:rsidR="004C6700" w:rsidRPr="00691349" w:rsidRDefault="004C6700" w:rsidP="00836EB5">
            <w:pPr>
              <w:spacing w:after="0" w:line="240" w:lineRule="auto"/>
              <w:ind w:firstLineChars="100" w:firstLine="180"/>
              <w:jc w:val="left"/>
              <w:rPr>
                <w:rFonts w:eastAsia="Times New Roman" w:cs="Times New Roman"/>
                <w:sz w:val="18"/>
                <w:szCs w:val="18"/>
                <w:lang w:eastAsia="sk-SK"/>
              </w:rPr>
            </w:pPr>
            <w:r w:rsidRPr="00691349">
              <w:rPr>
                <w:rFonts w:eastAsia="Times New Roman" w:cs="Times New Roman"/>
                <w:sz w:val="18"/>
                <w:szCs w:val="18"/>
                <w:lang w:eastAsia="sk-SK"/>
              </w:rPr>
              <w:t xml:space="preserve">z toho: </w:t>
            </w:r>
          </w:p>
        </w:tc>
        <w:tc>
          <w:tcPr>
            <w:tcW w:w="564" w:type="pct"/>
            <w:tcBorders>
              <w:top w:val="nil"/>
              <w:left w:val="nil"/>
              <w:bottom w:val="nil"/>
              <w:right w:val="nil"/>
            </w:tcBorders>
            <w:shd w:val="clear" w:color="auto" w:fill="auto"/>
            <w:noWrap/>
            <w:vAlign w:val="bottom"/>
            <w:hideMark/>
          </w:tcPr>
          <w:p w14:paraId="7FBCDCBC" w14:textId="77777777" w:rsidR="004C6700" w:rsidRPr="00691349" w:rsidRDefault="004C6700" w:rsidP="00836EB5">
            <w:pPr>
              <w:spacing w:after="0" w:line="240" w:lineRule="auto"/>
              <w:ind w:firstLineChars="100" w:firstLine="180"/>
              <w:jc w:val="left"/>
              <w:rPr>
                <w:rFonts w:eastAsia="Times New Roman" w:cs="Times New Roman"/>
                <w:sz w:val="18"/>
                <w:szCs w:val="18"/>
                <w:lang w:eastAsia="sk-SK"/>
              </w:rPr>
            </w:pPr>
          </w:p>
        </w:tc>
        <w:tc>
          <w:tcPr>
            <w:tcW w:w="590" w:type="pct"/>
            <w:tcBorders>
              <w:top w:val="nil"/>
              <w:left w:val="nil"/>
              <w:bottom w:val="nil"/>
              <w:right w:val="nil"/>
            </w:tcBorders>
            <w:shd w:val="clear" w:color="auto" w:fill="auto"/>
            <w:noWrap/>
            <w:vAlign w:val="bottom"/>
            <w:hideMark/>
          </w:tcPr>
          <w:p w14:paraId="0B6D1522" w14:textId="77777777" w:rsidR="004C6700" w:rsidRPr="00691349" w:rsidRDefault="004C6700" w:rsidP="00836EB5">
            <w:pPr>
              <w:spacing w:after="0" w:line="240" w:lineRule="auto"/>
              <w:jc w:val="left"/>
              <w:rPr>
                <w:rFonts w:eastAsia="Times New Roman" w:cs="Times New Roman"/>
                <w:sz w:val="18"/>
                <w:szCs w:val="18"/>
                <w:lang w:eastAsia="sk-SK"/>
              </w:rPr>
            </w:pPr>
          </w:p>
        </w:tc>
        <w:tc>
          <w:tcPr>
            <w:tcW w:w="590" w:type="pct"/>
            <w:tcBorders>
              <w:top w:val="nil"/>
              <w:left w:val="nil"/>
              <w:bottom w:val="nil"/>
              <w:right w:val="nil"/>
            </w:tcBorders>
            <w:shd w:val="clear" w:color="auto" w:fill="auto"/>
            <w:noWrap/>
            <w:vAlign w:val="bottom"/>
            <w:hideMark/>
          </w:tcPr>
          <w:p w14:paraId="72D05E23" w14:textId="77777777" w:rsidR="004C6700" w:rsidRPr="00691349" w:rsidRDefault="004C6700" w:rsidP="00836EB5">
            <w:pPr>
              <w:spacing w:after="0" w:line="240" w:lineRule="auto"/>
              <w:jc w:val="left"/>
              <w:rPr>
                <w:rFonts w:eastAsia="Times New Roman" w:cs="Times New Roman"/>
                <w:sz w:val="18"/>
                <w:szCs w:val="18"/>
                <w:lang w:eastAsia="sk-SK"/>
              </w:rPr>
            </w:pPr>
          </w:p>
        </w:tc>
        <w:tc>
          <w:tcPr>
            <w:tcW w:w="511" w:type="pct"/>
            <w:tcBorders>
              <w:top w:val="nil"/>
              <w:left w:val="nil"/>
              <w:bottom w:val="nil"/>
              <w:right w:val="nil"/>
            </w:tcBorders>
            <w:shd w:val="clear" w:color="auto" w:fill="auto"/>
            <w:noWrap/>
            <w:vAlign w:val="bottom"/>
            <w:hideMark/>
          </w:tcPr>
          <w:p w14:paraId="3EB86C09" w14:textId="77777777" w:rsidR="004C6700" w:rsidRPr="00691349" w:rsidRDefault="004C6700" w:rsidP="00836EB5">
            <w:pPr>
              <w:spacing w:after="0" w:line="240" w:lineRule="auto"/>
              <w:jc w:val="left"/>
              <w:rPr>
                <w:rFonts w:eastAsia="Times New Roman" w:cs="Times New Roman"/>
                <w:sz w:val="18"/>
                <w:szCs w:val="18"/>
                <w:lang w:eastAsia="sk-SK"/>
              </w:rPr>
            </w:pPr>
          </w:p>
        </w:tc>
      </w:tr>
      <w:tr w:rsidR="004C6700" w:rsidRPr="00691349" w14:paraId="4FAFA5B0" w14:textId="77777777" w:rsidTr="00836EB5">
        <w:trPr>
          <w:trHeight w:val="320"/>
        </w:trPr>
        <w:tc>
          <w:tcPr>
            <w:tcW w:w="2745" w:type="pct"/>
            <w:tcBorders>
              <w:top w:val="nil"/>
              <w:left w:val="nil"/>
              <w:bottom w:val="nil"/>
              <w:right w:val="nil"/>
            </w:tcBorders>
            <w:shd w:val="clear" w:color="auto" w:fill="auto"/>
            <w:noWrap/>
            <w:vAlign w:val="bottom"/>
            <w:hideMark/>
          </w:tcPr>
          <w:p w14:paraId="059953BE" w14:textId="2A2701CB" w:rsidR="004C6700" w:rsidRPr="00691349" w:rsidRDefault="004C6700" w:rsidP="00F90C51">
            <w:pPr>
              <w:spacing w:after="0" w:line="240" w:lineRule="auto"/>
              <w:ind w:firstLineChars="200" w:firstLine="360"/>
              <w:jc w:val="left"/>
              <w:rPr>
                <w:rFonts w:eastAsia="Times New Roman" w:cs="Times New Roman"/>
                <w:sz w:val="18"/>
                <w:szCs w:val="18"/>
                <w:lang w:eastAsia="sk-SK"/>
              </w:rPr>
            </w:pPr>
            <w:r w:rsidRPr="00691349">
              <w:rPr>
                <w:rFonts w:eastAsia="Times New Roman" w:cs="Times New Roman"/>
                <w:sz w:val="18"/>
                <w:szCs w:val="18"/>
                <w:lang w:eastAsia="sk-SK"/>
              </w:rPr>
              <w:t xml:space="preserve">Štátny dlh </w:t>
            </w:r>
            <w:r w:rsidRPr="00691349">
              <w:rPr>
                <w:rFonts w:eastAsia="Times New Roman" w:cs="Times New Roman"/>
                <w:sz w:val="18"/>
                <w:szCs w:val="18"/>
                <w:vertAlign w:val="superscript"/>
                <w:lang w:eastAsia="sk-SK"/>
              </w:rPr>
              <w:t>1)</w:t>
            </w:r>
          </w:p>
        </w:tc>
        <w:tc>
          <w:tcPr>
            <w:tcW w:w="564" w:type="pct"/>
            <w:tcBorders>
              <w:top w:val="nil"/>
              <w:left w:val="nil"/>
              <w:bottom w:val="nil"/>
              <w:right w:val="nil"/>
            </w:tcBorders>
            <w:shd w:val="clear" w:color="auto" w:fill="auto"/>
            <w:noWrap/>
            <w:vAlign w:val="bottom"/>
            <w:hideMark/>
          </w:tcPr>
          <w:p w14:paraId="662E633B"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59 244 402</w:t>
            </w:r>
          </w:p>
        </w:tc>
        <w:tc>
          <w:tcPr>
            <w:tcW w:w="590" w:type="pct"/>
            <w:tcBorders>
              <w:top w:val="nil"/>
              <w:left w:val="nil"/>
              <w:bottom w:val="nil"/>
              <w:right w:val="nil"/>
            </w:tcBorders>
            <w:shd w:val="clear" w:color="auto" w:fill="auto"/>
            <w:noWrap/>
            <w:vAlign w:val="bottom"/>
            <w:hideMark/>
          </w:tcPr>
          <w:p w14:paraId="1CA1CC04"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61 204 864</w:t>
            </w:r>
          </w:p>
        </w:tc>
        <w:tc>
          <w:tcPr>
            <w:tcW w:w="590" w:type="pct"/>
            <w:tcBorders>
              <w:top w:val="nil"/>
              <w:left w:val="nil"/>
              <w:bottom w:val="nil"/>
              <w:right w:val="nil"/>
            </w:tcBorders>
            <w:shd w:val="clear" w:color="auto" w:fill="auto"/>
            <w:noWrap/>
            <w:vAlign w:val="bottom"/>
            <w:hideMark/>
          </w:tcPr>
          <w:p w14:paraId="061C796B"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66 408 836</w:t>
            </w:r>
          </w:p>
        </w:tc>
        <w:tc>
          <w:tcPr>
            <w:tcW w:w="511" w:type="pct"/>
            <w:tcBorders>
              <w:top w:val="nil"/>
              <w:left w:val="nil"/>
              <w:bottom w:val="nil"/>
              <w:right w:val="nil"/>
            </w:tcBorders>
            <w:shd w:val="clear" w:color="auto" w:fill="auto"/>
            <w:noWrap/>
            <w:vAlign w:val="bottom"/>
            <w:hideMark/>
          </w:tcPr>
          <w:p w14:paraId="0D6AA7AF"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5 203 972</w:t>
            </w:r>
          </w:p>
        </w:tc>
      </w:tr>
      <w:tr w:rsidR="004C6700" w:rsidRPr="00691349" w14:paraId="7B050D9F" w14:textId="77777777" w:rsidTr="00836EB5">
        <w:trPr>
          <w:trHeight w:val="290"/>
        </w:trPr>
        <w:tc>
          <w:tcPr>
            <w:tcW w:w="2745" w:type="pct"/>
            <w:tcBorders>
              <w:top w:val="nil"/>
              <w:left w:val="nil"/>
              <w:bottom w:val="nil"/>
              <w:right w:val="nil"/>
            </w:tcBorders>
            <w:shd w:val="clear" w:color="auto" w:fill="auto"/>
            <w:noWrap/>
            <w:vAlign w:val="bottom"/>
            <w:hideMark/>
          </w:tcPr>
          <w:p w14:paraId="207424DC" w14:textId="77777777" w:rsidR="004C6700" w:rsidRPr="00691349" w:rsidRDefault="004C6700" w:rsidP="00836EB5">
            <w:pPr>
              <w:spacing w:after="0" w:line="240" w:lineRule="auto"/>
              <w:ind w:firstLineChars="200" w:firstLine="360"/>
              <w:jc w:val="left"/>
              <w:rPr>
                <w:rFonts w:eastAsia="Times New Roman" w:cs="Times New Roman"/>
                <w:sz w:val="18"/>
                <w:szCs w:val="18"/>
                <w:lang w:eastAsia="sk-SK"/>
              </w:rPr>
            </w:pPr>
            <w:r w:rsidRPr="00691349">
              <w:rPr>
                <w:rFonts w:eastAsia="Times New Roman" w:cs="Times New Roman"/>
                <w:sz w:val="18"/>
                <w:szCs w:val="18"/>
                <w:lang w:eastAsia="sk-SK"/>
              </w:rPr>
              <w:t>Príspevkové organizácie ústrednej správy</w:t>
            </w:r>
          </w:p>
        </w:tc>
        <w:tc>
          <w:tcPr>
            <w:tcW w:w="564" w:type="pct"/>
            <w:tcBorders>
              <w:top w:val="nil"/>
              <w:left w:val="nil"/>
              <w:bottom w:val="nil"/>
              <w:right w:val="nil"/>
            </w:tcBorders>
            <w:shd w:val="clear" w:color="auto" w:fill="auto"/>
            <w:noWrap/>
            <w:vAlign w:val="bottom"/>
            <w:hideMark/>
          </w:tcPr>
          <w:p w14:paraId="22B6D02F"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4 726</w:t>
            </w:r>
          </w:p>
        </w:tc>
        <w:tc>
          <w:tcPr>
            <w:tcW w:w="590" w:type="pct"/>
            <w:tcBorders>
              <w:top w:val="nil"/>
              <w:left w:val="nil"/>
              <w:bottom w:val="nil"/>
              <w:right w:val="nil"/>
            </w:tcBorders>
            <w:shd w:val="clear" w:color="auto" w:fill="auto"/>
            <w:noWrap/>
            <w:vAlign w:val="bottom"/>
            <w:hideMark/>
          </w:tcPr>
          <w:p w14:paraId="5A5D60C2"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3 687</w:t>
            </w:r>
          </w:p>
        </w:tc>
        <w:tc>
          <w:tcPr>
            <w:tcW w:w="590" w:type="pct"/>
            <w:tcBorders>
              <w:top w:val="nil"/>
              <w:left w:val="nil"/>
              <w:bottom w:val="nil"/>
              <w:right w:val="nil"/>
            </w:tcBorders>
            <w:shd w:val="clear" w:color="auto" w:fill="auto"/>
            <w:noWrap/>
            <w:vAlign w:val="bottom"/>
            <w:hideMark/>
          </w:tcPr>
          <w:p w14:paraId="4B55C978"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618</w:t>
            </w:r>
          </w:p>
        </w:tc>
        <w:tc>
          <w:tcPr>
            <w:tcW w:w="511" w:type="pct"/>
            <w:tcBorders>
              <w:top w:val="nil"/>
              <w:left w:val="nil"/>
              <w:bottom w:val="nil"/>
              <w:right w:val="nil"/>
            </w:tcBorders>
            <w:shd w:val="clear" w:color="auto" w:fill="auto"/>
            <w:noWrap/>
            <w:vAlign w:val="bottom"/>
            <w:hideMark/>
          </w:tcPr>
          <w:p w14:paraId="351ED603"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-3 069</w:t>
            </w:r>
          </w:p>
        </w:tc>
      </w:tr>
      <w:tr w:rsidR="004C6700" w:rsidRPr="00691349" w14:paraId="56920191" w14:textId="77777777" w:rsidTr="00836EB5">
        <w:trPr>
          <w:trHeight w:val="290"/>
        </w:trPr>
        <w:tc>
          <w:tcPr>
            <w:tcW w:w="2745" w:type="pct"/>
            <w:tcBorders>
              <w:top w:val="nil"/>
              <w:left w:val="nil"/>
              <w:bottom w:val="nil"/>
              <w:right w:val="nil"/>
            </w:tcBorders>
            <w:shd w:val="clear" w:color="auto" w:fill="auto"/>
            <w:noWrap/>
            <w:vAlign w:val="bottom"/>
            <w:hideMark/>
          </w:tcPr>
          <w:p w14:paraId="0BE8997B" w14:textId="77777777" w:rsidR="004C6700" w:rsidRPr="00691349" w:rsidRDefault="004C6700" w:rsidP="00836EB5">
            <w:pPr>
              <w:spacing w:after="0" w:line="240" w:lineRule="auto"/>
              <w:ind w:firstLineChars="200" w:firstLine="360"/>
              <w:jc w:val="left"/>
              <w:rPr>
                <w:rFonts w:eastAsia="Times New Roman" w:cs="Times New Roman"/>
                <w:sz w:val="18"/>
                <w:szCs w:val="18"/>
                <w:lang w:eastAsia="sk-SK"/>
              </w:rPr>
            </w:pPr>
            <w:r w:rsidRPr="00691349">
              <w:rPr>
                <w:rFonts w:eastAsia="Times New Roman" w:cs="Times New Roman"/>
                <w:sz w:val="18"/>
                <w:szCs w:val="18"/>
                <w:lang w:eastAsia="sk-SK"/>
              </w:rPr>
              <w:t>Exportno-importná banka SR</w:t>
            </w:r>
          </w:p>
        </w:tc>
        <w:tc>
          <w:tcPr>
            <w:tcW w:w="564" w:type="pct"/>
            <w:tcBorders>
              <w:top w:val="nil"/>
              <w:left w:val="nil"/>
              <w:bottom w:val="nil"/>
              <w:right w:val="nil"/>
            </w:tcBorders>
            <w:shd w:val="clear" w:color="auto" w:fill="auto"/>
            <w:noWrap/>
            <w:vAlign w:val="bottom"/>
            <w:hideMark/>
          </w:tcPr>
          <w:p w14:paraId="7554BBF4"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174 305</w:t>
            </w:r>
          </w:p>
        </w:tc>
        <w:tc>
          <w:tcPr>
            <w:tcW w:w="590" w:type="pct"/>
            <w:tcBorders>
              <w:top w:val="nil"/>
              <w:left w:val="nil"/>
              <w:bottom w:val="nil"/>
              <w:right w:val="nil"/>
            </w:tcBorders>
            <w:shd w:val="clear" w:color="auto" w:fill="auto"/>
            <w:noWrap/>
            <w:vAlign w:val="bottom"/>
            <w:hideMark/>
          </w:tcPr>
          <w:p w14:paraId="4EBB694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188 740</w:t>
            </w:r>
          </w:p>
        </w:tc>
        <w:tc>
          <w:tcPr>
            <w:tcW w:w="590" w:type="pct"/>
            <w:tcBorders>
              <w:top w:val="nil"/>
              <w:left w:val="nil"/>
              <w:bottom w:val="nil"/>
              <w:right w:val="nil"/>
            </w:tcBorders>
            <w:shd w:val="clear" w:color="auto" w:fill="auto"/>
            <w:noWrap/>
            <w:vAlign w:val="bottom"/>
            <w:hideMark/>
          </w:tcPr>
          <w:p w14:paraId="06C31A39"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188 156</w:t>
            </w:r>
          </w:p>
        </w:tc>
        <w:tc>
          <w:tcPr>
            <w:tcW w:w="511" w:type="pct"/>
            <w:tcBorders>
              <w:top w:val="nil"/>
              <w:left w:val="nil"/>
              <w:bottom w:val="nil"/>
              <w:right w:val="nil"/>
            </w:tcBorders>
            <w:shd w:val="clear" w:color="auto" w:fill="auto"/>
            <w:noWrap/>
            <w:vAlign w:val="bottom"/>
            <w:hideMark/>
          </w:tcPr>
          <w:p w14:paraId="05D1A420"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-584</w:t>
            </w:r>
          </w:p>
        </w:tc>
      </w:tr>
      <w:tr w:rsidR="004C6700" w:rsidRPr="00691349" w14:paraId="732661A4" w14:textId="77777777" w:rsidTr="00836EB5">
        <w:trPr>
          <w:trHeight w:val="290"/>
        </w:trPr>
        <w:tc>
          <w:tcPr>
            <w:tcW w:w="2745" w:type="pct"/>
            <w:tcBorders>
              <w:top w:val="nil"/>
              <w:left w:val="nil"/>
              <w:bottom w:val="nil"/>
              <w:right w:val="nil"/>
            </w:tcBorders>
            <w:shd w:val="clear" w:color="auto" w:fill="auto"/>
            <w:noWrap/>
            <w:vAlign w:val="bottom"/>
            <w:hideMark/>
          </w:tcPr>
          <w:p w14:paraId="3A52FC61" w14:textId="77777777" w:rsidR="004C6700" w:rsidRPr="00691349" w:rsidRDefault="004C6700" w:rsidP="00836EB5">
            <w:pPr>
              <w:spacing w:after="0" w:line="240" w:lineRule="auto"/>
              <w:ind w:firstLineChars="200" w:firstLine="360"/>
              <w:jc w:val="left"/>
              <w:rPr>
                <w:rFonts w:eastAsia="Times New Roman" w:cs="Times New Roman"/>
                <w:sz w:val="18"/>
                <w:szCs w:val="18"/>
                <w:lang w:eastAsia="sk-SK"/>
              </w:rPr>
            </w:pPr>
            <w:r w:rsidRPr="00691349">
              <w:rPr>
                <w:rFonts w:eastAsia="Times New Roman" w:cs="Times New Roman"/>
                <w:sz w:val="18"/>
                <w:szCs w:val="18"/>
                <w:lang w:eastAsia="sk-SK"/>
              </w:rPr>
              <w:t>Obchodné spoločnosti štátu</w:t>
            </w:r>
          </w:p>
        </w:tc>
        <w:tc>
          <w:tcPr>
            <w:tcW w:w="564" w:type="pct"/>
            <w:tcBorders>
              <w:top w:val="nil"/>
              <w:left w:val="nil"/>
              <w:bottom w:val="nil"/>
              <w:right w:val="nil"/>
            </w:tcBorders>
            <w:shd w:val="clear" w:color="auto" w:fill="auto"/>
            <w:noWrap/>
            <w:vAlign w:val="bottom"/>
            <w:hideMark/>
          </w:tcPr>
          <w:p w14:paraId="1CA8F3E0"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565 533</w:t>
            </w:r>
          </w:p>
        </w:tc>
        <w:tc>
          <w:tcPr>
            <w:tcW w:w="590" w:type="pct"/>
            <w:tcBorders>
              <w:top w:val="nil"/>
              <w:left w:val="nil"/>
              <w:bottom w:val="nil"/>
              <w:right w:val="nil"/>
            </w:tcBorders>
            <w:shd w:val="clear" w:color="auto" w:fill="auto"/>
            <w:noWrap/>
            <w:vAlign w:val="bottom"/>
            <w:hideMark/>
          </w:tcPr>
          <w:p w14:paraId="18A09BA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480 613</w:t>
            </w:r>
          </w:p>
        </w:tc>
        <w:tc>
          <w:tcPr>
            <w:tcW w:w="590" w:type="pct"/>
            <w:tcBorders>
              <w:top w:val="nil"/>
              <w:left w:val="nil"/>
              <w:bottom w:val="nil"/>
              <w:right w:val="nil"/>
            </w:tcBorders>
            <w:shd w:val="clear" w:color="auto" w:fill="auto"/>
            <w:noWrap/>
            <w:vAlign w:val="bottom"/>
            <w:hideMark/>
          </w:tcPr>
          <w:p w14:paraId="64808094"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492 189</w:t>
            </w:r>
          </w:p>
        </w:tc>
        <w:tc>
          <w:tcPr>
            <w:tcW w:w="511" w:type="pct"/>
            <w:tcBorders>
              <w:top w:val="nil"/>
              <w:left w:val="nil"/>
              <w:bottom w:val="nil"/>
              <w:right w:val="nil"/>
            </w:tcBorders>
            <w:shd w:val="clear" w:color="auto" w:fill="auto"/>
            <w:noWrap/>
            <w:vAlign w:val="bottom"/>
            <w:hideMark/>
          </w:tcPr>
          <w:p w14:paraId="30D193F8"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11 576</w:t>
            </w:r>
          </w:p>
        </w:tc>
      </w:tr>
      <w:tr w:rsidR="004C6700" w:rsidRPr="00691349" w14:paraId="12D5452C" w14:textId="77777777" w:rsidTr="00836EB5">
        <w:trPr>
          <w:trHeight w:val="290"/>
        </w:trPr>
        <w:tc>
          <w:tcPr>
            <w:tcW w:w="2745" w:type="pct"/>
            <w:tcBorders>
              <w:top w:val="nil"/>
              <w:left w:val="nil"/>
              <w:bottom w:val="nil"/>
              <w:right w:val="nil"/>
            </w:tcBorders>
            <w:shd w:val="clear" w:color="auto" w:fill="auto"/>
            <w:noWrap/>
            <w:vAlign w:val="bottom"/>
            <w:hideMark/>
          </w:tcPr>
          <w:p w14:paraId="227CB489" w14:textId="77777777" w:rsidR="004C6700" w:rsidRPr="00691349" w:rsidRDefault="004C6700" w:rsidP="00836EB5">
            <w:pPr>
              <w:spacing w:after="0" w:line="240" w:lineRule="auto"/>
              <w:ind w:firstLineChars="300" w:firstLine="540"/>
              <w:jc w:val="left"/>
              <w:rPr>
                <w:rFonts w:eastAsia="Times New Roman" w:cs="Times New Roman"/>
                <w:sz w:val="18"/>
                <w:szCs w:val="18"/>
                <w:lang w:eastAsia="sk-SK"/>
              </w:rPr>
            </w:pPr>
            <w:r w:rsidRPr="00691349">
              <w:rPr>
                <w:rFonts w:eastAsia="Times New Roman" w:cs="Times New Roman"/>
                <w:sz w:val="18"/>
                <w:szCs w:val="18"/>
                <w:lang w:eastAsia="sk-SK"/>
              </w:rPr>
              <w:t>z toho:</w:t>
            </w:r>
          </w:p>
        </w:tc>
        <w:tc>
          <w:tcPr>
            <w:tcW w:w="564" w:type="pct"/>
            <w:tcBorders>
              <w:top w:val="nil"/>
              <w:left w:val="nil"/>
              <w:bottom w:val="nil"/>
              <w:right w:val="nil"/>
            </w:tcBorders>
            <w:shd w:val="clear" w:color="auto" w:fill="auto"/>
            <w:noWrap/>
            <w:vAlign w:val="bottom"/>
            <w:hideMark/>
          </w:tcPr>
          <w:p w14:paraId="2526AB3C" w14:textId="77777777" w:rsidR="004C6700" w:rsidRPr="00691349" w:rsidRDefault="004C6700" w:rsidP="00836EB5">
            <w:pPr>
              <w:spacing w:after="0" w:line="240" w:lineRule="auto"/>
              <w:ind w:firstLineChars="300" w:firstLine="540"/>
              <w:jc w:val="left"/>
              <w:rPr>
                <w:rFonts w:eastAsia="Times New Roman" w:cs="Times New Roman"/>
                <w:sz w:val="18"/>
                <w:szCs w:val="18"/>
                <w:lang w:eastAsia="sk-SK"/>
              </w:rPr>
            </w:pPr>
          </w:p>
        </w:tc>
        <w:tc>
          <w:tcPr>
            <w:tcW w:w="590" w:type="pct"/>
            <w:tcBorders>
              <w:top w:val="nil"/>
              <w:left w:val="nil"/>
              <w:bottom w:val="nil"/>
              <w:right w:val="nil"/>
            </w:tcBorders>
            <w:shd w:val="clear" w:color="auto" w:fill="auto"/>
            <w:noWrap/>
            <w:vAlign w:val="bottom"/>
            <w:hideMark/>
          </w:tcPr>
          <w:p w14:paraId="5783F0DE" w14:textId="77777777" w:rsidR="004C6700" w:rsidRPr="00691349" w:rsidRDefault="004C6700" w:rsidP="00836EB5">
            <w:pPr>
              <w:spacing w:after="0" w:line="240" w:lineRule="auto"/>
              <w:jc w:val="left"/>
              <w:rPr>
                <w:rFonts w:eastAsia="Times New Roman" w:cs="Times New Roman"/>
                <w:sz w:val="18"/>
                <w:szCs w:val="18"/>
                <w:lang w:eastAsia="sk-SK"/>
              </w:rPr>
            </w:pPr>
          </w:p>
        </w:tc>
        <w:tc>
          <w:tcPr>
            <w:tcW w:w="590" w:type="pct"/>
            <w:tcBorders>
              <w:top w:val="nil"/>
              <w:left w:val="nil"/>
              <w:bottom w:val="nil"/>
              <w:right w:val="nil"/>
            </w:tcBorders>
            <w:shd w:val="clear" w:color="auto" w:fill="auto"/>
            <w:noWrap/>
            <w:vAlign w:val="bottom"/>
            <w:hideMark/>
          </w:tcPr>
          <w:p w14:paraId="7BBC46D7" w14:textId="77777777" w:rsidR="004C6700" w:rsidRPr="00691349" w:rsidRDefault="004C6700" w:rsidP="00836EB5">
            <w:pPr>
              <w:spacing w:after="0" w:line="240" w:lineRule="auto"/>
              <w:jc w:val="left"/>
              <w:rPr>
                <w:rFonts w:eastAsia="Times New Roman" w:cs="Times New Roman"/>
                <w:sz w:val="18"/>
                <w:szCs w:val="18"/>
                <w:lang w:eastAsia="sk-SK"/>
              </w:rPr>
            </w:pPr>
          </w:p>
        </w:tc>
        <w:tc>
          <w:tcPr>
            <w:tcW w:w="511" w:type="pct"/>
            <w:tcBorders>
              <w:top w:val="nil"/>
              <w:left w:val="nil"/>
              <w:bottom w:val="nil"/>
              <w:right w:val="nil"/>
            </w:tcBorders>
            <w:shd w:val="clear" w:color="auto" w:fill="auto"/>
            <w:noWrap/>
            <w:vAlign w:val="bottom"/>
            <w:hideMark/>
          </w:tcPr>
          <w:p w14:paraId="00F6B047" w14:textId="77777777" w:rsidR="004C6700" w:rsidRPr="00691349" w:rsidRDefault="004C6700" w:rsidP="00836EB5">
            <w:pPr>
              <w:spacing w:after="0" w:line="240" w:lineRule="auto"/>
              <w:jc w:val="left"/>
              <w:rPr>
                <w:rFonts w:eastAsia="Times New Roman" w:cs="Times New Roman"/>
                <w:sz w:val="18"/>
                <w:szCs w:val="18"/>
                <w:lang w:eastAsia="sk-SK"/>
              </w:rPr>
            </w:pPr>
          </w:p>
        </w:tc>
      </w:tr>
      <w:tr w:rsidR="004C6700" w:rsidRPr="00691349" w14:paraId="52987C9B" w14:textId="77777777" w:rsidTr="00836EB5">
        <w:trPr>
          <w:trHeight w:val="290"/>
        </w:trPr>
        <w:tc>
          <w:tcPr>
            <w:tcW w:w="2745" w:type="pct"/>
            <w:tcBorders>
              <w:top w:val="nil"/>
              <w:left w:val="nil"/>
              <w:bottom w:val="nil"/>
              <w:right w:val="nil"/>
            </w:tcBorders>
            <w:shd w:val="clear" w:color="auto" w:fill="auto"/>
            <w:noWrap/>
            <w:vAlign w:val="bottom"/>
            <w:hideMark/>
          </w:tcPr>
          <w:p w14:paraId="1ACB775D" w14:textId="43A4D47C" w:rsidR="004C6700" w:rsidRPr="00691349" w:rsidRDefault="004C6700" w:rsidP="006243D7">
            <w:pPr>
              <w:spacing w:after="0" w:line="240" w:lineRule="auto"/>
              <w:ind w:firstLineChars="400" w:firstLine="720"/>
              <w:jc w:val="left"/>
              <w:rPr>
                <w:rFonts w:eastAsia="Times New Roman" w:cs="Times New Roman"/>
                <w:sz w:val="18"/>
                <w:szCs w:val="18"/>
                <w:lang w:eastAsia="sk-SK"/>
              </w:rPr>
            </w:pPr>
            <w:r w:rsidRPr="00691349">
              <w:rPr>
                <w:rFonts w:eastAsia="Times New Roman" w:cs="Times New Roman"/>
                <w:sz w:val="18"/>
                <w:szCs w:val="18"/>
                <w:lang w:eastAsia="sk-SK"/>
              </w:rPr>
              <w:t>Železničná spoločnosť Slovensko, a.</w:t>
            </w:r>
            <w:r w:rsidR="00D146DB">
              <w:rPr>
                <w:rFonts w:eastAsia="Times New Roman" w:cs="Times New Roman"/>
                <w:sz w:val="18"/>
                <w:szCs w:val="18"/>
                <w:lang w:eastAsia="sk-SK"/>
              </w:rPr>
              <w:t> </w:t>
            </w:r>
            <w:r w:rsidRPr="00691349">
              <w:rPr>
                <w:rFonts w:eastAsia="Times New Roman" w:cs="Times New Roman"/>
                <w:sz w:val="18"/>
                <w:szCs w:val="18"/>
                <w:lang w:eastAsia="sk-SK"/>
              </w:rPr>
              <w:t>s.</w:t>
            </w:r>
          </w:p>
        </w:tc>
        <w:tc>
          <w:tcPr>
            <w:tcW w:w="564" w:type="pct"/>
            <w:tcBorders>
              <w:top w:val="nil"/>
              <w:left w:val="nil"/>
              <w:bottom w:val="nil"/>
              <w:right w:val="nil"/>
            </w:tcBorders>
            <w:shd w:val="clear" w:color="auto" w:fill="auto"/>
            <w:noWrap/>
            <w:vAlign w:val="bottom"/>
            <w:hideMark/>
          </w:tcPr>
          <w:p w14:paraId="0AAEE99E"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386 704</w:t>
            </w:r>
          </w:p>
        </w:tc>
        <w:tc>
          <w:tcPr>
            <w:tcW w:w="590" w:type="pct"/>
            <w:tcBorders>
              <w:top w:val="nil"/>
              <w:left w:val="nil"/>
              <w:bottom w:val="nil"/>
              <w:right w:val="nil"/>
            </w:tcBorders>
            <w:shd w:val="clear" w:color="auto" w:fill="auto"/>
            <w:noWrap/>
            <w:vAlign w:val="bottom"/>
            <w:hideMark/>
          </w:tcPr>
          <w:p w14:paraId="7344FE6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335 407</w:t>
            </w:r>
          </w:p>
        </w:tc>
        <w:tc>
          <w:tcPr>
            <w:tcW w:w="590" w:type="pct"/>
            <w:tcBorders>
              <w:top w:val="nil"/>
              <w:left w:val="nil"/>
              <w:bottom w:val="nil"/>
              <w:right w:val="nil"/>
            </w:tcBorders>
            <w:shd w:val="clear" w:color="auto" w:fill="auto"/>
            <w:noWrap/>
            <w:vAlign w:val="bottom"/>
            <w:hideMark/>
          </w:tcPr>
          <w:p w14:paraId="38E130E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339 672</w:t>
            </w:r>
          </w:p>
        </w:tc>
        <w:tc>
          <w:tcPr>
            <w:tcW w:w="511" w:type="pct"/>
            <w:tcBorders>
              <w:top w:val="nil"/>
              <w:left w:val="nil"/>
              <w:bottom w:val="nil"/>
              <w:right w:val="nil"/>
            </w:tcBorders>
            <w:shd w:val="clear" w:color="auto" w:fill="auto"/>
            <w:noWrap/>
            <w:vAlign w:val="bottom"/>
            <w:hideMark/>
          </w:tcPr>
          <w:p w14:paraId="321E61BE"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4 265</w:t>
            </w:r>
          </w:p>
        </w:tc>
      </w:tr>
      <w:tr w:rsidR="004C6700" w:rsidRPr="00691349" w14:paraId="7B98BD34" w14:textId="77777777" w:rsidTr="00836EB5">
        <w:trPr>
          <w:trHeight w:val="290"/>
        </w:trPr>
        <w:tc>
          <w:tcPr>
            <w:tcW w:w="2745" w:type="pct"/>
            <w:tcBorders>
              <w:top w:val="nil"/>
              <w:left w:val="nil"/>
              <w:bottom w:val="nil"/>
              <w:right w:val="nil"/>
            </w:tcBorders>
            <w:shd w:val="clear" w:color="auto" w:fill="auto"/>
            <w:noWrap/>
            <w:vAlign w:val="bottom"/>
            <w:hideMark/>
          </w:tcPr>
          <w:p w14:paraId="3EF12432" w14:textId="77777777" w:rsidR="004C6700" w:rsidRPr="00691349" w:rsidRDefault="004C6700" w:rsidP="00836EB5">
            <w:pPr>
              <w:spacing w:after="0" w:line="240" w:lineRule="auto"/>
              <w:ind w:firstLineChars="400" w:firstLine="720"/>
              <w:jc w:val="left"/>
              <w:rPr>
                <w:rFonts w:eastAsia="Times New Roman" w:cs="Times New Roman"/>
                <w:sz w:val="18"/>
                <w:szCs w:val="18"/>
                <w:lang w:eastAsia="sk-SK"/>
              </w:rPr>
            </w:pPr>
            <w:r w:rsidRPr="00691349">
              <w:rPr>
                <w:rFonts w:eastAsia="Times New Roman" w:cs="Times New Roman"/>
                <w:sz w:val="18"/>
                <w:szCs w:val="18"/>
                <w:lang w:eastAsia="sk-SK"/>
              </w:rPr>
              <w:t>Železnice Slovenskej republiky</w:t>
            </w:r>
          </w:p>
        </w:tc>
        <w:tc>
          <w:tcPr>
            <w:tcW w:w="564" w:type="pct"/>
            <w:tcBorders>
              <w:top w:val="nil"/>
              <w:left w:val="nil"/>
              <w:bottom w:val="nil"/>
              <w:right w:val="nil"/>
            </w:tcBorders>
            <w:shd w:val="clear" w:color="auto" w:fill="auto"/>
            <w:noWrap/>
            <w:vAlign w:val="bottom"/>
            <w:hideMark/>
          </w:tcPr>
          <w:p w14:paraId="44065C7E"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114 887</w:t>
            </w:r>
          </w:p>
        </w:tc>
        <w:tc>
          <w:tcPr>
            <w:tcW w:w="590" w:type="pct"/>
            <w:tcBorders>
              <w:top w:val="nil"/>
              <w:left w:val="nil"/>
              <w:bottom w:val="nil"/>
              <w:right w:val="nil"/>
            </w:tcBorders>
            <w:shd w:val="clear" w:color="auto" w:fill="auto"/>
            <w:noWrap/>
            <w:vAlign w:val="bottom"/>
            <w:hideMark/>
          </w:tcPr>
          <w:p w14:paraId="43172ECE"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114 322</w:t>
            </w:r>
          </w:p>
        </w:tc>
        <w:tc>
          <w:tcPr>
            <w:tcW w:w="590" w:type="pct"/>
            <w:tcBorders>
              <w:top w:val="nil"/>
              <w:left w:val="nil"/>
              <w:bottom w:val="nil"/>
              <w:right w:val="nil"/>
            </w:tcBorders>
            <w:shd w:val="clear" w:color="auto" w:fill="auto"/>
            <w:noWrap/>
            <w:vAlign w:val="bottom"/>
            <w:hideMark/>
          </w:tcPr>
          <w:p w14:paraId="6B6B774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118 831</w:t>
            </w:r>
          </w:p>
        </w:tc>
        <w:tc>
          <w:tcPr>
            <w:tcW w:w="511" w:type="pct"/>
            <w:tcBorders>
              <w:top w:val="nil"/>
              <w:left w:val="nil"/>
              <w:bottom w:val="nil"/>
              <w:right w:val="nil"/>
            </w:tcBorders>
            <w:shd w:val="clear" w:color="auto" w:fill="auto"/>
            <w:noWrap/>
            <w:vAlign w:val="bottom"/>
            <w:hideMark/>
          </w:tcPr>
          <w:p w14:paraId="14CC45A6"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4 509</w:t>
            </w:r>
          </w:p>
        </w:tc>
      </w:tr>
      <w:tr w:rsidR="004C6700" w:rsidRPr="00691349" w14:paraId="7BF25220" w14:textId="77777777" w:rsidTr="00836EB5">
        <w:trPr>
          <w:trHeight w:val="290"/>
        </w:trPr>
        <w:tc>
          <w:tcPr>
            <w:tcW w:w="2745" w:type="pct"/>
            <w:tcBorders>
              <w:top w:val="nil"/>
              <w:left w:val="nil"/>
              <w:bottom w:val="nil"/>
              <w:right w:val="nil"/>
            </w:tcBorders>
            <w:shd w:val="clear" w:color="auto" w:fill="auto"/>
            <w:noWrap/>
            <w:vAlign w:val="bottom"/>
            <w:hideMark/>
          </w:tcPr>
          <w:p w14:paraId="2D9F742B" w14:textId="74BCCA03" w:rsidR="004C6700" w:rsidRPr="00691349" w:rsidRDefault="004C6700" w:rsidP="006243D7">
            <w:pPr>
              <w:spacing w:after="0" w:line="240" w:lineRule="auto"/>
              <w:ind w:firstLineChars="400" w:firstLine="720"/>
              <w:jc w:val="left"/>
              <w:rPr>
                <w:rFonts w:eastAsia="Times New Roman" w:cs="Times New Roman"/>
                <w:sz w:val="18"/>
                <w:szCs w:val="18"/>
                <w:lang w:eastAsia="sk-SK"/>
              </w:rPr>
            </w:pPr>
            <w:r w:rsidRPr="00691349">
              <w:rPr>
                <w:rFonts w:eastAsia="Times New Roman" w:cs="Times New Roman"/>
                <w:sz w:val="18"/>
                <w:szCs w:val="18"/>
                <w:lang w:eastAsia="sk-SK"/>
              </w:rPr>
              <w:t>Národná diaľničná spoločnosť, a.</w:t>
            </w:r>
            <w:r w:rsidR="00D146DB">
              <w:rPr>
                <w:rFonts w:eastAsia="Times New Roman" w:cs="Times New Roman"/>
                <w:sz w:val="18"/>
                <w:szCs w:val="18"/>
                <w:lang w:eastAsia="sk-SK"/>
              </w:rPr>
              <w:t> </w:t>
            </w:r>
            <w:r w:rsidRPr="00691349">
              <w:rPr>
                <w:rFonts w:eastAsia="Times New Roman" w:cs="Times New Roman"/>
                <w:sz w:val="18"/>
                <w:szCs w:val="18"/>
                <w:lang w:eastAsia="sk-SK"/>
              </w:rPr>
              <w:t>s.</w:t>
            </w:r>
          </w:p>
        </w:tc>
        <w:tc>
          <w:tcPr>
            <w:tcW w:w="564" w:type="pct"/>
            <w:tcBorders>
              <w:top w:val="nil"/>
              <w:left w:val="nil"/>
              <w:bottom w:val="nil"/>
              <w:right w:val="nil"/>
            </w:tcBorders>
            <w:shd w:val="clear" w:color="auto" w:fill="auto"/>
            <w:noWrap/>
            <w:vAlign w:val="bottom"/>
            <w:hideMark/>
          </w:tcPr>
          <w:p w14:paraId="59386E43"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54 326</w:t>
            </w:r>
          </w:p>
        </w:tc>
        <w:tc>
          <w:tcPr>
            <w:tcW w:w="590" w:type="pct"/>
            <w:tcBorders>
              <w:top w:val="nil"/>
              <w:left w:val="nil"/>
              <w:bottom w:val="nil"/>
              <w:right w:val="nil"/>
            </w:tcBorders>
            <w:shd w:val="clear" w:color="auto" w:fill="auto"/>
            <w:noWrap/>
            <w:vAlign w:val="bottom"/>
            <w:hideMark/>
          </w:tcPr>
          <w:p w14:paraId="64EAD59B"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24 884</w:t>
            </w:r>
          </w:p>
        </w:tc>
        <w:tc>
          <w:tcPr>
            <w:tcW w:w="590" w:type="pct"/>
            <w:tcBorders>
              <w:top w:val="nil"/>
              <w:left w:val="nil"/>
              <w:bottom w:val="nil"/>
              <w:right w:val="nil"/>
            </w:tcBorders>
            <w:shd w:val="clear" w:color="auto" w:fill="auto"/>
            <w:noWrap/>
            <w:vAlign w:val="bottom"/>
            <w:hideMark/>
          </w:tcPr>
          <w:p w14:paraId="20119046"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24 614</w:t>
            </w:r>
          </w:p>
        </w:tc>
        <w:tc>
          <w:tcPr>
            <w:tcW w:w="511" w:type="pct"/>
            <w:tcBorders>
              <w:top w:val="nil"/>
              <w:left w:val="nil"/>
              <w:bottom w:val="nil"/>
              <w:right w:val="nil"/>
            </w:tcBorders>
            <w:shd w:val="clear" w:color="auto" w:fill="auto"/>
            <w:noWrap/>
            <w:vAlign w:val="bottom"/>
            <w:hideMark/>
          </w:tcPr>
          <w:p w14:paraId="5CD895A9"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-270</w:t>
            </w:r>
          </w:p>
        </w:tc>
      </w:tr>
      <w:tr w:rsidR="004C6700" w:rsidRPr="00691349" w14:paraId="053EF6A9" w14:textId="77777777" w:rsidTr="00836EB5">
        <w:trPr>
          <w:trHeight w:val="290"/>
        </w:trPr>
        <w:tc>
          <w:tcPr>
            <w:tcW w:w="2745" w:type="pct"/>
            <w:tcBorders>
              <w:top w:val="nil"/>
              <w:left w:val="nil"/>
              <w:bottom w:val="nil"/>
              <w:right w:val="nil"/>
            </w:tcBorders>
            <w:shd w:val="clear" w:color="auto" w:fill="auto"/>
            <w:noWrap/>
            <w:vAlign w:val="bottom"/>
            <w:hideMark/>
          </w:tcPr>
          <w:p w14:paraId="1A459EBF" w14:textId="1893E772" w:rsidR="004C6700" w:rsidRPr="00691349" w:rsidRDefault="006243D7" w:rsidP="00836EB5">
            <w:pPr>
              <w:spacing w:after="0" w:line="240" w:lineRule="auto"/>
              <w:ind w:firstLineChars="400" w:firstLine="720"/>
              <w:jc w:val="left"/>
              <w:rPr>
                <w:rFonts w:eastAsia="Times New Roman" w:cs="Times New Roman"/>
                <w:sz w:val="18"/>
                <w:szCs w:val="18"/>
                <w:lang w:eastAsia="sk-SK"/>
              </w:rPr>
            </w:pPr>
            <w:r>
              <w:rPr>
                <w:rFonts w:eastAsia="Times New Roman" w:cs="Times New Roman"/>
                <w:sz w:val="18"/>
                <w:szCs w:val="18"/>
                <w:lang w:eastAsia="sk-SK"/>
              </w:rPr>
              <w:t>JAVYS, a.</w:t>
            </w:r>
            <w:r w:rsidR="00D146DB">
              <w:rPr>
                <w:rFonts w:eastAsia="Times New Roman" w:cs="Times New Roman"/>
                <w:sz w:val="18"/>
                <w:szCs w:val="18"/>
                <w:lang w:eastAsia="sk-SK"/>
              </w:rPr>
              <w:t> </w:t>
            </w:r>
            <w:r w:rsidR="004C6700" w:rsidRPr="00691349">
              <w:rPr>
                <w:rFonts w:eastAsia="Times New Roman" w:cs="Times New Roman"/>
                <w:sz w:val="18"/>
                <w:szCs w:val="18"/>
                <w:lang w:eastAsia="sk-SK"/>
              </w:rPr>
              <w:t>s.</w:t>
            </w:r>
          </w:p>
        </w:tc>
        <w:tc>
          <w:tcPr>
            <w:tcW w:w="564" w:type="pct"/>
            <w:tcBorders>
              <w:top w:val="nil"/>
              <w:left w:val="nil"/>
              <w:bottom w:val="nil"/>
              <w:right w:val="nil"/>
            </w:tcBorders>
            <w:shd w:val="clear" w:color="auto" w:fill="auto"/>
            <w:noWrap/>
            <w:vAlign w:val="bottom"/>
            <w:hideMark/>
          </w:tcPr>
          <w:p w14:paraId="7BE7C872"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6 806</w:t>
            </w:r>
          </w:p>
        </w:tc>
        <w:tc>
          <w:tcPr>
            <w:tcW w:w="590" w:type="pct"/>
            <w:tcBorders>
              <w:top w:val="nil"/>
              <w:left w:val="nil"/>
              <w:bottom w:val="nil"/>
              <w:right w:val="nil"/>
            </w:tcBorders>
            <w:shd w:val="clear" w:color="auto" w:fill="auto"/>
            <w:noWrap/>
            <w:vAlign w:val="bottom"/>
            <w:hideMark/>
          </w:tcPr>
          <w:p w14:paraId="0601AD10"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5 048</w:t>
            </w:r>
          </w:p>
        </w:tc>
        <w:tc>
          <w:tcPr>
            <w:tcW w:w="590" w:type="pct"/>
            <w:tcBorders>
              <w:top w:val="nil"/>
              <w:left w:val="nil"/>
              <w:bottom w:val="nil"/>
              <w:right w:val="nil"/>
            </w:tcBorders>
            <w:shd w:val="clear" w:color="auto" w:fill="auto"/>
            <w:noWrap/>
            <w:vAlign w:val="bottom"/>
            <w:hideMark/>
          </w:tcPr>
          <w:p w14:paraId="0958E4CE"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4 897</w:t>
            </w:r>
          </w:p>
        </w:tc>
        <w:tc>
          <w:tcPr>
            <w:tcW w:w="511" w:type="pct"/>
            <w:tcBorders>
              <w:top w:val="nil"/>
              <w:left w:val="nil"/>
              <w:bottom w:val="nil"/>
              <w:right w:val="nil"/>
            </w:tcBorders>
            <w:shd w:val="clear" w:color="auto" w:fill="auto"/>
            <w:noWrap/>
            <w:vAlign w:val="bottom"/>
            <w:hideMark/>
          </w:tcPr>
          <w:p w14:paraId="324E69D6"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-151</w:t>
            </w:r>
          </w:p>
        </w:tc>
      </w:tr>
      <w:tr w:rsidR="004C6700" w:rsidRPr="00691349" w14:paraId="6BD2015A" w14:textId="77777777" w:rsidTr="00836EB5">
        <w:trPr>
          <w:trHeight w:val="290"/>
        </w:trPr>
        <w:tc>
          <w:tcPr>
            <w:tcW w:w="2745" w:type="pct"/>
            <w:tcBorders>
              <w:top w:val="nil"/>
              <w:left w:val="nil"/>
              <w:bottom w:val="nil"/>
              <w:right w:val="nil"/>
            </w:tcBorders>
            <w:shd w:val="clear" w:color="auto" w:fill="auto"/>
            <w:noWrap/>
            <w:vAlign w:val="bottom"/>
            <w:hideMark/>
          </w:tcPr>
          <w:p w14:paraId="5B89628C" w14:textId="77777777" w:rsidR="004C6700" w:rsidRPr="00691349" w:rsidRDefault="004C6700" w:rsidP="00836EB5">
            <w:pPr>
              <w:spacing w:after="0" w:line="240" w:lineRule="auto"/>
              <w:ind w:firstLineChars="400" w:firstLine="720"/>
              <w:jc w:val="left"/>
              <w:rPr>
                <w:rFonts w:eastAsia="Times New Roman" w:cs="Times New Roman"/>
                <w:sz w:val="18"/>
                <w:szCs w:val="18"/>
                <w:lang w:eastAsia="sk-SK"/>
              </w:rPr>
            </w:pPr>
            <w:r w:rsidRPr="00691349">
              <w:rPr>
                <w:rFonts w:eastAsia="Times New Roman" w:cs="Times New Roman"/>
                <w:sz w:val="18"/>
                <w:szCs w:val="18"/>
                <w:lang w:eastAsia="sk-SK"/>
              </w:rPr>
              <w:t>SIH a spol.</w:t>
            </w:r>
          </w:p>
        </w:tc>
        <w:tc>
          <w:tcPr>
            <w:tcW w:w="564" w:type="pct"/>
            <w:tcBorders>
              <w:top w:val="nil"/>
              <w:left w:val="nil"/>
              <w:bottom w:val="nil"/>
              <w:right w:val="nil"/>
            </w:tcBorders>
            <w:shd w:val="clear" w:color="auto" w:fill="auto"/>
            <w:noWrap/>
            <w:vAlign w:val="bottom"/>
            <w:hideMark/>
          </w:tcPr>
          <w:p w14:paraId="409674B1"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0</w:t>
            </w:r>
          </w:p>
        </w:tc>
        <w:tc>
          <w:tcPr>
            <w:tcW w:w="590" w:type="pct"/>
            <w:tcBorders>
              <w:top w:val="nil"/>
              <w:left w:val="nil"/>
              <w:bottom w:val="nil"/>
              <w:right w:val="nil"/>
            </w:tcBorders>
            <w:shd w:val="clear" w:color="auto" w:fill="auto"/>
            <w:noWrap/>
            <w:vAlign w:val="bottom"/>
            <w:hideMark/>
          </w:tcPr>
          <w:p w14:paraId="6707905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0</w:t>
            </w:r>
          </w:p>
        </w:tc>
        <w:tc>
          <w:tcPr>
            <w:tcW w:w="590" w:type="pct"/>
            <w:tcBorders>
              <w:top w:val="nil"/>
              <w:left w:val="nil"/>
              <w:bottom w:val="nil"/>
              <w:right w:val="nil"/>
            </w:tcBorders>
            <w:shd w:val="clear" w:color="auto" w:fill="auto"/>
            <w:noWrap/>
            <w:vAlign w:val="bottom"/>
            <w:hideMark/>
          </w:tcPr>
          <w:p w14:paraId="2839B5AC"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3 314</w:t>
            </w:r>
          </w:p>
        </w:tc>
        <w:tc>
          <w:tcPr>
            <w:tcW w:w="511" w:type="pct"/>
            <w:tcBorders>
              <w:top w:val="nil"/>
              <w:left w:val="nil"/>
              <w:bottom w:val="nil"/>
              <w:right w:val="nil"/>
            </w:tcBorders>
            <w:shd w:val="clear" w:color="auto" w:fill="auto"/>
            <w:noWrap/>
            <w:vAlign w:val="bottom"/>
            <w:hideMark/>
          </w:tcPr>
          <w:p w14:paraId="48FB4D51"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3 314</w:t>
            </w:r>
          </w:p>
        </w:tc>
      </w:tr>
      <w:tr w:rsidR="004C6700" w:rsidRPr="00691349" w14:paraId="254C6AB0" w14:textId="77777777" w:rsidTr="00836EB5">
        <w:trPr>
          <w:trHeight w:val="290"/>
        </w:trPr>
        <w:tc>
          <w:tcPr>
            <w:tcW w:w="2745" w:type="pct"/>
            <w:tcBorders>
              <w:top w:val="nil"/>
              <w:left w:val="nil"/>
              <w:bottom w:val="nil"/>
              <w:right w:val="nil"/>
            </w:tcBorders>
            <w:shd w:val="clear" w:color="auto" w:fill="auto"/>
            <w:noWrap/>
            <w:vAlign w:val="bottom"/>
            <w:hideMark/>
          </w:tcPr>
          <w:p w14:paraId="728ACD3B" w14:textId="32E780FE" w:rsidR="004C6700" w:rsidRPr="00691349" w:rsidRDefault="004C6700" w:rsidP="00836EB5">
            <w:pPr>
              <w:spacing w:after="0" w:line="240" w:lineRule="auto"/>
              <w:ind w:firstLineChars="400" w:firstLine="720"/>
              <w:jc w:val="left"/>
              <w:rPr>
                <w:rFonts w:eastAsia="Times New Roman" w:cs="Times New Roman"/>
                <w:sz w:val="18"/>
                <w:szCs w:val="18"/>
                <w:lang w:eastAsia="sk-SK"/>
              </w:rPr>
            </w:pPr>
            <w:r w:rsidRPr="00691349">
              <w:rPr>
                <w:rFonts w:eastAsia="Times New Roman" w:cs="Times New Roman"/>
                <w:sz w:val="18"/>
                <w:szCs w:val="18"/>
                <w:lang w:eastAsia="sk-SK"/>
              </w:rPr>
              <w:t xml:space="preserve">MH </w:t>
            </w:r>
            <w:proofErr w:type="spellStart"/>
            <w:r w:rsidRPr="00691349">
              <w:rPr>
                <w:rFonts w:eastAsia="Times New Roman" w:cs="Times New Roman"/>
                <w:sz w:val="18"/>
                <w:szCs w:val="18"/>
                <w:lang w:eastAsia="sk-SK"/>
              </w:rPr>
              <w:t>Invest</w:t>
            </w:r>
            <w:proofErr w:type="spellEnd"/>
            <w:r w:rsidRPr="00691349">
              <w:rPr>
                <w:rFonts w:eastAsia="Times New Roman" w:cs="Times New Roman"/>
                <w:sz w:val="18"/>
                <w:szCs w:val="18"/>
                <w:lang w:eastAsia="sk-SK"/>
              </w:rPr>
              <w:t xml:space="preserve"> II., </w:t>
            </w:r>
            <w:r w:rsidR="00837EB9">
              <w:rPr>
                <w:rFonts w:eastAsia="Times New Roman" w:cs="Times New Roman"/>
                <w:sz w:val="18"/>
                <w:szCs w:val="18"/>
                <w:lang w:eastAsia="sk-SK"/>
              </w:rPr>
              <w:t>s.</w:t>
            </w:r>
            <w:r w:rsidR="00D146DB">
              <w:rPr>
                <w:rFonts w:eastAsia="Times New Roman" w:cs="Times New Roman"/>
                <w:sz w:val="18"/>
                <w:szCs w:val="18"/>
                <w:lang w:eastAsia="sk-SK"/>
              </w:rPr>
              <w:t> </w:t>
            </w:r>
            <w:r w:rsidR="00837EB9">
              <w:rPr>
                <w:rFonts w:eastAsia="Times New Roman" w:cs="Times New Roman"/>
                <w:sz w:val="18"/>
                <w:szCs w:val="18"/>
                <w:lang w:eastAsia="sk-SK"/>
              </w:rPr>
              <w:t>r.</w:t>
            </w:r>
            <w:r w:rsidR="00D146DB">
              <w:rPr>
                <w:rFonts w:eastAsia="Times New Roman" w:cs="Times New Roman"/>
                <w:sz w:val="18"/>
                <w:szCs w:val="18"/>
                <w:lang w:eastAsia="sk-SK"/>
              </w:rPr>
              <w:t> </w:t>
            </w:r>
            <w:r w:rsidR="00837EB9">
              <w:rPr>
                <w:rFonts w:eastAsia="Times New Roman" w:cs="Times New Roman"/>
                <w:sz w:val="18"/>
                <w:szCs w:val="18"/>
                <w:lang w:eastAsia="sk-SK"/>
              </w:rPr>
              <w:t>o.</w:t>
            </w:r>
          </w:p>
        </w:tc>
        <w:tc>
          <w:tcPr>
            <w:tcW w:w="564" w:type="pct"/>
            <w:tcBorders>
              <w:top w:val="nil"/>
              <w:left w:val="nil"/>
              <w:bottom w:val="nil"/>
              <w:right w:val="nil"/>
            </w:tcBorders>
            <w:shd w:val="clear" w:color="auto" w:fill="auto"/>
            <w:noWrap/>
            <w:vAlign w:val="bottom"/>
            <w:hideMark/>
          </w:tcPr>
          <w:p w14:paraId="51F0543B"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2 730</w:t>
            </w:r>
          </w:p>
        </w:tc>
        <w:tc>
          <w:tcPr>
            <w:tcW w:w="590" w:type="pct"/>
            <w:tcBorders>
              <w:top w:val="nil"/>
              <w:left w:val="nil"/>
              <w:bottom w:val="nil"/>
              <w:right w:val="nil"/>
            </w:tcBorders>
            <w:shd w:val="clear" w:color="auto" w:fill="auto"/>
            <w:noWrap/>
            <w:vAlign w:val="bottom"/>
            <w:hideMark/>
          </w:tcPr>
          <w:p w14:paraId="0BDC48C2"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610</w:t>
            </w:r>
          </w:p>
        </w:tc>
        <w:tc>
          <w:tcPr>
            <w:tcW w:w="590" w:type="pct"/>
            <w:tcBorders>
              <w:top w:val="nil"/>
              <w:left w:val="nil"/>
              <w:bottom w:val="nil"/>
              <w:right w:val="nil"/>
            </w:tcBorders>
            <w:shd w:val="clear" w:color="auto" w:fill="auto"/>
            <w:noWrap/>
            <w:vAlign w:val="bottom"/>
            <w:hideMark/>
          </w:tcPr>
          <w:p w14:paraId="1CDFEE7B"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610</w:t>
            </w:r>
          </w:p>
        </w:tc>
        <w:tc>
          <w:tcPr>
            <w:tcW w:w="511" w:type="pct"/>
            <w:tcBorders>
              <w:top w:val="nil"/>
              <w:left w:val="nil"/>
              <w:bottom w:val="nil"/>
              <w:right w:val="nil"/>
            </w:tcBorders>
            <w:shd w:val="clear" w:color="auto" w:fill="auto"/>
            <w:noWrap/>
            <w:vAlign w:val="bottom"/>
            <w:hideMark/>
          </w:tcPr>
          <w:p w14:paraId="55CC9A68"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0</w:t>
            </w:r>
          </w:p>
        </w:tc>
      </w:tr>
      <w:tr w:rsidR="004C6700" w:rsidRPr="00691349" w14:paraId="7E9C33DD" w14:textId="77777777" w:rsidTr="00836EB5">
        <w:trPr>
          <w:trHeight w:val="290"/>
        </w:trPr>
        <w:tc>
          <w:tcPr>
            <w:tcW w:w="2745" w:type="pct"/>
            <w:tcBorders>
              <w:top w:val="nil"/>
              <w:left w:val="nil"/>
              <w:bottom w:val="nil"/>
              <w:right w:val="nil"/>
            </w:tcBorders>
            <w:shd w:val="clear" w:color="auto" w:fill="auto"/>
            <w:noWrap/>
            <w:vAlign w:val="bottom"/>
            <w:hideMark/>
          </w:tcPr>
          <w:p w14:paraId="7FA5B2C8" w14:textId="285E00F1" w:rsidR="004C6700" w:rsidRPr="00691349" w:rsidRDefault="004C6700" w:rsidP="00836EB5">
            <w:pPr>
              <w:spacing w:after="0" w:line="240" w:lineRule="auto"/>
              <w:ind w:firstLineChars="400" w:firstLine="720"/>
              <w:jc w:val="left"/>
              <w:rPr>
                <w:rFonts w:eastAsia="Times New Roman" w:cs="Times New Roman"/>
                <w:sz w:val="18"/>
                <w:szCs w:val="18"/>
                <w:lang w:eastAsia="sk-SK"/>
              </w:rPr>
            </w:pPr>
            <w:r w:rsidRPr="00691349">
              <w:rPr>
                <w:rFonts w:eastAsia="Times New Roman" w:cs="Times New Roman"/>
                <w:sz w:val="18"/>
                <w:szCs w:val="18"/>
                <w:lang w:eastAsia="sk-SK"/>
              </w:rPr>
              <w:t xml:space="preserve">MH </w:t>
            </w:r>
            <w:proofErr w:type="spellStart"/>
            <w:r w:rsidRPr="00691349">
              <w:rPr>
                <w:rFonts w:eastAsia="Times New Roman" w:cs="Times New Roman"/>
                <w:sz w:val="18"/>
                <w:szCs w:val="18"/>
                <w:lang w:eastAsia="sk-SK"/>
              </w:rPr>
              <w:t>Invest</w:t>
            </w:r>
            <w:proofErr w:type="spellEnd"/>
            <w:r w:rsidRPr="00691349">
              <w:rPr>
                <w:rFonts w:eastAsia="Times New Roman" w:cs="Times New Roman"/>
                <w:sz w:val="18"/>
                <w:szCs w:val="18"/>
                <w:lang w:eastAsia="sk-SK"/>
              </w:rPr>
              <w:t xml:space="preserve"> I., </w:t>
            </w:r>
            <w:r w:rsidR="00837EB9">
              <w:rPr>
                <w:rFonts w:eastAsia="Times New Roman" w:cs="Times New Roman"/>
                <w:sz w:val="18"/>
                <w:szCs w:val="18"/>
                <w:lang w:eastAsia="sk-SK"/>
              </w:rPr>
              <w:t>s.</w:t>
            </w:r>
            <w:r w:rsidR="00D146DB">
              <w:rPr>
                <w:rFonts w:eastAsia="Times New Roman" w:cs="Times New Roman"/>
                <w:sz w:val="18"/>
                <w:szCs w:val="18"/>
                <w:lang w:eastAsia="sk-SK"/>
              </w:rPr>
              <w:t> </w:t>
            </w:r>
            <w:r w:rsidR="00837EB9">
              <w:rPr>
                <w:rFonts w:eastAsia="Times New Roman" w:cs="Times New Roman"/>
                <w:sz w:val="18"/>
                <w:szCs w:val="18"/>
                <w:lang w:eastAsia="sk-SK"/>
              </w:rPr>
              <w:t>r.</w:t>
            </w:r>
            <w:r w:rsidR="00D146DB">
              <w:rPr>
                <w:rFonts w:eastAsia="Times New Roman" w:cs="Times New Roman"/>
                <w:sz w:val="18"/>
                <w:szCs w:val="18"/>
                <w:lang w:eastAsia="sk-SK"/>
              </w:rPr>
              <w:t> </w:t>
            </w:r>
            <w:r w:rsidR="00837EB9">
              <w:rPr>
                <w:rFonts w:eastAsia="Times New Roman" w:cs="Times New Roman"/>
                <w:sz w:val="18"/>
                <w:szCs w:val="18"/>
                <w:lang w:eastAsia="sk-SK"/>
              </w:rPr>
              <w:t>o.</w:t>
            </w:r>
          </w:p>
        </w:tc>
        <w:tc>
          <w:tcPr>
            <w:tcW w:w="564" w:type="pct"/>
            <w:tcBorders>
              <w:top w:val="nil"/>
              <w:left w:val="nil"/>
              <w:bottom w:val="nil"/>
              <w:right w:val="nil"/>
            </w:tcBorders>
            <w:shd w:val="clear" w:color="auto" w:fill="auto"/>
            <w:noWrap/>
            <w:vAlign w:val="bottom"/>
            <w:hideMark/>
          </w:tcPr>
          <w:p w14:paraId="12C8A27D"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0</w:t>
            </w:r>
          </w:p>
        </w:tc>
        <w:tc>
          <w:tcPr>
            <w:tcW w:w="590" w:type="pct"/>
            <w:tcBorders>
              <w:top w:val="nil"/>
              <w:left w:val="nil"/>
              <w:bottom w:val="nil"/>
              <w:right w:val="nil"/>
            </w:tcBorders>
            <w:shd w:val="clear" w:color="auto" w:fill="auto"/>
            <w:noWrap/>
            <w:vAlign w:val="bottom"/>
            <w:hideMark/>
          </w:tcPr>
          <w:p w14:paraId="360E4464"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0</w:t>
            </w:r>
          </w:p>
        </w:tc>
        <w:tc>
          <w:tcPr>
            <w:tcW w:w="590" w:type="pct"/>
            <w:tcBorders>
              <w:top w:val="nil"/>
              <w:left w:val="nil"/>
              <w:bottom w:val="nil"/>
              <w:right w:val="nil"/>
            </w:tcBorders>
            <w:shd w:val="clear" w:color="auto" w:fill="auto"/>
            <w:noWrap/>
            <w:vAlign w:val="bottom"/>
            <w:hideMark/>
          </w:tcPr>
          <w:p w14:paraId="5C6285E5"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251</w:t>
            </w:r>
          </w:p>
        </w:tc>
        <w:tc>
          <w:tcPr>
            <w:tcW w:w="511" w:type="pct"/>
            <w:tcBorders>
              <w:top w:val="nil"/>
              <w:left w:val="nil"/>
              <w:bottom w:val="nil"/>
              <w:right w:val="nil"/>
            </w:tcBorders>
            <w:shd w:val="clear" w:color="auto" w:fill="auto"/>
            <w:noWrap/>
            <w:vAlign w:val="bottom"/>
            <w:hideMark/>
          </w:tcPr>
          <w:p w14:paraId="4AB78CA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251</w:t>
            </w:r>
          </w:p>
        </w:tc>
      </w:tr>
      <w:tr w:rsidR="004C6700" w:rsidRPr="00691349" w14:paraId="047F7E3C" w14:textId="77777777" w:rsidTr="00836EB5">
        <w:trPr>
          <w:trHeight w:val="290"/>
        </w:trPr>
        <w:tc>
          <w:tcPr>
            <w:tcW w:w="2745" w:type="pct"/>
            <w:tcBorders>
              <w:top w:val="nil"/>
              <w:left w:val="nil"/>
              <w:bottom w:val="nil"/>
              <w:right w:val="nil"/>
            </w:tcBorders>
            <w:shd w:val="clear" w:color="auto" w:fill="auto"/>
            <w:noWrap/>
            <w:vAlign w:val="bottom"/>
            <w:hideMark/>
          </w:tcPr>
          <w:p w14:paraId="497EAAE2" w14:textId="62B21BDC" w:rsidR="004C6700" w:rsidRPr="00691349" w:rsidRDefault="004C6700" w:rsidP="006243D7">
            <w:pPr>
              <w:spacing w:after="0" w:line="240" w:lineRule="auto"/>
              <w:ind w:firstLineChars="400" w:firstLine="720"/>
              <w:jc w:val="left"/>
              <w:rPr>
                <w:rFonts w:eastAsia="Times New Roman" w:cs="Times New Roman"/>
                <w:sz w:val="18"/>
                <w:szCs w:val="18"/>
                <w:lang w:eastAsia="sk-SK"/>
              </w:rPr>
            </w:pPr>
            <w:r w:rsidRPr="00691349">
              <w:rPr>
                <w:rFonts w:eastAsia="Times New Roman" w:cs="Times New Roman"/>
                <w:sz w:val="18"/>
                <w:szCs w:val="18"/>
                <w:lang w:eastAsia="sk-SK"/>
              </w:rPr>
              <w:t>MH Manažment, a.</w:t>
            </w:r>
            <w:r w:rsidR="00D146DB">
              <w:rPr>
                <w:rFonts w:eastAsia="Times New Roman" w:cs="Times New Roman"/>
                <w:sz w:val="18"/>
                <w:szCs w:val="18"/>
                <w:lang w:eastAsia="sk-SK"/>
              </w:rPr>
              <w:t> </w:t>
            </w:r>
            <w:r w:rsidRPr="00691349">
              <w:rPr>
                <w:rFonts w:eastAsia="Times New Roman" w:cs="Times New Roman"/>
                <w:sz w:val="18"/>
                <w:szCs w:val="18"/>
                <w:lang w:eastAsia="sk-SK"/>
              </w:rPr>
              <w:t>s.</w:t>
            </w:r>
          </w:p>
        </w:tc>
        <w:tc>
          <w:tcPr>
            <w:tcW w:w="564" w:type="pct"/>
            <w:tcBorders>
              <w:top w:val="nil"/>
              <w:left w:val="nil"/>
              <w:bottom w:val="nil"/>
              <w:right w:val="nil"/>
            </w:tcBorders>
            <w:shd w:val="clear" w:color="auto" w:fill="auto"/>
            <w:noWrap/>
            <w:vAlign w:val="bottom"/>
            <w:hideMark/>
          </w:tcPr>
          <w:p w14:paraId="1B6E74D9"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80</w:t>
            </w:r>
          </w:p>
        </w:tc>
        <w:tc>
          <w:tcPr>
            <w:tcW w:w="590" w:type="pct"/>
            <w:tcBorders>
              <w:top w:val="nil"/>
              <w:left w:val="nil"/>
              <w:bottom w:val="nil"/>
              <w:right w:val="nil"/>
            </w:tcBorders>
            <w:shd w:val="clear" w:color="auto" w:fill="auto"/>
            <w:noWrap/>
            <w:vAlign w:val="bottom"/>
            <w:hideMark/>
          </w:tcPr>
          <w:p w14:paraId="77856D04"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342</w:t>
            </w:r>
          </w:p>
        </w:tc>
        <w:tc>
          <w:tcPr>
            <w:tcW w:w="590" w:type="pct"/>
            <w:tcBorders>
              <w:top w:val="nil"/>
              <w:left w:val="nil"/>
              <w:bottom w:val="nil"/>
              <w:right w:val="nil"/>
            </w:tcBorders>
            <w:shd w:val="clear" w:color="auto" w:fill="auto"/>
            <w:noWrap/>
            <w:vAlign w:val="bottom"/>
            <w:hideMark/>
          </w:tcPr>
          <w:p w14:paraId="54B41788"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0</w:t>
            </w:r>
          </w:p>
        </w:tc>
        <w:tc>
          <w:tcPr>
            <w:tcW w:w="511" w:type="pct"/>
            <w:tcBorders>
              <w:top w:val="nil"/>
              <w:left w:val="nil"/>
              <w:bottom w:val="nil"/>
              <w:right w:val="nil"/>
            </w:tcBorders>
            <w:shd w:val="clear" w:color="auto" w:fill="auto"/>
            <w:noWrap/>
            <w:vAlign w:val="bottom"/>
            <w:hideMark/>
          </w:tcPr>
          <w:p w14:paraId="1BF79799"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-342</w:t>
            </w:r>
          </w:p>
        </w:tc>
      </w:tr>
      <w:tr w:rsidR="004C6700" w:rsidRPr="00691349" w14:paraId="0A371A31" w14:textId="77777777" w:rsidTr="00836EB5">
        <w:trPr>
          <w:trHeight w:val="290"/>
        </w:trPr>
        <w:tc>
          <w:tcPr>
            <w:tcW w:w="2745" w:type="pct"/>
            <w:tcBorders>
              <w:top w:val="nil"/>
              <w:left w:val="nil"/>
              <w:bottom w:val="nil"/>
              <w:right w:val="nil"/>
            </w:tcBorders>
            <w:shd w:val="clear" w:color="auto" w:fill="auto"/>
            <w:noWrap/>
            <w:vAlign w:val="bottom"/>
            <w:hideMark/>
          </w:tcPr>
          <w:p w14:paraId="2A1A795F" w14:textId="77777777" w:rsidR="004C6700" w:rsidRPr="00691349" w:rsidRDefault="004C6700" w:rsidP="00836EB5">
            <w:pPr>
              <w:spacing w:after="0" w:line="240" w:lineRule="auto"/>
              <w:ind w:firstLineChars="200" w:firstLine="360"/>
              <w:jc w:val="left"/>
              <w:rPr>
                <w:rFonts w:eastAsia="Times New Roman" w:cs="Times New Roman"/>
                <w:sz w:val="18"/>
                <w:szCs w:val="18"/>
                <w:lang w:eastAsia="sk-SK"/>
              </w:rPr>
            </w:pPr>
            <w:r w:rsidRPr="00691349">
              <w:rPr>
                <w:rFonts w:eastAsia="Times New Roman" w:cs="Times New Roman"/>
                <w:sz w:val="18"/>
                <w:szCs w:val="18"/>
                <w:lang w:eastAsia="sk-SK"/>
              </w:rPr>
              <w:t>Verejné vysoké školy</w:t>
            </w:r>
          </w:p>
        </w:tc>
        <w:tc>
          <w:tcPr>
            <w:tcW w:w="564" w:type="pct"/>
            <w:tcBorders>
              <w:top w:val="nil"/>
              <w:left w:val="nil"/>
              <w:bottom w:val="nil"/>
              <w:right w:val="nil"/>
            </w:tcBorders>
            <w:shd w:val="clear" w:color="auto" w:fill="auto"/>
            <w:noWrap/>
            <w:vAlign w:val="bottom"/>
            <w:hideMark/>
          </w:tcPr>
          <w:p w14:paraId="54AF067B"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7 888</w:t>
            </w:r>
          </w:p>
        </w:tc>
        <w:tc>
          <w:tcPr>
            <w:tcW w:w="590" w:type="pct"/>
            <w:tcBorders>
              <w:top w:val="nil"/>
              <w:left w:val="nil"/>
              <w:bottom w:val="nil"/>
              <w:right w:val="nil"/>
            </w:tcBorders>
            <w:shd w:val="clear" w:color="auto" w:fill="auto"/>
            <w:noWrap/>
            <w:vAlign w:val="bottom"/>
            <w:hideMark/>
          </w:tcPr>
          <w:p w14:paraId="599875C6"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12 060</w:t>
            </w:r>
          </w:p>
        </w:tc>
        <w:tc>
          <w:tcPr>
            <w:tcW w:w="590" w:type="pct"/>
            <w:tcBorders>
              <w:top w:val="nil"/>
              <w:left w:val="nil"/>
              <w:bottom w:val="nil"/>
              <w:right w:val="nil"/>
            </w:tcBorders>
            <w:shd w:val="clear" w:color="auto" w:fill="auto"/>
            <w:noWrap/>
            <w:vAlign w:val="bottom"/>
            <w:hideMark/>
          </w:tcPr>
          <w:p w14:paraId="48EB05A5"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10 936</w:t>
            </w:r>
          </w:p>
        </w:tc>
        <w:tc>
          <w:tcPr>
            <w:tcW w:w="511" w:type="pct"/>
            <w:tcBorders>
              <w:top w:val="nil"/>
              <w:left w:val="nil"/>
              <w:bottom w:val="nil"/>
              <w:right w:val="nil"/>
            </w:tcBorders>
            <w:shd w:val="clear" w:color="auto" w:fill="auto"/>
            <w:noWrap/>
            <w:vAlign w:val="bottom"/>
            <w:hideMark/>
          </w:tcPr>
          <w:p w14:paraId="7B44672D"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-1 124</w:t>
            </w:r>
          </w:p>
        </w:tc>
      </w:tr>
      <w:tr w:rsidR="004C6700" w:rsidRPr="00691349" w14:paraId="7700ED91" w14:textId="77777777" w:rsidTr="00836EB5">
        <w:trPr>
          <w:trHeight w:val="290"/>
        </w:trPr>
        <w:tc>
          <w:tcPr>
            <w:tcW w:w="2745" w:type="pct"/>
            <w:tcBorders>
              <w:top w:val="nil"/>
              <w:left w:val="nil"/>
              <w:bottom w:val="nil"/>
              <w:right w:val="nil"/>
            </w:tcBorders>
            <w:shd w:val="clear" w:color="auto" w:fill="auto"/>
            <w:noWrap/>
            <w:vAlign w:val="bottom"/>
            <w:hideMark/>
          </w:tcPr>
          <w:p w14:paraId="7EF4928D" w14:textId="77777777" w:rsidR="004C6700" w:rsidRPr="00691349" w:rsidRDefault="004C6700" w:rsidP="00836EB5">
            <w:pPr>
              <w:spacing w:after="0" w:line="240" w:lineRule="auto"/>
              <w:ind w:firstLineChars="200" w:firstLine="360"/>
              <w:jc w:val="left"/>
              <w:rPr>
                <w:rFonts w:eastAsia="Times New Roman" w:cs="Times New Roman"/>
                <w:sz w:val="18"/>
                <w:szCs w:val="18"/>
                <w:lang w:eastAsia="sk-SK"/>
              </w:rPr>
            </w:pPr>
            <w:r w:rsidRPr="00691349">
              <w:rPr>
                <w:rFonts w:eastAsia="Times New Roman" w:cs="Times New Roman"/>
                <w:sz w:val="18"/>
                <w:szCs w:val="18"/>
                <w:lang w:eastAsia="sk-SK"/>
              </w:rPr>
              <w:t>Verejné výskumné inštitúcie</w:t>
            </w:r>
          </w:p>
        </w:tc>
        <w:tc>
          <w:tcPr>
            <w:tcW w:w="564" w:type="pct"/>
            <w:tcBorders>
              <w:top w:val="nil"/>
              <w:left w:val="nil"/>
              <w:bottom w:val="nil"/>
              <w:right w:val="nil"/>
            </w:tcBorders>
            <w:shd w:val="clear" w:color="auto" w:fill="auto"/>
            <w:noWrap/>
            <w:vAlign w:val="bottom"/>
            <w:hideMark/>
          </w:tcPr>
          <w:p w14:paraId="07A739BD" w14:textId="77777777" w:rsidR="004C6700" w:rsidRPr="00691349" w:rsidRDefault="004C6700" w:rsidP="00836EB5">
            <w:pPr>
              <w:spacing w:after="0" w:line="240" w:lineRule="auto"/>
              <w:ind w:firstLineChars="200" w:firstLine="360"/>
              <w:jc w:val="left"/>
              <w:rPr>
                <w:rFonts w:eastAsia="Times New Roman" w:cs="Times New Roman"/>
                <w:sz w:val="18"/>
                <w:szCs w:val="18"/>
                <w:lang w:eastAsia="sk-SK"/>
              </w:rPr>
            </w:pPr>
          </w:p>
        </w:tc>
        <w:tc>
          <w:tcPr>
            <w:tcW w:w="590" w:type="pct"/>
            <w:tcBorders>
              <w:top w:val="nil"/>
              <w:left w:val="nil"/>
              <w:bottom w:val="nil"/>
              <w:right w:val="nil"/>
            </w:tcBorders>
            <w:shd w:val="clear" w:color="auto" w:fill="auto"/>
            <w:noWrap/>
            <w:vAlign w:val="bottom"/>
            <w:hideMark/>
          </w:tcPr>
          <w:p w14:paraId="355ECDB8"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2 563</w:t>
            </w:r>
          </w:p>
        </w:tc>
        <w:tc>
          <w:tcPr>
            <w:tcW w:w="590" w:type="pct"/>
            <w:tcBorders>
              <w:top w:val="nil"/>
              <w:left w:val="nil"/>
              <w:bottom w:val="nil"/>
              <w:right w:val="nil"/>
            </w:tcBorders>
            <w:shd w:val="clear" w:color="auto" w:fill="auto"/>
            <w:noWrap/>
            <w:vAlign w:val="bottom"/>
            <w:hideMark/>
          </w:tcPr>
          <w:p w14:paraId="1106DF51"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2 424</w:t>
            </w:r>
          </w:p>
        </w:tc>
        <w:tc>
          <w:tcPr>
            <w:tcW w:w="511" w:type="pct"/>
            <w:tcBorders>
              <w:top w:val="nil"/>
              <w:left w:val="nil"/>
              <w:bottom w:val="nil"/>
              <w:right w:val="nil"/>
            </w:tcBorders>
            <w:shd w:val="clear" w:color="auto" w:fill="auto"/>
            <w:noWrap/>
            <w:vAlign w:val="bottom"/>
            <w:hideMark/>
          </w:tcPr>
          <w:p w14:paraId="4FB1E73D"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-139</w:t>
            </w:r>
          </w:p>
        </w:tc>
      </w:tr>
      <w:tr w:rsidR="004C6700" w:rsidRPr="00691349" w14:paraId="7318BA3D" w14:textId="77777777" w:rsidTr="00836EB5">
        <w:trPr>
          <w:trHeight w:val="290"/>
        </w:trPr>
        <w:tc>
          <w:tcPr>
            <w:tcW w:w="2745" w:type="pct"/>
            <w:tcBorders>
              <w:top w:val="nil"/>
              <w:left w:val="nil"/>
              <w:bottom w:val="nil"/>
              <w:right w:val="nil"/>
            </w:tcBorders>
            <w:shd w:val="clear" w:color="auto" w:fill="auto"/>
            <w:noWrap/>
            <w:vAlign w:val="bottom"/>
            <w:hideMark/>
          </w:tcPr>
          <w:p w14:paraId="79A6CEC8" w14:textId="77777777" w:rsidR="004C6700" w:rsidRPr="00691349" w:rsidRDefault="004C6700" w:rsidP="00836EB5">
            <w:pPr>
              <w:spacing w:after="0" w:line="240" w:lineRule="auto"/>
              <w:ind w:firstLineChars="200" w:firstLine="360"/>
              <w:jc w:val="left"/>
              <w:rPr>
                <w:rFonts w:eastAsia="Times New Roman" w:cs="Times New Roman"/>
                <w:sz w:val="18"/>
                <w:szCs w:val="18"/>
                <w:lang w:eastAsia="sk-SK"/>
              </w:rPr>
            </w:pPr>
            <w:r w:rsidRPr="00691349">
              <w:rPr>
                <w:rFonts w:eastAsia="Times New Roman" w:cs="Times New Roman"/>
                <w:sz w:val="18"/>
                <w:szCs w:val="18"/>
                <w:lang w:eastAsia="sk-SK"/>
              </w:rPr>
              <w:t>Zdravotnícke zariadenia ústrednej správy</w:t>
            </w:r>
          </w:p>
        </w:tc>
        <w:tc>
          <w:tcPr>
            <w:tcW w:w="564" w:type="pct"/>
            <w:tcBorders>
              <w:top w:val="nil"/>
              <w:left w:val="nil"/>
              <w:bottom w:val="nil"/>
              <w:right w:val="nil"/>
            </w:tcBorders>
            <w:shd w:val="clear" w:color="auto" w:fill="auto"/>
            <w:noWrap/>
            <w:vAlign w:val="bottom"/>
            <w:hideMark/>
          </w:tcPr>
          <w:p w14:paraId="0F57B948"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212 235</w:t>
            </w:r>
          </w:p>
        </w:tc>
        <w:tc>
          <w:tcPr>
            <w:tcW w:w="590" w:type="pct"/>
            <w:tcBorders>
              <w:top w:val="nil"/>
              <w:left w:val="nil"/>
              <w:bottom w:val="nil"/>
              <w:right w:val="nil"/>
            </w:tcBorders>
            <w:shd w:val="clear" w:color="auto" w:fill="auto"/>
            <w:noWrap/>
            <w:vAlign w:val="bottom"/>
            <w:hideMark/>
          </w:tcPr>
          <w:p w14:paraId="336BC4E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193 531</w:t>
            </w:r>
          </w:p>
        </w:tc>
        <w:tc>
          <w:tcPr>
            <w:tcW w:w="590" w:type="pct"/>
            <w:tcBorders>
              <w:top w:val="nil"/>
              <w:left w:val="nil"/>
              <w:bottom w:val="nil"/>
              <w:right w:val="nil"/>
            </w:tcBorders>
            <w:shd w:val="clear" w:color="auto" w:fill="auto"/>
            <w:noWrap/>
            <w:vAlign w:val="bottom"/>
            <w:hideMark/>
          </w:tcPr>
          <w:p w14:paraId="486E22F8"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175 730</w:t>
            </w:r>
          </w:p>
        </w:tc>
        <w:tc>
          <w:tcPr>
            <w:tcW w:w="511" w:type="pct"/>
            <w:tcBorders>
              <w:top w:val="nil"/>
              <w:left w:val="nil"/>
              <w:bottom w:val="nil"/>
              <w:right w:val="nil"/>
            </w:tcBorders>
            <w:shd w:val="clear" w:color="auto" w:fill="auto"/>
            <w:noWrap/>
            <w:vAlign w:val="bottom"/>
            <w:hideMark/>
          </w:tcPr>
          <w:p w14:paraId="44405564"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-17 801</w:t>
            </w:r>
          </w:p>
        </w:tc>
      </w:tr>
      <w:tr w:rsidR="004C6700" w:rsidRPr="00691349" w14:paraId="285A7926" w14:textId="77777777" w:rsidTr="00836EB5">
        <w:trPr>
          <w:trHeight w:val="290"/>
        </w:trPr>
        <w:tc>
          <w:tcPr>
            <w:tcW w:w="2745" w:type="pct"/>
            <w:tcBorders>
              <w:top w:val="nil"/>
              <w:left w:val="nil"/>
              <w:bottom w:val="nil"/>
              <w:right w:val="nil"/>
            </w:tcBorders>
            <w:shd w:val="clear" w:color="auto" w:fill="auto"/>
            <w:noWrap/>
            <w:vAlign w:val="bottom"/>
            <w:hideMark/>
          </w:tcPr>
          <w:p w14:paraId="16AD98FE" w14:textId="77777777" w:rsidR="004C6700" w:rsidRPr="00691349" w:rsidRDefault="004C6700" w:rsidP="00836EB5">
            <w:pPr>
              <w:spacing w:after="0" w:line="240" w:lineRule="auto"/>
              <w:ind w:firstLineChars="200" w:firstLine="360"/>
              <w:jc w:val="left"/>
              <w:rPr>
                <w:rFonts w:eastAsia="Times New Roman" w:cs="Times New Roman"/>
                <w:sz w:val="18"/>
                <w:szCs w:val="18"/>
                <w:lang w:eastAsia="sk-SK"/>
              </w:rPr>
            </w:pPr>
            <w:r w:rsidRPr="00691349">
              <w:rPr>
                <w:rFonts w:eastAsia="Times New Roman" w:cs="Times New Roman"/>
                <w:sz w:val="18"/>
                <w:szCs w:val="18"/>
                <w:lang w:eastAsia="sk-SK"/>
              </w:rPr>
              <w:t>Agentúra pre núdzové zásoby ropy a ropných výrobkov</w:t>
            </w:r>
          </w:p>
        </w:tc>
        <w:tc>
          <w:tcPr>
            <w:tcW w:w="564" w:type="pct"/>
            <w:tcBorders>
              <w:top w:val="nil"/>
              <w:left w:val="nil"/>
              <w:bottom w:val="nil"/>
              <w:right w:val="nil"/>
            </w:tcBorders>
            <w:shd w:val="clear" w:color="auto" w:fill="auto"/>
            <w:noWrap/>
            <w:vAlign w:val="bottom"/>
            <w:hideMark/>
          </w:tcPr>
          <w:p w14:paraId="1CD3123B"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281 551</w:t>
            </w:r>
          </w:p>
        </w:tc>
        <w:tc>
          <w:tcPr>
            <w:tcW w:w="590" w:type="pct"/>
            <w:tcBorders>
              <w:top w:val="nil"/>
              <w:left w:val="nil"/>
              <w:bottom w:val="nil"/>
              <w:right w:val="nil"/>
            </w:tcBorders>
            <w:shd w:val="clear" w:color="auto" w:fill="auto"/>
            <w:noWrap/>
            <w:vAlign w:val="bottom"/>
            <w:hideMark/>
          </w:tcPr>
          <w:p w14:paraId="686F1F9F"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241 357</w:t>
            </w:r>
          </w:p>
        </w:tc>
        <w:tc>
          <w:tcPr>
            <w:tcW w:w="590" w:type="pct"/>
            <w:tcBorders>
              <w:top w:val="nil"/>
              <w:left w:val="nil"/>
              <w:bottom w:val="nil"/>
              <w:right w:val="nil"/>
            </w:tcBorders>
            <w:shd w:val="clear" w:color="auto" w:fill="auto"/>
            <w:noWrap/>
            <w:vAlign w:val="bottom"/>
            <w:hideMark/>
          </w:tcPr>
          <w:p w14:paraId="0A1D0DD4"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220 348</w:t>
            </w:r>
          </w:p>
        </w:tc>
        <w:tc>
          <w:tcPr>
            <w:tcW w:w="511" w:type="pct"/>
            <w:tcBorders>
              <w:top w:val="nil"/>
              <w:left w:val="nil"/>
              <w:bottom w:val="nil"/>
              <w:right w:val="nil"/>
            </w:tcBorders>
            <w:shd w:val="clear" w:color="auto" w:fill="auto"/>
            <w:noWrap/>
            <w:vAlign w:val="bottom"/>
            <w:hideMark/>
          </w:tcPr>
          <w:p w14:paraId="17A8232F"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-21 009</w:t>
            </w:r>
          </w:p>
        </w:tc>
      </w:tr>
      <w:tr w:rsidR="004C6700" w:rsidRPr="00691349" w14:paraId="1E501A6E" w14:textId="77777777" w:rsidTr="00836EB5">
        <w:trPr>
          <w:trHeight w:val="290"/>
        </w:trPr>
        <w:tc>
          <w:tcPr>
            <w:tcW w:w="2745" w:type="pct"/>
            <w:tcBorders>
              <w:top w:val="nil"/>
              <w:left w:val="nil"/>
              <w:bottom w:val="nil"/>
              <w:right w:val="nil"/>
            </w:tcBorders>
            <w:shd w:val="clear" w:color="auto" w:fill="auto"/>
            <w:noWrap/>
            <w:vAlign w:val="bottom"/>
            <w:hideMark/>
          </w:tcPr>
          <w:p w14:paraId="31E66DB0" w14:textId="77777777" w:rsidR="004C6700" w:rsidRPr="00691349" w:rsidRDefault="004C6700" w:rsidP="00836EB5">
            <w:pPr>
              <w:spacing w:after="0" w:line="240" w:lineRule="auto"/>
              <w:ind w:firstLineChars="200" w:firstLine="360"/>
              <w:jc w:val="left"/>
              <w:rPr>
                <w:rFonts w:eastAsia="Times New Roman" w:cs="Times New Roman"/>
                <w:sz w:val="18"/>
                <w:szCs w:val="18"/>
                <w:lang w:eastAsia="sk-SK"/>
              </w:rPr>
            </w:pPr>
            <w:r w:rsidRPr="00691349">
              <w:rPr>
                <w:rFonts w:eastAsia="Times New Roman" w:cs="Times New Roman"/>
                <w:sz w:val="18"/>
                <w:szCs w:val="18"/>
                <w:lang w:eastAsia="sk-SK"/>
              </w:rPr>
              <w:t>Ostatné subjekty ústrednej správy</w:t>
            </w:r>
          </w:p>
        </w:tc>
        <w:tc>
          <w:tcPr>
            <w:tcW w:w="564" w:type="pct"/>
            <w:tcBorders>
              <w:top w:val="nil"/>
              <w:left w:val="nil"/>
              <w:bottom w:val="nil"/>
              <w:right w:val="nil"/>
            </w:tcBorders>
            <w:shd w:val="clear" w:color="auto" w:fill="auto"/>
            <w:noWrap/>
            <w:vAlign w:val="bottom"/>
            <w:hideMark/>
          </w:tcPr>
          <w:p w14:paraId="700ACC55"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9 906</w:t>
            </w:r>
          </w:p>
        </w:tc>
        <w:tc>
          <w:tcPr>
            <w:tcW w:w="590" w:type="pct"/>
            <w:tcBorders>
              <w:top w:val="nil"/>
              <w:left w:val="nil"/>
              <w:bottom w:val="nil"/>
              <w:right w:val="nil"/>
            </w:tcBorders>
            <w:shd w:val="clear" w:color="auto" w:fill="auto"/>
            <w:noWrap/>
            <w:vAlign w:val="bottom"/>
            <w:hideMark/>
          </w:tcPr>
          <w:p w14:paraId="694DB916"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24 781</w:t>
            </w:r>
          </w:p>
        </w:tc>
        <w:tc>
          <w:tcPr>
            <w:tcW w:w="590" w:type="pct"/>
            <w:tcBorders>
              <w:top w:val="nil"/>
              <w:left w:val="nil"/>
              <w:bottom w:val="nil"/>
              <w:right w:val="nil"/>
            </w:tcBorders>
            <w:shd w:val="clear" w:color="auto" w:fill="auto"/>
            <w:noWrap/>
            <w:vAlign w:val="bottom"/>
            <w:hideMark/>
          </w:tcPr>
          <w:p w14:paraId="65C26385"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13 803</w:t>
            </w:r>
          </w:p>
        </w:tc>
        <w:tc>
          <w:tcPr>
            <w:tcW w:w="511" w:type="pct"/>
            <w:tcBorders>
              <w:top w:val="nil"/>
              <w:left w:val="nil"/>
              <w:bottom w:val="nil"/>
              <w:right w:val="nil"/>
            </w:tcBorders>
            <w:shd w:val="clear" w:color="auto" w:fill="auto"/>
            <w:noWrap/>
            <w:vAlign w:val="bottom"/>
            <w:hideMark/>
          </w:tcPr>
          <w:p w14:paraId="6D70E00C"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-10 978</w:t>
            </w:r>
          </w:p>
        </w:tc>
      </w:tr>
      <w:tr w:rsidR="004C6700" w:rsidRPr="00691349" w14:paraId="59E5FC45" w14:textId="77777777" w:rsidTr="00836EB5">
        <w:trPr>
          <w:trHeight w:val="290"/>
        </w:trPr>
        <w:tc>
          <w:tcPr>
            <w:tcW w:w="2745" w:type="pct"/>
            <w:tcBorders>
              <w:top w:val="nil"/>
              <w:left w:val="nil"/>
              <w:bottom w:val="nil"/>
              <w:right w:val="nil"/>
            </w:tcBorders>
            <w:shd w:val="clear" w:color="auto" w:fill="auto"/>
            <w:noWrap/>
            <w:vAlign w:val="bottom"/>
            <w:hideMark/>
          </w:tcPr>
          <w:p w14:paraId="0212C15C" w14:textId="77777777" w:rsidR="004C6700" w:rsidRPr="00691349" w:rsidRDefault="004C6700" w:rsidP="00836EB5">
            <w:pPr>
              <w:spacing w:after="0" w:line="240" w:lineRule="auto"/>
              <w:jc w:val="left"/>
              <w:rPr>
                <w:rFonts w:eastAsia="Times New Roman" w:cs="Times New Roman"/>
                <w:b/>
                <w:bCs/>
                <w:sz w:val="18"/>
                <w:szCs w:val="18"/>
                <w:lang w:eastAsia="sk-SK"/>
              </w:rPr>
            </w:pPr>
            <w:r w:rsidRPr="00691349">
              <w:rPr>
                <w:rFonts w:eastAsia="Times New Roman" w:cs="Times New Roman"/>
                <w:b/>
                <w:bCs/>
                <w:sz w:val="18"/>
                <w:szCs w:val="18"/>
                <w:lang w:eastAsia="sk-SK"/>
              </w:rPr>
              <w:t>Územná samospráva</w:t>
            </w:r>
          </w:p>
        </w:tc>
        <w:tc>
          <w:tcPr>
            <w:tcW w:w="564" w:type="pct"/>
            <w:tcBorders>
              <w:top w:val="nil"/>
              <w:left w:val="nil"/>
              <w:bottom w:val="nil"/>
              <w:right w:val="nil"/>
            </w:tcBorders>
            <w:shd w:val="clear" w:color="auto" w:fill="auto"/>
            <w:noWrap/>
            <w:vAlign w:val="bottom"/>
            <w:hideMark/>
          </w:tcPr>
          <w:p w14:paraId="2490A045" w14:textId="77777777" w:rsidR="004C6700" w:rsidRPr="00691349" w:rsidRDefault="004C6700" w:rsidP="00836EB5">
            <w:pPr>
              <w:spacing w:after="0" w:line="240" w:lineRule="auto"/>
              <w:jc w:val="left"/>
              <w:rPr>
                <w:rFonts w:eastAsia="Times New Roman" w:cs="Times New Roman"/>
                <w:b/>
                <w:bCs/>
                <w:sz w:val="18"/>
                <w:szCs w:val="18"/>
                <w:lang w:eastAsia="sk-SK"/>
              </w:rPr>
            </w:pPr>
          </w:p>
        </w:tc>
        <w:tc>
          <w:tcPr>
            <w:tcW w:w="590" w:type="pct"/>
            <w:tcBorders>
              <w:top w:val="nil"/>
              <w:left w:val="nil"/>
              <w:bottom w:val="nil"/>
              <w:right w:val="nil"/>
            </w:tcBorders>
            <w:shd w:val="clear" w:color="auto" w:fill="auto"/>
            <w:noWrap/>
            <w:vAlign w:val="bottom"/>
            <w:hideMark/>
          </w:tcPr>
          <w:p w14:paraId="5B61333C" w14:textId="77777777" w:rsidR="004C6700" w:rsidRPr="00691349" w:rsidRDefault="004C6700" w:rsidP="00836EB5">
            <w:pPr>
              <w:spacing w:after="0" w:line="240" w:lineRule="auto"/>
              <w:jc w:val="left"/>
              <w:rPr>
                <w:rFonts w:eastAsia="Times New Roman" w:cs="Times New Roman"/>
                <w:sz w:val="18"/>
                <w:szCs w:val="18"/>
                <w:lang w:eastAsia="sk-SK"/>
              </w:rPr>
            </w:pPr>
          </w:p>
        </w:tc>
        <w:tc>
          <w:tcPr>
            <w:tcW w:w="590" w:type="pct"/>
            <w:tcBorders>
              <w:top w:val="nil"/>
              <w:left w:val="nil"/>
              <w:bottom w:val="nil"/>
              <w:right w:val="nil"/>
            </w:tcBorders>
            <w:shd w:val="clear" w:color="auto" w:fill="auto"/>
            <w:noWrap/>
            <w:vAlign w:val="bottom"/>
            <w:hideMark/>
          </w:tcPr>
          <w:p w14:paraId="3AF7702B" w14:textId="77777777" w:rsidR="004C6700" w:rsidRPr="00691349" w:rsidRDefault="004C6700" w:rsidP="00836EB5">
            <w:pPr>
              <w:spacing w:after="0" w:line="240" w:lineRule="auto"/>
              <w:jc w:val="left"/>
              <w:rPr>
                <w:rFonts w:eastAsia="Times New Roman" w:cs="Times New Roman"/>
                <w:sz w:val="18"/>
                <w:szCs w:val="18"/>
                <w:lang w:eastAsia="sk-SK"/>
              </w:rPr>
            </w:pPr>
          </w:p>
        </w:tc>
        <w:tc>
          <w:tcPr>
            <w:tcW w:w="511" w:type="pct"/>
            <w:tcBorders>
              <w:top w:val="nil"/>
              <w:left w:val="nil"/>
              <w:bottom w:val="nil"/>
              <w:right w:val="nil"/>
            </w:tcBorders>
            <w:shd w:val="clear" w:color="auto" w:fill="auto"/>
            <w:noWrap/>
            <w:vAlign w:val="bottom"/>
            <w:hideMark/>
          </w:tcPr>
          <w:p w14:paraId="419706A0" w14:textId="77777777" w:rsidR="004C6700" w:rsidRPr="00691349" w:rsidRDefault="004C6700" w:rsidP="00836EB5">
            <w:pPr>
              <w:spacing w:after="0" w:line="240" w:lineRule="auto"/>
              <w:jc w:val="left"/>
              <w:rPr>
                <w:rFonts w:eastAsia="Times New Roman" w:cs="Times New Roman"/>
                <w:sz w:val="18"/>
                <w:szCs w:val="18"/>
                <w:lang w:eastAsia="sk-SK"/>
              </w:rPr>
            </w:pPr>
          </w:p>
        </w:tc>
      </w:tr>
      <w:tr w:rsidR="004C6700" w:rsidRPr="00691349" w14:paraId="240BE92B" w14:textId="77777777" w:rsidTr="00836EB5">
        <w:trPr>
          <w:trHeight w:val="290"/>
        </w:trPr>
        <w:tc>
          <w:tcPr>
            <w:tcW w:w="2745" w:type="pct"/>
            <w:tcBorders>
              <w:top w:val="nil"/>
              <w:left w:val="nil"/>
              <w:bottom w:val="nil"/>
              <w:right w:val="nil"/>
            </w:tcBorders>
            <w:shd w:val="clear" w:color="auto" w:fill="auto"/>
            <w:noWrap/>
            <w:vAlign w:val="bottom"/>
            <w:hideMark/>
          </w:tcPr>
          <w:p w14:paraId="670BBC3B" w14:textId="77777777" w:rsidR="004C6700" w:rsidRPr="00691349" w:rsidRDefault="004C6700" w:rsidP="00836EB5">
            <w:pPr>
              <w:spacing w:after="0" w:line="240" w:lineRule="auto"/>
              <w:ind w:firstLineChars="200" w:firstLine="360"/>
              <w:jc w:val="left"/>
              <w:rPr>
                <w:rFonts w:eastAsia="Times New Roman" w:cs="Times New Roman"/>
                <w:sz w:val="18"/>
                <w:szCs w:val="18"/>
                <w:lang w:eastAsia="sk-SK"/>
              </w:rPr>
            </w:pPr>
            <w:r w:rsidRPr="00691349">
              <w:rPr>
                <w:rFonts w:eastAsia="Times New Roman" w:cs="Times New Roman"/>
                <w:sz w:val="18"/>
                <w:szCs w:val="18"/>
                <w:lang w:eastAsia="sk-SK"/>
              </w:rPr>
              <w:t>Obce a ich rozpočtové organizácie</w:t>
            </w:r>
          </w:p>
        </w:tc>
        <w:tc>
          <w:tcPr>
            <w:tcW w:w="564" w:type="pct"/>
            <w:tcBorders>
              <w:top w:val="nil"/>
              <w:left w:val="nil"/>
              <w:bottom w:val="nil"/>
              <w:right w:val="nil"/>
            </w:tcBorders>
            <w:shd w:val="clear" w:color="auto" w:fill="auto"/>
            <w:noWrap/>
            <w:vAlign w:val="bottom"/>
            <w:hideMark/>
          </w:tcPr>
          <w:p w14:paraId="4841031E"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1 644 707</w:t>
            </w:r>
          </w:p>
        </w:tc>
        <w:tc>
          <w:tcPr>
            <w:tcW w:w="590" w:type="pct"/>
            <w:tcBorders>
              <w:top w:val="nil"/>
              <w:left w:val="nil"/>
              <w:bottom w:val="nil"/>
              <w:right w:val="nil"/>
            </w:tcBorders>
            <w:shd w:val="clear" w:color="auto" w:fill="auto"/>
            <w:noWrap/>
            <w:vAlign w:val="bottom"/>
            <w:hideMark/>
          </w:tcPr>
          <w:p w14:paraId="01216E05"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1 751 497</w:t>
            </w:r>
          </w:p>
        </w:tc>
        <w:tc>
          <w:tcPr>
            <w:tcW w:w="590" w:type="pct"/>
            <w:tcBorders>
              <w:top w:val="nil"/>
              <w:left w:val="nil"/>
              <w:bottom w:val="nil"/>
              <w:right w:val="nil"/>
            </w:tcBorders>
            <w:shd w:val="clear" w:color="auto" w:fill="auto"/>
            <w:noWrap/>
            <w:vAlign w:val="bottom"/>
            <w:hideMark/>
          </w:tcPr>
          <w:p w14:paraId="7A865A4E"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1 833 794</w:t>
            </w:r>
          </w:p>
        </w:tc>
        <w:tc>
          <w:tcPr>
            <w:tcW w:w="511" w:type="pct"/>
            <w:tcBorders>
              <w:top w:val="nil"/>
              <w:left w:val="nil"/>
              <w:bottom w:val="nil"/>
              <w:right w:val="nil"/>
            </w:tcBorders>
            <w:shd w:val="clear" w:color="auto" w:fill="auto"/>
            <w:noWrap/>
            <w:vAlign w:val="bottom"/>
            <w:hideMark/>
          </w:tcPr>
          <w:p w14:paraId="0F434DC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82 297</w:t>
            </w:r>
          </w:p>
        </w:tc>
      </w:tr>
      <w:tr w:rsidR="004C6700" w:rsidRPr="00691349" w14:paraId="1AB1A505" w14:textId="77777777" w:rsidTr="00836EB5">
        <w:trPr>
          <w:trHeight w:val="290"/>
        </w:trPr>
        <w:tc>
          <w:tcPr>
            <w:tcW w:w="2745" w:type="pct"/>
            <w:tcBorders>
              <w:top w:val="nil"/>
              <w:left w:val="nil"/>
              <w:bottom w:val="nil"/>
              <w:right w:val="nil"/>
            </w:tcBorders>
            <w:shd w:val="clear" w:color="auto" w:fill="auto"/>
            <w:noWrap/>
            <w:vAlign w:val="bottom"/>
            <w:hideMark/>
          </w:tcPr>
          <w:p w14:paraId="77FCE598" w14:textId="77777777" w:rsidR="004C6700" w:rsidRPr="00691349" w:rsidRDefault="004C6700" w:rsidP="00836EB5">
            <w:pPr>
              <w:spacing w:after="0" w:line="240" w:lineRule="auto"/>
              <w:ind w:firstLineChars="200" w:firstLine="360"/>
              <w:jc w:val="left"/>
              <w:rPr>
                <w:rFonts w:eastAsia="Times New Roman" w:cs="Times New Roman"/>
                <w:sz w:val="18"/>
                <w:szCs w:val="18"/>
                <w:lang w:eastAsia="sk-SK"/>
              </w:rPr>
            </w:pPr>
            <w:r w:rsidRPr="00691349">
              <w:rPr>
                <w:rFonts w:eastAsia="Times New Roman" w:cs="Times New Roman"/>
                <w:sz w:val="18"/>
                <w:szCs w:val="18"/>
                <w:lang w:eastAsia="sk-SK"/>
              </w:rPr>
              <w:t>Vyššie územné celky a ich rozpočtové organizácie</w:t>
            </w:r>
          </w:p>
        </w:tc>
        <w:tc>
          <w:tcPr>
            <w:tcW w:w="564" w:type="pct"/>
            <w:tcBorders>
              <w:top w:val="nil"/>
              <w:left w:val="nil"/>
              <w:bottom w:val="nil"/>
              <w:right w:val="nil"/>
            </w:tcBorders>
            <w:shd w:val="clear" w:color="auto" w:fill="auto"/>
            <w:noWrap/>
            <w:vAlign w:val="bottom"/>
            <w:hideMark/>
          </w:tcPr>
          <w:p w14:paraId="3C00E34B"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507 705</w:t>
            </w:r>
          </w:p>
        </w:tc>
        <w:tc>
          <w:tcPr>
            <w:tcW w:w="590" w:type="pct"/>
            <w:tcBorders>
              <w:top w:val="nil"/>
              <w:left w:val="nil"/>
              <w:bottom w:val="nil"/>
              <w:right w:val="nil"/>
            </w:tcBorders>
            <w:shd w:val="clear" w:color="auto" w:fill="auto"/>
            <w:noWrap/>
            <w:vAlign w:val="bottom"/>
            <w:hideMark/>
          </w:tcPr>
          <w:p w14:paraId="091C7D74"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565 287</w:t>
            </w:r>
          </w:p>
        </w:tc>
        <w:tc>
          <w:tcPr>
            <w:tcW w:w="590" w:type="pct"/>
            <w:tcBorders>
              <w:top w:val="nil"/>
              <w:left w:val="nil"/>
              <w:bottom w:val="nil"/>
              <w:right w:val="nil"/>
            </w:tcBorders>
            <w:shd w:val="clear" w:color="auto" w:fill="auto"/>
            <w:noWrap/>
            <w:vAlign w:val="bottom"/>
            <w:hideMark/>
          </w:tcPr>
          <w:p w14:paraId="25059060"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701 518</w:t>
            </w:r>
          </w:p>
        </w:tc>
        <w:tc>
          <w:tcPr>
            <w:tcW w:w="511" w:type="pct"/>
            <w:tcBorders>
              <w:top w:val="nil"/>
              <w:left w:val="nil"/>
              <w:bottom w:val="nil"/>
              <w:right w:val="nil"/>
            </w:tcBorders>
            <w:shd w:val="clear" w:color="auto" w:fill="auto"/>
            <w:noWrap/>
            <w:vAlign w:val="bottom"/>
            <w:hideMark/>
          </w:tcPr>
          <w:p w14:paraId="6180866B"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136 231</w:t>
            </w:r>
          </w:p>
        </w:tc>
      </w:tr>
      <w:tr w:rsidR="004C6700" w:rsidRPr="00691349" w14:paraId="0E4373E1" w14:textId="77777777" w:rsidTr="00836EB5">
        <w:trPr>
          <w:trHeight w:val="290"/>
        </w:trPr>
        <w:tc>
          <w:tcPr>
            <w:tcW w:w="2745" w:type="pct"/>
            <w:tcBorders>
              <w:top w:val="nil"/>
              <w:left w:val="nil"/>
              <w:bottom w:val="nil"/>
              <w:right w:val="nil"/>
            </w:tcBorders>
            <w:shd w:val="clear" w:color="auto" w:fill="auto"/>
            <w:noWrap/>
            <w:vAlign w:val="bottom"/>
            <w:hideMark/>
          </w:tcPr>
          <w:p w14:paraId="2C1464BE" w14:textId="77777777" w:rsidR="004C6700" w:rsidRPr="00691349" w:rsidRDefault="004C6700" w:rsidP="00836EB5">
            <w:pPr>
              <w:spacing w:after="0" w:line="240" w:lineRule="auto"/>
              <w:ind w:firstLineChars="200" w:firstLine="360"/>
              <w:jc w:val="left"/>
              <w:rPr>
                <w:rFonts w:eastAsia="Times New Roman" w:cs="Times New Roman"/>
                <w:sz w:val="18"/>
                <w:szCs w:val="18"/>
                <w:lang w:eastAsia="sk-SK"/>
              </w:rPr>
            </w:pPr>
            <w:r w:rsidRPr="00691349">
              <w:rPr>
                <w:rFonts w:eastAsia="Times New Roman" w:cs="Times New Roman"/>
                <w:sz w:val="18"/>
                <w:szCs w:val="18"/>
                <w:lang w:eastAsia="sk-SK"/>
              </w:rPr>
              <w:t>Príspevkové organizácie obcí</w:t>
            </w:r>
          </w:p>
        </w:tc>
        <w:tc>
          <w:tcPr>
            <w:tcW w:w="564" w:type="pct"/>
            <w:tcBorders>
              <w:top w:val="nil"/>
              <w:left w:val="nil"/>
              <w:bottom w:val="nil"/>
              <w:right w:val="nil"/>
            </w:tcBorders>
            <w:shd w:val="clear" w:color="auto" w:fill="auto"/>
            <w:noWrap/>
            <w:vAlign w:val="bottom"/>
            <w:hideMark/>
          </w:tcPr>
          <w:p w14:paraId="2569A225"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2 270</w:t>
            </w:r>
          </w:p>
        </w:tc>
        <w:tc>
          <w:tcPr>
            <w:tcW w:w="590" w:type="pct"/>
            <w:tcBorders>
              <w:top w:val="nil"/>
              <w:left w:val="nil"/>
              <w:bottom w:val="nil"/>
              <w:right w:val="nil"/>
            </w:tcBorders>
            <w:shd w:val="clear" w:color="auto" w:fill="auto"/>
            <w:noWrap/>
            <w:vAlign w:val="bottom"/>
            <w:hideMark/>
          </w:tcPr>
          <w:p w14:paraId="607E261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1 722</w:t>
            </w:r>
          </w:p>
        </w:tc>
        <w:tc>
          <w:tcPr>
            <w:tcW w:w="590" w:type="pct"/>
            <w:tcBorders>
              <w:top w:val="nil"/>
              <w:left w:val="nil"/>
              <w:bottom w:val="nil"/>
              <w:right w:val="nil"/>
            </w:tcBorders>
            <w:shd w:val="clear" w:color="auto" w:fill="auto"/>
            <w:noWrap/>
            <w:vAlign w:val="bottom"/>
            <w:hideMark/>
          </w:tcPr>
          <w:p w14:paraId="6288AA48"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2 849</w:t>
            </w:r>
          </w:p>
        </w:tc>
        <w:tc>
          <w:tcPr>
            <w:tcW w:w="511" w:type="pct"/>
            <w:tcBorders>
              <w:top w:val="nil"/>
              <w:left w:val="nil"/>
              <w:bottom w:val="nil"/>
              <w:right w:val="nil"/>
            </w:tcBorders>
            <w:shd w:val="clear" w:color="auto" w:fill="auto"/>
            <w:noWrap/>
            <w:vAlign w:val="bottom"/>
            <w:hideMark/>
          </w:tcPr>
          <w:p w14:paraId="2FF96925"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1 127</w:t>
            </w:r>
          </w:p>
        </w:tc>
      </w:tr>
      <w:tr w:rsidR="004C6700" w:rsidRPr="00691349" w14:paraId="66F19B18" w14:textId="77777777" w:rsidTr="00836EB5">
        <w:trPr>
          <w:trHeight w:val="290"/>
        </w:trPr>
        <w:tc>
          <w:tcPr>
            <w:tcW w:w="2745" w:type="pct"/>
            <w:tcBorders>
              <w:top w:val="nil"/>
              <w:left w:val="nil"/>
              <w:bottom w:val="nil"/>
              <w:right w:val="nil"/>
            </w:tcBorders>
            <w:shd w:val="clear" w:color="auto" w:fill="auto"/>
            <w:noWrap/>
            <w:vAlign w:val="bottom"/>
            <w:hideMark/>
          </w:tcPr>
          <w:p w14:paraId="4CC1447F" w14:textId="77777777" w:rsidR="004C6700" w:rsidRPr="00691349" w:rsidRDefault="004C6700" w:rsidP="00836EB5">
            <w:pPr>
              <w:spacing w:after="0" w:line="240" w:lineRule="auto"/>
              <w:ind w:firstLineChars="200" w:firstLine="360"/>
              <w:jc w:val="left"/>
              <w:rPr>
                <w:rFonts w:eastAsia="Times New Roman" w:cs="Times New Roman"/>
                <w:sz w:val="18"/>
                <w:szCs w:val="18"/>
                <w:lang w:eastAsia="sk-SK"/>
              </w:rPr>
            </w:pPr>
            <w:r w:rsidRPr="00691349">
              <w:rPr>
                <w:rFonts w:eastAsia="Times New Roman" w:cs="Times New Roman"/>
                <w:sz w:val="18"/>
                <w:szCs w:val="18"/>
                <w:lang w:eastAsia="sk-SK"/>
              </w:rPr>
              <w:t>Príspevkové organizácie VÚC</w:t>
            </w:r>
          </w:p>
        </w:tc>
        <w:tc>
          <w:tcPr>
            <w:tcW w:w="564" w:type="pct"/>
            <w:tcBorders>
              <w:top w:val="nil"/>
              <w:left w:val="nil"/>
              <w:bottom w:val="nil"/>
              <w:right w:val="nil"/>
            </w:tcBorders>
            <w:shd w:val="clear" w:color="auto" w:fill="auto"/>
            <w:noWrap/>
            <w:vAlign w:val="bottom"/>
            <w:hideMark/>
          </w:tcPr>
          <w:p w14:paraId="2D6D9A19"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1 009</w:t>
            </w:r>
          </w:p>
        </w:tc>
        <w:tc>
          <w:tcPr>
            <w:tcW w:w="590" w:type="pct"/>
            <w:tcBorders>
              <w:top w:val="nil"/>
              <w:left w:val="nil"/>
              <w:bottom w:val="nil"/>
              <w:right w:val="nil"/>
            </w:tcBorders>
            <w:shd w:val="clear" w:color="auto" w:fill="auto"/>
            <w:noWrap/>
            <w:vAlign w:val="bottom"/>
            <w:hideMark/>
          </w:tcPr>
          <w:p w14:paraId="60BD8261"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1 246</w:t>
            </w:r>
          </w:p>
        </w:tc>
        <w:tc>
          <w:tcPr>
            <w:tcW w:w="590" w:type="pct"/>
            <w:tcBorders>
              <w:top w:val="nil"/>
              <w:left w:val="nil"/>
              <w:bottom w:val="nil"/>
              <w:right w:val="nil"/>
            </w:tcBorders>
            <w:shd w:val="clear" w:color="auto" w:fill="auto"/>
            <w:noWrap/>
            <w:vAlign w:val="bottom"/>
            <w:hideMark/>
          </w:tcPr>
          <w:p w14:paraId="613FA026"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1 345</w:t>
            </w:r>
          </w:p>
        </w:tc>
        <w:tc>
          <w:tcPr>
            <w:tcW w:w="511" w:type="pct"/>
            <w:tcBorders>
              <w:top w:val="nil"/>
              <w:left w:val="nil"/>
              <w:bottom w:val="nil"/>
              <w:right w:val="nil"/>
            </w:tcBorders>
            <w:shd w:val="clear" w:color="auto" w:fill="auto"/>
            <w:noWrap/>
            <w:vAlign w:val="bottom"/>
            <w:hideMark/>
          </w:tcPr>
          <w:p w14:paraId="60EFB4A2"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99</w:t>
            </w:r>
          </w:p>
        </w:tc>
      </w:tr>
      <w:tr w:rsidR="004C6700" w:rsidRPr="00691349" w14:paraId="326A3BB7" w14:textId="77777777" w:rsidTr="00836EB5">
        <w:trPr>
          <w:trHeight w:val="290"/>
        </w:trPr>
        <w:tc>
          <w:tcPr>
            <w:tcW w:w="2745" w:type="pct"/>
            <w:tcBorders>
              <w:top w:val="nil"/>
              <w:left w:val="nil"/>
              <w:bottom w:val="nil"/>
              <w:right w:val="nil"/>
            </w:tcBorders>
            <w:shd w:val="clear" w:color="auto" w:fill="auto"/>
            <w:noWrap/>
            <w:vAlign w:val="bottom"/>
            <w:hideMark/>
          </w:tcPr>
          <w:p w14:paraId="5DD7C54D" w14:textId="77777777" w:rsidR="004C6700" w:rsidRPr="00691349" w:rsidRDefault="004C6700" w:rsidP="00836EB5">
            <w:pPr>
              <w:spacing w:after="0" w:line="240" w:lineRule="auto"/>
              <w:ind w:firstLineChars="200" w:firstLine="360"/>
              <w:jc w:val="left"/>
              <w:rPr>
                <w:rFonts w:eastAsia="Times New Roman" w:cs="Times New Roman"/>
                <w:sz w:val="18"/>
                <w:szCs w:val="18"/>
                <w:lang w:eastAsia="sk-SK"/>
              </w:rPr>
            </w:pPr>
            <w:r w:rsidRPr="00691349">
              <w:rPr>
                <w:rFonts w:eastAsia="Times New Roman" w:cs="Times New Roman"/>
                <w:sz w:val="18"/>
                <w:szCs w:val="18"/>
                <w:lang w:eastAsia="sk-SK"/>
              </w:rPr>
              <w:t>Dopravné podniky</w:t>
            </w:r>
          </w:p>
        </w:tc>
        <w:tc>
          <w:tcPr>
            <w:tcW w:w="564" w:type="pct"/>
            <w:tcBorders>
              <w:top w:val="nil"/>
              <w:left w:val="nil"/>
              <w:bottom w:val="nil"/>
              <w:right w:val="nil"/>
            </w:tcBorders>
            <w:shd w:val="clear" w:color="auto" w:fill="auto"/>
            <w:noWrap/>
            <w:vAlign w:val="bottom"/>
            <w:hideMark/>
          </w:tcPr>
          <w:p w14:paraId="39B91628"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65 327</w:t>
            </w:r>
          </w:p>
        </w:tc>
        <w:tc>
          <w:tcPr>
            <w:tcW w:w="590" w:type="pct"/>
            <w:tcBorders>
              <w:top w:val="nil"/>
              <w:left w:val="nil"/>
              <w:bottom w:val="nil"/>
              <w:right w:val="nil"/>
            </w:tcBorders>
            <w:shd w:val="clear" w:color="auto" w:fill="auto"/>
            <w:noWrap/>
            <w:vAlign w:val="bottom"/>
            <w:hideMark/>
          </w:tcPr>
          <w:p w14:paraId="0C93C7B0"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106 800</w:t>
            </w:r>
          </w:p>
        </w:tc>
        <w:tc>
          <w:tcPr>
            <w:tcW w:w="590" w:type="pct"/>
            <w:tcBorders>
              <w:top w:val="nil"/>
              <w:left w:val="nil"/>
              <w:bottom w:val="nil"/>
              <w:right w:val="nil"/>
            </w:tcBorders>
            <w:shd w:val="clear" w:color="auto" w:fill="auto"/>
            <w:noWrap/>
            <w:vAlign w:val="bottom"/>
            <w:hideMark/>
          </w:tcPr>
          <w:p w14:paraId="1C606589"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97 120</w:t>
            </w:r>
          </w:p>
        </w:tc>
        <w:tc>
          <w:tcPr>
            <w:tcW w:w="511" w:type="pct"/>
            <w:tcBorders>
              <w:top w:val="nil"/>
              <w:left w:val="nil"/>
              <w:bottom w:val="nil"/>
              <w:right w:val="nil"/>
            </w:tcBorders>
            <w:shd w:val="clear" w:color="auto" w:fill="auto"/>
            <w:noWrap/>
            <w:vAlign w:val="bottom"/>
            <w:hideMark/>
          </w:tcPr>
          <w:p w14:paraId="3923EDE5"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-9 680</w:t>
            </w:r>
          </w:p>
        </w:tc>
      </w:tr>
      <w:tr w:rsidR="004C6700" w:rsidRPr="00691349" w14:paraId="37E945C6" w14:textId="77777777" w:rsidTr="00836EB5">
        <w:trPr>
          <w:trHeight w:val="290"/>
        </w:trPr>
        <w:tc>
          <w:tcPr>
            <w:tcW w:w="2745" w:type="pct"/>
            <w:tcBorders>
              <w:top w:val="nil"/>
              <w:left w:val="nil"/>
              <w:bottom w:val="nil"/>
              <w:right w:val="nil"/>
            </w:tcBorders>
            <w:shd w:val="clear" w:color="auto" w:fill="auto"/>
            <w:noWrap/>
            <w:vAlign w:val="bottom"/>
            <w:hideMark/>
          </w:tcPr>
          <w:p w14:paraId="3081A6EF" w14:textId="77777777" w:rsidR="004C6700" w:rsidRPr="00691349" w:rsidRDefault="004C6700" w:rsidP="00836EB5">
            <w:pPr>
              <w:spacing w:after="0" w:line="240" w:lineRule="auto"/>
              <w:ind w:firstLineChars="200" w:firstLine="360"/>
              <w:jc w:val="left"/>
              <w:rPr>
                <w:rFonts w:eastAsia="Times New Roman" w:cs="Times New Roman"/>
                <w:sz w:val="18"/>
                <w:szCs w:val="18"/>
                <w:lang w:eastAsia="sk-SK"/>
              </w:rPr>
            </w:pPr>
            <w:r w:rsidRPr="00691349">
              <w:rPr>
                <w:rFonts w:eastAsia="Times New Roman" w:cs="Times New Roman"/>
                <w:sz w:val="18"/>
                <w:szCs w:val="18"/>
                <w:lang w:eastAsia="sk-SK"/>
              </w:rPr>
              <w:t>Zdravotnícke zariadenia miestnej samosprávy</w:t>
            </w:r>
          </w:p>
        </w:tc>
        <w:tc>
          <w:tcPr>
            <w:tcW w:w="564" w:type="pct"/>
            <w:tcBorders>
              <w:top w:val="nil"/>
              <w:left w:val="nil"/>
              <w:bottom w:val="nil"/>
              <w:right w:val="nil"/>
            </w:tcBorders>
            <w:shd w:val="clear" w:color="auto" w:fill="auto"/>
            <w:noWrap/>
            <w:vAlign w:val="bottom"/>
            <w:hideMark/>
          </w:tcPr>
          <w:p w14:paraId="78EDF54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3 321</w:t>
            </w:r>
          </w:p>
        </w:tc>
        <w:tc>
          <w:tcPr>
            <w:tcW w:w="590" w:type="pct"/>
            <w:tcBorders>
              <w:top w:val="nil"/>
              <w:left w:val="nil"/>
              <w:bottom w:val="nil"/>
              <w:right w:val="nil"/>
            </w:tcBorders>
            <w:shd w:val="clear" w:color="auto" w:fill="auto"/>
            <w:noWrap/>
            <w:vAlign w:val="bottom"/>
            <w:hideMark/>
          </w:tcPr>
          <w:p w14:paraId="5BE8093F"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3 362</w:t>
            </w:r>
          </w:p>
        </w:tc>
        <w:tc>
          <w:tcPr>
            <w:tcW w:w="590" w:type="pct"/>
            <w:tcBorders>
              <w:top w:val="nil"/>
              <w:left w:val="nil"/>
              <w:bottom w:val="nil"/>
              <w:right w:val="nil"/>
            </w:tcBorders>
            <w:shd w:val="clear" w:color="auto" w:fill="auto"/>
            <w:noWrap/>
            <w:vAlign w:val="bottom"/>
            <w:hideMark/>
          </w:tcPr>
          <w:p w14:paraId="6FB7AF58"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3 147</w:t>
            </w:r>
          </w:p>
        </w:tc>
        <w:tc>
          <w:tcPr>
            <w:tcW w:w="511" w:type="pct"/>
            <w:tcBorders>
              <w:top w:val="nil"/>
              <w:left w:val="nil"/>
              <w:bottom w:val="nil"/>
              <w:right w:val="nil"/>
            </w:tcBorders>
            <w:shd w:val="clear" w:color="auto" w:fill="auto"/>
            <w:noWrap/>
            <w:vAlign w:val="bottom"/>
            <w:hideMark/>
          </w:tcPr>
          <w:p w14:paraId="74CEADA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-215</w:t>
            </w:r>
          </w:p>
        </w:tc>
      </w:tr>
      <w:tr w:rsidR="004C6700" w:rsidRPr="00691349" w14:paraId="00F429FF" w14:textId="77777777" w:rsidTr="00836EB5">
        <w:trPr>
          <w:trHeight w:val="290"/>
        </w:trPr>
        <w:tc>
          <w:tcPr>
            <w:tcW w:w="2745" w:type="pct"/>
            <w:tcBorders>
              <w:top w:val="nil"/>
              <w:left w:val="nil"/>
              <w:bottom w:val="nil"/>
              <w:right w:val="nil"/>
            </w:tcBorders>
            <w:shd w:val="clear" w:color="auto" w:fill="auto"/>
            <w:noWrap/>
            <w:vAlign w:val="bottom"/>
            <w:hideMark/>
          </w:tcPr>
          <w:p w14:paraId="0B268FE1" w14:textId="77777777" w:rsidR="004C6700" w:rsidRPr="00691349" w:rsidRDefault="004C6700" w:rsidP="00836EB5">
            <w:pPr>
              <w:spacing w:after="0" w:line="240" w:lineRule="auto"/>
              <w:ind w:firstLineChars="200" w:firstLine="360"/>
              <w:jc w:val="left"/>
              <w:rPr>
                <w:rFonts w:eastAsia="Times New Roman" w:cs="Times New Roman"/>
                <w:sz w:val="18"/>
                <w:szCs w:val="18"/>
                <w:lang w:eastAsia="sk-SK"/>
              </w:rPr>
            </w:pPr>
            <w:r w:rsidRPr="00691349">
              <w:rPr>
                <w:rFonts w:eastAsia="Times New Roman" w:cs="Times New Roman"/>
                <w:sz w:val="18"/>
                <w:szCs w:val="18"/>
                <w:lang w:eastAsia="sk-SK"/>
              </w:rPr>
              <w:t>Ostatné subjekty miestnej samosprávy</w:t>
            </w:r>
          </w:p>
        </w:tc>
        <w:tc>
          <w:tcPr>
            <w:tcW w:w="564" w:type="pct"/>
            <w:tcBorders>
              <w:top w:val="nil"/>
              <w:left w:val="nil"/>
              <w:bottom w:val="nil"/>
              <w:right w:val="nil"/>
            </w:tcBorders>
            <w:shd w:val="clear" w:color="auto" w:fill="auto"/>
            <w:noWrap/>
            <w:vAlign w:val="bottom"/>
            <w:hideMark/>
          </w:tcPr>
          <w:p w14:paraId="616A6122"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5 629</w:t>
            </w:r>
          </w:p>
        </w:tc>
        <w:tc>
          <w:tcPr>
            <w:tcW w:w="590" w:type="pct"/>
            <w:tcBorders>
              <w:top w:val="nil"/>
              <w:left w:val="nil"/>
              <w:bottom w:val="nil"/>
              <w:right w:val="nil"/>
            </w:tcBorders>
            <w:shd w:val="clear" w:color="auto" w:fill="auto"/>
            <w:noWrap/>
            <w:vAlign w:val="bottom"/>
            <w:hideMark/>
          </w:tcPr>
          <w:p w14:paraId="491D509C"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7 701</w:t>
            </w:r>
          </w:p>
        </w:tc>
        <w:tc>
          <w:tcPr>
            <w:tcW w:w="590" w:type="pct"/>
            <w:tcBorders>
              <w:top w:val="nil"/>
              <w:left w:val="nil"/>
              <w:bottom w:val="nil"/>
              <w:right w:val="nil"/>
            </w:tcBorders>
            <w:shd w:val="clear" w:color="auto" w:fill="auto"/>
            <w:noWrap/>
            <w:vAlign w:val="bottom"/>
            <w:hideMark/>
          </w:tcPr>
          <w:p w14:paraId="04AA42CC"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7 701</w:t>
            </w:r>
          </w:p>
        </w:tc>
        <w:tc>
          <w:tcPr>
            <w:tcW w:w="511" w:type="pct"/>
            <w:tcBorders>
              <w:top w:val="nil"/>
              <w:left w:val="nil"/>
              <w:bottom w:val="nil"/>
              <w:right w:val="nil"/>
            </w:tcBorders>
            <w:shd w:val="clear" w:color="auto" w:fill="auto"/>
            <w:noWrap/>
            <w:vAlign w:val="bottom"/>
            <w:hideMark/>
          </w:tcPr>
          <w:p w14:paraId="12D14296"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0</w:t>
            </w:r>
          </w:p>
        </w:tc>
      </w:tr>
      <w:tr w:rsidR="004C6700" w:rsidRPr="00691349" w14:paraId="3D6ECAC3" w14:textId="77777777" w:rsidTr="00836EB5">
        <w:trPr>
          <w:trHeight w:val="290"/>
        </w:trPr>
        <w:tc>
          <w:tcPr>
            <w:tcW w:w="2745" w:type="pct"/>
            <w:tcBorders>
              <w:top w:val="nil"/>
              <w:left w:val="nil"/>
              <w:bottom w:val="nil"/>
              <w:right w:val="nil"/>
            </w:tcBorders>
            <w:shd w:val="clear" w:color="auto" w:fill="auto"/>
            <w:noWrap/>
            <w:vAlign w:val="bottom"/>
            <w:hideMark/>
          </w:tcPr>
          <w:p w14:paraId="31FBC346" w14:textId="77777777" w:rsidR="004C6700" w:rsidRPr="00691349" w:rsidRDefault="004C6700" w:rsidP="00836EB5">
            <w:pPr>
              <w:spacing w:after="0" w:line="240" w:lineRule="auto"/>
              <w:jc w:val="left"/>
              <w:rPr>
                <w:rFonts w:eastAsia="Times New Roman" w:cs="Times New Roman"/>
                <w:b/>
                <w:bCs/>
                <w:sz w:val="18"/>
                <w:szCs w:val="18"/>
                <w:lang w:eastAsia="sk-SK"/>
              </w:rPr>
            </w:pPr>
            <w:r w:rsidRPr="00691349">
              <w:rPr>
                <w:rFonts w:eastAsia="Times New Roman" w:cs="Times New Roman"/>
                <w:b/>
                <w:bCs/>
                <w:sz w:val="18"/>
                <w:szCs w:val="18"/>
                <w:lang w:eastAsia="sk-SK"/>
              </w:rPr>
              <w:t>Fondy sociálneho zabezpečenia</w:t>
            </w:r>
          </w:p>
        </w:tc>
        <w:tc>
          <w:tcPr>
            <w:tcW w:w="564" w:type="pct"/>
            <w:tcBorders>
              <w:top w:val="nil"/>
              <w:left w:val="nil"/>
              <w:bottom w:val="nil"/>
              <w:right w:val="nil"/>
            </w:tcBorders>
            <w:shd w:val="clear" w:color="auto" w:fill="auto"/>
            <w:noWrap/>
            <w:vAlign w:val="bottom"/>
            <w:hideMark/>
          </w:tcPr>
          <w:p w14:paraId="227F31A5" w14:textId="77777777" w:rsidR="004C6700" w:rsidRPr="00691349" w:rsidRDefault="004C6700" w:rsidP="00836EB5">
            <w:pPr>
              <w:spacing w:after="0" w:line="240" w:lineRule="auto"/>
              <w:jc w:val="left"/>
              <w:rPr>
                <w:rFonts w:eastAsia="Times New Roman" w:cs="Times New Roman"/>
                <w:b/>
                <w:bCs/>
                <w:sz w:val="18"/>
                <w:szCs w:val="18"/>
                <w:lang w:eastAsia="sk-SK"/>
              </w:rPr>
            </w:pPr>
          </w:p>
        </w:tc>
        <w:tc>
          <w:tcPr>
            <w:tcW w:w="590" w:type="pct"/>
            <w:tcBorders>
              <w:top w:val="nil"/>
              <w:left w:val="nil"/>
              <w:bottom w:val="nil"/>
              <w:right w:val="nil"/>
            </w:tcBorders>
            <w:shd w:val="clear" w:color="auto" w:fill="auto"/>
            <w:noWrap/>
            <w:vAlign w:val="bottom"/>
            <w:hideMark/>
          </w:tcPr>
          <w:p w14:paraId="04A0446D" w14:textId="77777777" w:rsidR="004C6700" w:rsidRPr="00691349" w:rsidRDefault="004C6700" w:rsidP="00836EB5">
            <w:pPr>
              <w:spacing w:after="0" w:line="240" w:lineRule="auto"/>
              <w:jc w:val="left"/>
              <w:rPr>
                <w:rFonts w:eastAsia="Times New Roman" w:cs="Times New Roman"/>
                <w:sz w:val="18"/>
                <w:szCs w:val="18"/>
                <w:lang w:eastAsia="sk-SK"/>
              </w:rPr>
            </w:pPr>
          </w:p>
        </w:tc>
        <w:tc>
          <w:tcPr>
            <w:tcW w:w="590" w:type="pct"/>
            <w:tcBorders>
              <w:top w:val="nil"/>
              <w:left w:val="nil"/>
              <w:bottom w:val="nil"/>
              <w:right w:val="nil"/>
            </w:tcBorders>
            <w:shd w:val="clear" w:color="auto" w:fill="auto"/>
            <w:noWrap/>
            <w:vAlign w:val="bottom"/>
            <w:hideMark/>
          </w:tcPr>
          <w:p w14:paraId="136DAB48" w14:textId="77777777" w:rsidR="004C6700" w:rsidRPr="00691349" w:rsidRDefault="004C6700" w:rsidP="00836EB5">
            <w:pPr>
              <w:spacing w:after="0" w:line="240" w:lineRule="auto"/>
              <w:jc w:val="left"/>
              <w:rPr>
                <w:rFonts w:eastAsia="Times New Roman" w:cs="Times New Roman"/>
                <w:sz w:val="18"/>
                <w:szCs w:val="18"/>
                <w:lang w:eastAsia="sk-SK"/>
              </w:rPr>
            </w:pPr>
          </w:p>
        </w:tc>
        <w:tc>
          <w:tcPr>
            <w:tcW w:w="511" w:type="pct"/>
            <w:tcBorders>
              <w:top w:val="nil"/>
              <w:left w:val="nil"/>
              <w:bottom w:val="nil"/>
              <w:right w:val="nil"/>
            </w:tcBorders>
            <w:shd w:val="clear" w:color="auto" w:fill="auto"/>
            <w:noWrap/>
            <w:vAlign w:val="bottom"/>
            <w:hideMark/>
          </w:tcPr>
          <w:p w14:paraId="7150A249" w14:textId="77777777" w:rsidR="004C6700" w:rsidRPr="00691349" w:rsidRDefault="004C6700" w:rsidP="00836EB5">
            <w:pPr>
              <w:spacing w:after="0" w:line="240" w:lineRule="auto"/>
              <w:jc w:val="left"/>
              <w:rPr>
                <w:rFonts w:eastAsia="Times New Roman" w:cs="Times New Roman"/>
                <w:sz w:val="18"/>
                <w:szCs w:val="18"/>
                <w:lang w:eastAsia="sk-SK"/>
              </w:rPr>
            </w:pPr>
          </w:p>
        </w:tc>
      </w:tr>
      <w:tr w:rsidR="004C6700" w:rsidRPr="00691349" w14:paraId="3E7C0FBC" w14:textId="77777777" w:rsidTr="00836EB5">
        <w:trPr>
          <w:trHeight w:val="290"/>
        </w:trPr>
        <w:tc>
          <w:tcPr>
            <w:tcW w:w="2745" w:type="pct"/>
            <w:tcBorders>
              <w:top w:val="nil"/>
              <w:left w:val="nil"/>
              <w:bottom w:val="nil"/>
              <w:right w:val="nil"/>
            </w:tcBorders>
            <w:shd w:val="clear" w:color="auto" w:fill="auto"/>
            <w:noWrap/>
            <w:vAlign w:val="bottom"/>
            <w:hideMark/>
          </w:tcPr>
          <w:p w14:paraId="5E655CDA" w14:textId="77777777" w:rsidR="004C6700" w:rsidRPr="00691349" w:rsidRDefault="004C6700" w:rsidP="00836EB5">
            <w:pPr>
              <w:spacing w:after="0" w:line="240" w:lineRule="auto"/>
              <w:ind w:firstLineChars="200" w:firstLine="360"/>
              <w:jc w:val="left"/>
              <w:rPr>
                <w:rFonts w:eastAsia="Times New Roman" w:cs="Times New Roman"/>
                <w:sz w:val="18"/>
                <w:szCs w:val="18"/>
                <w:lang w:eastAsia="sk-SK"/>
              </w:rPr>
            </w:pPr>
            <w:r w:rsidRPr="00691349">
              <w:rPr>
                <w:rFonts w:eastAsia="Times New Roman" w:cs="Times New Roman"/>
                <w:sz w:val="18"/>
                <w:szCs w:val="18"/>
                <w:lang w:eastAsia="sk-SK"/>
              </w:rPr>
              <w:t>Sociálna poisťovňa</w:t>
            </w:r>
          </w:p>
        </w:tc>
        <w:tc>
          <w:tcPr>
            <w:tcW w:w="564" w:type="pct"/>
            <w:tcBorders>
              <w:top w:val="nil"/>
              <w:left w:val="nil"/>
              <w:bottom w:val="nil"/>
              <w:right w:val="nil"/>
            </w:tcBorders>
            <w:shd w:val="clear" w:color="auto" w:fill="auto"/>
            <w:noWrap/>
            <w:vAlign w:val="bottom"/>
            <w:hideMark/>
          </w:tcPr>
          <w:p w14:paraId="71A7F201"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790</w:t>
            </w:r>
          </w:p>
        </w:tc>
        <w:tc>
          <w:tcPr>
            <w:tcW w:w="590" w:type="pct"/>
            <w:tcBorders>
              <w:top w:val="nil"/>
              <w:left w:val="nil"/>
              <w:bottom w:val="nil"/>
              <w:right w:val="nil"/>
            </w:tcBorders>
            <w:shd w:val="clear" w:color="auto" w:fill="auto"/>
            <w:noWrap/>
            <w:vAlign w:val="bottom"/>
            <w:hideMark/>
          </w:tcPr>
          <w:p w14:paraId="52FC1642"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586</w:t>
            </w:r>
          </w:p>
        </w:tc>
        <w:tc>
          <w:tcPr>
            <w:tcW w:w="590" w:type="pct"/>
            <w:tcBorders>
              <w:top w:val="nil"/>
              <w:left w:val="nil"/>
              <w:bottom w:val="nil"/>
              <w:right w:val="nil"/>
            </w:tcBorders>
            <w:shd w:val="clear" w:color="auto" w:fill="auto"/>
            <w:noWrap/>
            <w:vAlign w:val="bottom"/>
            <w:hideMark/>
          </w:tcPr>
          <w:p w14:paraId="2BEED298"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466</w:t>
            </w:r>
          </w:p>
        </w:tc>
        <w:tc>
          <w:tcPr>
            <w:tcW w:w="511" w:type="pct"/>
            <w:tcBorders>
              <w:top w:val="nil"/>
              <w:left w:val="nil"/>
              <w:bottom w:val="nil"/>
              <w:right w:val="nil"/>
            </w:tcBorders>
            <w:shd w:val="clear" w:color="auto" w:fill="auto"/>
            <w:noWrap/>
            <w:vAlign w:val="bottom"/>
            <w:hideMark/>
          </w:tcPr>
          <w:p w14:paraId="0411EB49"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-120</w:t>
            </w:r>
          </w:p>
        </w:tc>
      </w:tr>
      <w:tr w:rsidR="004C6700" w:rsidRPr="00691349" w14:paraId="06A11D69" w14:textId="77777777" w:rsidTr="00836EB5">
        <w:trPr>
          <w:trHeight w:val="290"/>
        </w:trPr>
        <w:tc>
          <w:tcPr>
            <w:tcW w:w="2745" w:type="pct"/>
            <w:tcBorders>
              <w:top w:val="nil"/>
              <w:left w:val="nil"/>
              <w:bottom w:val="nil"/>
              <w:right w:val="nil"/>
            </w:tcBorders>
            <w:shd w:val="clear" w:color="auto" w:fill="auto"/>
            <w:noWrap/>
            <w:vAlign w:val="bottom"/>
            <w:hideMark/>
          </w:tcPr>
          <w:p w14:paraId="38746C53" w14:textId="77777777" w:rsidR="004C6700" w:rsidRPr="00691349" w:rsidRDefault="004C6700" w:rsidP="00836EB5">
            <w:pPr>
              <w:spacing w:after="0" w:line="240" w:lineRule="auto"/>
              <w:ind w:firstLineChars="200" w:firstLine="360"/>
              <w:jc w:val="left"/>
              <w:rPr>
                <w:rFonts w:eastAsia="Times New Roman" w:cs="Times New Roman"/>
                <w:sz w:val="18"/>
                <w:szCs w:val="18"/>
                <w:lang w:eastAsia="sk-SK"/>
              </w:rPr>
            </w:pPr>
            <w:r w:rsidRPr="00691349">
              <w:rPr>
                <w:rFonts w:eastAsia="Times New Roman" w:cs="Times New Roman"/>
                <w:sz w:val="18"/>
                <w:szCs w:val="18"/>
                <w:lang w:eastAsia="sk-SK"/>
              </w:rPr>
              <w:t>Verejné zdravotné poistenie</w:t>
            </w:r>
          </w:p>
        </w:tc>
        <w:tc>
          <w:tcPr>
            <w:tcW w:w="564" w:type="pct"/>
            <w:tcBorders>
              <w:top w:val="nil"/>
              <w:left w:val="nil"/>
              <w:bottom w:val="nil"/>
              <w:right w:val="nil"/>
            </w:tcBorders>
            <w:shd w:val="clear" w:color="auto" w:fill="auto"/>
            <w:noWrap/>
            <w:vAlign w:val="bottom"/>
            <w:hideMark/>
          </w:tcPr>
          <w:p w14:paraId="656C7B80"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222</w:t>
            </w:r>
          </w:p>
        </w:tc>
        <w:tc>
          <w:tcPr>
            <w:tcW w:w="590" w:type="pct"/>
            <w:tcBorders>
              <w:top w:val="nil"/>
              <w:left w:val="nil"/>
              <w:bottom w:val="nil"/>
              <w:right w:val="nil"/>
            </w:tcBorders>
            <w:shd w:val="clear" w:color="auto" w:fill="auto"/>
            <w:noWrap/>
            <w:vAlign w:val="bottom"/>
            <w:hideMark/>
          </w:tcPr>
          <w:p w14:paraId="0DCAC50E"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345</w:t>
            </w:r>
          </w:p>
        </w:tc>
        <w:tc>
          <w:tcPr>
            <w:tcW w:w="590" w:type="pct"/>
            <w:tcBorders>
              <w:top w:val="nil"/>
              <w:left w:val="nil"/>
              <w:bottom w:val="nil"/>
              <w:right w:val="nil"/>
            </w:tcBorders>
            <w:shd w:val="clear" w:color="auto" w:fill="auto"/>
            <w:noWrap/>
            <w:vAlign w:val="bottom"/>
            <w:hideMark/>
          </w:tcPr>
          <w:p w14:paraId="36F65E9D"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80</w:t>
            </w:r>
          </w:p>
        </w:tc>
        <w:tc>
          <w:tcPr>
            <w:tcW w:w="511" w:type="pct"/>
            <w:tcBorders>
              <w:top w:val="nil"/>
              <w:left w:val="nil"/>
              <w:bottom w:val="nil"/>
              <w:right w:val="nil"/>
            </w:tcBorders>
            <w:shd w:val="clear" w:color="auto" w:fill="auto"/>
            <w:noWrap/>
            <w:vAlign w:val="bottom"/>
            <w:hideMark/>
          </w:tcPr>
          <w:p w14:paraId="24986D2D"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-265</w:t>
            </w:r>
          </w:p>
        </w:tc>
      </w:tr>
      <w:tr w:rsidR="004C6700" w:rsidRPr="00691349" w14:paraId="1BA46741" w14:textId="77777777" w:rsidTr="00836EB5">
        <w:trPr>
          <w:trHeight w:val="290"/>
        </w:trPr>
        <w:tc>
          <w:tcPr>
            <w:tcW w:w="2745" w:type="pct"/>
            <w:tcBorders>
              <w:top w:val="nil"/>
              <w:left w:val="nil"/>
              <w:bottom w:val="nil"/>
              <w:right w:val="nil"/>
            </w:tcBorders>
            <w:shd w:val="clear" w:color="auto" w:fill="auto"/>
            <w:noWrap/>
            <w:vAlign w:val="bottom"/>
            <w:hideMark/>
          </w:tcPr>
          <w:p w14:paraId="6DF1F240" w14:textId="77777777" w:rsidR="004C6700" w:rsidRPr="00691349" w:rsidRDefault="004C6700" w:rsidP="00836EB5">
            <w:pPr>
              <w:spacing w:after="0" w:line="240" w:lineRule="auto"/>
              <w:jc w:val="left"/>
              <w:rPr>
                <w:rFonts w:eastAsia="Times New Roman" w:cs="Times New Roman"/>
                <w:b/>
                <w:bCs/>
                <w:sz w:val="18"/>
                <w:szCs w:val="18"/>
                <w:lang w:eastAsia="sk-SK"/>
              </w:rPr>
            </w:pPr>
            <w:r w:rsidRPr="00691349">
              <w:rPr>
                <w:rFonts w:eastAsia="Times New Roman" w:cs="Times New Roman"/>
                <w:b/>
                <w:bCs/>
                <w:sz w:val="18"/>
                <w:szCs w:val="18"/>
                <w:lang w:eastAsia="sk-SK"/>
              </w:rPr>
              <w:t>Verejná správa spolu</w:t>
            </w:r>
          </w:p>
        </w:tc>
        <w:tc>
          <w:tcPr>
            <w:tcW w:w="564" w:type="pct"/>
            <w:tcBorders>
              <w:top w:val="nil"/>
              <w:left w:val="nil"/>
              <w:bottom w:val="nil"/>
              <w:right w:val="nil"/>
            </w:tcBorders>
            <w:shd w:val="clear" w:color="auto" w:fill="auto"/>
            <w:noWrap/>
            <w:vAlign w:val="bottom"/>
            <w:hideMark/>
          </w:tcPr>
          <w:p w14:paraId="75E7686C"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rFonts w:eastAsia="Times New Roman" w:cs="Times New Roman"/>
                <w:b/>
                <w:bCs/>
                <w:sz w:val="18"/>
                <w:szCs w:val="18"/>
                <w:lang w:eastAsia="sk-SK"/>
              </w:rPr>
              <w:t>62 731 526</w:t>
            </w:r>
          </w:p>
        </w:tc>
        <w:tc>
          <w:tcPr>
            <w:tcW w:w="590" w:type="pct"/>
            <w:tcBorders>
              <w:top w:val="nil"/>
              <w:left w:val="nil"/>
              <w:bottom w:val="nil"/>
              <w:right w:val="nil"/>
            </w:tcBorders>
            <w:shd w:val="clear" w:color="auto" w:fill="auto"/>
            <w:noWrap/>
            <w:vAlign w:val="bottom"/>
            <w:hideMark/>
          </w:tcPr>
          <w:p w14:paraId="499DFC15"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rFonts w:eastAsia="Times New Roman" w:cs="Times New Roman"/>
                <w:b/>
                <w:bCs/>
                <w:sz w:val="18"/>
                <w:szCs w:val="18"/>
                <w:lang w:eastAsia="sk-SK"/>
              </w:rPr>
              <w:t>64 790 742</w:t>
            </w:r>
          </w:p>
        </w:tc>
        <w:tc>
          <w:tcPr>
            <w:tcW w:w="590" w:type="pct"/>
            <w:tcBorders>
              <w:top w:val="nil"/>
              <w:left w:val="nil"/>
              <w:bottom w:val="nil"/>
              <w:right w:val="nil"/>
            </w:tcBorders>
            <w:shd w:val="clear" w:color="auto" w:fill="auto"/>
            <w:noWrap/>
            <w:vAlign w:val="bottom"/>
            <w:hideMark/>
          </w:tcPr>
          <w:p w14:paraId="4CDC8D6A"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rFonts w:eastAsia="Times New Roman" w:cs="Times New Roman"/>
                <w:b/>
                <w:bCs/>
                <w:sz w:val="18"/>
                <w:szCs w:val="18"/>
                <w:lang w:eastAsia="sk-SK"/>
              </w:rPr>
              <w:t>70 161 060</w:t>
            </w:r>
          </w:p>
        </w:tc>
        <w:tc>
          <w:tcPr>
            <w:tcW w:w="511" w:type="pct"/>
            <w:tcBorders>
              <w:top w:val="nil"/>
              <w:left w:val="nil"/>
              <w:bottom w:val="nil"/>
              <w:right w:val="nil"/>
            </w:tcBorders>
            <w:shd w:val="clear" w:color="auto" w:fill="auto"/>
            <w:noWrap/>
            <w:vAlign w:val="bottom"/>
            <w:hideMark/>
          </w:tcPr>
          <w:p w14:paraId="442A08E7"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rFonts w:eastAsia="Times New Roman" w:cs="Times New Roman"/>
                <w:b/>
                <w:bCs/>
                <w:sz w:val="18"/>
                <w:szCs w:val="18"/>
                <w:lang w:eastAsia="sk-SK"/>
              </w:rPr>
              <w:t>5 370 318</w:t>
            </w:r>
          </w:p>
        </w:tc>
      </w:tr>
      <w:tr w:rsidR="004C6700" w:rsidRPr="00691349" w14:paraId="589311C9" w14:textId="77777777" w:rsidTr="00836EB5">
        <w:trPr>
          <w:trHeight w:val="290"/>
        </w:trPr>
        <w:tc>
          <w:tcPr>
            <w:tcW w:w="2745" w:type="pct"/>
            <w:tcBorders>
              <w:top w:val="nil"/>
              <w:left w:val="nil"/>
              <w:bottom w:val="nil"/>
              <w:right w:val="nil"/>
            </w:tcBorders>
            <w:shd w:val="clear" w:color="auto" w:fill="auto"/>
            <w:noWrap/>
            <w:vAlign w:val="bottom"/>
            <w:hideMark/>
          </w:tcPr>
          <w:p w14:paraId="0D19DA38" w14:textId="77777777" w:rsidR="004C6700" w:rsidRPr="00691349" w:rsidRDefault="004C6700" w:rsidP="00836EB5">
            <w:pPr>
              <w:spacing w:after="0" w:line="240" w:lineRule="auto"/>
              <w:ind w:firstLineChars="200" w:firstLine="360"/>
              <w:jc w:val="left"/>
              <w:rPr>
                <w:rFonts w:eastAsia="Times New Roman" w:cs="Times New Roman"/>
                <w:i/>
                <w:iCs/>
                <w:sz w:val="18"/>
                <w:szCs w:val="18"/>
                <w:lang w:eastAsia="sk-SK"/>
              </w:rPr>
            </w:pPr>
            <w:r w:rsidRPr="00691349">
              <w:rPr>
                <w:rFonts w:eastAsia="Times New Roman" w:cs="Times New Roman"/>
                <w:i/>
                <w:iCs/>
                <w:sz w:val="18"/>
                <w:szCs w:val="18"/>
                <w:lang w:eastAsia="sk-SK"/>
              </w:rPr>
              <w:t>Konsolidácia</w:t>
            </w:r>
          </w:p>
        </w:tc>
        <w:tc>
          <w:tcPr>
            <w:tcW w:w="564" w:type="pct"/>
            <w:tcBorders>
              <w:top w:val="nil"/>
              <w:left w:val="nil"/>
              <w:bottom w:val="nil"/>
              <w:right w:val="nil"/>
            </w:tcBorders>
            <w:shd w:val="clear" w:color="auto" w:fill="auto"/>
            <w:noWrap/>
            <w:vAlign w:val="bottom"/>
            <w:hideMark/>
          </w:tcPr>
          <w:p w14:paraId="33D55343"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1 493 456</w:t>
            </w:r>
          </w:p>
        </w:tc>
        <w:tc>
          <w:tcPr>
            <w:tcW w:w="590" w:type="pct"/>
            <w:tcBorders>
              <w:top w:val="nil"/>
              <w:left w:val="nil"/>
              <w:bottom w:val="nil"/>
              <w:right w:val="nil"/>
            </w:tcBorders>
            <w:shd w:val="clear" w:color="auto" w:fill="auto"/>
            <w:noWrap/>
            <w:vAlign w:val="bottom"/>
            <w:hideMark/>
          </w:tcPr>
          <w:p w14:paraId="19E7FEAB"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1 412 462</w:t>
            </w:r>
          </w:p>
        </w:tc>
        <w:tc>
          <w:tcPr>
            <w:tcW w:w="590" w:type="pct"/>
            <w:tcBorders>
              <w:top w:val="nil"/>
              <w:left w:val="nil"/>
              <w:bottom w:val="nil"/>
              <w:right w:val="nil"/>
            </w:tcBorders>
            <w:shd w:val="clear" w:color="auto" w:fill="auto"/>
            <w:noWrap/>
            <w:vAlign w:val="bottom"/>
            <w:hideMark/>
          </w:tcPr>
          <w:p w14:paraId="7421AAFA"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1 331 017</w:t>
            </w:r>
          </w:p>
        </w:tc>
        <w:tc>
          <w:tcPr>
            <w:tcW w:w="511" w:type="pct"/>
            <w:tcBorders>
              <w:top w:val="nil"/>
              <w:left w:val="nil"/>
              <w:bottom w:val="nil"/>
              <w:right w:val="nil"/>
            </w:tcBorders>
            <w:shd w:val="clear" w:color="auto" w:fill="auto"/>
            <w:noWrap/>
            <w:vAlign w:val="bottom"/>
            <w:hideMark/>
          </w:tcPr>
          <w:p w14:paraId="4AA93640"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-81 445</w:t>
            </w:r>
          </w:p>
        </w:tc>
      </w:tr>
      <w:tr w:rsidR="004C6700" w:rsidRPr="00691349" w14:paraId="485316EC" w14:textId="77777777" w:rsidTr="00836EB5">
        <w:trPr>
          <w:trHeight w:val="290"/>
        </w:trPr>
        <w:tc>
          <w:tcPr>
            <w:tcW w:w="2745" w:type="pct"/>
            <w:tcBorders>
              <w:top w:val="nil"/>
              <w:left w:val="nil"/>
              <w:bottom w:val="nil"/>
              <w:right w:val="nil"/>
            </w:tcBorders>
            <w:shd w:val="clear" w:color="auto" w:fill="auto"/>
            <w:noWrap/>
            <w:vAlign w:val="bottom"/>
            <w:hideMark/>
          </w:tcPr>
          <w:p w14:paraId="1D1E3260" w14:textId="77777777" w:rsidR="004C6700" w:rsidRPr="00691349" w:rsidRDefault="004C6700" w:rsidP="00836EB5">
            <w:pPr>
              <w:spacing w:after="0" w:line="240" w:lineRule="auto"/>
              <w:ind w:firstLineChars="200" w:firstLine="360"/>
              <w:jc w:val="left"/>
              <w:rPr>
                <w:rFonts w:eastAsia="Times New Roman" w:cs="Times New Roman"/>
                <w:sz w:val="18"/>
                <w:szCs w:val="18"/>
                <w:lang w:eastAsia="sk-SK"/>
              </w:rPr>
            </w:pPr>
            <w:r w:rsidRPr="00691349">
              <w:rPr>
                <w:rFonts w:eastAsia="Times New Roman" w:cs="Times New Roman"/>
                <w:sz w:val="18"/>
                <w:szCs w:val="18"/>
                <w:lang w:eastAsia="sk-SK"/>
              </w:rPr>
              <w:t>z toho: konsolidácia v skupine miestnej samosprávy</w:t>
            </w:r>
          </w:p>
        </w:tc>
        <w:tc>
          <w:tcPr>
            <w:tcW w:w="564" w:type="pct"/>
            <w:tcBorders>
              <w:top w:val="nil"/>
              <w:left w:val="nil"/>
              <w:bottom w:val="nil"/>
              <w:right w:val="nil"/>
            </w:tcBorders>
            <w:shd w:val="clear" w:color="auto" w:fill="auto"/>
            <w:noWrap/>
            <w:vAlign w:val="bottom"/>
            <w:hideMark/>
          </w:tcPr>
          <w:p w14:paraId="2A7F44FF"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1 041 193</w:t>
            </w:r>
          </w:p>
        </w:tc>
        <w:tc>
          <w:tcPr>
            <w:tcW w:w="590" w:type="pct"/>
            <w:tcBorders>
              <w:top w:val="nil"/>
              <w:left w:val="nil"/>
              <w:bottom w:val="nil"/>
              <w:right w:val="nil"/>
            </w:tcBorders>
            <w:shd w:val="clear" w:color="auto" w:fill="auto"/>
            <w:noWrap/>
            <w:vAlign w:val="bottom"/>
            <w:hideMark/>
          </w:tcPr>
          <w:p w14:paraId="6F86C659"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1 056 567</w:t>
            </w:r>
          </w:p>
        </w:tc>
        <w:tc>
          <w:tcPr>
            <w:tcW w:w="590" w:type="pct"/>
            <w:tcBorders>
              <w:top w:val="nil"/>
              <w:left w:val="nil"/>
              <w:bottom w:val="nil"/>
              <w:right w:val="nil"/>
            </w:tcBorders>
            <w:shd w:val="clear" w:color="auto" w:fill="auto"/>
            <w:noWrap/>
            <w:vAlign w:val="bottom"/>
            <w:hideMark/>
          </w:tcPr>
          <w:p w14:paraId="20742AC3"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1 023 527</w:t>
            </w:r>
          </w:p>
        </w:tc>
        <w:tc>
          <w:tcPr>
            <w:tcW w:w="511" w:type="pct"/>
            <w:tcBorders>
              <w:top w:val="nil"/>
              <w:left w:val="nil"/>
              <w:bottom w:val="nil"/>
              <w:right w:val="nil"/>
            </w:tcBorders>
            <w:shd w:val="clear" w:color="auto" w:fill="auto"/>
            <w:noWrap/>
            <w:vAlign w:val="bottom"/>
            <w:hideMark/>
          </w:tcPr>
          <w:p w14:paraId="23993A02" w14:textId="77777777" w:rsidR="004C6700" w:rsidRPr="00691349" w:rsidRDefault="004C6700" w:rsidP="00836EB5">
            <w:pPr>
              <w:spacing w:after="0" w:line="240" w:lineRule="auto"/>
              <w:jc w:val="right"/>
              <w:rPr>
                <w:rFonts w:eastAsia="Times New Roman" w:cs="Times New Roman"/>
                <w:sz w:val="18"/>
                <w:szCs w:val="18"/>
                <w:lang w:eastAsia="sk-SK"/>
              </w:rPr>
            </w:pPr>
            <w:r w:rsidRPr="00691349">
              <w:rPr>
                <w:rFonts w:eastAsia="Times New Roman" w:cs="Times New Roman"/>
                <w:sz w:val="18"/>
                <w:szCs w:val="18"/>
                <w:lang w:eastAsia="sk-SK"/>
              </w:rPr>
              <w:t>-33 040</w:t>
            </w:r>
          </w:p>
        </w:tc>
      </w:tr>
      <w:tr w:rsidR="004C6700" w:rsidRPr="00691349" w14:paraId="69D95921" w14:textId="77777777" w:rsidTr="00836EB5">
        <w:trPr>
          <w:trHeight w:val="290"/>
        </w:trPr>
        <w:tc>
          <w:tcPr>
            <w:tcW w:w="2745" w:type="pct"/>
            <w:tcBorders>
              <w:top w:val="single" w:sz="4" w:space="0" w:color="auto"/>
              <w:left w:val="nil"/>
              <w:bottom w:val="nil"/>
              <w:right w:val="nil"/>
            </w:tcBorders>
            <w:shd w:val="clear" w:color="auto" w:fill="auto"/>
            <w:noWrap/>
            <w:vAlign w:val="bottom"/>
            <w:hideMark/>
          </w:tcPr>
          <w:p w14:paraId="36A33E6A" w14:textId="77777777" w:rsidR="004C6700" w:rsidRPr="00691349" w:rsidRDefault="004C6700" w:rsidP="00836EB5">
            <w:pPr>
              <w:spacing w:after="0" w:line="240" w:lineRule="auto"/>
              <w:jc w:val="left"/>
              <w:rPr>
                <w:rFonts w:eastAsia="Times New Roman" w:cs="Times New Roman"/>
                <w:b/>
                <w:bCs/>
                <w:sz w:val="18"/>
                <w:szCs w:val="18"/>
                <w:lang w:eastAsia="sk-SK"/>
              </w:rPr>
            </w:pPr>
            <w:r w:rsidRPr="00691349">
              <w:rPr>
                <w:rFonts w:eastAsia="Times New Roman" w:cs="Times New Roman"/>
                <w:b/>
                <w:bCs/>
                <w:sz w:val="18"/>
                <w:szCs w:val="18"/>
                <w:lang w:eastAsia="sk-SK"/>
              </w:rPr>
              <w:t>Verejná správa spolu konsolidovaná</w:t>
            </w:r>
          </w:p>
        </w:tc>
        <w:tc>
          <w:tcPr>
            <w:tcW w:w="564" w:type="pct"/>
            <w:tcBorders>
              <w:top w:val="single" w:sz="4" w:space="0" w:color="auto"/>
              <w:left w:val="nil"/>
              <w:bottom w:val="nil"/>
              <w:right w:val="nil"/>
            </w:tcBorders>
            <w:shd w:val="clear" w:color="auto" w:fill="auto"/>
            <w:noWrap/>
            <w:vAlign w:val="bottom"/>
            <w:hideMark/>
          </w:tcPr>
          <w:p w14:paraId="2F9E4AD1"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rFonts w:eastAsia="Times New Roman" w:cs="Times New Roman"/>
                <w:b/>
                <w:bCs/>
                <w:sz w:val="18"/>
                <w:szCs w:val="18"/>
                <w:lang w:eastAsia="sk-SK"/>
              </w:rPr>
              <w:t>61 238 070</w:t>
            </w:r>
          </w:p>
        </w:tc>
        <w:tc>
          <w:tcPr>
            <w:tcW w:w="590" w:type="pct"/>
            <w:tcBorders>
              <w:top w:val="single" w:sz="4" w:space="0" w:color="auto"/>
              <w:left w:val="nil"/>
              <w:bottom w:val="nil"/>
              <w:right w:val="nil"/>
            </w:tcBorders>
            <w:shd w:val="clear" w:color="auto" w:fill="auto"/>
            <w:noWrap/>
            <w:vAlign w:val="bottom"/>
            <w:hideMark/>
          </w:tcPr>
          <w:p w14:paraId="66A8F363"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rFonts w:eastAsia="Times New Roman" w:cs="Times New Roman"/>
                <w:b/>
                <w:bCs/>
                <w:sz w:val="18"/>
                <w:szCs w:val="18"/>
                <w:lang w:eastAsia="sk-SK"/>
              </w:rPr>
              <w:t>63 378 280</w:t>
            </w:r>
          </w:p>
        </w:tc>
        <w:tc>
          <w:tcPr>
            <w:tcW w:w="590" w:type="pct"/>
            <w:tcBorders>
              <w:top w:val="single" w:sz="4" w:space="0" w:color="auto"/>
              <w:left w:val="nil"/>
              <w:bottom w:val="nil"/>
              <w:right w:val="nil"/>
            </w:tcBorders>
            <w:shd w:val="clear" w:color="auto" w:fill="auto"/>
            <w:noWrap/>
            <w:vAlign w:val="bottom"/>
            <w:hideMark/>
          </w:tcPr>
          <w:p w14:paraId="7A8E1765"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rFonts w:eastAsia="Times New Roman" w:cs="Times New Roman"/>
                <w:b/>
                <w:bCs/>
                <w:sz w:val="18"/>
                <w:szCs w:val="18"/>
                <w:lang w:eastAsia="sk-SK"/>
              </w:rPr>
              <w:t>68 830 043</w:t>
            </w:r>
          </w:p>
        </w:tc>
        <w:tc>
          <w:tcPr>
            <w:tcW w:w="511" w:type="pct"/>
            <w:tcBorders>
              <w:top w:val="single" w:sz="4" w:space="0" w:color="auto"/>
              <w:left w:val="nil"/>
              <w:bottom w:val="nil"/>
              <w:right w:val="nil"/>
            </w:tcBorders>
            <w:shd w:val="clear" w:color="auto" w:fill="auto"/>
            <w:noWrap/>
            <w:vAlign w:val="bottom"/>
            <w:hideMark/>
          </w:tcPr>
          <w:p w14:paraId="38247640"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rFonts w:eastAsia="Times New Roman" w:cs="Times New Roman"/>
                <w:b/>
                <w:bCs/>
                <w:sz w:val="18"/>
                <w:szCs w:val="18"/>
                <w:lang w:eastAsia="sk-SK"/>
              </w:rPr>
              <w:t>5 451 763</w:t>
            </w:r>
          </w:p>
        </w:tc>
      </w:tr>
      <w:tr w:rsidR="004C6700" w:rsidRPr="00691349" w14:paraId="6A1E0630" w14:textId="77777777" w:rsidTr="00836EB5">
        <w:trPr>
          <w:trHeight w:val="290"/>
        </w:trPr>
        <w:tc>
          <w:tcPr>
            <w:tcW w:w="2745" w:type="pct"/>
            <w:tcBorders>
              <w:top w:val="nil"/>
              <w:left w:val="nil"/>
              <w:bottom w:val="single" w:sz="4" w:space="0" w:color="auto"/>
              <w:right w:val="nil"/>
            </w:tcBorders>
            <w:shd w:val="clear" w:color="auto" w:fill="auto"/>
            <w:noWrap/>
            <w:vAlign w:val="bottom"/>
            <w:hideMark/>
          </w:tcPr>
          <w:p w14:paraId="523D25B2" w14:textId="77777777" w:rsidR="004C6700" w:rsidRPr="00691349" w:rsidRDefault="004C6700" w:rsidP="00836EB5">
            <w:pPr>
              <w:spacing w:after="0" w:line="240" w:lineRule="auto"/>
              <w:ind w:firstLineChars="200" w:firstLine="360"/>
              <w:jc w:val="left"/>
              <w:rPr>
                <w:rFonts w:eastAsia="Times New Roman" w:cs="Times New Roman"/>
                <w:b/>
                <w:bCs/>
                <w:sz w:val="18"/>
                <w:szCs w:val="18"/>
                <w:lang w:eastAsia="sk-SK"/>
              </w:rPr>
            </w:pPr>
            <w:r w:rsidRPr="00691349">
              <w:rPr>
                <w:rFonts w:eastAsia="Times New Roman" w:cs="Times New Roman"/>
                <w:b/>
                <w:bCs/>
                <w:sz w:val="18"/>
                <w:szCs w:val="18"/>
                <w:lang w:eastAsia="sk-SK"/>
              </w:rPr>
              <w:t>% z HDP</w:t>
            </w:r>
          </w:p>
        </w:tc>
        <w:tc>
          <w:tcPr>
            <w:tcW w:w="564" w:type="pct"/>
            <w:tcBorders>
              <w:top w:val="nil"/>
              <w:left w:val="nil"/>
              <w:bottom w:val="single" w:sz="4" w:space="0" w:color="auto"/>
              <w:right w:val="nil"/>
            </w:tcBorders>
            <w:shd w:val="clear" w:color="auto" w:fill="auto"/>
            <w:noWrap/>
            <w:vAlign w:val="bottom"/>
            <w:hideMark/>
          </w:tcPr>
          <w:p w14:paraId="0EDC0E49"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rFonts w:eastAsia="Times New Roman" w:cs="Times New Roman"/>
                <w:b/>
                <w:bCs/>
                <w:sz w:val="18"/>
                <w:szCs w:val="18"/>
                <w:lang w:eastAsia="sk-SK"/>
              </w:rPr>
              <w:t>61,1</w:t>
            </w:r>
          </w:p>
        </w:tc>
        <w:tc>
          <w:tcPr>
            <w:tcW w:w="590" w:type="pct"/>
            <w:tcBorders>
              <w:top w:val="nil"/>
              <w:left w:val="nil"/>
              <w:bottom w:val="single" w:sz="4" w:space="0" w:color="auto"/>
              <w:right w:val="nil"/>
            </w:tcBorders>
            <w:shd w:val="clear" w:color="auto" w:fill="auto"/>
            <w:noWrap/>
            <w:vAlign w:val="bottom"/>
            <w:hideMark/>
          </w:tcPr>
          <w:p w14:paraId="2B1CBA39"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rFonts w:eastAsia="Times New Roman" w:cs="Times New Roman"/>
                <w:b/>
                <w:bCs/>
                <w:sz w:val="18"/>
                <w:szCs w:val="18"/>
                <w:lang w:eastAsia="sk-SK"/>
              </w:rPr>
              <w:t>57,7</w:t>
            </w:r>
          </w:p>
        </w:tc>
        <w:tc>
          <w:tcPr>
            <w:tcW w:w="590" w:type="pct"/>
            <w:tcBorders>
              <w:top w:val="nil"/>
              <w:left w:val="nil"/>
              <w:bottom w:val="single" w:sz="4" w:space="0" w:color="auto"/>
              <w:right w:val="nil"/>
            </w:tcBorders>
            <w:shd w:val="clear" w:color="auto" w:fill="auto"/>
            <w:noWrap/>
            <w:vAlign w:val="bottom"/>
            <w:hideMark/>
          </w:tcPr>
          <w:p w14:paraId="0820DCED"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rFonts w:eastAsia="Times New Roman" w:cs="Times New Roman"/>
                <w:b/>
                <w:bCs/>
                <w:sz w:val="18"/>
                <w:szCs w:val="18"/>
                <w:lang w:eastAsia="sk-SK"/>
              </w:rPr>
              <w:t>56,0</w:t>
            </w:r>
          </w:p>
        </w:tc>
        <w:tc>
          <w:tcPr>
            <w:tcW w:w="511" w:type="pct"/>
            <w:tcBorders>
              <w:top w:val="nil"/>
              <w:left w:val="nil"/>
              <w:bottom w:val="single" w:sz="4" w:space="0" w:color="auto"/>
              <w:right w:val="nil"/>
            </w:tcBorders>
            <w:shd w:val="clear" w:color="auto" w:fill="auto"/>
            <w:noWrap/>
            <w:vAlign w:val="bottom"/>
            <w:hideMark/>
          </w:tcPr>
          <w:p w14:paraId="6FC816C2" w14:textId="77777777" w:rsidR="004C6700" w:rsidRPr="00691349" w:rsidRDefault="004C6700" w:rsidP="00836EB5">
            <w:pPr>
              <w:spacing w:after="0" w:line="240" w:lineRule="auto"/>
              <w:jc w:val="right"/>
              <w:rPr>
                <w:rFonts w:eastAsia="Times New Roman" w:cs="Times New Roman"/>
                <w:b/>
                <w:bCs/>
                <w:sz w:val="18"/>
                <w:szCs w:val="18"/>
                <w:lang w:eastAsia="sk-SK"/>
              </w:rPr>
            </w:pPr>
            <w:r w:rsidRPr="00691349">
              <w:rPr>
                <w:rFonts w:eastAsia="Times New Roman" w:cs="Times New Roman"/>
                <w:b/>
                <w:bCs/>
                <w:sz w:val="18"/>
                <w:szCs w:val="18"/>
                <w:lang w:eastAsia="sk-SK"/>
              </w:rPr>
              <w:t>-1,7</w:t>
            </w:r>
          </w:p>
        </w:tc>
      </w:tr>
    </w:tbl>
    <w:p w14:paraId="1CE04711" w14:textId="7ED5CF49" w:rsidR="004C6700" w:rsidRPr="00691349" w:rsidRDefault="004C6700" w:rsidP="004C6700">
      <w:pPr>
        <w:rPr>
          <w:sz w:val="18"/>
          <w:szCs w:val="18"/>
        </w:rPr>
      </w:pPr>
      <w:r w:rsidRPr="00691349">
        <w:rPr>
          <w:sz w:val="18"/>
          <w:szCs w:val="18"/>
        </w:rPr>
        <w:lastRenderedPageBreak/>
        <w:t>1) Bez tzv. refinančného systému a záväzkov z vkladov subjektov verejnej správy v Štátnej pokladnici             Zdroj: MF SR</w:t>
      </w:r>
    </w:p>
    <w:p w14:paraId="631312AB" w14:textId="77777777" w:rsidR="004C6700" w:rsidRPr="00174C0A" w:rsidRDefault="004C6700" w:rsidP="004C6700">
      <w:pPr>
        <w:spacing w:after="160" w:line="259" w:lineRule="auto"/>
        <w:rPr>
          <w:sz w:val="24"/>
          <w:szCs w:val="24"/>
        </w:rPr>
      </w:pPr>
      <w:r w:rsidRPr="00174C0A">
        <w:rPr>
          <w:sz w:val="24"/>
          <w:szCs w:val="24"/>
        </w:rPr>
        <w:t xml:space="preserve">Na náraste nominálneho dlhu v roku 2023 sa v najvyššej miere podieľal </w:t>
      </w:r>
      <w:r w:rsidRPr="00174C0A">
        <w:rPr>
          <w:b/>
          <w:sz w:val="24"/>
          <w:szCs w:val="24"/>
        </w:rPr>
        <w:t xml:space="preserve">hotovostný schodok štátneho rozpočtu </w:t>
      </w:r>
      <w:r w:rsidRPr="00174C0A">
        <w:rPr>
          <w:sz w:val="24"/>
          <w:szCs w:val="24"/>
        </w:rPr>
        <w:t>vo výške 7 675 337 </w:t>
      </w:r>
      <w:r>
        <w:rPr>
          <w:sz w:val="24"/>
          <w:szCs w:val="24"/>
        </w:rPr>
        <w:t xml:space="preserve">tis. eur. </w:t>
      </w:r>
      <w:r w:rsidRPr="00174C0A">
        <w:rPr>
          <w:sz w:val="24"/>
          <w:szCs w:val="24"/>
        </w:rPr>
        <w:t>Zvýšenie maast</w:t>
      </w:r>
      <w:r>
        <w:rPr>
          <w:sz w:val="24"/>
          <w:szCs w:val="24"/>
        </w:rPr>
        <w:t xml:space="preserve">richtského dlhu </w:t>
      </w:r>
      <w:r w:rsidRPr="00174C0A">
        <w:rPr>
          <w:sz w:val="24"/>
          <w:szCs w:val="24"/>
        </w:rPr>
        <w:t>oproti</w:t>
      </w:r>
      <w:r>
        <w:rPr>
          <w:sz w:val="24"/>
          <w:szCs w:val="24"/>
        </w:rPr>
        <w:t xml:space="preserve"> </w:t>
      </w:r>
      <w:r w:rsidRPr="00174C0A">
        <w:rPr>
          <w:sz w:val="24"/>
          <w:szCs w:val="24"/>
        </w:rPr>
        <w:t>roku</w:t>
      </w:r>
      <w:r>
        <w:rPr>
          <w:sz w:val="24"/>
          <w:szCs w:val="24"/>
        </w:rPr>
        <w:t xml:space="preserve"> </w:t>
      </w:r>
      <w:r w:rsidRPr="00174C0A">
        <w:rPr>
          <w:sz w:val="24"/>
          <w:szCs w:val="24"/>
        </w:rPr>
        <w:t xml:space="preserve">2022 </w:t>
      </w:r>
      <w:r w:rsidRPr="00174C0A">
        <w:rPr>
          <w:b/>
          <w:sz w:val="24"/>
          <w:szCs w:val="24"/>
        </w:rPr>
        <w:t>negatívne</w:t>
      </w:r>
      <w:r w:rsidRPr="00174C0A">
        <w:rPr>
          <w:sz w:val="24"/>
          <w:szCs w:val="24"/>
        </w:rPr>
        <w:t xml:space="preserve"> ovplyvnili najmä nasledovné skutočnosti:</w:t>
      </w:r>
    </w:p>
    <w:p w14:paraId="6DC00C80" w14:textId="77777777" w:rsidR="004C6700" w:rsidRPr="005C0EAD" w:rsidRDefault="004C6700" w:rsidP="004C6700">
      <w:pPr>
        <w:numPr>
          <w:ilvl w:val="0"/>
          <w:numId w:val="12"/>
        </w:numPr>
        <w:spacing w:line="240" w:lineRule="auto"/>
        <w:contextualSpacing/>
        <w:rPr>
          <w:rFonts w:cs="Times New Roman"/>
          <w:sz w:val="24"/>
          <w:szCs w:val="24"/>
        </w:rPr>
      </w:pPr>
      <w:r w:rsidRPr="005C0EAD">
        <w:rPr>
          <w:rFonts w:cs="Times New Roman"/>
          <w:sz w:val="24"/>
          <w:szCs w:val="24"/>
        </w:rPr>
        <w:t xml:space="preserve">schodok štátneho rozpočtu na hotovostnej báze a ďalšie požiadavky na cudzie zdroje vyplývajúce z riadenia dlhu a likvidity, ktoré vyvolali potrebu emitovať štátne dlhopisy v menovitej hodnote </w:t>
      </w:r>
      <w:r>
        <w:rPr>
          <w:rFonts w:cs="Times New Roman"/>
          <w:sz w:val="24"/>
          <w:szCs w:val="24"/>
        </w:rPr>
        <w:t>10 442 1</w:t>
      </w:r>
      <w:r w:rsidRPr="005C0EAD">
        <w:rPr>
          <w:rFonts w:cs="Times New Roman"/>
          <w:sz w:val="24"/>
          <w:szCs w:val="24"/>
        </w:rPr>
        <w:t>00 tis. eur,</w:t>
      </w:r>
    </w:p>
    <w:p w14:paraId="7BAC774B" w14:textId="77777777" w:rsidR="004C6700" w:rsidRPr="005C0EAD" w:rsidRDefault="004C6700" w:rsidP="004C6700">
      <w:pPr>
        <w:numPr>
          <w:ilvl w:val="0"/>
          <w:numId w:val="12"/>
        </w:numPr>
        <w:spacing w:line="240" w:lineRule="auto"/>
        <w:contextualSpacing/>
        <w:rPr>
          <w:rFonts w:cs="Times New Roman"/>
          <w:sz w:val="24"/>
          <w:szCs w:val="24"/>
        </w:rPr>
      </w:pPr>
      <w:r w:rsidRPr="005C0EAD">
        <w:rPr>
          <w:rFonts w:cs="Times New Roman"/>
          <w:sz w:val="24"/>
          <w:szCs w:val="24"/>
        </w:rPr>
        <w:t xml:space="preserve">čerpanie štvrtej </w:t>
      </w:r>
      <w:proofErr w:type="spellStart"/>
      <w:r w:rsidRPr="005C0EAD">
        <w:rPr>
          <w:rFonts w:cs="Times New Roman"/>
          <w:sz w:val="24"/>
          <w:szCs w:val="24"/>
        </w:rPr>
        <w:t>tranže</w:t>
      </w:r>
      <w:proofErr w:type="spellEnd"/>
      <w:r w:rsidRPr="005C0EAD">
        <w:rPr>
          <w:rFonts w:cs="Times New Roman"/>
          <w:sz w:val="24"/>
          <w:szCs w:val="24"/>
        </w:rPr>
        <w:t xml:space="preserve"> úverov od Rozvojovej banky Rady Európy vo výške 20 000 tis. eur v rámci štátneho dlhu,</w:t>
      </w:r>
    </w:p>
    <w:p w14:paraId="22696E8F" w14:textId="77777777" w:rsidR="004C6700" w:rsidRPr="00685BC9" w:rsidRDefault="004C6700" w:rsidP="004C6700">
      <w:pPr>
        <w:numPr>
          <w:ilvl w:val="0"/>
          <w:numId w:val="12"/>
        </w:numPr>
        <w:spacing w:line="240" w:lineRule="auto"/>
        <w:contextualSpacing/>
        <w:rPr>
          <w:rFonts w:cs="Times New Roman"/>
          <w:sz w:val="24"/>
          <w:szCs w:val="24"/>
        </w:rPr>
      </w:pPr>
      <w:r w:rsidRPr="00685BC9">
        <w:rPr>
          <w:rFonts w:cs="Times New Roman"/>
          <w:sz w:val="24"/>
          <w:szCs w:val="24"/>
        </w:rPr>
        <w:t>nárast konsolidovaného dlhu obcí o 153 835 tis. eur a vyšších územných celkov o 97 715 tis. eur,</w:t>
      </w:r>
    </w:p>
    <w:p w14:paraId="41C33698" w14:textId="4B22E53B" w:rsidR="004C6700" w:rsidRPr="006243D7" w:rsidRDefault="004C6700" w:rsidP="006243D7">
      <w:pPr>
        <w:numPr>
          <w:ilvl w:val="0"/>
          <w:numId w:val="12"/>
        </w:numPr>
        <w:spacing w:line="240" w:lineRule="auto"/>
        <w:contextualSpacing/>
        <w:rPr>
          <w:rFonts w:cs="Times New Roman"/>
          <w:sz w:val="24"/>
          <w:szCs w:val="24"/>
        </w:rPr>
      </w:pPr>
      <w:r w:rsidRPr="006243D7">
        <w:rPr>
          <w:rFonts w:cs="Times New Roman"/>
          <w:sz w:val="24"/>
          <w:szCs w:val="24"/>
        </w:rPr>
        <w:t>zvýšenie zadlženosti Železničnej spoločnosti Slovensko, a.</w:t>
      </w:r>
      <w:r w:rsidR="00D146DB">
        <w:rPr>
          <w:rFonts w:cs="Times New Roman"/>
          <w:sz w:val="24"/>
          <w:szCs w:val="24"/>
        </w:rPr>
        <w:t> </w:t>
      </w:r>
      <w:r w:rsidRPr="006243D7">
        <w:rPr>
          <w:rFonts w:cs="Times New Roman"/>
          <w:sz w:val="24"/>
          <w:szCs w:val="24"/>
        </w:rPr>
        <w:t>s. o 4 265 tis.</w:t>
      </w:r>
      <w:r w:rsidR="006243D7" w:rsidRPr="006243D7">
        <w:rPr>
          <w:rFonts w:cs="Times New Roman"/>
          <w:sz w:val="24"/>
          <w:szCs w:val="24"/>
        </w:rPr>
        <w:t> eur</w:t>
      </w:r>
    </w:p>
    <w:p w14:paraId="79124C77" w14:textId="77777777" w:rsidR="004C6700" w:rsidRPr="005C0EAD" w:rsidRDefault="004C6700" w:rsidP="004C6700">
      <w:pPr>
        <w:keepNext/>
        <w:spacing w:after="160" w:line="240" w:lineRule="auto"/>
        <w:rPr>
          <w:sz w:val="24"/>
          <w:szCs w:val="24"/>
        </w:rPr>
      </w:pPr>
      <w:r w:rsidRPr="005C0EAD">
        <w:rPr>
          <w:b/>
          <w:sz w:val="24"/>
          <w:szCs w:val="24"/>
        </w:rPr>
        <w:t xml:space="preserve">Pozitívny </w:t>
      </w:r>
      <w:r w:rsidRPr="005C0EAD">
        <w:rPr>
          <w:sz w:val="24"/>
          <w:szCs w:val="24"/>
        </w:rPr>
        <w:t>vplyv na vývoj maastrichtského dlhu oproti jeho stavu v roku 2022 mali najmä tieto skutočnosti:</w:t>
      </w:r>
    </w:p>
    <w:p w14:paraId="4E0C7CF9" w14:textId="77777777" w:rsidR="004C6700" w:rsidRPr="005C0EAD" w:rsidRDefault="004C6700" w:rsidP="004C6700">
      <w:pPr>
        <w:numPr>
          <w:ilvl w:val="0"/>
          <w:numId w:val="13"/>
        </w:numPr>
        <w:spacing w:line="240" w:lineRule="auto"/>
        <w:contextualSpacing/>
        <w:rPr>
          <w:rFonts w:ascii="Calibri" w:hAnsi="Calibri" w:cs="Times New Roman"/>
          <w:sz w:val="24"/>
          <w:szCs w:val="24"/>
        </w:rPr>
      </w:pPr>
      <w:r w:rsidRPr="005C0EAD">
        <w:rPr>
          <w:rFonts w:cs="Times New Roman"/>
          <w:sz w:val="24"/>
          <w:szCs w:val="24"/>
        </w:rPr>
        <w:t xml:space="preserve">splátky záväzkov zo štátnych dlhopisov v menovitej hodnote </w:t>
      </w:r>
      <w:r>
        <w:rPr>
          <w:rFonts w:cs="Times New Roman"/>
          <w:sz w:val="24"/>
          <w:szCs w:val="24"/>
        </w:rPr>
        <w:t>4 967 5</w:t>
      </w:r>
      <w:r w:rsidRPr="005C0EAD">
        <w:rPr>
          <w:rFonts w:cs="Times New Roman"/>
          <w:sz w:val="24"/>
          <w:szCs w:val="24"/>
        </w:rPr>
        <w:t>50 tis. eur,</w:t>
      </w:r>
    </w:p>
    <w:p w14:paraId="50232D27" w14:textId="77777777" w:rsidR="004C6700" w:rsidRPr="005E20D8" w:rsidRDefault="004C6700" w:rsidP="004C6700">
      <w:pPr>
        <w:numPr>
          <w:ilvl w:val="0"/>
          <w:numId w:val="13"/>
        </w:numPr>
        <w:spacing w:line="240" w:lineRule="auto"/>
        <w:contextualSpacing/>
        <w:rPr>
          <w:rFonts w:ascii="Calibri" w:hAnsi="Calibri" w:cs="Times New Roman"/>
          <w:sz w:val="24"/>
          <w:szCs w:val="24"/>
        </w:rPr>
      </w:pPr>
      <w:r w:rsidRPr="00EE0505">
        <w:rPr>
          <w:rFonts w:cs="Times New Roman"/>
          <w:sz w:val="24"/>
          <w:szCs w:val="24"/>
        </w:rPr>
        <w:t>splátky úverov v štátnom dlhu v hodnote 8 550 tis. eur,</w:t>
      </w:r>
    </w:p>
    <w:p w14:paraId="7088230E" w14:textId="77777777" w:rsidR="004C6700" w:rsidRPr="00EE0505" w:rsidRDefault="004C6700" w:rsidP="004C6700">
      <w:pPr>
        <w:numPr>
          <w:ilvl w:val="0"/>
          <w:numId w:val="13"/>
        </w:numPr>
        <w:spacing w:line="240" w:lineRule="auto"/>
        <w:contextualSpacing/>
        <w:rPr>
          <w:rFonts w:ascii="Calibri" w:hAnsi="Calibri" w:cs="Times New Roman"/>
          <w:sz w:val="24"/>
          <w:szCs w:val="24"/>
        </w:rPr>
      </w:pPr>
      <w:r>
        <w:rPr>
          <w:sz w:val="24"/>
          <w:szCs w:val="24"/>
        </w:rPr>
        <w:t>vyššia hodnotu inkasovanej TPS, čo umožnilo umorenie dlhu z tzv. zelenej energie za predchádzajúce roky v hodnote 119 000 tis. eur,</w:t>
      </w:r>
    </w:p>
    <w:p w14:paraId="31B5D3E3" w14:textId="77777777" w:rsidR="004C6700" w:rsidRPr="00EE0505" w:rsidRDefault="004C6700" w:rsidP="004C6700">
      <w:pPr>
        <w:numPr>
          <w:ilvl w:val="0"/>
          <w:numId w:val="13"/>
        </w:numPr>
        <w:spacing w:line="240" w:lineRule="auto"/>
        <w:contextualSpacing/>
        <w:rPr>
          <w:rFonts w:ascii="Calibri" w:hAnsi="Calibri" w:cs="Times New Roman"/>
          <w:sz w:val="24"/>
          <w:szCs w:val="24"/>
        </w:rPr>
      </w:pPr>
      <w:r>
        <w:rPr>
          <w:rFonts w:cs="Times New Roman"/>
          <w:sz w:val="24"/>
          <w:szCs w:val="24"/>
        </w:rPr>
        <w:t>zníženie konsolidovaného dlhu zdravotníckych zariadení ústrednej správy o 17 283 tis. eur,</w:t>
      </w:r>
    </w:p>
    <w:p w14:paraId="278E726C" w14:textId="77777777" w:rsidR="004C6700" w:rsidRPr="00EE0505" w:rsidRDefault="004C6700" w:rsidP="004C6700">
      <w:pPr>
        <w:numPr>
          <w:ilvl w:val="0"/>
          <w:numId w:val="13"/>
        </w:numPr>
        <w:spacing w:line="240" w:lineRule="auto"/>
        <w:contextualSpacing/>
        <w:rPr>
          <w:rFonts w:ascii="Calibri" w:hAnsi="Calibri" w:cs="Times New Roman"/>
          <w:sz w:val="24"/>
          <w:szCs w:val="24"/>
        </w:rPr>
      </w:pPr>
      <w:r>
        <w:rPr>
          <w:rFonts w:cs="Times New Roman"/>
          <w:sz w:val="24"/>
          <w:szCs w:val="24"/>
        </w:rPr>
        <w:t>pokles konsolidovaného dlhu Železníc Slovenskej republiky o 12 796 tis. eur,</w:t>
      </w:r>
    </w:p>
    <w:p w14:paraId="1EC8739A" w14:textId="77777777" w:rsidR="004C6700" w:rsidRPr="00EE0505" w:rsidRDefault="004C6700" w:rsidP="004C6700">
      <w:pPr>
        <w:numPr>
          <w:ilvl w:val="0"/>
          <w:numId w:val="13"/>
        </w:numPr>
        <w:spacing w:line="240" w:lineRule="auto"/>
        <w:contextualSpacing/>
        <w:rPr>
          <w:rFonts w:ascii="Calibri" w:hAnsi="Calibri" w:cs="Times New Roman"/>
          <w:sz w:val="24"/>
          <w:szCs w:val="24"/>
        </w:rPr>
      </w:pPr>
      <w:r w:rsidRPr="00EE0505">
        <w:rPr>
          <w:rFonts w:cs="Times New Roman"/>
          <w:sz w:val="24"/>
          <w:szCs w:val="24"/>
        </w:rPr>
        <w:t>zníženie dlhu ostatných subjektov ústrednej správy o 10 755 tis. eur,</w:t>
      </w:r>
    </w:p>
    <w:p w14:paraId="0B0790AC" w14:textId="77777777" w:rsidR="004C6700" w:rsidRPr="00685BC9" w:rsidRDefault="004C6700" w:rsidP="005E4981">
      <w:pPr>
        <w:numPr>
          <w:ilvl w:val="0"/>
          <w:numId w:val="13"/>
        </w:numPr>
        <w:spacing w:line="240" w:lineRule="auto"/>
        <w:ind w:left="714" w:hanging="357"/>
        <w:rPr>
          <w:rFonts w:cs="Times New Roman"/>
          <w:sz w:val="24"/>
          <w:szCs w:val="24"/>
        </w:rPr>
      </w:pPr>
      <w:r w:rsidRPr="00685BC9">
        <w:rPr>
          <w:rFonts w:cs="Times New Roman"/>
          <w:sz w:val="24"/>
          <w:szCs w:val="24"/>
        </w:rPr>
        <w:t>pokles zadlženosti dopravných podnikov miestnej samosprávy o 9 680 </w:t>
      </w:r>
      <w:r>
        <w:rPr>
          <w:rFonts w:cs="Times New Roman"/>
          <w:sz w:val="24"/>
          <w:szCs w:val="24"/>
        </w:rPr>
        <w:t>tis. eur.</w:t>
      </w:r>
    </w:p>
    <w:p w14:paraId="5DBD8464" w14:textId="77777777" w:rsidR="004C6700" w:rsidRPr="00092ACB" w:rsidRDefault="004C6700" w:rsidP="004C6700">
      <w:pPr>
        <w:spacing w:line="240" w:lineRule="auto"/>
        <w:rPr>
          <w:sz w:val="24"/>
          <w:szCs w:val="24"/>
          <w:highlight w:val="yellow"/>
        </w:rPr>
      </w:pPr>
      <w:r w:rsidRPr="00A311D3">
        <w:rPr>
          <w:b/>
          <w:sz w:val="24"/>
          <w:szCs w:val="24"/>
        </w:rPr>
        <w:t xml:space="preserve">Maastrichtský dlh verejnej správy bol financovaný predovšetkým cennými papiermi, </w:t>
      </w:r>
      <w:r w:rsidRPr="00005406">
        <w:rPr>
          <w:b/>
          <w:sz w:val="24"/>
          <w:szCs w:val="24"/>
        </w:rPr>
        <w:t xml:space="preserve">najmä štátnymi dlhopismi </w:t>
      </w:r>
      <w:r w:rsidRPr="00005406">
        <w:rPr>
          <w:sz w:val="24"/>
          <w:szCs w:val="24"/>
        </w:rPr>
        <w:t xml:space="preserve">v súhrnnej menovitej hodnote 60 284 267 tis. eur (87,6 %). Bankové úvery, pôžičky a iné záväzky dosiahli hodnotu 8 497 474 tis. eur (12,3 %), z čoho 1 840 824 tis. eur predstavuje záväzok pripadajúci na Slovenskú republiku z nástroja EFSF, ktorého úroveň oproti roku 2022 vzrástla o 18 499 tis. eur. Osobitnou súčasťou maastrichtského dlhu sú záväzky z vkladov peňažných prostriedkov v Štátnej pokladnici tých klientov, ktorí nie sú súčasťou verejnej správy. Tieto záväzky klesli z hodnoty 197 082 tis. eur (0,3 %) v roku 2022 na súčasnú úroveň 48 302 tis. eur (0,1 %). </w:t>
      </w:r>
    </w:p>
    <w:p w14:paraId="4A8CC9CB" w14:textId="77777777" w:rsidR="004C6700" w:rsidRPr="0037198B" w:rsidRDefault="004C6700" w:rsidP="004C6700">
      <w:pPr>
        <w:spacing w:line="240" w:lineRule="auto"/>
        <w:rPr>
          <w:sz w:val="24"/>
          <w:szCs w:val="24"/>
        </w:rPr>
      </w:pPr>
      <w:r w:rsidRPr="0037198B">
        <w:rPr>
          <w:b/>
          <w:sz w:val="24"/>
          <w:szCs w:val="24"/>
        </w:rPr>
        <w:t xml:space="preserve">Z pohľadu meny, v ktorej je dlh denominovaný, bol maastrichtský dlh v roku 2023 tvorený z 99,4 % dlhom v eurách </w:t>
      </w:r>
      <w:r w:rsidRPr="0037198B">
        <w:rPr>
          <w:sz w:val="24"/>
          <w:szCs w:val="24"/>
        </w:rPr>
        <w:t>a len 0,6 % dlhu pripadlo na iné meny, ktoré sú najmä v štátnom dlhu pri emitovaných dlhopisoch denominovaných v amerických dolároch, japonských jenoch a nórskych korunách.</w:t>
      </w:r>
    </w:p>
    <w:p w14:paraId="162645F1" w14:textId="77777777" w:rsidR="004C6700" w:rsidRPr="0037198B" w:rsidRDefault="004C6700" w:rsidP="005E4981">
      <w:pPr>
        <w:spacing w:line="240" w:lineRule="auto"/>
        <w:rPr>
          <w:sz w:val="24"/>
          <w:szCs w:val="24"/>
        </w:rPr>
      </w:pPr>
      <w:r w:rsidRPr="0037198B">
        <w:rPr>
          <w:b/>
          <w:sz w:val="24"/>
          <w:szCs w:val="24"/>
        </w:rPr>
        <w:t xml:space="preserve">Z hľadiska pôvodnej splatnosti </w:t>
      </w:r>
      <w:r w:rsidRPr="0037198B">
        <w:rPr>
          <w:sz w:val="24"/>
          <w:szCs w:val="24"/>
        </w:rPr>
        <w:t>(dohodnutej pri vzniku dlhu) je maastrichtský dlh tvorený z 0,6 % (381 545 tis. eur) krátkodobým dlhom. Dlh s pôvodnou splatnosťou vyššou ako jeden rok predstavuje 99,4 % (68 448 498 tis. eur).</w:t>
      </w:r>
    </w:p>
    <w:p w14:paraId="5336D8F2" w14:textId="5555F62E" w:rsidR="004C6700" w:rsidRPr="004C6700" w:rsidRDefault="004C6700" w:rsidP="005E4981">
      <w:pPr>
        <w:spacing w:line="240" w:lineRule="auto"/>
      </w:pPr>
      <w:r w:rsidRPr="0037198B">
        <w:rPr>
          <w:b/>
          <w:sz w:val="24"/>
          <w:szCs w:val="24"/>
        </w:rPr>
        <w:t>Z hľadiska teritoriálnej štruktúry</w:t>
      </w:r>
      <w:r w:rsidRPr="0037198B">
        <w:rPr>
          <w:sz w:val="24"/>
          <w:szCs w:val="24"/>
        </w:rPr>
        <w:t xml:space="preserve"> majú v držbe väčšinu maastrichtského dlhu verejnej správy SR zahraniční veritelia, a to 51,9 % (35 742 069 tis. eur). V portfóliu tuzemských veriteľov je 48,1 % (33 087 974 </w:t>
      </w:r>
      <w:r>
        <w:rPr>
          <w:sz w:val="24"/>
          <w:szCs w:val="24"/>
        </w:rPr>
        <w:t>tis. eur) maastrichtského dlhu.</w:t>
      </w:r>
    </w:p>
    <w:p w14:paraId="20004FD5" w14:textId="77777777" w:rsidR="003A0696" w:rsidRPr="005B08E3" w:rsidRDefault="003A0696" w:rsidP="00F90C51">
      <w:pPr>
        <w:pStyle w:val="Nadpis3"/>
        <w:spacing w:line="336" w:lineRule="auto"/>
      </w:pPr>
      <w:bookmarkStart w:id="30" w:name="_Toc164846935"/>
      <w:r w:rsidRPr="005B08E3">
        <w:t>Štátny dlh</w:t>
      </w:r>
      <w:bookmarkEnd w:id="30"/>
    </w:p>
    <w:p w14:paraId="109ED190" w14:textId="710531BE" w:rsidR="004C6700" w:rsidRPr="00092ACB" w:rsidRDefault="004C6700" w:rsidP="004C6700">
      <w:pPr>
        <w:spacing w:line="240" w:lineRule="auto"/>
        <w:rPr>
          <w:sz w:val="24"/>
          <w:szCs w:val="24"/>
          <w:highlight w:val="yellow"/>
        </w:rPr>
      </w:pPr>
      <w:r w:rsidRPr="00C17A34">
        <w:rPr>
          <w:sz w:val="24"/>
          <w:szCs w:val="24"/>
        </w:rPr>
        <w:t xml:space="preserve">Štátny dlh, ktorý je v správe Ministerstva financií SR a ktorým sa financuje nesúlad príjmov a výdavkov štátneho rozpočtu, dosiahol v menovitej hodnote ku koncu roka 2023 výšku 66 408 836 tis. eur. V porovnaní s úrovňou za predchádzajúci rok vzrástol o 5 203 972 tis. eur </w:t>
      </w:r>
      <w:r w:rsidRPr="00C17A34">
        <w:rPr>
          <w:sz w:val="24"/>
          <w:szCs w:val="24"/>
        </w:rPr>
        <w:lastRenderedPageBreak/>
        <w:t xml:space="preserve">(o 8,5 %). Nárast štátneho dlhu súvisel najmä s emisiou štátnych dlhopisov v súhrnnej hodnote 10 441 000 tis. eur a čerpaním štvrtej </w:t>
      </w:r>
      <w:proofErr w:type="spellStart"/>
      <w:r w:rsidRPr="00C17A34">
        <w:rPr>
          <w:sz w:val="24"/>
          <w:szCs w:val="24"/>
        </w:rPr>
        <w:t>tranže</w:t>
      </w:r>
      <w:proofErr w:type="spellEnd"/>
      <w:r w:rsidRPr="00C17A34">
        <w:rPr>
          <w:sz w:val="24"/>
          <w:szCs w:val="24"/>
        </w:rPr>
        <w:t xml:space="preserve"> úveru od </w:t>
      </w:r>
      <w:r w:rsidRPr="00C17A34">
        <w:rPr>
          <w:rFonts w:cs="Times New Roman"/>
          <w:sz w:val="24"/>
          <w:szCs w:val="24"/>
        </w:rPr>
        <w:t>Rozvojovej banky Rady Európy vo výške 20 000 tis. eur.</w:t>
      </w:r>
    </w:p>
    <w:p w14:paraId="37DA3F47" w14:textId="2C37D85B" w:rsidR="004C6700" w:rsidRDefault="004C6700" w:rsidP="004C6700">
      <w:pPr>
        <w:spacing w:line="240" w:lineRule="auto"/>
        <w:rPr>
          <w:sz w:val="24"/>
          <w:szCs w:val="24"/>
          <w:highlight w:val="yellow"/>
        </w:rPr>
      </w:pPr>
      <w:r w:rsidRPr="00C17A34">
        <w:rPr>
          <w:sz w:val="24"/>
          <w:szCs w:val="24"/>
        </w:rPr>
        <w:t>Štátny dlh je v rozhodujúcej miere tvorený záväzkami z emisie štátnych dlhopisov (90,8 %)</w:t>
      </w:r>
      <w:r w:rsidR="005E4981">
        <w:rPr>
          <w:sz w:val="24"/>
          <w:szCs w:val="24"/>
        </w:rPr>
        <w:t xml:space="preserve">, </w:t>
      </w:r>
      <w:r w:rsidRPr="00C17A34">
        <w:rPr>
          <w:sz w:val="24"/>
          <w:szCs w:val="24"/>
        </w:rPr>
        <w:t>prijatými bankovými úvermi (6,1 %), zábezpekami (0,3 %), závä</w:t>
      </w:r>
      <w:r w:rsidR="005E4981">
        <w:rPr>
          <w:sz w:val="24"/>
          <w:szCs w:val="24"/>
        </w:rPr>
        <w:t xml:space="preserve">zkami z nástroja EFSF (2,8 %) a </w:t>
      </w:r>
      <w:r w:rsidRPr="00C17A34">
        <w:rPr>
          <w:sz w:val="24"/>
          <w:szCs w:val="24"/>
        </w:rPr>
        <w:t>záväzkami vyplývajúcimi z vkladov v Štátnej pokladnici (0,1 %).</w:t>
      </w:r>
    </w:p>
    <w:tbl>
      <w:tblPr>
        <w:tblW w:w="5000" w:type="pct"/>
        <w:tblCellMar>
          <w:left w:w="70" w:type="dxa"/>
          <w:right w:w="70" w:type="dxa"/>
        </w:tblCellMar>
        <w:tblLook w:val="04A0" w:firstRow="1" w:lastRow="0" w:firstColumn="1" w:lastColumn="0" w:noHBand="0" w:noVBand="1"/>
      </w:tblPr>
      <w:tblGrid>
        <w:gridCol w:w="4902"/>
        <w:gridCol w:w="1067"/>
        <w:gridCol w:w="1067"/>
        <w:gridCol w:w="1069"/>
        <w:gridCol w:w="1109"/>
      </w:tblGrid>
      <w:tr w:rsidR="004C6700" w:rsidRPr="00D53E3A" w14:paraId="2EE7EFEF" w14:textId="77777777" w:rsidTr="00836EB5">
        <w:trPr>
          <w:trHeight w:val="290"/>
        </w:trPr>
        <w:tc>
          <w:tcPr>
            <w:tcW w:w="4398" w:type="pct"/>
            <w:gridSpan w:val="4"/>
            <w:tcBorders>
              <w:top w:val="nil"/>
              <w:left w:val="nil"/>
              <w:bottom w:val="single" w:sz="4" w:space="0" w:color="auto"/>
              <w:right w:val="nil"/>
            </w:tcBorders>
            <w:shd w:val="clear" w:color="auto" w:fill="auto"/>
            <w:noWrap/>
            <w:vAlign w:val="center"/>
            <w:hideMark/>
          </w:tcPr>
          <w:p w14:paraId="4ABA68F3" w14:textId="139300CA" w:rsidR="004C6700" w:rsidRPr="00D53E3A" w:rsidRDefault="004C6700" w:rsidP="00836EB5">
            <w:pPr>
              <w:spacing w:after="0" w:line="240" w:lineRule="auto"/>
              <w:jc w:val="left"/>
              <w:rPr>
                <w:rFonts w:eastAsia="Times New Roman" w:cs="Times New Roman"/>
                <w:b/>
                <w:bCs/>
                <w:color w:val="5B9BD5"/>
                <w:sz w:val="20"/>
                <w:szCs w:val="20"/>
                <w:lang w:eastAsia="sk-SK"/>
              </w:rPr>
            </w:pPr>
            <w:r>
              <w:rPr>
                <w:rFonts w:eastAsia="Times New Roman" w:cs="Times New Roman"/>
                <w:b/>
                <w:bCs/>
                <w:color w:val="5B9BD5"/>
                <w:sz w:val="20"/>
                <w:szCs w:val="20"/>
                <w:lang w:eastAsia="sk-SK"/>
              </w:rPr>
              <w:t>Tabuľka 16</w:t>
            </w:r>
            <w:r w:rsidRPr="00D53E3A">
              <w:rPr>
                <w:rFonts w:eastAsia="Times New Roman" w:cs="Times New Roman"/>
                <w:b/>
                <w:bCs/>
                <w:color w:val="5B9BD5"/>
                <w:sz w:val="20"/>
                <w:szCs w:val="20"/>
                <w:lang w:eastAsia="sk-SK"/>
              </w:rPr>
              <w:t xml:space="preserve"> - Štátny dlh podľa dlhových nástrojov</w:t>
            </w:r>
          </w:p>
        </w:tc>
        <w:tc>
          <w:tcPr>
            <w:tcW w:w="602" w:type="pct"/>
            <w:tcBorders>
              <w:top w:val="nil"/>
              <w:left w:val="nil"/>
              <w:bottom w:val="single" w:sz="4" w:space="0" w:color="auto"/>
              <w:right w:val="nil"/>
            </w:tcBorders>
            <w:shd w:val="clear" w:color="auto" w:fill="auto"/>
            <w:noWrap/>
            <w:vAlign w:val="center"/>
            <w:hideMark/>
          </w:tcPr>
          <w:p w14:paraId="6C590A2A" w14:textId="77777777" w:rsidR="004C6700" w:rsidRPr="00D53E3A" w:rsidRDefault="004C6700" w:rsidP="00836EB5">
            <w:pPr>
              <w:spacing w:after="0" w:line="240" w:lineRule="auto"/>
              <w:jc w:val="right"/>
              <w:rPr>
                <w:rFonts w:eastAsia="Times New Roman" w:cs="Times New Roman"/>
                <w:b/>
                <w:bCs/>
                <w:sz w:val="20"/>
                <w:szCs w:val="20"/>
                <w:lang w:eastAsia="sk-SK"/>
              </w:rPr>
            </w:pPr>
            <w:r w:rsidRPr="00D53E3A">
              <w:rPr>
                <w:rFonts w:eastAsia="Times New Roman" w:cs="Times New Roman"/>
                <w:b/>
                <w:bCs/>
                <w:sz w:val="20"/>
                <w:szCs w:val="20"/>
                <w:lang w:eastAsia="sk-SK"/>
              </w:rPr>
              <w:t> </w:t>
            </w:r>
          </w:p>
        </w:tc>
      </w:tr>
      <w:tr w:rsidR="004C6700" w:rsidRPr="005E4981" w14:paraId="7563DDDD" w14:textId="77777777" w:rsidTr="005E4981">
        <w:trPr>
          <w:trHeight w:val="290"/>
        </w:trPr>
        <w:tc>
          <w:tcPr>
            <w:tcW w:w="2660" w:type="pct"/>
            <w:vMerge w:val="restart"/>
            <w:tcBorders>
              <w:top w:val="single" w:sz="4" w:space="0" w:color="auto"/>
              <w:left w:val="nil"/>
              <w:bottom w:val="single" w:sz="4" w:space="0" w:color="000000"/>
              <w:right w:val="nil"/>
            </w:tcBorders>
            <w:shd w:val="clear" w:color="auto" w:fill="auto"/>
            <w:vAlign w:val="center"/>
            <w:hideMark/>
          </w:tcPr>
          <w:p w14:paraId="12EC7546" w14:textId="77777777" w:rsidR="004C6700" w:rsidRPr="005E4981" w:rsidRDefault="004C6700" w:rsidP="00836EB5">
            <w:pPr>
              <w:spacing w:after="0" w:line="240" w:lineRule="auto"/>
              <w:rPr>
                <w:rFonts w:eastAsia="Times New Roman" w:cs="Times New Roman"/>
                <w:b/>
                <w:bCs/>
                <w:sz w:val="18"/>
                <w:szCs w:val="18"/>
                <w:lang w:eastAsia="sk-SK"/>
              </w:rPr>
            </w:pPr>
            <w:r w:rsidRPr="005E4981">
              <w:rPr>
                <w:rFonts w:eastAsia="Times New Roman" w:cs="Times New Roman"/>
                <w:b/>
                <w:bCs/>
                <w:sz w:val="18"/>
                <w:szCs w:val="18"/>
                <w:lang w:eastAsia="sk-SK"/>
              </w:rPr>
              <w:t>v tis. eur</w:t>
            </w:r>
          </w:p>
        </w:tc>
        <w:tc>
          <w:tcPr>
            <w:tcW w:w="579" w:type="pct"/>
            <w:tcBorders>
              <w:top w:val="single" w:sz="4" w:space="0" w:color="auto"/>
              <w:left w:val="nil"/>
              <w:bottom w:val="nil"/>
              <w:right w:val="nil"/>
            </w:tcBorders>
            <w:shd w:val="clear" w:color="auto" w:fill="auto"/>
            <w:vAlign w:val="center"/>
            <w:hideMark/>
          </w:tcPr>
          <w:p w14:paraId="145BC2EB"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2021 S</w:t>
            </w:r>
          </w:p>
        </w:tc>
        <w:tc>
          <w:tcPr>
            <w:tcW w:w="579" w:type="pct"/>
            <w:tcBorders>
              <w:top w:val="single" w:sz="4" w:space="0" w:color="auto"/>
              <w:left w:val="nil"/>
              <w:bottom w:val="nil"/>
              <w:right w:val="nil"/>
            </w:tcBorders>
            <w:shd w:val="clear" w:color="auto" w:fill="auto"/>
            <w:vAlign w:val="center"/>
            <w:hideMark/>
          </w:tcPr>
          <w:p w14:paraId="1F516599"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2022 S</w:t>
            </w:r>
          </w:p>
        </w:tc>
        <w:tc>
          <w:tcPr>
            <w:tcW w:w="580" w:type="pct"/>
            <w:tcBorders>
              <w:top w:val="single" w:sz="4" w:space="0" w:color="auto"/>
              <w:left w:val="nil"/>
              <w:bottom w:val="nil"/>
              <w:right w:val="nil"/>
            </w:tcBorders>
            <w:shd w:val="clear" w:color="auto" w:fill="auto"/>
            <w:vAlign w:val="center"/>
            <w:hideMark/>
          </w:tcPr>
          <w:p w14:paraId="10B36937"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2023 S</w:t>
            </w:r>
          </w:p>
        </w:tc>
        <w:tc>
          <w:tcPr>
            <w:tcW w:w="602" w:type="pct"/>
            <w:tcBorders>
              <w:top w:val="single" w:sz="4" w:space="0" w:color="auto"/>
              <w:left w:val="nil"/>
              <w:bottom w:val="nil"/>
              <w:right w:val="nil"/>
            </w:tcBorders>
            <w:shd w:val="clear" w:color="auto" w:fill="auto"/>
            <w:vAlign w:val="center"/>
            <w:hideMark/>
          </w:tcPr>
          <w:p w14:paraId="4DD81329"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Zmena</w:t>
            </w:r>
          </w:p>
        </w:tc>
      </w:tr>
      <w:tr w:rsidR="004C6700" w:rsidRPr="005E4981" w14:paraId="030A1EA1" w14:textId="77777777" w:rsidTr="005E4981">
        <w:trPr>
          <w:trHeight w:val="290"/>
        </w:trPr>
        <w:tc>
          <w:tcPr>
            <w:tcW w:w="2660" w:type="pct"/>
            <w:vMerge/>
            <w:tcBorders>
              <w:top w:val="single" w:sz="4" w:space="0" w:color="auto"/>
              <w:left w:val="nil"/>
              <w:bottom w:val="single" w:sz="4" w:space="0" w:color="000000"/>
              <w:right w:val="nil"/>
            </w:tcBorders>
            <w:vAlign w:val="center"/>
            <w:hideMark/>
          </w:tcPr>
          <w:p w14:paraId="13435C8D" w14:textId="77777777" w:rsidR="004C6700" w:rsidRPr="005E4981" w:rsidRDefault="004C6700" w:rsidP="00836EB5">
            <w:pPr>
              <w:spacing w:after="0" w:line="240" w:lineRule="auto"/>
              <w:jc w:val="left"/>
              <w:rPr>
                <w:rFonts w:eastAsia="Times New Roman" w:cs="Times New Roman"/>
                <w:b/>
                <w:bCs/>
                <w:sz w:val="18"/>
                <w:szCs w:val="18"/>
                <w:lang w:eastAsia="sk-SK"/>
              </w:rPr>
            </w:pPr>
          </w:p>
        </w:tc>
        <w:tc>
          <w:tcPr>
            <w:tcW w:w="579" w:type="pct"/>
            <w:tcBorders>
              <w:top w:val="nil"/>
              <w:left w:val="nil"/>
              <w:bottom w:val="single" w:sz="4" w:space="0" w:color="auto"/>
              <w:right w:val="nil"/>
            </w:tcBorders>
            <w:shd w:val="clear" w:color="auto" w:fill="auto"/>
            <w:vAlign w:val="center"/>
            <w:hideMark/>
          </w:tcPr>
          <w:p w14:paraId="1A424B0B"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1</w:t>
            </w:r>
          </w:p>
        </w:tc>
        <w:tc>
          <w:tcPr>
            <w:tcW w:w="579" w:type="pct"/>
            <w:tcBorders>
              <w:top w:val="nil"/>
              <w:left w:val="nil"/>
              <w:bottom w:val="single" w:sz="4" w:space="0" w:color="auto"/>
              <w:right w:val="nil"/>
            </w:tcBorders>
            <w:shd w:val="clear" w:color="auto" w:fill="auto"/>
            <w:vAlign w:val="center"/>
            <w:hideMark/>
          </w:tcPr>
          <w:p w14:paraId="7C4592D9"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2</w:t>
            </w:r>
          </w:p>
        </w:tc>
        <w:tc>
          <w:tcPr>
            <w:tcW w:w="580" w:type="pct"/>
            <w:tcBorders>
              <w:top w:val="nil"/>
              <w:left w:val="nil"/>
              <w:bottom w:val="single" w:sz="4" w:space="0" w:color="auto"/>
              <w:right w:val="nil"/>
            </w:tcBorders>
            <w:shd w:val="clear" w:color="auto" w:fill="auto"/>
            <w:vAlign w:val="center"/>
            <w:hideMark/>
          </w:tcPr>
          <w:p w14:paraId="141F9555"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3</w:t>
            </w:r>
          </w:p>
        </w:tc>
        <w:tc>
          <w:tcPr>
            <w:tcW w:w="602" w:type="pct"/>
            <w:tcBorders>
              <w:top w:val="nil"/>
              <w:left w:val="nil"/>
              <w:bottom w:val="single" w:sz="4" w:space="0" w:color="auto"/>
              <w:right w:val="nil"/>
            </w:tcBorders>
            <w:shd w:val="clear" w:color="auto" w:fill="auto"/>
            <w:vAlign w:val="center"/>
            <w:hideMark/>
          </w:tcPr>
          <w:p w14:paraId="1AB09328"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4=(3-2)</w:t>
            </w:r>
          </w:p>
        </w:tc>
      </w:tr>
      <w:tr w:rsidR="004C6700" w:rsidRPr="005E4981" w14:paraId="45C67338" w14:textId="77777777" w:rsidTr="005E4981">
        <w:trPr>
          <w:trHeight w:val="290"/>
        </w:trPr>
        <w:tc>
          <w:tcPr>
            <w:tcW w:w="2660" w:type="pct"/>
            <w:tcBorders>
              <w:top w:val="nil"/>
              <w:left w:val="nil"/>
              <w:bottom w:val="nil"/>
              <w:right w:val="nil"/>
            </w:tcBorders>
            <w:shd w:val="clear" w:color="auto" w:fill="auto"/>
            <w:noWrap/>
            <w:vAlign w:val="bottom"/>
            <w:hideMark/>
          </w:tcPr>
          <w:p w14:paraId="3645C9B3"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Štátne dlhopisy</w:t>
            </w:r>
          </w:p>
        </w:tc>
        <w:tc>
          <w:tcPr>
            <w:tcW w:w="579" w:type="pct"/>
            <w:tcBorders>
              <w:top w:val="nil"/>
              <w:left w:val="nil"/>
              <w:bottom w:val="nil"/>
              <w:right w:val="nil"/>
            </w:tcBorders>
            <w:shd w:val="clear" w:color="auto" w:fill="auto"/>
            <w:noWrap/>
            <w:vAlign w:val="bottom"/>
            <w:hideMark/>
          </w:tcPr>
          <w:p w14:paraId="2E57AF3F"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50 999 864</w:t>
            </w:r>
          </w:p>
        </w:tc>
        <w:tc>
          <w:tcPr>
            <w:tcW w:w="579" w:type="pct"/>
            <w:tcBorders>
              <w:top w:val="nil"/>
              <w:left w:val="nil"/>
              <w:bottom w:val="nil"/>
              <w:right w:val="nil"/>
            </w:tcBorders>
            <w:shd w:val="clear" w:color="auto" w:fill="auto"/>
            <w:noWrap/>
            <w:vAlign w:val="bottom"/>
            <w:hideMark/>
          </w:tcPr>
          <w:p w14:paraId="74EADED9"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54 811 293</w:t>
            </w:r>
          </w:p>
        </w:tc>
        <w:tc>
          <w:tcPr>
            <w:tcW w:w="580" w:type="pct"/>
            <w:tcBorders>
              <w:top w:val="nil"/>
              <w:left w:val="nil"/>
              <w:bottom w:val="nil"/>
              <w:right w:val="nil"/>
            </w:tcBorders>
            <w:shd w:val="clear" w:color="auto" w:fill="auto"/>
            <w:noWrap/>
            <w:vAlign w:val="bottom"/>
            <w:hideMark/>
          </w:tcPr>
          <w:p w14:paraId="7174184D"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60 285 843</w:t>
            </w:r>
          </w:p>
        </w:tc>
        <w:tc>
          <w:tcPr>
            <w:tcW w:w="602" w:type="pct"/>
            <w:tcBorders>
              <w:top w:val="nil"/>
              <w:left w:val="nil"/>
              <w:bottom w:val="nil"/>
              <w:right w:val="nil"/>
            </w:tcBorders>
            <w:shd w:val="clear" w:color="auto" w:fill="auto"/>
            <w:noWrap/>
            <w:vAlign w:val="bottom"/>
            <w:hideMark/>
          </w:tcPr>
          <w:p w14:paraId="0DD52A5A"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5 474 550</w:t>
            </w:r>
          </w:p>
        </w:tc>
      </w:tr>
      <w:tr w:rsidR="004C6700" w:rsidRPr="005E4981" w14:paraId="54F670B4" w14:textId="77777777" w:rsidTr="005E4981">
        <w:trPr>
          <w:trHeight w:val="290"/>
        </w:trPr>
        <w:tc>
          <w:tcPr>
            <w:tcW w:w="2660" w:type="pct"/>
            <w:tcBorders>
              <w:top w:val="nil"/>
              <w:left w:val="nil"/>
              <w:bottom w:val="nil"/>
              <w:right w:val="nil"/>
            </w:tcBorders>
            <w:shd w:val="clear" w:color="auto" w:fill="auto"/>
            <w:noWrap/>
            <w:vAlign w:val="bottom"/>
            <w:hideMark/>
          </w:tcPr>
          <w:p w14:paraId="693F11D8"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Bankové úvery a iné pôžičky</w:t>
            </w:r>
          </w:p>
        </w:tc>
        <w:tc>
          <w:tcPr>
            <w:tcW w:w="579" w:type="pct"/>
            <w:tcBorders>
              <w:top w:val="nil"/>
              <w:left w:val="nil"/>
              <w:bottom w:val="nil"/>
              <w:right w:val="nil"/>
            </w:tcBorders>
            <w:shd w:val="clear" w:color="auto" w:fill="auto"/>
            <w:noWrap/>
            <w:vAlign w:val="bottom"/>
            <w:hideMark/>
          </w:tcPr>
          <w:p w14:paraId="339C77E4"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3 923 827</w:t>
            </w:r>
          </w:p>
        </w:tc>
        <w:tc>
          <w:tcPr>
            <w:tcW w:w="579" w:type="pct"/>
            <w:tcBorders>
              <w:top w:val="nil"/>
              <w:left w:val="nil"/>
              <w:bottom w:val="nil"/>
              <w:right w:val="nil"/>
            </w:tcBorders>
            <w:shd w:val="clear" w:color="auto" w:fill="auto"/>
            <w:noWrap/>
            <w:vAlign w:val="bottom"/>
            <w:hideMark/>
          </w:tcPr>
          <w:p w14:paraId="14B0394D"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4 013 241</w:t>
            </w:r>
          </w:p>
        </w:tc>
        <w:tc>
          <w:tcPr>
            <w:tcW w:w="580" w:type="pct"/>
            <w:tcBorders>
              <w:top w:val="nil"/>
              <w:left w:val="nil"/>
              <w:bottom w:val="nil"/>
              <w:right w:val="nil"/>
            </w:tcBorders>
            <w:shd w:val="clear" w:color="auto" w:fill="auto"/>
            <w:noWrap/>
            <w:vAlign w:val="bottom"/>
            <w:hideMark/>
          </w:tcPr>
          <w:p w14:paraId="4792FFC9"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4 024 090</w:t>
            </w:r>
          </w:p>
        </w:tc>
        <w:tc>
          <w:tcPr>
            <w:tcW w:w="602" w:type="pct"/>
            <w:tcBorders>
              <w:top w:val="nil"/>
              <w:left w:val="nil"/>
              <w:bottom w:val="nil"/>
              <w:right w:val="nil"/>
            </w:tcBorders>
            <w:shd w:val="clear" w:color="auto" w:fill="auto"/>
            <w:noWrap/>
            <w:vAlign w:val="bottom"/>
            <w:hideMark/>
          </w:tcPr>
          <w:p w14:paraId="6D6BA06D"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10 849</w:t>
            </w:r>
          </w:p>
        </w:tc>
      </w:tr>
      <w:tr w:rsidR="004C6700" w:rsidRPr="005E4981" w14:paraId="5DFF51AB" w14:textId="77777777" w:rsidTr="005E4981">
        <w:trPr>
          <w:trHeight w:val="290"/>
        </w:trPr>
        <w:tc>
          <w:tcPr>
            <w:tcW w:w="2660" w:type="pct"/>
            <w:tcBorders>
              <w:top w:val="nil"/>
              <w:left w:val="nil"/>
              <w:bottom w:val="nil"/>
              <w:right w:val="nil"/>
            </w:tcBorders>
            <w:shd w:val="clear" w:color="auto" w:fill="auto"/>
            <w:noWrap/>
            <w:vAlign w:val="bottom"/>
            <w:hideMark/>
          </w:tcPr>
          <w:p w14:paraId="0D4E9404"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Záväzky z vkladov v Štátnej pokladnici</w:t>
            </w:r>
          </w:p>
        </w:tc>
        <w:tc>
          <w:tcPr>
            <w:tcW w:w="579" w:type="pct"/>
            <w:tcBorders>
              <w:top w:val="nil"/>
              <w:left w:val="nil"/>
              <w:bottom w:val="nil"/>
              <w:right w:val="nil"/>
            </w:tcBorders>
            <w:shd w:val="clear" w:color="auto" w:fill="auto"/>
            <w:noWrap/>
            <w:vAlign w:val="bottom"/>
            <w:hideMark/>
          </w:tcPr>
          <w:p w14:paraId="1A912324"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1 863 381</w:t>
            </w:r>
          </w:p>
        </w:tc>
        <w:tc>
          <w:tcPr>
            <w:tcW w:w="579" w:type="pct"/>
            <w:tcBorders>
              <w:top w:val="nil"/>
              <w:left w:val="nil"/>
              <w:bottom w:val="nil"/>
              <w:right w:val="nil"/>
            </w:tcBorders>
            <w:shd w:val="clear" w:color="auto" w:fill="auto"/>
            <w:noWrap/>
            <w:vAlign w:val="bottom"/>
            <w:hideMark/>
          </w:tcPr>
          <w:p w14:paraId="4CFDCCB5"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197 082</w:t>
            </w:r>
          </w:p>
        </w:tc>
        <w:tc>
          <w:tcPr>
            <w:tcW w:w="580" w:type="pct"/>
            <w:tcBorders>
              <w:top w:val="nil"/>
              <w:left w:val="nil"/>
              <w:bottom w:val="nil"/>
              <w:right w:val="nil"/>
            </w:tcBorders>
            <w:shd w:val="clear" w:color="auto" w:fill="auto"/>
            <w:noWrap/>
            <w:vAlign w:val="bottom"/>
            <w:hideMark/>
          </w:tcPr>
          <w:p w14:paraId="3FA3112C"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48 302</w:t>
            </w:r>
          </w:p>
        </w:tc>
        <w:tc>
          <w:tcPr>
            <w:tcW w:w="602" w:type="pct"/>
            <w:tcBorders>
              <w:top w:val="nil"/>
              <w:left w:val="nil"/>
              <w:bottom w:val="nil"/>
              <w:right w:val="nil"/>
            </w:tcBorders>
            <w:shd w:val="clear" w:color="auto" w:fill="auto"/>
            <w:noWrap/>
            <w:vAlign w:val="bottom"/>
            <w:hideMark/>
          </w:tcPr>
          <w:p w14:paraId="6DD6A185"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-148 780</w:t>
            </w:r>
          </w:p>
        </w:tc>
      </w:tr>
      <w:tr w:rsidR="004C6700" w:rsidRPr="005E4981" w14:paraId="6B0F28C2" w14:textId="77777777" w:rsidTr="005E4981">
        <w:trPr>
          <w:trHeight w:val="290"/>
        </w:trPr>
        <w:tc>
          <w:tcPr>
            <w:tcW w:w="2660" w:type="pct"/>
            <w:tcBorders>
              <w:top w:val="nil"/>
              <w:left w:val="nil"/>
              <w:bottom w:val="nil"/>
              <w:right w:val="nil"/>
            </w:tcBorders>
            <w:shd w:val="clear" w:color="auto" w:fill="auto"/>
            <w:noWrap/>
            <w:vAlign w:val="bottom"/>
            <w:hideMark/>
          </w:tcPr>
          <w:p w14:paraId="26ECEBC2"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Záväzky z EFSF</w:t>
            </w:r>
          </w:p>
        </w:tc>
        <w:tc>
          <w:tcPr>
            <w:tcW w:w="579" w:type="pct"/>
            <w:tcBorders>
              <w:top w:val="nil"/>
              <w:left w:val="nil"/>
              <w:bottom w:val="nil"/>
              <w:right w:val="nil"/>
            </w:tcBorders>
            <w:shd w:val="clear" w:color="auto" w:fill="auto"/>
            <w:noWrap/>
            <w:vAlign w:val="bottom"/>
            <w:hideMark/>
          </w:tcPr>
          <w:p w14:paraId="6A1D34C3"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1 859 323</w:t>
            </w:r>
          </w:p>
        </w:tc>
        <w:tc>
          <w:tcPr>
            <w:tcW w:w="579" w:type="pct"/>
            <w:tcBorders>
              <w:top w:val="nil"/>
              <w:left w:val="nil"/>
              <w:bottom w:val="nil"/>
              <w:right w:val="nil"/>
            </w:tcBorders>
            <w:shd w:val="clear" w:color="auto" w:fill="auto"/>
            <w:noWrap/>
            <w:vAlign w:val="bottom"/>
            <w:hideMark/>
          </w:tcPr>
          <w:p w14:paraId="7D7DFB05"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1 859 323</w:t>
            </w:r>
          </w:p>
        </w:tc>
        <w:tc>
          <w:tcPr>
            <w:tcW w:w="580" w:type="pct"/>
            <w:tcBorders>
              <w:top w:val="nil"/>
              <w:left w:val="nil"/>
              <w:bottom w:val="nil"/>
              <w:right w:val="nil"/>
            </w:tcBorders>
            <w:shd w:val="clear" w:color="auto" w:fill="auto"/>
            <w:noWrap/>
            <w:vAlign w:val="bottom"/>
            <w:hideMark/>
          </w:tcPr>
          <w:p w14:paraId="6513FB61"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1 840 824</w:t>
            </w:r>
          </w:p>
        </w:tc>
        <w:tc>
          <w:tcPr>
            <w:tcW w:w="602" w:type="pct"/>
            <w:tcBorders>
              <w:top w:val="nil"/>
              <w:left w:val="nil"/>
              <w:bottom w:val="nil"/>
              <w:right w:val="nil"/>
            </w:tcBorders>
            <w:shd w:val="clear" w:color="auto" w:fill="auto"/>
            <w:noWrap/>
            <w:vAlign w:val="bottom"/>
            <w:hideMark/>
          </w:tcPr>
          <w:p w14:paraId="4A9FAF26"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-18 499</w:t>
            </w:r>
          </w:p>
        </w:tc>
      </w:tr>
      <w:tr w:rsidR="004C6700" w:rsidRPr="005E4981" w14:paraId="3F812273" w14:textId="77777777" w:rsidTr="005E4981">
        <w:trPr>
          <w:trHeight w:val="290"/>
        </w:trPr>
        <w:tc>
          <w:tcPr>
            <w:tcW w:w="2660" w:type="pct"/>
            <w:tcBorders>
              <w:top w:val="nil"/>
              <w:left w:val="nil"/>
              <w:bottom w:val="nil"/>
              <w:right w:val="nil"/>
            </w:tcBorders>
            <w:shd w:val="clear" w:color="auto" w:fill="auto"/>
            <w:noWrap/>
            <w:vAlign w:val="bottom"/>
            <w:hideMark/>
          </w:tcPr>
          <w:p w14:paraId="3F9B8028"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Zábezpeky</w:t>
            </w:r>
          </w:p>
        </w:tc>
        <w:tc>
          <w:tcPr>
            <w:tcW w:w="579" w:type="pct"/>
            <w:tcBorders>
              <w:top w:val="nil"/>
              <w:left w:val="nil"/>
              <w:bottom w:val="nil"/>
              <w:right w:val="nil"/>
            </w:tcBorders>
            <w:shd w:val="clear" w:color="auto" w:fill="auto"/>
            <w:noWrap/>
            <w:vAlign w:val="bottom"/>
            <w:hideMark/>
          </w:tcPr>
          <w:p w14:paraId="4B9044BD"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252 432</w:t>
            </w:r>
          </w:p>
        </w:tc>
        <w:tc>
          <w:tcPr>
            <w:tcW w:w="579" w:type="pct"/>
            <w:tcBorders>
              <w:top w:val="nil"/>
              <w:left w:val="nil"/>
              <w:bottom w:val="nil"/>
              <w:right w:val="nil"/>
            </w:tcBorders>
            <w:shd w:val="clear" w:color="auto" w:fill="auto"/>
            <w:noWrap/>
            <w:vAlign w:val="bottom"/>
            <w:hideMark/>
          </w:tcPr>
          <w:p w14:paraId="78A9E810"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134 767</w:t>
            </w:r>
          </w:p>
        </w:tc>
        <w:tc>
          <w:tcPr>
            <w:tcW w:w="580" w:type="pct"/>
            <w:tcBorders>
              <w:top w:val="nil"/>
              <w:left w:val="nil"/>
              <w:bottom w:val="nil"/>
              <w:right w:val="nil"/>
            </w:tcBorders>
            <w:shd w:val="clear" w:color="auto" w:fill="auto"/>
            <w:noWrap/>
            <w:vAlign w:val="bottom"/>
            <w:hideMark/>
          </w:tcPr>
          <w:p w14:paraId="2938B31D"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188 469</w:t>
            </w:r>
          </w:p>
        </w:tc>
        <w:tc>
          <w:tcPr>
            <w:tcW w:w="602" w:type="pct"/>
            <w:tcBorders>
              <w:top w:val="nil"/>
              <w:left w:val="nil"/>
              <w:bottom w:val="nil"/>
              <w:right w:val="nil"/>
            </w:tcBorders>
            <w:shd w:val="clear" w:color="auto" w:fill="auto"/>
            <w:noWrap/>
            <w:vAlign w:val="bottom"/>
            <w:hideMark/>
          </w:tcPr>
          <w:p w14:paraId="7F3C1867"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53 702</w:t>
            </w:r>
          </w:p>
        </w:tc>
      </w:tr>
      <w:tr w:rsidR="004C6700" w:rsidRPr="005E4981" w14:paraId="6BB73BD1" w14:textId="77777777" w:rsidTr="005E4981">
        <w:trPr>
          <w:trHeight w:val="290"/>
        </w:trPr>
        <w:tc>
          <w:tcPr>
            <w:tcW w:w="2660" w:type="pct"/>
            <w:tcBorders>
              <w:top w:val="nil"/>
              <w:left w:val="nil"/>
              <w:bottom w:val="nil"/>
              <w:right w:val="nil"/>
            </w:tcBorders>
            <w:shd w:val="clear" w:color="auto" w:fill="auto"/>
            <w:noWrap/>
            <w:vAlign w:val="bottom"/>
            <w:hideMark/>
          </w:tcPr>
          <w:p w14:paraId="58137981"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Štátne pokladničné poukážky</w:t>
            </w:r>
          </w:p>
        </w:tc>
        <w:tc>
          <w:tcPr>
            <w:tcW w:w="579" w:type="pct"/>
            <w:tcBorders>
              <w:top w:val="nil"/>
              <w:left w:val="nil"/>
              <w:bottom w:val="nil"/>
              <w:right w:val="nil"/>
            </w:tcBorders>
            <w:shd w:val="clear" w:color="auto" w:fill="auto"/>
            <w:noWrap/>
            <w:vAlign w:val="bottom"/>
            <w:hideMark/>
          </w:tcPr>
          <w:p w14:paraId="7E2940FF"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0</w:t>
            </w:r>
          </w:p>
        </w:tc>
        <w:tc>
          <w:tcPr>
            <w:tcW w:w="579" w:type="pct"/>
            <w:tcBorders>
              <w:top w:val="nil"/>
              <w:left w:val="nil"/>
              <w:bottom w:val="nil"/>
              <w:right w:val="nil"/>
            </w:tcBorders>
            <w:shd w:val="clear" w:color="auto" w:fill="auto"/>
            <w:noWrap/>
            <w:vAlign w:val="bottom"/>
            <w:hideMark/>
          </w:tcPr>
          <w:p w14:paraId="0FAF6F80"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0</w:t>
            </w:r>
          </w:p>
        </w:tc>
        <w:tc>
          <w:tcPr>
            <w:tcW w:w="580" w:type="pct"/>
            <w:tcBorders>
              <w:top w:val="nil"/>
              <w:left w:val="nil"/>
              <w:bottom w:val="nil"/>
              <w:right w:val="nil"/>
            </w:tcBorders>
            <w:shd w:val="clear" w:color="auto" w:fill="auto"/>
            <w:noWrap/>
            <w:vAlign w:val="bottom"/>
            <w:hideMark/>
          </w:tcPr>
          <w:p w14:paraId="58553486"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0</w:t>
            </w:r>
          </w:p>
        </w:tc>
        <w:tc>
          <w:tcPr>
            <w:tcW w:w="602" w:type="pct"/>
            <w:tcBorders>
              <w:top w:val="nil"/>
              <w:left w:val="nil"/>
              <w:bottom w:val="nil"/>
              <w:right w:val="nil"/>
            </w:tcBorders>
            <w:shd w:val="clear" w:color="auto" w:fill="auto"/>
            <w:noWrap/>
            <w:vAlign w:val="bottom"/>
            <w:hideMark/>
          </w:tcPr>
          <w:p w14:paraId="57CCED44"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0</w:t>
            </w:r>
          </w:p>
        </w:tc>
      </w:tr>
      <w:tr w:rsidR="004C6700" w:rsidRPr="005E4981" w14:paraId="0F9EAD46" w14:textId="77777777" w:rsidTr="005E4981">
        <w:trPr>
          <w:trHeight w:val="290"/>
        </w:trPr>
        <w:tc>
          <w:tcPr>
            <w:tcW w:w="2660" w:type="pct"/>
            <w:tcBorders>
              <w:top w:val="nil"/>
              <w:left w:val="nil"/>
              <w:bottom w:val="nil"/>
              <w:right w:val="nil"/>
            </w:tcBorders>
            <w:shd w:val="clear" w:color="auto" w:fill="auto"/>
            <w:noWrap/>
            <w:vAlign w:val="bottom"/>
            <w:hideMark/>
          </w:tcPr>
          <w:p w14:paraId="6F7EB344"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Dlhodobé záväzky z obchodného styku a prijaté preddavky</w:t>
            </w:r>
          </w:p>
        </w:tc>
        <w:tc>
          <w:tcPr>
            <w:tcW w:w="579" w:type="pct"/>
            <w:tcBorders>
              <w:top w:val="nil"/>
              <w:left w:val="nil"/>
              <w:bottom w:val="nil"/>
              <w:right w:val="nil"/>
            </w:tcBorders>
            <w:shd w:val="clear" w:color="auto" w:fill="auto"/>
            <w:noWrap/>
            <w:vAlign w:val="bottom"/>
            <w:hideMark/>
          </w:tcPr>
          <w:p w14:paraId="6AB018BC"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0</w:t>
            </w:r>
          </w:p>
        </w:tc>
        <w:tc>
          <w:tcPr>
            <w:tcW w:w="579" w:type="pct"/>
            <w:tcBorders>
              <w:top w:val="nil"/>
              <w:left w:val="nil"/>
              <w:bottom w:val="nil"/>
              <w:right w:val="nil"/>
            </w:tcBorders>
            <w:shd w:val="clear" w:color="auto" w:fill="auto"/>
            <w:noWrap/>
            <w:vAlign w:val="bottom"/>
            <w:hideMark/>
          </w:tcPr>
          <w:p w14:paraId="00B1C6D5"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147</w:t>
            </w:r>
          </w:p>
        </w:tc>
        <w:tc>
          <w:tcPr>
            <w:tcW w:w="580" w:type="pct"/>
            <w:tcBorders>
              <w:top w:val="nil"/>
              <w:left w:val="nil"/>
              <w:bottom w:val="nil"/>
              <w:right w:val="nil"/>
            </w:tcBorders>
            <w:shd w:val="clear" w:color="auto" w:fill="auto"/>
            <w:noWrap/>
            <w:vAlign w:val="bottom"/>
            <w:hideMark/>
          </w:tcPr>
          <w:p w14:paraId="3F258763"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163</w:t>
            </w:r>
          </w:p>
        </w:tc>
        <w:tc>
          <w:tcPr>
            <w:tcW w:w="602" w:type="pct"/>
            <w:tcBorders>
              <w:top w:val="nil"/>
              <w:left w:val="nil"/>
              <w:bottom w:val="nil"/>
              <w:right w:val="nil"/>
            </w:tcBorders>
            <w:shd w:val="clear" w:color="auto" w:fill="auto"/>
            <w:noWrap/>
            <w:vAlign w:val="bottom"/>
            <w:hideMark/>
          </w:tcPr>
          <w:p w14:paraId="1DC7A8AD"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16</w:t>
            </w:r>
          </w:p>
        </w:tc>
      </w:tr>
      <w:tr w:rsidR="004C6700" w:rsidRPr="005E4981" w14:paraId="6D8D728B" w14:textId="77777777" w:rsidTr="005E4981">
        <w:trPr>
          <w:trHeight w:val="290"/>
        </w:trPr>
        <w:tc>
          <w:tcPr>
            <w:tcW w:w="2660" w:type="pct"/>
            <w:tcBorders>
              <w:top w:val="nil"/>
              <w:left w:val="nil"/>
              <w:bottom w:val="nil"/>
              <w:right w:val="nil"/>
            </w:tcBorders>
            <w:shd w:val="clear" w:color="auto" w:fill="auto"/>
            <w:noWrap/>
            <w:vAlign w:val="bottom"/>
            <w:hideMark/>
          </w:tcPr>
          <w:p w14:paraId="556A014A"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Odvodový úver zo záruk voči SZRB</w:t>
            </w:r>
          </w:p>
        </w:tc>
        <w:tc>
          <w:tcPr>
            <w:tcW w:w="579" w:type="pct"/>
            <w:tcBorders>
              <w:top w:val="nil"/>
              <w:left w:val="nil"/>
              <w:bottom w:val="nil"/>
              <w:right w:val="nil"/>
            </w:tcBorders>
            <w:shd w:val="clear" w:color="auto" w:fill="auto"/>
            <w:noWrap/>
            <w:vAlign w:val="bottom"/>
            <w:hideMark/>
          </w:tcPr>
          <w:p w14:paraId="5EC049D3"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0</w:t>
            </w:r>
          </w:p>
        </w:tc>
        <w:tc>
          <w:tcPr>
            <w:tcW w:w="579" w:type="pct"/>
            <w:tcBorders>
              <w:top w:val="nil"/>
              <w:left w:val="nil"/>
              <w:bottom w:val="nil"/>
              <w:right w:val="nil"/>
            </w:tcBorders>
            <w:shd w:val="clear" w:color="auto" w:fill="auto"/>
            <w:noWrap/>
            <w:vAlign w:val="bottom"/>
            <w:hideMark/>
          </w:tcPr>
          <w:p w14:paraId="11DD0A9B"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0</w:t>
            </w:r>
          </w:p>
        </w:tc>
        <w:tc>
          <w:tcPr>
            <w:tcW w:w="580" w:type="pct"/>
            <w:tcBorders>
              <w:top w:val="nil"/>
              <w:left w:val="nil"/>
              <w:bottom w:val="nil"/>
              <w:right w:val="nil"/>
            </w:tcBorders>
            <w:shd w:val="clear" w:color="auto" w:fill="auto"/>
            <w:noWrap/>
            <w:vAlign w:val="bottom"/>
            <w:hideMark/>
          </w:tcPr>
          <w:p w14:paraId="67ECA5D0"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200</w:t>
            </w:r>
          </w:p>
        </w:tc>
        <w:tc>
          <w:tcPr>
            <w:tcW w:w="602" w:type="pct"/>
            <w:tcBorders>
              <w:top w:val="nil"/>
              <w:left w:val="nil"/>
              <w:bottom w:val="nil"/>
              <w:right w:val="nil"/>
            </w:tcBorders>
            <w:shd w:val="clear" w:color="auto" w:fill="auto"/>
            <w:noWrap/>
            <w:vAlign w:val="bottom"/>
            <w:hideMark/>
          </w:tcPr>
          <w:p w14:paraId="7CA1FDAB"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200</w:t>
            </w:r>
          </w:p>
        </w:tc>
      </w:tr>
      <w:tr w:rsidR="004C6700" w:rsidRPr="005E4981" w14:paraId="5D47A074" w14:textId="77777777" w:rsidTr="005E4981">
        <w:trPr>
          <w:trHeight w:val="290"/>
        </w:trPr>
        <w:tc>
          <w:tcPr>
            <w:tcW w:w="2660" w:type="pct"/>
            <w:tcBorders>
              <w:top w:val="nil"/>
              <w:left w:val="nil"/>
              <w:bottom w:val="nil"/>
              <w:right w:val="nil"/>
            </w:tcBorders>
            <w:shd w:val="clear" w:color="auto" w:fill="auto"/>
            <w:noWrap/>
            <w:vAlign w:val="bottom"/>
            <w:hideMark/>
          </w:tcPr>
          <w:p w14:paraId="66702E36" w14:textId="77777777" w:rsidR="004C6700" w:rsidRPr="005E4981" w:rsidRDefault="004C6700" w:rsidP="00836EB5">
            <w:pPr>
              <w:spacing w:after="0" w:line="240" w:lineRule="auto"/>
              <w:jc w:val="left"/>
              <w:rPr>
                <w:rFonts w:eastAsia="Times New Roman" w:cs="Times New Roman"/>
                <w:i/>
                <w:iCs/>
                <w:sz w:val="18"/>
                <w:szCs w:val="18"/>
                <w:lang w:eastAsia="sk-SK"/>
              </w:rPr>
            </w:pPr>
            <w:proofErr w:type="spellStart"/>
            <w:r w:rsidRPr="005E4981">
              <w:rPr>
                <w:rFonts w:eastAsia="Times New Roman" w:cs="Times New Roman"/>
                <w:i/>
                <w:iCs/>
                <w:sz w:val="18"/>
                <w:szCs w:val="18"/>
                <w:lang w:eastAsia="sk-SK"/>
              </w:rPr>
              <w:t>Imput</w:t>
            </w:r>
            <w:proofErr w:type="spellEnd"/>
            <w:r w:rsidRPr="005E4981">
              <w:rPr>
                <w:rFonts w:eastAsia="Times New Roman" w:cs="Times New Roman"/>
                <w:i/>
                <w:iCs/>
                <w:sz w:val="18"/>
                <w:szCs w:val="18"/>
                <w:lang w:eastAsia="sk-SK"/>
              </w:rPr>
              <w:t xml:space="preserve"> záväzkov schémy zelenej energie</w:t>
            </w:r>
          </w:p>
        </w:tc>
        <w:tc>
          <w:tcPr>
            <w:tcW w:w="579" w:type="pct"/>
            <w:tcBorders>
              <w:top w:val="nil"/>
              <w:left w:val="nil"/>
              <w:bottom w:val="nil"/>
              <w:right w:val="nil"/>
            </w:tcBorders>
            <w:shd w:val="clear" w:color="auto" w:fill="auto"/>
            <w:noWrap/>
            <w:vAlign w:val="bottom"/>
            <w:hideMark/>
          </w:tcPr>
          <w:p w14:paraId="78A9C739" w14:textId="77777777" w:rsidR="004C6700" w:rsidRPr="005E4981" w:rsidRDefault="004C6700" w:rsidP="00836EB5">
            <w:pPr>
              <w:spacing w:after="0" w:line="240" w:lineRule="auto"/>
              <w:jc w:val="right"/>
              <w:rPr>
                <w:rFonts w:eastAsia="Times New Roman" w:cs="Times New Roman"/>
                <w:i/>
                <w:iCs/>
                <w:sz w:val="18"/>
                <w:szCs w:val="18"/>
                <w:lang w:eastAsia="sk-SK"/>
              </w:rPr>
            </w:pPr>
            <w:r w:rsidRPr="005E4981">
              <w:rPr>
                <w:rFonts w:eastAsia="Times New Roman" w:cs="Times New Roman"/>
                <w:i/>
                <w:iCs/>
                <w:sz w:val="18"/>
                <w:szCs w:val="18"/>
                <w:lang w:eastAsia="sk-SK"/>
              </w:rPr>
              <w:t>209 938</w:t>
            </w:r>
          </w:p>
        </w:tc>
        <w:tc>
          <w:tcPr>
            <w:tcW w:w="579" w:type="pct"/>
            <w:tcBorders>
              <w:top w:val="nil"/>
              <w:left w:val="nil"/>
              <w:bottom w:val="nil"/>
              <w:right w:val="nil"/>
            </w:tcBorders>
            <w:shd w:val="clear" w:color="auto" w:fill="auto"/>
            <w:noWrap/>
            <w:vAlign w:val="bottom"/>
            <w:hideMark/>
          </w:tcPr>
          <w:p w14:paraId="244CCE58" w14:textId="77777777" w:rsidR="004C6700" w:rsidRPr="005E4981" w:rsidRDefault="004C6700" w:rsidP="00836EB5">
            <w:pPr>
              <w:spacing w:after="0" w:line="240" w:lineRule="auto"/>
              <w:jc w:val="right"/>
              <w:rPr>
                <w:rFonts w:eastAsia="Times New Roman" w:cs="Times New Roman"/>
                <w:i/>
                <w:iCs/>
                <w:sz w:val="18"/>
                <w:szCs w:val="18"/>
                <w:lang w:eastAsia="sk-SK"/>
              </w:rPr>
            </w:pPr>
            <w:r w:rsidRPr="005E4981">
              <w:rPr>
                <w:rFonts w:eastAsia="Times New Roman" w:cs="Times New Roman"/>
                <w:i/>
                <w:iCs/>
                <w:sz w:val="18"/>
                <w:szCs w:val="18"/>
                <w:lang w:eastAsia="sk-SK"/>
              </w:rPr>
              <w:t>119 000</w:t>
            </w:r>
          </w:p>
        </w:tc>
        <w:tc>
          <w:tcPr>
            <w:tcW w:w="580" w:type="pct"/>
            <w:tcBorders>
              <w:top w:val="nil"/>
              <w:left w:val="nil"/>
              <w:bottom w:val="nil"/>
              <w:right w:val="nil"/>
            </w:tcBorders>
            <w:shd w:val="clear" w:color="auto" w:fill="auto"/>
            <w:noWrap/>
            <w:vAlign w:val="bottom"/>
            <w:hideMark/>
          </w:tcPr>
          <w:p w14:paraId="3194CA88" w14:textId="77777777" w:rsidR="004C6700" w:rsidRPr="005E4981" w:rsidRDefault="004C6700" w:rsidP="00836EB5">
            <w:pPr>
              <w:spacing w:after="0" w:line="240" w:lineRule="auto"/>
              <w:jc w:val="right"/>
              <w:rPr>
                <w:rFonts w:eastAsia="Times New Roman" w:cs="Times New Roman"/>
                <w:i/>
                <w:iCs/>
                <w:sz w:val="18"/>
                <w:szCs w:val="18"/>
                <w:lang w:eastAsia="sk-SK"/>
              </w:rPr>
            </w:pPr>
            <w:r w:rsidRPr="005E4981">
              <w:rPr>
                <w:rFonts w:eastAsia="Times New Roman" w:cs="Times New Roman"/>
                <w:i/>
                <w:iCs/>
                <w:sz w:val="18"/>
                <w:szCs w:val="18"/>
                <w:lang w:eastAsia="sk-SK"/>
              </w:rPr>
              <w:t>0</w:t>
            </w:r>
          </w:p>
        </w:tc>
        <w:tc>
          <w:tcPr>
            <w:tcW w:w="602" w:type="pct"/>
            <w:tcBorders>
              <w:top w:val="nil"/>
              <w:left w:val="nil"/>
              <w:bottom w:val="nil"/>
              <w:right w:val="nil"/>
            </w:tcBorders>
            <w:shd w:val="clear" w:color="auto" w:fill="auto"/>
            <w:noWrap/>
            <w:vAlign w:val="bottom"/>
            <w:hideMark/>
          </w:tcPr>
          <w:p w14:paraId="342A7E9A" w14:textId="77777777" w:rsidR="004C6700" w:rsidRPr="005E4981" w:rsidRDefault="004C6700" w:rsidP="00836EB5">
            <w:pPr>
              <w:spacing w:after="0" w:line="240" w:lineRule="auto"/>
              <w:jc w:val="right"/>
              <w:rPr>
                <w:rFonts w:eastAsia="Times New Roman" w:cs="Times New Roman"/>
                <w:i/>
                <w:iCs/>
                <w:sz w:val="18"/>
                <w:szCs w:val="18"/>
                <w:lang w:eastAsia="sk-SK"/>
              </w:rPr>
            </w:pPr>
            <w:r w:rsidRPr="005E4981">
              <w:rPr>
                <w:rFonts w:eastAsia="Times New Roman" w:cs="Times New Roman"/>
                <w:i/>
                <w:iCs/>
                <w:sz w:val="18"/>
                <w:szCs w:val="18"/>
                <w:lang w:eastAsia="sk-SK"/>
              </w:rPr>
              <w:t>-119 000</w:t>
            </w:r>
          </w:p>
        </w:tc>
      </w:tr>
      <w:tr w:rsidR="004C6700" w:rsidRPr="005E4981" w14:paraId="6EF9F2AD" w14:textId="77777777" w:rsidTr="005E4981">
        <w:trPr>
          <w:trHeight w:val="290"/>
        </w:trPr>
        <w:tc>
          <w:tcPr>
            <w:tcW w:w="2660" w:type="pct"/>
            <w:tcBorders>
              <w:top w:val="nil"/>
              <w:left w:val="nil"/>
              <w:bottom w:val="nil"/>
              <w:right w:val="nil"/>
            </w:tcBorders>
            <w:shd w:val="clear" w:color="auto" w:fill="auto"/>
            <w:noWrap/>
            <w:vAlign w:val="bottom"/>
            <w:hideMark/>
          </w:tcPr>
          <w:p w14:paraId="1FE3590F" w14:textId="77777777" w:rsidR="004C6700" w:rsidRPr="005E4981" w:rsidRDefault="004C6700" w:rsidP="00836EB5">
            <w:pPr>
              <w:spacing w:after="0" w:line="240" w:lineRule="auto"/>
              <w:jc w:val="left"/>
              <w:rPr>
                <w:rFonts w:eastAsia="Times New Roman" w:cs="Times New Roman"/>
                <w:i/>
                <w:iCs/>
                <w:sz w:val="18"/>
                <w:szCs w:val="18"/>
                <w:lang w:eastAsia="sk-SK"/>
              </w:rPr>
            </w:pPr>
            <w:proofErr w:type="spellStart"/>
            <w:r w:rsidRPr="005E4981">
              <w:rPr>
                <w:rFonts w:eastAsia="Times New Roman" w:cs="Times New Roman"/>
                <w:i/>
                <w:iCs/>
                <w:sz w:val="18"/>
                <w:szCs w:val="18"/>
                <w:lang w:eastAsia="sk-SK"/>
              </w:rPr>
              <w:t>Imput</w:t>
            </w:r>
            <w:proofErr w:type="spellEnd"/>
            <w:r w:rsidRPr="005E4981">
              <w:rPr>
                <w:rFonts w:eastAsia="Times New Roman" w:cs="Times New Roman"/>
                <w:i/>
                <w:iCs/>
                <w:sz w:val="18"/>
                <w:szCs w:val="18"/>
                <w:lang w:eastAsia="sk-SK"/>
              </w:rPr>
              <w:t xml:space="preserve"> pôžičky z EOSA</w:t>
            </w:r>
          </w:p>
        </w:tc>
        <w:tc>
          <w:tcPr>
            <w:tcW w:w="579" w:type="pct"/>
            <w:tcBorders>
              <w:top w:val="nil"/>
              <w:left w:val="nil"/>
              <w:bottom w:val="nil"/>
              <w:right w:val="nil"/>
            </w:tcBorders>
            <w:shd w:val="clear" w:color="auto" w:fill="auto"/>
            <w:noWrap/>
            <w:vAlign w:val="bottom"/>
            <w:hideMark/>
          </w:tcPr>
          <w:p w14:paraId="6FDC62E6" w14:textId="77777777" w:rsidR="004C6700" w:rsidRPr="005E4981" w:rsidRDefault="004C6700" w:rsidP="00836EB5">
            <w:pPr>
              <w:spacing w:after="0" w:line="240" w:lineRule="auto"/>
              <w:jc w:val="right"/>
              <w:rPr>
                <w:rFonts w:eastAsia="Times New Roman" w:cs="Times New Roman"/>
                <w:i/>
                <w:iCs/>
                <w:sz w:val="18"/>
                <w:szCs w:val="18"/>
                <w:lang w:eastAsia="sk-SK"/>
              </w:rPr>
            </w:pPr>
            <w:r w:rsidRPr="005E4981">
              <w:rPr>
                <w:rFonts w:eastAsia="Times New Roman" w:cs="Times New Roman"/>
                <w:i/>
                <w:iCs/>
                <w:sz w:val="18"/>
                <w:szCs w:val="18"/>
                <w:lang w:eastAsia="sk-SK"/>
              </w:rPr>
              <w:t>135 637</w:t>
            </w:r>
          </w:p>
        </w:tc>
        <w:tc>
          <w:tcPr>
            <w:tcW w:w="579" w:type="pct"/>
            <w:tcBorders>
              <w:top w:val="nil"/>
              <w:left w:val="nil"/>
              <w:bottom w:val="nil"/>
              <w:right w:val="nil"/>
            </w:tcBorders>
            <w:shd w:val="clear" w:color="auto" w:fill="auto"/>
            <w:noWrap/>
            <w:vAlign w:val="bottom"/>
            <w:hideMark/>
          </w:tcPr>
          <w:p w14:paraId="74CAF236" w14:textId="77777777" w:rsidR="004C6700" w:rsidRPr="005E4981" w:rsidRDefault="004C6700" w:rsidP="00836EB5">
            <w:pPr>
              <w:spacing w:after="0" w:line="240" w:lineRule="auto"/>
              <w:jc w:val="right"/>
              <w:rPr>
                <w:rFonts w:eastAsia="Times New Roman" w:cs="Times New Roman"/>
                <w:i/>
                <w:iCs/>
                <w:sz w:val="18"/>
                <w:szCs w:val="18"/>
                <w:lang w:eastAsia="sk-SK"/>
              </w:rPr>
            </w:pPr>
            <w:r w:rsidRPr="005E4981">
              <w:rPr>
                <w:rFonts w:eastAsia="Times New Roman" w:cs="Times New Roman"/>
                <w:i/>
                <w:iCs/>
                <w:sz w:val="18"/>
                <w:szCs w:val="18"/>
                <w:lang w:eastAsia="sk-SK"/>
              </w:rPr>
              <w:t>70 011</w:t>
            </w:r>
          </w:p>
        </w:tc>
        <w:tc>
          <w:tcPr>
            <w:tcW w:w="580" w:type="pct"/>
            <w:tcBorders>
              <w:top w:val="nil"/>
              <w:left w:val="nil"/>
              <w:bottom w:val="nil"/>
              <w:right w:val="nil"/>
            </w:tcBorders>
            <w:shd w:val="clear" w:color="auto" w:fill="auto"/>
            <w:noWrap/>
            <w:vAlign w:val="bottom"/>
            <w:hideMark/>
          </w:tcPr>
          <w:p w14:paraId="28BAE7BF" w14:textId="77777777" w:rsidR="004C6700" w:rsidRPr="005E4981" w:rsidRDefault="004C6700" w:rsidP="00836EB5">
            <w:pPr>
              <w:spacing w:after="0" w:line="240" w:lineRule="auto"/>
              <w:jc w:val="right"/>
              <w:rPr>
                <w:rFonts w:eastAsia="Times New Roman" w:cs="Times New Roman"/>
                <w:i/>
                <w:iCs/>
                <w:sz w:val="18"/>
                <w:szCs w:val="18"/>
                <w:lang w:eastAsia="sk-SK"/>
              </w:rPr>
            </w:pPr>
            <w:r w:rsidRPr="005E4981">
              <w:rPr>
                <w:rFonts w:eastAsia="Times New Roman" w:cs="Times New Roman"/>
                <w:i/>
                <w:iCs/>
                <w:sz w:val="18"/>
                <w:szCs w:val="18"/>
                <w:lang w:eastAsia="sk-SK"/>
              </w:rPr>
              <w:t>20 945</w:t>
            </w:r>
          </w:p>
        </w:tc>
        <w:tc>
          <w:tcPr>
            <w:tcW w:w="602" w:type="pct"/>
            <w:tcBorders>
              <w:top w:val="nil"/>
              <w:left w:val="nil"/>
              <w:bottom w:val="nil"/>
              <w:right w:val="nil"/>
            </w:tcBorders>
            <w:shd w:val="clear" w:color="auto" w:fill="auto"/>
            <w:noWrap/>
            <w:vAlign w:val="bottom"/>
            <w:hideMark/>
          </w:tcPr>
          <w:p w14:paraId="2559540B" w14:textId="77777777" w:rsidR="004C6700" w:rsidRPr="005E4981" w:rsidRDefault="004C6700" w:rsidP="00836EB5">
            <w:pPr>
              <w:spacing w:after="0" w:line="240" w:lineRule="auto"/>
              <w:jc w:val="right"/>
              <w:rPr>
                <w:rFonts w:eastAsia="Times New Roman" w:cs="Times New Roman"/>
                <w:i/>
                <w:iCs/>
                <w:sz w:val="18"/>
                <w:szCs w:val="18"/>
                <w:lang w:eastAsia="sk-SK"/>
              </w:rPr>
            </w:pPr>
            <w:r w:rsidRPr="005E4981">
              <w:rPr>
                <w:rFonts w:eastAsia="Times New Roman" w:cs="Times New Roman"/>
                <w:i/>
                <w:iCs/>
                <w:sz w:val="18"/>
                <w:szCs w:val="18"/>
                <w:lang w:eastAsia="sk-SK"/>
              </w:rPr>
              <w:t>-49 066</w:t>
            </w:r>
          </w:p>
        </w:tc>
      </w:tr>
      <w:tr w:rsidR="004C6700" w:rsidRPr="005E4981" w14:paraId="189A3C25" w14:textId="77777777" w:rsidTr="005E4981">
        <w:trPr>
          <w:trHeight w:val="290"/>
        </w:trPr>
        <w:tc>
          <w:tcPr>
            <w:tcW w:w="2660" w:type="pct"/>
            <w:tcBorders>
              <w:top w:val="single" w:sz="4" w:space="0" w:color="auto"/>
              <w:left w:val="nil"/>
              <w:bottom w:val="single" w:sz="4" w:space="0" w:color="auto"/>
              <w:right w:val="nil"/>
            </w:tcBorders>
            <w:shd w:val="clear" w:color="auto" w:fill="auto"/>
            <w:noWrap/>
            <w:vAlign w:val="bottom"/>
            <w:hideMark/>
          </w:tcPr>
          <w:p w14:paraId="05DFB809" w14:textId="77777777" w:rsidR="004C6700" w:rsidRPr="005E4981" w:rsidRDefault="004C6700" w:rsidP="00836EB5">
            <w:pPr>
              <w:spacing w:after="0" w:line="240" w:lineRule="auto"/>
              <w:jc w:val="left"/>
              <w:rPr>
                <w:rFonts w:eastAsia="Times New Roman" w:cs="Times New Roman"/>
                <w:b/>
                <w:bCs/>
                <w:sz w:val="18"/>
                <w:szCs w:val="18"/>
                <w:lang w:eastAsia="sk-SK"/>
              </w:rPr>
            </w:pPr>
            <w:r w:rsidRPr="005E4981">
              <w:rPr>
                <w:rFonts w:eastAsia="Times New Roman" w:cs="Times New Roman"/>
                <w:b/>
                <w:bCs/>
                <w:sz w:val="18"/>
                <w:szCs w:val="18"/>
                <w:lang w:eastAsia="sk-SK"/>
              </w:rPr>
              <w:t>Spolu dlh</w:t>
            </w:r>
          </w:p>
        </w:tc>
        <w:tc>
          <w:tcPr>
            <w:tcW w:w="579" w:type="pct"/>
            <w:tcBorders>
              <w:top w:val="single" w:sz="4" w:space="0" w:color="auto"/>
              <w:left w:val="nil"/>
              <w:bottom w:val="single" w:sz="4" w:space="0" w:color="auto"/>
              <w:right w:val="nil"/>
            </w:tcBorders>
            <w:shd w:val="clear" w:color="auto" w:fill="auto"/>
            <w:noWrap/>
            <w:vAlign w:val="bottom"/>
            <w:hideMark/>
          </w:tcPr>
          <w:p w14:paraId="72A3D502"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59 244 402</w:t>
            </w:r>
          </w:p>
        </w:tc>
        <w:tc>
          <w:tcPr>
            <w:tcW w:w="579" w:type="pct"/>
            <w:tcBorders>
              <w:top w:val="single" w:sz="4" w:space="0" w:color="auto"/>
              <w:left w:val="nil"/>
              <w:bottom w:val="single" w:sz="4" w:space="0" w:color="auto"/>
              <w:right w:val="nil"/>
            </w:tcBorders>
            <w:shd w:val="clear" w:color="auto" w:fill="auto"/>
            <w:noWrap/>
            <w:vAlign w:val="bottom"/>
            <w:hideMark/>
          </w:tcPr>
          <w:p w14:paraId="122FA038"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61 204 864</w:t>
            </w:r>
          </w:p>
        </w:tc>
        <w:tc>
          <w:tcPr>
            <w:tcW w:w="580" w:type="pct"/>
            <w:tcBorders>
              <w:top w:val="single" w:sz="4" w:space="0" w:color="auto"/>
              <w:left w:val="nil"/>
              <w:bottom w:val="single" w:sz="4" w:space="0" w:color="auto"/>
              <w:right w:val="nil"/>
            </w:tcBorders>
            <w:shd w:val="clear" w:color="auto" w:fill="auto"/>
            <w:noWrap/>
            <w:vAlign w:val="bottom"/>
            <w:hideMark/>
          </w:tcPr>
          <w:p w14:paraId="48224CCD"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66 408 836</w:t>
            </w:r>
          </w:p>
        </w:tc>
        <w:tc>
          <w:tcPr>
            <w:tcW w:w="602" w:type="pct"/>
            <w:tcBorders>
              <w:top w:val="single" w:sz="4" w:space="0" w:color="auto"/>
              <w:left w:val="nil"/>
              <w:bottom w:val="single" w:sz="4" w:space="0" w:color="auto"/>
              <w:right w:val="nil"/>
            </w:tcBorders>
            <w:shd w:val="clear" w:color="auto" w:fill="auto"/>
            <w:noWrap/>
            <w:vAlign w:val="bottom"/>
            <w:hideMark/>
          </w:tcPr>
          <w:p w14:paraId="66E920BF"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5 203 972</w:t>
            </w:r>
          </w:p>
        </w:tc>
      </w:tr>
    </w:tbl>
    <w:p w14:paraId="70021B79" w14:textId="77777777" w:rsidR="004C6700" w:rsidRPr="005E4981" w:rsidRDefault="004C6700" w:rsidP="004C6700">
      <w:pPr>
        <w:keepNext/>
        <w:ind w:left="6372"/>
        <w:jc w:val="right"/>
        <w:rPr>
          <w:sz w:val="18"/>
          <w:szCs w:val="18"/>
        </w:rPr>
      </w:pPr>
      <w:r w:rsidRPr="005E4981">
        <w:rPr>
          <w:sz w:val="18"/>
          <w:szCs w:val="18"/>
        </w:rPr>
        <w:t>Zdroj: MF SR, ARDAL</w:t>
      </w:r>
    </w:p>
    <w:p w14:paraId="1BE4EE77" w14:textId="77777777" w:rsidR="004C6700" w:rsidRPr="0090091F" w:rsidRDefault="004C6700" w:rsidP="004C6700">
      <w:pPr>
        <w:spacing w:line="240" w:lineRule="auto"/>
        <w:rPr>
          <w:sz w:val="24"/>
          <w:szCs w:val="24"/>
        </w:rPr>
      </w:pPr>
      <w:r w:rsidRPr="0090091F">
        <w:rPr>
          <w:sz w:val="24"/>
          <w:szCs w:val="24"/>
        </w:rPr>
        <w:t xml:space="preserve">Ministerstvo financií SR v mene Slovenskej republiky prijíma úvery od medzinárodných finančných inštitúcií, a to na podporu národných projektov v oblasti budovania cestnej infraštruktúry, životného prostredia, poľnohospodárstva, informatizácie a podobne. Z prostriedkov sa spolufinancujú aj spoločné projekty SR a EÚ financované európskymi štrukturálnymi fondmi a Kohéznym fondom. Z hodnoty týchto úverov tvoria úvery od Európskej investičnej banky 2 516 113 tis. eur a úvery od Rozvojovej banky Rady Európy 875 000 tis. eur. V priebehu roka 2023 boli z ďalšej úverovej </w:t>
      </w:r>
      <w:proofErr w:type="spellStart"/>
      <w:r w:rsidRPr="0090091F">
        <w:rPr>
          <w:sz w:val="24"/>
          <w:szCs w:val="24"/>
        </w:rPr>
        <w:t>tranže</w:t>
      </w:r>
      <w:proofErr w:type="spellEnd"/>
      <w:r w:rsidRPr="0090091F">
        <w:rPr>
          <w:sz w:val="24"/>
          <w:szCs w:val="24"/>
        </w:rPr>
        <w:t xml:space="preserve"> prijaté prostriedky od Rozvojovej banky Rady Európy vo výške 20 000 tis. eur.</w:t>
      </w:r>
    </w:p>
    <w:p w14:paraId="389D084C" w14:textId="77777777" w:rsidR="004C6700" w:rsidRPr="003C4580" w:rsidRDefault="004C6700" w:rsidP="004C6700">
      <w:pPr>
        <w:spacing w:line="240" w:lineRule="auto"/>
        <w:rPr>
          <w:sz w:val="24"/>
          <w:szCs w:val="24"/>
        </w:rPr>
      </w:pPr>
      <w:r w:rsidRPr="003C4580">
        <w:rPr>
          <w:sz w:val="24"/>
          <w:szCs w:val="24"/>
        </w:rPr>
        <w:t>Hodnota zábezpek medziročne vzrástla o 53 702 tis. eur na súčasných 188 469 tis. eur. Celú sumu tvoria zábezpeky jednotlivých štátnych rozpočtových organizácií</w:t>
      </w:r>
      <w:r>
        <w:rPr>
          <w:sz w:val="24"/>
          <w:szCs w:val="24"/>
        </w:rPr>
        <w:t>, pričom najvyšší medziročný prírastok zábezpek vykázalo Ministerstvo životného prostredia SR (58 595 tis. eur).</w:t>
      </w:r>
    </w:p>
    <w:p w14:paraId="7B5426DE" w14:textId="77777777" w:rsidR="004C6700" w:rsidRDefault="004C6700" w:rsidP="004C6700">
      <w:pPr>
        <w:spacing w:line="240" w:lineRule="auto"/>
        <w:rPr>
          <w:sz w:val="24"/>
          <w:szCs w:val="24"/>
        </w:rPr>
      </w:pPr>
      <w:r w:rsidRPr="006B7F83">
        <w:rPr>
          <w:b/>
          <w:sz w:val="24"/>
          <w:szCs w:val="24"/>
        </w:rPr>
        <w:t>Z hľadiska pôvodnej splatnosti</w:t>
      </w:r>
      <w:r w:rsidRPr="006B7F83">
        <w:rPr>
          <w:sz w:val="24"/>
          <w:szCs w:val="24"/>
        </w:rPr>
        <w:t xml:space="preserve"> je štátny dlh z 99,6 % dlhodobý (66 171 938 tis. eur). Krátkodobý štátny dlh, ktorý predstavuje 0,4 %, je z rozhodujúcej časti tvorený zábezpekami vo výške 188 469 tis. eur (úroveň pasívneho </w:t>
      </w:r>
      <w:proofErr w:type="spellStart"/>
      <w:r w:rsidRPr="006B7F83">
        <w:rPr>
          <w:sz w:val="24"/>
          <w:szCs w:val="24"/>
        </w:rPr>
        <w:t>kolaterálu</w:t>
      </w:r>
      <w:proofErr w:type="spellEnd"/>
      <w:r w:rsidRPr="006B7F83">
        <w:rPr>
          <w:sz w:val="24"/>
          <w:szCs w:val="24"/>
        </w:rPr>
        <w:t xml:space="preserve"> z derivátových operácií uskutočnených na zabezpečenie dlhu v cudzej mene proti kurzovému riziku bola 0 tis. eur). Zvyšnú časť krátkodobého dlhu predstavujú záväzky z vkladov tých klientov Štátnej pokladnice, ktorí nie sú zaradení v sektore verejnej správy v hodnote 48 302 tis. eur a odvodový úver zo záruk voči</w:t>
      </w:r>
      <w:r>
        <w:rPr>
          <w:sz w:val="24"/>
          <w:szCs w:val="24"/>
        </w:rPr>
        <w:t> </w:t>
      </w:r>
      <w:r w:rsidRPr="006B7F83">
        <w:rPr>
          <w:sz w:val="24"/>
          <w:szCs w:val="24"/>
        </w:rPr>
        <w:t>SZRB vo výške 200 tis. eur. Podrobnú štruktúru štátneho dlhu podľa pôvodnej splatnosti poskytuje nasledujúci prehľad.</w:t>
      </w:r>
    </w:p>
    <w:tbl>
      <w:tblPr>
        <w:tblW w:w="5000" w:type="pct"/>
        <w:tblCellMar>
          <w:left w:w="70" w:type="dxa"/>
          <w:right w:w="70" w:type="dxa"/>
        </w:tblCellMar>
        <w:tblLook w:val="04A0" w:firstRow="1" w:lastRow="0" w:firstColumn="1" w:lastColumn="0" w:noHBand="0" w:noVBand="1"/>
      </w:tblPr>
      <w:tblGrid>
        <w:gridCol w:w="2528"/>
        <w:gridCol w:w="1657"/>
        <w:gridCol w:w="1933"/>
        <w:gridCol w:w="1524"/>
        <w:gridCol w:w="1572"/>
      </w:tblGrid>
      <w:tr w:rsidR="004C6700" w:rsidRPr="00D53E3A" w14:paraId="472E8C7C" w14:textId="77777777" w:rsidTr="00836EB5">
        <w:trPr>
          <w:trHeight w:val="290"/>
        </w:trPr>
        <w:tc>
          <w:tcPr>
            <w:tcW w:w="4147" w:type="pct"/>
            <w:gridSpan w:val="4"/>
            <w:tcBorders>
              <w:top w:val="nil"/>
              <w:left w:val="nil"/>
              <w:bottom w:val="single" w:sz="4" w:space="0" w:color="auto"/>
              <w:right w:val="nil"/>
            </w:tcBorders>
            <w:shd w:val="clear" w:color="auto" w:fill="auto"/>
            <w:noWrap/>
            <w:vAlign w:val="center"/>
            <w:hideMark/>
          </w:tcPr>
          <w:p w14:paraId="2992B72B" w14:textId="77777777" w:rsidR="004C6700" w:rsidRPr="00D53E3A" w:rsidRDefault="004C6700" w:rsidP="00836EB5">
            <w:pPr>
              <w:spacing w:after="0" w:line="240" w:lineRule="auto"/>
              <w:jc w:val="left"/>
              <w:rPr>
                <w:rFonts w:eastAsia="Times New Roman" w:cs="Times New Roman"/>
                <w:b/>
                <w:bCs/>
                <w:color w:val="5B9BD5"/>
                <w:sz w:val="20"/>
                <w:szCs w:val="20"/>
                <w:lang w:eastAsia="sk-SK"/>
              </w:rPr>
            </w:pPr>
            <w:r>
              <w:rPr>
                <w:rFonts w:eastAsia="Times New Roman" w:cs="Times New Roman"/>
                <w:b/>
                <w:bCs/>
                <w:color w:val="5B9BD5"/>
                <w:sz w:val="20"/>
                <w:szCs w:val="20"/>
                <w:lang w:eastAsia="sk-SK"/>
              </w:rPr>
              <w:t>Tabuľka 17</w:t>
            </w:r>
            <w:r w:rsidRPr="00D53E3A">
              <w:rPr>
                <w:rFonts w:eastAsia="Times New Roman" w:cs="Times New Roman"/>
                <w:b/>
                <w:bCs/>
                <w:color w:val="5B9BD5"/>
                <w:sz w:val="20"/>
                <w:szCs w:val="20"/>
                <w:lang w:eastAsia="sk-SK"/>
              </w:rPr>
              <w:t xml:space="preserve"> - Štátny dlh podľa pôvodnej splatnosti</w:t>
            </w:r>
          </w:p>
        </w:tc>
        <w:tc>
          <w:tcPr>
            <w:tcW w:w="853" w:type="pct"/>
            <w:tcBorders>
              <w:top w:val="nil"/>
              <w:left w:val="nil"/>
              <w:bottom w:val="single" w:sz="4" w:space="0" w:color="auto"/>
              <w:right w:val="nil"/>
            </w:tcBorders>
            <w:shd w:val="clear" w:color="auto" w:fill="auto"/>
            <w:noWrap/>
            <w:vAlign w:val="center"/>
            <w:hideMark/>
          </w:tcPr>
          <w:p w14:paraId="7C89A291" w14:textId="77777777" w:rsidR="004C6700" w:rsidRPr="00D53E3A" w:rsidRDefault="004C6700" w:rsidP="00836EB5">
            <w:pPr>
              <w:spacing w:after="0" w:line="240" w:lineRule="auto"/>
              <w:jc w:val="right"/>
              <w:rPr>
                <w:rFonts w:eastAsia="Times New Roman" w:cs="Times New Roman"/>
                <w:b/>
                <w:bCs/>
                <w:color w:val="FFFFFF"/>
                <w:sz w:val="20"/>
                <w:szCs w:val="20"/>
                <w:lang w:eastAsia="sk-SK"/>
              </w:rPr>
            </w:pPr>
            <w:r w:rsidRPr="00D53E3A">
              <w:rPr>
                <w:rFonts w:eastAsia="Times New Roman" w:cs="Times New Roman"/>
                <w:b/>
                <w:bCs/>
                <w:color w:val="FFFFFF"/>
                <w:sz w:val="20"/>
                <w:szCs w:val="20"/>
                <w:lang w:eastAsia="sk-SK"/>
              </w:rPr>
              <w:t> </w:t>
            </w:r>
          </w:p>
        </w:tc>
      </w:tr>
      <w:tr w:rsidR="004C6700" w:rsidRPr="005E4981" w14:paraId="0C8D93D4" w14:textId="77777777" w:rsidTr="00836EB5">
        <w:trPr>
          <w:trHeight w:val="290"/>
        </w:trPr>
        <w:tc>
          <w:tcPr>
            <w:tcW w:w="1372" w:type="pct"/>
            <w:vMerge w:val="restart"/>
            <w:tcBorders>
              <w:top w:val="single" w:sz="4" w:space="0" w:color="auto"/>
              <w:left w:val="nil"/>
              <w:bottom w:val="single" w:sz="4" w:space="0" w:color="000000"/>
              <w:right w:val="nil"/>
            </w:tcBorders>
            <w:shd w:val="clear" w:color="auto" w:fill="auto"/>
            <w:vAlign w:val="center"/>
            <w:hideMark/>
          </w:tcPr>
          <w:p w14:paraId="5FD05BF8" w14:textId="77777777" w:rsidR="004C6700" w:rsidRPr="005E4981" w:rsidRDefault="004C6700" w:rsidP="00836EB5">
            <w:pPr>
              <w:spacing w:after="0" w:line="240" w:lineRule="auto"/>
              <w:rPr>
                <w:rFonts w:eastAsia="Times New Roman" w:cs="Times New Roman"/>
                <w:b/>
                <w:bCs/>
                <w:sz w:val="18"/>
                <w:szCs w:val="18"/>
                <w:lang w:eastAsia="sk-SK"/>
              </w:rPr>
            </w:pPr>
            <w:r w:rsidRPr="005E4981">
              <w:rPr>
                <w:rFonts w:eastAsia="Times New Roman" w:cs="Times New Roman"/>
                <w:b/>
                <w:bCs/>
                <w:sz w:val="18"/>
                <w:szCs w:val="18"/>
                <w:lang w:eastAsia="sk-SK"/>
              </w:rPr>
              <w:t>v %</w:t>
            </w:r>
          </w:p>
        </w:tc>
        <w:tc>
          <w:tcPr>
            <w:tcW w:w="899" w:type="pct"/>
            <w:vMerge w:val="restart"/>
            <w:tcBorders>
              <w:top w:val="single" w:sz="4" w:space="0" w:color="auto"/>
              <w:left w:val="nil"/>
              <w:bottom w:val="single" w:sz="4" w:space="0" w:color="000000"/>
              <w:right w:val="nil"/>
            </w:tcBorders>
            <w:shd w:val="clear" w:color="auto" w:fill="auto"/>
            <w:vAlign w:val="center"/>
            <w:hideMark/>
          </w:tcPr>
          <w:p w14:paraId="57651AA6"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Štátne dlhopisy a ŠPP</w:t>
            </w:r>
          </w:p>
        </w:tc>
        <w:tc>
          <w:tcPr>
            <w:tcW w:w="1049" w:type="pct"/>
            <w:vMerge w:val="restart"/>
            <w:tcBorders>
              <w:top w:val="single" w:sz="4" w:space="0" w:color="auto"/>
              <w:left w:val="nil"/>
              <w:bottom w:val="single" w:sz="4" w:space="0" w:color="000000"/>
              <w:right w:val="nil"/>
            </w:tcBorders>
            <w:shd w:val="clear" w:color="auto" w:fill="auto"/>
            <w:vAlign w:val="center"/>
            <w:hideMark/>
          </w:tcPr>
          <w:p w14:paraId="5CBC3F2D"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Bankové úvery a iné pôžičky</w:t>
            </w:r>
          </w:p>
        </w:tc>
        <w:tc>
          <w:tcPr>
            <w:tcW w:w="827" w:type="pct"/>
            <w:vMerge w:val="restart"/>
            <w:tcBorders>
              <w:top w:val="single" w:sz="4" w:space="0" w:color="auto"/>
              <w:left w:val="nil"/>
              <w:bottom w:val="single" w:sz="4" w:space="0" w:color="000000"/>
              <w:right w:val="nil"/>
            </w:tcBorders>
            <w:shd w:val="clear" w:color="auto" w:fill="auto"/>
            <w:vAlign w:val="center"/>
            <w:hideMark/>
          </w:tcPr>
          <w:p w14:paraId="3CD07844"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Ostatné záväzky</w:t>
            </w:r>
          </w:p>
        </w:tc>
        <w:tc>
          <w:tcPr>
            <w:tcW w:w="853" w:type="pct"/>
            <w:vMerge w:val="restart"/>
            <w:tcBorders>
              <w:top w:val="single" w:sz="4" w:space="0" w:color="auto"/>
              <w:left w:val="nil"/>
              <w:bottom w:val="single" w:sz="4" w:space="0" w:color="000000"/>
              <w:right w:val="nil"/>
            </w:tcBorders>
            <w:shd w:val="clear" w:color="auto" w:fill="auto"/>
            <w:vAlign w:val="center"/>
            <w:hideMark/>
          </w:tcPr>
          <w:p w14:paraId="24A29728"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Spolu</w:t>
            </w:r>
          </w:p>
        </w:tc>
      </w:tr>
      <w:tr w:rsidR="004C6700" w:rsidRPr="005E4981" w14:paraId="02A1BB80" w14:textId="77777777" w:rsidTr="00836EB5">
        <w:trPr>
          <w:trHeight w:val="433"/>
        </w:trPr>
        <w:tc>
          <w:tcPr>
            <w:tcW w:w="1372" w:type="pct"/>
            <w:vMerge/>
            <w:tcBorders>
              <w:top w:val="single" w:sz="4" w:space="0" w:color="auto"/>
              <w:left w:val="nil"/>
              <w:bottom w:val="single" w:sz="4" w:space="0" w:color="000000"/>
              <w:right w:val="nil"/>
            </w:tcBorders>
            <w:vAlign w:val="center"/>
            <w:hideMark/>
          </w:tcPr>
          <w:p w14:paraId="2E6CEBA2" w14:textId="77777777" w:rsidR="004C6700" w:rsidRPr="005E4981" w:rsidRDefault="004C6700" w:rsidP="00836EB5">
            <w:pPr>
              <w:spacing w:after="0" w:line="240" w:lineRule="auto"/>
              <w:jc w:val="left"/>
              <w:rPr>
                <w:rFonts w:eastAsia="Times New Roman" w:cs="Times New Roman"/>
                <w:b/>
                <w:bCs/>
                <w:sz w:val="18"/>
                <w:szCs w:val="18"/>
                <w:lang w:eastAsia="sk-SK"/>
              </w:rPr>
            </w:pPr>
          </w:p>
        </w:tc>
        <w:tc>
          <w:tcPr>
            <w:tcW w:w="899" w:type="pct"/>
            <w:vMerge/>
            <w:tcBorders>
              <w:top w:val="single" w:sz="4" w:space="0" w:color="auto"/>
              <w:left w:val="nil"/>
              <w:bottom w:val="single" w:sz="4" w:space="0" w:color="000000"/>
              <w:right w:val="nil"/>
            </w:tcBorders>
            <w:vAlign w:val="center"/>
            <w:hideMark/>
          </w:tcPr>
          <w:p w14:paraId="2398617F" w14:textId="77777777" w:rsidR="004C6700" w:rsidRPr="005E4981" w:rsidRDefault="004C6700" w:rsidP="00836EB5">
            <w:pPr>
              <w:spacing w:after="0" w:line="240" w:lineRule="auto"/>
              <w:jc w:val="left"/>
              <w:rPr>
                <w:rFonts w:eastAsia="Times New Roman" w:cs="Times New Roman"/>
                <w:b/>
                <w:bCs/>
                <w:sz w:val="18"/>
                <w:szCs w:val="18"/>
                <w:lang w:eastAsia="sk-SK"/>
              </w:rPr>
            </w:pPr>
          </w:p>
        </w:tc>
        <w:tc>
          <w:tcPr>
            <w:tcW w:w="1049" w:type="pct"/>
            <w:vMerge/>
            <w:tcBorders>
              <w:top w:val="single" w:sz="4" w:space="0" w:color="auto"/>
              <w:left w:val="nil"/>
              <w:bottom w:val="single" w:sz="4" w:space="0" w:color="000000"/>
              <w:right w:val="nil"/>
            </w:tcBorders>
            <w:vAlign w:val="center"/>
            <w:hideMark/>
          </w:tcPr>
          <w:p w14:paraId="27E10F18" w14:textId="77777777" w:rsidR="004C6700" w:rsidRPr="005E4981" w:rsidRDefault="004C6700" w:rsidP="00836EB5">
            <w:pPr>
              <w:spacing w:after="0" w:line="240" w:lineRule="auto"/>
              <w:jc w:val="left"/>
              <w:rPr>
                <w:rFonts w:eastAsia="Times New Roman" w:cs="Times New Roman"/>
                <w:b/>
                <w:bCs/>
                <w:sz w:val="18"/>
                <w:szCs w:val="18"/>
                <w:lang w:eastAsia="sk-SK"/>
              </w:rPr>
            </w:pPr>
          </w:p>
        </w:tc>
        <w:tc>
          <w:tcPr>
            <w:tcW w:w="827" w:type="pct"/>
            <w:vMerge/>
            <w:tcBorders>
              <w:top w:val="single" w:sz="4" w:space="0" w:color="auto"/>
              <w:left w:val="nil"/>
              <w:bottom w:val="single" w:sz="4" w:space="0" w:color="000000"/>
              <w:right w:val="nil"/>
            </w:tcBorders>
            <w:vAlign w:val="center"/>
            <w:hideMark/>
          </w:tcPr>
          <w:p w14:paraId="000CC9EA" w14:textId="77777777" w:rsidR="004C6700" w:rsidRPr="005E4981" w:rsidRDefault="004C6700" w:rsidP="00836EB5">
            <w:pPr>
              <w:spacing w:after="0" w:line="240" w:lineRule="auto"/>
              <w:jc w:val="left"/>
              <w:rPr>
                <w:rFonts w:eastAsia="Times New Roman" w:cs="Times New Roman"/>
                <w:b/>
                <w:bCs/>
                <w:sz w:val="18"/>
                <w:szCs w:val="18"/>
                <w:lang w:eastAsia="sk-SK"/>
              </w:rPr>
            </w:pPr>
          </w:p>
        </w:tc>
        <w:tc>
          <w:tcPr>
            <w:tcW w:w="853" w:type="pct"/>
            <w:vMerge/>
            <w:tcBorders>
              <w:top w:val="single" w:sz="4" w:space="0" w:color="auto"/>
              <w:left w:val="nil"/>
              <w:bottom w:val="single" w:sz="4" w:space="0" w:color="000000"/>
              <w:right w:val="nil"/>
            </w:tcBorders>
            <w:vAlign w:val="center"/>
            <w:hideMark/>
          </w:tcPr>
          <w:p w14:paraId="05AAC059" w14:textId="77777777" w:rsidR="004C6700" w:rsidRPr="005E4981" w:rsidRDefault="004C6700" w:rsidP="00836EB5">
            <w:pPr>
              <w:spacing w:after="0" w:line="240" w:lineRule="auto"/>
              <w:jc w:val="left"/>
              <w:rPr>
                <w:rFonts w:eastAsia="Times New Roman" w:cs="Times New Roman"/>
                <w:b/>
                <w:bCs/>
                <w:sz w:val="18"/>
                <w:szCs w:val="18"/>
                <w:lang w:eastAsia="sk-SK"/>
              </w:rPr>
            </w:pPr>
          </w:p>
        </w:tc>
      </w:tr>
      <w:tr w:rsidR="004C6700" w:rsidRPr="005E4981" w14:paraId="7D674582" w14:textId="77777777" w:rsidTr="00836EB5">
        <w:trPr>
          <w:trHeight w:val="290"/>
        </w:trPr>
        <w:tc>
          <w:tcPr>
            <w:tcW w:w="1372" w:type="pct"/>
            <w:tcBorders>
              <w:top w:val="nil"/>
              <w:left w:val="nil"/>
              <w:bottom w:val="nil"/>
              <w:right w:val="nil"/>
            </w:tcBorders>
            <w:shd w:val="clear" w:color="auto" w:fill="auto"/>
            <w:noWrap/>
            <w:vAlign w:val="bottom"/>
            <w:hideMark/>
          </w:tcPr>
          <w:p w14:paraId="11A2E23B"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Do 1 roka</w:t>
            </w:r>
          </w:p>
        </w:tc>
        <w:tc>
          <w:tcPr>
            <w:tcW w:w="899" w:type="pct"/>
            <w:tcBorders>
              <w:top w:val="nil"/>
              <w:left w:val="nil"/>
              <w:bottom w:val="nil"/>
              <w:right w:val="nil"/>
            </w:tcBorders>
            <w:shd w:val="clear" w:color="auto" w:fill="auto"/>
            <w:noWrap/>
            <w:vAlign w:val="bottom"/>
            <w:hideMark/>
          </w:tcPr>
          <w:p w14:paraId="30CDB2B8"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0,0</w:t>
            </w:r>
          </w:p>
        </w:tc>
        <w:tc>
          <w:tcPr>
            <w:tcW w:w="1049" w:type="pct"/>
            <w:tcBorders>
              <w:top w:val="nil"/>
              <w:left w:val="nil"/>
              <w:bottom w:val="nil"/>
              <w:right w:val="nil"/>
            </w:tcBorders>
            <w:shd w:val="clear" w:color="auto" w:fill="auto"/>
            <w:noWrap/>
            <w:vAlign w:val="bottom"/>
            <w:hideMark/>
          </w:tcPr>
          <w:p w14:paraId="5E4E077D"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0,0</w:t>
            </w:r>
          </w:p>
        </w:tc>
        <w:tc>
          <w:tcPr>
            <w:tcW w:w="827" w:type="pct"/>
            <w:tcBorders>
              <w:top w:val="nil"/>
              <w:left w:val="nil"/>
              <w:bottom w:val="nil"/>
              <w:right w:val="nil"/>
            </w:tcBorders>
            <w:shd w:val="clear" w:color="auto" w:fill="auto"/>
            <w:noWrap/>
            <w:vAlign w:val="bottom"/>
            <w:hideMark/>
          </w:tcPr>
          <w:p w14:paraId="72823B72"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99,9</w:t>
            </w:r>
          </w:p>
        </w:tc>
        <w:tc>
          <w:tcPr>
            <w:tcW w:w="853" w:type="pct"/>
            <w:tcBorders>
              <w:top w:val="nil"/>
              <w:left w:val="nil"/>
              <w:bottom w:val="nil"/>
              <w:right w:val="nil"/>
            </w:tcBorders>
            <w:shd w:val="clear" w:color="auto" w:fill="auto"/>
            <w:noWrap/>
            <w:vAlign w:val="bottom"/>
            <w:hideMark/>
          </w:tcPr>
          <w:p w14:paraId="092F79FB"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0,4</w:t>
            </w:r>
          </w:p>
        </w:tc>
      </w:tr>
      <w:tr w:rsidR="004C6700" w:rsidRPr="005E4981" w14:paraId="2BB85F89" w14:textId="77777777" w:rsidTr="00836EB5">
        <w:trPr>
          <w:trHeight w:val="290"/>
        </w:trPr>
        <w:tc>
          <w:tcPr>
            <w:tcW w:w="1372" w:type="pct"/>
            <w:tcBorders>
              <w:top w:val="nil"/>
              <w:left w:val="nil"/>
              <w:bottom w:val="nil"/>
              <w:right w:val="nil"/>
            </w:tcBorders>
            <w:shd w:val="clear" w:color="auto" w:fill="auto"/>
            <w:noWrap/>
            <w:vAlign w:val="bottom"/>
            <w:hideMark/>
          </w:tcPr>
          <w:p w14:paraId="7DE27652"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Do 5 rokov</w:t>
            </w:r>
          </w:p>
        </w:tc>
        <w:tc>
          <w:tcPr>
            <w:tcW w:w="899" w:type="pct"/>
            <w:tcBorders>
              <w:top w:val="nil"/>
              <w:left w:val="nil"/>
              <w:bottom w:val="nil"/>
              <w:right w:val="nil"/>
            </w:tcBorders>
            <w:shd w:val="clear" w:color="auto" w:fill="auto"/>
            <w:noWrap/>
            <w:vAlign w:val="bottom"/>
            <w:hideMark/>
          </w:tcPr>
          <w:p w14:paraId="73E22FC8"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2,6</w:t>
            </w:r>
          </w:p>
        </w:tc>
        <w:tc>
          <w:tcPr>
            <w:tcW w:w="1049" w:type="pct"/>
            <w:tcBorders>
              <w:top w:val="nil"/>
              <w:left w:val="nil"/>
              <w:bottom w:val="nil"/>
              <w:right w:val="nil"/>
            </w:tcBorders>
            <w:shd w:val="clear" w:color="auto" w:fill="auto"/>
            <w:noWrap/>
            <w:vAlign w:val="bottom"/>
            <w:hideMark/>
          </w:tcPr>
          <w:p w14:paraId="474FFF92"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0,4</w:t>
            </w:r>
          </w:p>
        </w:tc>
        <w:tc>
          <w:tcPr>
            <w:tcW w:w="827" w:type="pct"/>
            <w:tcBorders>
              <w:top w:val="nil"/>
              <w:left w:val="nil"/>
              <w:bottom w:val="nil"/>
              <w:right w:val="nil"/>
            </w:tcBorders>
            <w:shd w:val="clear" w:color="auto" w:fill="auto"/>
            <w:noWrap/>
            <w:vAlign w:val="bottom"/>
            <w:hideMark/>
          </w:tcPr>
          <w:p w14:paraId="630C5DE0"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0,1</w:t>
            </w:r>
          </w:p>
        </w:tc>
        <w:tc>
          <w:tcPr>
            <w:tcW w:w="853" w:type="pct"/>
            <w:tcBorders>
              <w:top w:val="nil"/>
              <w:left w:val="nil"/>
              <w:bottom w:val="nil"/>
              <w:right w:val="nil"/>
            </w:tcBorders>
            <w:shd w:val="clear" w:color="auto" w:fill="auto"/>
            <w:noWrap/>
            <w:vAlign w:val="bottom"/>
            <w:hideMark/>
          </w:tcPr>
          <w:p w14:paraId="6C7A5268"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2,4</w:t>
            </w:r>
          </w:p>
        </w:tc>
      </w:tr>
      <w:tr w:rsidR="004C6700" w:rsidRPr="005E4981" w14:paraId="52A700D6" w14:textId="77777777" w:rsidTr="00836EB5">
        <w:trPr>
          <w:trHeight w:val="290"/>
        </w:trPr>
        <w:tc>
          <w:tcPr>
            <w:tcW w:w="1372" w:type="pct"/>
            <w:tcBorders>
              <w:top w:val="nil"/>
              <w:left w:val="nil"/>
              <w:bottom w:val="nil"/>
              <w:right w:val="nil"/>
            </w:tcBorders>
            <w:shd w:val="clear" w:color="auto" w:fill="auto"/>
            <w:noWrap/>
            <w:vAlign w:val="bottom"/>
            <w:hideMark/>
          </w:tcPr>
          <w:p w14:paraId="5B35D911"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Do 7 rokov</w:t>
            </w:r>
          </w:p>
        </w:tc>
        <w:tc>
          <w:tcPr>
            <w:tcW w:w="899" w:type="pct"/>
            <w:tcBorders>
              <w:top w:val="nil"/>
              <w:left w:val="nil"/>
              <w:bottom w:val="nil"/>
              <w:right w:val="nil"/>
            </w:tcBorders>
            <w:shd w:val="clear" w:color="auto" w:fill="auto"/>
            <w:noWrap/>
            <w:vAlign w:val="bottom"/>
            <w:hideMark/>
          </w:tcPr>
          <w:p w14:paraId="3BD55A43"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5,0</w:t>
            </w:r>
          </w:p>
        </w:tc>
        <w:tc>
          <w:tcPr>
            <w:tcW w:w="1049" w:type="pct"/>
            <w:tcBorders>
              <w:top w:val="nil"/>
              <w:left w:val="nil"/>
              <w:bottom w:val="nil"/>
              <w:right w:val="nil"/>
            </w:tcBorders>
            <w:shd w:val="clear" w:color="auto" w:fill="auto"/>
            <w:noWrap/>
            <w:vAlign w:val="bottom"/>
            <w:hideMark/>
          </w:tcPr>
          <w:p w14:paraId="02F48433"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9,4</w:t>
            </w:r>
          </w:p>
        </w:tc>
        <w:tc>
          <w:tcPr>
            <w:tcW w:w="827" w:type="pct"/>
            <w:tcBorders>
              <w:top w:val="nil"/>
              <w:left w:val="nil"/>
              <w:bottom w:val="nil"/>
              <w:right w:val="nil"/>
            </w:tcBorders>
            <w:shd w:val="clear" w:color="auto" w:fill="auto"/>
            <w:noWrap/>
            <w:vAlign w:val="bottom"/>
            <w:hideMark/>
          </w:tcPr>
          <w:p w14:paraId="7980536B"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0,0</w:t>
            </w:r>
          </w:p>
        </w:tc>
        <w:tc>
          <w:tcPr>
            <w:tcW w:w="853" w:type="pct"/>
            <w:tcBorders>
              <w:top w:val="nil"/>
              <w:left w:val="nil"/>
              <w:bottom w:val="nil"/>
              <w:right w:val="nil"/>
            </w:tcBorders>
            <w:shd w:val="clear" w:color="auto" w:fill="auto"/>
            <w:noWrap/>
            <w:vAlign w:val="bottom"/>
            <w:hideMark/>
          </w:tcPr>
          <w:p w14:paraId="4B0D273C"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5,3</w:t>
            </w:r>
          </w:p>
        </w:tc>
      </w:tr>
      <w:tr w:rsidR="004C6700" w:rsidRPr="005E4981" w14:paraId="2C5006A9" w14:textId="77777777" w:rsidTr="00836EB5">
        <w:trPr>
          <w:trHeight w:val="290"/>
        </w:trPr>
        <w:tc>
          <w:tcPr>
            <w:tcW w:w="1372" w:type="pct"/>
            <w:tcBorders>
              <w:top w:val="nil"/>
              <w:left w:val="nil"/>
              <w:bottom w:val="nil"/>
              <w:right w:val="nil"/>
            </w:tcBorders>
            <w:shd w:val="clear" w:color="auto" w:fill="auto"/>
            <w:noWrap/>
            <w:vAlign w:val="bottom"/>
            <w:hideMark/>
          </w:tcPr>
          <w:p w14:paraId="6BD7FBFD"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lastRenderedPageBreak/>
              <w:t>Do 10 rokov</w:t>
            </w:r>
          </w:p>
        </w:tc>
        <w:tc>
          <w:tcPr>
            <w:tcW w:w="899" w:type="pct"/>
            <w:tcBorders>
              <w:top w:val="nil"/>
              <w:left w:val="nil"/>
              <w:bottom w:val="nil"/>
              <w:right w:val="nil"/>
            </w:tcBorders>
            <w:shd w:val="clear" w:color="auto" w:fill="auto"/>
            <w:noWrap/>
            <w:vAlign w:val="bottom"/>
            <w:hideMark/>
          </w:tcPr>
          <w:p w14:paraId="57EB087A"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4,9</w:t>
            </w:r>
          </w:p>
        </w:tc>
        <w:tc>
          <w:tcPr>
            <w:tcW w:w="1049" w:type="pct"/>
            <w:tcBorders>
              <w:top w:val="nil"/>
              <w:left w:val="nil"/>
              <w:bottom w:val="nil"/>
              <w:right w:val="nil"/>
            </w:tcBorders>
            <w:shd w:val="clear" w:color="auto" w:fill="auto"/>
            <w:noWrap/>
            <w:vAlign w:val="bottom"/>
            <w:hideMark/>
          </w:tcPr>
          <w:p w14:paraId="6EB11BFD"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4,6</w:t>
            </w:r>
          </w:p>
        </w:tc>
        <w:tc>
          <w:tcPr>
            <w:tcW w:w="827" w:type="pct"/>
            <w:tcBorders>
              <w:top w:val="nil"/>
              <w:left w:val="nil"/>
              <w:bottom w:val="nil"/>
              <w:right w:val="nil"/>
            </w:tcBorders>
            <w:shd w:val="clear" w:color="auto" w:fill="auto"/>
            <w:noWrap/>
            <w:vAlign w:val="bottom"/>
            <w:hideMark/>
          </w:tcPr>
          <w:p w14:paraId="1B8BB9CA"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0,0</w:t>
            </w:r>
          </w:p>
        </w:tc>
        <w:tc>
          <w:tcPr>
            <w:tcW w:w="853" w:type="pct"/>
            <w:tcBorders>
              <w:top w:val="nil"/>
              <w:left w:val="nil"/>
              <w:bottom w:val="nil"/>
              <w:right w:val="nil"/>
            </w:tcBorders>
            <w:shd w:val="clear" w:color="auto" w:fill="auto"/>
            <w:noWrap/>
            <w:vAlign w:val="bottom"/>
            <w:hideMark/>
          </w:tcPr>
          <w:p w14:paraId="5A633E0B"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4,8</w:t>
            </w:r>
          </w:p>
        </w:tc>
      </w:tr>
      <w:tr w:rsidR="004C6700" w:rsidRPr="005E4981" w14:paraId="4CBA25E2" w14:textId="77777777" w:rsidTr="00836EB5">
        <w:trPr>
          <w:trHeight w:val="290"/>
        </w:trPr>
        <w:tc>
          <w:tcPr>
            <w:tcW w:w="1372" w:type="pct"/>
            <w:tcBorders>
              <w:top w:val="nil"/>
              <w:left w:val="nil"/>
              <w:bottom w:val="nil"/>
              <w:right w:val="nil"/>
            </w:tcBorders>
            <w:shd w:val="clear" w:color="auto" w:fill="auto"/>
            <w:noWrap/>
            <w:vAlign w:val="bottom"/>
            <w:hideMark/>
          </w:tcPr>
          <w:p w14:paraId="151C52FF"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Do 15 rokov</w:t>
            </w:r>
          </w:p>
        </w:tc>
        <w:tc>
          <w:tcPr>
            <w:tcW w:w="899" w:type="pct"/>
            <w:tcBorders>
              <w:top w:val="nil"/>
              <w:left w:val="nil"/>
              <w:bottom w:val="nil"/>
              <w:right w:val="nil"/>
            </w:tcBorders>
            <w:shd w:val="clear" w:color="auto" w:fill="auto"/>
            <w:noWrap/>
            <w:vAlign w:val="bottom"/>
            <w:hideMark/>
          </w:tcPr>
          <w:p w14:paraId="7AA8ACB1"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43,6</w:t>
            </w:r>
          </w:p>
        </w:tc>
        <w:tc>
          <w:tcPr>
            <w:tcW w:w="1049" w:type="pct"/>
            <w:tcBorders>
              <w:top w:val="nil"/>
              <w:left w:val="nil"/>
              <w:bottom w:val="nil"/>
              <w:right w:val="nil"/>
            </w:tcBorders>
            <w:shd w:val="clear" w:color="auto" w:fill="auto"/>
            <w:noWrap/>
            <w:vAlign w:val="bottom"/>
            <w:hideMark/>
          </w:tcPr>
          <w:p w14:paraId="33F5FB03"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9,7</w:t>
            </w:r>
          </w:p>
        </w:tc>
        <w:tc>
          <w:tcPr>
            <w:tcW w:w="827" w:type="pct"/>
            <w:tcBorders>
              <w:top w:val="nil"/>
              <w:left w:val="nil"/>
              <w:bottom w:val="nil"/>
              <w:right w:val="nil"/>
            </w:tcBorders>
            <w:shd w:val="clear" w:color="auto" w:fill="auto"/>
            <w:noWrap/>
            <w:vAlign w:val="bottom"/>
            <w:hideMark/>
          </w:tcPr>
          <w:p w14:paraId="7EAB6D8A"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0,0</w:t>
            </w:r>
          </w:p>
        </w:tc>
        <w:tc>
          <w:tcPr>
            <w:tcW w:w="853" w:type="pct"/>
            <w:tcBorders>
              <w:top w:val="nil"/>
              <w:left w:val="nil"/>
              <w:bottom w:val="nil"/>
              <w:right w:val="nil"/>
            </w:tcBorders>
            <w:shd w:val="clear" w:color="auto" w:fill="auto"/>
            <w:noWrap/>
            <w:vAlign w:val="bottom"/>
            <w:hideMark/>
          </w:tcPr>
          <w:p w14:paraId="119643F7"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40,5</w:t>
            </w:r>
          </w:p>
        </w:tc>
      </w:tr>
      <w:tr w:rsidR="004C6700" w:rsidRPr="005E4981" w14:paraId="60B28C19" w14:textId="77777777" w:rsidTr="00836EB5">
        <w:trPr>
          <w:trHeight w:val="290"/>
        </w:trPr>
        <w:tc>
          <w:tcPr>
            <w:tcW w:w="1372" w:type="pct"/>
            <w:tcBorders>
              <w:top w:val="nil"/>
              <w:left w:val="nil"/>
              <w:bottom w:val="nil"/>
              <w:right w:val="nil"/>
            </w:tcBorders>
            <w:shd w:val="clear" w:color="auto" w:fill="auto"/>
            <w:noWrap/>
            <w:vAlign w:val="bottom"/>
            <w:hideMark/>
          </w:tcPr>
          <w:p w14:paraId="1C4C3010"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Do 29 rokov</w:t>
            </w:r>
          </w:p>
        </w:tc>
        <w:tc>
          <w:tcPr>
            <w:tcW w:w="899" w:type="pct"/>
            <w:tcBorders>
              <w:top w:val="nil"/>
              <w:left w:val="nil"/>
              <w:bottom w:val="nil"/>
              <w:right w:val="nil"/>
            </w:tcBorders>
            <w:shd w:val="clear" w:color="auto" w:fill="auto"/>
            <w:noWrap/>
            <w:vAlign w:val="bottom"/>
            <w:hideMark/>
          </w:tcPr>
          <w:p w14:paraId="31DC8AF0"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34,7</w:t>
            </w:r>
          </w:p>
        </w:tc>
        <w:tc>
          <w:tcPr>
            <w:tcW w:w="1049" w:type="pct"/>
            <w:tcBorders>
              <w:top w:val="nil"/>
              <w:left w:val="nil"/>
              <w:bottom w:val="nil"/>
              <w:right w:val="nil"/>
            </w:tcBorders>
            <w:shd w:val="clear" w:color="auto" w:fill="auto"/>
            <w:noWrap/>
            <w:vAlign w:val="bottom"/>
            <w:hideMark/>
          </w:tcPr>
          <w:p w14:paraId="74CAEAB5"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44,6</w:t>
            </w:r>
          </w:p>
        </w:tc>
        <w:tc>
          <w:tcPr>
            <w:tcW w:w="827" w:type="pct"/>
            <w:tcBorders>
              <w:top w:val="nil"/>
              <w:left w:val="nil"/>
              <w:bottom w:val="nil"/>
              <w:right w:val="nil"/>
            </w:tcBorders>
            <w:shd w:val="clear" w:color="auto" w:fill="auto"/>
            <w:noWrap/>
            <w:vAlign w:val="bottom"/>
            <w:hideMark/>
          </w:tcPr>
          <w:p w14:paraId="279B1392"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0,0</w:t>
            </w:r>
          </w:p>
        </w:tc>
        <w:tc>
          <w:tcPr>
            <w:tcW w:w="853" w:type="pct"/>
            <w:tcBorders>
              <w:top w:val="nil"/>
              <w:left w:val="nil"/>
              <w:bottom w:val="nil"/>
              <w:right w:val="nil"/>
            </w:tcBorders>
            <w:shd w:val="clear" w:color="auto" w:fill="auto"/>
            <w:noWrap/>
            <w:vAlign w:val="bottom"/>
            <w:hideMark/>
          </w:tcPr>
          <w:p w14:paraId="034A9E96"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35,5</w:t>
            </w:r>
          </w:p>
        </w:tc>
      </w:tr>
      <w:tr w:rsidR="004C6700" w:rsidRPr="005E4981" w14:paraId="2CB75166" w14:textId="77777777" w:rsidTr="00836EB5">
        <w:trPr>
          <w:trHeight w:val="290"/>
        </w:trPr>
        <w:tc>
          <w:tcPr>
            <w:tcW w:w="1372" w:type="pct"/>
            <w:tcBorders>
              <w:top w:val="nil"/>
              <w:left w:val="nil"/>
              <w:bottom w:val="nil"/>
              <w:right w:val="nil"/>
            </w:tcBorders>
            <w:shd w:val="clear" w:color="auto" w:fill="auto"/>
            <w:noWrap/>
            <w:vAlign w:val="bottom"/>
            <w:hideMark/>
          </w:tcPr>
          <w:p w14:paraId="3CB59059"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30 rokov a viac</w:t>
            </w:r>
          </w:p>
        </w:tc>
        <w:tc>
          <w:tcPr>
            <w:tcW w:w="899" w:type="pct"/>
            <w:tcBorders>
              <w:top w:val="nil"/>
              <w:left w:val="nil"/>
              <w:bottom w:val="nil"/>
              <w:right w:val="nil"/>
            </w:tcBorders>
            <w:shd w:val="clear" w:color="auto" w:fill="auto"/>
            <w:noWrap/>
            <w:vAlign w:val="bottom"/>
            <w:hideMark/>
          </w:tcPr>
          <w:p w14:paraId="1C6F7B14"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9,2</w:t>
            </w:r>
          </w:p>
        </w:tc>
        <w:tc>
          <w:tcPr>
            <w:tcW w:w="1049" w:type="pct"/>
            <w:tcBorders>
              <w:top w:val="nil"/>
              <w:left w:val="nil"/>
              <w:bottom w:val="nil"/>
              <w:right w:val="nil"/>
            </w:tcBorders>
            <w:shd w:val="clear" w:color="auto" w:fill="auto"/>
            <w:noWrap/>
            <w:vAlign w:val="bottom"/>
            <w:hideMark/>
          </w:tcPr>
          <w:p w14:paraId="7BD17272"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31,3</w:t>
            </w:r>
          </w:p>
        </w:tc>
        <w:tc>
          <w:tcPr>
            <w:tcW w:w="827" w:type="pct"/>
            <w:tcBorders>
              <w:top w:val="nil"/>
              <w:left w:val="nil"/>
              <w:bottom w:val="nil"/>
              <w:right w:val="nil"/>
            </w:tcBorders>
            <w:shd w:val="clear" w:color="auto" w:fill="auto"/>
            <w:noWrap/>
            <w:vAlign w:val="bottom"/>
            <w:hideMark/>
          </w:tcPr>
          <w:p w14:paraId="2D208ADB"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0,0</w:t>
            </w:r>
          </w:p>
        </w:tc>
        <w:tc>
          <w:tcPr>
            <w:tcW w:w="853" w:type="pct"/>
            <w:tcBorders>
              <w:top w:val="nil"/>
              <w:left w:val="nil"/>
              <w:bottom w:val="nil"/>
              <w:right w:val="nil"/>
            </w:tcBorders>
            <w:shd w:val="clear" w:color="auto" w:fill="auto"/>
            <w:noWrap/>
            <w:vAlign w:val="bottom"/>
            <w:hideMark/>
          </w:tcPr>
          <w:p w14:paraId="547BCEBF"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11,1</w:t>
            </w:r>
          </w:p>
        </w:tc>
      </w:tr>
      <w:tr w:rsidR="004C6700" w:rsidRPr="005E4981" w14:paraId="4C94A963" w14:textId="77777777" w:rsidTr="00836EB5">
        <w:trPr>
          <w:trHeight w:val="290"/>
        </w:trPr>
        <w:tc>
          <w:tcPr>
            <w:tcW w:w="1372" w:type="pct"/>
            <w:tcBorders>
              <w:top w:val="single" w:sz="4" w:space="0" w:color="auto"/>
              <w:left w:val="nil"/>
              <w:bottom w:val="single" w:sz="4" w:space="0" w:color="auto"/>
              <w:right w:val="nil"/>
            </w:tcBorders>
            <w:shd w:val="clear" w:color="auto" w:fill="auto"/>
            <w:noWrap/>
            <w:vAlign w:val="bottom"/>
            <w:hideMark/>
          </w:tcPr>
          <w:p w14:paraId="0FBA91FF" w14:textId="77777777" w:rsidR="004C6700" w:rsidRPr="005E4981" w:rsidRDefault="004C6700" w:rsidP="00836EB5">
            <w:pPr>
              <w:spacing w:after="0" w:line="240" w:lineRule="auto"/>
              <w:jc w:val="left"/>
              <w:rPr>
                <w:rFonts w:eastAsia="Times New Roman" w:cs="Times New Roman"/>
                <w:b/>
                <w:bCs/>
                <w:sz w:val="18"/>
                <w:szCs w:val="18"/>
                <w:lang w:eastAsia="sk-SK"/>
              </w:rPr>
            </w:pPr>
            <w:r w:rsidRPr="005E4981">
              <w:rPr>
                <w:rFonts w:eastAsia="Times New Roman" w:cs="Times New Roman"/>
                <w:b/>
                <w:bCs/>
                <w:sz w:val="18"/>
                <w:szCs w:val="18"/>
                <w:lang w:eastAsia="sk-SK"/>
              </w:rPr>
              <w:t>Spolu</w:t>
            </w:r>
          </w:p>
        </w:tc>
        <w:tc>
          <w:tcPr>
            <w:tcW w:w="899" w:type="pct"/>
            <w:tcBorders>
              <w:top w:val="single" w:sz="4" w:space="0" w:color="auto"/>
              <w:left w:val="nil"/>
              <w:bottom w:val="single" w:sz="4" w:space="0" w:color="auto"/>
              <w:right w:val="nil"/>
            </w:tcBorders>
            <w:shd w:val="clear" w:color="auto" w:fill="auto"/>
            <w:noWrap/>
            <w:vAlign w:val="bottom"/>
            <w:hideMark/>
          </w:tcPr>
          <w:p w14:paraId="037F923F"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100,0</w:t>
            </w:r>
          </w:p>
        </w:tc>
        <w:tc>
          <w:tcPr>
            <w:tcW w:w="1049" w:type="pct"/>
            <w:tcBorders>
              <w:top w:val="single" w:sz="4" w:space="0" w:color="auto"/>
              <w:left w:val="nil"/>
              <w:bottom w:val="single" w:sz="4" w:space="0" w:color="auto"/>
              <w:right w:val="nil"/>
            </w:tcBorders>
            <w:shd w:val="clear" w:color="auto" w:fill="auto"/>
            <w:noWrap/>
            <w:vAlign w:val="bottom"/>
            <w:hideMark/>
          </w:tcPr>
          <w:p w14:paraId="501A2D9D"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100,0</w:t>
            </w:r>
          </w:p>
        </w:tc>
        <w:tc>
          <w:tcPr>
            <w:tcW w:w="827" w:type="pct"/>
            <w:tcBorders>
              <w:top w:val="single" w:sz="4" w:space="0" w:color="auto"/>
              <w:left w:val="nil"/>
              <w:bottom w:val="single" w:sz="4" w:space="0" w:color="auto"/>
              <w:right w:val="nil"/>
            </w:tcBorders>
            <w:shd w:val="clear" w:color="auto" w:fill="auto"/>
            <w:noWrap/>
            <w:vAlign w:val="bottom"/>
            <w:hideMark/>
          </w:tcPr>
          <w:p w14:paraId="1754B8C1"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100,0</w:t>
            </w:r>
          </w:p>
        </w:tc>
        <w:tc>
          <w:tcPr>
            <w:tcW w:w="853" w:type="pct"/>
            <w:tcBorders>
              <w:top w:val="single" w:sz="4" w:space="0" w:color="auto"/>
              <w:left w:val="nil"/>
              <w:bottom w:val="single" w:sz="4" w:space="0" w:color="auto"/>
              <w:right w:val="nil"/>
            </w:tcBorders>
            <w:shd w:val="clear" w:color="auto" w:fill="auto"/>
            <w:noWrap/>
            <w:vAlign w:val="bottom"/>
            <w:hideMark/>
          </w:tcPr>
          <w:p w14:paraId="284079FD"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100,0</w:t>
            </w:r>
          </w:p>
        </w:tc>
      </w:tr>
    </w:tbl>
    <w:p w14:paraId="7E3329EE" w14:textId="1B338357" w:rsidR="004C6700" w:rsidRPr="00D53E3A" w:rsidRDefault="004C6700" w:rsidP="005E4981">
      <w:pPr>
        <w:jc w:val="right"/>
        <w:rPr>
          <w:sz w:val="16"/>
          <w:szCs w:val="16"/>
        </w:rPr>
      </w:pPr>
      <w:r w:rsidRPr="005E4981">
        <w:rPr>
          <w:sz w:val="18"/>
          <w:szCs w:val="18"/>
        </w:rPr>
        <w:t>Zdroj: MF SR, ARDA</w:t>
      </w:r>
      <w:r w:rsidRPr="00D53E3A">
        <w:rPr>
          <w:sz w:val="16"/>
          <w:szCs w:val="16"/>
        </w:rPr>
        <w:t>L</w:t>
      </w:r>
    </w:p>
    <w:p w14:paraId="278E9DC9" w14:textId="77777777" w:rsidR="004C6700" w:rsidRPr="006729AE" w:rsidRDefault="004C6700" w:rsidP="004C6700">
      <w:pPr>
        <w:pStyle w:val="Nadpis3"/>
        <w:ind w:left="709" w:hanging="720"/>
      </w:pPr>
      <w:bookmarkStart w:id="31" w:name="_Toc132929082"/>
      <w:bookmarkStart w:id="32" w:name="_Toc164846936"/>
      <w:r w:rsidRPr="006729AE">
        <w:t>Maastrichtský dlh ostatných subjektov verejnej správy</w:t>
      </w:r>
      <w:bookmarkEnd w:id="31"/>
      <w:bookmarkEnd w:id="32"/>
    </w:p>
    <w:p w14:paraId="2547ECCE" w14:textId="77777777" w:rsidR="004C6700" w:rsidRPr="00A65814" w:rsidRDefault="004C6700" w:rsidP="004C6700">
      <w:pPr>
        <w:spacing w:line="240" w:lineRule="auto"/>
        <w:rPr>
          <w:sz w:val="24"/>
          <w:szCs w:val="24"/>
        </w:rPr>
      </w:pPr>
      <w:r w:rsidRPr="00A65814">
        <w:rPr>
          <w:sz w:val="24"/>
          <w:szCs w:val="24"/>
        </w:rPr>
        <w:t xml:space="preserve">Konsolidovaná hodnota maastrichtského dlhu ostatných subjektov verejnej správy k 31.12.2023 dosiahla 2 421 207 tis. eur, z toho pre subjekty územnej samosprávy pripadá 1 623 947 tis. eur. </w:t>
      </w:r>
    </w:p>
    <w:p w14:paraId="53546AEF" w14:textId="77777777" w:rsidR="004C6700" w:rsidRDefault="004C6700" w:rsidP="004C6700">
      <w:pPr>
        <w:spacing w:line="240" w:lineRule="auto"/>
        <w:rPr>
          <w:sz w:val="24"/>
          <w:szCs w:val="24"/>
          <w:highlight w:val="yellow"/>
        </w:rPr>
      </w:pPr>
      <w:r w:rsidRPr="00A65814">
        <w:rPr>
          <w:sz w:val="24"/>
          <w:szCs w:val="24"/>
        </w:rPr>
        <w:t xml:space="preserve">Dlh </w:t>
      </w:r>
      <w:r w:rsidRPr="00A65814">
        <w:rPr>
          <w:b/>
          <w:sz w:val="24"/>
          <w:szCs w:val="24"/>
        </w:rPr>
        <w:t xml:space="preserve">obcí </w:t>
      </w:r>
      <w:r w:rsidRPr="00A65814">
        <w:rPr>
          <w:sz w:val="24"/>
          <w:szCs w:val="24"/>
        </w:rPr>
        <w:t>(vrátane ich rozpočtových organizácií)</w:t>
      </w:r>
      <w:r w:rsidRPr="00A65814">
        <w:rPr>
          <w:b/>
          <w:sz w:val="24"/>
          <w:szCs w:val="24"/>
        </w:rPr>
        <w:t xml:space="preserve"> </w:t>
      </w:r>
      <w:r w:rsidRPr="00A65814">
        <w:rPr>
          <w:sz w:val="24"/>
          <w:szCs w:val="24"/>
        </w:rPr>
        <w:t>dosiahol v roku 2023 výšku 1 833 794 tis. eur (vrátane záväzkov z pôžičiek od ŠFRB, ENVF a návratných finančných výpomocí zo štátnych finančných aktív</w:t>
      </w:r>
      <w:r w:rsidRPr="00763FE7">
        <w:rPr>
          <w:sz w:val="24"/>
          <w:szCs w:val="24"/>
        </w:rPr>
        <w:t xml:space="preserve">). Oproti stavu v roku 2022 je vyšší o 82 297 tis. eur. </w:t>
      </w:r>
      <w:r w:rsidRPr="00B933DE">
        <w:rPr>
          <w:sz w:val="24"/>
          <w:szCs w:val="24"/>
        </w:rPr>
        <w:t>Rozhodujúcu časť dlhu obcí tvoria bankové úvery vo výške 969 053 tis. eur a pôžičky od ŠFRB vo výške 737 891 tis. eur. Treťou významnou položkou dlhu obcí sú prijaté návratné finančné výpomoci zo štátnych finančných aktív, vo výške zostatku 32 620 tis. eur. Úroveň návratných finančných výpomocí sa oproti predchádzajúcemu roku výrazne znížila vďaka odpusteniu NFV poskytnutých za účelom zmiernenia negatívneho dopadu pandémie COVID-19 v celkovej sume 99 748 tis. </w:t>
      </w:r>
      <w:r w:rsidRPr="00B933DE">
        <w:t>eur</w:t>
      </w:r>
      <w:r>
        <w:t xml:space="preserve">. </w:t>
      </w:r>
      <w:r w:rsidRPr="00B933DE">
        <w:rPr>
          <w:sz w:val="24"/>
          <w:szCs w:val="24"/>
        </w:rPr>
        <w:t>Z hľadiska pôvodnej splatnosti má dlh obcí prevažne dlhodobý charakter (97,5 %) a prevažná časť dlhu obcí je v rukách domácich veriteľov (96,9 %).</w:t>
      </w:r>
    </w:p>
    <w:tbl>
      <w:tblPr>
        <w:tblW w:w="5000" w:type="pct"/>
        <w:tblCellMar>
          <w:left w:w="70" w:type="dxa"/>
          <w:right w:w="70" w:type="dxa"/>
        </w:tblCellMar>
        <w:tblLook w:val="04A0" w:firstRow="1" w:lastRow="0" w:firstColumn="1" w:lastColumn="0" w:noHBand="0" w:noVBand="1"/>
      </w:tblPr>
      <w:tblGrid>
        <w:gridCol w:w="5173"/>
        <w:gridCol w:w="1060"/>
        <w:gridCol w:w="958"/>
        <w:gridCol w:w="888"/>
        <w:gridCol w:w="1135"/>
      </w:tblGrid>
      <w:tr w:rsidR="004C6700" w:rsidRPr="009176BA" w14:paraId="0BD0F09F" w14:textId="77777777" w:rsidTr="00836EB5">
        <w:trPr>
          <w:trHeight w:val="290"/>
        </w:trPr>
        <w:tc>
          <w:tcPr>
            <w:tcW w:w="4384" w:type="pct"/>
            <w:gridSpan w:val="4"/>
            <w:tcBorders>
              <w:top w:val="nil"/>
              <w:left w:val="nil"/>
              <w:bottom w:val="single" w:sz="4" w:space="0" w:color="auto"/>
              <w:right w:val="nil"/>
            </w:tcBorders>
            <w:shd w:val="clear" w:color="auto" w:fill="auto"/>
            <w:noWrap/>
            <w:vAlign w:val="center"/>
            <w:hideMark/>
          </w:tcPr>
          <w:p w14:paraId="68973354" w14:textId="77777777" w:rsidR="004C6700" w:rsidRPr="009176BA" w:rsidRDefault="004C6700" w:rsidP="005E4981">
            <w:pPr>
              <w:spacing w:line="240" w:lineRule="auto"/>
              <w:jc w:val="left"/>
              <w:rPr>
                <w:rFonts w:eastAsia="Times New Roman" w:cs="Times New Roman"/>
                <w:b/>
                <w:bCs/>
                <w:color w:val="5B9BD5"/>
                <w:sz w:val="20"/>
                <w:szCs w:val="20"/>
                <w:lang w:eastAsia="sk-SK"/>
              </w:rPr>
            </w:pPr>
            <w:r>
              <w:rPr>
                <w:rFonts w:eastAsia="Times New Roman" w:cs="Times New Roman"/>
                <w:b/>
                <w:bCs/>
                <w:color w:val="5B9BD5"/>
                <w:sz w:val="20"/>
                <w:szCs w:val="20"/>
                <w:lang w:eastAsia="sk-SK"/>
              </w:rPr>
              <w:t>Tabuľka 18</w:t>
            </w:r>
            <w:r w:rsidRPr="009176BA">
              <w:rPr>
                <w:rFonts w:eastAsia="Times New Roman" w:cs="Times New Roman"/>
                <w:b/>
                <w:bCs/>
                <w:color w:val="5B9BD5"/>
                <w:sz w:val="20"/>
                <w:szCs w:val="20"/>
                <w:lang w:eastAsia="sk-SK"/>
              </w:rPr>
              <w:t xml:space="preserve"> - Dlh obcí podľa dlhového nástroja</w:t>
            </w:r>
          </w:p>
        </w:tc>
        <w:tc>
          <w:tcPr>
            <w:tcW w:w="616" w:type="pct"/>
            <w:tcBorders>
              <w:top w:val="nil"/>
              <w:left w:val="nil"/>
              <w:bottom w:val="single" w:sz="4" w:space="0" w:color="auto"/>
              <w:right w:val="nil"/>
            </w:tcBorders>
            <w:shd w:val="clear" w:color="auto" w:fill="auto"/>
            <w:noWrap/>
            <w:vAlign w:val="center"/>
            <w:hideMark/>
          </w:tcPr>
          <w:p w14:paraId="0B991BEC" w14:textId="77777777" w:rsidR="004C6700" w:rsidRPr="009176BA" w:rsidRDefault="004C6700" w:rsidP="00836EB5">
            <w:pPr>
              <w:spacing w:after="0" w:line="240" w:lineRule="auto"/>
              <w:jc w:val="right"/>
              <w:rPr>
                <w:rFonts w:eastAsia="Times New Roman" w:cs="Times New Roman"/>
                <w:b/>
                <w:bCs/>
                <w:color w:val="FFFFFF"/>
                <w:sz w:val="20"/>
                <w:szCs w:val="20"/>
                <w:lang w:eastAsia="sk-SK"/>
              </w:rPr>
            </w:pPr>
            <w:r w:rsidRPr="009176BA">
              <w:rPr>
                <w:rFonts w:eastAsia="Times New Roman" w:cs="Times New Roman"/>
                <w:b/>
                <w:bCs/>
                <w:color w:val="FFFFFF"/>
                <w:sz w:val="20"/>
                <w:szCs w:val="20"/>
                <w:lang w:eastAsia="sk-SK"/>
              </w:rPr>
              <w:t>v tis. eur</w:t>
            </w:r>
          </w:p>
        </w:tc>
      </w:tr>
      <w:tr w:rsidR="004C6700" w:rsidRPr="005E4981" w14:paraId="4679993C" w14:textId="77777777" w:rsidTr="00836EB5">
        <w:trPr>
          <w:trHeight w:val="290"/>
        </w:trPr>
        <w:tc>
          <w:tcPr>
            <w:tcW w:w="2807" w:type="pct"/>
            <w:vMerge w:val="restart"/>
            <w:tcBorders>
              <w:top w:val="single" w:sz="4" w:space="0" w:color="auto"/>
              <w:left w:val="nil"/>
              <w:bottom w:val="single" w:sz="4" w:space="0" w:color="000000"/>
              <w:right w:val="nil"/>
            </w:tcBorders>
            <w:shd w:val="clear" w:color="auto" w:fill="auto"/>
            <w:vAlign w:val="center"/>
            <w:hideMark/>
          </w:tcPr>
          <w:p w14:paraId="69ABCCF7" w14:textId="77777777" w:rsidR="004C6700" w:rsidRPr="005E4981" w:rsidRDefault="004C6700" w:rsidP="00836EB5">
            <w:pPr>
              <w:spacing w:after="0" w:line="240" w:lineRule="auto"/>
              <w:rPr>
                <w:rFonts w:eastAsia="Times New Roman" w:cs="Times New Roman"/>
                <w:b/>
                <w:bCs/>
                <w:sz w:val="18"/>
                <w:szCs w:val="18"/>
                <w:lang w:eastAsia="sk-SK"/>
              </w:rPr>
            </w:pPr>
            <w:r w:rsidRPr="005E4981">
              <w:rPr>
                <w:rFonts w:eastAsia="Times New Roman" w:cs="Times New Roman"/>
                <w:b/>
                <w:bCs/>
                <w:sz w:val="18"/>
                <w:szCs w:val="18"/>
                <w:lang w:eastAsia="sk-SK"/>
              </w:rPr>
              <w:t>v tis. eur</w:t>
            </w:r>
          </w:p>
        </w:tc>
        <w:tc>
          <w:tcPr>
            <w:tcW w:w="575" w:type="pct"/>
            <w:tcBorders>
              <w:top w:val="single" w:sz="4" w:space="0" w:color="auto"/>
              <w:left w:val="nil"/>
              <w:bottom w:val="nil"/>
              <w:right w:val="nil"/>
            </w:tcBorders>
            <w:shd w:val="clear" w:color="auto" w:fill="auto"/>
            <w:vAlign w:val="center"/>
            <w:hideMark/>
          </w:tcPr>
          <w:p w14:paraId="7EE30B53"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2021 S</w:t>
            </w:r>
          </w:p>
        </w:tc>
        <w:tc>
          <w:tcPr>
            <w:tcW w:w="520" w:type="pct"/>
            <w:tcBorders>
              <w:top w:val="single" w:sz="4" w:space="0" w:color="auto"/>
              <w:left w:val="nil"/>
              <w:bottom w:val="nil"/>
              <w:right w:val="nil"/>
            </w:tcBorders>
            <w:shd w:val="clear" w:color="auto" w:fill="auto"/>
            <w:vAlign w:val="center"/>
            <w:hideMark/>
          </w:tcPr>
          <w:p w14:paraId="6736690F"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2022 S</w:t>
            </w:r>
          </w:p>
        </w:tc>
        <w:tc>
          <w:tcPr>
            <w:tcW w:w="482" w:type="pct"/>
            <w:tcBorders>
              <w:top w:val="single" w:sz="4" w:space="0" w:color="auto"/>
              <w:left w:val="nil"/>
              <w:bottom w:val="nil"/>
              <w:right w:val="nil"/>
            </w:tcBorders>
            <w:shd w:val="clear" w:color="auto" w:fill="auto"/>
            <w:vAlign w:val="center"/>
            <w:hideMark/>
          </w:tcPr>
          <w:p w14:paraId="2D6952AC"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2023 S</w:t>
            </w:r>
          </w:p>
        </w:tc>
        <w:tc>
          <w:tcPr>
            <w:tcW w:w="616" w:type="pct"/>
            <w:tcBorders>
              <w:top w:val="single" w:sz="4" w:space="0" w:color="auto"/>
              <w:left w:val="nil"/>
              <w:bottom w:val="nil"/>
              <w:right w:val="nil"/>
            </w:tcBorders>
            <w:shd w:val="clear" w:color="auto" w:fill="auto"/>
            <w:vAlign w:val="center"/>
            <w:hideMark/>
          </w:tcPr>
          <w:p w14:paraId="3C954B61"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Zmena</w:t>
            </w:r>
          </w:p>
        </w:tc>
      </w:tr>
      <w:tr w:rsidR="004C6700" w:rsidRPr="005E4981" w14:paraId="26C45DC2" w14:textId="77777777" w:rsidTr="00836EB5">
        <w:trPr>
          <w:trHeight w:val="290"/>
        </w:trPr>
        <w:tc>
          <w:tcPr>
            <w:tcW w:w="2807" w:type="pct"/>
            <w:vMerge/>
            <w:tcBorders>
              <w:top w:val="single" w:sz="4" w:space="0" w:color="auto"/>
              <w:left w:val="nil"/>
              <w:bottom w:val="single" w:sz="4" w:space="0" w:color="000000"/>
              <w:right w:val="nil"/>
            </w:tcBorders>
            <w:vAlign w:val="center"/>
            <w:hideMark/>
          </w:tcPr>
          <w:p w14:paraId="41F87A33" w14:textId="77777777" w:rsidR="004C6700" w:rsidRPr="005E4981" w:rsidRDefault="004C6700" w:rsidP="00836EB5">
            <w:pPr>
              <w:spacing w:after="0" w:line="240" w:lineRule="auto"/>
              <w:jc w:val="left"/>
              <w:rPr>
                <w:rFonts w:eastAsia="Times New Roman" w:cs="Times New Roman"/>
                <w:b/>
                <w:bCs/>
                <w:sz w:val="18"/>
                <w:szCs w:val="18"/>
                <w:lang w:eastAsia="sk-SK"/>
              </w:rPr>
            </w:pPr>
          </w:p>
        </w:tc>
        <w:tc>
          <w:tcPr>
            <w:tcW w:w="575" w:type="pct"/>
            <w:tcBorders>
              <w:top w:val="nil"/>
              <w:left w:val="nil"/>
              <w:bottom w:val="single" w:sz="4" w:space="0" w:color="auto"/>
              <w:right w:val="nil"/>
            </w:tcBorders>
            <w:shd w:val="clear" w:color="auto" w:fill="auto"/>
            <w:vAlign w:val="center"/>
            <w:hideMark/>
          </w:tcPr>
          <w:p w14:paraId="7474C37A"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1</w:t>
            </w:r>
          </w:p>
        </w:tc>
        <w:tc>
          <w:tcPr>
            <w:tcW w:w="520" w:type="pct"/>
            <w:tcBorders>
              <w:top w:val="nil"/>
              <w:left w:val="nil"/>
              <w:bottom w:val="single" w:sz="4" w:space="0" w:color="auto"/>
              <w:right w:val="nil"/>
            </w:tcBorders>
            <w:shd w:val="clear" w:color="auto" w:fill="auto"/>
            <w:vAlign w:val="center"/>
            <w:hideMark/>
          </w:tcPr>
          <w:p w14:paraId="3E7C0E11"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2</w:t>
            </w:r>
          </w:p>
        </w:tc>
        <w:tc>
          <w:tcPr>
            <w:tcW w:w="482" w:type="pct"/>
            <w:tcBorders>
              <w:top w:val="nil"/>
              <w:left w:val="nil"/>
              <w:bottom w:val="single" w:sz="4" w:space="0" w:color="auto"/>
              <w:right w:val="nil"/>
            </w:tcBorders>
            <w:shd w:val="clear" w:color="auto" w:fill="auto"/>
            <w:vAlign w:val="center"/>
            <w:hideMark/>
          </w:tcPr>
          <w:p w14:paraId="383467A3"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3</w:t>
            </w:r>
          </w:p>
        </w:tc>
        <w:tc>
          <w:tcPr>
            <w:tcW w:w="616" w:type="pct"/>
            <w:tcBorders>
              <w:top w:val="nil"/>
              <w:left w:val="nil"/>
              <w:bottom w:val="single" w:sz="4" w:space="0" w:color="auto"/>
              <w:right w:val="nil"/>
            </w:tcBorders>
            <w:shd w:val="clear" w:color="auto" w:fill="auto"/>
            <w:vAlign w:val="center"/>
            <w:hideMark/>
          </w:tcPr>
          <w:p w14:paraId="4D789A4D"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4=(3-2)</w:t>
            </w:r>
          </w:p>
        </w:tc>
      </w:tr>
      <w:tr w:rsidR="004C6700" w:rsidRPr="005E4981" w14:paraId="22ECCDB7" w14:textId="77777777" w:rsidTr="00836EB5">
        <w:trPr>
          <w:trHeight w:val="290"/>
        </w:trPr>
        <w:tc>
          <w:tcPr>
            <w:tcW w:w="2807" w:type="pct"/>
            <w:tcBorders>
              <w:top w:val="nil"/>
              <w:left w:val="nil"/>
              <w:bottom w:val="nil"/>
              <w:right w:val="nil"/>
            </w:tcBorders>
            <w:shd w:val="clear" w:color="auto" w:fill="auto"/>
            <w:noWrap/>
            <w:vAlign w:val="bottom"/>
            <w:hideMark/>
          </w:tcPr>
          <w:p w14:paraId="564D9086"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Bankové úvery</w:t>
            </w:r>
          </w:p>
        </w:tc>
        <w:tc>
          <w:tcPr>
            <w:tcW w:w="575" w:type="pct"/>
            <w:tcBorders>
              <w:top w:val="nil"/>
              <w:left w:val="nil"/>
              <w:bottom w:val="nil"/>
              <w:right w:val="nil"/>
            </w:tcBorders>
            <w:shd w:val="clear" w:color="auto" w:fill="auto"/>
            <w:noWrap/>
            <w:vAlign w:val="bottom"/>
            <w:hideMark/>
          </w:tcPr>
          <w:p w14:paraId="78AE5598"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705 029</w:t>
            </w:r>
          </w:p>
        </w:tc>
        <w:tc>
          <w:tcPr>
            <w:tcW w:w="520" w:type="pct"/>
            <w:tcBorders>
              <w:top w:val="nil"/>
              <w:left w:val="nil"/>
              <w:bottom w:val="nil"/>
              <w:right w:val="nil"/>
            </w:tcBorders>
            <w:shd w:val="clear" w:color="auto" w:fill="auto"/>
            <w:noWrap/>
            <w:vAlign w:val="bottom"/>
            <w:hideMark/>
          </w:tcPr>
          <w:p w14:paraId="53169E28"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818 374</w:t>
            </w:r>
          </w:p>
        </w:tc>
        <w:tc>
          <w:tcPr>
            <w:tcW w:w="482" w:type="pct"/>
            <w:tcBorders>
              <w:top w:val="nil"/>
              <w:left w:val="nil"/>
              <w:bottom w:val="nil"/>
              <w:right w:val="nil"/>
            </w:tcBorders>
            <w:shd w:val="clear" w:color="auto" w:fill="auto"/>
            <w:noWrap/>
            <w:vAlign w:val="bottom"/>
            <w:hideMark/>
          </w:tcPr>
          <w:p w14:paraId="25BE3AC7"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969 053</w:t>
            </w:r>
          </w:p>
        </w:tc>
        <w:tc>
          <w:tcPr>
            <w:tcW w:w="616" w:type="pct"/>
            <w:tcBorders>
              <w:top w:val="nil"/>
              <w:left w:val="nil"/>
              <w:bottom w:val="nil"/>
              <w:right w:val="nil"/>
            </w:tcBorders>
            <w:shd w:val="clear" w:color="auto" w:fill="auto"/>
            <w:noWrap/>
            <w:vAlign w:val="bottom"/>
            <w:hideMark/>
          </w:tcPr>
          <w:p w14:paraId="0DE19A65"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150 679</w:t>
            </w:r>
          </w:p>
        </w:tc>
      </w:tr>
      <w:tr w:rsidR="004C6700" w:rsidRPr="005E4981" w14:paraId="513E1FE5" w14:textId="77777777" w:rsidTr="00836EB5">
        <w:trPr>
          <w:trHeight w:val="290"/>
        </w:trPr>
        <w:tc>
          <w:tcPr>
            <w:tcW w:w="2807" w:type="pct"/>
            <w:tcBorders>
              <w:top w:val="nil"/>
              <w:left w:val="nil"/>
              <w:bottom w:val="nil"/>
              <w:right w:val="nil"/>
            </w:tcBorders>
            <w:shd w:val="clear" w:color="auto" w:fill="auto"/>
            <w:noWrap/>
            <w:vAlign w:val="bottom"/>
            <w:hideMark/>
          </w:tcPr>
          <w:p w14:paraId="719CA1B8"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Pôžičky zo ŠFRB (konsoliduje sa)</w:t>
            </w:r>
          </w:p>
        </w:tc>
        <w:tc>
          <w:tcPr>
            <w:tcW w:w="575" w:type="pct"/>
            <w:tcBorders>
              <w:top w:val="nil"/>
              <w:left w:val="nil"/>
              <w:bottom w:val="nil"/>
              <w:right w:val="nil"/>
            </w:tcBorders>
            <w:shd w:val="clear" w:color="auto" w:fill="auto"/>
            <w:noWrap/>
            <w:vAlign w:val="bottom"/>
            <w:hideMark/>
          </w:tcPr>
          <w:p w14:paraId="20F5118C"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728 474</w:t>
            </w:r>
          </w:p>
        </w:tc>
        <w:tc>
          <w:tcPr>
            <w:tcW w:w="520" w:type="pct"/>
            <w:tcBorders>
              <w:top w:val="nil"/>
              <w:left w:val="nil"/>
              <w:bottom w:val="nil"/>
              <w:right w:val="nil"/>
            </w:tcBorders>
            <w:shd w:val="clear" w:color="auto" w:fill="auto"/>
            <w:noWrap/>
            <w:vAlign w:val="bottom"/>
            <w:hideMark/>
          </w:tcPr>
          <w:p w14:paraId="74AEEB84"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721 398</w:t>
            </w:r>
          </w:p>
        </w:tc>
        <w:tc>
          <w:tcPr>
            <w:tcW w:w="482" w:type="pct"/>
            <w:tcBorders>
              <w:top w:val="nil"/>
              <w:left w:val="nil"/>
              <w:bottom w:val="nil"/>
              <w:right w:val="nil"/>
            </w:tcBorders>
            <w:shd w:val="clear" w:color="auto" w:fill="auto"/>
            <w:noWrap/>
            <w:vAlign w:val="bottom"/>
            <w:hideMark/>
          </w:tcPr>
          <w:p w14:paraId="758E27FA"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737 891</w:t>
            </w:r>
          </w:p>
        </w:tc>
        <w:tc>
          <w:tcPr>
            <w:tcW w:w="616" w:type="pct"/>
            <w:tcBorders>
              <w:top w:val="nil"/>
              <w:left w:val="nil"/>
              <w:bottom w:val="nil"/>
              <w:right w:val="nil"/>
            </w:tcBorders>
            <w:shd w:val="clear" w:color="auto" w:fill="auto"/>
            <w:noWrap/>
            <w:vAlign w:val="bottom"/>
            <w:hideMark/>
          </w:tcPr>
          <w:p w14:paraId="69A099EE"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16 493</w:t>
            </w:r>
          </w:p>
        </w:tc>
      </w:tr>
      <w:tr w:rsidR="004C6700" w:rsidRPr="005E4981" w14:paraId="5F951E5B" w14:textId="77777777" w:rsidTr="00836EB5">
        <w:trPr>
          <w:trHeight w:val="290"/>
        </w:trPr>
        <w:tc>
          <w:tcPr>
            <w:tcW w:w="2807" w:type="pct"/>
            <w:tcBorders>
              <w:top w:val="nil"/>
              <w:left w:val="nil"/>
              <w:bottom w:val="nil"/>
              <w:right w:val="nil"/>
            </w:tcBorders>
            <w:shd w:val="clear" w:color="auto" w:fill="auto"/>
            <w:noWrap/>
            <w:vAlign w:val="bottom"/>
            <w:hideMark/>
          </w:tcPr>
          <w:p w14:paraId="575A6543"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Finančné výpomoci</w:t>
            </w:r>
          </w:p>
        </w:tc>
        <w:tc>
          <w:tcPr>
            <w:tcW w:w="575" w:type="pct"/>
            <w:tcBorders>
              <w:top w:val="nil"/>
              <w:left w:val="nil"/>
              <w:bottom w:val="nil"/>
              <w:right w:val="nil"/>
            </w:tcBorders>
            <w:shd w:val="clear" w:color="auto" w:fill="auto"/>
            <w:noWrap/>
            <w:vAlign w:val="bottom"/>
            <w:hideMark/>
          </w:tcPr>
          <w:p w14:paraId="41EBA9B6"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137 438</w:t>
            </w:r>
          </w:p>
        </w:tc>
        <w:tc>
          <w:tcPr>
            <w:tcW w:w="520" w:type="pct"/>
            <w:tcBorders>
              <w:top w:val="nil"/>
              <w:left w:val="nil"/>
              <w:bottom w:val="nil"/>
              <w:right w:val="nil"/>
            </w:tcBorders>
            <w:shd w:val="clear" w:color="auto" w:fill="auto"/>
            <w:noWrap/>
            <w:vAlign w:val="bottom"/>
            <w:hideMark/>
          </w:tcPr>
          <w:p w14:paraId="08DA73F4"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136 501</w:t>
            </w:r>
          </w:p>
        </w:tc>
        <w:tc>
          <w:tcPr>
            <w:tcW w:w="482" w:type="pct"/>
            <w:tcBorders>
              <w:top w:val="nil"/>
              <w:left w:val="nil"/>
              <w:bottom w:val="nil"/>
              <w:right w:val="nil"/>
            </w:tcBorders>
            <w:shd w:val="clear" w:color="auto" w:fill="auto"/>
            <w:noWrap/>
            <w:vAlign w:val="bottom"/>
            <w:hideMark/>
          </w:tcPr>
          <w:p w14:paraId="3F9EFA08"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32 620</w:t>
            </w:r>
          </w:p>
        </w:tc>
        <w:tc>
          <w:tcPr>
            <w:tcW w:w="616" w:type="pct"/>
            <w:tcBorders>
              <w:top w:val="nil"/>
              <w:left w:val="nil"/>
              <w:bottom w:val="nil"/>
              <w:right w:val="nil"/>
            </w:tcBorders>
            <w:shd w:val="clear" w:color="auto" w:fill="auto"/>
            <w:noWrap/>
            <w:vAlign w:val="bottom"/>
            <w:hideMark/>
          </w:tcPr>
          <w:p w14:paraId="50EAED0E"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-103 881</w:t>
            </w:r>
          </w:p>
        </w:tc>
      </w:tr>
      <w:tr w:rsidR="004C6700" w:rsidRPr="005E4981" w14:paraId="726FB896" w14:textId="77777777" w:rsidTr="00836EB5">
        <w:trPr>
          <w:trHeight w:val="290"/>
        </w:trPr>
        <w:tc>
          <w:tcPr>
            <w:tcW w:w="2807" w:type="pct"/>
            <w:tcBorders>
              <w:top w:val="nil"/>
              <w:left w:val="nil"/>
              <w:bottom w:val="nil"/>
              <w:right w:val="nil"/>
            </w:tcBorders>
            <w:shd w:val="clear" w:color="auto" w:fill="auto"/>
            <w:noWrap/>
            <w:vAlign w:val="bottom"/>
            <w:hideMark/>
          </w:tcPr>
          <w:p w14:paraId="76BA74F4" w14:textId="77777777" w:rsidR="004C6700" w:rsidRPr="005E4981" w:rsidRDefault="004C6700" w:rsidP="00836EB5">
            <w:pPr>
              <w:spacing w:after="0" w:line="240" w:lineRule="auto"/>
              <w:ind w:firstLineChars="200" w:firstLine="360"/>
              <w:jc w:val="left"/>
              <w:rPr>
                <w:rFonts w:eastAsia="Times New Roman" w:cs="Times New Roman"/>
                <w:sz w:val="18"/>
                <w:szCs w:val="18"/>
                <w:lang w:eastAsia="sk-SK"/>
              </w:rPr>
            </w:pPr>
            <w:r w:rsidRPr="005E4981">
              <w:rPr>
                <w:rFonts w:eastAsia="Times New Roman" w:cs="Times New Roman"/>
                <w:sz w:val="18"/>
                <w:szCs w:val="18"/>
                <w:lang w:eastAsia="sk-SK"/>
              </w:rPr>
              <w:t>z toho: NFV z VPS a ŠD (konsoliduje sa)</w:t>
            </w:r>
          </w:p>
        </w:tc>
        <w:tc>
          <w:tcPr>
            <w:tcW w:w="575" w:type="pct"/>
            <w:tcBorders>
              <w:top w:val="nil"/>
              <w:left w:val="nil"/>
              <w:bottom w:val="nil"/>
              <w:right w:val="nil"/>
            </w:tcBorders>
            <w:shd w:val="clear" w:color="auto" w:fill="auto"/>
            <w:noWrap/>
            <w:vAlign w:val="bottom"/>
            <w:hideMark/>
          </w:tcPr>
          <w:p w14:paraId="6A25A40F"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136 601</w:t>
            </w:r>
          </w:p>
        </w:tc>
        <w:tc>
          <w:tcPr>
            <w:tcW w:w="520" w:type="pct"/>
            <w:tcBorders>
              <w:top w:val="nil"/>
              <w:left w:val="nil"/>
              <w:bottom w:val="nil"/>
              <w:right w:val="nil"/>
            </w:tcBorders>
            <w:shd w:val="clear" w:color="auto" w:fill="auto"/>
            <w:noWrap/>
            <w:vAlign w:val="bottom"/>
            <w:hideMark/>
          </w:tcPr>
          <w:p w14:paraId="4113B12F"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136 201</w:t>
            </w:r>
          </w:p>
        </w:tc>
        <w:tc>
          <w:tcPr>
            <w:tcW w:w="482" w:type="pct"/>
            <w:tcBorders>
              <w:top w:val="nil"/>
              <w:left w:val="nil"/>
              <w:bottom w:val="nil"/>
              <w:right w:val="nil"/>
            </w:tcBorders>
            <w:shd w:val="clear" w:color="auto" w:fill="auto"/>
            <w:noWrap/>
            <w:vAlign w:val="bottom"/>
            <w:hideMark/>
          </w:tcPr>
          <w:p w14:paraId="2B813AD5"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31 653</w:t>
            </w:r>
          </w:p>
        </w:tc>
        <w:tc>
          <w:tcPr>
            <w:tcW w:w="616" w:type="pct"/>
            <w:tcBorders>
              <w:top w:val="nil"/>
              <w:left w:val="nil"/>
              <w:bottom w:val="nil"/>
              <w:right w:val="nil"/>
            </w:tcBorders>
            <w:shd w:val="clear" w:color="auto" w:fill="auto"/>
            <w:noWrap/>
            <w:vAlign w:val="bottom"/>
            <w:hideMark/>
          </w:tcPr>
          <w:p w14:paraId="17BAC04B"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-104 548</w:t>
            </w:r>
          </w:p>
        </w:tc>
      </w:tr>
      <w:tr w:rsidR="004C6700" w:rsidRPr="005E4981" w14:paraId="569258FA" w14:textId="77777777" w:rsidTr="00836EB5">
        <w:trPr>
          <w:trHeight w:val="290"/>
        </w:trPr>
        <w:tc>
          <w:tcPr>
            <w:tcW w:w="2807" w:type="pct"/>
            <w:tcBorders>
              <w:top w:val="nil"/>
              <w:left w:val="nil"/>
              <w:bottom w:val="nil"/>
              <w:right w:val="nil"/>
            </w:tcBorders>
            <w:shd w:val="clear" w:color="auto" w:fill="auto"/>
            <w:noWrap/>
            <w:vAlign w:val="bottom"/>
            <w:hideMark/>
          </w:tcPr>
          <w:p w14:paraId="43094D4D" w14:textId="77777777" w:rsidR="004C6700" w:rsidRPr="005E4981" w:rsidRDefault="004C6700" w:rsidP="00836EB5">
            <w:pPr>
              <w:spacing w:after="0" w:line="240" w:lineRule="auto"/>
              <w:ind w:firstLineChars="600" w:firstLine="1080"/>
              <w:jc w:val="left"/>
              <w:rPr>
                <w:rFonts w:eastAsia="Times New Roman" w:cs="Times New Roman"/>
                <w:sz w:val="18"/>
                <w:szCs w:val="18"/>
                <w:lang w:eastAsia="sk-SK"/>
              </w:rPr>
            </w:pPr>
            <w:r w:rsidRPr="005E4981">
              <w:rPr>
                <w:rFonts w:eastAsia="Times New Roman" w:cs="Times New Roman"/>
                <w:sz w:val="18"/>
                <w:szCs w:val="18"/>
                <w:lang w:eastAsia="sk-SK"/>
              </w:rPr>
              <w:t xml:space="preserve">od </w:t>
            </w:r>
            <w:proofErr w:type="spellStart"/>
            <w:r w:rsidRPr="005E4981">
              <w:rPr>
                <w:rFonts w:eastAsia="Times New Roman" w:cs="Times New Roman"/>
                <w:sz w:val="18"/>
                <w:szCs w:val="18"/>
                <w:lang w:eastAsia="sk-SK"/>
              </w:rPr>
              <w:t>ostat</w:t>
            </w:r>
            <w:proofErr w:type="spellEnd"/>
            <w:r w:rsidRPr="005E4981">
              <w:rPr>
                <w:rFonts w:eastAsia="Times New Roman" w:cs="Times New Roman"/>
                <w:sz w:val="18"/>
                <w:szCs w:val="18"/>
                <w:lang w:eastAsia="sk-SK"/>
              </w:rPr>
              <w:t xml:space="preserve">. </w:t>
            </w:r>
            <w:proofErr w:type="spellStart"/>
            <w:r w:rsidRPr="005E4981">
              <w:rPr>
                <w:rFonts w:eastAsia="Times New Roman" w:cs="Times New Roman"/>
                <w:sz w:val="18"/>
                <w:szCs w:val="18"/>
                <w:lang w:eastAsia="sk-SK"/>
              </w:rPr>
              <w:t>subj</w:t>
            </w:r>
            <w:proofErr w:type="spellEnd"/>
            <w:r w:rsidRPr="005E4981">
              <w:rPr>
                <w:rFonts w:eastAsia="Times New Roman" w:cs="Times New Roman"/>
                <w:sz w:val="18"/>
                <w:szCs w:val="18"/>
                <w:lang w:eastAsia="sk-SK"/>
              </w:rPr>
              <w:t>. verejnej správy (konsoliduje sa)</w:t>
            </w:r>
          </w:p>
        </w:tc>
        <w:tc>
          <w:tcPr>
            <w:tcW w:w="575" w:type="pct"/>
            <w:tcBorders>
              <w:top w:val="nil"/>
              <w:left w:val="nil"/>
              <w:bottom w:val="nil"/>
              <w:right w:val="nil"/>
            </w:tcBorders>
            <w:shd w:val="clear" w:color="auto" w:fill="auto"/>
            <w:noWrap/>
            <w:vAlign w:val="bottom"/>
            <w:hideMark/>
          </w:tcPr>
          <w:p w14:paraId="56E751B9"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837</w:t>
            </w:r>
          </w:p>
        </w:tc>
        <w:tc>
          <w:tcPr>
            <w:tcW w:w="520" w:type="pct"/>
            <w:tcBorders>
              <w:top w:val="nil"/>
              <w:left w:val="nil"/>
              <w:bottom w:val="nil"/>
              <w:right w:val="nil"/>
            </w:tcBorders>
            <w:shd w:val="clear" w:color="auto" w:fill="auto"/>
            <w:noWrap/>
            <w:vAlign w:val="bottom"/>
            <w:hideMark/>
          </w:tcPr>
          <w:p w14:paraId="0336FC61"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300</w:t>
            </w:r>
          </w:p>
        </w:tc>
        <w:tc>
          <w:tcPr>
            <w:tcW w:w="482" w:type="pct"/>
            <w:tcBorders>
              <w:top w:val="nil"/>
              <w:left w:val="nil"/>
              <w:bottom w:val="nil"/>
              <w:right w:val="nil"/>
            </w:tcBorders>
            <w:shd w:val="clear" w:color="auto" w:fill="auto"/>
            <w:noWrap/>
            <w:vAlign w:val="bottom"/>
            <w:hideMark/>
          </w:tcPr>
          <w:p w14:paraId="6F7CC45E"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967</w:t>
            </w:r>
          </w:p>
        </w:tc>
        <w:tc>
          <w:tcPr>
            <w:tcW w:w="616" w:type="pct"/>
            <w:tcBorders>
              <w:top w:val="nil"/>
              <w:left w:val="nil"/>
              <w:bottom w:val="nil"/>
              <w:right w:val="nil"/>
            </w:tcBorders>
            <w:shd w:val="clear" w:color="auto" w:fill="auto"/>
            <w:noWrap/>
            <w:vAlign w:val="bottom"/>
            <w:hideMark/>
          </w:tcPr>
          <w:p w14:paraId="20862DA8"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667</w:t>
            </w:r>
          </w:p>
        </w:tc>
      </w:tr>
      <w:tr w:rsidR="004C6700" w:rsidRPr="005E4981" w14:paraId="556986D0" w14:textId="77777777" w:rsidTr="00836EB5">
        <w:trPr>
          <w:trHeight w:val="290"/>
        </w:trPr>
        <w:tc>
          <w:tcPr>
            <w:tcW w:w="2807" w:type="pct"/>
            <w:tcBorders>
              <w:top w:val="nil"/>
              <w:left w:val="nil"/>
              <w:bottom w:val="nil"/>
              <w:right w:val="nil"/>
            </w:tcBorders>
            <w:shd w:val="clear" w:color="auto" w:fill="auto"/>
            <w:noWrap/>
            <w:vAlign w:val="bottom"/>
            <w:hideMark/>
          </w:tcPr>
          <w:p w14:paraId="476C4B95"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Zábezpeky</w:t>
            </w:r>
          </w:p>
        </w:tc>
        <w:tc>
          <w:tcPr>
            <w:tcW w:w="575" w:type="pct"/>
            <w:tcBorders>
              <w:top w:val="nil"/>
              <w:left w:val="nil"/>
              <w:bottom w:val="nil"/>
              <w:right w:val="nil"/>
            </w:tcBorders>
            <w:shd w:val="clear" w:color="auto" w:fill="auto"/>
            <w:noWrap/>
            <w:vAlign w:val="bottom"/>
            <w:hideMark/>
          </w:tcPr>
          <w:p w14:paraId="209C6806"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25 409</w:t>
            </w:r>
          </w:p>
        </w:tc>
        <w:tc>
          <w:tcPr>
            <w:tcW w:w="520" w:type="pct"/>
            <w:tcBorders>
              <w:top w:val="nil"/>
              <w:left w:val="nil"/>
              <w:bottom w:val="nil"/>
              <w:right w:val="nil"/>
            </w:tcBorders>
            <w:shd w:val="clear" w:color="auto" w:fill="auto"/>
            <w:noWrap/>
            <w:vAlign w:val="bottom"/>
            <w:hideMark/>
          </w:tcPr>
          <w:p w14:paraId="2B4F804D"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26 759</w:t>
            </w:r>
          </w:p>
        </w:tc>
        <w:tc>
          <w:tcPr>
            <w:tcW w:w="482" w:type="pct"/>
            <w:tcBorders>
              <w:top w:val="nil"/>
              <w:left w:val="nil"/>
              <w:bottom w:val="nil"/>
              <w:right w:val="nil"/>
            </w:tcBorders>
            <w:shd w:val="clear" w:color="auto" w:fill="auto"/>
            <w:noWrap/>
            <w:vAlign w:val="bottom"/>
            <w:hideMark/>
          </w:tcPr>
          <w:p w14:paraId="23F9E6D0"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29 571</w:t>
            </w:r>
          </w:p>
        </w:tc>
        <w:tc>
          <w:tcPr>
            <w:tcW w:w="616" w:type="pct"/>
            <w:tcBorders>
              <w:top w:val="nil"/>
              <w:left w:val="nil"/>
              <w:bottom w:val="nil"/>
              <w:right w:val="nil"/>
            </w:tcBorders>
            <w:shd w:val="clear" w:color="auto" w:fill="auto"/>
            <w:noWrap/>
            <w:vAlign w:val="bottom"/>
            <w:hideMark/>
          </w:tcPr>
          <w:p w14:paraId="45186F10"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2 812</w:t>
            </w:r>
          </w:p>
        </w:tc>
      </w:tr>
      <w:tr w:rsidR="004C6700" w:rsidRPr="005E4981" w14:paraId="74CB45EE" w14:textId="77777777" w:rsidTr="00836EB5">
        <w:trPr>
          <w:trHeight w:val="290"/>
        </w:trPr>
        <w:tc>
          <w:tcPr>
            <w:tcW w:w="2807" w:type="pct"/>
            <w:tcBorders>
              <w:top w:val="nil"/>
              <w:left w:val="nil"/>
              <w:bottom w:val="nil"/>
              <w:right w:val="nil"/>
            </w:tcBorders>
            <w:shd w:val="clear" w:color="auto" w:fill="auto"/>
            <w:noWrap/>
            <w:vAlign w:val="bottom"/>
            <w:hideMark/>
          </w:tcPr>
          <w:p w14:paraId="4C65B6C6"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Dlhodobé záväzky z obchodného styku a prijaté preddavky</w:t>
            </w:r>
          </w:p>
        </w:tc>
        <w:tc>
          <w:tcPr>
            <w:tcW w:w="575" w:type="pct"/>
            <w:tcBorders>
              <w:top w:val="nil"/>
              <w:left w:val="nil"/>
              <w:bottom w:val="nil"/>
              <w:right w:val="nil"/>
            </w:tcBorders>
            <w:shd w:val="clear" w:color="auto" w:fill="auto"/>
            <w:noWrap/>
            <w:vAlign w:val="bottom"/>
            <w:hideMark/>
          </w:tcPr>
          <w:p w14:paraId="7521A244"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19 523</w:t>
            </w:r>
          </w:p>
        </w:tc>
        <w:tc>
          <w:tcPr>
            <w:tcW w:w="520" w:type="pct"/>
            <w:tcBorders>
              <w:top w:val="nil"/>
              <w:left w:val="nil"/>
              <w:bottom w:val="nil"/>
              <w:right w:val="nil"/>
            </w:tcBorders>
            <w:shd w:val="clear" w:color="auto" w:fill="auto"/>
            <w:noWrap/>
            <w:vAlign w:val="bottom"/>
            <w:hideMark/>
          </w:tcPr>
          <w:p w14:paraId="265B10D4"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22 063</w:t>
            </w:r>
          </w:p>
        </w:tc>
        <w:tc>
          <w:tcPr>
            <w:tcW w:w="482" w:type="pct"/>
            <w:tcBorders>
              <w:top w:val="nil"/>
              <w:left w:val="nil"/>
              <w:bottom w:val="nil"/>
              <w:right w:val="nil"/>
            </w:tcBorders>
            <w:shd w:val="clear" w:color="auto" w:fill="auto"/>
            <w:noWrap/>
            <w:vAlign w:val="bottom"/>
            <w:hideMark/>
          </w:tcPr>
          <w:p w14:paraId="0EA14DE4"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24 325</w:t>
            </w:r>
          </w:p>
        </w:tc>
        <w:tc>
          <w:tcPr>
            <w:tcW w:w="616" w:type="pct"/>
            <w:tcBorders>
              <w:top w:val="nil"/>
              <w:left w:val="nil"/>
              <w:bottom w:val="nil"/>
              <w:right w:val="nil"/>
            </w:tcBorders>
            <w:shd w:val="clear" w:color="auto" w:fill="auto"/>
            <w:noWrap/>
            <w:vAlign w:val="bottom"/>
            <w:hideMark/>
          </w:tcPr>
          <w:p w14:paraId="5D35D222"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2 262</w:t>
            </w:r>
          </w:p>
        </w:tc>
      </w:tr>
      <w:tr w:rsidR="004C6700" w:rsidRPr="005E4981" w14:paraId="632200C3" w14:textId="77777777" w:rsidTr="00836EB5">
        <w:trPr>
          <w:trHeight w:val="290"/>
        </w:trPr>
        <w:tc>
          <w:tcPr>
            <w:tcW w:w="2807" w:type="pct"/>
            <w:tcBorders>
              <w:top w:val="nil"/>
              <w:left w:val="nil"/>
              <w:bottom w:val="nil"/>
              <w:right w:val="nil"/>
            </w:tcBorders>
            <w:shd w:val="clear" w:color="auto" w:fill="auto"/>
            <w:noWrap/>
            <w:vAlign w:val="bottom"/>
            <w:hideMark/>
          </w:tcPr>
          <w:p w14:paraId="3546A4A9"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Pôžičky z ENVF (konsoliduje sa)</w:t>
            </w:r>
          </w:p>
        </w:tc>
        <w:tc>
          <w:tcPr>
            <w:tcW w:w="575" w:type="pct"/>
            <w:tcBorders>
              <w:top w:val="nil"/>
              <w:left w:val="nil"/>
              <w:bottom w:val="nil"/>
              <w:right w:val="nil"/>
            </w:tcBorders>
            <w:shd w:val="clear" w:color="auto" w:fill="auto"/>
            <w:noWrap/>
            <w:vAlign w:val="bottom"/>
            <w:hideMark/>
          </w:tcPr>
          <w:p w14:paraId="7227C221"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793</w:t>
            </w:r>
          </w:p>
        </w:tc>
        <w:tc>
          <w:tcPr>
            <w:tcW w:w="520" w:type="pct"/>
            <w:tcBorders>
              <w:top w:val="nil"/>
              <w:left w:val="nil"/>
              <w:bottom w:val="nil"/>
              <w:right w:val="nil"/>
            </w:tcBorders>
            <w:shd w:val="clear" w:color="auto" w:fill="auto"/>
            <w:noWrap/>
            <w:vAlign w:val="bottom"/>
            <w:hideMark/>
          </w:tcPr>
          <w:p w14:paraId="7A4F6AEA"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975</w:t>
            </w:r>
          </w:p>
        </w:tc>
        <w:tc>
          <w:tcPr>
            <w:tcW w:w="482" w:type="pct"/>
            <w:tcBorders>
              <w:top w:val="nil"/>
              <w:left w:val="nil"/>
              <w:bottom w:val="nil"/>
              <w:right w:val="nil"/>
            </w:tcBorders>
            <w:shd w:val="clear" w:color="auto" w:fill="auto"/>
            <w:noWrap/>
            <w:vAlign w:val="bottom"/>
            <w:hideMark/>
          </w:tcPr>
          <w:p w14:paraId="53C587D2"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16 825</w:t>
            </w:r>
          </w:p>
        </w:tc>
        <w:tc>
          <w:tcPr>
            <w:tcW w:w="616" w:type="pct"/>
            <w:tcBorders>
              <w:top w:val="nil"/>
              <w:left w:val="nil"/>
              <w:bottom w:val="nil"/>
              <w:right w:val="nil"/>
            </w:tcBorders>
            <w:shd w:val="clear" w:color="auto" w:fill="auto"/>
            <w:noWrap/>
            <w:vAlign w:val="bottom"/>
            <w:hideMark/>
          </w:tcPr>
          <w:p w14:paraId="5BF86405"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15 850</w:t>
            </w:r>
          </w:p>
        </w:tc>
      </w:tr>
      <w:tr w:rsidR="004C6700" w:rsidRPr="005E4981" w14:paraId="5D2F2509" w14:textId="77777777" w:rsidTr="00836EB5">
        <w:trPr>
          <w:trHeight w:val="290"/>
        </w:trPr>
        <w:tc>
          <w:tcPr>
            <w:tcW w:w="2807" w:type="pct"/>
            <w:tcBorders>
              <w:top w:val="nil"/>
              <w:left w:val="nil"/>
              <w:bottom w:val="nil"/>
              <w:right w:val="nil"/>
            </w:tcBorders>
            <w:shd w:val="clear" w:color="auto" w:fill="auto"/>
            <w:noWrap/>
            <w:vAlign w:val="bottom"/>
            <w:hideMark/>
          </w:tcPr>
          <w:p w14:paraId="2A8416BA"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Záväzky po zmene veriteľa</w:t>
            </w:r>
          </w:p>
        </w:tc>
        <w:tc>
          <w:tcPr>
            <w:tcW w:w="575" w:type="pct"/>
            <w:tcBorders>
              <w:top w:val="nil"/>
              <w:left w:val="nil"/>
              <w:bottom w:val="nil"/>
              <w:right w:val="nil"/>
            </w:tcBorders>
            <w:shd w:val="clear" w:color="auto" w:fill="auto"/>
            <w:noWrap/>
            <w:vAlign w:val="bottom"/>
            <w:hideMark/>
          </w:tcPr>
          <w:p w14:paraId="2868A7E7" w14:textId="77777777" w:rsidR="004C6700" w:rsidRPr="005E4981" w:rsidRDefault="004C6700" w:rsidP="00836EB5">
            <w:pPr>
              <w:spacing w:after="0" w:line="240" w:lineRule="auto"/>
              <w:jc w:val="left"/>
              <w:rPr>
                <w:rFonts w:eastAsia="Times New Roman" w:cs="Times New Roman"/>
                <w:sz w:val="18"/>
                <w:szCs w:val="18"/>
                <w:lang w:eastAsia="sk-SK"/>
              </w:rPr>
            </w:pPr>
          </w:p>
        </w:tc>
        <w:tc>
          <w:tcPr>
            <w:tcW w:w="520" w:type="pct"/>
            <w:tcBorders>
              <w:top w:val="nil"/>
              <w:left w:val="nil"/>
              <w:bottom w:val="nil"/>
              <w:right w:val="nil"/>
            </w:tcBorders>
            <w:shd w:val="clear" w:color="auto" w:fill="auto"/>
            <w:noWrap/>
            <w:vAlign w:val="bottom"/>
            <w:hideMark/>
          </w:tcPr>
          <w:p w14:paraId="51FE0396"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7 098</w:t>
            </w:r>
          </w:p>
        </w:tc>
        <w:tc>
          <w:tcPr>
            <w:tcW w:w="482" w:type="pct"/>
            <w:tcBorders>
              <w:top w:val="nil"/>
              <w:left w:val="nil"/>
              <w:bottom w:val="nil"/>
              <w:right w:val="nil"/>
            </w:tcBorders>
            <w:shd w:val="clear" w:color="auto" w:fill="auto"/>
            <w:noWrap/>
            <w:vAlign w:val="bottom"/>
            <w:hideMark/>
          </w:tcPr>
          <w:p w14:paraId="18DC73F3"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8 627</w:t>
            </w:r>
          </w:p>
        </w:tc>
        <w:tc>
          <w:tcPr>
            <w:tcW w:w="616" w:type="pct"/>
            <w:tcBorders>
              <w:top w:val="nil"/>
              <w:left w:val="nil"/>
              <w:bottom w:val="nil"/>
              <w:right w:val="nil"/>
            </w:tcBorders>
            <w:shd w:val="clear" w:color="auto" w:fill="auto"/>
            <w:noWrap/>
            <w:vAlign w:val="bottom"/>
            <w:hideMark/>
          </w:tcPr>
          <w:p w14:paraId="5C58FEAD"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1 529</w:t>
            </w:r>
          </w:p>
        </w:tc>
      </w:tr>
      <w:tr w:rsidR="004C6700" w:rsidRPr="005E4981" w14:paraId="1F1AD81D" w14:textId="77777777" w:rsidTr="00836EB5">
        <w:trPr>
          <w:trHeight w:val="290"/>
        </w:trPr>
        <w:tc>
          <w:tcPr>
            <w:tcW w:w="2807" w:type="pct"/>
            <w:tcBorders>
              <w:top w:val="nil"/>
              <w:left w:val="nil"/>
              <w:bottom w:val="nil"/>
              <w:right w:val="nil"/>
            </w:tcBorders>
            <w:shd w:val="clear" w:color="auto" w:fill="auto"/>
            <w:noWrap/>
            <w:vAlign w:val="bottom"/>
            <w:hideMark/>
          </w:tcPr>
          <w:p w14:paraId="74ACC393"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Ostatné nebankové pôžičky</w:t>
            </w:r>
          </w:p>
        </w:tc>
        <w:tc>
          <w:tcPr>
            <w:tcW w:w="575" w:type="pct"/>
            <w:tcBorders>
              <w:top w:val="nil"/>
              <w:left w:val="nil"/>
              <w:bottom w:val="nil"/>
              <w:right w:val="nil"/>
            </w:tcBorders>
            <w:shd w:val="clear" w:color="auto" w:fill="auto"/>
            <w:noWrap/>
            <w:vAlign w:val="bottom"/>
            <w:hideMark/>
          </w:tcPr>
          <w:p w14:paraId="22D7E187"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13 342</w:t>
            </w:r>
          </w:p>
        </w:tc>
        <w:tc>
          <w:tcPr>
            <w:tcW w:w="520" w:type="pct"/>
            <w:tcBorders>
              <w:top w:val="nil"/>
              <w:left w:val="nil"/>
              <w:bottom w:val="nil"/>
              <w:right w:val="nil"/>
            </w:tcBorders>
            <w:shd w:val="clear" w:color="auto" w:fill="auto"/>
            <w:noWrap/>
            <w:vAlign w:val="bottom"/>
            <w:hideMark/>
          </w:tcPr>
          <w:p w14:paraId="4EF3CD16"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5 815</w:t>
            </w:r>
          </w:p>
        </w:tc>
        <w:tc>
          <w:tcPr>
            <w:tcW w:w="482" w:type="pct"/>
            <w:tcBorders>
              <w:top w:val="nil"/>
              <w:left w:val="nil"/>
              <w:bottom w:val="nil"/>
              <w:right w:val="nil"/>
            </w:tcBorders>
            <w:shd w:val="clear" w:color="auto" w:fill="auto"/>
            <w:noWrap/>
            <w:vAlign w:val="bottom"/>
            <w:hideMark/>
          </w:tcPr>
          <w:p w14:paraId="7A0FA50C"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4 414</w:t>
            </w:r>
          </w:p>
        </w:tc>
        <w:tc>
          <w:tcPr>
            <w:tcW w:w="616" w:type="pct"/>
            <w:tcBorders>
              <w:top w:val="nil"/>
              <w:left w:val="nil"/>
              <w:bottom w:val="nil"/>
              <w:right w:val="nil"/>
            </w:tcBorders>
            <w:shd w:val="clear" w:color="auto" w:fill="auto"/>
            <w:noWrap/>
            <w:vAlign w:val="bottom"/>
            <w:hideMark/>
          </w:tcPr>
          <w:p w14:paraId="453BB851"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-1 401</w:t>
            </w:r>
          </w:p>
        </w:tc>
      </w:tr>
      <w:tr w:rsidR="004C6700" w:rsidRPr="005E4981" w14:paraId="4421A1C1" w14:textId="77777777" w:rsidTr="00836EB5">
        <w:trPr>
          <w:trHeight w:val="290"/>
        </w:trPr>
        <w:tc>
          <w:tcPr>
            <w:tcW w:w="2807" w:type="pct"/>
            <w:tcBorders>
              <w:top w:val="nil"/>
              <w:left w:val="nil"/>
              <w:bottom w:val="nil"/>
              <w:right w:val="nil"/>
            </w:tcBorders>
            <w:shd w:val="clear" w:color="auto" w:fill="auto"/>
            <w:noWrap/>
            <w:vAlign w:val="bottom"/>
            <w:hideMark/>
          </w:tcPr>
          <w:p w14:paraId="63E19E75"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Finančný prenájom</w:t>
            </w:r>
          </w:p>
        </w:tc>
        <w:tc>
          <w:tcPr>
            <w:tcW w:w="575" w:type="pct"/>
            <w:tcBorders>
              <w:top w:val="nil"/>
              <w:left w:val="nil"/>
              <w:bottom w:val="nil"/>
              <w:right w:val="nil"/>
            </w:tcBorders>
            <w:shd w:val="clear" w:color="auto" w:fill="auto"/>
            <w:noWrap/>
            <w:vAlign w:val="bottom"/>
            <w:hideMark/>
          </w:tcPr>
          <w:p w14:paraId="6188EB1C"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5 174</w:t>
            </w:r>
          </w:p>
        </w:tc>
        <w:tc>
          <w:tcPr>
            <w:tcW w:w="520" w:type="pct"/>
            <w:tcBorders>
              <w:top w:val="nil"/>
              <w:left w:val="nil"/>
              <w:bottom w:val="nil"/>
              <w:right w:val="nil"/>
            </w:tcBorders>
            <w:shd w:val="clear" w:color="auto" w:fill="auto"/>
            <w:noWrap/>
            <w:vAlign w:val="bottom"/>
            <w:hideMark/>
          </w:tcPr>
          <w:p w14:paraId="5CB06DA2"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4 356</w:t>
            </w:r>
          </w:p>
        </w:tc>
        <w:tc>
          <w:tcPr>
            <w:tcW w:w="482" w:type="pct"/>
            <w:tcBorders>
              <w:top w:val="nil"/>
              <w:left w:val="nil"/>
              <w:bottom w:val="nil"/>
              <w:right w:val="nil"/>
            </w:tcBorders>
            <w:shd w:val="clear" w:color="auto" w:fill="auto"/>
            <w:noWrap/>
            <w:vAlign w:val="bottom"/>
            <w:hideMark/>
          </w:tcPr>
          <w:p w14:paraId="776ABF3B"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4 094</w:t>
            </w:r>
          </w:p>
        </w:tc>
        <w:tc>
          <w:tcPr>
            <w:tcW w:w="616" w:type="pct"/>
            <w:tcBorders>
              <w:top w:val="nil"/>
              <w:left w:val="nil"/>
              <w:bottom w:val="nil"/>
              <w:right w:val="nil"/>
            </w:tcBorders>
            <w:shd w:val="clear" w:color="auto" w:fill="auto"/>
            <w:noWrap/>
            <w:vAlign w:val="bottom"/>
            <w:hideMark/>
          </w:tcPr>
          <w:p w14:paraId="55374367"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-262</w:t>
            </w:r>
          </w:p>
        </w:tc>
      </w:tr>
      <w:tr w:rsidR="004C6700" w:rsidRPr="005E4981" w14:paraId="1D3A51C8" w14:textId="77777777" w:rsidTr="00836EB5">
        <w:trPr>
          <w:trHeight w:val="290"/>
        </w:trPr>
        <w:tc>
          <w:tcPr>
            <w:tcW w:w="2807" w:type="pct"/>
            <w:tcBorders>
              <w:top w:val="nil"/>
              <w:left w:val="nil"/>
              <w:bottom w:val="nil"/>
              <w:right w:val="nil"/>
            </w:tcBorders>
            <w:shd w:val="clear" w:color="auto" w:fill="auto"/>
            <w:noWrap/>
            <w:vAlign w:val="bottom"/>
            <w:hideMark/>
          </w:tcPr>
          <w:p w14:paraId="59475310"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Investičné dodávateľské úvery a dodávateľské úvery</w:t>
            </w:r>
          </w:p>
        </w:tc>
        <w:tc>
          <w:tcPr>
            <w:tcW w:w="575" w:type="pct"/>
            <w:tcBorders>
              <w:top w:val="nil"/>
              <w:left w:val="nil"/>
              <w:bottom w:val="nil"/>
              <w:right w:val="nil"/>
            </w:tcBorders>
            <w:shd w:val="clear" w:color="auto" w:fill="auto"/>
            <w:noWrap/>
            <w:vAlign w:val="bottom"/>
            <w:hideMark/>
          </w:tcPr>
          <w:p w14:paraId="204A6082"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7 255</w:t>
            </w:r>
          </w:p>
        </w:tc>
        <w:tc>
          <w:tcPr>
            <w:tcW w:w="520" w:type="pct"/>
            <w:tcBorders>
              <w:top w:val="nil"/>
              <w:left w:val="nil"/>
              <w:bottom w:val="nil"/>
              <w:right w:val="nil"/>
            </w:tcBorders>
            <w:shd w:val="clear" w:color="auto" w:fill="auto"/>
            <w:noWrap/>
            <w:vAlign w:val="bottom"/>
            <w:hideMark/>
          </w:tcPr>
          <w:p w14:paraId="606530F1"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5 120</w:t>
            </w:r>
          </w:p>
        </w:tc>
        <w:tc>
          <w:tcPr>
            <w:tcW w:w="482" w:type="pct"/>
            <w:tcBorders>
              <w:top w:val="nil"/>
              <w:left w:val="nil"/>
              <w:bottom w:val="nil"/>
              <w:right w:val="nil"/>
            </w:tcBorders>
            <w:shd w:val="clear" w:color="auto" w:fill="auto"/>
            <w:noWrap/>
            <w:vAlign w:val="bottom"/>
            <w:hideMark/>
          </w:tcPr>
          <w:p w14:paraId="251385F6"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3 506</w:t>
            </w:r>
          </w:p>
        </w:tc>
        <w:tc>
          <w:tcPr>
            <w:tcW w:w="616" w:type="pct"/>
            <w:tcBorders>
              <w:top w:val="nil"/>
              <w:left w:val="nil"/>
              <w:bottom w:val="nil"/>
              <w:right w:val="nil"/>
            </w:tcBorders>
            <w:shd w:val="clear" w:color="auto" w:fill="auto"/>
            <w:noWrap/>
            <w:vAlign w:val="bottom"/>
            <w:hideMark/>
          </w:tcPr>
          <w:p w14:paraId="7907043B"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-1 614</w:t>
            </w:r>
          </w:p>
        </w:tc>
      </w:tr>
      <w:tr w:rsidR="004C6700" w:rsidRPr="005E4981" w14:paraId="48B96A7A" w14:textId="77777777" w:rsidTr="00836EB5">
        <w:trPr>
          <w:trHeight w:val="290"/>
        </w:trPr>
        <w:tc>
          <w:tcPr>
            <w:tcW w:w="2807" w:type="pct"/>
            <w:tcBorders>
              <w:top w:val="nil"/>
              <w:left w:val="nil"/>
              <w:bottom w:val="nil"/>
              <w:right w:val="nil"/>
            </w:tcBorders>
            <w:shd w:val="clear" w:color="auto" w:fill="auto"/>
            <w:noWrap/>
            <w:vAlign w:val="bottom"/>
            <w:hideMark/>
          </w:tcPr>
          <w:p w14:paraId="6160335B"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Cenné papiere</w:t>
            </w:r>
          </w:p>
        </w:tc>
        <w:tc>
          <w:tcPr>
            <w:tcW w:w="575" w:type="pct"/>
            <w:tcBorders>
              <w:top w:val="nil"/>
              <w:left w:val="nil"/>
              <w:bottom w:val="nil"/>
              <w:right w:val="nil"/>
            </w:tcBorders>
            <w:shd w:val="clear" w:color="auto" w:fill="auto"/>
            <w:noWrap/>
            <w:vAlign w:val="bottom"/>
            <w:hideMark/>
          </w:tcPr>
          <w:p w14:paraId="429F11C2"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2 270</w:t>
            </w:r>
          </w:p>
        </w:tc>
        <w:tc>
          <w:tcPr>
            <w:tcW w:w="520" w:type="pct"/>
            <w:tcBorders>
              <w:top w:val="nil"/>
              <w:left w:val="nil"/>
              <w:bottom w:val="nil"/>
              <w:right w:val="nil"/>
            </w:tcBorders>
            <w:shd w:val="clear" w:color="auto" w:fill="auto"/>
            <w:noWrap/>
            <w:vAlign w:val="bottom"/>
            <w:hideMark/>
          </w:tcPr>
          <w:p w14:paraId="6B79284D"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2 266</w:t>
            </w:r>
          </w:p>
        </w:tc>
        <w:tc>
          <w:tcPr>
            <w:tcW w:w="482" w:type="pct"/>
            <w:tcBorders>
              <w:top w:val="nil"/>
              <w:left w:val="nil"/>
              <w:bottom w:val="nil"/>
              <w:right w:val="nil"/>
            </w:tcBorders>
            <w:shd w:val="clear" w:color="auto" w:fill="auto"/>
            <w:noWrap/>
            <w:vAlign w:val="bottom"/>
            <w:hideMark/>
          </w:tcPr>
          <w:p w14:paraId="220BF03C"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2 259</w:t>
            </w:r>
          </w:p>
        </w:tc>
        <w:tc>
          <w:tcPr>
            <w:tcW w:w="616" w:type="pct"/>
            <w:tcBorders>
              <w:top w:val="nil"/>
              <w:left w:val="nil"/>
              <w:bottom w:val="nil"/>
              <w:right w:val="nil"/>
            </w:tcBorders>
            <w:shd w:val="clear" w:color="auto" w:fill="auto"/>
            <w:noWrap/>
            <w:vAlign w:val="bottom"/>
            <w:hideMark/>
          </w:tcPr>
          <w:p w14:paraId="3F0BF4C1"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-7</w:t>
            </w:r>
          </w:p>
        </w:tc>
      </w:tr>
      <w:tr w:rsidR="004C6700" w:rsidRPr="005E4981" w14:paraId="455FA1E5" w14:textId="77777777" w:rsidTr="00836EB5">
        <w:trPr>
          <w:trHeight w:val="290"/>
        </w:trPr>
        <w:tc>
          <w:tcPr>
            <w:tcW w:w="2807" w:type="pct"/>
            <w:tcBorders>
              <w:top w:val="nil"/>
              <w:left w:val="nil"/>
              <w:bottom w:val="nil"/>
              <w:right w:val="nil"/>
            </w:tcBorders>
            <w:shd w:val="clear" w:color="auto" w:fill="auto"/>
            <w:noWrap/>
            <w:vAlign w:val="bottom"/>
            <w:hideMark/>
          </w:tcPr>
          <w:p w14:paraId="0C36A669"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Dlhodobé záväzky zo zmlúv o energetickej efektívnosti - ostatné</w:t>
            </w:r>
          </w:p>
        </w:tc>
        <w:tc>
          <w:tcPr>
            <w:tcW w:w="575" w:type="pct"/>
            <w:tcBorders>
              <w:top w:val="nil"/>
              <w:left w:val="nil"/>
              <w:bottom w:val="nil"/>
              <w:right w:val="nil"/>
            </w:tcBorders>
            <w:shd w:val="clear" w:color="auto" w:fill="auto"/>
            <w:noWrap/>
            <w:vAlign w:val="bottom"/>
            <w:hideMark/>
          </w:tcPr>
          <w:p w14:paraId="279AC6B0" w14:textId="77777777" w:rsidR="004C6700" w:rsidRPr="005E4981" w:rsidRDefault="004C6700" w:rsidP="00836EB5">
            <w:pPr>
              <w:spacing w:after="0" w:line="240" w:lineRule="auto"/>
              <w:jc w:val="left"/>
              <w:rPr>
                <w:rFonts w:eastAsia="Times New Roman" w:cs="Times New Roman"/>
                <w:sz w:val="18"/>
                <w:szCs w:val="18"/>
                <w:lang w:eastAsia="sk-SK"/>
              </w:rPr>
            </w:pPr>
          </w:p>
        </w:tc>
        <w:tc>
          <w:tcPr>
            <w:tcW w:w="520" w:type="pct"/>
            <w:tcBorders>
              <w:top w:val="nil"/>
              <w:left w:val="nil"/>
              <w:bottom w:val="nil"/>
              <w:right w:val="nil"/>
            </w:tcBorders>
            <w:shd w:val="clear" w:color="auto" w:fill="auto"/>
            <w:noWrap/>
            <w:vAlign w:val="bottom"/>
            <w:hideMark/>
          </w:tcPr>
          <w:p w14:paraId="77C51EC8"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772</w:t>
            </w:r>
          </w:p>
        </w:tc>
        <w:tc>
          <w:tcPr>
            <w:tcW w:w="482" w:type="pct"/>
            <w:tcBorders>
              <w:top w:val="nil"/>
              <w:left w:val="nil"/>
              <w:bottom w:val="nil"/>
              <w:right w:val="nil"/>
            </w:tcBorders>
            <w:shd w:val="clear" w:color="auto" w:fill="auto"/>
            <w:noWrap/>
            <w:vAlign w:val="bottom"/>
            <w:hideMark/>
          </w:tcPr>
          <w:p w14:paraId="603ADE7B"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609</w:t>
            </w:r>
          </w:p>
        </w:tc>
        <w:tc>
          <w:tcPr>
            <w:tcW w:w="616" w:type="pct"/>
            <w:tcBorders>
              <w:top w:val="nil"/>
              <w:left w:val="nil"/>
              <w:bottom w:val="nil"/>
              <w:right w:val="nil"/>
            </w:tcBorders>
            <w:shd w:val="clear" w:color="auto" w:fill="auto"/>
            <w:noWrap/>
            <w:vAlign w:val="bottom"/>
            <w:hideMark/>
          </w:tcPr>
          <w:p w14:paraId="4D761064"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-163</w:t>
            </w:r>
          </w:p>
        </w:tc>
      </w:tr>
      <w:tr w:rsidR="004C6700" w:rsidRPr="005E4981" w14:paraId="791DE7DB" w14:textId="77777777" w:rsidTr="00836EB5">
        <w:trPr>
          <w:trHeight w:val="290"/>
        </w:trPr>
        <w:tc>
          <w:tcPr>
            <w:tcW w:w="2807" w:type="pct"/>
            <w:tcBorders>
              <w:top w:val="nil"/>
              <w:left w:val="nil"/>
              <w:bottom w:val="nil"/>
              <w:right w:val="nil"/>
            </w:tcBorders>
            <w:shd w:val="clear" w:color="auto" w:fill="auto"/>
            <w:noWrap/>
            <w:vAlign w:val="bottom"/>
            <w:hideMark/>
          </w:tcPr>
          <w:p w14:paraId="00D2B8AB" w14:textId="77777777" w:rsidR="004C6700" w:rsidRPr="005E4981" w:rsidRDefault="004C6700" w:rsidP="00836EB5">
            <w:pPr>
              <w:spacing w:after="0" w:line="240" w:lineRule="auto"/>
              <w:jc w:val="left"/>
              <w:rPr>
                <w:rFonts w:eastAsia="Times New Roman" w:cs="Times New Roman"/>
                <w:b/>
                <w:bCs/>
                <w:sz w:val="18"/>
                <w:szCs w:val="18"/>
                <w:lang w:eastAsia="sk-SK"/>
              </w:rPr>
            </w:pPr>
            <w:r w:rsidRPr="005E4981">
              <w:rPr>
                <w:rFonts w:eastAsia="Times New Roman" w:cs="Times New Roman"/>
                <w:b/>
                <w:bCs/>
                <w:sz w:val="18"/>
                <w:szCs w:val="18"/>
                <w:lang w:eastAsia="sk-SK"/>
              </w:rPr>
              <w:t>Spolu nekonsolidovaný dlh obcí</w:t>
            </w:r>
          </w:p>
        </w:tc>
        <w:tc>
          <w:tcPr>
            <w:tcW w:w="575" w:type="pct"/>
            <w:tcBorders>
              <w:top w:val="nil"/>
              <w:left w:val="nil"/>
              <w:bottom w:val="nil"/>
              <w:right w:val="nil"/>
            </w:tcBorders>
            <w:shd w:val="clear" w:color="auto" w:fill="auto"/>
            <w:noWrap/>
            <w:vAlign w:val="bottom"/>
            <w:hideMark/>
          </w:tcPr>
          <w:p w14:paraId="2F032FDE"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1 644 707</w:t>
            </w:r>
          </w:p>
        </w:tc>
        <w:tc>
          <w:tcPr>
            <w:tcW w:w="520" w:type="pct"/>
            <w:tcBorders>
              <w:top w:val="nil"/>
              <w:left w:val="nil"/>
              <w:bottom w:val="nil"/>
              <w:right w:val="nil"/>
            </w:tcBorders>
            <w:shd w:val="clear" w:color="auto" w:fill="auto"/>
            <w:noWrap/>
            <w:vAlign w:val="bottom"/>
            <w:hideMark/>
          </w:tcPr>
          <w:p w14:paraId="285036E3"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1 751 497</w:t>
            </w:r>
          </w:p>
        </w:tc>
        <w:tc>
          <w:tcPr>
            <w:tcW w:w="482" w:type="pct"/>
            <w:tcBorders>
              <w:top w:val="nil"/>
              <w:left w:val="nil"/>
              <w:bottom w:val="nil"/>
              <w:right w:val="nil"/>
            </w:tcBorders>
            <w:shd w:val="clear" w:color="auto" w:fill="auto"/>
            <w:noWrap/>
            <w:vAlign w:val="bottom"/>
            <w:hideMark/>
          </w:tcPr>
          <w:p w14:paraId="28565C46"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1 833 794</w:t>
            </w:r>
          </w:p>
        </w:tc>
        <w:tc>
          <w:tcPr>
            <w:tcW w:w="616" w:type="pct"/>
            <w:tcBorders>
              <w:top w:val="nil"/>
              <w:left w:val="nil"/>
              <w:bottom w:val="nil"/>
              <w:right w:val="nil"/>
            </w:tcBorders>
            <w:shd w:val="clear" w:color="auto" w:fill="auto"/>
            <w:noWrap/>
            <w:vAlign w:val="bottom"/>
            <w:hideMark/>
          </w:tcPr>
          <w:p w14:paraId="141EB54C"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82 297</w:t>
            </w:r>
          </w:p>
        </w:tc>
      </w:tr>
      <w:tr w:rsidR="004C6700" w:rsidRPr="005E4981" w14:paraId="493E45F6" w14:textId="77777777" w:rsidTr="005E4981">
        <w:trPr>
          <w:trHeight w:val="530"/>
        </w:trPr>
        <w:tc>
          <w:tcPr>
            <w:tcW w:w="2807" w:type="pct"/>
            <w:tcBorders>
              <w:top w:val="nil"/>
              <w:left w:val="nil"/>
              <w:bottom w:val="single" w:sz="4" w:space="0" w:color="auto"/>
              <w:right w:val="nil"/>
            </w:tcBorders>
            <w:shd w:val="clear" w:color="auto" w:fill="auto"/>
            <w:vAlign w:val="bottom"/>
            <w:hideMark/>
          </w:tcPr>
          <w:p w14:paraId="0B54AA72" w14:textId="77777777" w:rsidR="004C6700" w:rsidRPr="005E4981" w:rsidRDefault="004C6700" w:rsidP="00836EB5">
            <w:pPr>
              <w:spacing w:after="0" w:line="240" w:lineRule="auto"/>
              <w:jc w:val="left"/>
              <w:rPr>
                <w:rFonts w:eastAsia="Times New Roman" w:cs="Times New Roman"/>
                <w:b/>
                <w:bCs/>
                <w:sz w:val="18"/>
                <w:szCs w:val="18"/>
                <w:lang w:eastAsia="sk-SK"/>
              </w:rPr>
            </w:pPr>
            <w:r w:rsidRPr="005E4981">
              <w:rPr>
                <w:rFonts w:eastAsia="Times New Roman" w:cs="Times New Roman"/>
                <w:b/>
                <w:bCs/>
                <w:sz w:val="18"/>
                <w:szCs w:val="18"/>
                <w:lang w:eastAsia="sk-SK"/>
              </w:rPr>
              <w:t>Konsolidovaný príspevok obcí do konsolidovaného dlhu verejnej správy</w:t>
            </w:r>
          </w:p>
        </w:tc>
        <w:tc>
          <w:tcPr>
            <w:tcW w:w="575" w:type="pct"/>
            <w:tcBorders>
              <w:top w:val="nil"/>
              <w:left w:val="nil"/>
              <w:bottom w:val="single" w:sz="4" w:space="0" w:color="auto"/>
              <w:right w:val="nil"/>
            </w:tcBorders>
            <w:shd w:val="clear" w:color="auto" w:fill="auto"/>
            <w:noWrap/>
            <w:vAlign w:val="center"/>
            <w:hideMark/>
          </w:tcPr>
          <w:p w14:paraId="4A1B863E"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778 002</w:t>
            </w:r>
          </w:p>
        </w:tc>
        <w:tc>
          <w:tcPr>
            <w:tcW w:w="520" w:type="pct"/>
            <w:tcBorders>
              <w:top w:val="nil"/>
              <w:left w:val="nil"/>
              <w:bottom w:val="single" w:sz="4" w:space="0" w:color="auto"/>
              <w:right w:val="nil"/>
            </w:tcBorders>
            <w:shd w:val="clear" w:color="auto" w:fill="auto"/>
            <w:noWrap/>
            <w:vAlign w:val="center"/>
            <w:hideMark/>
          </w:tcPr>
          <w:p w14:paraId="1CF9E685"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892 623</w:t>
            </w:r>
          </w:p>
        </w:tc>
        <w:tc>
          <w:tcPr>
            <w:tcW w:w="482" w:type="pct"/>
            <w:tcBorders>
              <w:top w:val="nil"/>
              <w:left w:val="nil"/>
              <w:bottom w:val="single" w:sz="4" w:space="0" w:color="auto"/>
              <w:right w:val="nil"/>
            </w:tcBorders>
            <w:shd w:val="clear" w:color="auto" w:fill="auto"/>
            <w:noWrap/>
            <w:vAlign w:val="center"/>
            <w:hideMark/>
          </w:tcPr>
          <w:p w14:paraId="3A0D48AB"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1 046 458</w:t>
            </w:r>
          </w:p>
        </w:tc>
        <w:tc>
          <w:tcPr>
            <w:tcW w:w="616" w:type="pct"/>
            <w:tcBorders>
              <w:top w:val="nil"/>
              <w:left w:val="nil"/>
              <w:bottom w:val="single" w:sz="4" w:space="0" w:color="auto"/>
              <w:right w:val="nil"/>
            </w:tcBorders>
            <w:shd w:val="clear" w:color="auto" w:fill="auto"/>
            <w:noWrap/>
            <w:vAlign w:val="center"/>
            <w:hideMark/>
          </w:tcPr>
          <w:p w14:paraId="2AA9A57C"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153 835</w:t>
            </w:r>
          </w:p>
        </w:tc>
      </w:tr>
    </w:tbl>
    <w:p w14:paraId="750EC5E1" w14:textId="77777777" w:rsidR="004C6700" w:rsidRPr="009176BA" w:rsidRDefault="004C6700" w:rsidP="004C6700">
      <w:pPr>
        <w:spacing w:after="0"/>
        <w:jc w:val="right"/>
        <w:rPr>
          <w:sz w:val="16"/>
          <w:szCs w:val="16"/>
        </w:rPr>
      </w:pPr>
      <w:r w:rsidRPr="005E4981">
        <w:rPr>
          <w:sz w:val="18"/>
          <w:szCs w:val="18"/>
        </w:rPr>
        <w:t>Zdroj: MF SR</w:t>
      </w:r>
    </w:p>
    <w:p w14:paraId="52CA4EEF" w14:textId="77777777" w:rsidR="004C6700" w:rsidRPr="004B1913" w:rsidRDefault="004C6700" w:rsidP="005E4981">
      <w:pPr>
        <w:spacing w:line="240" w:lineRule="auto"/>
        <w:rPr>
          <w:sz w:val="24"/>
          <w:szCs w:val="24"/>
        </w:rPr>
      </w:pPr>
      <w:r w:rsidRPr="004B1913">
        <w:rPr>
          <w:sz w:val="24"/>
          <w:szCs w:val="24"/>
        </w:rPr>
        <w:t>V priebehu roka 2023 neboli zo štátnych finančných aktív poskytnuté nové návratné finančné výpomoci mestám, avšak boli splatené výpomoci poskytnuté v predchádzajúcich rokoch v súhrnnej výške 4 800 tis. eur. Zostatok nesplatených NFV k 31.12.2023 predstavuje hodnotu 31 653 tis. eur (Mesto Košice (22 930 tis. eur), Martin (750 tis. eur), Bardejov (600 tis. eur), Prešov (4 423 tis. eur) a Kežmarok (2 950 tis. eur).</w:t>
      </w:r>
    </w:p>
    <w:p w14:paraId="36430CF4" w14:textId="77777777" w:rsidR="004C6700" w:rsidRPr="004B1913" w:rsidRDefault="004C6700" w:rsidP="005E4981">
      <w:pPr>
        <w:spacing w:line="240" w:lineRule="auto"/>
        <w:rPr>
          <w:sz w:val="24"/>
          <w:szCs w:val="24"/>
        </w:rPr>
      </w:pPr>
      <w:r w:rsidRPr="004B1913">
        <w:rPr>
          <w:sz w:val="24"/>
          <w:szCs w:val="24"/>
        </w:rPr>
        <w:lastRenderedPageBreak/>
        <w:t xml:space="preserve">Návratné finančné výpomoci poskytnuté počas roka 2020 za účelom zmiernenia negatívneho dopadu pandémie COVID-19 vo výške 99 748 tis. eur boli obciam v plnej výške odpustené. </w:t>
      </w:r>
    </w:p>
    <w:p w14:paraId="4554B638" w14:textId="77777777" w:rsidR="004C6700" w:rsidRPr="004B1913" w:rsidRDefault="004C6700" w:rsidP="005E4981">
      <w:pPr>
        <w:spacing w:line="240" w:lineRule="auto"/>
        <w:rPr>
          <w:sz w:val="24"/>
          <w:szCs w:val="24"/>
        </w:rPr>
      </w:pPr>
      <w:r w:rsidRPr="004B1913">
        <w:rPr>
          <w:sz w:val="24"/>
          <w:szCs w:val="24"/>
        </w:rPr>
        <w:t xml:space="preserve">Pôžičky od ŠFRB na podporu obstarania obecných nájomných bytov ich výstavbou alebo obstaraním, modernizáciu a rekonštrukciu zariadení sociálnych služieb sú predmetom vzájomnej konsolidácie. Medziročne došlo k ich nárastu úhrnom o 16 493 tis. eur. </w:t>
      </w:r>
    </w:p>
    <w:p w14:paraId="5DDF6A6B" w14:textId="264E5276" w:rsidR="004C6700" w:rsidRPr="00092ACB" w:rsidRDefault="004C6700" w:rsidP="005E4981">
      <w:pPr>
        <w:spacing w:line="240" w:lineRule="auto"/>
        <w:rPr>
          <w:sz w:val="24"/>
          <w:szCs w:val="24"/>
          <w:highlight w:val="yellow"/>
        </w:rPr>
      </w:pPr>
      <w:r w:rsidRPr="00FD4584">
        <w:rPr>
          <w:sz w:val="24"/>
          <w:szCs w:val="24"/>
        </w:rPr>
        <w:t xml:space="preserve">Komerčné úvery od tuzemských bánk alebo zahraničných bánk sú druhým najväčším zdrojom financovania potrieb územnej samosprávy. Nárast hodnoty úverov o 150 679 tis. eur bol spôsobený novými úvermi, ktoré čerpali viaceré mestá (napr. </w:t>
      </w:r>
      <w:r>
        <w:rPr>
          <w:sz w:val="24"/>
          <w:szCs w:val="24"/>
        </w:rPr>
        <w:t>M</w:t>
      </w:r>
      <w:r w:rsidRPr="00FD4584">
        <w:rPr>
          <w:sz w:val="24"/>
          <w:szCs w:val="24"/>
        </w:rPr>
        <w:t xml:space="preserve">estská časť </w:t>
      </w:r>
      <w:r>
        <w:rPr>
          <w:sz w:val="24"/>
          <w:szCs w:val="24"/>
        </w:rPr>
        <w:t xml:space="preserve">Bratislava - </w:t>
      </w:r>
      <w:r w:rsidRPr="00FD4584">
        <w:rPr>
          <w:sz w:val="24"/>
          <w:szCs w:val="24"/>
        </w:rPr>
        <w:t xml:space="preserve">Staré Mesto súhrnne 39 313 tis. eur, </w:t>
      </w:r>
      <w:r>
        <w:rPr>
          <w:sz w:val="24"/>
          <w:szCs w:val="24"/>
        </w:rPr>
        <w:t>M</w:t>
      </w:r>
      <w:r w:rsidRPr="00FD4584">
        <w:rPr>
          <w:sz w:val="24"/>
          <w:szCs w:val="24"/>
        </w:rPr>
        <w:t xml:space="preserve">estská časť Bratislava </w:t>
      </w:r>
      <w:r>
        <w:rPr>
          <w:sz w:val="24"/>
          <w:szCs w:val="24"/>
        </w:rPr>
        <w:t xml:space="preserve">- </w:t>
      </w:r>
      <w:r w:rsidRPr="00FD4584">
        <w:rPr>
          <w:sz w:val="24"/>
          <w:szCs w:val="24"/>
        </w:rPr>
        <w:t xml:space="preserve">Ružinov 14 479 tis. eur, </w:t>
      </w:r>
      <w:r w:rsidR="00F90C51">
        <w:rPr>
          <w:sz w:val="24"/>
          <w:szCs w:val="24"/>
        </w:rPr>
        <w:t>m</w:t>
      </w:r>
      <w:r>
        <w:rPr>
          <w:sz w:val="24"/>
          <w:szCs w:val="24"/>
        </w:rPr>
        <w:t xml:space="preserve">esto Nitra súhrnne 13 882 tis. eur, </w:t>
      </w:r>
      <w:r w:rsidR="00F90C51">
        <w:rPr>
          <w:sz w:val="24"/>
          <w:szCs w:val="24"/>
        </w:rPr>
        <w:t>m</w:t>
      </w:r>
      <w:r>
        <w:rPr>
          <w:sz w:val="24"/>
          <w:szCs w:val="24"/>
        </w:rPr>
        <w:t xml:space="preserve">esto Prešov 4 126 tis. eur, </w:t>
      </w:r>
      <w:r w:rsidR="00F90C51">
        <w:rPr>
          <w:sz w:val="24"/>
          <w:szCs w:val="24"/>
        </w:rPr>
        <w:t>m</w:t>
      </w:r>
      <w:r>
        <w:rPr>
          <w:sz w:val="24"/>
          <w:szCs w:val="24"/>
        </w:rPr>
        <w:t xml:space="preserve">esto Senica súhrnne 4 119 tis. eur, </w:t>
      </w:r>
      <w:r w:rsidR="00F90C51">
        <w:rPr>
          <w:sz w:val="24"/>
          <w:szCs w:val="24"/>
        </w:rPr>
        <w:t>obec Cífer 3 766 tis. eur, m</w:t>
      </w:r>
      <w:r>
        <w:rPr>
          <w:sz w:val="24"/>
          <w:szCs w:val="24"/>
        </w:rPr>
        <w:t xml:space="preserve">esto Brezno 3 500 tis. eur, </w:t>
      </w:r>
      <w:r w:rsidR="00F90C51">
        <w:rPr>
          <w:sz w:val="24"/>
          <w:szCs w:val="24"/>
        </w:rPr>
        <w:t>m</w:t>
      </w:r>
      <w:r>
        <w:rPr>
          <w:sz w:val="24"/>
          <w:szCs w:val="24"/>
        </w:rPr>
        <w:t xml:space="preserve">esto Komárno súhrnne 3 267 tis. eur, </w:t>
      </w:r>
      <w:r w:rsidR="00F90C51">
        <w:rPr>
          <w:sz w:val="24"/>
          <w:szCs w:val="24"/>
        </w:rPr>
        <w:t>m</w:t>
      </w:r>
      <w:r>
        <w:rPr>
          <w:sz w:val="24"/>
          <w:szCs w:val="24"/>
        </w:rPr>
        <w:t>esto Fiľakovo 2 988 tis. eur</w:t>
      </w:r>
      <w:r w:rsidRPr="008514E2">
        <w:rPr>
          <w:sz w:val="24"/>
          <w:szCs w:val="24"/>
        </w:rPr>
        <w:t>).</w:t>
      </w:r>
    </w:p>
    <w:p w14:paraId="5F02702C" w14:textId="77777777" w:rsidR="004C6700" w:rsidRPr="00B83500" w:rsidRDefault="004C6700" w:rsidP="005E4981">
      <w:pPr>
        <w:spacing w:line="240" w:lineRule="auto"/>
        <w:rPr>
          <w:sz w:val="24"/>
          <w:szCs w:val="24"/>
        </w:rPr>
      </w:pPr>
      <w:r w:rsidRPr="00B83500">
        <w:rPr>
          <w:sz w:val="24"/>
          <w:szCs w:val="24"/>
        </w:rPr>
        <w:t>Dlhodobé záväzky z obchodného styku a prijaté preddavky sa na dlhu obcí a ich rozpočtových organizácií podieľajú sumou 24 325 tis. eur.</w:t>
      </w:r>
    </w:p>
    <w:p w14:paraId="7B963800" w14:textId="77777777" w:rsidR="004C6700" w:rsidRPr="00CF37D2" w:rsidRDefault="004C6700" w:rsidP="005E4981">
      <w:pPr>
        <w:spacing w:line="240" w:lineRule="auto"/>
        <w:rPr>
          <w:sz w:val="24"/>
          <w:szCs w:val="24"/>
        </w:rPr>
      </w:pPr>
      <w:r w:rsidRPr="00CF37D2">
        <w:rPr>
          <w:b/>
          <w:sz w:val="24"/>
          <w:szCs w:val="24"/>
        </w:rPr>
        <w:t xml:space="preserve">Vyššie územné celky </w:t>
      </w:r>
      <w:r w:rsidRPr="00CF37D2">
        <w:rPr>
          <w:sz w:val="24"/>
          <w:szCs w:val="24"/>
        </w:rPr>
        <w:t>(vrátane ich rozpočtových organizácií)</w:t>
      </w:r>
      <w:r w:rsidRPr="00CF37D2">
        <w:rPr>
          <w:b/>
          <w:sz w:val="24"/>
          <w:szCs w:val="24"/>
        </w:rPr>
        <w:t xml:space="preserve"> </w:t>
      </w:r>
      <w:r w:rsidRPr="00CF37D2">
        <w:rPr>
          <w:sz w:val="24"/>
          <w:szCs w:val="24"/>
        </w:rPr>
        <w:t xml:space="preserve">sa podieľajú na dlhu verejnej správy hodnotou 465 428 tis. eur, čo je o 97 715 tis. eur viac ako v predchádzajúcom roku. </w:t>
      </w:r>
    </w:p>
    <w:tbl>
      <w:tblPr>
        <w:tblW w:w="5000" w:type="pct"/>
        <w:tblCellMar>
          <w:left w:w="70" w:type="dxa"/>
          <w:right w:w="70" w:type="dxa"/>
        </w:tblCellMar>
        <w:tblLook w:val="04A0" w:firstRow="1" w:lastRow="0" w:firstColumn="1" w:lastColumn="0" w:noHBand="0" w:noVBand="1"/>
      </w:tblPr>
      <w:tblGrid>
        <w:gridCol w:w="5108"/>
        <w:gridCol w:w="1065"/>
        <w:gridCol w:w="1065"/>
        <w:gridCol w:w="1067"/>
        <w:gridCol w:w="909"/>
      </w:tblGrid>
      <w:tr w:rsidR="004C6700" w:rsidRPr="00CF37D2" w14:paraId="1FB4387C" w14:textId="77777777" w:rsidTr="00836EB5">
        <w:trPr>
          <w:trHeight w:val="290"/>
        </w:trPr>
        <w:tc>
          <w:tcPr>
            <w:tcW w:w="4507" w:type="pct"/>
            <w:gridSpan w:val="4"/>
            <w:tcBorders>
              <w:top w:val="nil"/>
              <w:left w:val="nil"/>
              <w:bottom w:val="single" w:sz="4" w:space="0" w:color="auto"/>
              <w:right w:val="nil"/>
            </w:tcBorders>
            <w:shd w:val="clear" w:color="auto" w:fill="auto"/>
            <w:noWrap/>
            <w:vAlign w:val="center"/>
            <w:hideMark/>
          </w:tcPr>
          <w:p w14:paraId="4CEF470B" w14:textId="77777777" w:rsidR="004C6700" w:rsidRPr="00CF37D2" w:rsidRDefault="004C6700" w:rsidP="005E4981">
            <w:pPr>
              <w:spacing w:line="240" w:lineRule="auto"/>
              <w:jc w:val="left"/>
              <w:rPr>
                <w:rFonts w:eastAsia="Times New Roman" w:cs="Times New Roman"/>
                <w:b/>
                <w:bCs/>
                <w:color w:val="5B9BD5"/>
                <w:sz w:val="20"/>
                <w:szCs w:val="20"/>
                <w:lang w:eastAsia="sk-SK"/>
              </w:rPr>
            </w:pPr>
            <w:r>
              <w:rPr>
                <w:rFonts w:eastAsia="Times New Roman" w:cs="Times New Roman"/>
                <w:b/>
                <w:bCs/>
                <w:color w:val="5B9BD5"/>
                <w:sz w:val="20"/>
                <w:szCs w:val="20"/>
                <w:lang w:eastAsia="sk-SK"/>
              </w:rPr>
              <w:t>Tabuľka 19</w:t>
            </w:r>
            <w:r w:rsidRPr="00CF37D2">
              <w:rPr>
                <w:rFonts w:eastAsia="Times New Roman" w:cs="Times New Roman"/>
                <w:b/>
                <w:bCs/>
                <w:color w:val="5B9BD5"/>
                <w:sz w:val="20"/>
                <w:szCs w:val="20"/>
                <w:lang w:eastAsia="sk-SK"/>
              </w:rPr>
              <w:t xml:space="preserve"> - Dlh VÚC podľa dlhového nástroja</w:t>
            </w:r>
          </w:p>
        </w:tc>
        <w:tc>
          <w:tcPr>
            <w:tcW w:w="493" w:type="pct"/>
            <w:tcBorders>
              <w:top w:val="nil"/>
              <w:left w:val="nil"/>
              <w:bottom w:val="single" w:sz="4" w:space="0" w:color="auto"/>
              <w:right w:val="nil"/>
            </w:tcBorders>
            <w:shd w:val="clear" w:color="auto" w:fill="auto"/>
            <w:noWrap/>
            <w:vAlign w:val="center"/>
            <w:hideMark/>
          </w:tcPr>
          <w:p w14:paraId="12855255" w14:textId="77777777" w:rsidR="004C6700" w:rsidRPr="00CF37D2" w:rsidRDefault="004C6700" w:rsidP="00836EB5">
            <w:pPr>
              <w:spacing w:after="0" w:line="240" w:lineRule="auto"/>
              <w:jc w:val="right"/>
              <w:rPr>
                <w:rFonts w:eastAsia="Times New Roman" w:cs="Times New Roman"/>
                <w:b/>
                <w:bCs/>
                <w:color w:val="FFFFFF"/>
                <w:sz w:val="20"/>
                <w:szCs w:val="20"/>
                <w:lang w:eastAsia="sk-SK"/>
              </w:rPr>
            </w:pPr>
            <w:r w:rsidRPr="00CF37D2">
              <w:rPr>
                <w:rFonts w:eastAsia="Times New Roman" w:cs="Times New Roman"/>
                <w:b/>
                <w:bCs/>
                <w:color w:val="FFFFFF"/>
                <w:sz w:val="20"/>
                <w:szCs w:val="20"/>
                <w:lang w:eastAsia="sk-SK"/>
              </w:rPr>
              <w:t>v tis. eur</w:t>
            </w:r>
          </w:p>
        </w:tc>
      </w:tr>
      <w:tr w:rsidR="004C6700" w:rsidRPr="005E4981" w14:paraId="0416E746" w14:textId="77777777" w:rsidTr="00836EB5">
        <w:trPr>
          <w:trHeight w:val="290"/>
        </w:trPr>
        <w:tc>
          <w:tcPr>
            <w:tcW w:w="2772" w:type="pct"/>
            <w:vMerge w:val="restart"/>
            <w:tcBorders>
              <w:top w:val="single" w:sz="4" w:space="0" w:color="auto"/>
              <w:left w:val="nil"/>
              <w:bottom w:val="single" w:sz="4" w:space="0" w:color="000000"/>
              <w:right w:val="nil"/>
            </w:tcBorders>
            <w:shd w:val="clear" w:color="auto" w:fill="auto"/>
            <w:vAlign w:val="center"/>
            <w:hideMark/>
          </w:tcPr>
          <w:p w14:paraId="5FE7A9F6" w14:textId="77777777" w:rsidR="004C6700" w:rsidRPr="005E4981" w:rsidRDefault="004C6700" w:rsidP="00836EB5">
            <w:pPr>
              <w:spacing w:after="0" w:line="240" w:lineRule="auto"/>
              <w:rPr>
                <w:rFonts w:eastAsia="Times New Roman" w:cs="Times New Roman"/>
                <w:b/>
                <w:bCs/>
                <w:sz w:val="18"/>
                <w:szCs w:val="18"/>
                <w:lang w:eastAsia="sk-SK"/>
              </w:rPr>
            </w:pPr>
            <w:r w:rsidRPr="005E4981">
              <w:rPr>
                <w:rFonts w:eastAsia="Times New Roman" w:cs="Times New Roman"/>
                <w:b/>
                <w:bCs/>
                <w:sz w:val="18"/>
                <w:szCs w:val="18"/>
                <w:lang w:eastAsia="sk-SK"/>
              </w:rPr>
              <w:t>v tis. eur</w:t>
            </w:r>
          </w:p>
        </w:tc>
        <w:tc>
          <w:tcPr>
            <w:tcW w:w="578" w:type="pct"/>
            <w:tcBorders>
              <w:top w:val="single" w:sz="4" w:space="0" w:color="auto"/>
              <w:left w:val="nil"/>
              <w:bottom w:val="nil"/>
              <w:right w:val="nil"/>
            </w:tcBorders>
            <w:shd w:val="clear" w:color="auto" w:fill="auto"/>
            <w:vAlign w:val="center"/>
            <w:hideMark/>
          </w:tcPr>
          <w:p w14:paraId="5570360E"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2021 S</w:t>
            </w:r>
          </w:p>
        </w:tc>
        <w:tc>
          <w:tcPr>
            <w:tcW w:w="578" w:type="pct"/>
            <w:tcBorders>
              <w:top w:val="single" w:sz="4" w:space="0" w:color="auto"/>
              <w:left w:val="nil"/>
              <w:bottom w:val="nil"/>
              <w:right w:val="nil"/>
            </w:tcBorders>
            <w:shd w:val="clear" w:color="auto" w:fill="auto"/>
            <w:vAlign w:val="center"/>
            <w:hideMark/>
          </w:tcPr>
          <w:p w14:paraId="4CD6A24F"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2022 S</w:t>
            </w:r>
          </w:p>
        </w:tc>
        <w:tc>
          <w:tcPr>
            <w:tcW w:w="578" w:type="pct"/>
            <w:tcBorders>
              <w:top w:val="single" w:sz="4" w:space="0" w:color="auto"/>
              <w:left w:val="nil"/>
              <w:bottom w:val="nil"/>
              <w:right w:val="nil"/>
            </w:tcBorders>
            <w:shd w:val="clear" w:color="auto" w:fill="auto"/>
            <w:vAlign w:val="center"/>
            <w:hideMark/>
          </w:tcPr>
          <w:p w14:paraId="611D87C4"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2023 S</w:t>
            </w:r>
          </w:p>
        </w:tc>
        <w:tc>
          <w:tcPr>
            <w:tcW w:w="493" w:type="pct"/>
            <w:tcBorders>
              <w:top w:val="single" w:sz="4" w:space="0" w:color="auto"/>
              <w:left w:val="nil"/>
              <w:bottom w:val="nil"/>
              <w:right w:val="nil"/>
            </w:tcBorders>
            <w:shd w:val="clear" w:color="auto" w:fill="auto"/>
            <w:vAlign w:val="center"/>
            <w:hideMark/>
          </w:tcPr>
          <w:p w14:paraId="44EE4697"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Zmena</w:t>
            </w:r>
          </w:p>
        </w:tc>
      </w:tr>
      <w:tr w:rsidR="004C6700" w:rsidRPr="005E4981" w14:paraId="4FA8BF19" w14:textId="77777777" w:rsidTr="00836EB5">
        <w:trPr>
          <w:trHeight w:val="290"/>
        </w:trPr>
        <w:tc>
          <w:tcPr>
            <w:tcW w:w="2772" w:type="pct"/>
            <w:vMerge/>
            <w:tcBorders>
              <w:top w:val="single" w:sz="4" w:space="0" w:color="auto"/>
              <w:left w:val="nil"/>
              <w:bottom w:val="single" w:sz="4" w:space="0" w:color="000000"/>
              <w:right w:val="nil"/>
            </w:tcBorders>
            <w:vAlign w:val="center"/>
            <w:hideMark/>
          </w:tcPr>
          <w:p w14:paraId="7DB328CA" w14:textId="77777777" w:rsidR="004C6700" w:rsidRPr="005E4981" w:rsidRDefault="004C6700" w:rsidP="00836EB5">
            <w:pPr>
              <w:spacing w:after="0" w:line="240" w:lineRule="auto"/>
              <w:jc w:val="left"/>
              <w:rPr>
                <w:rFonts w:eastAsia="Times New Roman" w:cs="Times New Roman"/>
                <w:b/>
                <w:bCs/>
                <w:sz w:val="18"/>
                <w:szCs w:val="18"/>
                <w:lang w:eastAsia="sk-SK"/>
              </w:rPr>
            </w:pPr>
          </w:p>
        </w:tc>
        <w:tc>
          <w:tcPr>
            <w:tcW w:w="578" w:type="pct"/>
            <w:tcBorders>
              <w:top w:val="nil"/>
              <w:left w:val="nil"/>
              <w:bottom w:val="single" w:sz="4" w:space="0" w:color="auto"/>
              <w:right w:val="nil"/>
            </w:tcBorders>
            <w:shd w:val="clear" w:color="auto" w:fill="auto"/>
            <w:vAlign w:val="center"/>
            <w:hideMark/>
          </w:tcPr>
          <w:p w14:paraId="5D30CEB5"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1</w:t>
            </w:r>
          </w:p>
        </w:tc>
        <w:tc>
          <w:tcPr>
            <w:tcW w:w="578" w:type="pct"/>
            <w:tcBorders>
              <w:top w:val="nil"/>
              <w:left w:val="nil"/>
              <w:bottom w:val="single" w:sz="4" w:space="0" w:color="auto"/>
              <w:right w:val="nil"/>
            </w:tcBorders>
            <w:shd w:val="clear" w:color="auto" w:fill="auto"/>
            <w:vAlign w:val="center"/>
            <w:hideMark/>
          </w:tcPr>
          <w:p w14:paraId="3476E360"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2</w:t>
            </w:r>
          </w:p>
        </w:tc>
        <w:tc>
          <w:tcPr>
            <w:tcW w:w="578" w:type="pct"/>
            <w:tcBorders>
              <w:top w:val="nil"/>
              <w:left w:val="nil"/>
              <w:bottom w:val="single" w:sz="4" w:space="0" w:color="auto"/>
              <w:right w:val="nil"/>
            </w:tcBorders>
            <w:shd w:val="clear" w:color="auto" w:fill="auto"/>
            <w:vAlign w:val="center"/>
            <w:hideMark/>
          </w:tcPr>
          <w:p w14:paraId="4FFDA9BF"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3</w:t>
            </w:r>
          </w:p>
        </w:tc>
        <w:tc>
          <w:tcPr>
            <w:tcW w:w="493" w:type="pct"/>
            <w:tcBorders>
              <w:top w:val="nil"/>
              <w:left w:val="nil"/>
              <w:bottom w:val="single" w:sz="4" w:space="0" w:color="auto"/>
              <w:right w:val="nil"/>
            </w:tcBorders>
            <w:shd w:val="clear" w:color="auto" w:fill="auto"/>
            <w:vAlign w:val="center"/>
            <w:hideMark/>
          </w:tcPr>
          <w:p w14:paraId="5165F65A"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4=(3-2)</w:t>
            </w:r>
          </w:p>
        </w:tc>
      </w:tr>
      <w:tr w:rsidR="004C6700" w:rsidRPr="005E4981" w14:paraId="4796CF67" w14:textId="77777777" w:rsidTr="00836EB5">
        <w:trPr>
          <w:trHeight w:val="300"/>
        </w:trPr>
        <w:tc>
          <w:tcPr>
            <w:tcW w:w="2772" w:type="pct"/>
            <w:tcBorders>
              <w:top w:val="nil"/>
              <w:left w:val="nil"/>
              <w:bottom w:val="nil"/>
              <w:right w:val="nil"/>
            </w:tcBorders>
            <w:shd w:val="clear" w:color="auto" w:fill="auto"/>
            <w:noWrap/>
            <w:vAlign w:val="bottom"/>
            <w:hideMark/>
          </w:tcPr>
          <w:p w14:paraId="17B80B36"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Bankové úvery</w:t>
            </w:r>
          </w:p>
        </w:tc>
        <w:tc>
          <w:tcPr>
            <w:tcW w:w="578" w:type="pct"/>
            <w:tcBorders>
              <w:top w:val="nil"/>
              <w:left w:val="nil"/>
              <w:bottom w:val="nil"/>
              <w:right w:val="nil"/>
            </w:tcBorders>
            <w:shd w:val="clear" w:color="auto" w:fill="auto"/>
            <w:noWrap/>
            <w:vAlign w:val="bottom"/>
            <w:hideMark/>
          </w:tcPr>
          <w:p w14:paraId="0A92C407"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330 797</w:t>
            </w:r>
          </w:p>
        </w:tc>
        <w:tc>
          <w:tcPr>
            <w:tcW w:w="578" w:type="pct"/>
            <w:tcBorders>
              <w:top w:val="nil"/>
              <w:left w:val="nil"/>
              <w:bottom w:val="nil"/>
              <w:right w:val="nil"/>
            </w:tcBorders>
            <w:shd w:val="clear" w:color="auto" w:fill="auto"/>
            <w:noWrap/>
            <w:vAlign w:val="bottom"/>
            <w:hideMark/>
          </w:tcPr>
          <w:p w14:paraId="3B76F6DE"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355 765</w:t>
            </w:r>
          </w:p>
        </w:tc>
        <w:tc>
          <w:tcPr>
            <w:tcW w:w="578" w:type="pct"/>
            <w:tcBorders>
              <w:top w:val="nil"/>
              <w:left w:val="nil"/>
              <w:bottom w:val="nil"/>
              <w:right w:val="nil"/>
            </w:tcBorders>
            <w:shd w:val="clear" w:color="auto" w:fill="auto"/>
            <w:noWrap/>
            <w:vAlign w:val="bottom"/>
            <w:hideMark/>
          </w:tcPr>
          <w:p w14:paraId="5DE97093"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455 345</w:t>
            </w:r>
          </w:p>
        </w:tc>
        <w:tc>
          <w:tcPr>
            <w:tcW w:w="493" w:type="pct"/>
            <w:tcBorders>
              <w:top w:val="nil"/>
              <w:left w:val="nil"/>
              <w:bottom w:val="nil"/>
              <w:right w:val="nil"/>
            </w:tcBorders>
            <w:shd w:val="clear" w:color="auto" w:fill="auto"/>
            <w:noWrap/>
            <w:vAlign w:val="bottom"/>
            <w:hideMark/>
          </w:tcPr>
          <w:p w14:paraId="5F908DA5"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99 580</w:t>
            </w:r>
          </w:p>
        </w:tc>
      </w:tr>
      <w:tr w:rsidR="004C6700" w:rsidRPr="005E4981" w14:paraId="47ADCD2F" w14:textId="77777777" w:rsidTr="00836EB5">
        <w:trPr>
          <w:trHeight w:val="300"/>
        </w:trPr>
        <w:tc>
          <w:tcPr>
            <w:tcW w:w="2772" w:type="pct"/>
            <w:tcBorders>
              <w:top w:val="nil"/>
              <w:left w:val="nil"/>
              <w:bottom w:val="nil"/>
              <w:right w:val="nil"/>
            </w:tcBorders>
            <w:shd w:val="clear" w:color="auto" w:fill="auto"/>
            <w:vAlign w:val="bottom"/>
            <w:hideMark/>
          </w:tcPr>
          <w:p w14:paraId="7F9F81CC"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Návratné finančné výpomoci zo VPS a ŠD (konsoliduje sa)</w:t>
            </w:r>
          </w:p>
        </w:tc>
        <w:tc>
          <w:tcPr>
            <w:tcW w:w="578" w:type="pct"/>
            <w:tcBorders>
              <w:top w:val="nil"/>
              <w:left w:val="nil"/>
              <w:bottom w:val="nil"/>
              <w:right w:val="nil"/>
            </w:tcBorders>
            <w:shd w:val="clear" w:color="auto" w:fill="auto"/>
            <w:noWrap/>
            <w:vAlign w:val="bottom"/>
            <w:hideMark/>
          </w:tcPr>
          <w:p w14:paraId="25437815"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174 346</w:t>
            </w:r>
          </w:p>
        </w:tc>
        <w:tc>
          <w:tcPr>
            <w:tcW w:w="578" w:type="pct"/>
            <w:tcBorders>
              <w:top w:val="nil"/>
              <w:left w:val="nil"/>
              <w:bottom w:val="nil"/>
              <w:right w:val="nil"/>
            </w:tcBorders>
            <w:shd w:val="clear" w:color="auto" w:fill="auto"/>
            <w:noWrap/>
            <w:vAlign w:val="bottom"/>
            <w:hideMark/>
          </w:tcPr>
          <w:p w14:paraId="2862729B"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197 574</w:t>
            </w:r>
          </w:p>
        </w:tc>
        <w:tc>
          <w:tcPr>
            <w:tcW w:w="578" w:type="pct"/>
            <w:tcBorders>
              <w:top w:val="nil"/>
              <w:left w:val="nil"/>
              <w:bottom w:val="nil"/>
              <w:right w:val="nil"/>
            </w:tcBorders>
            <w:shd w:val="clear" w:color="auto" w:fill="auto"/>
            <w:noWrap/>
            <w:vAlign w:val="bottom"/>
            <w:hideMark/>
          </w:tcPr>
          <w:p w14:paraId="63D367E4"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129 800</w:t>
            </w:r>
          </w:p>
        </w:tc>
        <w:tc>
          <w:tcPr>
            <w:tcW w:w="493" w:type="pct"/>
            <w:tcBorders>
              <w:top w:val="nil"/>
              <w:left w:val="nil"/>
              <w:bottom w:val="nil"/>
              <w:right w:val="nil"/>
            </w:tcBorders>
            <w:shd w:val="clear" w:color="auto" w:fill="auto"/>
            <w:noWrap/>
            <w:vAlign w:val="bottom"/>
            <w:hideMark/>
          </w:tcPr>
          <w:p w14:paraId="40458FE3"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-67 774</w:t>
            </w:r>
          </w:p>
        </w:tc>
      </w:tr>
      <w:tr w:rsidR="004C6700" w:rsidRPr="005E4981" w14:paraId="4ECE7A89" w14:textId="77777777" w:rsidTr="00836EB5">
        <w:trPr>
          <w:trHeight w:val="300"/>
        </w:trPr>
        <w:tc>
          <w:tcPr>
            <w:tcW w:w="2772" w:type="pct"/>
            <w:tcBorders>
              <w:top w:val="nil"/>
              <w:left w:val="nil"/>
              <w:bottom w:val="nil"/>
              <w:right w:val="nil"/>
            </w:tcBorders>
            <w:shd w:val="clear" w:color="auto" w:fill="auto"/>
            <w:vAlign w:val="bottom"/>
            <w:hideMark/>
          </w:tcPr>
          <w:p w14:paraId="71A5561E"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pôžička od NDF II. (konsoliduje sa)</w:t>
            </w:r>
          </w:p>
        </w:tc>
        <w:tc>
          <w:tcPr>
            <w:tcW w:w="578" w:type="pct"/>
            <w:tcBorders>
              <w:top w:val="nil"/>
              <w:left w:val="nil"/>
              <w:bottom w:val="nil"/>
              <w:right w:val="nil"/>
            </w:tcBorders>
            <w:shd w:val="clear" w:color="auto" w:fill="auto"/>
            <w:noWrap/>
            <w:vAlign w:val="bottom"/>
            <w:hideMark/>
          </w:tcPr>
          <w:p w14:paraId="6EE5B921"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0</w:t>
            </w:r>
          </w:p>
        </w:tc>
        <w:tc>
          <w:tcPr>
            <w:tcW w:w="578" w:type="pct"/>
            <w:tcBorders>
              <w:top w:val="nil"/>
              <w:left w:val="nil"/>
              <w:bottom w:val="nil"/>
              <w:right w:val="nil"/>
            </w:tcBorders>
            <w:shd w:val="clear" w:color="auto" w:fill="auto"/>
            <w:noWrap/>
            <w:vAlign w:val="bottom"/>
            <w:hideMark/>
          </w:tcPr>
          <w:p w14:paraId="7DFC071E"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0</w:t>
            </w:r>
          </w:p>
        </w:tc>
        <w:tc>
          <w:tcPr>
            <w:tcW w:w="578" w:type="pct"/>
            <w:tcBorders>
              <w:top w:val="nil"/>
              <w:left w:val="nil"/>
              <w:bottom w:val="nil"/>
              <w:right w:val="nil"/>
            </w:tcBorders>
            <w:shd w:val="clear" w:color="auto" w:fill="auto"/>
            <w:noWrap/>
            <w:vAlign w:val="bottom"/>
            <w:hideMark/>
          </w:tcPr>
          <w:p w14:paraId="48AA0BE6"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106 290</w:t>
            </w:r>
          </w:p>
        </w:tc>
        <w:tc>
          <w:tcPr>
            <w:tcW w:w="493" w:type="pct"/>
            <w:tcBorders>
              <w:top w:val="nil"/>
              <w:left w:val="nil"/>
              <w:bottom w:val="nil"/>
              <w:right w:val="nil"/>
            </w:tcBorders>
            <w:shd w:val="clear" w:color="auto" w:fill="auto"/>
            <w:noWrap/>
            <w:vAlign w:val="bottom"/>
            <w:hideMark/>
          </w:tcPr>
          <w:p w14:paraId="3E975617"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106 290</w:t>
            </w:r>
          </w:p>
        </w:tc>
      </w:tr>
      <w:tr w:rsidR="004C6700" w:rsidRPr="005E4981" w14:paraId="565046D9" w14:textId="77777777" w:rsidTr="00836EB5">
        <w:trPr>
          <w:trHeight w:val="300"/>
        </w:trPr>
        <w:tc>
          <w:tcPr>
            <w:tcW w:w="2772" w:type="pct"/>
            <w:tcBorders>
              <w:top w:val="nil"/>
              <w:left w:val="nil"/>
              <w:bottom w:val="nil"/>
              <w:right w:val="nil"/>
            </w:tcBorders>
            <w:shd w:val="clear" w:color="auto" w:fill="auto"/>
            <w:vAlign w:val="bottom"/>
            <w:hideMark/>
          </w:tcPr>
          <w:p w14:paraId="623FACDD"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Dlhodobé záväzky z obchodného styku a prijaté preddavky</w:t>
            </w:r>
          </w:p>
        </w:tc>
        <w:tc>
          <w:tcPr>
            <w:tcW w:w="578" w:type="pct"/>
            <w:tcBorders>
              <w:top w:val="nil"/>
              <w:left w:val="nil"/>
              <w:bottom w:val="nil"/>
              <w:right w:val="nil"/>
            </w:tcBorders>
            <w:shd w:val="clear" w:color="auto" w:fill="auto"/>
            <w:noWrap/>
            <w:vAlign w:val="bottom"/>
            <w:hideMark/>
          </w:tcPr>
          <w:p w14:paraId="3FD784FC"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864</w:t>
            </w:r>
          </w:p>
        </w:tc>
        <w:tc>
          <w:tcPr>
            <w:tcW w:w="578" w:type="pct"/>
            <w:tcBorders>
              <w:top w:val="nil"/>
              <w:left w:val="nil"/>
              <w:bottom w:val="nil"/>
              <w:right w:val="nil"/>
            </w:tcBorders>
            <w:shd w:val="clear" w:color="auto" w:fill="auto"/>
            <w:noWrap/>
            <w:vAlign w:val="bottom"/>
            <w:hideMark/>
          </w:tcPr>
          <w:p w14:paraId="4A158433"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9 273</w:t>
            </w:r>
          </w:p>
        </w:tc>
        <w:tc>
          <w:tcPr>
            <w:tcW w:w="578" w:type="pct"/>
            <w:tcBorders>
              <w:top w:val="nil"/>
              <w:left w:val="nil"/>
              <w:bottom w:val="nil"/>
              <w:right w:val="nil"/>
            </w:tcBorders>
            <w:shd w:val="clear" w:color="auto" w:fill="auto"/>
            <w:noWrap/>
            <w:vAlign w:val="bottom"/>
            <w:hideMark/>
          </w:tcPr>
          <w:p w14:paraId="367D6B66"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5 699</w:t>
            </w:r>
          </w:p>
        </w:tc>
        <w:tc>
          <w:tcPr>
            <w:tcW w:w="493" w:type="pct"/>
            <w:tcBorders>
              <w:top w:val="nil"/>
              <w:left w:val="nil"/>
              <w:bottom w:val="nil"/>
              <w:right w:val="nil"/>
            </w:tcBorders>
            <w:shd w:val="clear" w:color="auto" w:fill="auto"/>
            <w:noWrap/>
            <w:vAlign w:val="bottom"/>
            <w:hideMark/>
          </w:tcPr>
          <w:p w14:paraId="048DFDDA"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-3 574</w:t>
            </w:r>
          </w:p>
        </w:tc>
      </w:tr>
      <w:tr w:rsidR="004C6700" w:rsidRPr="005E4981" w14:paraId="44A3F03C" w14:textId="77777777" w:rsidTr="00836EB5">
        <w:trPr>
          <w:trHeight w:val="300"/>
        </w:trPr>
        <w:tc>
          <w:tcPr>
            <w:tcW w:w="2772" w:type="pct"/>
            <w:tcBorders>
              <w:top w:val="nil"/>
              <w:left w:val="nil"/>
              <w:bottom w:val="nil"/>
              <w:right w:val="nil"/>
            </w:tcBorders>
            <w:shd w:val="clear" w:color="auto" w:fill="auto"/>
            <w:noWrap/>
            <w:vAlign w:val="bottom"/>
            <w:hideMark/>
          </w:tcPr>
          <w:p w14:paraId="60BAC494"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Zábezpeky</w:t>
            </w:r>
          </w:p>
        </w:tc>
        <w:tc>
          <w:tcPr>
            <w:tcW w:w="578" w:type="pct"/>
            <w:tcBorders>
              <w:top w:val="nil"/>
              <w:left w:val="nil"/>
              <w:bottom w:val="nil"/>
              <w:right w:val="nil"/>
            </w:tcBorders>
            <w:shd w:val="clear" w:color="auto" w:fill="auto"/>
            <w:noWrap/>
            <w:vAlign w:val="bottom"/>
            <w:hideMark/>
          </w:tcPr>
          <w:p w14:paraId="7814421F"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1 698</w:t>
            </w:r>
          </w:p>
        </w:tc>
        <w:tc>
          <w:tcPr>
            <w:tcW w:w="578" w:type="pct"/>
            <w:tcBorders>
              <w:top w:val="nil"/>
              <w:left w:val="nil"/>
              <w:bottom w:val="nil"/>
              <w:right w:val="nil"/>
            </w:tcBorders>
            <w:shd w:val="clear" w:color="auto" w:fill="auto"/>
            <w:noWrap/>
            <w:vAlign w:val="bottom"/>
            <w:hideMark/>
          </w:tcPr>
          <w:p w14:paraId="3C398FBB"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2 675</w:t>
            </w:r>
          </w:p>
        </w:tc>
        <w:tc>
          <w:tcPr>
            <w:tcW w:w="578" w:type="pct"/>
            <w:tcBorders>
              <w:top w:val="nil"/>
              <w:left w:val="nil"/>
              <w:bottom w:val="nil"/>
              <w:right w:val="nil"/>
            </w:tcBorders>
            <w:shd w:val="clear" w:color="auto" w:fill="auto"/>
            <w:noWrap/>
            <w:vAlign w:val="bottom"/>
            <w:hideMark/>
          </w:tcPr>
          <w:p w14:paraId="074BC524"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4 384</w:t>
            </w:r>
          </w:p>
        </w:tc>
        <w:tc>
          <w:tcPr>
            <w:tcW w:w="493" w:type="pct"/>
            <w:tcBorders>
              <w:top w:val="nil"/>
              <w:left w:val="nil"/>
              <w:bottom w:val="nil"/>
              <w:right w:val="nil"/>
            </w:tcBorders>
            <w:shd w:val="clear" w:color="auto" w:fill="auto"/>
            <w:noWrap/>
            <w:vAlign w:val="bottom"/>
            <w:hideMark/>
          </w:tcPr>
          <w:p w14:paraId="00D69F25"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1 709</w:t>
            </w:r>
          </w:p>
        </w:tc>
      </w:tr>
      <w:tr w:rsidR="004C6700" w:rsidRPr="005E4981" w14:paraId="637CBB33" w14:textId="77777777" w:rsidTr="00836EB5">
        <w:trPr>
          <w:trHeight w:val="290"/>
        </w:trPr>
        <w:tc>
          <w:tcPr>
            <w:tcW w:w="2772" w:type="pct"/>
            <w:tcBorders>
              <w:top w:val="nil"/>
              <w:left w:val="nil"/>
              <w:bottom w:val="nil"/>
              <w:right w:val="nil"/>
            </w:tcBorders>
            <w:shd w:val="clear" w:color="auto" w:fill="auto"/>
            <w:noWrap/>
            <w:vAlign w:val="bottom"/>
            <w:hideMark/>
          </w:tcPr>
          <w:p w14:paraId="60440490" w14:textId="77777777" w:rsidR="004C6700" w:rsidRPr="005E4981" w:rsidRDefault="004C6700" w:rsidP="00836EB5">
            <w:pPr>
              <w:spacing w:after="0" w:line="240" w:lineRule="auto"/>
              <w:jc w:val="left"/>
              <w:rPr>
                <w:rFonts w:eastAsia="Times New Roman" w:cs="Times New Roman"/>
                <w:b/>
                <w:bCs/>
                <w:sz w:val="18"/>
                <w:szCs w:val="18"/>
                <w:lang w:eastAsia="sk-SK"/>
              </w:rPr>
            </w:pPr>
            <w:r w:rsidRPr="005E4981">
              <w:rPr>
                <w:rFonts w:eastAsia="Times New Roman" w:cs="Times New Roman"/>
                <w:b/>
                <w:bCs/>
                <w:sz w:val="18"/>
                <w:szCs w:val="18"/>
                <w:lang w:eastAsia="sk-SK"/>
              </w:rPr>
              <w:t>Spolu nekonsolidovaný dlh VÚC</w:t>
            </w:r>
          </w:p>
        </w:tc>
        <w:tc>
          <w:tcPr>
            <w:tcW w:w="578" w:type="pct"/>
            <w:tcBorders>
              <w:top w:val="nil"/>
              <w:left w:val="nil"/>
              <w:bottom w:val="nil"/>
              <w:right w:val="nil"/>
            </w:tcBorders>
            <w:shd w:val="clear" w:color="auto" w:fill="auto"/>
            <w:noWrap/>
            <w:vAlign w:val="bottom"/>
            <w:hideMark/>
          </w:tcPr>
          <w:p w14:paraId="2C6FFAA8"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507 705</w:t>
            </w:r>
          </w:p>
        </w:tc>
        <w:tc>
          <w:tcPr>
            <w:tcW w:w="578" w:type="pct"/>
            <w:tcBorders>
              <w:top w:val="nil"/>
              <w:left w:val="nil"/>
              <w:bottom w:val="nil"/>
              <w:right w:val="nil"/>
            </w:tcBorders>
            <w:shd w:val="clear" w:color="auto" w:fill="auto"/>
            <w:noWrap/>
            <w:vAlign w:val="bottom"/>
            <w:hideMark/>
          </w:tcPr>
          <w:p w14:paraId="5EEFB98C"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565 287</w:t>
            </w:r>
          </w:p>
        </w:tc>
        <w:tc>
          <w:tcPr>
            <w:tcW w:w="578" w:type="pct"/>
            <w:tcBorders>
              <w:top w:val="nil"/>
              <w:left w:val="nil"/>
              <w:bottom w:val="nil"/>
              <w:right w:val="nil"/>
            </w:tcBorders>
            <w:shd w:val="clear" w:color="auto" w:fill="auto"/>
            <w:noWrap/>
            <w:vAlign w:val="bottom"/>
            <w:hideMark/>
          </w:tcPr>
          <w:p w14:paraId="2DAE2ABE"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701 518</w:t>
            </w:r>
          </w:p>
        </w:tc>
        <w:tc>
          <w:tcPr>
            <w:tcW w:w="493" w:type="pct"/>
            <w:tcBorders>
              <w:top w:val="nil"/>
              <w:left w:val="nil"/>
              <w:bottom w:val="nil"/>
              <w:right w:val="nil"/>
            </w:tcBorders>
            <w:shd w:val="clear" w:color="auto" w:fill="auto"/>
            <w:noWrap/>
            <w:vAlign w:val="bottom"/>
            <w:hideMark/>
          </w:tcPr>
          <w:p w14:paraId="0DAA90AB"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136 231</w:t>
            </w:r>
          </w:p>
        </w:tc>
      </w:tr>
      <w:tr w:rsidR="004C6700" w:rsidRPr="005E4981" w14:paraId="04F0C2D8" w14:textId="77777777" w:rsidTr="00836EB5">
        <w:trPr>
          <w:trHeight w:val="530"/>
        </w:trPr>
        <w:tc>
          <w:tcPr>
            <w:tcW w:w="2772" w:type="pct"/>
            <w:tcBorders>
              <w:top w:val="nil"/>
              <w:left w:val="nil"/>
              <w:bottom w:val="single" w:sz="4" w:space="0" w:color="auto"/>
              <w:right w:val="nil"/>
            </w:tcBorders>
            <w:shd w:val="clear" w:color="auto" w:fill="auto"/>
            <w:vAlign w:val="bottom"/>
            <w:hideMark/>
          </w:tcPr>
          <w:p w14:paraId="43266D84" w14:textId="77777777" w:rsidR="004C6700" w:rsidRPr="005E4981" w:rsidRDefault="004C6700" w:rsidP="00836EB5">
            <w:pPr>
              <w:spacing w:after="0" w:line="240" w:lineRule="auto"/>
              <w:jc w:val="left"/>
              <w:rPr>
                <w:rFonts w:eastAsia="Times New Roman" w:cs="Times New Roman"/>
                <w:b/>
                <w:bCs/>
                <w:sz w:val="18"/>
                <w:szCs w:val="18"/>
                <w:lang w:eastAsia="sk-SK"/>
              </w:rPr>
            </w:pPr>
            <w:r w:rsidRPr="005E4981">
              <w:rPr>
                <w:rFonts w:eastAsia="Times New Roman" w:cs="Times New Roman"/>
                <w:b/>
                <w:bCs/>
                <w:sz w:val="18"/>
                <w:szCs w:val="18"/>
                <w:lang w:eastAsia="sk-SK"/>
              </w:rPr>
              <w:t>Konsolidovaný príspevok VÚC do konsolidovaného dlhu verejnej správy</w:t>
            </w:r>
          </w:p>
        </w:tc>
        <w:tc>
          <w:tcPr>
            <w:tcW w:w="578" w:type="pct"/>
            <w:tcBorders>
              <w:top w:val="nil"/>
              <w:left w:val="nil"/>
              <w:bottom w:val="single" w:sz="4" w:space="0" w:color="auto"/>
              <w:right w:val="nil"/>
            </w:tcBorders>
            <w:shd w:val="clear" w:color="auto" w:fill="auto"/>
            <w:noWrap/>
            <w:vAlign w:val="bottom"/>
            <w:hideMark/>
          </w:tcPr>
          <w:p w14:paraId="34444090"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333 359</w:t>
            </w:r>
          </w:p>
        </w:tc>
        <w:tc>
          <w:tcPr>
            <w:tcW w:w="578" w:type="pct"/>
            <w:tcBorders>
              <w:top w:val="nil"/>
              <w:left w:val="nil"/>
              <w:bottom w:val="single" w:sz="4" w:space="0" w:color="auto"/>
              <w:right w:val="nil"/>
            </w:tcBorders>
            <w:shd w:val="clear" w:color="auto" w:fill="auto"/>
            <w:noWrap/>
            <w:vAlign w:val="bottom"/>
            <w:hideMark/>
          </w:tcPr>
          <w:p w14:paraId="396DA576"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367 713</w:t>
            </w:r>
          </w:p>
        </w:tc>
        <w:tc>
          <w:tcPr>
            <w:tcW w:w="578" w:type="pct"/>
            <w:tcBorders>
              <w:top w:val="nil"/>
              <w:left w:val="nil"/>
              <w:bottom w:val="single" w:sz="4" w:space="0" w:color="auto"/>
              <w:right w:val="nil"/>
            </w:tcBorders>
            <w:shd w:val="clear" w:color="auto" w:fill="auto"/>
            <w:noWrap/>
            <w:vAlign w:val="bottom"/>
            <w:hideMark/>
          </w:tcPr>
          <w:p w14:paraId="3E716ED8"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465 428</w:t>
            </w:r>
          </w:p>
        </w:tc>
        <w:tc>
          <w:tcPr>
            <w:tcW w:w="493" w:type="pct"/>
            <w:tcBorders>
              <w:top w:val="nil"/>
              <w:left w:val="nil"/>
              <w:bottom w:val="single" w:sz="4" w:space="0" w:color="auto"/>
              <w:right w:val="nil"/>
            </w:tcBorders>
            <w:shd w:val="clear" w:color="auto" w:fill="auto"/>
            <w:noWrap/>
            <w:vAlign w:val="bottom"/>
            <w:hideMark/>
          </w:tcPr>
          <w:p w14:paraId="20B6192E"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97 715</w:t>
            </w:r>
          </w:p>
        </w:tc>
      </w:tr>
    </w:tbl>
    <w:p w14:paraId="236F96BC" w14:textId="77777777" w:rsidR="004C6700" w:rsidRPr="005E4981" w:rsidRDefault="004C6700" w:rsidP="004C6700">
      <w:pPr>
        <w:jc w:val="right"/>
        <w:rPr>
          <w:sz w:val="18"/>
          <w:szCs w:val="18"/>
        </w:rPr>
      </w:pPr>
      <w:r w:rsidRPr="005E4981">
        <w:rPr>
          <w:sz w:val="18"/>
          <w:szCs w:val="18"/>
        </w:rPr>
        <w:t>Zdroj: MF SR</w:t>
      </w:r>
    </w:p>
    <w:p w14:paraId="0AF681F7" w14:textId="77777777" w:rsidR="004C6700" w:rsidRDefault="004C6700" w:rsidP="004C6700">
      <w:pPr>
        <w:spacing w:before="120" w:line="240" w:lineRule="auto"/>
        <w:rPr>
          <w:sz w:val="24"/>
          <w:szCs w:val="24"/>
        </w:rPr>
      </w:pPr>
      <w:r w:rsidRPr="00A44F2A">
        <w:rPr>
          <w:sz w:val="24"/>
          <w:szCs w:val="24"/>
        </w:rPr>
        <w:t>Nárast nekonsolidovaného dlhu VÚC bol spôsobený najmä poskytnutím pôžičiek od</w:t>
      </w:r>
      <w:r>
        <w:rPr>
          <w:sz w:val="24"/>
          <w:szCs w:val="24"/>
        </w:rPr>
        <w:t xml:space="preserve"> spoločnosti </w:t>
      </w:r>
      <w:r w:rsidRPr="00A44F2A">
        <w:rPr>
          <w:sz w:val="24"/>
          <w:szCs w:val="24"/>
        </w:rPr>
        <w:t xml:space="preserve">National </w:t>
      </w:r>
      <w:proofErr w:type="spellStart"/>
      <w:r w:rsidRPr="00A44F2A">
        <w:rPr>
          <w:sz w:val="24"/>
          <w:szCs w:val="24"/>
        </w:rPr>
        <w:t>Developm</w:t>
      </w:r>
      <w:r>
        <w:rPr>
          <w:sz w:val="24"/>
          <w:szCs w:val="24"/>
        </w:rPr>
        <w:t>e</w:t>
      </w:r>
      <w:r w:rsidRPr="00A44F2A">
        <w:rPr>
          <w:sz w:val="24"/>
          <w:szCs w:val="24"/>
        </w:rPr>
        <w:t>nt</w:t>
      </w:r>
      <w:proofErr w:type="spellEnd"/>
      <w:r w:rsidRPr="00A44F2A">
        <w:rPr>
          <w:sz w:val="24"/>
          <w:szCs w:val="24"/>
        </w:rPr>
        <w:t xml:space="preserve"> </w:t>
      </w:r>
      <w:proofErr w:type="spellStart"/>
      <w:r w:rsidRPr="00A44F2A">
        <w:rPr>
          <w:sz w:val="24"/>
          <w:szCs w:val="24"/>
        </w:rPr>
        <w:t>Fund</w:t>
      </w:r>
      <w:proofErr w:type="spellEnd"/>
      <w:r w:rsidRPr="00A44F2A">
        <w:rPr>
          <w:sz w:val="24"/>
          <w:szCs w:val="24"/>
        </w:rPr>
        <w:t xml:space="preserve"> II. samosprávnym krajom v súhrnnej výške 106 290 tis. eur (Prešovský samosprávny kraj čerpal 30 000 tis. eur, Bratislavský samosprávny kraj 26 600 tis. eur, Žilinský samosprávny kraj 20 000 tis. eur, Košický samosprávny kraj 18 290 tis. eur a Bansko-bystrický samosprávny kraj 11 400 tis. eur)</w:t>
      </w:r>
      <w:r>
        <w:rPr>
          <w:sz w:val="24"/>
          <w:szCs w:val="24"/>
        </w:rPr>
        <w:t>.</w:t>
      </w:r>
    </w:p>
    <w:p w14:paraId="2DE4A823" w14:textId="197F471F" w:rsidR="004C6700" w:rsidRPr="004B1913" w:rsidRDefault="004C6700" w:rsidP="004C6700">
      <w:pPr>
        <w:spacing w:before="120" w:line="240" w:lineRule="auto"/>
        <w:rPr>
          <w:sz w:val="24"/>
          <w:szCs w:val="24"/>
        </w:rPr>
      </w:pPr>
      <w:r w:rsidRPr="009C7D2C">
        <w:rPr>
          <w:sz w:val="24"/>
          <w:szCs w:val="24"/>
        </w:rPr>
        <w:t xml:space="preserve">V priebehu roka 2023 neboli zo štátnych finančných aktív poskytnuté nové návratné finančné výpomoci samosprávnym krajom. Avšak </w:t>
      </w:r>
      <w:r>
        <w:rPr>
          <w:sz w:val="24"/>
          <w:szCs w:val="24"/>
        </w:rPr>
        <w:t xml:space="preserve">prišlo k úhrade výpomocí poskytnutých </w:t>
      </w:r>
      <w:r w:rsidRPr="009C7D2C">
        <w:rPr>
          <w:sz w:val="24"/>
          <w:szCs w:val="24"/>
        </w:rPr>
        <w:t xml:space="preserve">v predchádzajúcich </w:t>
      </w:r>
      <w:r>
        <w:rPr>
          <w:sz w:val="24"/>
          <w:szCs w:val="24"/>
        </w:rPr>
        <w:t xml:space="preserve">rokoch zo strany </w:t>
      </w:r>
      <w:r w:rsidRPr="009C7D2C">
        <w:rPr>
          <w:sz w:val="24"/>
          <w:szCs w:val="24"/>
        </w:rPr>
        <w:t xml:space="preserve">Banskobystrického (3 300 tis. eur), </w:t>
      </w:r>
      <w:r>
        <w:rPr>
          <w:sz w:val="24"/>
          <w:szCs w:val="24"/>
        </w:rPr>
        <w:t xml:space="preserve">Prešovského (2 200 tis. eur), Trenčianskeho (2 000 tis. eur), Košického (2 000 tis. eur), Bratislavského (1 700 tis. eur), Žilinského (1 500 tis. eur), </w:t>
      </w:r>
      <w:r w:rsidRPr="009C7D2C">
        <w:rPr>
          <w:sz w:val="24"/>
          <w:szCs w:val="24"/>
        </w:rPr>
        <w:t>Trnavského (1 500 tis. eur)</w:t>
      </w:r>
      <w:r>
        <w:rPr>
          <w:sz w:val="24"/>
          <w:szCs w:val="24"/>
        </w:rPr>
        <w:t xml:space="preserve"> a Nitrianskeho samosprávneho kraja (1 500 tis. eur). </w:t>
      </w:r>
      <w:r w:rsidRPr="00F954FF">
        <w:rPr>
          <w:sz w:val="24"/>
          <w:szCs w:val="24"/>
        </w:rPr>
        <w:t xml:space="preserve">Nesplatená hodnota návratných finančných výpomocí, ktoré boli v predchádzajúcich rokoch poskytnuté samosprávnym krajom, predstavuje ku koncu roka 2023 súhrnne </w:t>
      </w:r>
      <w:r>
        <w:rPr>
          <w:sz w:val="24"/>
          <w:szCs w:val="24"/>
        </w:rPr>
        <w:t>129 800</w:t>
      </w:r>
      <w:r w:rsidRPr="00F954FF">
        <w:rPr>
          <w:sz w:val="24"/>
          <w:szCs w:val="24"/>
        </w:rPr>
        <w:t xml:space="preserve"> tis eur, pričom </w:t>
      </w:r>
      <w:r>
        <w:rPr>
          <w:sz w:val="24"/>
          <w:szCs w:val="24"/>
        </w:rPr>
        <w:t>n</w:t>
      </w:r>
      <w:r w:rsidRPr="004B1913">
        <w:rPr>
          <w:sz w:val="24"/>
          <w:szCs w:val="24"/>
        </w:rPr>
        <w:t xml:space="preserve">ávratné finančné výpomoci poskytnuté </w:t>
      </w:r>
      <w:r>
        <w:rPr>
          <w:sz w:val="24"/>
          <w:szCs w:val="24"/>
        </w:rPr>
        <w:t xml:space="preserve">samosprávnym krajom </w:t>
      </w:r>
      <w:r w:rsidRPr="004B1913">
        <w:rPr>
          <w:sz w:val="24"/>
          <w:szCs w:val="24"/>
        </w:rPr>
        <w:t>počas roka 2020 za účelom zmiernenia negatívneho dopadu pandémie COVID-19 vo</w:t>
      </w:r>
      <w:r>
        <w:rPr>
          <w:sz w:val="24"/>
          <w:szCs w:val="24"/>
        </w:rPr>
        <w:t> </w:t>
      </w:r>
      <w:r w:rsidRPr="004B1913">
        <w:rPr>
          <w:sz w:val="24"/>
          <w:szCs w:val="24"/>
        </w:rPr>
        <w:t xml:space="preserve">výške </w:t>
      </w:r>
      <w:r>
        <w:rPr>
          <w:sz w:val="24"/>
          <w:szCs w:val="24"/>
        </w:rPr>
        <w:t>52 074</w:t>
      </w:r>
      <w:r w:rsidRPr="004B1913">
        <w:rPr>
          <w:sz w:val="24"/>
          <w:szCs w:val="24"/>
        </w:rPr>
        <w:t xml:space="preserve"> tis. eur boli v plnej výške odpustené. </w:t>
      </w:r>
    </w:p>
    <w:p w14:paraId="0842C11C" w14:textId="77777777" w:rsidR="004A6E2F" w:rsidRDefault="004A6E2F">
      <w:r>
        <w:br w:type="page"/>
      </w:r>
    </w:p>
    <w:tbl>
      <w:tblPr>
        <w:tblW w:w="5000" w:type="pct"/>
        <w:tblCellMar>
          <w:left w:w="70" w:type="dxa"/>
          <w:right w:w="70" w:type="dxa"/>
        </w:tblCellMar>
        <w:tblLook w:val="04A0" w:firstRow="1" w:lastRow="0" w:firstColumn="1" w:lastColumn="0" w:noHBand="0" w:noVBand="1"/>
      </w:tblPr>
      <w:tblGrid>
        <w:gridCol w:w="2253"/>
        <w:gridCol w:w="2151"/>
        <w:gridCol w:w="1913"/>
        <w:gridCol w:w="1810"/>
        <w:gridCol w:w="1087"/>
      </w:tblGrid>
      <w:tr w:rsidR="004C6700" w:rsidRPr="00F954FF" w14:paraId="516D1267" w14:textId="77777777" w:rsidTr="00836EB5">
        <w:trPr>
          <w:trHeight w:val="290"/>
        </w:trPr>
        <w:tc>
          <w:tcPr>
            <w:tcW w:w="5000" w:type="pct"/>
            <w:gridSpan w:val="5"/>
            <w:tcBorders>
              <w:top w:val="nil"/>
              <w:left w:val="nil"/>
              <w:bottom w:val="single" w:sz="4" w:space="0" w:color="auto"/>
              <w:right w:val="nil"/>
            </w:tcBorders>
            <w:shd w:val="clear" w:color="auto" w:fill="auto"/>
            <w:noWrap/>
            <w:vAlign w:val="center"/>
            <w:hideMark/>
          </w:tcPr>
          <w:p w14:paraId="38132487" w14:textId="7EFB42E8" w:rsidR="004C6700" w:rsidRPr="00F954FF" w:rsidRDefault="004C6700" w:rsidP="005E4981">
            <w:pPr>
              <w:spacing w:line="240" w:lineRule="auto"/>
              <w:jc w:val="left"/>
              <w:rPr>
                <w:rFonts w:eastAsia="Times New Roman" w:cs="Times New Roman"/>
                <w:b/>
                <w:bCs/>
                <w:color w:val="5B9BD5"/>
                <w:sz w:val="20"/>
                <w:szCs w:val="20"/>
                <w:lang w:eastAsia="sk-SK"/>
              </w:rPr>
            </w:pPr>
            <w:r>
              <w:rPr>
                <w:rFonts w:eastAsia="Times New Roman" w:cs="Times New Roman"/>
                <w:b/>
                <w:bCs/>
                <w:color w:val="5B9BD5"/>
                <w:sz w:val="20"/>
                <w:szCs w:val="20"/>
                <w:lang w:eastAsia="sk-SK"/>
              </w:rPr>
              <w:lastRenderedPageBreak/>
              <w:t>Tabuľka 20</w:t>
            </w:r>
            <w:r w:rsidRPr="00F954FF">
              <w:rPr>
                <w:rFonts w:eastAsia="Times New Roman" w:cs="Times New Roman"/>
                <w:b/>
                <w:bCs/>
                <w:color w:val="5B9BD5"/>
                <w:sz w:val="20"/>
                <w:szCs w:val="20"/>
                <w:lang w:eastAsia="sk-SK"/>
              </w:rPr>
              <w:t xml:space="preserve"> - Nekonsolidovaný dlh VÚC podľa samosprávnych krajov k 31.12.2023</w:t>
            </w:r>
          </w:p>
        </w:tc>
      </w:tr>
      <w:tr w:rsidR="004C6700" w:rsidRPr="005E4981" w14:paraId="69CC7820" w14:textId="77777777" w:rsidTr="004A6E2F">
        <w:trPr>
          <w:trHeight w:val="570"/>
        </w:trPr>
        <w:tc>
          <w:tcPr>
            <w:tcW w:w="1223" w:type="pct"/>
            <w:tcBorders>
              <w:top w:val="nil"/>
              <w:left w:val="nil"/>
              <w:bottom w:val="single" w:sz="4" w:space="0" w:color="auto"/>
              <w:right w:val="nil"/>
            </w:tcBorders>
            <w:shd w:val="clear" w:color="auto" w:fill="auto"/>
            <w:noWrap/>
            <w:vAlign w:val="center"/>
            <w:hideMark/>
          </w:tcPr>
          <w:p w14:paraId="6067DE92" w14:textId="77777777" w:rsidR="004C6700" w:rsidRPr="005E4981" w:rsidRDefault="004C6700" w:rsidP="00836EB5">
            <w:pPr>
              <w:spacing w:after="0" w:line="240" w:lineRule="auto"/>
              <w:jc w:val="left"/>
              <w:rPr>
                <w:rFonts w:eastAsia="Times New Roman" w:cs="Times New Roman"/>
                <w:b/>
                <w:bCs/>
                <w:sz w:val="18"/>
                <w:szCs w:val="18"/>
                <w:lang w:eastAsia="sk-SK"/>
              </w:rPr>
            </w:pPr>
            <w:r w:rsidRPr="005E4981">
              <w:rPr>
                <w:rFonts w:eastAsia="Times New Roman" w:cs="Times New Roman"/>
                <w:b/>
                <w:bCs/>
                <w:sz w:val="18"/>
                <w:szCs w:val="18"/>
                <w:lang w:eastAsia="sk-SK"/>
              </w:rPr>
              <w:t>v tis. eur</w:t>
            </w:r>
          </w:p>
        </w:tc>
        <w:tc>
          <w:tcPr>
            <w:tcW w:w="1167" w:type="pct"/>
            <w:tcBorders>
              <w:top w:val="nil"/>
              <w:left w:val="nil"/>
              <w:bottom w:val="single" w:sz="4" w:space="0" w:color="auto"/>
              <w:right w:val="nil"/>
            </w:tcBorders>
            <w:shd w:val="clear" w:color="auto" w:fill="auto"/>
            <w:noWrap/>
            <w:vAlign w:val="center"/>
            <w:hideMark/>
          </w:tcPr>
          <w:p w14:paraId="0BD26920"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Bankové úvery</w:t>
            </w:r>
          </w:p>
        </w:tc>
        <w:tc>
          <w:tcPr>
            <w:tcW w:w="1038" w:type="pct"/>
            <w:tcBorders>
              <w:top w:val="nil"/>
              <w:left w:val="nil"/>
              <w:bottom w:val="single" w:sz="4" w:space="0" w:color="auto"/>
              <w:right w:val="nil"/>
            </w:tcBorders>
            <w:shd w:val="clear" w:color="auto" w:fill="auto"/>
            <w:vAlign w:val="center"/>
            <w:hideMark/>
          </w:tcPr>
          <w:p w14:paraId="22179B30"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Návratné fin. výpomoci</w:t>
            </w:r>
          </w:p>
        </w:tc>
        <w:tc>
          <w:tcPr>
            <w:tcW w:w="982" w:type="pct"/>
            <w:tcBorders>
              <w:top w:val="nil"/>
              <w:left w:val="nil"/>
              <w:bottom w:val="single" w:sz="4" w:space="0" w:color="auto"/>
              <w:right w:val="nil"/>
            </w:tcBorders>
            <w:shd w:val="clear" w:color="auto" w:fill="auto"/>
            <w:vAlign w:val="center"/>
            <w:hideMark/>
          </w:tcPr>
          <w:p w14:paraId="7EA93A81"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Ostatné dlhové nástroje</w:t>
            </w:r>
          </w:p>
        </w:tc>
        <w:tc>
          <w:tcPr>
            <w:tcW w:w="590" w:type="pct"/>
            <w:tcBorders>
              <w:top w:val="nil"/>
              <w:left w:val="nil"/>
              <w:bottom w:val="single" w:sz="4" w:space="0" w:color="auto"/>
              <w:right w:val="nil"/>
            </w:tcBorders>
            <w:shd w:val="clear" w:color="auto" w:fill="auto"/>
            <w:noWrap/>
            <w:vAlign w:val="center"/>
            <w:hideMark/>
          </w:tcPr>
          <w:p w14:paraId="3D365E4D" w14:textId="77777777" w:rsidR="004C6700" w:rsidRPr="005E4981" w:rsidRDefault="004C6700" w:rsidP="00836EB5">
            <w:pPr>
              <w:spacing w:after="0" w:line="240" w:lineRule="auto"/>
              <w:jc w:val="center"/>
              <w:rPr>
                <w:rFonts w:eastAsia="Times New Roman" w:cs="Times New Roman"/>
                <w:b/>
                <w:bCs/>
                <w:sz w:val="18"/>
                <w:szCs w:val="18"/>
                <w:lang w:eastAsia="sk-SK"/>
              </w:rPr>
            </w:pPr>
            <w:r w:rsidRPr="005E4981">
              <w:rPr>
                <w:rFonts w:eastAsia="Times New Roman" w:cs="Times New Roman"/>
                <w:b/>
                <w:bCs/>
                <w:sz w:val="18"/>
                <w:szCs w:val="18"/>
                <w:lang w:eastAsia="sk-SK"/>
              </w:rPr>
              <w:t>Spolu</w:t>
            </w:r>
          </w:p>
        </w:tc>
      </w:tr>
      <w:tr w:rsidR="004C6700" w:rsidRPr="005E4981" w14:paraId="12B738FB" w14:textId="77777777" w:rsidTr="004A6E2F">
        <w:trPr>
          <w:trHeight w:val="290"/>
        </w:trPr>
        <w:tc>
          <w:tcPr>
            <w:tcW w:w="1223" w:type="pct"/>
            <w:tcBorders>
              <w:top w:val="nil"/>
              <w:left w:val="nil"/>
              <w:bottom w:val="nil"/>
              <w:right w:val="nil"/>
            </w:tcBorders>
            <w:shd w:val="clear" w:color="auto" w:fill="auto"/>
            <w:noWrap/>
            <w:vAlign w:val="bottom"/>
            <w:hideMark/>
          </w:tcPr>
          <w:p w14:paraId="642960C1"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Košický</w:t>
            </w:r>
          </w:p>
        </w:tc>
        <w:tc>
          <w:tcPr>
            <w:tcW w:w="1167" w:type="pct"/>
            <w:tcBorders>
              <w:top w:val="nil"/>
              <w:left w:val="nil"/>
              <w:bottom w:val="nil"/>
              <w:right w:val="nil"/>
            </w:tcBorders>
            <w:shd w:val="clear" w:color="auto" w:fill="auto"/>
            <w:noWrap/>
            <w:vAlign w:val="bottom"/>
            <w:hideMark/>
          </w:tcPr>
          <w:p w14:paraId="2271B2FE"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93 134</w:t>
            </w:r>
          </w:p>
        </w:tc>
        <w:tc>
          <w:tcPr>
            <w:tcW w:w="1038" w:type="pct"/>
            <w:tcBorders>
              <w:top w:val="nil"/>
              <w:left w:val="nil"/>
              <w:bottom w:val="nil"/>
              <w:right w:val="nil"/>
            </w:tcBorders>
            <w:shd w:val="clear" w:color="auto" w:fill="auto"/>
            <w:noWrap/>
            <w:vAlign w:val="bottom"/>
            <w:hideMark/>
          </w:tcPr>
          <w:p w14:paraId="7EEC7CCE"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36 290</w:t>
            </w:r>
          </w:p>
        </w:tc>
        <w:tc>
          <w:tcPr>
            <w:tcW w:w="982" w:type="pct"/>
            <w:tcBorders>
              <w:top w:val="nil"/>
              <w:left w:val="nil"/>
              <w:bottom w:val="nil"/>
              <w:right w:val="nil"/>
            </w:tcBorders>
            <w:shd w:val="clear" w:color="auto" w:fill="auto"/>
            <w:noWrap/>
            <w:vAlign w:val="bottom"/>
            <w:hideMark/>
          </w:tcPr>
          <w:p w14:paraId="517CF66D"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267</w:t>
            </w:r>
          </w:p>
        </w:tc>
        <w:tc>
          <w:tcPr>
            <w:tcW w:w="590" w:type="pct"/>
            <w:tcBorders>
              <w:top w:val="nil"/>
              <w:left w:val="nil"/>
              <w:bottom w:val="nil"/>
              <w:right w:val="nil"/>
            </w:tcBorders>
            <w:shd w:val="clear" w:color="auto" w:fill="auto"/>
            <w:noWrap/>
            <w:vAlign w:val="bottom"/>
            <w:hideMark/>
          </w:tcPr>
          <w:p w14:paraId="42069CB9"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129 691</w:t>
            </w:r>
          </w:p>
        </w:tc>
      </w:tr>
      <w:tr w:rsidR="004C6700" w:rsidRPr="005E4981" w14:paraId="429D23E8" w14:textId="77777777" w:rsidTr="004A6E2F">
        <w:trPr>
          <w:trHeight w:val="290"/>
        </w:trPr>
        <w:tc>
          <w:tcPr>
            <w:tcW w:w="1223" w:type="pct"/>
            <w:tcBorders>
              <w:top w:val="nil"/>
              <w:left w:val="nil"/>
              <w:bottom w:val="nil"/>
              <w:right w:val="nil"/>
            </w:tcBorders>
            <w:shd w:val="clear" w:color="auto" w:fill="auto"/>
            <w:noWrap/>
            <w:vAlign w:val="bottom"/>
            <w:hideMark/>
          </w:tcPr>
          <w:p w14:paraId="1A11AB82"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Prešovský</w:t>
            </w:r>
          </w:p>
        </w:tc>
        <w:tc>
          <w:tcPr>
            <w:tcW w:w="1167" w:type="pct"/>
            <w:tcBorders>
              <w:top w:val="nil"/>
              <w:left w:val="nil"/>
              <w:bottom w:val="nil"/>
              <w:right w:val="nil"/>
            </w:tcBorders>
            <w:shd w:val="clear" w:color="auto" w:fill="auto"/>
            <w:noWrap/>
            <w:vAlign w:val="bottom"/>
            <w:hideMark/>
          </w:tcPr>
          <w:p w14:paraId="32ED6827"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81 341</w:t>
            </w:r>
          </w:p>
        </w:tc>
        <w:tc>
          <w:tcPr>
            <w:tcW w:w="1038" w:type="pct"/>
            <w:tcBorders>
              <w:top w:val="nil"/>
              <w:left w:val="nil"/>
              <w:bottom w:val="nil"/>
              <w:right w:val="nil"/>
            </w:tcBorders>
            <w:shd w:val="clear" w:color="auto" w:fill="auto"/>
            <w:noWrap/>
            <w:vAlign w:val="bottom"/>
            <w:hideMark/>
          </w:tcPr>
          <w:p w14:paraId="58C17669"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38 400</w:t>
            </w:r>
          </w:p>
        </w:tc>
        <w:tc>
          <w:tcPr>
            <w:tcW w:w="982" w:type="pct"/>
            <w:tcBorders>
              <w:top w:val="nil"/>
              <w:left w:val="nil"/>
              <w:bottom w:val="nil"/>
              <w:right w:val="nil"/>
            </w:tcBorders>
            <w:shd w:val="clear" w:color="auto" w:fill="auto"/>
            <w:noWrap/>
            <w:vAlign w:val="bottom"/>
            <w:hideMark/>
          </w:tcPr>
          <w:p w14:paraId="10E8769C"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5 989</w:t>
            </w:r>
          </w:p>
        </w:tc>
        <w:tc>
          <w:tcPr>
            <w:tcW w:w="590" w:type="pct"/>
            <w:tcBorders>
              <w:top w:val="nil"/>
              <w:left w:val="nil"/>
              <w:bottom w:val="nil"/>
              <w:right w:val="nil"/>
            </w:tcBorders>
            <w:shd w:val="clear" w:color="auto" w:fill="auto"/>
            <w:noWrap/>
            <w:vAlign w:val="bottom"/>
            <w:hideMark/>
          </w:tcPr>
          <w:p w14:paraId="411AF7B1"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125 730</w:t>
            </w:r>
          </w:p>
        </w:tc>
      </w:tr>
      <w:tr w:rsidR="004C6700" w:rsidRPr="005E4981" w14:paraId="4BB10A98" w14:textId="77777777" w:rsidTr="004A6E2F">
        <w:trPr>
          <w:trHeight w:val="290"/>
        </w:trPr>
        <w:tc>
          <w:tcPr>
            <w:tcW w:w="1223" w:type="pct"/>
            <w:tcBorders>
              <w:top w:val="nil"/>
              <w:left w:val="nil"/>
              <w:bottom w:val="nil"/>
              <w:right w:val="nil"/>
            </w:tcBorders>
            <w:shd w:val="clear" w:color="auto" w:fill="auto"/>
            <w:noWrap/>
            <w:vAlign w:val="bottom"/>
            <w:hideMark/>
          </w:tcPr>
          <w:p w14:paraId="2177569F"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Bratislavský</w:t>
            </w:r>
          </w:p>
        </w:tc>
        <w:tc>
          <w:tcPr>
            <w:tcW w:w="1167" w:type="pct"/>
            <w:tcBorders>
              <w:top w:val="nil"/>
              <w:left w:val="nil"/>
              <w:bottom w:val="nil"/>
              <w:right w:val="nil"/>
            </w:tcBorders>
            <w:shd w:val="clear" w:color="auto" w:fill="auto"/>
            <w:noWrap/>
            <w:vAlign w:val="bottom"/>
            <w:hideMark/>
          </w:tcPr>
          <w:p w14:paraId="7A42D558"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63 124</w:t>
            </w:r>
          </w:p>
        </w:tc>
        <w:tc>
          <w:tcPr>
            <w:tcW w:w="1038" w:type="pct"/>
            <w:tcBorders>
              <w:top w:val="nil"/>
              <w:left w:val="nil"/>
              <w:bottom w:val="nil"/>
              <w:right w:val="nil"/>
            </w:tcBorders>
            <w:shd w:val="clear" w:color="auto" w:fill="auto"/>
            <w:noWrap/>
            <w:vAlign w:val="bottom"/>
            <w:hideMark/>
          </w:tcPr>
          <w:p w14:paraId="70FF8B06"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49 900</w:t>
            </w:r>
          </w:p>
        </w:tc>
        <w:tc>
          <w:tcPr>
            <w:tcW w:w="982" w:type="pct"/>
            <w:tcBorders>
              <w:top w:val="nil"/>
              <w:left w:val="nil"/>
              <w:bottom w:val="nil"/>
              <w:right w:val="nil"/>
            </w:tcBorders>
            <w:shd w:val="clear" w:color="auto" w:fill="auto"/>
            <w:noWrap/>
            <w:vAlign w:val="bottom"/>
            <w:hideMark/>
          </w:tcPr>
          <w:p w14:paraId="16856157"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162</w:t>
            </w:r>
          </w:p>
        </w:tc>
        <w:tc>
          <w:tcPr>
            <w:tcW w:w="590" w:type="pct"/>
            <w:tcBorders>
              <w:top w:val="nil"/>
              <w:left w:val="nil"/>
              <w:bottom w:val="nil"/>
              <w:right w:val="nil"/>
            </w:tcBorders>
            <w:shd w:val="clear" w:color="auto" w:fill="auto"/>
            <w:noWrap/>
            <w:vAlign w:val="bottom"/>
            <w:hideMark/>
          </w:tcPr>
          <w:p w14:paraId="15F3F956"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113 186</w:t>
            </w:r>
          </w:p>
        </w:tc>
      </w:tr>
      <w:tr w:rsidR="004C6700" w:rsidRPr="005E4981" w14:paraId="6A036AE5" w14:textId="77777777" w:rsidTr="004A6E2F">
        <w:trPr>
          <w:trHeight w:val="290"/>
        </w:trPr>
        <w:tc>
          <w:tcPr>
            <w:tcW w:w="1223" w:type="pct"/>
            <w:tcBorders>
              <w:top w:val="nil"/>
              <w:left w:val="nil"/>
              <w:bottom w:val="nil"/>
              <w:right w:val="nil"/>
            </w:tcBorders>
            <w:shd w:val="clear" w:color="auto" w:fill="auto"/>
            <w:noWrap/>
            <w:vAlign w:val="bottom"/>
            <w:hideMark/>
          </w:tcPr>
          <w:p w14:paraId="61F04574"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Banskobystrický</w:t>
            </w:r>
          </w:p>
        </w:tc>
        <w:tc>
          <w:tcPr>
            <w:tcW w:w="1167" w:type="pct"/>
            <w:tcBorders>
              <w:top w:val="nil"/>
              <w:left w:val="nil"/>
              <w:bottom w:val="nil"/>
              <w:right w:val="nil"/>
            </w:tcBorders>
            <w:shd w:val="clear" w:color="auto" w:fill="auto"/>
            <w:noWrap/>
            <w:vAlign w:val="bottom"/>
            <w:hideMark/>
          </w:tcPr>
          <w:p w14:paraId="59A563FB"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61 793</w:t>
            </w:r>
          </w:p>
        </w:tc>
        <w:tc>
          <w:tcPr>
            <w:tcW w:w="1038" w:type="pct"/>
            <w:tcBorders>
              <w:top w:val="nil"/>
              <w:left w:val="nil"/>
              <w:bottom w:val="nil"/>
              <w:right w:val="nil"/>
            </w:tcBorders>
            <w:shd w:val="clear" w:color="auto" w:fill="auto"/>
            <w:noWrap/>
            <w:vAlign w:val="bottom"/>
            <w:hideMark/>
          </w:tcPr>
          <w:p w14:paraId="38F98327"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34 500</w:t>
            </w:r>
          </w:p>
        </w:tc>
        <w:tc>
          <w:tcPr>
            <w:tcW w:w="982" w:type="pct"/>
            <w:tcBorders>
              <w:top w:val="nil"/>
              <w:left w:val="nil"/>
              <w:bottom w:val="nil"/>
              <w:right w:val="nil"/>
            </w:tcBorders>
            <w:shd w:val="clear" w:color="auto" w:fill="auto"/>
            <w:noWrap/>
            <w:vAlign w:val="bottom"/>
            <w:hideMark/>
          </w:tcPr>
          <w:p w14:paraId="57294961"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549</w:t>
            </w:r>
          </w:p>
        </w:tc>
        <w:tc>
          <w:tcPr>
            <w:tcW w:w="590" w:type="pct"/>
            <w:tcBorders>
              <w:top w:val="nil"/>
              <w:left w:val="nil"/>
              <w:bottom w:val="nil"/>
              <w:right w:val="nil"/>
            </w:tcBorders>
            <w:shd w:val="clear" w:color="auto" w:fill="auto"/>
            <w:noWrap/>
            <w:vAlign w:val="bottom"/>
            <w:hideMark/>
          </w:tcPr>
          <w:p w14:paraId="65F102C0"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96 842</w:t>
            </w:r>
          </w:p>
        </w:tc>
      </w:tr>
      <w:tr w:rsidR="004C6700" w:rsidRPr="005E4981" w14:paraId="2E239B6A" w14:textId="77777777" w:rsidTr="004A6E2F">
        <w:trPr>
          <w:trHeight w:val="290"/>
        </w:trPr>
        <w:tc>
          <w:tcPr>
            <w:tcW w:w="1223" w:type="pct"/>
            <w:tcBorders>
              <w:top w:val="nil"/>
              <w:left w:val="nil"/>
              <w:bottom w:val="nil"/>
              <w:right w:val="nil"/>
            </w:tcBorders>
            <w:shd w:val="clear" w:color="auto" w:fill="auto"/>
            <w:noWrap/>
            <w:vAlign w:val="bottom"/>
            <w:hideMark/>
          </w:tcPr>
          <w:p w14:paraId="2028C9A8"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Žilinský</w:t>
            </w:r>
          </w:p>
        </w:tc>
        <w:tc>
          <w:tcPr>
            <w:tcW w:w="1167" w:type="pct"/>
            <w:tcBorders>
              <w:top w:val="nil"/>
              <w:left w:val="nil"/>
              <w:bottom w:val="nil"/>
              <w:right w:val="nil"/>
            </w:tcBorders>
            <w:shd w:val="clear" w:color="auto" w:fill="auto"/>
            <w:noWrap/>
            <w:vAlign w:val="bottom"/>
            <w:hideMark/>
          </w:tcPr>
          <w:p w14:paraId="57CCEC2D"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51 306</w:t>
            </w:r>
          </w:p>
        </w:tc>
        <w:tc>
          <w:tcPr>
            <w:tcW w:w="1038" w:type="pct"/>
            <w:tcBorders>
              <w:top w:val="nil"/>
              <w:left w:val="nil"/>
              <w:bottom w:val="nil"/>
              <w:right w:val="nil"/>
            </w:tcBorders>
            <w:shd w:val="clear" w:color="auto" w:fill="auto"/>
            <w:noWrap/>
            <w:vAlign w:val="bottom"/>
            <w:hideMark/>
          </w:tcPr>
          <w:p w14:paraId="6B8D5263"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33 500</w:t>
            </w:r>
          </w:p>
        </w:tc>
        <w:tc>
          <w:tcPr>
            <w:tcW w:w="982" w:type="pct"/>
            <w:tcBorders>
              <w:top w:val="nil"/>
              <w:left w:val="nil"/>
              <w:bottom w:val="nil"/>
              <w:right w:val="nil"/>
            </w:tcBorders>
            <w:shd w:val="clear" w:color="auto" w:fill="auto"/>
            <w:noWrap/>
            <w:vAlign w:val="bottom"/>
            <w:hideMark/>
          </w:tcPr>
          <w:p w14:paraId="279E8A37"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197</w:t>
            </w:r>
          </w:p>
        </w:tc>
        <w:tc>
          <w:tcPr>
            <w:tcW w:w="590" w:type="pct"/>
            <w:tcBorders>
              <w:top w:val="nil"/>
              <w:left w:val="nil"/>
              <w:bottom w:val="nil"/>
              <w:right w:val="nil"/>
            </w:tcBorders>
            <w:shd w:val="clear" w:color="auto" w:fill="auto"/>
            <w:noWrap/>
            <w:vAlign w:val="bottom"/>
            <w:hideMark/>
          </w:tcPr>
          <w:p w14:paraId="08292957"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85 003</w:t>
            </w:r>
          </w:p>
        </w:tc>
      </w:tr>
      <w:tr w:rsidR="004C6700" w:rsidRPr="005E4981" w14:paraId="47B12A0D" w14:textId="77777777" w:rsidTr="004A6E2F">
        <w:trPr>
          <w:trHeight w:val="290"/>
        </w:trPr>
        <w:tc>
          <w:tcPr>
            <w:tcW w:w="1223" w:type="pct"/>
            <w:tcBorders>
              <w:top w:val="nil"/>
              <w:left w:val="nil"/>
              <w:bottom w:val="nil"/>
              <w:right w:val="nil"/>
            </w:tcBorders>
            <w:shd w:val="clear" w:color="auto" w:fill="auto"/>
            <w:noWrap/>
            <w:vAlign w:val="bottom"/>
            <w:hideMark/>
          </w:tcPr>
          <w:p w14:paraId="270DFCD0"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Trenčiansky</w:t>
            </w:r>
          </w:p>
        </w:tc>
        <w:tc>
          <w:tcPr>
            <w:tcW w:w="1167" w:type="pct"/>
            <w:tcBorders>
              <w:top w:val="nil"/>
              <w:left w:val="nil"/>
              <w:bottom w:val="nil"/>
              <w:right w:val="nil"/>
            </w:tcBorders>
            <w:shd w:val="clear" w:color="auto" w:fill="auto"/>
            <w:noWrap/>
            <w:vAlign w:val="bottom"/>
            <w:hideMark/>
          </w:tcPr>
          <w:p w14:paraId="5EA88017"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49 219</w:t>
            </w:r>
          </w:p>
        </w:tc>
        <w:tc>
          <w:tcPr>
            <w:tcW w:w="1038" w:type="pct"/>
            <w:tcBorders>
              <w:top w:val="nil"/>
              <w:left w:val="nil"/>
              <w:bottom w:val="nil"/>
              <w:right w:val="nil"/>
            </w:tcBorders>
            <w:shd w:val="clear" w:color="auto" w:fill="auto"/>
            <w:noWrap/>
            <w:vAlign w:val="bottom"/>
            <w:hideMark/>
          </w:tcPr>
          <w:p w14:paraId="0146EBF8"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18 000</w:t>
            </w:r>
          </w:p>
        </w:tc>
        <w:tc>
          <w:tcPr>
            <w:tcW w:w="982" w:type="pct"/>
            <w:tcBorders>
              <w:top w:val="nil"/>
              <w:left w:val="nil"/>
              <w:bottom w:val="nil"/>
              <w:right w:val="nil"/>
            </w:tcBorders>
            <w:shd w:val="clear" w:color="auto" w:fill="auto"/>
            <w:noWrap/>
            <w:vAlign w:val="bottom"/>
            <w:hideMark/>
          </w:tcPr>
          <w:p w14:paraId="18D73501"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2 839</w:t>
            </w:r>
          </w:p>
        </w:tc>
        <w:tc>
          <w:tcPr>
            <w:tcW w:w="590" w:type="pct"/>
            <w:tcBorders>
              <w:top w:val="nil"/>
              <w:left w:val="nil"/>
              <w:bottom w:val="nil"/>
              <w:right w:val="nil"/>
            </w:tcBorders>
            <w:shd w:val="clear" w:color="auto" w:fill="auto"/>
            <w:noWrap/>
            <w:vAlign w:val="bottom"/>
            <w:hideMark/>
          </w:tcPr>
          <w:p w14:paraId="13192BC7"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70 058</w:t>
            </w:r>
          </w:p>
        </w:tc>
      </w:tr>
      <w:tr w:rsidR="004C6700" w:rsidRPr="005E4981" w14:paraId="18E00623" w14:textId="77777777" w:rsidTr="004A6E2F">
        <w:trPr>
          <w:trHeight w:val="290"/>
        </w:trPr>
        <w:tc>
          <w:tcPr>
            <w:tcW w:w="1223" w:type="pct"/>
            <w:tcBorders>
              <w:top w:val="nil"/>
              <w:left w:val="nil"/>
              <w:bottom w:val="nil"/>
              <w:right w:val="nil"/>
            </w:tcBorders>
            <w:shd w:val="clear" w:color="auto" w:fill="auto"/>
            <w:noWrap/>
            <w:vAlign w:val="bottom"/>
            <w:hideMark/>
          </w:tcPr>
          <w:p w14:paraId="72A7121E"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Trnavský</w:t>
            </w:r>
          </w:p>
        </w:tc>
        <w:tc>
          <w:tcPr>
            <w:tcW w:w="1167" w:type="pct"/>
            <w:tcBorders>
              <w:top w:val="nil"/>
              <w:left w:val="nil"/>
              <w:bottom w:val="nil"/>
              <w:right w:val="nil"/>
            </w:tcBorders>
            <w:shd w:val="clear" w:color="auto" w:fill="auto"/>
            <w:noWrap/>
            <w:vAlign w:val="bottom"/>
            <w:hideMark/>
          </w:tcPr>
          <w:p w14:paraId="0E6F05E2"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47 934</w:t>
            </w:r>
          </w:p>
        </w:tc>
        <w:tc>
          <w:tcPr>
            <w:tcW w:w="1038" w:type="pct"/>
            <w:tcBorders>
              <w:top w:val="nil"/>
              <w:left w:val="nil"/>
              <w:bottom w:val="nil"/>
              <w:right w:val="nil"/>
            </w:tcBorders>
            <w:shd w:val="clear" w:color="auto" w:fill="auto"/>
            <w:noWrap/>
            <w:vAlign w:val="bottom"/>
            <w:hideMark/>
          </w:tcPr>
          <w:p w14:paraId="544161AD"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12 000</w:t>
            </w:r>
          </w:p>
        </w:tc>
        <w:tc>
          <w:tcPr>
            <w:tcW w:w="982" w:type="pct"/>
            <w:tcBorders>
              <w:top w:val="nil"/>
              <w:left w:val="nil"/>
              <w:bottom w:val="nil"/>
              <w:right w:val="nil"/>
            </w:tcBorders>
            <w:shd w:val="clear" w:color="auto" w:fill="auto"/>
            <w:noWrap/>
            <w:vAlign w:val="bottom"/>
            <w:hideMark/>
          </w:tcPr>
          <w:p w14:paraId="6B4D1AFD"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38</w:t>
            </w:r>
          </w:p>
        </w:tc>
        <w:tc>
          <w:tcPr>
            <w:tcW w:w="590" w:type="pct"/>
            <w:tcBorders>
              <w:top w:val="nil"/>
              <w:left w:val="nil"/>
              <w:bottom w:val="nil"/>
              <w:right w:val="nil"/>
            </w:tcBorders>
            <w:shd w:val="clear" w:color="auto" w:fill="auto"/>
            <w:noWrap/>
            <w:vAlign w:val="bottom"/>
            <w:hideMark/>
          </w:tcPr>
          <w:p w14:paraId="08114065"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59 972</w:t>
            </w:r>
          </w:p>
        </w:tc>
      </w:tr>
      <w:tr w:rsidR="004C6700" w:rsidRPr="005E4981" w14:paraId="12E14882" w14:textId="77777777" w:rsidTr="004A6E2F">
        <w:trPr>
          <w:trHeight w:val="290"/>
        </w:trPr>
        <w:tc>
          <w:tcPr>
            <w:tcW w:w="1223" w:type="pct"/>
            <w:tcBorders>
              <w:top w:val="nil"/>
              <w:left w:val="nil"/>
              <w:bottom w:val="nil"/>
              <w:right w:val="nil"/>
            </w:tcBorders>
            <w:shd w:val="clear" w:color="auto" w:fill="auto"/>
            <w:noWrap/>
            <w:vAlign w:val="bottom"/>
            <w:hideMark/>
          </w:tcPr>
          <w:p w14:paraId="65581CF7" w14:textId="77777777" w:rsidR="004C6700" w:rsidRPr="005E4981" w:rsidRDefault="004C6700" w:rsidP="00836EB5">
            <w:pPr>
              <w:spacing w:after="0" w:line="240" w:lineRule="auto"/>
              <w:jc w:val="left"/>
              <w:rPr>
                <w:rFonts w:eastAsia="Times New Roman" w:cs="Times New Roman"/>
                <w:sz w:val="18"/>
                <w:szCs w:val="18"/>
                <w:lang w:eastAsia="sk-SK"/>
              </w:rPr>
            </w:pPr>
            <w:r w:rsidRPr="005E4981">
              <w:rPr>
                <w:rFonts w:eastAsia="Times New Roman" w:cs="Times New Roman"/>
                <w:sz w:val="18"/>
                <w:szCs w:val="18"/>
                <w:lang w:eastAsia="sk-SK"/>
              </w:rPr>
              <w:t>Nitriansky</w:t>
            </w:r>
          </w:p>
        </w:tc>
        <w:tc>
          <w:tcPr>
            <w:tcW w:w="1167" w:type="pct"/>
            <w:tcBorders>
              <w:top w:val="nil"/>
              <w:left w:val="nil"/>
              <w:bottom w:val="nil"/>
              <w:right w:val="nil"/>
            </w:tcBorders>
            <w:shd w:val="clear" w:color="auto" w:fill="auto"/>
            <w:noWrap/>
            <w:vAlign w:val="bottom"/>
            <w:hideMark/>
          </w:tcPr>
          <w:p w14:paraId="005C2F0A"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7 494</w:t>
            </w:r>
          </w:p>
        </w:tc>
        <w:tc>
          <w:tcPr>
            <w:tcW w:w="1038" w:type="pct"/>
            <w:tcBorders>
              <w:top w:val="nil"/>
              <w:left w:val="nil"/>
              <w:bottom w:val="nil"/>
              <w:right w:val="nil"/>
            </w:tcBorders>
            <w:shd w:val="clear" w:color="auto" w:fill="auto"/>
            <w:noWrap/>
            <w:vAlign w:val="bottom"/>
            <w:hideMark/>
          </w:tcPr>
          <w:p w14:paraId="6B85370C"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13 500</w:t>
            </w:r>
          </w:p>
        </w:tc>
        <w:tc>
          <w:tcPr>
            <w:tcW w:w="982" w:type="pct"/>
            <w:tcBorders>
              <w:top w:val="nil"/>
              <w:left w:val="nil"/>
              <w:bottom w:val="nil"/>
              <w:right w:val="nil"/>
            </w:tcBorders>
            <w:shd w:val="clear" w:color="auto" w:fill="auto"/>
            <w:noWrap/>
            <w:vAlign w:val="bottom"/>
            <w:hideMark/>
          </w:tcPr>
          <w:p w14:paraId="709DABD6"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42</w:t>
            </w:r>
          </w:p>
        </w:tc>
        <w:tc>
          <w:tcPr>
            <w:tcW w:w="590" w:type="pct"/>
            <w:tcBorders>
              <w:top w:val="nil"/>
              <w:left w:val="nil"/>
              <w:bottom w:val="nil"/>
              <w:right w:val="nil"/>
            </w:tcBorders>
            <w:shd w:val="clear" w:color="auto" w:fill="auto"/>
            <w:noWrap/>
            <w:vAlign w:val="bottom"/>
            <w:hideMark/>
          </w:tcPr>
          <w:p w14:paraId="6BD62F4B" w14:textId="77777777" w:rsidR="004C6700" w:rsidRPr="005E4981" w:rsidRDefault="004C6700" w:rsidP="00836EB5">
            <w:pPr>
              <w:spacing w:after="0" w:line="240" w:lineRule="auto"/>
              <w:jc w:val="right"/>
              <w:rPr>
                <w:rFonts w:eastAsia="Times New Roman" w:cs="Times New Roman"/>
                <w:sz w:val="18"/>
                <w:szCs w:val="18"/>
                <w:lang w:eastAsia="sk-SK"/>
              </w:rPr>
            </w:pPr>
            <w:r w:rsidRPr="005E4981">
              <w:rPr>
                <w:rFonts w:eastAsia="Times New Roman" w:cs="Times New Roman"/>
                <w:sz w:val="18"/>
                <w:szCs w:val="18"/>
                <w:lang w:eastAsia="sk-SK"/>
              </w:rPr>
              <w:t>21 036</w:t>
            </w:r>
          </w:p>
        </w:tc>
      </w:tr>
      <w:tr w:rsidR="004C6700" w:rsidRPr="005E4981" w14:paraId="56C4C5C0" w14:textId="77777777" w:rsidTr="004A6E2F">
        <w:trPr>
          <w:trHeight w:val="290"/>
        </w:trPr>
        <w:tc>
          <w:tcPr>
            <w:tcW w:w="1223" w:type="pct"/>
            <w:tcBorders>
              <w:top w:val="single" w:sz="4" w:space="0" w:color="auto"/>
              <w:left w:val="nil"/>
              <w:bottom w:val="single" w:sz="4" w:space="0" w:color="auto"/>
              <w:right w:val="nil"/>
            </w:tcBorders>
            <w:shd w:val="clear" w:color="auto" w:fill="auto"/>
            <w:noWrap/>
            <w:vAlign w:val="bottom"/>
            <w:hideMark/>
          </w:tcPr>
          <w:p w14:paraId="67A76B3B" w14:textId="77777777" w:rsidR="004C6700" w:rsidRPr="005E4981" w:rsidRDefault="004C6700" w:rsidP="00836EB5">
            <w:pPr>
              <w:spacing w:after="0" w:line="240" w:lineRule="auto"/>
              <w:jc w:val="left"/>
              <w:rPr>
                <w:rFonts w:eastAsia="Times New Roman" w:cs="Times New Roman"/>
                <w:b/>
                <w:bCs/>
                <w:sz w:val="18"/>
                <w:szCs w:val="18"/>
                <w:lang w:eastAsia="sk-SK"/>
              </w:rPr>
            </w:pPr>
            <w:r w:rsidRPr="005E4981">
              <w:rPr>
                <w:rFonts w:eastAsia="Times New Roman" w:cs="Times New Roman"/>
                <w:b/>
                <w:bCs/>
                <w:sz w:val="18"/>
                <w:szCs w:val="18"/>
                <w:lang w:eastAsia="sk-SK"/>
              </w:rPr>
              <w:t>Spolu VÚC</w:t>
            </w:r>
          </w:p>
        </w:tc>
        <w:tc>
          <w:tcPr>
            <w:tcW w:w="1167" w:type="pct"/>
            <w:tcBorders>
              <w:top w:val="single" w:sz="4" w:space="0" w:color="auto"/>
              <w:left w:val="nil"/>
              <w:bottom w:val="single" w:sz="4" w:space="0" w:color="auto"/>
              <w:right w:val="nil"/>
            </w:tcBorders>
            <w:shd w:val="clear" w:color="auto" w:fill="auto"/>
            <w:noWrap/>
            <w:vAlign w:val="bottom"/>
            <w:hideMark/>
          </w:tcPr>
          <w:p w14:paraId="1CC9A5A1"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455 345</w:t>
            </w:r>
          </w:p>
        </w:tc>
        <w:tc>
          <w:tcPr>
            <w:tcW w:w="1038" w:type="pct"/>
            <w:tcBorders>
              <w:top w:val="single" w:sz="4" w:space="0" w:color="auto"/>
              <w:left w:val="nil"/>
              <w:bottom w:val="single" w:sz="4" w:space="0" w:color="auto"/>
              <w:right w:val="nil"/>
            </w:tcBorders>
            <w:shd w:val="clear" w:color="auto" w:fill="auto"/>
            <w:noWrap/>
            <w:vAlign w:val="bottom"/>
            <w:hideMark/>
          </w:tcPr>
          <w:p w14:paraId="7EE3DA3D"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236 090</w:t>
            </w:r>
          </w:p>
        </w:tc>
        <w:tc>
          <w:tcPr>
            <w:tcW w:w="982" w:type="pct"/>
            <w:tcBorders>
              <w:top w:val="single" w:sz="4" w:space="0" w:color="auto"/>
              <w:left w:val="nil"/>
              <w:bottom w:val="single" w:sz="4" w:space="0" w:color="auto"/>
              <w:right w:val="nil"/>
            </w:tcBorders>
            <w:shd w:val="clear" w:color="auto" w:fill="auto"/>
            <w:noWrap/>
            <w:vAlign w:val="bottom"/>
            <w:hideMark/>
          </w:tcPr>
          <w:p w14:paraId="063864AD"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10 083</w:t>
            </w:r>
          </w:p>
        </w:tc>
        <w:tc>
          <w:tcPr>
            <w:tcW w:w="590" w:type="pct"/>
            <w:tcBorders>
              <w:top w:val="single" w:sz="4" w:space="0" w:color="auto"/>
              <w:left w:val="nil"/>
              <w:bottom w:val="single" w:sz="4" w:space="0" w:color="auto"/>
              <w:right w:val="nil"/>
            </w:tcBorders>
            <w:shd w:val="clear" w:color="auto" w:fill="auto"/>
            <w:noWrap/>
            <w:vAlign w:val="bottom"/>
            <w:hideMark/>
          </w:tcPr>
          <w:p w14:paraId="3C7B06E8" w14:textId="77777777" w:rsidR="004C6700" w:rsidRPr="005E4981" w:rsidRDefault="004C6700" w:rsidP="00836EB5">
            <w:pPr>
              <w:spacing w:after="0" w:line="240" w:lineRule="auto"/>
              <w:jc w:val="right"/>
              <w:rPr>
                <w:rFonts w:eastAsia="Times New Roman" w:cs="Times New Roman"/>
                <w:b/>
                <w:bCs/>
                <w:sz w:val="18"/>
                <w:szCs w:val="18"/>
                <w:lang w:eastAsia="sk-SK"/>
              </w:rPr>
            </w:pPr>
            <w:r w:rsidRPr="005E4981">
              <w:rPr>
                <w:rFonts w:eastAsia="Times New Roman" w:cs="Times New Roman"/>
                <w:b/>
                <w:bCs/>
                <w:sz w:val="18"/>
                <w:szCs w:val="18"/>
                <w:lang w:eastAsia="sk-SK"/>
              </w:rPr>
              <w:t>701 518</w:t>
            </w:r>
          </w:p>
        </w:tc>
      </w:tr>
    </w:tbl>
    <w:p w14:paraId="55E33DED" w14:textId="77777777" w:rsidR="004C6700" w:rsidRPr="005E4981" w:rsidRDefault="004C6700" w:rsidP="004C6700">
      <w:pPr>
        <w:keepNext/>
        <w:jc w:val="right"/>
        <w:rPr>
          <w:sz w:val="18"/>
          <w:szCs w:val="18"/>
        </w:rPr>
      </w:pPr>
      <w:r w:rsidRPr="005E4981">
        <w:rPr>
          <w:sz w:val="18"/>
          <w:szCs w:val="18"/>
        </w:rPr>
        <w:t>Zdroj: MF SR</w:t>
      </w:r>
    </w:p>
    <w:p w14:paraId="09CB8B83" w14:textId="77777777" w:rsidR="004C6700" w:rsidRPr="00092ACB" w:rsidRDefault="004C6700" w:rsidP="004C6700">
      <w:pPr>
        <w:spacing w:line="240" w:lineRule="auto"/>
        <w:rPr>
          <w:sz w:val="24"/>
          <w:szCs w:val="24"/>
          <w:highlight w:val="yellow"/>
        </w:rPr>
      </w:pPr>
      <w:r w:rsidRPr="00D7233B">
        <w:rPr>
          <w:sz w:val="24"/>
          <w:szCs w:val="24"/>
        </w:rPr>
        <w:t xml:space="preserve">Podstatný podiel na zadlženosti samosprávnych krajov majú bankové úvery vo výške 455 345 tis. eur, ktorých úroveň medziročne vzrástla o 99 580 tis. eur. Zvyšok dlhu tvoria spomínané návratné finančné výpomoci vo výške 236 090 tis. eur, dlhodobé záväzky z obchodného styku a prijaté preddavky vo výške 5 699 tis. eur a prijaté zábezpeky v hodnote 4 384 tis. eur. </w:t>
      </w:r>
      <w:r w:rsidRPr="00315815">
        <w:rPr>
          <w:sz w:val="24"/>
          <w:szCs w:val="24"/>
        </w:rPr>
        <w:t xml:space="preserve">Z celkového dlhu predstavujú záväzky voči domácim veriteľom 454 407 tis. eur (64,8 %) a voči zahraničným veriteľom 247 111 tis. eur (35,2 %). </w:t>
      </w:r>
      <w:r w:rsidRPr="00F248AF">
        <w:rPr>
          <w:sz w:val="24"/>
          <w:szCs w:val="24"/>
        </w:rPr>
        <w:t>Úvermi od zahraničných veriteľov disponuje Bratislavský (35 626 tis. eur), Trnavský (39 142 tis. eur), Trenčiansky (16 300 tis. eur), Žilinský (22 656 tis. eur), Prešovský (81 340 tis. eur) a Košický samosprávny kraj (52 046 tis. eur). Z hľadiska pôvodnej splatnosti je dlh VÚC majoritne tvorený dlhodobými záväzkami (97,4%).</w:t>
      </w:r>
    </w:p>
    <w:p w14:paraId="60B3CEF8" w14:textId="0E9E2280" w:rsidR="004C6700" w:rsidRPr="00092ACB" w:rsidRDefault="004C6700" w:rsidP="004C6700">
      <w:pPr>
        <w:spacing w:line="240" w:lineRule="auto"/>
        <w:rPr>
          <w:sz w:val="24"/>
          <w:szCs w:val="24"/>
          <w:highlight w:val="yellow"/>
        </w:rPr>
      </w:pPr>
      <w:r w:rsidRPr="009E1660">
        <w:rPr>
          <w:sz w:val="24"/>
          <w:szCs w:val="24"/>
        </w:rPr>
        <w:t xml:space="preserve">Vyššie územné celky čerpajú bankové úvery najmä za účelom </w:t>
      </w:r>
      <w:proofErr w:type="spellStart"/>
      <w:r w:rsidRPr="009E1660">
        <w:rPr>
          <w:sz w:val="24"/>
          <w:szCs w:val="24"/>
        </w:rPr>
        <w:t>predfinancovania</w:t>
      </w:r>
      <w:proofErr w:type="spellEnd"/>
      <w:r w:rsidRPr="009E1660">
        <w:rPr>
          <w:sz w:val="24"/>
          <w:szCs w:val="24"/>
        </w:rPr>
        <w:t xml:space="preserve"> investičných projektov financovaných z európskych štrukturálnych a investičných fondov, napríklad na obnovu budov samosprávnych krajov (hlavne školských zariadení) s cieľom zníženia ich energetickej náročnosti a celkovej modernizácie, na obnovu cestnej infraštruktúry a na refundáciu už vynaložených investičných výdavkov. Medziročne vzrástli bankové úvery úhrnom o 99 580 tis. eur. Viaceré (najmä) dlhodobé úvery boli priebežne splácané, ale boli prijaté aj nové úvery. Banskobystrický samosprávny kraj čerpal ďalšie domáce úvery vo výške 17 076 tis. eur Košický samosprávny kraj prijal nové domáce úvery vo výške 14 736 tis. eur, Trenčiansky samosprávny kraj prijal zahraničné </w:t>
      </w:r>
      <w:r>
        <w:rPr>
          <w:sz w:val="24"/>
          <w:szCs w:val="24"/>
        </w:rPr>
        <w:t>úvery</w:t>
      </w:r>
      <w:r w:rsidRPr="009E1660">
        <w:rPr>
          <w:sz w:val="24"/>
          <w:szCs w:val="24"/>
        </w:rPr>
        <w:t xml:space="preserve"> vo výške 16 300 tis. eur, Trnavský samosprávny kraj prijal zahraničné úvery vo výške 14 000 tis. eur, Prešovský samosprávny kraj čerpal zahraničné úvery vo výške 5 108 tis. eur</w:t>
      </w:r>
      <w:r w:rsidRPr="00C853A1">
        <w:rPr>
          <w:sz w:val="24"/>
          <w:szCs w:val="24"/>
        </w:rPr>
        <w:t>.</w:t>
      </w:r>
    </w:p>
    <w:p w14:paraId="6D17EAA4" w14:textId="77777777" w:rsidR="004C6700" w:rsidRPr="00C853A1" w:rsidRDefault="004C6700" w:rsidP="004C6700">
      <w:pPr>
        <w:spacing w:line="240" w:lineRule="auto"/>
        <w:rPr>
          <w:sz w:val="24"/>
          <w:szCs w:val="24"/>
        </w:rPr>
      </w:pPr>
      <w:r w:rsidRPr="00C853A1">
        <w:rPr>
          <w:b/>
          <w:sz w:val="24"/>
          <w:szCs w:val="24"/>
        </w:rPr>
        <w:t>Obchodné spoločnosti štátu</w:t>
      </w:r>
      <w:r w:rsidRPr="00C853A1">
        <w:rPr>
          <w:sz w:val="24"/>
          <w:szCs w:val="24"/>
        </w:rPr>
        <w:t xml:space="preserve"> (patriace do ústrednej správy) majú po štátnom dlhu a obciach najväčší podiel na konsolidovanom dlhu verejnej správy (0,7 %). </w:t>
      </w:r>
    </w:p>
    <w:p w14:paraId="49917AA8" w14:textId="14D40D0A" w:rsidR="004C6700" w:rsidRPr="00092ACB" w:rsidRDefault="004C6700" w:rsidP="004C6700">
      <w:pPr>
        <w:spacing w:line="240" w:lineRule="auto"/>
        <w:rPr>
          <w:sz w:val="24"/>
          <w:szCs w:val="24"/>
          <w:highlight w:val="yellow"/>
        </w:rPr>
      </w:pPr>
      <w:r w:rsidRPr="00A56A6D">
        <w:rPr>
          <w:sz w:val="24"/>
          <w:szCs w:val="24"/>
        </w:rPr>
        <w:t xml:space="preserve">Dlh </w:t>
      </w:r>
      <w:r w:rsidRPr="00A56A6D">
        <w:rPr>
          <w:b/>
          <w:sz w:val="24"/>
          <w:szCs w:val="24"/>
        </w:rPr>
        <w:t>Železničnej spoločnosti Slovensko, a.</w:t>
      </w:r>
      <w:r w:rsidR="00D146DB">
        <w:rPr>
          <w:b/>
          <w:sz w:val="24"/>
          <w:szCs w:val="24"/>
        </w:rPr>
        <w:t> </w:t>
      </w:r>
      <w:r w:rsidRPr="00A56A6D">
        <w:rPr>
          <w:b/>
          <w:sz w:val="24"/>
          <w:szCs w:val="24"/>
        </w:rPr>
        <w:t>s. (ŽSSK)</w:t>
      </w:r>
      <w:r w:rsidRPr="00A56A6D">
        <w:rPr>
          <w:sz w:val="24"/>
          <w:szCs w:val="24"/>
        </w:rPr>
        <w:t>, ktorý dosiahol v roku 2023 hodnotu 339 672 tis. eur, medziročne vzrástol o 4 265 tis. eur vzhľadom na to, že výška prijatých úverov presiahla splácanie úverov prijatých v predchádzajúcich rokoch. Načerpanie prostriedkov je však nevyhnuté pre financovanie zámerov zrýchlenia a skvalitnenia osobnej dopravy, s čím sú spojené nároky na modernizáciu, obnovu a údržbu vozňov a rušňov. Dlh ŽSSK tvoria bankové úvery od tuzemských veriteľov vo výške 339 101 tis. eur, krátkodobé zábezpeky v hodnote 517 tis. eur a dlhodobé záväzky z obchodného styku vo výške 54 tis. eur.</w:t>
      </w:r>
    </w:p>
    <w:p w14:paraId="6D1B5A37" w14:textId="52B1440F" w:rsidR="004C6700" w:rsidRPr="0064467C" w:rsidRDefault="004C6700" w:rsidP="004C6700">
      <w:pPr>
        <w:spacing w:line="240" w:lineRule="auto"/>
        <w:rPr>
          <w:b/>
          <w:sz w:val="24"/>
          <w:szCs w:val="24"/>
        </w:rPr>
      </w:pPr>
      <w:r w:rsidRPr="006B2D86">
        <w:rPr>
          <w:sz w:val="24"/>
          <w:szCs w:val="24"/>
        </w:rPr>
        <w:t xml:space="preserve">Dlh </w:t>
      </w:r>
      <w:r w:rsidRPr="006B2D86">
        <w:rPr>
          <w:b/>
          <w:sz w:val="24"/>
          <w:szCs w:val="24"/>
        </w:rPr>
        <w:t xml:space="preserve">Železníc Slovenskej republiky (ŽSR), </w:t>
      </w:r>
      <w:r w:rsidRPr="006B2D86">
        <w:rPr>
          <w:sz w:val="24"/>
          <w:szCs w:val="24"/>
        </w:rPr>
        <w:t>ktoré spravujú železničnú infraštruktúru vo vlastníctve štátu a zabezpečujú prepravné a dopravné služby,</w:t>
      </w:r>
      <w:r w:rsidRPr="006B2D86">
        <w:rPr>
          <w:b/>
          <w:sz w:val="24"/>
          <w:szCs w:val="24"/>
        </w:rPr>
        <w:t xml:space="preserve"> </w:t>
      </w:r>
      <w:r w:rsidRPr="006B2D86">
        <w:rPr>
          <w:sz w:val="24"/>
          <w:szCs w:val="24"/>
        </w:rPr>
        <w:t xml:space="preserve">dosiahol v roku 2023 hodnotu 118 831 tis. eur, čo je o 4 509 tis. eur viac oproti stavu v roku 2022. </w:t>
      </w:r>
      <w:r w:rsidRPr="0064467C">
        <w:rPr>
          <w:sz w:val="24"/>
          <w:szCs w:val="24"/>
        </w:rPr>
        <w:t xml:space="preserve">Dlh predstavujú v prevažnej miere dlhodobé bankové úvery od tuzemských veriteľov vo výške 56 775 tis. eur, </w:t>
      </w:r>
      <w:r w:rsidRPr="0064467C">
        <w:rPr>
          <w:sz w:val="24"/>
          <w:szCs w:val="24"/>
        </w:rPr>
        <w:lastRenderedPageBreak/>
        <w:t xml:space="preserve">ktorých hodnota oproti minulému roku klesla o 13 142 tis. eur vzhľadom na to, že splátky úverov prevyšujú čerpanie. V priebehu roka 2023 bola načerpaná ďalšia </w:t>
      </w:r>
      <w:proofErr w:type="spellStart"/>
      <w:r w:rsidRPr="0064467C">
        <w:rPr>
          <w:sz w:val="24"/>
          <w:szCs w:val="24"/>
        </w:rPr>
        <w:t>tranža</w:t>
      </w:r>
      <w:proofErr w:type="spellEnd"/>
      <w:r w:rsidRPr="0064467C">
        <w:rPr>
          <w:sz w:val="24"/>
          <w:szCs w:val="24"/>
        </w:rPr>
        <w:t xml:space="preserve"> pôžičky od National </w:t>
      </w:r>
      <w:proofErr w:type="spellStart"/>
      <w:r w:rsidRPr="0064467C">
        <w:rPr>
          <w:sz w:val="24"/>
          <w:szCs w:val="24"/>
        </w:rPr>
        <w:t>Development</w:t>
      </w:r>
      <w:proofErr w:type="spellEnd"/>
      <w:r w:rsidRPr="0064467C">
        <w:rPr>
          <w:sz w:val="24"/>
          <w:szCs w:val="24"/>
        </w:rPr>
        <w:t xml:space="preserve"> </w:t>
      </w:r>
      <w:proofErr w:type="spellStart"/>
      <w:r w:rsidRPr="0064467C">
        <w:rPr>
          <w:sz w:val="24"/>
          <w:szCs w:val="24"/>
        </w:rPr>
        <w:t>Fund</w:t>
      </w:r>
      <w:proofErr w:type="spellEnd"/>
      <w:r w:rsidRPr="0064467C">
        <w:rPr>
          <w:sz w:val="24"/>
          <w:szCs w:val="24"/>
        </w:rPr>
        <w:t xml:space="preserve"> II., </w:t>
      </w:r>
      <w:r w:rsidR="00837EB9">
        <w:rPr>
          <w:sz w:val="24"/>
          <w:szCs w:val="24"/>
        </w:rPr>
        <w:t>a.</w:t>
      </w:r>
      <w:r w:rsidR="00D146DB">
        <w:rPr>
          <w:sz w:val="24"/>
          <w:szCs w:val="24"/>
        </w:rPr>
        <w:t> </w:t>
      </w:r>
      <w:r w:rsidR="00837EB9">
        <w:rPr>
          <w:sz w:val="24"/>
          <w:szCs w:val="24"/>
        </w:rPr>
        <w:t>s.</w:t>
      </w:r>
      <w:r w:rsidRPr="0064467C">
        <w:rPr>
          <w:sz w:val="24"/>
          <w:szCs w:val="24"/>
        </w:rPr>
        <w:t xml:space="preserve"> vo výške 17 305 tis. eur, takže v súčasnosti je súhrnná výška pôžičky voči NDF II, </w:t>
      </w:r>
      <w:r w:rsidR="00837EB9">
        <w:rPr>
          <w:sz w:val="24"/>
          <w:szCs w:val="24"/>
        </w:rPr>
        <w:t>a.</w:t>
      </w:r>
      <w:r w:rsidR="00D146DB">
        <w:rPr>
          <w:sz w:val="24"/>
          <w:szCs w:val="24"/>
        </w:rPr>
        <w:t> </w:t>
      </w:r>
      <w:r w:rsidR="00837EB9">
        <w:rPr>
          <w:sz w:val="24"/>
          <w:szCs w:val="24"/>
        </w:rPr>
        <w:t>s.</w:t>
      </w:r>
      <w:r w:rsidRPr="0064467C">
        <w:rPr>
          <w:sz w:val="24"/>
          <w:szCs w:val="24"/>
        </w:rPr>
        <w:t xml:space="preserve"> 57 715 tis. eur. Táto pôžička je predmetom konsolidácie. Zvyšnú časť dlhu tvoria krátkodobé zábezpeky vo výške 2 821 tis. eur a dlhodobé záväzky z obchodného styku a prijaté preddavky vo výške 1 520 tis. eur. ŽSR obdobne ako NDS financuje úvermi rozvoj a obnovu dopravnej infraštruktúry, v jej príp</w:t>
      </w:r>
      <w:r>
        <w:rPr>
          <w:sz w:val="24"/>
          <w:szCs w:val="24"/>
        </w:rPr>
        <w:t>ade koľajovú infraštruktúru (pre</w:t>
      </w:r>
      <w:r w:rsidRPr="0064467C">
        <w:rPr>
          <w:sz w:val="24"/>
          <w:szCs w:val="24"/>
        </w:rPr>
        <w:t xml:space="preserve"> rýchlosť 160 km/h), vlakové stanice, nástupištia a ďalšie prislúchajúce objekty. </w:t>
      </w:r>
    </w:p>
    <w:p w14:paraId="4D60F25B" w14:textId="79B94FEC" w:rsidR="004C6700" w:rsidRPr="00092ACB" w:rsidRDefault="004C6700" w:rsidP="005E4981">
      <w:pPr>
        <w:spacing w:line="240" w:lineRule="auto"/>
        <w:rPr>
          <w:sz w:val="24"/>
          <w:szCs w:val="24"/>
          <w:highlight w:val="yellow"/>
        </w:rPr>
      </w:pPr>
      <w:r w:rsidRPr="0064467C">
        <w:rPr>
          <w:sz w:val="24"/>
          <w:szCs w:val="24"/>
        </w:rPr>
        <w:t>Dlh</w:t>
      </w:r>
      <w:r w:rsidRPr="0064467C">
        <w:rPr>
          <w:b/>
          <w:sz w:val="24"/>
          <w:szCs w:val="24"/>
        </w:rPr>
        <w:t xml:space="preserve"> Národnej diaľničnej spoločnosti, </w:t>
      </w:r>
      <w:r w:rsidR="00837EB9">
        <w:rPr>
          <w:b/>
          <w:sz w:val="24"/>
          <w:szCs w:val="24"/>
        </w:rPr>
        <w:t>a.</w:t>
      </w:r>
      <w:r w:rsidR="00D146DB">
        <w:rPr>
          <w:b/>
          <w:sz w:val="24"/>
          <w:szCs w:val="24"/>
        </w:rPr>
        <w:t> </w:t>
      </w:r>
      <w:r w:rsidR="00837EB9">
        <w:rPr>
          <w:b/>
          <w:sz w:val="24"/>
          <w:szCs w:val="24"/>
        </w:rPr>
        <w:t>s.</w:t>
      </w:r>
      <w:r w:rsidRPr="0064467C">
        <w:rPr>
          <w:b/>
          <w:sz w:val="24"/>
          <w:szCs w:val="24"/>
        </w:rPr>
        <w:t xml:space="preserve">, </w:t>
      </w:r>
      <w:r w:rsidRPr="0064467C">
        <w:rPr>
          <w:sz w:val="24"/>
          <w:szCs w:val="24"/>
        </w:rPr>
        <w:t>ktorej hlavnou činnosťou je údržba a rozvoj diaľničnej siete</w:t>
      </w:r>
      <w:r w:rsidRPr="0064467C">
        <w:rPr>
          <w:b/>
          <w:sz w:val="24"/>
          <w:szCs w:val="24"/>
        </w:rPr>
        <w:t>,</w:t>
      </w:r>
      <w:r w:rsidRPr="0064467C">
        <w:rPr>
          <w:sz w:val="24"/>
          <w:szCs w:val="24"/>
        </w:rPr>
        <w:t xml:space="preserve"> sa oproti predchádzajúcemu roku výrazne nezmenil. </w:t>
      </w:r>
      <w:r>
        <w:rPr>
          <w:sz w:val="24"/>
          <w:szCs w:val="24"/>
        </w:rPr>
        <w:t xml:space="preserve">Oproti predchádzajúcemu klesol o 270 tis. eur na súčasnú hodnotu 24 614 tis. eur. </w:t>
      </w:r>
      <w:r w:rsidRPr="0064467C">
        <w:rPr>
          <w:sz w:val="24"/>
          <w:szCs w:val="24"/>
        </w:rPr>
        <w:t>Dlh NDS tvoria dlhodobé záväzky z obchodného styku a prijaté preddavky v hodnote 21 709 tis. eur, krátkodobé zábezpeky vo výške 2 903 tis. eur a krátkodobé bankové úvery v hodnote 2 tis. eur.</w:t>
      </w:r>
    </w:p>
    <w:p w14:paraId="1B3E6900" w14:textId="175A8B73" w:rsidR="004C6700" w:rsidRPr="00985B8B" w:rsidRDefault="004C6700" w:rsidP="005E4981">
      <w:pPr>
        <w:spacing w:line="240" w:lineRule="auto"/>
        <w:rPr>
          <w:sz w:val="24"/>
          <w:szCs w:val="24"/>
        </w:rPr>
      </w:pPr>
      <w:r w:rsidRPr="00985B8B">
        <w:rPr>
          <w:b/>
          <w:sz w:val="24"/>
          <w:szCs w:val="24"/>
        </w:rPr>
        <w:t xml:space="preserve">Jadrová a vyraďovacia spoločnosť, </w:t>
      </w:r>
      <w:r w:rsidR="00837EB9">
        <w:rPr>
          <w:b/>
          <w:sz w:val="24"/>
          <w:szCs w:val="24"/>
        </w:rPr>
        <w:t>a.</w:t>
      </w:r>
      <w:r w:rsidR="00D146DB">
        <w:rPr>
          <w:b/>
          <w:sz w:val="24"/>
          <w:szCs w:val="24"/>
        </w:rPr>
        <w:t> </w:t>
      </w:r>
      <w:r w:rsidR="00837EB9">
        <w:rPr>
          <w:b/>
          <w:sz w:val="24"/>
          <w:szCs w:val="24"/>
        </w:rPr>
        <w:t>s.</w:t>
      </w:r>
      <w:r w:rsidRPr="00985B8B">
        <w:rPr>
          <w:b/>
          <w:sz w:val="24"/>
          <w:szCs w:val="24"/>
        </w:rPr>
        <w:t xml:space="preserve">, </w:t>
      </w:r>
      <w:r w:rsidRPr="00985B8B">
        <w:rPr>
          <w:sz w:val="24"/>
          <w:szCs w:val="24"/>
        </w:rPr>
        <w:t>sa podieľa na maastrichtskom dlhu verejnej správy dlhom vo výške 4 987 tis. eur. Podstatnú časť dlhu predstavujú dlhodobé záväzky z obchodného styku a prijaté preddavky vo výške 3 798 tis. eur, 1 083 tis. eur predstavujú zábezpeky a 4 tis. eur krátkodobé bankové úvery.</w:t>
      </w:r>
    </w:p>
    <w:p w14:paraId="444ED39B" w14:textId="4BB9AA19" w:rsidR="004C6700" w:rsidRPr="00506B49" w:rsidRDefault="004C6700" w:rsidP="005E4981">
      <w:pPr>
        <w:spacing w:line="240" w:lineRule="auto"/>
        <w:rPr>
          <w:sz w:val="24"/>
          <w:szCs w:val="24"/>
        </w:rPr>
      </w:pPr>
      <w:r w:rsidRPr="00506B49">
        <w:rPr>
          <w:sz w:val="24"/>
          <w:szCs w:val="24"/>
        </w:rPr>
        <w:t>Dlh spoločnosti</w:t>
      </w:r>
      <w:r w:rsidRPr="00506B49">
        <w:rPr>
          <w:b/>
          <w:sz w:val="24"/>
          <w:szCs w:val="24"/>
        </w:rPr>
        <w:t xml:space="preserve"> MH </w:t>
      </w:r>
      <w:proofErr w:type="spellStart"/>
      <w:r w:rsidRPr="00506B49">
        <w:rPr>
          <w:b/>
          <w:sz w:val="24"/>
          <w:szCs w:val="24"/>
        </w:rPr>
        <w:t>Invest</w:t>
      </w:r>
      <w:proofErr w:type="spellEnd"/>
      <w:r w:rsidRPr="00506B49">
        <w:rPr>
          <w:b/>
          <w:sz w:val="24"/>
          <w:szCs w:val="24"/>
        </w:rPr>
        <w:t xml:space="preserve"> II, </w:t>
      </w:r>
      <w:r w:rsidR="00837EB9">
        <w:rPr>
          <w:b/>
          <w:sz w:val="24"/>
          <w:szCs w:val="24"/>
        </w:rPr>
        <w:t>s.</w:t>
      </w:r>
      <w:r w:rsidR="00D146DB">
        <w:rPr>
          <w:b/>
          <w:sz w:val="24"/>
          <w:szCs w:val="24"/>
        </w:rPr>
        <w:t> </w:t>
      </w:r>
      <w:r w:rsidR="00837EB9">
        <w:rPr>
          <w:b/>
          <w:sz w:val="24"/>
          <w:szCs w:val="24"/>
        </w:rPr>
        <w:t>r.</w:t>
      </w:r>
      <w:r w:rsidR="00D146DB">
        <w:rPr>
          <w:b/>
          <w:sz w:val="24"/>
          <w:szCs w:val="24"/>
        </w:rPr>
        <w:t> </w:t>
      </w:r>
      <w:r w:rsidR="00837EB9">
        <w:rPr>
          <w:b/>
          <w:sz w:val="24"/>
          <w:szCs w:val="24"/>
        </w:rPr>
        <w:t>o.</w:t>
      </w:r>
      <w:r w:rsidRPr="00506B49">
        <w:rPr>
          <w:sz w:val="24"/>
          <w:szCs w:val="24"/>
        </w:rPr>
        <w:t xml:space="preserve"> tvorí v prevažnej miere návratná finančná výpomoc poskytnutá zo štátneho rozpočtu vo výške 600 tis. eur, ktorá bola prevedená zo spoločnosti MH </w:t>
      </w:r>
      <w:proofErr w:type="spellStart"/>
      <w:r w:rsidRPr="00506B49">
        <w:rPr>
          <w:sz w:val="24"/>
          <w:szCs w:val="24"/>
        </w:rPr>
        <w:t>Invest</w:t>
      </w:r>
      <w:proofErr w:type="spellEnd"/>
      <w:r w:rsidRPr="00506B49">
        <w:rPr>
          <w:sz w:val="24"/>
          <w:szCs w:val="24"/>
        </w:rPr>
        <w:t xml:space="preserve">, </w:t>
      </w:r>
      <w:r w:rsidR="00837EB9">
        <w:rPr>
          <w:sz w:val="24"/>
          <w:szCs w:val="24"/>
        </w:rPr>
        <w:t>s.</w:t>
      </w:r>
      <w:r w:rsidR="00D146DB">
        <w:rPr>
          <w:sz w:val="24"/>
          <w:szCs w:val="24"/>
        </w:rPr>
        <w:t> </w:t>
      </w:r>
      <w:r w:rsidR="00837EB9">
        <w:rPr>
          <w:sz w:val="24"/>
          <w:szCs w:val="24"/>
        </w:rPr>
        <w:t>r.</w:t>
      </w:r>
      <w:r w:rsidR="00D146DB">
        <w:rPr>
          <w:sz w:val="24"/>
          <w:szCs w:val="24"/>
        </w:rPr>
        <w:t> </w:t>
      </w:r>
      <w:r w:rsidR="00837EB9">
        <w:rPr>
          <w:sz w:val="24"/>
          <w:szCs w:val="24"/>
        </w:rPr>
        <w:t>o.</w:t>
      </w:r>
      <w:r w:rsidRPr="00506B49">
        <w:rPr>
          <w:sz w:val="24"/>
          <w:szCs w:val="24"/>
        </w:rPr>
        <w:t xml:space="preserve"> Krátkodobé zábezpeky v hodnote 10 tis. eur predstavujú zvyšnú časť dlhu. </w:t>
      </w:r>
    </w:p>
    <w:p w14:paraId="1F18BA67" w14:textId="77777777" w:rsidR="004C6700" w:rsidRPr="00506B49" w:rsidRDefault="004C6700" w:rsidP="005E4981">
      <w:pPr>
        <w:spacing w:line="240" w:lineRule="auto"/>
        <w:rPr>
          <w:sz w:val="24"/>
          <w:szCs w:val="24"/>
        </w:rPr>
      </w:pPr>
      <w:r w:rsidRPr="00506B49">
        <w:rPr>
          <w:sz w:val="24"/>
          <w:szCs w:val="24"/>
        </w:rPr>
        <w:t xml:space="preserve">Dlh </w:t>
      </w:r>
      <w:r w:rsidRPr="00506B49">
        <w:rPr>
          <w:b/>
          <w:sz w:val="24"/>
          <w:szCs w:val="24"/>
        </w:rPr>
        <w:t xml:space="preserve">Agentúry pre núdzové zásoby ropy a ropných výrobkov takmer celý tvorí </w:t>
      </w:r>
      <w:r w:rsidRPr="00506B49">
        <w:rPr>
          <w:sz w:val="24"/>
          <w:szCs w:val="24"/>
        </w:rPr>
        <w:t>návratná finančná výpomoc zo štátnych finančných aktív vo výške 219 000 tis. eur. Jej úroveň oproti stavu v roku 2022 klesla o 21 000 tis. eur, z dôvodu úhrady splátky. Finančná výpomoc je na úrovni celej verejnej správy predmetom konsolidácie. Zvyšnú časť dlhu subjektu predstavujú krátkodobé zábezpeky vo výške 1 348 tis. eur.</w:t>
      </w:r>
    </w:p>
    <w:p w14:paraId="12B3B3C6" w14:textId="77777777" w:rsidR="004C6700" w:rsidRPr="00092ACB" w:rsidRDefault="004C6700" w:rsidP="005E4981">
      <w:pPr>
        <w:spacing w:line="240" w:lineRule="auto"/>
        <w:rPr>
          <w:sz w:val="24"/>
          <w:szCs w:val="24"/>
          <w:highlight w:val="yellow"/>
        </w:rPr>
      </w:pPr>
      <w:r w:rsidRPr="00506B49">
        <w:rPr>
          <w:sz w:val="24"/>
          <w:szCs w:val="24"/>
        </w:rPr>
        <w:t xml:space="preserve">Dlh </w:t>
      </w:r>
      <w:r w:rsidRPr="00506B49">
        <w:rPr>
          <w:b/>
          <w:sz w:val="24"/>
          <w:szCs w:val="24"/>
        </w:rPr>
        <w:t>ústredných zdravotníckych zariadení</w:t>
      </w:r>
      <w:r w:rsidRPr="00506B49">
        <w:rPr>
          <w:sz w:val="24"/>
          <w:szCs w:val="24"/>
        </w:rPr>
        <w:t xml:space="preserve"> medziročne klesol oproti stavu za rok 2022 o 17 801 tis. eur. Dlh vo výške 175 730 tis. eur tvoria v rozhodujúcej miere záväzky po zmene veriteľa vo výške 132 495 tis. eur. Dlh ústredných zdravotníckych zariadení ďalej tvoria bankové úvery, ktorých stav sa medziročne znížil o 4 497 tis. eur na úroveň 34 485 tis. eur, </w:t>
      </w:r>
      <w:r w:rsidRPr="00C84FED">
        <w:rPr>
          <w:sz w:val="24"/>
          <w:szCs w:val="24"/>
        </w:rPr>
        <w:t>záväzky vyplývajúce z ostatných zmlúv o energetickej efektívnosti v hodnote 2 599 tis. eur, finančný prenájom vo výške 1 388 tis. eur, zábezpeky vo výške 1 243 tis. eur a návratné finančné výpomoci vo hodnote 666 tis. eur. Dlhodobé záväzky z obchodného styku a prijaté preddavky zvyšujú úroveň dlhu ústredných zdravotníckych zariadení o 2 854 tis. eur.</w:t>
      </w:r>
    </w:p>
    <w:p w14:paraId="130468CE" w14:textId="77777777" w:rsidR="004C6700" w:rsidRPr="00092ACB" w:rsidRDefault="004C6700" w:rsidP="005E4981">
      <w:pPr>
        <w:spacing w:line="240" w:lineRule="auto"/>
        <w:rPr>
          <w:sz w:val="24"/>
          <w:szCs w:val="24"/>
          <w:highlight w:val="yellow"/>
        </w:rPr>
      </w:pPr>
      <w:r w:rsidRPr="00C454D8">
        <w:rPr>
          <w:b/>
          <w:sz w:val="24"/>
          <w:szCs w:val="24"/>
        </w:rPr>
        <w:t xml:space="preserve">Exportno-importná banka Slovenskej republiky </w:t>
      </w:r>
      <w:r w:rsidRPr="00C454D8">
        <w:rPr>
          <w:sz w:val="24"/>
          <w:szCs w:val="24"/>
        </w:rPr>
        <w:t xml:space="preserve">sa podieľa na dlhu verejnej správy v roku 2023 sumou 188 156 tis. eur. Oproti predchádzajúcemu roku dlh klesol o 584 tis. eur. </w:t>
      </w:r>
      <w:r w:rsidRPr="00D637A9">
        <w:rPr>
          <w:sz w:val="24"/>
          <w:szCs w:val="24"/>
        </w:rPr>
        <w:t>Výška čerpania kontokorentných úverov bola na konci roka 2023 na úrovni 2 120 tis. eur, čo je o 1 716 tis. eur menej ako v predchádzajúcom roku. Naproti tomu dlhodobé bankové úvery dosiahli spolu výšku 180 000</w:t>
      </w:r>
      <w:r>
        <w:rPr>
          <w:sz w:val="24"/>
          <w:szCs w:val="24"/>
        </w:rPr>
        <w:t> tis. eur</w:t>
      </w:r>
      <w:r w:rsidRPr="00D637A9">
        <w:rPr>
          <w:sz w:val="24"/>
          <w:szCs w:val="24"/>
        </w:rPr>
        <w:t>, čo je o 10 000 tis. eur viac ako v roku 2022. Záväzky voči</w:t>
      </w:r>
      <w:r>
        <w:rPr>
          <w:sz w:val="24"/>
          <w:szCs w:val="24"/>
        </w:rPr>
        <w:t> </w:t>
      </w:r>
      <w:r w:rsidRPr="00D637A9">
        <w:rPr>
          <w:sz w:val="24"/>
          <w:szCs w:val="24"/>
        </w:rPr>
        <w:t>klientom klesli oproti predchádzajúcemu roku o 8 899 </w:t>
      </w:r>
      <w:r>
        <w:rPr>
          <w:sz w:val="24"/>
          <w:szCs w:val="24"/>
        </w:rPr>
        <w:t>tis. eur</w:t>
      </w:r>
      <w:r w:rsidRPr="00D637A9">
        <w:rPr>
          <w:sz w:val="24"/>
          <w:szCs w:val="24"/>
        </w:rPr>
        <w:t xml:space="preserve"> na úroveň 5 927 tis. eur a zábezpeky </w:t>
      </w:r>
      <w:r>
        <w:rPr>
          <w:sz w:val="24"/>
          <w:szCs w:val="24"/>
        </w:rPr>
        <w:t>vzrástli</w:t>
      </w:r>
      <w:r w:rsidRPr="00D637A9">
        <w:rPr>
          <w:sz w:val="24"/>
          <w:szCs w:val="24"/>
        </w:rPr>
        <w:t xml:space="preserve"> o 77 tis. eur na súčasných 109 tis. eur.</w:t>
      </w:r>
    </w:p>
    <w:p w14:paraId="2B357151" w14:textId="23370384" w:rsidR="004C6700" w:rsidRPr="00092ACB" w:rsidRDefault="004C6700" w:rsidP="005E4981">
      <w:pPr>
        <w:spacing w:line="240" w:lineRule="auto"/>
        <w:rPr>
          <w:sz w:val="24"/>
          <w:szCs w:val="24"/>
          <w:highlight w:val="yellow"/>
        </w:rPr>
      </w:pPr>
      <w:r w:rsidRPr="006C4959">
        <w:rPr>
          <w:sz w:val="24"/>
          <w:szCs w:val="24"/>
        </w:rPr>
        <w:t>Dlh</w:t>
      </w:r>
      <w:r w:rsidRPr="006C4959">
        <w:rPr>
          <w:b/>
          <w:sz w:val="24"/>
          <w:szCs w:val="24"/>
        </w:rPr>
        <w:t xml:space="preserve"> dopravných podnikov</w:t>
      </w:r>
      <w:r w:rsidRPr="006C4959">
        <w:rPr>
          <w:sz w:val="24"/>
          <w:szCs w:val="24"/>
        </w:rPr>
        <w:t xml:space="preserve"> </w:t>
      </w:r>
      <w:r w:rsidRPr="006C4959">
        <w:rPr>
          <w:b/>
          <w:sz w:val="24"/>
          <w:szCs w:val="24"/>
        </w:rPr>
        <w:t>miestnej samosprávy</w:t>
      </w:r>
      <w:r w:rsidRPr="006C4959">
        <w:rPr>
          <w:sz w:val="24"/>
          <w:szCs w:val="24"/>
        </w:rPr>
        <w:t xml:space="preserve"> dosiahol v roku 2023 úroveň 97 120 tis. eur, čo znamená pokles o 9 680 tis. eur oproti stavu v roku 2022. Väčšinu dlhu tvoria domáce bankové úvery v výške 82 592</w:t>
      </w:r>
      <w:r>
        <w:rPr>
          <w:sz w:val="24"/>
          <w:szCs w:val="24"/>
        </w:rPr>
        <w:t> tis. eur, pričom</w:t>
      </w:r>
      <w:r w:rsidRPr="006C4959">
        <w:rPr>
          <w:sz w:val="24"/>
          <w:szCs w:val="24"/>
        </w:rPr>
        <w:t xml:space="preserve"> </w:t>
      </w:r>
      <w:r>
        <w:rPr>
          <w:sz w:val="24"/>
          <w:szCs w:val="24"/>
        </w:rPr>
        <w:t>v</w:t>
      </w:r>
      <w:r w:rsidRPr="00275A6F">
        <w:rPr>
          <w:sz w:val="24"/>
          <w:szCs w:val="24"/>
        </w:rPr>
        <w:t xml:space="preserve"> priebehu roka 2023 čerpal nové úvery </w:t>
      </w:r>
      <w:r>
        <w:rPr>
          <w:sz w:val="24"/>
          <w:szCs w:val="24"/>
        </w:rPr>
        <w:t xml:space="preserve">len </w:t>
      </w:r>
      <w:r w:rsidRPr="00275A6F">
        <w:rPr>
          <w:sz w:val="24"/>
          <w:szCs w:val="24"/>
        </w:rPr>
        <w:t>Dopravný podnik Bratislava, </w:t>
      </w:r>
      <w:r w:rsidR="00837EB9">
        <w:rPr>
          <w:sz w:val="24"/>
          <w:szCs w:val="24"/>
        </w:rPr>
        <w:t>a.</w:t>
      </w:r>
      <w:r w:rsidR="00D146DB">
        <w:rPr>
          <w:sz w:val="24"/>
          <w:szCs w:val="24"/>
        </w:rPr>
        <w:t> </w:t>
      </w:r>
      <w:r w:rsidR="00837EB9">
        <w:rPr>
          <w:sz w:val="24"/>
          <w:szCs w:val="24"/>
        </w:rPr>
        <w:t>s.</w:t>
      </w:r>
      <w:r w:rsidRPr="00275A6F">
        <w:rPr>
          <w:sz w:val="24"/>
          <w:szCs w:val="24"/>
        </w:rPr>
        <w:t xml:space="preserve"> </w:t>
      </w:r>
      <w:r>
        <w:rPr>
          <w:sz w:val="24"/>
          <w:szCs w:val="24"/>
        </w:rPr>
        <w:t xml:space="preserve">v súhrnnej výške </w:t>
      </w:r>
      <w:r w:rsidRPr="00275A6F">
        <w:rPr>
          <w:sz w:val="24"/>
          <w:szCs w:val="24"/>
        </w:rPr>
        <w:t>19 741</w:t>
      </w:r>
      <w:r>
        <w:rPr>
          <w:sz w:val="24"/>
          <w:szCs w:val="24"/>
        </w:rPr>
        <w:t> tis. eur.</w:t>
      </w:r>
      <w:r w:rsidRPr="00275A6F">
        <w:rPr>
          <w:sz w:val="24"/>
          <w:szCs w:val="24"/>
        </w:rPr>
        <w:t xml:space="preserve"> Zároveň boli realizované splátky bankových úverov prijatých v predchádzajúcich rokoch v súhrnnej výške 27 570 tis. eur. </w:t>
      </w:r>
      <w:r w:rsidRPr="003836B1">
        <w:rPr>
          <w:sz w:val="24"/>
          <w:szCs w:val="24"/>
        </w:rPr>
        <w:t xml:space="preserve">Okrem bankových úverov tvoria dlh dopravných podnikov dlhodobé záväzky z obchodného styku a prijaté preddavky (11 471 tis. eur), pôžičky od nebankových subjektov (2 729 tis. eur), </w:t>
      </w:r>
      <w:r w:rsidRPr="003836B1">
        <w:rPr>
          <w:sz w:val="24"/>
          <w:szCs w:val="24"/>
        </w:rPr>
        <w:lastRenderedPageBreak/>
        <w:t>krátkodobé zábezpeky (101 tis. eur) a finančný prenájom (227 tis. eur). Dlh dopravných podnikov majoritne tvoria záväzky so splatnosťou dlhšou ako jeden rok (99,9 %), voči tuzemským veriteľom (100,0 %).</w:t>
      </w:r>
    </w:p>
    <w:p w14:paraId="270E4FDF" w14:textId="569022DA" w:rsidR="003A0696" w:rsidRPr="007D57AB" w:rsidRDefault="004C6700" w:rsidP="005E4981">
      <w:pPr>
        <w:spacing w:line="240" w:lineRule="auto"/>
        <w:rPr>
          <w:sz w:val="24"/>
          <w:szCs w:val="24"/>
        </w:rPr>
      </w:pPr>
      <w:r w:rsidRPr="00B603FD">
        <w:rPr>
          <w:sz w:val="24"/>
          <w:szCs w:val="24"/>
        </w:rPr>
        <w:t xml:space="preserve">Bankové úvery čerpajú dopravné podniky za účelom postupnej obnovy vozového parku (autobusy, trolejbusy, električky) ako aj obnovu prislúchajúcej infraštruktúry (trakčné vedenia, depá a podobne). Väčšina z komerčných úverov má zároveň dojednanú formu zabezpečenia v podobe </w:t>
      </w:r>
      <w:r w:rsidRPr="007D57AB">
        <w:rPr>
          <w:sz w:val="24"/>
          <w:szCs w:val="24"/>
        </w:rPr>
        <w:t>nakúpeného dlhodobého majetku alebo peňažnými pohľadávkami z obchodného styku (napr. zo zmlúv o službách v mestskej hromadnej doprave).</w:t>
      </w:r>
    </w:p>
    <w:p w14:paraId="45090108" w14:textId="3C915946" w:rsidR="004C6700" w:rsidRDefault="004C6700" w:rsidP="004C6700">
      <w:pPr>
        <w:pStyle w:val="Nadpis2"/>
        <w:ind w:left="567" w:hanging="576"/>
      </w:pPr>
      <w:bookmarkStart w:id="33" w:name="_Toc6415639"/>
      <w:bookmarkStart w:id="34" w:name="_Toc132929083"/>
      <w:bookmarkStart w:id="35" w:name="_Toc164846937"/>
      <w:r w:rsidRPr="007D57AB">
        <w:t>Porovnanie salda a dlhu verejnej správy v Európskej únii</w:t>
      </w:r>
      <w:bookmarkEnd w:id="33"/>
      <w:bookmarkEnd w:id="34"/>
      <w:bookmarkEnd w:id="35"/>
    </w:p>
    <w:p w14:paraId="062738BD" w14:textId="77777777" w:rsidR="00087221" w:rsidRPr="00087221" w:rsidRDefault="00087221" w:rsidP="00087221">
      <w:pPr>
        <w:spacing w:line="240" w:lineRule="auto"/>
        <w:rPr>
          <w:b/>
          <w:sz w:val="24"/>
          <w:szCs w:val="24"/>
        </w:rPr>
      </w:pPr>
      <w:r w:rsidRPr="00087221">
        <w:rPr>
          <w:sz w:val="24"/>
          <w:szCs w:val="24"/>
        </w:rPr>
        <w:t xml:space="preserve">V rámci Európskej únie (27 krajín) v roku 2023 dosiahlo 6 krajín vyšší schodok a 13 krajín dosiahlo vyšší dlh verejnej správy ako Slovenská republika. </w:t>
      </w:r>
      <w:r w:rsidRPr="00087221">
        <w:rPr>
          <w:b/>
          <w:sz w:val="24"/>
          <w:szCs w:val="24"/>
        </w:rPr>
        <w:t xml:space="preserve">Priemerný schodok EÚ 27 bol 3,5 % HDP a priemerný dlh verejnej správy EÚ 27 bol 81,7 % HDP. </w:t>
      </w:r>
    </w:p>
    <w:p w14:paraId="29B8633C" w14:textId="7F8841DE" w:rsidR="00087221" w:rsidRPr="00087221" w:rsidRDefault="00087221" w:rsidP="00087221">
      <w:pPr>
        <w:spacing w:line="240" w:lineRule="auto"/>
        <w:rPr>
          <w:sz w:val="24"/>
          <w:szCs w:val="24"/>
        </w:rPr>
      </w:pPr>
      <w:r w:rsidRPr="00087221">
        <w:rPr>
          <w:sz w:val="24"/>
          <w:szCs w:val="24"/>
        </w:rPr>
        <w:t>V rámci krajín EÚ 27 došlo k nárastu</w:t>
      </w:r>
      <w:r w:rsidR="00B905CE">
        <w:rPr>
          <w:sz w:val="24"/>
          <w:szCs w:val="24"/>
        </w:rPr>
        <w:t xml:space="preserve"> HDP o 1 049 190 mil. eur (o 6,6</w:t>
      </w:r>
      <w:r w:rsidRPr="00087221">
        <w:rPr>
          <w:sz w:val="24"/>
          <w:szCs w:val="24"/>
        </w:rPr>
        <w:t> %) a nárast</w:t>
      </w:r>
      <w:r w:rsidR="00B905CE">
        <w:rPr>
          <w:sz w:val="24"/>
          <w:szCs w:val="24"/>
        </w:rPr>
        <w:t>u dlhu o 579 716 mil. eur (o 4,4</w:t>
      </w:r>
      <w:r w:rsidRPr="00087221">
        <w:rPr>
          <w:sz w:val="24"/>
          <w:szCs w:val="24"/>
        </w:rPr>
        <w:t xml:space="preserve"> %). Slovenská republika dosiahla v porovnaní s priemerom krajín EÚ aj Eurozóny horšie hodnoty deficitu a lepšie hodnoty dlhu. </w:t>
      </w:r>
    </w:p>
    <w:p w14:paraId="21C3AD98" w14:textId="77777777" w:rsidR="00087221" w:rsidRPr="00087221" w:rsidRDefault="00087221" w:rsidP="00087221">
      <w:pPr>
        <w:spacing w:line="240" w:lineRule="auto"/>
        <w:rPr>
          <w:sz w:val="24"/>
          <w:szCs w:val="24"/>
        </w:rPr>
      </w:pPr>
      <w:r w:rsidRPr="00087221">
        <w:rPr>
          <w:sz w:val="24"/>
          <w:szCs w:val="24"/>
        </w:rPr>
        <w:t>V roku 2023 v Eurozóne (20) v porovnaní s rokom 2022 percentuálne poklesol vládny schodok aj vládny dlh, ale v rámci všetkých krajín EÚ vládny schodok mierne vzrástol. V Eurozóne (20) podiel deficitu k HDP klesol zo 3,7 % v roku 2022 na 3,6 % HDP v roku 2023 (t. j. zlepšenie o 0,1 p. b.) a v rámci EÚ vzrástol z 3,4 % HDP na 3,5 % HDP (t. j. zhoršenie o 0,1 p. b.). V Eurozóne (20) podiel vládneho dlhu k HDP klesol z 90,8 % ku koncu roka 2022 na 88,6 % HDP ku koncu roka 2023 (t. j. zlepšenie o 2,2 p. b.) a v rámci EÚ z 83,4 % HDP na 81,7 % HDP(t. j. zlepšenie o 1,7 p. b.).</w:t>
      </w:r>
    </w:p>
    <w:p w14:paraId="6AE76DEB" w14:textId="77777777" w:rsidR="00087221" w:rsidRPr="00087221" w:rsidRDefault="00087221" w:rsidP="00087221">
      <w:pPr>
        <w:spacing w:line="240" w:lineRule="auto"/>
        <w:rPr>
          <w:sz w:val="24"/>
          <w:szCs w:val="24"/>
        </w:rPr>
      </w:pPr>
      <w:r w:rsidRPr="00087221">
        <w:rPr>
          <w:sz w:val="24"/>
          <w:szCs w:val="24"/>
        </w:rPr>
        <w:t>Najvyššie schodky verejnej správy v rámci EÚ 27 v roku 2023 vykázali</w:t>
      </w:r>
      <w:r w:rsidRPr="00087221">
        <w:rPr>
          <w:color w:val="FF0000"/>
          <w:sz w:val="24"/>
          <w:szCs w:val="24"/>
        </w:rPr>
        <w:t xml:space="preserve"> </w:t>
      </w:r>
      <w:r w:rsidRPr="00087221">
        <w:rPr>
          <w:sz w:val="24"/>
          <w:szCs w:val="24"/>
        </w:rPr>
        <w:t>krajiny ako Taliansko 7,4 %, Maďarsko 6,7 %, Rumunsko 6,6 %, Francúzsko 5,5 %, Poľsko 5,1%, Malta a Slovenská republika na úrovni 4,9 %. Vyrovnané hospodárenie v roku 2023 mali len dve krajiny, a to Nemecko a Írsko. Najvýraznejšie medziročné zlepšenie dosiahlo Lotyšsko o 2,4 p. b., Portugalsko o 1,5 p. b., Taliansko o 1,2 p. b., Španielsko o 1,1 p. b. a Bulharsko o 1,0 p. b. Medziročné zhoršenie dosiahlo až 15 krajín, a to predovšetkým Slovensko o 3,2 p. b., Estónsko o 2,4 p. b., Fínsko o 2,3 p. b., Švédsko o 1,8 p. b., Poľsko o 1,7 p. b. a Luxembursko o 1,0 p. b. Ostatné krajiny zaznamenali mierne zhoršenie oproti predchádzajúcemu roku.</w:t>
      </w:r>
    </w:p>
    <w:p w14:paraId="4B70B812" w14:textId="77777777" w:rsidR="00087221" w:rsidRPr="00087221" w:rsidRDefault="00087221" w:rsidP="00087221">
      <w:pPr>
        <w:spacing w:line="240" w:lineRule="auto"/>
        <w:rPr>
          <w:sz w:val="24"/>
          <w:szCs w:val="24"/>
        </w:rPr>
      </w:pPr>
      <w:r w:rsidRPr="00087221">
        <w:rPr>
          <w:sz w:val="24"/>
          <w:szCs w:val="24"/>
        </w:rPr>
        <w:t xml:space="preserve">Medzi krajinami s najvyšším dlhom sa nachádzajú krajiny s dlhodobo vysokými dlhmi ako Grécko a Taliansko. Päť krajín dosiahlo úroveň zadlženosti nad 100 % HDP. Najvyšší dlh verejnej správy v roku 2023 opäť vykázalo Grécko 161,9 % HDP, Taliansko 137,3 % HDP, Francúzsko 110,6 % HDP, Španielsko 107,7 % HDP a Belgicko 105,2 % HDP. Najvýraznejší medziročný pokles dlhu dosiahlo Portugalsko o 13,3 p. b., Grécko o 10,8 p. b., Cyprus o 8,3 p. b., Chorvátsko o 4,8 p. b., Španielsko o 3,9 p. b. a Holandsko o 3,6 </w:t>
      </w:r>
      <w:proofErr w:type="spellStart"/>
      <w:r w:rsidRPr="00087221">
        <w:rPr>
          <w:sz w:val="24"/>
          <w:szCs w:val="24"/>
        </w:rPr>
        <w:t>p.b</w:t>
      </w:r>
      <w:proofErr w:type="spellEnd"/>
      <w:r w:rsidRPr="00087221">
        <w:rPr>
          <w:sz w:val="24"/>
          <w:szCs w:val="24"/>
        </w:rPr>
        <w:t>.</w:t>
      </w:r>
    </w:p>
    <w:p w14:paraId="3E52735D" w14:textId="77777777" w:rsidR="00087221" w:rsidRPr="00087221" w:rsidRDefault="00087221" w:rsidP="00087221">
      <w:pPr>
        <w:spacing w:line="240" w:lineRule="auto"/>
        <w:rPr>
          <w:sz w:val="24"/>
          <w:szCs w:val="24"/>
        </w:rPr>
      </w:pPr>
      <w:r w:rsidRPr="00087221">
        <w:rPr>
          <w:sz w:val="24"/>
          <w:szCs w:val="24"/>
        </w:rPr>
        <w:t>Medziročný nárast dlhu dosiahlo deväť krajín, a to Fínsko o 2,3 p. b.,  Lotyšsko o 1,8 p. b., Rumunsko o 1,3 p. b., Estónsko o 1,1 p. b., Luxembursko o 1,0 p. b., Belgicko o 0,9 p. b., Bulharsko o 0,5 p. b., Poľsko o 0,4 p. b. a Litva o 0,2 p. b. Ostatné krajiny zaznamenali zníženie zadlženosti oproti predchádzajúcemu roku.</w:t>
      </w:r>
    </w:p>
    <w:p w14:paraId="7C20950B" w14:textId="3AFB998D" w:rsidR="00087221" w:rsidRDefault="00087221" w:rsidP="00087221">
      <w:pPr>
        <w:spacing w:line="240" w:lineRule="auto"/>
        <w:rPr>
          <w:sz w:val="24"/>
          <w:szCs w:val="24"/>
        </w:rPr>
      </w:pPr>
      <w:r w:rsidRPr="00087221">
        <w:rPr>
          <w:sz w:val="24"/>
          <w:szCs w:val="24"/>
        </w:rPr>
        <w:t>Najnižší dlh vykázalo opäť Estónsko vo výške 19,6 % HDP, Bulharsko 23,1 % HDP a Luxembursko 25,7 % HDP.</w:t>
      </w:r>
    </w:p>
    <w:p w14:paraId="3DCD0567" w14:textId="77777777" w:rsidR="00087221" w:rsidRPr="00087221" w:rsidRDefault="00087221" w:rsidP="00087221">
      <w:pPr>
        <w:spacing w:after="160" w:line="259" w:lineRule="auto"/>
        <w:jc w:val="left"/>
        <w:rPr>
          <w:sz w:val="24"/>
          <w:szCs w:val="24"/>
        </w:rPr>
      </w:pPr>
      <w:r>
        <w:br w:type="page"/>
      </w:r>
    </w:p>
    <w:tbl>
      <w:tblPr>
        <w:tblW w:w="9838" w:type="dxa"/>
        <w:tblCellMar>
          <w:left w:w="70" w:type="dxa"/>
          <w:right w:w="70" w:type="dxa"/>
        </w:tblCellMar>
        <w:tblLook w:val="04A0" w:firstRow="1" w:lastRow="0" w:firstColumn="1" w:lastColumn="0" w:noHBand="0" w:noVBand="1"/>
      </w:tblPr>
      <w:tblGrid>
        <w:gridCol w:w="9838"/>
      </w:tblGrid>
      <w:tr w:rsidR="00087221" w:rsidRPr="00087221" w14:paraId="710B47DE" w14:textId="77777777" w:rsidTr="00E71244">
        <w:trPr>
          <w:trHeight w:val="326"/>
        </w:trPr>
        <w:tc>
          <w:tcPr>
            <w:tcW w:w="9838" w:type="dxa"/>
            <w:noWrap/>
            <w:vAlign w:val="center"/>
            <w:hideMark/>
          </w:tcPr>
          <w:p w14:paraId="3C08A97F" w14:textId="1AC13AEC" w:rsidR="00087221" w:rsidRPr="00087221" w:rsidRDefault="004A6E2F" w:rsidP="00E71244">
            <w:pPr>
              <w:spacing w:after="0" w:line="240" w:lineRule="auto"/>
              <w:rPr>
                <w:rFonts w:eastAsia="Times New Roman" w:cs="Times New Roman"/>
                <w:b/>
                <w:bCs/>
                <w:color w:val="5B9BD5" w:themeColor="accent1"/>
                <w:sz w:val="20"/>
                <w:szCs w:val="20"/>
                <w:vertAlign w:val="superscript"/>
                <w:lang w:eastAsia="sk-SK"/>
              </w:rPr>
            </w:pPr>
            <w:r>
              <w:rPr>
                <w:rFonts w:eastAsia="Times New Roman" w:cs="Times New Roman"/>
                <w:b/>
                <w:bCs/>
                <w:color w:val="5B9BD5" w:themeColor="accent1"/>
                <w:sz w:val="20"/>
                <w:szCs w:val="20"/>
                <w:lang w:eastAsia="sk-SK"/>
              </w:rPr>
              <w:lastRenderedPageBreak/>
              <w:t>Tabuľka 21</w:t>
            </w:r>
            <w:r w:rsidR="00087221" w:rsidRPr="00087221">
              <w:rPr>
                <w:rFonts w:eastAsia="Times New Roman" w:cs="Times New Roman"/>
                <w:b/>
                <w:bCs/>
                <w:color w:val="5B9BD5" w:themeColor="accent1"/>
                <w:sz w:val="20"/>
                <w:szCs w:val="20"/>
                <w:lang w:eastAsia="sk-SK"/>
              </w:rPr>
              <w:t xml:space="preserve"> - Saldo a dlh verejnej správy v EÚ 27 (% HDP)</w:t>
            </w:r>
            <w:r w:rsidR="00087221" w:rsidRPr="00087221">
              <w:rPr>
                <w:rFonts w:eastAsia="Times New Roman" w:cs="Times New Roman"/>
                <w:b/>
                <w:bCs/>
                <w:color w:val="5B9BD5" w:themeColor="accent1"/>
                <w:sz w:val="20"/>
                <w:szCs w:val="20"/>
                <w:vertAlign w:val="superscript"/>
                <w:lang w:eastAsia="sk-SK"/>
              </w:rPr>
              <w:t>1)</w:t>
            </w:r>
          </w:p>
          <w:tbl>
            <w:tblPr>
              <w:tblW w:w="9404" w:type="dxa"/>
              <w:tblCellMar>
                <w:left w:w="70" w:type="dxa"/>
                <w:right w:w="70" w:type="dxa"/>
              </w:tblCellMar>
              <w:tblLook w:val="04A0" w:firstRow="1" w:lastRow="0" w:firstColumn="1" w:lastColumn="0" w:noHBand="0" w:noVBand="1"/>
            </w:tblPr>
            <w:tblGrid>
              <w:gridCol w:w="1542"/>
              <w:gridCol w:w="764"/>
              <w:gridCol w:w="826"/>
              <w:gridCol w:w="742"/>
              <w:gridCol w:w="728"/>
              <w:gridCol w:w="1453"/>
              <w:gridCol w:w="843"/>
              <w:gridCol w:w="843"/>
              <w:gridCol w:w="864"/>
              <w:gridCol w:w="799"/>
            </w:tblGrid>
            <w:tr w:rsidR="00087221" w:rsidRPr="00087221" w14:paraId="162E2BDC" w14:textId="77777777" w:rsidTr="00E71244">
              <w:trPr>
                <w:trHeight w:val="259"/>
              </w:trPr>
              <w:tc>
                <w:tcPr>
                  <w:tcW w:w="460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35B3093" w14:textId="77777777" w:rsidR="00087221" w:rsidRPr="00087221" w:rsidRDefault="00087221" w:rsidP="00E71244">
                  <w:pPr>
                    <w:spacing w:after="0" w:line="240" w:lineRule="auto"/>
                    <w:jc w:val="center"/>
                    <w:rPr>
                      <w:b/>
                      <w:bCs/>
                      <w:sz w:val="20"/>
                      <w:szCs w:val="20"/>
                      <w:lang w:eastAsia="sk-SK"/>
                    </w:rPr>
                  </w:pPr>
                  <w:r w:rsidRPr="00087221">
                    <w:rPr>
                      <w:b/>
                      <w:bCs/>
                      <w:sz w:val="20"/>
                      <w:szCs w:val="20"/>
                      <w:lang w:eastAsia="sk-SK"/>
                    </w:rPr>
                    <w:t xml:space="preserve">Saldo verejnej správy </w:t>
                  </w:r>
                </w:p>
              </w:tc>
              <w:tc>
                <w:tcPr>
                  <w:tcW w:w="4802" w:type="dxa"/>
                  <w:gridSpan w:val="5"/>
                  <w:tcBorders>
                    <w:top w:val="single" w:sz="4" w:space="0" w:color="auto"/>
                    <w:left w:val="nil"/>
                    <w:bottom w:val="single" w:sz="4" w:space="0" w:color="auto"/>
                    <w:right w:val="single" w:sz="4" w:space="0" w:color="auto"/>
                  </w:tcBorders>
                  <w:shd w:val="clear" w:color="auto" w:fill="auto"/>
                  <w:vAlign w:val="center"/>
                  <w:hideMark/>
                </w:tcPr>
                <w:p w14:paraId="4C633D29" w14:textId="77777777" w:rsidR="00087221" w:rsidRPr="00087221" w:rsidRDefault="00087221" w:rsidP="00E71244">
                  <w:pPr>
                    <w:spacing w:after="0" w:line="240" w:lineRule="auto"/>
                    <w:jc w:val="center"/>
                    <w:rPr>
                      <w:b/>
                      <w:bCs/>
                      <w:sz w:val="20"/>
                      <w:szCs w:val="20"/>
                      <w:lang w:eastAsia="sk-SK"/>
                    </w:rPr>
                  </w:pPr>
                  <w:r w:rsidRPr="00087221">
                    <w:rPr>
                      <w:b/>
                      <w:bCs/>
                      <w:sz w:val="20"/>
                      <w:szCs w:val="20"/>
                      <w:lang w:eastAsia="sk-SK"/>
                    </w:rPr>
                    <w:t xml:space="preserve">Hrubý dlh verejnej správy </w:t>
                  </w:r>
                </w:p>
              </w:tc>
            </w:tr>
            <w:tr w:rsidR="00087221" w:rsidRPr="00087221" w14:paraId="3AEFFDF9" w14:textId="77777777" w:rsidTr="00E71244">
              <w:trPr>
                <w:trHeight w:val="477"/>
              </w:trPr>
              <w:tc>
                <w:tcPr>
                  <w:tcW w:w="1542" w:type="dxa"/>
                  <w:tcBorders>
                    <w:top w:val="nil"/>
                    <w:left w:val="single" w:sz="4" w:space="0" w:color="auto"/>
                    <w:bottom w:val="single" w:sz="4" w:space="0" w:color="auto"/>
                    <w:right w:val="nil"/>
                  </w:tcBorders>
                  <w:shd w:val="clear" w:color="auto" w:fill="auto"/>
                  <w:vAlign w:val="center"/>
                  <w:hideMark/>
                </w:tcPr>
                <w:p w14:paraId="045541DC" w14:textId="77777777" w:rsidR="00087221" w:rsidRPr="00087221" w:rsidRDefault="00087221" w:rsidP="00E71244">
                  <w:pPr>
                    <w:spacing w:after="0" w:line="240" w:lineRule="auto"/>
                    <w:rPr>
                      <w:b/>
                      <w:bCs/>
                      <w:sz w:val="20"/>
                      <w:szCs w:val="20"/>
                      <w:lang w:eastAsia="sk-SK"/>
                    </w:rPr>
                  </w:pPr>
                  <w:r w:rsidRPr="00087221">
                    <w:rPr>
                      <w:b/>
                      <w:bCs/>
                      <w:sz w:val="20"/>
                      <w:szCs w:val="20"/>
                      <w:lang w:eastAsia="sk-SK"/>
                    </w:rPr>
                    <w:t> </w:t>
                  </w:r>
                </w:p>
              </w:tc>
              <w:tc>
                <w:tcPr>
                  <w:tcW w:w="764" w:type="dxa"/>
                  <w:tcBorders>
                    <w:top w:val="nil"/>
                    <w:left w:val="nil"/>
                    <w:bottom w:val="single" w:sz="4" w:space="0" w:color="auto"/>
                    <w:right w:val="nil"/>
                  </w:tcBorders>
                  <w:shd w:val="clear" w:color="auto" w:fill="auto"/>
                  <w:vAlign w:val="center"/>
                  <w:hideMark/>
                </w:tcPr>
                <w:p w14:paraId="55CC4B78" w14:textId="77777777" w:rsidR="00087221" w:rsidRPr="00087221" w:rsidRDefault="00087221" w:rsidP="00E71244">
                  <w:pPr>
                    <w:spacing w:after="0" w:line="240" w:lineRule="auto"/>
                    <w:jc w:val="center"/>
                    <w:rPr>
                      <w:b/>
                      <w:bCs/>
                      <w:sz w:val="20"/>
                      <w:szCs w:val="20"/>
                      <w:lang w:eastAsia="sk-SK"/>
                    </w:rPr>
                  </w:pPr>
                  <w:r w:rsidRPr="00087221">
                    <w:rPr>
                      <w:b/>
                      <w:bCs/>
                      <w:sz w:val="20"/>
                      <w:szCs w:val="20"/>
                      <w:lang w:eastAsia="sk-SK"/>
                    </w:rPr>
                    <w:t>2021</w:t>
                  </w:r>
                </w:p>
              </w:tc>
              <w:tc>
                <w:tcPr>
                  <w:tcW w:w="826" w:type="dxa"/>
                  <w:tcBorders>
                    <w:top w:val="nil"/>
                    <w:left w:val="nil"/>
                    <w:bottom w:val="single" w:sz="4" w:space="0" w:color="auto"/>
                    <w:right w:val="nil"/>
                  </w:tcBorders>
                  <w:shd w:val="clear" w:color="auto" w:fill="auto"/>
                  <w:vAlign w:val="center"/>
                  <w:hideMark/>
                </w:tcPr>
                <w:p w14:paraId="19781D6D" w14:textId="77777777" w:rsidR="00087221" w:rsidRPr="00087221" w:rsidRDefault="00087221" w:rsidP="00E71244">
                  <w:pPr>
                    <w:spacing w:after="0" w:line="240" w:lineRule="auto"/>
                    <w:jc w:val="center"/>
                    <w:rPr>
                      <w:b/>
                      <w:bCs/>
                      <w:sz w:val="20"/>
                      <w:szCs w:val="20"/>
                      <w:lang w:eastAsia="sk-SK"/>
                    </w:rPr>
                  </w:pPr>
                  <w:r w:rsidRPr="00087221">
                    <w:rPr>
                      <w:b/>
                      <w:bCs/>
                      <w:sz w:val="20"/>
                      <w:szCs w:val="20"/>
                      <w:lang w:eastAsia="sk-SK"/>
                    </w:rPr>
                    <w:t>2022</w:t>
                  </w:r>
                </w:p>
              </w:tc>
              <w:tc>
                <w:tcPr>
                  <w:tcW w:w="742" w:type="dxa"/>
                  <w:tcBorders>
                    <w:top w:val="nil"/>
                    <w:left w:val="nil"/>
                    <w:bottom w:val="single" w:sz="4" w:space="0" w:color="auto"/>
                    <w:right w:val="nil"/>
                  </w:tcBorders>
                  <w:shd w:val="clear" w:color="auto" w:fill="auto"/>
                  <w:vAlign w:val="center"/>
                  <w:hideMark/>
                </w:tcPr>
                <w:p w14:paraId="300DA87A" w14:textId="77777777" w:rsidR="00087221" w:rsidRPr="00087221" w:rsidRDefault="00087221" w:rsidP="00E71244">
                  <w:pPr>
                    <w:spacing w:after="0" w:line="240" w:lineRule="auto"/>
                    <w:jc w:val="center"/>
                    <w:rPr>
                      <w:b/>
                      <w:bCs/>
                      <w:sz w:val="20"/>
                      <w:szCs w:val="20"/>
                      <w:lang w:eastAsia="sk-SK"/>
                    </w:rPr>
                  </w:pPr>
                  <w:r w:rsidRPr="00087221">
                    <w:rPr>
                      <w:b/>
                      <w:bCs/>
                      <w:sz w:val="20"/>
                      <w:szCs w:val="20"/>
                      <w:lang w:eastAsia="sk-SK"/>
                    </w:rPr>
                    <w:t>2023</w:t>
                  </w:r>
                </w:p>
              </w:tc>
              <w:tc>
                <w:tcPr>
                  <w:tcW w:w="728" w:type="dxa"/>
                  <w:tcBorders>
                    <w:top w:val="nil"/>
                    <w:left w:val="nil"/>
                    <w:bottom w:val="single" w:sz="4" w:space="0" w:color="auto"/>
                    <w:right w:val="nil"/>
                  </w:tcBorders>
                  <w:shd w:val="clear" w:color="auto" w:fill="auto"/>
                  <w:vAlign w:val="center"/>
                  <w:hideMark/>
                </w:tcPr>
                <w:p w14:paraId="17052DE9" w14:textId="77777777" w:rsidR="00087221" w:rsidRPr="00087221" w:rsidRDefault="00087221" w:rsidP="00E71244">
                  <w:pPr>
                    <w:spacing w:after="0" w:line="240" w:lineRule="auto"/>
                    <w:jc w:val="center"/>
                    <w:rPr>
                      <w:b/>
                      <w:bCs/>
                      <w:sz w:val="20"/>
                      <w:szCs w:val="20"/>
                      <w:lang w:eastAsia="sk-SK"/>
                    </w:rPr>
                  </w:pPr>
                  <w:r w:rsidRPr="00087221">
                    <w:rPr>
                      <w:b/>
                      <w:bCs/>
                      <w:sz w:val="20"/>
                      <w:szCs w:val="20"/>
                      <w:lang w:eastAsia="sk-SK"/>
                    </w:rPr>
                    <w:t>Δ 2023 -2022</w:t>
                  </w:r>
                </w:p>
              </w:tc>
              <w:tc>
                <w:tcPr>
                  <w:tcW w:w="1453" w:type="dxa"/>
                  <w:tcBorders>
                    <w:top w:val="nil"/>
                    <w:left w:val="single" w:sz="4" w:space="0" w:color="auto"/>
                    <w:bottom w:val="single" w:sz="4" w:space="0" w:color="auto"/>
                    <w:right w:val="nil"/>
                  </w:tcBorders>
                  <w:shd w:val="clear" w:color="auto" w:fill="auto"/>
                  <w:noWrap/>
                  <w:vAlign w:val="center"/>
                  <w:hideMark/>
                </w:tcPr>
                <w:p w14:paraId="3CBEF21A" w14:textId="77777777" w:rsidR="00087221" w:rsidRPr="00087221" w:rsidRDefault="00087221" w:rsidP="00E71244">
                  <w:pPr>
                    <w:spacing w:after="0" w:line="240" w:lineRule="auto"/>
                    <w:ind w:firstLineChars="100" w:firstLine="200"/>
                    <w:jc w:val="right"/>
                    <w:rPr>
                      <w:b/>
                      <w:bCs/>
                      <w:sz w:val="20"/>
                      <w:szCs w:val="20"/>
                      <w:lang w:eastAsia="sk-SK"/>
                    </w:rPr>
                  </w:pPr>
                  <w:r w:rsidRPr="00087221">
                    <w:rPr>
                      <w:b/>
                      <w:bCs/>
                      <w:sz w:val="20"/>
                      <w:szCs w:val="20"/>
                      <w:lang w:eastAsia="sk-SK"/>
                    </w:rPr>
                    <w:t> </w:t>
                  </w:r>
                </w:p>
              </w:tc>
              <w:tc>
                <w:tcPr>
                  <w:tcW w:w="843" w:type="dxa"/>
                  <w:tcBorders>
                    <w:top w:val="nil"/>
                    <w:left w:val="nil"/>
                    <w:bottom w:val="single" w:sz="4" w:space="0" w:color="auto"/>
                    <w:right w:val="nil"/>
                  </w:tcBorders>
                  <w:shd w:val="clear" w:color="auto" w:fill="auto"/>
                  <w:vAlign w:val="center"/>
                  <w:hideMark/>
                </w:tcPr>
                <w:p w14:paraId="045A9A9A" w14:textId="77777777" w:rsidR="00087221" w:rsidRPr="00087221" w:rsidRDefault="00087221" w:rsidP="00E71244">
                  <w:pPr>
                    <w:spacing w:after="0" w:line="240" w:lineRule="auto"/>
                    <w:jc w:val="center"/>
                    <w:rPr>
                      <w:b/>
                      <w:bCs/>
                      <w:sz w:val="20"/>
                      <w:szCs w:val="20"/>
                      <w:lang w:eastAsia="sk-SK"/>
                    </w:rPr>
                  </w:pPr>
                  <w:r w:rsidRPr="00087221">
                    <w:rPr>
                      <w:b/>
                      <w:bCs/>
                      <w:sz w:val="20"/>
                      <w:szCs w:val="20"/>
                      <w:lang w:eastAsia="sk-SK"/>
                    </w:rPr>
                    <w:t>2021</w:t>
                  </w:r>
                </w:p>
              </w:tc>
              <w:tc>
                <w:tcPr>
                  <w:tcW w:w="843" w:type="dxa"/>
                  <w:tcBorders>
                    <w:top w:val="nil"/>
                    <w:left w:val="nil"/>
                    <w:bottom w:val="single" w:sz="4" w:space="0" w:color="auto"/>
                    <w:right w:val="nil"/>
                  </w:tcBorders>
                  <w:shd w:val="clear" w:color="auto" w:fill="auto"/>
                  <w:vAlign w:val="center"/>
                  <w:hideMark/>
                </w:tcPr>
                <w:p w14:paraId="22E9C08B" w14:textId="77777777" w:rsidR="00087221" w:rsidRPr="00087221" w:rsidRDefault="00087221" w:rsidP="00E71244">
                  <w:pPr>
                    <w:spacing w:after="0" w:line="240" w:lineRule="auto"/>
                    <w:jc w:val="center"/>
                    <w:rPr>
                      <w:b/>
                      <w:bCs/>
                      <w:sz w:val="20"/>
                      <w:szCs w:val="20"/>
                      <w:lang w:eastAsia="sk-SK"/>
                    </w:rPr>
                  </w:pPr>
                  <w:r w:rsidRPr="00087221">
                    <w:rPr>
                      <w:b/>
                      <w:bCs/>
                      <w:sz w:val="20"/>
                      <w:szCs w:val="20"/>
                      <w:lang w:eastAsia="sk-SK"/>
                    </w:rPr>
                    <w:t>2022</w:t>
                  </w:r>
                </w:p>
              </w:tc>
              <w:tc>
                <w:tcPr>
                  <w:tcW w:w="864" w:type="dxa"/>
                  <w:tcBorders>
                    <w:top w:val="nil"/>
                    <w:left w:val="nil"/>
                    <w:bottom w:val="single" w:sz="4" w:space="0" w:color="auto"/>
                    <w:right w:val="nil"/>
                  </w:tcBorders>
                  <w:shd w:val="clear" w:color="auto" w:fill="auto"/>
                  <w:vAlign w:val="center"/>
                  <w:hideMark/>
                </w:tcPr>
                <w:p w14:paraId="7C8C499E" w14:textId="77777777" w:rsidR="00087221" w:rsidRPr="00087221" w:rsidRDefault="00087221" w:rsidP="00E71244">
                  <w:pPr>
                    <w:spacing w:after="0" w:line="240" w:lineRule="auto"/>
                    <w:jc w:val="center"/>
                    <w:rPr>
                      <w:b/>
                      <w:bCs/>
                      <w:sz w:val="20"/>
                      <w:szCs w:val="20"/>
                      <w:lang w:eastAsia="sk-SK"/>
                    </w:rPr>
                  </w:pPr>
                  <w:r w:rsidRPr="00087221">
                    <w:rPr>
                      <w:b/>
                      <w:bCs/>
                      <w:sz w:val="20"/>
                      <w:szCs w:val="20"/>
                      <w:lang w:eastAsia="sk-SK"/>
                    </w:rPr>
                    <w:t>2023</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2CF12A49" w14:textId="77777777" w:rsidR="00087221" w:rsidRPr="00087221" w:rsidRDefault="00087221" w:rsidP="00E71244">
                  <w:pPr>
                    <w:spacing w:after="0" w:line="240" w:lineRule="auto"/>
                    <w:jc w:val="center"/>
                    <w:rPr>
                      <w:b/>
                      <w:bCs/>
                      <w:sz w:val="20"/>
                      <w:szCs w:val="20"/>
                      <w:lang w:eastAsia="sk-SK"/>
                    </w:rPr>
                  </w:pPr>
                  <w:r w:rsidRPr="00087221">
                    <w:rPr>
                      <w:b/>
                      <w:bCs/>
                      <w:sz w:val="20"/>
                      <w:szCs w:val="20"/>
                      <w:lang w:eastAsia="sk-SK"/>
                    </w:rPr>
                    <w:t>Δ 2023 -2022</w:t>
                  </w:r>
                </w:p>
              </w:tc>
            </w:tr>
            <w:tr w:rsidR="00087221" w:rsidRPr="00087221" w14:paraId="6E1CB3BB"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23EF0FED" w14:textId="77777777" w:rsidR="00087221" w:rsidRPr="00087221" w:rsidRDefault="00087221" w:rsidP="00E71244">
                  <w:pPr>
                    <w:spacing w:after="0" w:line="240" w:lineRule="auto"/>
                    <w:rPr>
                      <w:b/>
                      <w:bCs/>
                      <w:sz w:val="20"/>
                      <w:szCs w:val="20"/>
                      <w:lang w:eastAsia="sk-SK"/>
                    </w:rPr>
                  </w:pPr>
                  <w:r w:rsidRPr="00087221">
                    <w:rPr>
                      <w:b/>
                      <w:bCs/>
                      <w:sz w:val="20"/>
                      <w:szCs w:val="20"/>
                    </w:rPr>
                    <w:t>EÚ (27 krajín)</w:t>
                  </w:r>
                </w:p>
              </w:tc>
              <w:tc>
                <w:tcPr>
                  <w:tcW w:w="764" w:type="dxa"/>
                  <w:tcBorders>
                    <w:top w:val="nil"/>
                    <w:left w:val="nil"/>
                    <w:bottom w:val="nil"/>
                    <w:right w:val="nil"/>
                  </w:tcBorders>
                  <w:shd w:val="clear" w:color="auto" w:fill="auto"/>
                  <w:noWrap/>
                  <w:vAlign w:val="center"/>
                  <w:hideMark/>
                </w:tcPr>
                <w:p w14:paraId="2542C21A" w14:textId="77777777" w:rsidR="00087221" w:rsidRPr="00087221" w:rsidRDefault="00087221" w:rsidP="00E71244">
                  <w:pPr>
                    <w:spacing w:after="0" w:line="240" w:lineRule="auto"/>
                    <w:ind w:firstLineChars="100" w:firstLine="200"/>
                    <w:jc w:val="right"/>
                    <w:rPr>
                      <w:b/>
                      <w:bCs/>
                      <w:color w:val="000000"/>
                      <w:sz w:val="20"/>
                      <w:szCs w:val="20"/>
                      <w:lang w:eastAsia="sk-SK"/>
                    </w:rPr>
                  </w:pPr>
                  <w:r w:rsidRPr="00087221">
                    <w:rPr>
                      <w:b/>
                      <w:bCs/>
                      <w:color w:val="000000"/>
                      <w:sz w:val="20"/>
                      <w:szCs w:val="20"/>
                    </w:rPr>
                    <w:t>-4,7</w:t>
                  </w:r>
                </w:p>
              </w:tc>
              <w:tc>
                <w:tcPr>
                  <w:tcW w:w="826" w:type="dxa"/>
                  <w:tcBorders>
                    <w:top w:val="nil"/>
                    <w:left w:val="nil"/>
                    <w:bottom w:val="nil"/>
                    <w:right w:val="nil"/>
                  </w:tcBorders>
                  <w:shd w:val="clear" w:color="auto" w:fill="auto"/>
                  <w:noWrap/>
                  <w:vAlign w:val="center"/>
                  <w:hideMark/>
                </w:tcPr>
                <w:p w14:paraId="0D1D3278" w14:textId="77777777" w:rsidR="00087221" w:rsidRPr="00087221" w:rsidRDefault="00087221" w:rsidP="00E71244">
                  <w:pPr>
                    <w:spacing w:after="0" w:line="240" w:lineRule="auto"/>
                    <w:ind w:firstLineChars="100" w:firstLine="200"/>
                    <w:jc w:val="right"/>
                    <w:rPr>
                      <w:b/>
                      <w:bCs/>
                      <w:color w:val="000000"/>
                      <w:sz w:val="20"/>
                      <w:szCs w:val="20"/>
                      <w:lang w:eastAsia="sk-SK"/>
                    </w:rPr>
                  </w:pPr>
                  <w:r w:rsidRPr="00087221">
                    <w:rPr>
                      <w:b/>
                      <w:bCs/>
                      <w:color w:val="000000"/>
                      <w:sz w:val="20"/>
                      <w:szCs w:val="20"/>
                    </w:rPr>
                    <w:t>-3,4</w:t>
                  </w:r>
                </w:p>
              </w:tc>
              <w:tc>
                <w:tcPr>
                  <w:tcW w:w="742" w:type="dxa"/>
                  <w:tcBorders>
                    <w:top w:val="nil"/>
                    <w:left w:val="nil"/>
                    <w:bottom w:val="nil"/>
                    <w:right w:val="nil"/>
                  </w:tcBorders>
                  <w:shd w:val="clear" w:color="auto" w:fill="auto"/>
                  <w:noWrap/>
                  <w:vAlign w:val="center"/>
                  <w:hideMark/>
                </w:tcPr>
                <w:p w14:paraId="3425E2F6" w14:textId="77777777" w:rsidR="00087221" w:rsidRPr="00087221" w:rsidRDefault="00087221" w:rsidP="00E71244">
                  <w:pPr>
                    <w:spacing w:after="0" w:line="240" w:lineRule="auto"/>
                    <w:ind w:firstLineChars="100" w:firstLine="200"/>
                    <w:jc w:val="right"/>
                    <w:rPr>
                      <w:b/>
                      <w:bCs/>
                      <w:color w:val="000000"/>
                      <w:sz w:val="20"/>
                      <w:szCs w:val="20"/>
                      <w:lang w:eastAsia="sk-SK"/>
                    </w:rPr>
                  </w:pPr>
                  <w:r w:rsidRPr="00087221">
                    <w:rPr>
                      <w:b/>
                      <w:bCs/>
                      <w:color w:val="000000"/>
                      <w:sz w:val="20"/>
                      <w:szCs w:val="20"/>
                    </w:rPr>
                    <w:t>-3,5</w:t>
                  </w:r>
                </w:p>
              </w:tc>
              <w:tc>
                <w:tcPr>
                  <w:tcW w:w="728" w:type="dxa"/>
                  <w:tcBorders>
                    <w:top w:val="nil"/>
                    <w:left w:val="nil"/>
                    <w:bottom w:val="nil"/>
                    <w:right w:val="nil"/>
                  </w:tcBorders>
                  <w:shd w:val="clear" w:color="auto" w:fill="auto"/>
                  <w:noWrap/>
                  <w:vAlign w:val="center"/>
                  <w:hideMark/>
                </w:tcPr>
                <w:p w14:paraId="2C80C824" w14:textId="77777777" w:rsidR="00087221" w:rsidRPr="00087221" w:rsidRDefault="00087221" w:rsidP="00E71244">
                  <w:pPr>
                    <w:spacing w:after="0" w:line="240" w:lineRule="auto"/>
                    <w:ind w:firstLineChars="100" w:firstLine="200"/>
                    <w:jc w:val="center"/>
                    <w:rPr>
                      <w:b/>
                      <w:bCs/>
                      <w:color w:val="00B050"/>
                      <w:sz w:val="20"/>
                      <w:szCs w:val="20"/>
                      <w:lang w:eastAsia="sk-SK"/>
                    </w:rPr>
                  </w:pPr>
                  <w:r w:rsidRPr="00087221">
                    <w:rPr>
                      <w:b/>
                      <w:bCs/>
                      <w:color w:val="FF0000"/>
                      <w:sz w:val="20"/>
                      <w:szCs w:val="20"/>
                    </w:rPr>
                    <w:t>-0,1</w:t>
                  </w:r>
                </w:p>
              </w:tc>
              <w:tc>
                <w:tcPr>
                  <w:tcW w:w="1453" w:type="dxa"/>
                  <w:tcBorders>
                    <w:top w:val="nil"/>
                    <w:left w:val="single" w:sz="4" w:space="0" w:color="auto"/>
                    <w:bottom w:val="nil"/>
                    <w:right w:val="nil"/>
                  </w:tcBorders>
                  <w:shd w:val="clear" w:color="auto" w:fill="auto"/>
                  <w:noWrap/>
                  <w:vAlign w:val="center"/>
                  <w:hideMark/>
                </w:tcPr>
                <w:p w14:paraId="638ADF93" w14:textId="77777777" w:rsidR="00087221" w:rsidRPr="00087221" w:rsidRDefault="00087221" w:rsidP="00E71244">
                  <w:pPr>
                    <w:spacing w:after="0" w:line="240" w:lineRule="auto"/>
                    <w:ind w:right="-349"/>
                    <w:rPr>
                      <w:b/>
                      <w:bCs/>
                      <w:sz w:val="20"/>
                      <w:szCs w:val="20"/>
                      <w:lang w:eastAsia="sk-SK"/>
                    </w:rPr>
                  </w:pPr>
                  <w:r w:rsidRPr="00087221">
                    <w:rPr>
                      <w:b/>
                      <w:bCs/>
                      <w:sz w:val="20"/>
                      <w:szCs w:val="20"/>
                    </w:rPr>
                    <w:t>EÚ (27 krajín)</w:t>
                  </w:r>
                </w:p>
              </w:tc>
              <w:tc>
                <w:tcPr>
                  <w:tcW w:w="843" w:type="dxa"/>
                  <w:tcBorders>
                    <w:top w:val="nil"/>
                    <w:left w:val="nil"/>
                    <w:bottom w:val="nil"/>
                    <w:right w:val="nil"/>
                  </w:tcBorders>
                  <w:shd w:val="clear" w:color="auto" w:fill="auto"/>
                  <w:noWrap/>
                  <w:vAlign w:val="center"/>
                  <w:hideMark/>
                </w:tcPr>
                <w:p w14:paraId="61AFE3B7" w14:textId="77777777" w:rsidR="00087221" w:rsidRPr="00087221" w:rsidRDefault="00087221" w:rsidP="00E71244">
                  <w:pPr>
                    <w:spacing w:after="0" w:line="240" w:lineRule="auto"/>
                    <w:ind w:firstLineChars="100" w:firstLine="200"/>
                    <w:jc w:val="right"/>
                    <w:rPr>
                      <w:b/>
                      <w:bCs/>
                      <w:color w:val="000000"/>
                      <w:sz w:val="20"/>
                      <w:szCs w:val="20"/>
                      <w:lang w:eastAsia="sk-SK"/>
                    </w:rPr>
                  </w:pPr>
                  <w:r w:rsidRPr="00087221">
                    <w:rPr>
                      <w:b/>
                      <w:bCs/>
                      <w:color w:val="000000"/>
                      <w:sz w:val="20"/>
                      <w:szCs w:val="20"/>
                    </w:rPr>
                    <w:t>87,4</w:t>
                  </w:r>
                </w:p>
              </w:tc>
              <w:tc>
                <w:tcPr>
                  <w:tcW w:w="843" w:type="dxa"/>
                  <w:tcBorders>
                    <w:top w:val="nil"/>
                    <w:left w:val="nil"/>
                    <w:bottom w:val="nil"/>
                    <w:right w:val="nil"/>
                  </w:tcBorders>
                  <w:shd w:val="clear" w:color="auto" w:fill="auto"/>
                  <w:noWrap/>
                  <w:vAlign w:val="center"/>
                  <w:hideMark/>
                </w:tcPr>
                <w:p w14:paraId="33BFD11A" w14:textId="77777777" w:rsidR="00087221" w:rsidRPr="00087221" w:rsidRDefault="00087221" w:rsidP="00E71244">
                  <w:pPr>
                    <w:spacing w:after="0" w:line="240" w:lineRule="auto"/>
                    <w:ind w:firstLineChars="100" w:firstLine="200"/>
                    <w:jc w:val="right"/>
                    <w:rPr>
                      <w:b/>
                      <w:bCs/>
                      <w:color w:val="000000"/>
                      <w:sz w:val="20"/>
                      <w:szCs w:val="20"/>
                      <w:lang w:eastAsia="sk-SK"/>
                    </w:rPr>
                  </w:pPr>
                  <w:r w:rsidRPr="00087221">
                    <w:rPr>
                      <w:b/>
                      <w:bCs/>
                      <w:color w:val="000000"/>
                      <w:sz w:val="20"/>
                      <w:szCs w:val="20"/>
                    </w:rPr>
                    <w:t>83,4</w:t>
                  </w:r>
                </w:p>
              </w:tc>
              <w:tc>
                <w:tcPr>
                  <w:tcW w:w="864" w:type="dxa"/>
                  <w:tcBorders>
                    <w:top w:val="nil"/>
                    <w:left w:val="nil"/>
                    <w:bottom w:val="nil"/>
                    <w:right w:val="nil"/>
                  </w:tcBorders>
                  <w:shd w:val="clear" w:color="auto" w:fill="auto"/>
                  <w:noWrap/>
                  <w:vAlign w:val="center"/>
                  <w:hideMark/>
                </w:tcPr>
                <w:p w14:paraId="60C5A251" w14:textId="77777777" w:rsidR="00087221" w:rsidRPr="00087221" w:rsidRDefault="00087221" w:rsidP="00E71244">
                  <w:pPr>
                    <w:spacing w:after="0" w:line="240" w:lineRule="auto"/>
                    <w:ind w:firstLineChars="100" w:firstLine="200"/>
                    <w:jc w:val="right"/>
                    <w:rPr>
                      <w:b/>
                      <w:bCs/>
                      <w:color w:val="000000"/>
                      <w:sz w:val="20"/>
                      <w:szCs w:val="20"/>
                      <w:lang w:eastAsia="sk-SK"/>
                    </w:rPr>
                  </w:pPr>
                  <w:r w:rsidRPr="00087221">
                    <w:rPr>
                      <w:b/>
                      <w:bCs/>
                      <w:color w:val="000000"/>
                      <w:sz w:val="20"/>
                      <w:szCs w:val="20"/>
                    </w:rPr>
                    <w:t>81,7</w:t>
                  </w:r>
                </w:p>
              </w:tc>
              <w:tc>
                <w:tcPr>
                  <w:tcW w:w="799" w:type="dxa"/>
                  <w:tcBorders>
                    <w:top w:val="nil"/>
                    <w:left w:val="nil"/>
                    <w:bottom w:val="nil"/>
                    <w:right w:val="single" w:sz="4" w:space="0" w:color="auto"/>
                  </w:tcBorders>
                  <w:shd w:val="clear" w:color="auto" w:fill="auto"/>
                  <w:noWrap/>
                  <w:vAlign w:val="center"/>
                  <w:hideMark/>
                </w:tcPr>
                <w:p w14:paraId="18F0EF65" w14:textId="77777777" w:rsidR="00087221" w:rsidRPr="00087221" w:rsidRDefault="00087221" w:rsidP="00E71244">
                  <w:pPr>
                    <w:tabs>
                      <w:tab w:val="decimal" w:pos="230"/>
                    </w:tabs>
                    <w:spacing w:after="0" w:line="240" w:lineRule="auto"/>
                    <w:ind w:right="32" w:firstLineChars="100" w:firstLine="200"/>
                    <w:jc w:val="right"/>
                    <w:rPr>
                      <w:b/>
                      <w:bCs/>
                      <w:color w:val="00B050"/>
                      <w:sz w:val="20"/>
                      <w:szCs w:val="20"/>
                      <w:lang w:eastAsia="sk-SK"/>
                    </w:rPr>
                  </w:pPr>
                  <w:r w:rsidRPr="00087221">
                    <w:rPr>
                      <w:b/>
                      <w:bCs/>
                      <w:color w:val="00B050"/>
                      <w:sz w:val="20"/>
                      <w:szCs w:val="20"/>
                    </w:rPr>
                    <w:t>-1,7</w:t>
                  </w:r>
                </w:p>
              </w:tc>
            </w:tr>
            <w:tr w:rsidR="00087221" w:rsidRPr="00087221" w14:paraId="4B659DC7" w14:textId="77777777" w:rsidTr="00E71244">
              <w:trPr>
                <w:trHeight w:val="307"/>
              </w:trPr>
              <w:tc>
                <w:tcPr>
                  <w:tcW w:w="1542" w:type="dxa"/>
                  <w:tcBorders>
                    <w:top w:val="nil"/>
                    <w:left w:val="single" w:sz="4" w:space="0" w:color="auto"/>
                    <w:bottom w:val="nil"/>
                    <w:right w:val="nil"/>
                  </w:tcBorders>
                  <w:shd w:val="clear" w:color="auto" w:fill="auto"/>
                  <w:noWrap/>
                  <w:vAlign w:val="center"/>
                </w:tcPr>
                <w:p w14:paraId="5E27F60E" w14:textId="77777777" w:rsidR="00087221" w:rsidRPr="00087221" w:rsidRDefault="00087221" w:rsidP="00E71244">
                  <w:pPr>
                    <w:spacing w:after="0" w:line="240" w:lineRule="auto"/>
                    <w:rPr>
                      <w:b/>
                      <w:bCs/>
                      <w:sz w:val="20"/>
                      <w:szCs w:val="20"/>
                      <w:lang w:eastAsia="sk-SK"/>
                    </w:rPr>
                  </w:pPr>
                  <w:r w:rsidRPr="00087221">
                    <w:rPr>
                      <w:b/>
                      <w:bCs/>
                      <w:sz w:val="20"/>
                      <w:szCs w:val="20"/>
                    </w:rPr>
                    <w:t>Euro zóna (20)</w:t>
                  </w:r>
                </w:p>
              </w:tc>
              <w:tc>
                <w:tcPr>
                  <w:tcW w:w="764" w:type="dxa"/>
                  <w:tcBorders>
                    <w:top w:val="nil"/>
                    <w:left w:val="nil"/>
                    <w:bottom w:val="nil"/>
                    <w:right w:val="nil"/>
                  </w:tcBorders>
                  <w:shd w:val="clear" w:color="auto" w:fill="auto"/>
                  <w:noWrap/>
                  <w:vAlign w:val="center"/>
                </w:tcPr>
                <w:p w14:paraId="3E17714B" w14:textId="77777777" w:rsidR="00087221" w:rsidRPr="00087221" w:rsidRDefault="00087221" w:rsidP="00E71244">
                  <w:pPr>
                    <w:spacing w:after="0" w:line="240" w:lineRule="auto"/>
                    <w:ind w:firstLineChars="100" w:firstLine="200"/>
                    <w:jc w:val="right"/>
                    <w:rPr>
                      <w:b/>
                      <w:bCs/>
                      <w:color w:val="000000"/>
                      <w:sz w:val="20"/>
                      <w:szCs w:val="20"/>
                      <w:lang w:eastAsia="sk-SK"/>
                    </w:rPr>
                  </w:pPr>
                  <w:r w:rsidRPr="00087221">
                    <w:rPr>
                      <w:b/>
                      <w:bCs/>
                      <w:color w:val="000000"/>
                      <w:sz w:val="20"/>
                      <w:szCs w:val="20"/>
                    </w:rPr>
                    <w:t>-5,2</w:t>
                  </w:r>
                </w:p>
              </w:tc>
              <w:tc>
                <w:tcPr>
                  <w:tcW w:w="826" w:type="dxa"/>
                  <w:tcBorders>
                    <w:top w:val="nil"/>
                    <w:left w:val="nil"/>
                    <w:bottom w:val="nil"/>
                    <w:right w:val="nil"/>
                  </w:tcBorders>
                  <w:shd w:val="clear" w:color="auto" w:fill="auto"/>
                  <w:noWrap/>
                  <w:vAlign w:val="center"/>
                </w:tcPr>
                <w:p w14:paraId="24622DE7" w14:textId="77777777" w:rsidR="00087221" w:rsidRPr="00087221" w:rsidRDefault="00087221" w:rsidP="00E71244">
                  <w:pPr>
                    <w:spacing w:after="0" w:line="240" w:lineRule="auto"/>
                    <w:ind w:firstLineChars="100" w:firstLine="200"/>
                    <w:jc w:val="right"/>
                    <w:rPr>
                      <w:b/>
                      <w:bCs/>
                      <w:color w:val="000000"/>
                      <w:sz w:val="20"/>
                      <w:szCs w:val="20"/>
                      <w:lang w:eastAsia="sk-SK"/>
                    </w:rPr>
                  </w:pPr>
                  <w:r w:rsidRPr="00087221">
                    <w:rPr>
                      <w:b/>
                      <w:bCs/>
                      <w:color w:val="000000"/>
                      <w:sz w:val="20"/>
                      <w:szCs w:val="20"/>
                    </w:rPr>
                    <w:t>-3,7</w:t>
                  </w:r>
                </w:p>
              </w:tc>
              <w:tc>
                <w:tcPr>
                  <w:tcW w:w="742" w:type="dxa"/>
                  <w:tcBorders>
                    <w:top w:val="nil"/>
                    <w:left w:val="nil"/>
                    <w:bottom w:val="nil"/>
                    <w:right w:val="nil"/>
                  </w:tcBorders>
                  <w:shd w:val="clear" w:color="auto" w:fill="auto"/>
                  <w:noWrap/>
                  <w:vAlign w:val="center"/>
                </w:tcPr>
                <w:p w14:paraId="6587C0B8" w14:textId="77777777" w:rsidR="00087221" w:rsidRPr="00087221" w:rsidRDefault="00087221" w:rsidP="00E71244">
                  <w:pPr>
                    <w:spacing w:after="0" w:line="240" w:lineRule="auto"/>
                    <w:ind w:firstLineChars="100" w:firstLine="200"/>
                    <w:jc w:val="right"/>
                    <w:rPr>
                      <w:b/>
                      <w:bCs/>
                      <w:color w:val="000000"/>
                      <w:sz w:val="20"/>
                      <w:szCs w:val="20"/>
                      <w:lang w:eastAsia="sk-SK"/>
                    </w:rPr>
                  </w:pPr>
                  <w:r w:rsidRPr="00087221">
                    <w:rPr>
                      <w:b/>
                      <w:bCs/>
                      <w:color w:val="000000"/>
                      <w:sz w:val="20"/>
                      <w:szCs w:val="20"/>
                    </w:rPr>
                    <w:t>-3,6</w:t>
                  </w:r>
                </w:p>
              </w:tc>
              <w:tc>
                <w:tcPr>
                  <w:tcW w:w="728" w:type="dxa"/>
                  <w:tcBorders>
                    <w:top w:val="nil"/>
                    <w:left w:val="nil"/>
                    <w:bottom w:val="nil"/>
                    <w:right w:val="nil"/>
                  </w:tcBorders>
                  <w:shd w:val="clear" w:color="auto" w:fill="auto"/>
                  <w:noWrap/>
                  <w:vAlign w:val="center"/>
                </w:tcPr>
                <w:p w14:paraId="23F94FD4" w14:textId="77777777" w:rsidR="00087221" w:rsidRPr="00087221" w:rsidRDefault="00087221" w:rsidP="00E71244">
                  <w:pPr>
                    <w:spacing w:after="0" w:line="240" w:lineRule="auto"/>
                    <w:ind w:firstLineChars="100" w:firstLine="200"/>
                    <w:jc w:val="center"/>
                    <w:rPr>
                      <w:b/>
                      <w:bCs/>
                      <w:color w:val="00B050"/>
                      <w:sz w:val="20"/>
                      <w:szCs w:val="20"/>
                      <w:lang w:eastAsia="sk-SK"/>
                    </w:rPr>
                  </w:pPr>
                  <w:r w:rsidRPr="00087221">
                    <w:rPr>
                      <w:b/>
                      <w:bCs/>
                      <w:color w:val="00B050"/>
                      <w:sz w:val="20"/>
                      <w:szCs w:val="20"/>
                    </w:rPr>
                    <w:t>0,1</w:t>
                  </w:r>
                </w:p>
              </w:tc>
              <w:tc>
                <w:tcPr>
                  <w:tcW w:w="1453" w:type="dxa"/>
                  <w:tcBorders>
                    <w:top w:val="nil"/>
                    <w:left w:val="single" w:sz="4" w:space="0" w:color="auto"/>
                    <w:bottom w:val="nil"/>
                    <w:right w:val="nil"/>
                  </w:tcBorders>
                  <w:shd w:val="clear" w:color="auto" w:fill="auto"/>
                  <w:noWrap/>
                  <w:vAlign w:val="center"/>
                </w:tcPr>
                <w:p w14:paraId="2E782A98" w14:textId="77777777" w:rsidR="00087221" w:rsidRPr="00087221" w:rsidRDefault="00087221" w:rsidP="00E71244">
                  <w:pPr>
                    <w:spacing w:after="0" w:line="240" w:lineRule="auto"/>
                    <w:ind w:right="-66"/>
                    <w:rPr>
                      <w:b/>
                      <w:bCs/>
                      <w:sz w:val="20"/>
                      <w:szCs w:val="20"/>
                      <w:lang w:eastAsia="sk-SK"/>
                    </w:rPr>
                  </w:pPr>
                  <w:r w:rsidRPr="00087221">
                    <w:rPr>
                      <w:b/>
                      <w:bCs/>
                      <w:sz w:val="20"/>
                      <w:szCs w:val="20"/>
                    </w:rPr>
                    <w:t>Euro zóna (20)</w:t>
                  </w:r>
                </w:p>
              </w:tc>
              <w:tc>
                <w:tcPr>
                  <w:tcW w:w="843" w:type="dxa"/>
                  <w:tcBorders>
                    <w:top w:val="nil"/>
                    <w:left w:val="nil"/>
                    <w:bottom w:val="nil"/>
                    <w:right w:val="nil"/>
                  </w:tcBorders>
                  <w:shd w:val="clear" w:color="auto" w:fill="auto"/>
                  <w:noWrap/>
                  <w:vAlign w:val="center"/>
                </w:tcPr>
                <w:p w14:paraId="5306D3FF" w14:textId="77777777" w:rsidR="00087221" w:rsidRPr="00087221" w:rsidRDefault="00087221" w:rsidP="00E71244">
                  <w:pPr>
                    <w:spacing w:after="0" w:line="240" w:lineRule="auto"/>
                    <w:ind w:firstLineChars="100" w:firstLine="200"/>
                    <w:jc w:val="right"/>
                    <w:rPr>
                      <w:b/>
                      <w:bCs/>
                      <w:color w:val="000000"/>
                      <w:sz w:val="20"/>
                      <w:szCs w:val="20"/>
                      <w:lang w:eastAsia="sk-SK"/>
                    </w:rPr>
                  </w:pPr>
                  <w:r w:rsidRPr="00087221">
                    <w:rPr>
                      <w:b/>
                      <w:bCs/>
                      <w:color w:val="000000"/>
                      <w:sz w:val="20"/>
                      <w:szCs w:val="20"/>
                    </w:rPr>
                    <w:t>94,8</w:t>
                  </w:r>
                </w:p>
              </w:tc>
              <w:tc>
                <w:tcPr>
                  <w:tcW w:w="843" w:type="dxa"/>
                  <w:tcBorders>
                    <w:top w:val="nil"/>
                    <w:left w:val="nil"/>
                    <w:bottom w:val="nil"/>
                    <w:right w:val="nil"/>
                  </w:tcBorders>
                  <w:shd w:val="clear" w:color="auto" w:fill="auto"/>
                  <w:noWrap/>
                  <w:vAlign w:val="center"/>
                </w:tcPr>
                <w:p w14:paraId="47FFC21E" w14:textId="77777777" w:rsidR="00087221" w:rsidRPr="00087221" w:rsidRDefault="00087221" w:rsidP="00E71244">
                  <w:pPr>
                    <w:spacing w:after="0" w:line="240" w:lineRule="auto"/>
                    <w:ind w:firstLineChars="100" w:firstLine="200"/>
                    <w:jc w:val="right"/>
                    <w:rPr>
                      <w:b/>
                      <w:bCs/>
                      <w:color w:val="000000"/>
                      <w:sz w:val="20"/>
                      <w:szCs w:val="20"/>
                      <w:lang w:eastAsia="sk-SK"/>
                    </w:rPr>
                  </w:pPr>
                  <w:r w:rsidRPr="00087221">
                    <w:rPr>
                      <w:b/>
                      <w:bCs/>
                      <w:color w:val="000000"/>
                      <w:sz w:val="20"/>
                      <w:szCs w:val="20"/>
                    </w:rPr>
                    <w:t>90,8</w:t>
                  </w:r>
                </w:p>
              </w:tc>
              <w:tc>
                <w:tcPr>
                  <w:tcW w:w="864" w:type="dxa"/>
                  <w:tcBorders>
                    <w:top w:val="nil"/>
                    <w:left w:val="nil"/>
                    <w:bottom w:val="nil"/>
                    <w:right w:val="nil"/>
                  </w:tcBorders>
                  <w:shd w:val="clear" w:color="auto" w:fill="auto"/>
                  <w:noWrap/>
                  <w:vAlign w:val="center"/>
                </w:tcPr>
                <w:p w14:paraId="39C6C2A1" w14:textId="77777777" w:rsidR="00087221" w:rsidRPr="00087221" w:rsidRDefault="00087221" w:rsidP="00E71244">
                  <w:pPr>
                    <w:spacing w:after="0" w:line="240" w:lineRule="auto"/>
                    <w:ind w:firstLineChars="100" w:firstLine="200"/>
                    <w:jc w:val="right"/>
                    <w:rPr>
                      <w:b/>
                      <w:bCs/>
                      <w:color w:val="000000"/>
                      <w:sz w:val="20"/>
                      <w:szCs w:val="20"/>
                      <w:lang w:eastAsia="sk-SK"/>
                    </w:rPr>
                  </w:pPr>
                  <w:r w:rsidRPr="00087221">
                    <w:rPr>
                      <w:b/>
                      <w:bCs/>
                      <w:color w:val="000000"/>
                      <w:sz w:val="20"/>
                      <w:szCs w:val="20"/>
                    </w:rPr>
                    <w:t>88,6</w:t>
                  </w:r>
                </w:p>
              </w:tc>
              <w:tc>
                <w:tcPr>
                  <w:tcW w:w="799" w:type="dxa"/>
                  <w:tcBorders>
                    <w:top w:val="nil"/>
                    <w:left w:val="nil"/>
                    <w:bottom w:val="nil"/>
                    <w:right w:val="single" w:sz="4" w:space="0" w:color="auto"/>
                  </w:tcBorders>
                  <w:shd w:val="clear" w:color="auto" w:fill="auto"/>
                  <w:noWrap/>
                  <w:vAlign w:val="center"/>
                </w:tcPr>
                <w:p w14:paraId="19256A24" w14:textId="77777777" w:rsidR="00087221" w:rsidRPr="00087221" w:rsidRDefault="00087221" w:rsidP="00E71244">
                  <w:pPr>
                    <w:tabs>
                      <w:tab w:val="decimal" w:pos="230"/>
                    </w:tabs>
                    <w:spacing w:after="0" w:line="240" w:lineRule="auto"/>
                    <w:ind w:right="32" w:firstLineChars="100" w:firstLine="200"/>
                    <w:jc w:val="right"/>
                    <w:rPr>
                      <w:b/>
                      <w:bCs/>
                      <w:color w:val="00B050"/>
                      <w:sz w:val="20"/>
                      <w:szCs w:val="20"/>
                      <w:lang w:eastAsia="sk-SK"/>
                    </w:rPr>
                  </w:pPr>
                  <w:r w:rsidRPr="00087221">
                    <w:rPr>
                      <w:b/>
                      <w:bCs/>
                      <w:color w:val="00B050"/>
                      <w:sz w:val="20"/>
                      <w:szCs w:val="20"/>
                    </w:rPr>
                    <w:t>-2,2</w:t>
                  </w:r>
                </w:p>
              </w:tc>
            </w:tr>
            <w:tr w:rsidR="00087221" w:rsidRPr="00087221" w14:paraId="39ED3C84"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1462A5B3" w14:textId="77777777" w:rsidR="00087221" w:rsidRPr="00087221" w:rsidRDefault="00087221" w:rsidP="00E71244">
                  <w:pPr>
                    <w:spacing w:after="0" w:line="240" w:lineRule="auto"/>
                    <w:rPr>
                      <w:sz w:val="20"/>
                      <w:szCs w:val="20"/>
                      <w:lang w:eastAsia="sk-SK"/>
                    </w:rPr>
                  </w:pPr>
                  <w:r w:rsidRPr="00087221">
                    <w:rPr>
                      <w:sz w:val="20"/>
                      <w:szCs w:val="20"/>
                    </w:rPr>
                    <w:t>Taliansko</w:t>
                  </w:r>
                </w:p>
              </w:tc>
              <w:tc>
                <w:tcPr>
                  <w:tcW w:w="764" w:type="dxa"/>
                  <w:tcBorders>
                    <w:top w:val="nil"/>
                    <w:left w:val="nil"/>
                    <w:bottom w:val="nil"/>
                    <w:right w:val="nil"/>
                  </w:tcBorders>
                  <w:shd w:val="clear" w:color="auto" w:fill="auto"/>
                  <w:noWrap/>
                  <w:vAlign w:val="center"/>
                  <w:hideMark/>
                </w:tcPr>
                <w:p w14:paraId="277B85AB"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-8,7</w:t>
                  </w:r>
                </w:p>
              </w:tc>
              <w:tc>
                <w:tcPr>
                  <w:tcW w:w="826" w:type="dxa"/>
                  <w:tcBorders>
                    <w:top w:val="nil"/>
                    <w:left w:val="nil"/>
                    <w:bottom w:val="nil"/>
                    <w:right w:val="nil"/>
                  </w:tcBorders>
                  <w:shd w:val="clear" w:color="auto" w:fill="auto"/>
                  <w:noWrap/>
                  <w:vAlign w:val="center"/>
                  <w:hideMark/>
                </w:tcPr>
                <w:p w14:paraId="48C3A918"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-8,6</w:t>
                  </w:r>
                </w:p>
              </w:tc>
              <w:tc>
                <w:tcPr>
                  <w:tcW w:w="742" w:type="dxa"/>
                  <w:tcBorders>
                    <w:top w:val="nil"/>
                    <w:left w:val="nil"/>
                    <w:bottom w:val="nil"/>
                    <w:right w:val="nil"/>
                  </w:tcBorders>
                  <w:shd w:val="clear" w:color="auto" w:fill="auto"/>
                  <w:noWrap/>
                  <w:vAlign w:val="center"/>
                  <w:hideMark/>
                </w:tcPr>
                <w:p w14:paraId="153ACB7F"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-7,4</w:t>
                  </w:r>
                </w:p>
              </w:tc>
              <w:tc>
                <w:tcPr>
                  <w:tcW w:w="728" w:type="dxa"/>
                  <w:tcBorders>
                    <w:top w:val="nil"/>
                    <w:left w:val="nil"/>
                    <w:bottom w:val="nil"/>
                    <w:right w:val="nil"/>
                  </w:tcBorders>
                  <w:shd w:val="clear" w:color="auto" w:fill="auto"/>
                  <w:noWrap/>
                  <w:vAlign w:val="center"/>
                  <w:hideMark/>
                </w:tcPr>
                <w:p w14:paraId="0B9D8F72"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00B050"/>
                      <w:sz w:val="20"/>
                      <w:szCs w:val="20"/>
                    </w:rPr>
                    <w:t>1,2</w:t>
                  </w:r>
                </w:p>
              </w:tc>
              <w:tc>
                <w:tcPr>
                  <w:tcW w:w="1453" w:type="dxa"/>
                  <w:tcBorders>
                    <w:top w:val="nil"/>
                    <w:left w:val="single" w:sz="4" w:space="0" w:color="auto"/>
                    <w:bottom w:val="nil"/>
                    <w:right w:val="nil"/>
                  </w:tcBorders>
                  <w:shd w:val="clear" w:color="auto" w:fill="auto"/>
                  <w:noWrap/>
                  <w:vAlign w:val="center"/>
                  <w:hideMark/>
                </w:tcPr>
                <w:p w14:paraId="3694C6C1" w14:textId="77777777" w:rsidR="00087221" w:rsidRPr="00087221" w:rsidRDefault="00087221" w:rsidP="00E71244">
                  <w:pPr>
                    <w:spacing w:after="0" w:line="240" w:lineRule="auto"/>
                    <w:rPr>
                      <w:sz w:val="20"/>
                      <w:szCs w:val="20"/>
                      <w:lang w:eastAsia="sk-SK"/>
                    </w:rPr>
                  </w:pPr>
                  <w:r w:rsidRPr="00087221">
                    <w:rPr>
                      <w:sz w:val="20"/>
                      <w:szCs w:val="20"/>
                    </w:rPr>
                    <w:t>Grécko</w:t>
                  </w:r>
                </w:p>
              </w:tc>
              <w:tc>
                <w:tcPr>
                  <w:tcW w:w="843" w:type="dxa"/>
                  <w:tcBorders>
                    <w:top w:val="nil"/>
                    <w:left w:val="nil"/>
                    <w:bottom w:val="nil"/>
                    <w:right w:val="nil"/>
                  </w:tcBorders>
                  <w:shd w:val="clear" w:color="auto" w:fill="auto"/>
                  <w:noWrap/>
                  <w:vAlign w:val="center"/>
                  <w:hideMark/>
                </w:tcPr>
                <w:p w14:paraId="0499B8C0"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195,0</w:t>
                  </w:r>
                </w:p>
              </w:tc>
              <w:tc>
                <w:tcPr>
                  <w:tcW w:w="843" w:type="dxa"/>
                  <w:tcBorders>
                    <w:top w:val="nil"/>
                    <w:left w:val="nil"/>
                    <w:bottom w:val="nil"/>
                    <w:right w:val="nil"/>
                  </w:tcBorders>
                  <w:shd w:val="clear" w:color="auto" w:fill="auto"/>
                  <w:noWrap/>
                  <w:vAlign w:val="center"/>
                  <w:hideMark/>
                </w:tcPr>
                <w:p w14:paraId="1851610A"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172,7</w:t>
                  </w:r>
                </w:p>
              </w:tc>
              <w:tc>
                <w:tcPr>
                  <w:tcW w:w="864" w:type="dxa"/>
                  <w:tcBorders>
                    <w:top w:val="nil"/>
                    <w:left w:val="nil"/>
                    <w:bottom w:val="nil"/>
                    <w:right w:val="nil"/>
                  </w:tcBorders>
                  <w:shd w:val="clear" w:color="auto" w:fill="auto"/>
                  <w:noWrap/>
                  <w:vAlign w:val="center"/>
                  <w:hideMark/>
                </w:tcPr>
                <w:p w14:paraId="05047475"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161,9</w:t>
                  </w:r>
                </w:p>
              </w:tc>
              <w:tc>
                <w:tcPr>
                  <w:tcW w:w="799" w:type="dxa"/>
                  <w:tcBorders>
                    <w:top w:val="nil"/>
                    <w:left w:val="nil"/>
                    <w:bottom w:val="nil"/>
                    <w:right w:val="single" w:sz="4" w:space="0" w:color="auto"/>
                  </w:tcBorders>
                  <w:shd w:val="clear" w:color="auto" w:fill="auto"/>
                  <w:noWrap/>
                  <w:vAlign w:val="center"/>
                  <w:hideMark/>
                </w:tcPr>
                <w:p w14:paraId="16F46C58" w14:textId="77777777" w:rsidR="00087221" w:rsidRPr="00087221" w:rsidRDefault="00087221" w:rsidP="00E71244">
                  <w:pPr>
                    <w:tabs>
                      <w:tab w:val="decimal" w:pos="230"/>
                    </w:tabs>
                    <w:spacing w:after="0" w:line="240" w:lineRule="auto"/>
                    <w:ind w:right="32" w:firstLineChars="100" w:firstLine="200"/>
                    <w:jc w:val="right"/>
                    <w:rPr>
                      <w:color w:val="00B050"/>
                      <w:sz w:val="20"/>
                      <w:szCs w:val="20"/>
                      <w:lang w:eastAsia="sk-SK"/>
                    </w:rPr>
                  </w:pPr>
                  <w:r w:rsidRPr="00087221">
                    <w:rPr>
                      <w:color w:val="00B050"/>
                      <w:sz w:val="20"/>
                      <w:szCs w:val="20"/>
                    </w:rPr>
                    <w:t>-10,8</w:t>
                  </w:r>
                </w:p>
              </w:tc>
            </w:tr>
            <w:tr w:rsidR="00087221" w:rsidRPr="00087221" w14:paraId="2A47B43C"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5D3777E8" w14:textId="77777777" w:rsidR="00087221" w:rsidRPr="00087221" w:rsidRDefault="00087221" w:rsidP="00E71244">
                  <w:pPr>
                    <w:spacing w:after="0" w:line="240" w:lineRule="auto"/>
                    <w:rPr>
                      <w:sz w:val="20"/>
                      <w:szCs w:val="20"/>
                      <w:lang w:eastAsia="sk-SK"/>
                    </w:rPr>
                  </w:pPr>
                  <w:r w:rsidRPr="00087221">
                    <w:rPr>
                      <w:sz w:val="20"/>
                      <w:szCs w:val="20"/>
                    </w:rPr>
                    <w:t>Maďarsko</w:t>
                  </w:r>
                </w:p>
              </w:tc>
              <w:tc>
                <w:tcPr>
                  <w:tcW w:w="764" w:type="dxa"/>
                  <w:tcBorders>
                    <w:top w:val="nil"/>
                    <w:left w:val="nil"/>
                    <w:bottom w:val="nil"/>
                    <w:right w:val="nil"/>
                  </w:tcBorders>
                  <w:shd w:val="clear" w:color="auto" w:fill="auto"/>
                  <w:noWrap/>
                  <w:vAlign w:val="center"/>
                  <w:hideMark/>
                </w:tcPr>
                <w:p w14:paraId="33FFE4F6"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-7,2</w:t>
                  </w:r>
                </w:p>
              </w:tc>
              <w:tc>
                <w:tcPr>
                  <w:tcW w:w="826" w:type="dxa"/>
                  <w:tcBorders>
                    <w:top w:val="nil"/>
                    <w:left w:val="nil"/>
                    <w:bottom w:val="nil"/>
                    <w:right w:val="nil"/>
                  </w:tcBorders>
                  <w:shd w:val="clear" w:color="auto" w:fill="auto"/>
                  <w:noWrap/>
                  <w:vAlign w:val="center"/>
                  <w:hideMark/>
                </w:tcPr>
                <w:p w14:paraId="7AFF777F"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-6,2</w:t>
                  </w:r>
                </w:p>
              </w:tc>
              <w:tc>
                <w:tcPr>
                  <w:tcW w:w="742" w:type="dxa"/>
                  <w:tcBorders>
                    <w:top w:val="nil"/>
                    <w:left w:val="nil"/>
                    <w:bottom w:val="nil"/>
                    <w:right w:val="nil"/>
                  </w:tcBorders>
                  <w:shd w:val="clear" w:color="auto" w:fill="auto"/>
                  <w:noWrap/>
                  <w:vAlign w:val="center"/>
                  <w:hideMark/>
                </w:tcPr>
                <w:p w14:paraId="359843F0"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-6,7</w:t>
                  </w:r>
                </w:p>
              </w:tc>
              <w:tc>
                <w:tcPr>
                  <w:tcW w:w="728" w:type="dxa"/>
                  <w:tcBorders>
                    <w:top w:val="nil"/>
                    <w:left w:val="nil"/>
                    <w:bottom w:val="nil"/>
                    <w:right w:val="nil"/>
                  </w:tcBorders>
                  <w:shd w:val="clear" w:color="auto" w:fill="auto"/>
                  <w:noWrap/>
                  <w:vAlign w:val="center"/>
                  <w:hideMark/>
                </w:tcPr>
                <w:p w14:paraId="2D733152"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FF0000"/>
                      <w:sz w:val="20"/>
                      <w:szCs w:val="20"/>
                    </w:rPr>
                    <w:t>-0,5</w:t>
                  </w:r>
                </w:p>
              </w:tc>
              <w:tc>
                <w:tcPr>
                  <w:tcW w:w="1453" w:type="dxa"/>
                  <w:tcBorders>
                    <w:top w:val="nil"/>
                    <w:left w:val="single" w:sz="4" w:space="0" w:color="auto"/>
                    <w:bottom w:val="nil"/>
                    <w:right w:val="nil"/>
                  </w:tcBorders>
                  <w:shd w:val="clear" w:color="auto" w:fill="auto"/>
                  <w:noWrap/>
                  <w:vAlign w:val="center"/>
                  <w:hideMark/>
                </w:tcPr>
                <w:p w14:paraId="3737D62E" w14:textId="77777777" w:rsidR="00087221" w:rsidRPr="00087221" w:rsidRDefault="00087221" w:rsidP="00E71244">
                  <w:pPr>
                    <w:spacing w:after="0" w:line="240" w:lineRule="auto"/>
                    <w:rPr>
                      <w:sz w:val="20"/>
                      <w:szCs w:val="20"/>
                      <w:lang w:eastAsia="sk-SK"/>
                    </w:rPr>
                  </w:pPr>
                  <w:r w:rsidRPr="00087221">
                    <w:rPr>
                      <w:sz w:val="20"/>
                      <w:szCs w:val="20"/>
                    </w:rPr>
                    <w:t>Taliansko</w:t>
                  </w:r>
                </w:p>
              </w:tc>
              <w:tc>
                <w:tcPr>
                  <w:tcW w:w="843" w:type="dxa"/>
                  <w:tcBorders>
                    <w:top w:val="nil"/>
                    <w:left w:val="nil"/>
                    <w:bottom w:val="nil"/>
                    <w:right w:val="nil"/>
                  </w:tcBorders>
                  <w:shd w:val="clear" w:color="auto" w:fill="auto"/>
                  <w:noWrap/>
                  <w:vAlign w:val="center"/>
                  <w:hideMark/>
                </w:tcPr>
                <w:p w14:paraId="74206FCF"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147,1</w:t>
                  </w:r>
                </w:p>
              </w:tc>
              <w:tc>
                <w:tcPr>
                  <w:tcW w:w="843" w:type="dxa"/>
                  <w:tcBorders>
                    <w:top w:val="nil"/>
                    <w:left w:val="nil"/>
                    <w:bottom w:val="nil"/>
                    <w:right w:val="nil"/>
                  </w:tcBorders>
                  <w:shd w:val="clear" w:color="auto" w:fill="auto"/>
                  <w:noWrap/>
                  <w:vAlign w:val="center"/>
                  <w:hideMark/>
                </w:tcPr>
                <w:p w14:paraId="1B6E54E2"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140,5</w:t>
                  </w:r>
                </w:p>
              </w:tc>
              <w:tc>
                <w:tcPr>
                  <w:tcW w:w="864" w:type="dxa"/>
                  <w:tcBorders>
                    <w:top w:val="nil"/>
                    <w:left w:val="nil"/>
                    <w:bottom w:val="nil"/>
                    <w:right w:val="nil"/>
                  </w:tcBorders>
                  <w:shd w:val="clear" w:color="auto" w:fill="auto"/>
                  <w:noWrap/>
                  <w:vAlign w:val="center"/>
                  <w:hideMark/>
                </w:tcPr>
                <w:p w14:paraId="72BB1F2A"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137,3</w:t>
                  </w:r>
                </w:p>
              </w:tc>
              <w:tc>
                <w:tcPr>
                  <w:tcW w:w="799" w:type="dxa"/>
                  <w:tcBorders>
                    <w:top w:val="nil"/>
                    <w:left w:val="nil"/>
                    <w:bottom w:val="nil"/>
                    <w:right w:val="single" w:sz="4" w:space="0" w:color="auto"/>
                  </w:tcBorders>
                  <w:shd w:val="clear" w:color="auto" w:fill="auto"/>
                  <w:noWrap/>
                  <w:vAlign w:val="center"/>
                  <w:hideMark/>
                </w:tcPr>
                <w:p w14:paraId="0FA78FE3" w14:textId="77777777" w:rsidR="00087221" w:rsidRPr="00087221" w:rsidRDefault="00087221" w:rsidP="00E71244">
                  <w:pPr>
                    <w:tabs>
                      <w:tab w:val="decimal" w:pos="230"/>
                    </w:tabs>
                    <w:spacing w:after="0" w:line="240" w:lineRule="auto"/>
                    <w:ind w:right="32" w:firstLineChars="100" w:firstLine="200"/>
                    <w:jc w:val="right"/>
                    <w:rPr>
                      <w:color w:val="00B050"/>
                      <w:sz w:val="20"/>
                      <w:szCs w:val="20"/>
                      <w:lang w:eastAsia="sk-SK"/>
                    </w:rPr>
                  </w:pPr>
                  <w:r w:rsidRPr="00087221">
                    <w:rPr>
                      <w:color w:val="00B050"/>
                      <w:sz w:val="20"/>
                      <w:szCs w:val="20"/>
                    </w:rPr>
                    <w:t>-3,2</w:t>
                  </w:r>
                </w:p>
              </w:tc>
            </w:tr>
            <w:tr w:rsidR="00087221" w:rsidRPr="00087221" w14:paraId="32E5C807"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1BDA2130" w14:textId="77777777" w:rsidR="00087221" w:rsidRPr="00087221" w:rsidRDefault="00087221" w:rsidP="00E71244">
                  <w:pPr>
                    <w:spacing w:after="0" w:line="240" w:lineRule="auto"/>
                    <w:rPr>
                      <w:sz w:val="20"/>
                      <w:szCs w:val="20"/>
                      <w:lang w:eastAsia="sk-SK"/>
                    </w:rPr>
                  </w:pPr>
                  <w:r w:rsidRPr="00087221">
                    <w:rPr>
                      <w:sz w:val="20"/>
                      <w:szCs w:val="20"/>
                    </w:rPr>
                    <w:t>Rumunsko</w:t>
                  </w:r>
                </w:p>
              </w:tc>
              <w:tc>
                <w:tcPr>
                  <w:tcW w:w="764" w:type="dxa"/>
                  <w:tcBorders>
                    <w:top w:val="nil"/>
                    <w:left w:val="nil"/>
                    <w:bottom w:val="nil"/>
                    <w:right w:val="nil"/>
                  </w:tcBorders>
                  <w:shd w:val="clear" w:color="auto" w:fill="auto"/>
                  <w:noWrap/>
                  <w:vAlign w:val="center"/>
                  <w:hideMark/>
                </w:tcPr>
                <w:p w14:paraId="1A37FB8B"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-7,2</w:t>
                  </w:r>
                </w:p>
              </w:tc>
              <w:tc>
                <w:tcPr>
                  <w:tcW w:w="826" w:type="dxa"/>
                  <w:tcBorders>
                    <w:top w:val="nil"/>
                    <w:left w:val="nil"/>
                    <w:bottom w:val="nil"/>
                    <w:right w:val="nil"/>
                  </w:tcBorders>
                  <w:shd w:val="clear" w:color="auto" w:fill="auto"/>
                  <w:noWrap/>
                  <w:vAlign w:val="center"/>
                  <w:hideMark/>
                </w:tcPr>
                <w:p w14:paraId="70B9B373"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-6,3</w:t>
                  </w:r>
                </w:p>
              </w:tc>
              <w:tc>
                <w:tcPr>
                  <w:tcW w:w="742" w:type="dxa"/>
                  <w:tcBorders>
                    <w:top w:val="nil"/>
                    <w:left w:val="nil"/>
                    <w:bottom w:val="nil"/>
                    <w:right w:val="nil"/>
                  </w:tcBorders>
                  <w:shd w:val="clear" w:color="auto" w:fill="auto"/>
                  <w:noWrap/>
                  <w:vAlign w:val="center"/>
                  <w:hideMark/>
                </w:tcPr>
                <w:p w14:paraId="1F262636"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-6,6</w:t>
                  </w:r>
                </w:p>
              </w:tc>
              <w:tc>
                <w:tcPr>
                  <w:tcW w:w="728" w:type="dxa"/>
                  <w:tcBorders>
                    <w:top w:val="nil"/>
                    <w:left w:val="nil"/>
                    <w:bottom w:val="nil"/>
                    <w:right w:val="nil"/>
                  </w:tcBorders>
                  <w:shd w:val="clear" w:color="auto" w:fill="auto"/>
                  <w:noWrap/>
                  <w:vAlign w:val="center"/>
                  <w:hideMark/>
                </w:tcPr>
                <w:p w14:paraId="15949A98"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FF0000"/>
                      <w:sz w:val="20"/>
                      <w:szCs w:val="20"/>
                    </w:rPr>
                    <w:t>-0,3</w:t>
                  </w:r>
                </w:p>
              </w:tc>
              <w:tc>
                <w:tcPr>
                  <w:tcW w:w="1453" w:type="dxa"/>
                  <w:tcBorders>
                    <w:top w:val="nil"/>
                    <w:left w:val="single" w:sz="4" w:space="0" w:color="auto"/>
                    <w:bottom w:val="nil"/>
                    <w:right w:val="nil"/>
                  </w:tcBorders>
                  <w:shd w:val="clear" w:color="auto" w:fill="auto"/>
                  <w:noWrap/>
                  <w:vAlign w:val="center"/>
                  <w:hideMark/>
                </w:tcPr>
                <w:p w14:paraId="00FB7CCF" w14:textId="77777777" w:rsidR="00087221" w:rsidRPr="00087221" w:rsidRDefault="00087221" w:rsidP="00E71244">
                  <w:pPr>
                    <w:spacing w:after="0" w:line="240" w:lineRule="auto"/>
                    <w:rPr>
                      <w:sz w:val="20"/>
                      <w:szCs w:val="20"/>
                      <w:lang w:eastAsia="sk-SK"/>
                    </w:rPr>
                  </w:pPr>
                  <w:r w:rsidRPr="00087221">
                    <w:rPr>
                      <w:sz w:val="20"/>
                      <w:szCs w:val="20"/>
                    </w:rPr>
                    <w:t>Francúzsko</w:t>
                  </w:r>
                </w:p>
              </w:tc>
              <w:tc>
                <w:tcPr>
                  <w:tcW w:w="843" w:type="dxa"/>
                  <w:tcBorders>
                    <w:top w:val="nil"/>
                    <w:left w:val="nil"/>
                    <w:bottom w:val="nil"/>
                    <w:right w:val="nil"/>
                  </w:tcBorders>
                  <w:shd w:val="clear" w:color="auto" w:fill="auto"/>
                  <w:noWrap/>
                  <w:vAlign w:val="center"/>
                  <w:hideMark/>
                </w:tcPr>
                <w:p w14:paraId="4AEFBE88"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113,0</w:t>
                  </w:r>
                </w:p>
              </w:tc>
              <w:tc>
                <w:tcPr>
                  <w:tcW w:w="843" w:type="dxa"/>
                  <w:tcBorders>
                    <w:top w:val="nil"/>
                    <w:left w:val="nil"/>
                    <w:bottom w:val="nil"/>
                    <w:right w:val="nil"/>
                  </w:tcBorders>
                  <w:shd w:val="clear" w:color="auto" w:fill="auto"/>
                  <w:noWrap/>
                  <w:vAlign w:val="center"/>
                  <w:hideMark/>
                </w:tcPr>
                <w:p w14:paraId="6A6D3D20"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111,9</w:t>
                  </w:r>
                </w:p>
              </w:tc>
              <w:tc>
                <w:tcPr>
                  <w:tcW w:w="864" w:type="dxa"/>
                  <w:tcBorders>
                    <w:top w:val="nil"/>
                    <w:left w:val="nil"/>
                    <w:bottom w:val="nil"/>
                    <w:right w:val="nil"/>
                  </w:tcBorders>
                  <w:shd w:val="clear" w:color="auto" w:fill="auto"/>
                  <w:noWrap/>
                  <w:vAlign w:val="center"/>
                  <w:hideMark/>
                </w:tcPr>
                <w:p w14:paraId="7BCED222"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110,6</w:t>
                  </w:r>
                </w:p>
              </w:tc>
              <w:tc>
                <w:tcPr>
                  <w:tcW w:w="799" w:type="dxa"/>
                  <w:tcBorders>
                    <w:top w:val="nil"/>
                    <w:left w:val="nil"/>
                    <w:bottom w:val="nil"/>
                    <w:right w:val="single" w:sz="4" w:space="0" w:color="auto"/>
                  </w:tcBorders>
                  <w:shd w:val="clear" w:color="auto" w:fill="auto"/>
                  <w:noWrap/>
                  <w:vAlign w:val="center"/>
                  <w:hideMark/>
                </w:tcPr>
                <w:p w14:paraId="48605691" w14:textId="77777777" w:rsidR="00087221" w:rsidRPr="00087221" w:rsidRDefault="00087221" w:rsidP="00E71244">
                  <w:pPr>
                    <w:tabs>
                      <w:tab w:val="decimal" w:pos="230"/>
                    </w:tabs>
                    <w:spacing w:after="0" w:line="240" w:lineRule="auto"/>
                    <w:ind w:right="32" w:firstLineChars="100" w:firstLine="200"/>
                    <w:jc w:val="right"/>
                    <w:rPr>
                      <w:color w:val="00B050"/>
                      <w:sz w:val="20"/>
                      <w:szCs w:val="20"/>
                      <w:lang w:eastAsia="sk-SK"/>
                    </w:rPr>
                  </w:pPr>
                  <w:r w:rsidRPr="00087221">
                    <w:rPr>
                      <w:color w:val="00B050"/>
                      <w:sz w:val="20"/>
                      <w:szCs w:val="20"/>
                    </w:rPr>
                    <w:t>-1,3</w:t>
                  </w:r>
                </w:p>
              </w:tc>
            </w:tr>
            <w:tr w:rsidR="00087221" w:rsidRPr="00087221" w14:paraId="4B92D9D3"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343775BB" w14:textId="77777777" w:rsidR="00087221" w:rsidRPr="00087221" w:rsidRDefault="00087221" w:rsidP="00E71244">
                  <w:pPr>
                    <w:spacing w:after="0" w:line="240" w:lineRule="auto"/>
                    <w:rPr>
                      <w:sz w:val="20"/>
                      <w:szCs w:val="20"/>
                      <w:lang w:eastAsia="sk-SK"/>
                    </w:rPr>
                  </w:pPr>
                  <w:r w:rsidRPr="00087221">
                    <w:rPr>
                      <w:sz w:val="20"/>
                      <w:szCs w:val="20"/>
                    </w:rPr>
                    <w:t>Francúzsko</w:t>
                  </w:r>
                </w:p>
              </w:tc>
              <w:tc>
                <w:tcPr>
                  <w:tcW w:w="764" w:type="dxa"/>
                  <w:tcBorders>
                    <w:top w:val="nil"/>
                    <w:left w:val="nil"/>
                    <w:bottom w:val="nil"/>
                    <w:right w:val="nil"/>
                  </w:tcBorders>
                  <w:shd w:val="clear" w:color="auto" w:fill="auto"/>
                  <w:noWrap/>
                  <w:vAlign w:val="center"/>
                  <w:hideMark/>
                </w:tcPr>
                <w:p w14:paraId="4EAC61D2"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-6,6</w:t>
                  </w:r>
                </w:p>
              </w:tc>
              <w:tc>
                <w:tcPr>
                  <w:tcW w:w="826" w:type="dxa"/>
                  <w:tcBorders>
                    <w:top w:val="nil"/>
                    <w:left w:val="nil"/>
                    <w:bottom w:val="nil"/>
                    <w:right w:val="nil"/>
                  </w:tcBorders>
                  <w:shd w:val="clear" w:color="auto" w:fill="auto"/>
                  <w:noWrap/>
                  <w:vAlign w:val="center"/>
                  <w:hideMark/>
                </w:tcPr>
                <w:p w14:paraId="46319BCA"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-4,8</w:t>
                  </w:r>
                </w:p>
              </w:tc>
              <w:tc>
                <w:tcPr>
                  <w:tcW w:w="742" w:type="dxa"/>
                  <w:tcBorders>
                    <w:top w:val="nil"/>
                    <w:left w:val="nil"/>
                    <w:bottom w:val="nil"/>
                    <w:right w:val="nil"/>
                  </w:tcBorders>
                  <w:shd w:val="clear" w:color="auto" w:fill="auto"/>
                  <w:noWrap/>
                  <w:vAlign w:val="center"/>
                  <w:hideMark/>
                </w:tcPr>
                <w:p w14:paraId="783280CD"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-5,5</w:t>
                  </w:r>
                </w:p>
              </w:tc>
              <w:tc>
                <w:tcPr>
                  <w:tcW w:w="728" w:type="dxa"/>
                  <w:tcBorders>
                    <w:top w:val="nil"/>
                    <w:left w:val="nil"/>
                    <w:bottom w:val="nil"/>
                    <w:right w:val="nil"/>
                  </w:tcBorders>
                  <w:shd w:val="clear" w:color="auto" w:fill="auto"/>
                  <w:noWrap/>
                  <w:vAlign w:val="center"/>
                  <w:hideMark/>
                </w:tcPr>
                <w:p w14:paraId="4484324E"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FF0000"/>
                      <w:sz w:val="20"/>
                      <w:szCs w:val="20"/>
                    </w:rPr>
                    <w:t>-0,7</w:t>
                  </w:r>
                </w:p>
              </w:tc>
              <w:tc>
                <w:tcPr>
                  <w:tcW w:w="1453" w:type="dxa"/>
                  <w:tcBorders>
                    <w:top w:val="nil"/>
                    <w:left w:val="single" w:sz="4" w:space="0" w:color="auto"/>
                    <w:bottom w:val="nil"/>
                    <w:right w:val="nil"/>
                  </w:tcBorders>
                  <w:shd w:val="clear" w:color="auto" w:fill="auto"/>
                  <w:noWrap/>
                  <w:vAlign w:val="center"/>
                  <w:hideMark/>
                </w:tcPr>
                <w:p w14:paraId="1E8AC1AA" w14:textId="77777777" w:rsidR="00087221" w:rsidRPr="00087221" w:rsidRDefault="00087221" w:rsidP="00E71244">
                  <w:pPr>
                    <w:spacing w:after="0" w:line="240" w:lineRule="auto"/>
                    <w:rPr>
                      <w:sz w:val="20"/>
                      <w:szCs w:val="20"/>
                      <w:lang w:eastAsia="sk-SK"/>
                    </w:rPr>
                  </w:pPr>
                  <w:r w:rsidRPr="00087221">
                    <w:rPr>
                      <w:sz w:val="20"/>
                      <w:szCs w:val="20"/>
                    </w:rPr>
                    <w:t>Španielsko</w:t>
                  </w:r>
                </w:p>
              </w:tc>
              <w:tc>
                <w:tcPr>
                  <w:tcW w:w="843" w:type="dxa"/>
                  <w:tcBorders>
                    <w:top w:val="nil"/>
                    <w:left w:val="nil"/>
                    <w:bottom w:val="nil"/>
                    <w:right w:val="nil"/>
                  </w:tcBorders>
                  <w:shd w:val="clear" w:color="auto" w:fill="auto"/>
                  <w:noWrap/>
                  <w:vAlign w:val="center"/>
                  <w:hideMark/>
                </w:tcPr>
                <w:p w14:paraId="4C345CBE"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116,8</w:t>
                  </w:r>
                </w:p>
              </w:tc>
              <w:tc>
                <w:tcPr>
                  <w:tcW w:w="843" w:type="dxa"/>
                  <w:tcBorders>
                    <w:top w:val="nil"/>
                    <w:left w:val="nil"/>
                    <w:bottom w:val="nil"/>
                    <w:right w:val="nil"/>
                  </w:tcBorders>
                  <w:shd w:val="clear" w:color="auto" w:fill="auto"/>
                  <w:noWrap/>
                  <w:vAlign w:val="center"/>
                  <w:hideMark/>
                </w:tcPr>
                <w:p w14:paraId="0FD6B187"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111,6</w:t>
                  </w:r>
                </w:p>
              </w:tc>
              <w:tc>
                <w:tcPr>
                  <w:tcW w:w="864" w:type="dxa"/>
                  <w:tcBorders>
                    <w:top w:val="nil"/>
                    <w:left w:val="nil"/>
                    <w:bottom w:val="nil"/>
                    <w:right w:val="nil"/>
                  </w:tcBorders>
                  <w:shd w:val="clear" w:color="auto" w:fill="auto"/>
                  <w:noWrap/>
                  <w:vAlign w:val="center"/>
                  <w:hideMark/>
                </w:tcPr>
                <w:p w14:paraId="3A654CFA"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107,7</w:t>
                  </w:r>
                </w:p>
              </w:tc>
              <w:tc>
                <w:tcPr>
                  <w:tcW w:w="799" w:type="dxa"/>
                  <w:tcBorders>
                    <w:top w:val="nil"/>
                    <w:left w:val="nil"/>
                    <w:bottom w:val="nil"/>
                    <w:right w:val="single" w:sz="4" w:space="0" w:color="auto"/>
                  </w:tcBorders>
                  <w:shd w:val="clear" w:color="auto" w:fill="auto"/>
                  <w:noWrap/>
                  <w:vAlign w:val="center"/>
                  <w:hideMark/>
                </w:tcPr>
                <w:p w14:paraId="5B46F0DB" w14:textId="77777777" w:rsidR="00087221" w:rsidRPr="00087221" w:rsidRDefault="00087221" w:rsidP="00E71244">
                  <w:pPr>
                    <w:tabs>
                      <w:tab w:val="decimal" w:pos="230"/>
                    </w:tabs>
                    <w:spacing w:after="0" w:line="240" w:lineRule="auto"/>
                    <w:ind w:right="32" w:firstLineChars="100" w:firstLine="200"/>
                    <w:jc w:val="right"/>
                    <w:rPr>
                      <w:color w:val="00B050"/>
                      <w:sz w:val="20"/>
                      <w:szCs w:val="20"/>
                      <w:lang w:eastAsia="sk-SK"/>
                    </w:rPr>
                  </w:pPr>
                  <w:r w:rsidRPr="00087221">
                    <w:rPr>
                      <w:color w:val="00B050"/>
                      <w:sz w:val="20"/>
                      <w:szCs w:val="20"/>
                    </w:rPr>
                    <w:t>-3,9</w:t>
                  </w:r>
                </w:p>
              </w:tc>
            </w:tr>
            <w:tr w:rsidR="00087221" w:rsidRPr="00087221" w14:paraId="3708AF4D"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5BBB4C71" w14:textId="77777777" w:rsidR="00087221" w:rsidRPr="00087221" w:rsidRDefault="00087221" w:rsidP="00E71244">
                  <w:pPr>
                    <w:spacing w:after="0" w:line="240" w:lineRule="auto"/>
                    <w:rPr>
                      <w:sz w:val="20"/>
                      <w:szCs w:val="20"/>
                      <w:lang w:eastAsia="sk-SK"/>
                    </w:rPr>
                  </w:pPr>
                  <w:r w:rsidRPr="00087221">
                    <w:rPr>
                      <w:sz w:val="20"/>
                      <w:szCs w:val="20"/>
                    </w:rPr>
                    <w:t>Poľsko</w:t>
                  </w:r>
                </w:p>
              </w:tc>
              <w:tc>
                <w:tcPr>
                  <w:tcW w:w="764" w:type="dxa"/>
                  <w:tcBorders>
                    <w:top w:val="nil"/>
                    <w:left w:val="nil"/>
                    <w:bottom w:val="nil"/>
                    <w:right w:val="nil"/>
                  </w:tcBorders>
                  <w:shd w:val="clear" w:color="auto" w:fill="auto"/>
                  <w:noWrap/>
                  <w:vAlign w:val="center"/>
                  <w:hideMark/>
                </w:tcPr>
                <w:p w14:paraId="3B706E42"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-1,8</w:t>
                  </w:r>
                </w:p>
              </w:tc>
              <w:tc>
                <w:tcPr>
                  <w:tcW w:w="826" w:type="dxa"/>
                  <w:tcBorders>
                    <w:top w:val="nil"/>
                    <w:left w:val="nil"/>
                    <w:bottom w:val="nil"/>
                    <w:right w:val="nil"/>
                  </w:tcBorders>
                  <w:shd w:val="clear" w:color="auto" w:fill="auto"/>
                  <w:noWrap/>
                  <w:vAlign w:val="center"/>
                  <w:hideMark/>
                </w:tcPr>
                <w:p w14:paraId="6342A055"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-3,4</w:t>
                  </w:r>
                </w:p>
              </w:tc>
              <w:tc>
                <w:tcPr>
                  <w:tcW w:w="742" w:type="dxa"/>
                  <w:tcBorders>
                    <w:top w:val="nil"/>
                    <w:left w:val="nil"/>
                    <w:bottom w:val="nil"/>
                    <w:right w:val="nil"/>
                  </w:tcBorders>
                  <w:shd w:val="clear" w:color="auto" w:fill="auto"/>
                  <w:noWrap/>
                  <w:vAlign w:val="center"/>
                  <w:hideMark/>
                </w:tcPr>
                <w:p w14:paraId="0E0DCC3A"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-5,1</w:t>
                  </w:r>
                </w:p>
              </w:tc>
              <w:tc>
                <w:tcPr>
                  <w:tcW w:w="728" w:type="dxa"/>
                  <w:tcBorders>
                    <w:top w:val="nil"/>
                    <w:left w:val="nil"/>
                    <w:bottom w:val="nil"/>
                    <w:right w:val="nil"/>
                  </w:tcBorders>
                  <w:shd w:val="clear" w:color="auto" w:fill="auto"/>
                  <w:noWrap/>
                  <w:vAlign w:val="center"/>
                  <w:hideMark/>
                </w:tcPr>
                <w:p w14:paraId="42607D66"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FF0000"/>
                      <w:sz w:val="20"/>
                      <w:szCs w:val="20"/>
                    </w:rPr>
                    <w:t>-1,7</w:t>
                  </w:r>
                </w:p>
              </w:tc>
              <w:tc>
                <w:tcPr>
                  <w:tcW w:w="1453" w:type="dxa"/>
                  <w:tcBorders>
                    <w:top w:val="nil"/>
                    <w:left w:val="single" w:sz="4" w:space="0" w:color="auto"/>
                    <w:bottom w:val="nil"/>
                    <w:right w:val="nil"/>
                  </w:tcBorders>
                  <w:shd w:val="clear" w:color="auto" w:fill="auto"/>
                  <w:noWrap/>
                  <w:vAlign w:val="center"/>
                  <w:hideMark/>
                </w:tcPr>
                <w:p w14:paraId="0AB791F7" w14:textId="77777777" w:rsidR="00087221" w:rsidRPr="00087221" w:rsidRDefault="00087221" w:rsidP="00E71244">
                  <w:pPr>
                    <w:spacing w:after="0" w:line="240" w:lineRule="auto"/>
                    <w:rPr>
                      <w:sz w:val="20"/>
                      <w:szCs w:val="20"/>
                      <w:lang w:eastAsia="sk-SK"/>
                    </w:rPr>
                  </w:pPr>
                  <w:r w:rsidRPr="00087221">
                    <w:rPr>
                      <w:sz w:val="20"/>
                      <w:szCs w:val="20"/>
                    </w:rPr>
                    <w:t>Belgicko</w:t>
                  </w:r>
                </w:p>
              </w:tc>
              <w:tc>
                <w:tcPr>
                  <w:tcW w:w="843" w:type="dxa"/>
                  <w:tcBorders>
                    <w:top w:val="nil"/>
                    <w:left w:val="nil"/>
                    <w:bottom w:val="nil"/>
                    <w:right w:val="nil"/>
                  </w:tcBorders>
                  <w:shd w:val="clear" w:color="auto" w:fill="auto"/>
                  <w:noWrap/>
                  <w:vAlign w:val="center"/>
                  <w:hideMark/>
                </w:tcPr>
                <w:p w14:paraId="3F677763"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107,9</w:t>
                  </w:r>
                </w:p>
              </w:tc>
              <w:tc>
                <w:tcPr>
                  <w:tcW w:w="843" w:type="dxa"/>
                  <w:tcBorders>
                    <w:top w:val="nil"/>
                    <w:left w:val="nil"/>
                    <w:bottom w:val="nil"/>
                    <w:right w:val="nil"/>
                  </w:tcBorders>
                  <w:shd w:val="clear" w:color="auto" w:fill="auto"/>
                  <w:noWrap/>
                  <w:vAlign w:val="center"/>
                  <w:hideMark/>
                </w:tcPr>
                <w:p w14:paraId="7F5BF5D1"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104,3</w:t>
                  </w:r>
                </w:p>
              </w:tc>
              <w:tc>
                <w:tcPr>
                  <w:tcW w:w="864" w:type="dxa"/>
                  <w:tcBorders>
                    <w:top w:val="nil"/>
                    <w:left w:val="nil"/>
                    <w:bottom w:val="nil"/>
                    <w:right w:val="nil"/>
                  </w:tcBorders>
                  <w:shd w:val="clear" w:color="auto" w:fill="auto"/>
                  <w:noWrap/>
                  <w:vAlign w:val="center"/>
                  <w:hideMark/>
                </w:tcPr>
                <w:p w14:paraId="05F23F80"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105,2</w:t>
                  </w:r>
                </w:p>
              </w:tc>
              <w:tc>
                <w:tcPr>
                  <w:tcW w:w="799" w:type="dxa"/>
                  <w:tcBorders>
                    <w:top w:val="nil"/>
                    <w:left w:val="nil"/>
                    <w:bottom w:val="nil"/>
                    <w:right w:val="single" w:sz="4" w:space="0" w:color="auto"/>
                  </w:tcBorders>
                  <w:shd w:val="clear" w:color="auto" w:fill="auto"/>
                  <w:noWrap/>
                  <w:vAlign w:val="center"/>
                  <w:hideMark/>
                </w:tcPr>
                <w:p w14:paraId="397ACC9F" w14:textId="77777777" w:rsidR="00087221" w:rsidRPr="00087221" w:rsidRDefault="00087221" w:rsidP="00E71244">
                  <w:pPr>
                    <w:tabs>
                      <w:tab w:val="decimal" w:pos="230"/>
                    </w:tabs>
                    <w:spacing w:after="0" w:line="240" w:lineRule="auto"/>
                    <w:ind w:right="32" w:firstLineChars="100" w:firstLine="200"/>
                    <w:jc w:val="right"/>
                    <w:rPr>
                      <w:color w:val="00B050"/>
                      <w:sz w:val="20"/>
                      <w:szCs w:val="20"/>
                      <w:lang w:eastAsia="sk-SK"/>
                    </w:rPr>
                  </w:pPr>
                  <w:r w:rsidRPr="00087221">
                    <w:rPr>
                      <w:color w:val="FF0000"/>
                      <w:sz w:val="20"/>
                      <w:szCs w:val="20"/>
                    </w:rPr>
                    <w:t>0,9</w:t>
                  </w:r>
                </w:p>
              </w:tc>
            </w:tr>
            <w:tr w:rsidR="00087221" w:rsidRPr="00087221" w14:paraId="0BCCC928"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6339F802" w14:textId="77777777" w:rsidR="00087221" w:rsidRPr="00087221" w:rsidRDefault="00087221" w:rsidP="00E71244">
                  <w:pPr>
                    <w:spacing w:after="0" w:line="240" w:lineRule="auto"/>
                    <w:rPr>
                      <w:sz w:val="20"/>
                      <w:szCs w:val="20"/>
                      <w:lang w:eastAsia="sk-SK"/>
                    </w:rPr>
                  </w:pPr>
                  <w:r w:rsidRPr="00087221">
                    <w:rPr>
                      <w:sz w:val="20"/>
                      <w:szCs w:val="20"/>
                    </w:rPr>
                    <w:t>Malta</w:t>
                  </w:r>
                </w:p>
              </w:tc>
              <w:tc>
                <w:tcPr>
                  <w:tcW w:w="764" w:type="dxa"/>
                  <w:tcBorders>
                    <w:top w:val="nil"/>
                    <w:left w:val="nil"/>
                    <w:bottom w:val="nil"/>
                    <w:right w:val="nil"/>
                  </w:tcBorders>
                  <w:shd w:val="clear" w:color="auto" w:fill="auto"/>
                  <w:noWrap/>
                  <w:vAlign w:val="center"/>
                  <w:hideMark/>
                </w:tcPr>
                <w:p w14:paraId="41EC592A"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-7,6</w:t>
                  </w:r>
                </w:p>
              </w:tc>
              <w:tc>
                <w:tcPr>
                  <w:tcW w:w="826" w:type="dxa"/>
                  <w:tcBorders>
                    <w:top w:val="nil"/>
                    <w:left w:val="nil"/>
                    <w:bottom w:val="nil"/>
                    <w:right w:val="nil"/>
                  </w:tcBorders>
                  <w:shd w:val="clear" w:color="auto" w:fill="auto"/>
                  <w:noWrap/>
                  <w:vAlign w:val="center"/>
                  <w:hideMark/>
                </w:tcPr>
                <w:p w14:paraId="23258470"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-5,5</w:t>
                  </w:r>
                </w:p>
              </w:tc>
              <w:tc>
                <w:tcPr>
                  <w:tcW w:w="742" w:type="dxa"/>
                  <w:tcBorders>
                    <w:top w:val="nil"/>
                    <w:left w:val="nil"/>
                    <w:bottom w:val="nil"/>
                    <w:right w:val="nil"/>
                  </w:tcBorders>
                  <w:shd w:val="clear" w:color="auto" w:fill="auto"/>
                  <w:noWrap/>
                  <w:vAlign w:val="center"/>
                  <w:hideMark/>
                </w:tcPr>
                <w:p w14:paraId="715690E7"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-4,9</w:t>
                  </w:r>
                </w:p>
              </w:tc>
              <w:tc>
                <w:tcPr>
                  <w:tcW w:w="728" w:type="dxa"/>
                  <w:tcBorders>
                    <w:top w:val="nil"/>
                    <w:left w:val="nil"/>
                    <w:bottom w:val="nil"/>
                    <w:right w:val="nil"/>
                  </w:tcBorders>
                  <w:shd w:val="clear" w:color="auto" w:fill="auto"/>
                  <w:noWrap/>
                  <w:vAlign w:val="center"/>
                  <w:hideMark/>
                </w:tcPr>
                <w:p w14:paraId="2101F46B" w14:textId="77777777" w:rsidR="00087221" w:rsidRPr="00087221" w:rsidRDefault="00087221" w:rsidP="00E71244">
                  <w:pPr>
                    <w:spacing w:after="0" w:line="240" w:lineRule="auto"/>
                    <w:ind w:firstLineChars="100" w:firstLine="200"/>
                    <w:jc w:val="center"/>
                    <w:rPr>
                      <w:color w:val="FF0000"/>
                      <w:sz w:val="20"/>
                      <w:szCs w:val="20"/>
                      <w:lang w:eastAsia="sk-SK"/>
                    </w:rPr>
                  </w:pPr>
                  <w:r w:rsidRPr="00087221">
                    <w:rPr>
                      <w:color w:val="00B050"/>
                      <w:sz w:val="20"/>
                      <w:szCs w:val="20"/>
                    </w:rPr>
                    <w:t>0,6</w:t>
                  </w:r>
                </w:p>
              </w:tc>
              <w:tc>
                <w:tcPr>
                  <w:tcW w:w="1453" w:type="dxa"/>
                  <w:tcBorders>
                    <w:top w:val="nil"/>
                    <w:left w:val="single" w:sz="4" w:space="0" w:color="auto"/>
                    <w:bottom w:val="nil"/>
                    <w:right w:val="nil"/>
                  </w:tcBorders>
                  <w:shd w:val="clear" w:color="auto" w:fill="auto"/>
                  <w:noWrap/>
                  <w:vAlign w:val="center"/>
                  <w:hideMark/>
                </w:tcPr>
                <w:p w14:paraId="630A6225" w14:textId="77777777" w:rsidR="00087221" w:rsidRPr="00087221" w:rsidRDefault="00087221" w:rsidP="00E71244">
                  <w:pPr>
                    <w:spacing w:after="0" w:line="240" w:lineRule="auto"/>
                    <w:rPr>
                      <w:sz w:val="20"/>
                      <w:szCs w:val="20"/>
                      <w:lang w:eastAsia="sk-SK"/>
                    </w:rPr>
                  </w:pPr>
                  <w:r w:rsidRPr="00087221">
                    <w:rPr>
                      <w:sz w:val="20"/>
                      <w:szCs w:val="20"/>
                    </w:rPr>
                    <w:t>Portugalsko</w:t>
                  </w:r>
                </w:p>
              </w:tc>
              <w:tc>
                <w:tcPr>
                  <w:tcW w:w="843" w:type="dxa"/>
                  <w:tcBorders>
                    <w:top w:val="nil"/>
                    <w:left w:val="nil"/>
                    <w:bottom w:val="nil"/>
                    <w:right w:val="nil"/>
                  </w:tcBorders>
                  <w:shd w:val="clear" w:color="auto" w:fill="auto"/>
                  <w:noWrap/>
                  <w:vAlign w:val="center"/>
                  <w:hideMark/>
                </w:tcPr>
                <w:p w14:paraId="206404E7"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124,5</w:t>
                  </w:r>
                </w:p>
              </w:tc>
              <w:tc>
                <w:tcPr>
                  <w:tcW w:w="843" w:type="dxa"/>
                  <w:tcBorders>
                    <w:top w:val="nil"/>
                    <w:left w:val="nil"/>
                    <w:bottom w:val="nil"/>
                    <w:right w:val="nil"/>
                  </w:tcBorders>
                  <w:shd w:val="clear" w:color="auto" w:fill="auto"/>
                  <w:noWrap/>
                  <w:vAlign w:val="center"/>
                  <w:hideMark/>
                </w:tcPr>
                <w:p w14:paraId="381CD521"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112,4</w:t>
                  </w:r>
                </w:p>
              </w:tc>
              <w:tc>
                <w:tcPr>
                  <w:tcW w:w="864" w:type="dxa"/>
                  <w:tcBorders>
                    <w:top w:val="nil"/>
                    <w:left w:val="nil"/>
                    <w:bottom w:val="nil"/>
                    <w:right w:val="nil"/>
                  </w:tcBorders>
                  <w:shd w:val="clear" w:color="auto" w:fill="auto"/>
                  <w:noWrap/>
                  <w:vAlign w:val="center"/>
                  <w:hideMark/>
                </w:tcPr>
                <w:p w14:paraId="45292A34"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99,1</w:t>
                  </w:r>
                </w:p>
              </w:tc>
              <w:tc>
                <w:tcPr>
                  <w:tcW w:w="799" w:type="dxa"/>
                  <w:tcBorders>
                    <w:top w:val="nil"/>
                    <w:left w:val="nil"/>
                    <w:bottom w:val="nil"/>
                    <w:right w:val="single" w:sz="4" w:space="0" w:color="auto"/>
                  </w:tcBorders>
                  <w:shd w:val="clear" w:color="auto" w:fill="auto"/>
                  <w:noWrap/>
                  <w:vAlign w:val="center"/>
                  <w:hideMark/>
                </w:tcPr>
                <w:p w14:paraId="5744F736" w14:textId="77777777" w:rsidR="00087221" w:rsidRPr="00087221" w:rsidRDefault="00087221" w:rsidP="00E71244">
                  <w:pPr>
                    <w:tabs>
                      <w:tab w:val="decimal" w:pos="230"/>
                    </w:tabs>
                    <w:spacing w:after="0" w:line="240" w:lineRule="auto"/>
                    <w:ind w:right="32" w:firstLineChars="100" w:firstLine="200"/>
                    <w:jc w:val="right"/>
                    <w:rPr>
                      <w:color w:val="00B050"/>
                      <w:sz w:val="20"/>
                      <w:szCs w:val="20"/>
                      <w:lang w:eastAsia="sk-SK"/>
                    </w:rPr>
                  </w:pPr>
                  <w:r w:rsidRPr="00087221">
                    <w:rPr>
                      <w:color w:val="00B050"/>
                      <w:sz w:val="20"/>
                      <w:szCs w:val="20"/>
                    </w:rPr>
                    <w:t>-13,3</w:t>
                  </w:r>
                </w:p>
              </w:tc>
            </w:tr>
            <w:tr w:rsidR="00087221" w:rsidRPr="00087221" w14:paraId="10EB87C7"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4A4DC4A5" w14:textId="77777777" w:rsidR="00087221" w:rsidRPr="00087221" w:rsidRDefault="00087221" w:rsidP="00E71244">
                  <w:pPr>
                    <w:spacing w:after="0" w:line="240" w:lineRule="auto"/>
                    <w:rPr>
                      <w:sz w:val="20"/>
                      <w:szCs w:val="20"/>
                      <w:lang w:eastAsia="sk-SK"/>
                    </w:rPr>
                  </w:pPr>
                  <w:r w:rsidRPr="00087221">
                    <w:rPr>
                      <w:b/>
                      <w:bCs/>
                      <w:sz w:val="20"/>
                      <w:szCs w:val="20"/>
                    </w:rPr>
                    <w:t>Slovensko</w:t>
                  </w:r>
                </w:p>
              </w:tc>
              <w:tc>
                <w:tcPr>
                  <w:tcW w:w="764" w:type="dxa"/>
                  <w:tcBorders>
                    <w:top w:val="nil"/>
                    <w:left w:val="nil"/>
                    <w:bottom w:val="nil"/>
                    <w:right w:val="nil"/>
                  </w:tcBorders>
                  <w:shd w:val="clear" w:color="auto" w:fill="auto"/>
                  <w:noWrap/>
                  <w:vAlign w:val="center"/>
                  <w:hideMark/>
                </w:tcPr>
                <w:p w14:paraId="247DC1DD"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b/>
                      <w:bCs/>
                      <w:color w:val="000000"/>
                      <w:sz w:val="20"/>
                      <w:szCs w:val="20"/>
                    </w:rPr>
                    <w:t>-5,2</w:t>
                  </w:r>
                </w:p>
              </w:tc>
              <w:tc>
                <w:tcPr>
                  <w:tcW w:w="826" w:type="dxa"/>
                  <w:tcBorders>
                    <w:top w:val="nil"/>
                    <w:left w:val="nil"/>
                    <w:bottom w:val="nil"/>
                    <w:right w:val="nil"/>
                  </w:tcBorders>
                  <w:shd w:val="clear" w:color="auto" w:fill="auto"/>
                  <w:noWrap/>
                  <w:vAlign w:val="center"/>
                  <w:hideMark/>
                </w:tcPr>
                <w:p w14:paraId="0782FF8C"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b/>
                      <w:bCs/>
                      <w:color w:val="000000"/>
                      <w:sz w:val="20"/>
                      <w:szCs w:val="20"/>
                    </w:rPr>
                    <w:t>-1,7</w:t>
                  </w:r>
                </w:p>
              </w:tc>
              <w:tc>
                <w:tcPr>
                  <w:tcW w:w="742" w:type="dxa"/>
                  <w:tcBorders>
                    <w:top w:val="nil"/>
                    <w:left w:val="nil"/>
                    <w:bottom w:val="nil"/>
                    <w:right w:val="nil"/>
                  </w:tcBorders>
                  <w:shd w:val="clear" w:color="auto" w:fill="auto"/>
                  <w:noWrap/>
                  <w:vAlign w:val="center"/>
                  <w:hideMark/>
                </w:tcPr>
                <w:p w14:paraId="4792638B"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b/>
                      <w:bCs/>
                      <w:color w:val="000000"/>
                      <w:sz w:val="20"/>
                      <w:szCs w:val="20"/>
                    </w:rPr>
                    <w:t>-4,9</w:t>
                  </w:r>
                </w:p>
              </w:tc>
              <w:tc>
                <w:tcPr>
                  <w:tcW w:w="728" w:type="dxa"/>
                  <w:tcBorders>
                    <w:top w:val="nil"/>
                    <w:left w:val="nil"/>
                    <w:bottom w:val="nil"/>
                    <w:right w:val="nil"/>
                  </w:tcBorders>
                  <w:shd w:val="clear" w:color="auto" w:fill="auto"/>
                  <w:noWrap/>
                  <w:vAlign w:val="center"/>
                  <w:hideMark/>
                </w:tcPr>
                <w:p w14:paraId="5601A27D"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FF0000"/>
                      <w:sz w:val="20"/>
                      <w:szCs w:val="20"/>
                    </w:rPr>
                    <w:t>-3,2</w:t>
                  </w:r>
                </w:p>
              </w:tc>
              <w:tc>
                <w:tcPr>
                  <w:tcW w:w="1453" w:type="dxa"/>
                  <w:tcBorders>
                    <w:top w:val="nil"/>
                    <w:left w:val="single" w:sz="4" w:space="0" w:color="auto"/>
                    <w:bottom w:val="nil"/>
                    <w:right w:val="nil"/>
                  </w:tcBorders>
                  <w:shd w:val="clear" w:color="auto" w:fill="auto"/>
                  <w:noWrap/>
                  <w:vAlign w:val="center"/>
                  <w:hideMark/>
                </w:tcPr>
                <w:p w14:paraId="17C36AD5" w14:textId="77777777" w:rsidR="00087221" w:rsidRPr="00087221" w:rsidRDefault="00087221" w:rsidP="00E71244">
                  <w:pPr>
                    <w:spacing w:after="0" w:line="240" w:lineRule="auto"/>
                    <w:rPr>
                      <w:sz w:val="20"/>
                      <w:szCs w:val="20"/>
                      <w:lang w:eastAsia="sk-SK"/>
                    </w:rPr>
                  </w:pPr>
                  <w:r w:rsidRPr="00087221">
                    <w:rPr>
                      <w:sz w:val="20"/>
                      <w:szCs w:val="20"/>
                    </w:rPr>
                    <w:t>Rakúsko</w:t>
                  </w:r>
                </w:p>
              </w:tc>
              <w:tc>
                <w:tcPr>
                  <w:tcW w:w="843" w:type="dxa"/>
                  <w:tcBorders>
                    <w:top w:val="nil"/>
                    <w:left w:val="nil"/>
                    <w:bottom w:val="nil"/>
                    <w:right w:val="nil"/>
                  </w:tcBorders>
                  <w:shd w:val="clear" w:color="auto" w:fill="auto"/>
                  <w:noWrap/>
                  <w:vAlign w:val="center"/>
                  <w:hideMark/>
                </w:tcPr>
                <w:p w14:paraId="3EE6238D"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82,5</w:t>
                  </w:r>
                </w:p>
              </w:tc>
              <w:tc>
                <w:tcPr>
                  <w:tcW w:w="843" w:type="dxa"/>
                  <w:tcBorders>
                    <w:top w:val="nil"/>
                    <w:left w:val="nil"/>
                    <w:bottom w:val="nil"/>
                    <w:right w:val="nil"/>
                  </w:tcBorders>
                  <w:shd w:val="clear" w:color="auto" w:fill="auto"/>
                  <w:noWrap/>
                  <w:vAlign w:val="center"/>
                  <w:hideMark/>
                </w:tcPr>
                <w:p w14:paraId="1DEEBE94"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78,4</w:t>
                  </w:r>
                </w:p>
              </w:tc>
              <w:tc>
                <w:tcPr>
                  <w:tcW w:w="864" w:type="dxa"/>
                  <w:tcBorders>
                    <w:top w:val="nil"/>
                    <w:left w:val="nil"/>
                    <w:bottom w:val="nil"/>
                    <w:right w:val="nil"/>
                  </w:tcBorders>
                  <w:shd w:val="clear" w:color="auto" w:fill="auto"/>
                  <w:noWrap/>
                  <w:vAlign w:val="center"/>
                  <w:hideMark/>
                </w:tcPr>
                <w:p w14:paraId="6B11EBE2"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77,8</w:t>
                  </w:r>
                </w:p>
              </w:tc>
              <w:tc>
                <w:tcPr>
                  <w:tcW w:w="799" w:type="dxa"/>
                  <w:tcBorders>
                    <w:top w:val="nil"/>
                    <w:left w:val="nil"/>
                    <w:bottom w:val="nil"/>
                    <w:right w:val="single" w:sz="4" w:space="0" w:color="auto"/>
                  </w:tcBorders>
                  <w:shd w:val="clear" w:color="auto" w:fill="auto"/>
                  <w:noWrap/>
                  <w:vAlign w:val="center"/>
                  <w:hideMark/>
                </w:tcPr>
                <w:p w14:paraId="29933F2E" w14:textId="77777777" w:rsidR="00087221" w:rsidRPr="00087221" w:rsidRDefault="00087221" w:rsidP="00E71244">
                  <w:pPr>
                    <w:tabs>
                      <w:tab w:val="decimal" w:pos="230"/>
                    </w:tabs>
                    <w:spacing w:after="0" w:line="240" w:lineRule="auto"/>
                    <w:ind w:right="32" w:firstLineChars="100" w:firstLine="200"/>
                    <w:jc w:val="right"/>
                    <w:rPr>
                      <w:color w:val="00B050"/>
                      <w:sz w:val="20"/>
                      <w:szCs w:val="20"/>
                      <w:lang w:eastAsia="sk-SK"/>
                    </w:rPr>
                  </w:pPr>
                  <w:r w:rsidRPr="00087221">
                    <w:rPr>
                      <w:color w:val="00B050"/>
                      <w:sz w:val="20"/>
                      <w:szCs w:val="20"/>
                    </w:rPr>
                    <w:t>-0,6</w:t>
                  </w:r>
                </w:p>
              </w:tc>
            </w:tr>
            <w:tr w:rsidR="00087221" w:rsidRPr="00087221" w14:paraId="5B02F87B"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36C49C62" w14:textId="77777777" w:rsidR="00087221" w:rsidRPr="00087221" w:rsidRDefault="00087221" w:rsidP="00E71244">
                  <w:pPr>
                    <w:spacing w:after="0" w:line="240" w:lineRule="auto"/>
                    <w:rPr>
                      <w:sz w:val="20"/>
                      <w:szCs w:val="20"/>
                      <w:lang w:eastAsia="sk-SK"/>
                    </w:rPr>
                  </w:pPr>
                  <w:r w:rsidRPr="00087221">
                    <w:rPr>
                      <w:sz w:val="20"/>
                      <w:szCs w:val="20"/>
                    </w:rPr>
                    <w:t>Belgicko</w:t>
                  </w:r>
                </w:p>
              </w:tc>
              <w:tc>
                <w:tcPr>
                  <w:tcW w:w="764" w:type="dxa"/>
                  <w:tcBorders>
                    <w:top w:val="nil"/>
                    <w:left w:val="nil"/>
                    <w:bottom w:val="nil"/>
                    <w:right w:val="nil"/>
                  </w:tcBorders>
                  <w:shd w:val="clear" w:color="auto" w:fill="auto"/>
                  <w:noWrap/>
                  <w:vAlign w:val="center"/>
                  <w:hideMark/>
                </w:tcPr>
                <w:p w14:paraId="2FB03332"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-5,4</w:t>
                  </w:r>
                </w:p>
              </w:tc>
              <w:tc>
                <w:tcPr>
                  <w:tcW w:w="826" w:type="dxa"/>
                  <w:tcBorders>
                    <w:top w:val="nil"/>
                    <w:left w:val="nil"/>
                    <w:bottom w:val="nil"/>
                    <w:right w:val="nil"/>
                  </w:tcBorders>
                  <w:shd w:val="clear" w:color="auto" w:fill="auto"/>
                  <w:noWrap/>
                  <w:vAlign w:val="center"/>
                  <w:hideMark/>
                </w:tcPr>
                <w:p w14:paraId="15A8C59B"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-3,6</w:t>
                  </w:r>
                </w:p>
              </w:tc>
              <w:tc>
                <w:tcPr>
                  <w:tcW w:w="742" w:type="dxa"/>
                  <w:tcBorders>
                    <w:top w:val="nil"/>
                    <w:left w:val="nil"/>
                    <w:bottom w:val="nil"/>
                    <w:right w:val="nil"/>
                  </w:tcBorders>
                  <w:shd w:val="clear" w:color="auto" w:fill="auto"/>
                  <w:noWrap/>
                  <w:vAlign w:val="center"/>
                  <w:hideMark/>
                </w:tcPr>
                <w:p w14:paraId="06B186E1"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-4,4</w:t>
                  </w:r>
                </w:p>
              </w:tc>
              <w:tc>
                <w:tcPr>
                  <w:tcW w:w="728" w:type="dxa"/>
                  <w:tcBorders>
                    <w:top w:val="nil"/>
                    <w:left w:val="nil"/>
                    <w:bottom w:val="nil"/>
                    <w:right w:val="nil"/>
                  </w:tcBorders>
                  <w:shd w:val="clear" w:color="auto" w:fill="auto"/>
                  <w:noWrap/>
                  <w:vAlign w:val="center"/>
                  <w:hideMark/>
                </w:tcPr>
                <w:p w14:paraId="639028B9"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FF0000"/>
                      <w:sz w:val="20"/>
                      <w:szCs w:val="20"/>
                    </w:rPr>
                    <w:t>-0,8</w:t>
                  </w:r>
                </w:p>
              </w:tc>
              <w:tc>
                <w:tcPr>
                  <w:tcW w:w="1453" w:type="dxa"/>
                  <w:tcBorders>
                    <w:top w:val="nil"/>
                    <w:left w:val="single" w:sz="4" w:space="0" w:color="auto"/>
                    <w:bottom w:val="nil"/>
                    <w:right w:val="nil"/>
                  </w:tcBorders>
                  <w:shd w:val="clear" w:color="auto" w:fill="auto"/>
                  <w:noWrap/>
                  <w:vAlign w:val="center"/>
                  <w:hideMark/>
                </w:tcPr>
                <w:p w14:paraId="2C7729E2" w14:textId="77777777" w:rsidR="00087221" w:rsidRPr="00087221" w:rsidRDefault="00087221" w:rsidP="00E71244">
                  <w:pPr>
                    <w:spacing w:after="0" w:line="240" w:lineRule="auto"/>
                    <w:rPr>
                      <w:sz w:val="20"/>
                      <w:szCs w:val="20"/>
                      <w:lang w:eastAsia="sk-SK"/>
                    </w:rPr>
                  </w:pPr>
                  <w:r w:rsidRPr="00087221">
                    <w:rPr>
                      <w:sz w:val="20"/>
                      <w:szCs w:val="20"/>
                    </w:rPr>
                    <w:t>Cyprus</w:t>
                  </w:r>
                </w:p>
              </w:tc>
              <w:tc>
                <w:tcPr>
                  <w:tcW w:w="843" w:type="dxa"/>
                  <w:tcBorders>
                    <w:top w:val="nil"/>
                    <w:left w:val="nil"/>
                    <w:bottom w:val="nil"/>
                    <w:right w:val="nil"/>
                  </w:tcBorders>
                  <w:shd w:val="clear" w:color="auto" w:fill="auto"/>
                  <w:noWrap/>
                  <w:vAlign w:val="center"/>
                  <w:hideMark/>
                </w:tcPr>
                <w:p w14:paraId="728E936C"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99,3</w:t>
                  </w:r>
                </w:p>
              </w:tc>
              <w:tc>
                <w:tcPr>
                  <w:tcW w:w="843" w:type="dxa"/>
                  <w:tcBorders>
                    <w:top w:val="nil"/>
                    <w:left w:val="nil"/>
                    <w:bottom w:val="nil"/>
                    <w:right w:val="nil"/>
                  </w:tcBorders>
                  <w:shd w:val="clear" w:color="auto" w:fill="auto"/>
                  <w:noWrap/>
                  <w:vAlign w:val="center"/>
                  <w:hideMark/>
                </w:tcPr>
                <w:p w14:paraId="62BA8BA5"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85,6</w:t>
                  </w:r>
                </w:p>
              </w:tc>
              <w:tc>
                <w:tcPr>
                  <w:tcW w:w="864" w:type="dxa"/>
                  <w:tcBorders>
                    <w:top w:val="nil"/>
                    <w:left w:val="nil"/>
                    <w:bottom w:val="nil"/>
                    <w:right w:val="nil"/>
                  </w:tcBorders>
                  <w:shd w:val="clear" w:color="auto" w:fill="auto"/>
                  <w:noWrap/>
                  <w:vAlign w:val="center"/>
                  <w:hideMark/>
                </w:tcPr>
                <w:p w14:paraId="298C2B0F"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77,3</w:t>
                  </w:r>
                </w:p>
              </w:tc>
              <w:tc>
                <w:tcPr>
                  <w:tcW w:w="799" w:type="dxa"/>
                  <w:tcBorders>
                    <w:top w:val="nil"/>
                    <w:left w:val="nil"/>
                    <w:bottom w:val="nil"/>
                    <w:right w:val="single" w:sz="4" w:space="0" w:color="auto"/>
                  </w:tcBorders>
                  <w:shd w:val="clear" w:color="auto" w:fill="auto"/>
                  <w:noWrap/>
                  <w:vAlign w:val="center"/>
                  <w:hideMark/>
                </w:tcPr>
                <w:p w14:paraId="015CAA6E" w14:textId="77777777" w:rsidR="00087221" w:rsidRPr="00087221" w:rsidRDefault="00087221" w:rsidP="00E71244">
                  <w:pPr>
                    <w:tabs>
                      <w:tab w:val="decimal" w:pos="230"/>
                    </w:tabs>
                    <w:spacing w:after="0" w:line="240" w:lineRule="auto"/>
                    <w:ind w:right="32" w:firstLineChars="100" w:firstLine="200"/>
                    <w:jc w:val="right"/>
                    <w:rPr>
                      <w:color w:val="00B050"/>
                      <w:sz w:val="20"/>
                      <w:szCs w:val="20"/>
                      <w:lang w:eastAsia="sk-SK"/>
                    </w:rPr>
                  </w:pPr>
                  <w:r w:rsidRPr="00087221">
                    <w:rPr>
                      <w:color w:val="00B050"/>
                      <w:sz w:val="20"/>
                      <w:szCs w:val="20"/>
                    </w:rPr>
                    <w:t>-8,3</w:t>
                  </w:r>
                </w:p>
              </w:tc>
            </w:tr>
            <w:tr w:rsidR="00087221" w:rsidRPr="00087221" w14:paraId="3754991A"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1C035B35" w14:textId="77777777" w:rsidR="00087221" w:rsidRPr="00087221" w:rsidRDefault="00087221" w:rsidP="00E71244">
                  <w:pPr>
                    <w:spacing w:after="0" w:line="240" w:lineRule="auto"/>
                    <w:rPr>
                      <w:sz w:val="20"/>
                      <w:szCs w:val="20"/>
                      <w:lang w:eastAsia="sk-SK"/>
                    </w:rPr>
                  </w:pPr>
                  <w:r w:rsidRPr="00087221">
                    <w:rPr>
                      <w:sz w:val="20"/>
                      <w:szCs w:val="20"/>
                    </w:rPr>
                    <w:t>Česká republika</w:t>
                  </w:r>
                </w:p>
              </w:tc>
              <w:tc>
                <w:tcPr>
                  <w:tcW w:w="764" w:type="dxa"/>
                  <w:tcBorders>
                    <w:top w:val="nil"/>
                    <w:left w:val="nil"/>
                    <w:bottom w:val="nil"/>
                    <w:right w:val="nil"/>
                  </w:tcBorders>
                  <w:shd w:val="clear" w:color="auto" w:fill="auto"/>
                  <w:noWrap/>
                  <w:vAlign w:val="center"/>
                  <w:hideMark/>
                </w:tcPr>
                <w:p w14:paraId="47CEBAFF"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-5,1</w:t>
                  </w:r>
                </w:p>
              </w:tc>
              <w:tc>
                <w:tcPr>
                  <w:tcW w:w="826" w:type="dxa"/>
                  <w:tcBorders>
                    <w:top w:val="nil"/>
                    <w:left w:val="nil"/>
                    <w:bottom w:val="nil"/>
                    <w:right w:val="nil"/>
                  </w:tcBorders>
                  <w:shd w:val="clear" w:color="auto" w:fill="auto"/>
                  <w:noWrap/>
                  <w:vAlign w:val="center"/>
                  <w:hideMark/>
                </w:tcPr>
                <w:p w14:paraId="60E8B20F"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-3,2</w:t>
                  </w:r>
                </w:p>
              </w:tc>
              <w:tc>
                <w:tcPr>
                  <w:tcW w:w="742" w:type="dxa"/>
                  <w:tcBorders>
                    <w:top w:val="nil"/>
                    <w:left w:val="nil"/>
                    <w:bottom w:val="nil"/>
                    <w:right w:val="nil"/>
                  </w:tcBorders>
                  <w:shd w:val="clear" w:color="auto" w:fill="auto"/>
                  <w:noWrap/>
                  <w:vAlign w:val="center"/>
                  <w:hideMark/>
                </w:tcPr>
                <w:p w14:paraId="5A03D917"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-3,7</w:t>
                  </w:r>
                </w:p>
              </w:tc>
              <w:tc>
                <w:tcPr>
                  <w:tcW w:w="728" w:type="dxa"/>
                  <w:tcBorders>
                    <w:top w:val="nil"/>
                    <w:left w:val="nil"/>
                    <w:bottom w:val="nil"/>
                    <w:right w:val="nil"/>
                  </w:tcBorders>
                  <w:shd w:val="clear" w:color="auto" w:fill="auto"/>
                  <w:noWrap/>
                  <w:vAlign w:val="center"/>
                  <w:hideMark/>
                </w:tcPr>
                <w:p w14:paraId="60AC39EB"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FF0000"/>
                      <w:sz w:val="20"/>
                      <w:szCs w:val="20"/>
                    </w:rPr>
                    <w:t>-0,5</w:t>
                  </w:r>
                </w:p>
              </w:tc>
              <w:tc>
                <w:tcPr>
                  <w:tcW w:w="1453" w:type="dxa"/>
                  <w:tcBorders>
                    <w:top w:val="nil"/>
                    <w:left w:val="single" w:sz="4" w:space="0" w:color="auto"/>
                    <w:bottom w:val="nil"/>
                    <w:right w:val="nil"/>
                  </w:tcBorders>
                  <w:shd w:val="clear" w:color="auto" w:fill="auto"/>
                  <w:noWrap/>
                  <w:vAlign w:val="center"/>
                  <w:hideMark/>
                </w:tcPr>
                <w:p w14:paraId="4A36E228" w14:textId="77777777" w:rsidR="00087221" w:rsidRPr="00087221" w:rsidRDefault="00087221" w:rsidP="00E71244">
                  <w:pPr>
                    <w:spacing w:after="0" w:line="240" w:lineRule="auto"/>
                    <w:rPr>
                      <w:sz w:val="20"/>
                      <w:szCs w:val="20"/>
                      <w:lang w:eastAsia="sk-SK"/>
                    </w:rPr>
                  </w:pPr>
                  <w:r w:rsidRPr="00087221">
                    <w:rPr>
                      <w:sz w:val="20"/>
                      <w:szCs w:val="20"/>
                    </w:rPr>
                    <w:t>Fínsko</w:t>
                  </w:r>
                </w:p>
              </w:tc>
              <w:tc>
                <w:tcPr>
                  <w:tcW w:w="843" w:type="dxa"/>
                  <w:tcBorders>
                    <w:top w:val="nil"/>
                    <w:left w:val="nil"/>
                    <w:bottom w:val="nil"/>
                    <w:right w:val="nil"/>
                  </w:tcBorders>
                  <w:shd w:val="clear" w:color="auto" w:fill="auto"/>
                  <w:noWrap/>
                  <w:vAlign w:val="center"/>
                  <w:hideMark/>
                </w:tcPr>
                <w:p w14:paraId="368F070D"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72,6</w:t>
                  </w:r>
                </w:p>
              </w:tc>
              <w:tc>
                <w:tcPr>
                  <w:tcW w:w="843" w:type="dxa"/>
                  <w:tcBorders>
                    <w:top w:val="nil"/>
                    <w:left w:val="nil"/>
                    <w:bottom w:val="nil"/>
                    <w:right w:val="nil"/>
                  </w:tcBorders>
                  <w:shd w:val="clear" w:color="auto" w:fill="auto"/>
                  <w:noWrap/>
                  <w:vAlign w:val="center"/>
                  <w:hideMark/>
                </w:tcPr>
                <w:p w14:paraId="280E547E"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73,5</w:t>
                  </w:r>
                </w:p>
              </w:tc>
              <w:tc>
                <w:tcPr>
                  <w:tcW w:w="864" w:type="dxa"/>
                  <w:tcBorders>
                    <w:top w:val="nil"/>
                    <w:left w:val="nil"/>
                    <w:bottom w:val="nil"/>
                    <w:right w:val="nil"/>
                  </w:tcBorders>
                  <w:shd w:val="clear" w:color="auto" w:fill="auto"/>
                  <w:noWrap/>
                  <w:vAlign w:val="center"/>
                  <w:hideMark/>
                </w:tcPr>
                <w:p w14:paraId="48CC2649"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75,8</w:t>
                  </w:r>
                </w:p>
              </w:tc>
              <w:tc>
                <w:tcPr>
                  <w:tcW w:w="799" w:type="dxa"/>
                  <w:tcBorders>
                    <w:top w:val="nil"/>
                    <w:left w:val="nil"/>
                    <w:bottom w:val="nil"/>
                    <w:right w:val="single" w:sz="4" w:space="0" w:color="auto"/>
                  </w:tcBorders>
                  <w:shd w:val="clear" w:color="auto" w:fill="auto"/>
                  <w:noWrap/>
                  <w:vAlign w:val="center"/>
                  <w:hideMark/>
                </w:tcPr>
                <w:p w14:paraId="5AE5A76B" w14:textId="77777777" w:rsidR="00087221" w:rsidRPr="00087221" w:rsidRDefault="00087221" w:rsidP="00E71244">
                  <w:pPr>
                    <w:tabs>
                      <w:tab w:val="decimal" w:pos="230"/>
                    </w:tabs>
                    <w:spacing w:after="0" w:line="240" w:lineRule="auto"/>
                    <w:ind w:right="32" w:firstLineChars="100" w:firstLine="200"/>
                    <w:jc w:val="right"/>
                    <w:rPr>
                      <w:color w:val="00B050"/>
                      <w:sz w:val="20"/>
                      <w:szCs w:val="20"/>
                      <w:lang w:eastAsia="sk-SK"/>
                    </w:rPr>
                  </w:pPr>
                  <w:r w:rsidRPr="00087221">
                    <w:rPr>
                      <w:color w:val="FF0000"/>
                      <w:sz w:val="20"/>
                      <w:szCs w:val="20"/>
                    </w:rPr>
                    <w:t>2,3</w:t>
                  </w:r>
                </w:p>
              </w:tc>
            </w:tr>
            <w:tr w:rsidR="00087221" w:rsidRPr="00087221" w14:paraId="6AE7B550"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43823D22" w14:textId="77777777" w:rsidR="00087221" w:rsidRPr="00087221" w:rsidRDefault="00087221" w:rsidP="00E71244">
                  <w:pPr>
                    <w:spacing w:after="0" w:line="240" w:lineRule="auto"/>
                    <w:rPr>
                      <w:sz w:val="20"/>
                      <w:szCs w:val="20"/>
                      <w:lang w:eastAsia="sk-SK"/>
                    </w:rPr>
                  </w:pPr>
                  <w:r w:rsidRPr="00087221">
                    <w:rPr>
                      <w:sz w:val="20"/>
                      <w:szCs w:val="20"/>
                    </w:rPr>
                    <w:t>Španielsko</w:t>
                  </w:r>
                </w:p>
              </w:tc>
              <w:tc>
                <w:tcPr>
                  <w:tcW w:w="764" w:type="dxa"/>
                  <w:tcBorders>
                    <w:top w:val="nil"/>
                    <w:left w:val="nil"/>
                    <w:bottom w:val="nil"/>
                    <w:right w:val="nil"/>
                  </w:tcBorders>
                  <w:shd w:val="clear" w:color="auto" w:fill="auto"/>
                  <w:noWrap/>
                  <w:vAlign w:val="center"/>
                  <w:hideMark/>
                </w:tcPr>
                <w:p w14:paraId="76700E26"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-6,7</w:t>
                  </w:r>
                </w:p>
              </w:tc>
              <w:tc>
                <w:tcPr>
                  <w:tcW w:w="826" w:type="dxa"/>
                  <w:tcBorders>
                    <w:top w:val="nil"/>
                    <w:left w:val="nil"/>
                    <w:bottom w:val="nil"/>
                    <w:right w:val="nil"/>
                  </w:tcBorders>
                  <w:shd w:val="clear" w:color="auto" w:fill="auto"/>
                  <w:noWrap/>
                  <w:vAlign w:val="center"/>
                  <w:hideMark/>
                </w:tcPr>
                <w:p w14:paraId="43DBCEFA"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-4,7</w:t>
                  </w:r>
                </w:p>
              </w:tc>
              <w:tc>
                <w:tcPr>
                  <w:tcW w:w="742" w:type="dxa"/>
                  <w:tcBorders>
                    <w:top w:val="nil"/>
                    <w:left w:val="nil"/>
                    <w:bottom w:val="nil"/>
                    <w:right w:val="nil"/>
                  </w:tcBorders>
                  <w:shd w:val="clear" w:color="auto" w:fill="auto"/>
                  <w:noWrap/>
                  <w:vAlign w:val="center"/>
                  <w:hideMark/>
                </w:tcPr>
                <w:p w14:paraId="62A01A5F"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-3,6</w:t>
                  </w:r>
                </w:p>
              </w:tc>
              <w:tc>
                <w:tcPr>
                  <w:tcW w:w="728" w:type="dxa"/>
                  <w:tcBorders>
                    <w:top w:val="nil"/>
                    <w:left w:val="nil"/>
                    <w:bottom w:val="nil"/>
                    <w:right w:val="nil"/>
                  </w:tcBorders>
                  <w:shd w:val="clear" w:color="auto" w:fill="auto"/>
                  <w:noWrap/>
                  <w:vAlign w:val="center"/>
                  <w:hideMark/>
                </w:tcPr>
                <w:p w14:paraId="33208847"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00B050"/>
                      <w:sz w:val="20"/>
                      <w:szCs w:val="20"/>
                    </w:rPr>
                    <w:t>1,1</w:t>
                  </w:r>
                </w:p>
              </w:tc>
              <w:tc>
                <w:tcPr>
                  <w:tcW w:w="1453" w:type="dxa"/>
                  <w:tcBorders>
                    <w:top w:val="nil"/>
                    <w:left w:val="single" w:sz="4" w:space="0" w:color="auto"/>
                    <w:bottom w:val="nil"/>
                    <w:right w:val="nil"/>
                  </w:tcBorders>
                  <w:shd w:val="clear" w:color="auto" w:fill="auto"/>
                  <w:noWrap/>
                  <w:vAlign w:val="center"/>
                  <w:hideMark/>
                </w:tcPr>
                <w:p w14:paraId="0218D680" w14:textId="77777777" w:rsidR="00087221" w:rsidRPr="00087221" w:rsidRDefault="00087221" w:rsidP="00E71244">
                  <w:pPr>
                    <w:spacing w:after="0" w:line="240" w:lineRule="auto"/>
                    <w:rPr>
                      <w:sz w:val="20"/>
                      <w:szCs w:val="20"/>
                      <w:lang w:eastAsia="sk-SK"/>
                    </w:rPr>
                  </w:pPr>
                  <w:r w:rsidRPr="00087221">
                    <w:rPr>
                      <w:sz w:val="20"/>
                      <w:szCs w:val="20"/>
                    </w:rPr>
                    <w:t>Maďarsko</w:t>
                  </w:r>
                </w:p>
              </w:tc>
              <w:tc>
                <w:tcPr>
                  <w:tcW w:w="843" w:type="dxa"/>
                  <w:tcBorders>
                    <w:top w:val="nil"/>
                    <w:left w:val="nil"/>
                    <w:bottom w:val="nil"/>
                    <w:right w:val="nil"/>
                  </w:tcBorders>
                  <w:shd w:val="clear" w:color="auto" w:fill="auto"/>
                  <w:noWrap/>
                  <w:vAlign w:val="center"/>
                  <w:hideMark/>
                </w:tcPr>
                <w:p w14:paraId="0DE9A3A7"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76,7</w:t>
                  </w:r>
                </w:p>
              </w:tc>
              <w:tc>
                <w:tcPr>
                  <w:tcW w:w="843" w:type="dxa"/>
                  <w:tcBorders>
                    <w:top w:val="nil"/>
                    <w:left w:val="nil"/>
                    <w:bottom w:val="nil"/>
                    <w:right w:val="nil"/>
                  </w:tcBorders>
                  <w:shd w:val="clear" w:color="auto" w:fill="auto"/>
                  <w:noWrap/>
                  <w:vAlign w:val="center"/>
                  <w:hideMark/>
                </w:tcPr>
                <w:p w14:paraId="5737E528"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74,1</w:t>
                  </w:r>
                </w:p>
              </w:tc>
              <w:tc>
                <w:tcPr>
                  <w:tcW w:w="864" w:type="dxa"/>
                  <w:tcBorders>
                    <w:top w:val="nil"/>
                    <w:left w:val="nil"/>
                    <w:bottom w:val="nil"/>
                    <w:right w:val="nil"/>
                  </w:tcBorders>
                  <w:shd w:val="clear" w:color="auto" w:fill="auto"/>
                  <w:noWrap/>
                  <w:vAlign w:val="center"/>
                  <w:hideMark/>
                </w:tcPr>
                <w:p w14:paraId="165F15D0"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73,5</w:t>
                  </w:r>
                </w:p>
              </w:tc>
              <w:tc>
                <w:tcPr>
                  <w:tcW w:w="799" w:type="dxa"/>
                  <w:tcBorders>
                    <w:top w:val="nil"/>
                    <w:left w:val="nil"/>
                    <w:bottom w:val="nil"/>
                    <w:right w:val="single" w:sz="4" w:space="0" w:color="auto"/>
                  </w:tcBorders>
                  <w:shd w:val="clear" w:color="auto" w:fill="auto"/>
                  <w:noWrap/>
                  <w:vAlign w:val="center"/>
                  <w:hideMark/>
                </w:tcPr>
                <w:p w14:paraId="58D47DB7" w14:textId="77777777" w:rsidR="00087221" w:rsidRPr="00087221" w:rsidRDefault="00087221" w:rsidP="00E71244">
                  <w:pPr>
                    <w:tabs>
                      <w:tab w:val="decimal" w:pos="230"/>
                    </w:tabs>
                    <w:spacing w:after="0" w:line="240" w:lineRule="auto"/>
                    <w:ind w:right="32" w:firstLineChars="100" w:firstLine="200"/>
                    <w:jc w:val="right"/>
                    <w:rPr>
                      <w:color w:val="00B050"/>
                      <w:sz w:val="20"/>
                      <w:szCs w:val="20"/>
                      <w:lang w:eastAsia="sk-SK"/>
                    </w:rPr>
                  </w:pPr>
                  <w:r w:rsidRPr="00087221">
                    <w:rPr>
                      <w:color w:val="00B050"/>
                      <w:sz w:val="20"/>
                      <w:szCs w:val="20"/>
                    </w:rPr>
                    <w:t>-0,6</w:t>
                  </w:r>
                </w:p>
              </w:tc>
            </w:tr>
            <w:tr w:rsidR="00087221" w:rsidRPr="00087221" w14:paraId="78448C6C"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5623A41D" w14:textId="77777777" w:rsidR="00087221" w:rsidRPr="00087221" w:rsidRDefault="00087221" w:rsidP="00E71244">
                  <w:pPr>
                    <w:spacing w:after="0" w:line="240" w:lineRule="auto"/>
                    <w:rPr>
                      <w:b/>
                      <w:bCs/>
                      <w:sz w:val="20"/>
                      <w:szCs w:val="20"/>
                      <w:lang w:eastAsia="sk-SK"/>
                    </w:rPr>
                  </w:pPr>
                  <w:r w:rsidRPr="00087221">
                    <w:rPr>
                      <w:sz w:val="20"/>
                      <w:szCs w:val="20"/>
                    </w:rPr>
                    <w:t>Estónsko</w:t>
                  </w:r>
                </w:p>
              </w:tc>
              <w:tc>
                <w:tcPr>
                  <w:tcW w:w="764" w:type="dxa"/>
                  <w:tcBorders>
                    <w:top w:val="nil"/>
                    <w:left w:val="nil"/>
                    <w:bottom w:val="nil"/>
                    <w:right w:val="nil"/>
                  </w:tcBorders>
                  <w:shd w:val="clear" w:color="auto" w:fill="auto"/>
                  <w:noWrap/>
                  <w:vAlign w:val="center"/>
                  <w:hideMark/>
                </w:tcPr>
                <w:p w14:paraId="305BD5A9" w14:textId="77777777" w:rsidR="00087221" w:rsidRPr="00087221" w:rsidRDefault="00087221" w:rsidP="00E71244">
                  <w:pPr>
                    <w:spacing w:after="0" w:line="240" w:lineRule="auto"/>
                    <w:ind w:firstLineChars="100" w:firstLine="200"/>
                    <w:jc w:val="right"/>
                    <w:rPr>
                      <w:b/>
                      <w:bCs/>
                      <w:color w:val="000000"/>
                      <w:sz w:val="20"/>
                      <w:szCs w:val="20"/>
                      <w:lang w:eastAsia="sk-SK"/>
                    </w:rPr>
                  </w:pPr>
                  <w:r w:rsidRPr="00087221">
                    <w:rPr>
                      <w:color w:val="000000"/>
                      <w:sz w:val="20"/>
                      <w:szCs w:val="20"/>
                    </w:rPr>
                    <w:t>-2,5</w:t>
                  </w:r>
                </w:p>
              </w:tc>
              <w:tc>
                <w:tcPr>
                  <w:tcW w:w="826" w:type="dxa"/>
                  <w:tcBorders>
                    <w:top w:val="nil"/>
                    <w:left w:val="nil"/>
                    <w:bottom w:val="nil"/>
                    <w:right w:val="nil"/>
                  </w:tcBorders>
                  <w:shd w:val="clear" w:color="auto" w:fill="auto"/>
                  <w:noWrap/>
                  <w:vAlign w:val="center"/>
                  <w:hideMark/>
                </w:tcPr>
                <w:p w14:paraId="4E20882A" w14:textId="77777777" w:rsidR="00087221" w:rsidRPr="00087221" w:rsidRDefault="00087221" w:rsidP="00E71244">
                  <w:pPr>
                    <w:spacing w:after="0" w:line="240" w:lineRule="auto"/>
                    <w:ind w:firstLineChars="100" w:firstLine="200"/>
                    <w:jc w:val="right"/>
                    <w:rPr>
                      <w:b/>
                      <w:bCs/>
                      <w:color w:val="000000"/>
                      <w:sz w:val="20"/>
                      <w:szCs w:val="20"/>
                      <w:lang w:eastAsia="sk-SK"/>
                    </w:rPr>
                  </w:pPr>
                  <w:r w:rsidRPr="00087221">
                    <w:rPr>
                      <w:color w:val="000000"/>
                      <w:sz w:val="20"/>
                      <w:szCs w:val="20"/>
                    </w:rPr>
                    <w:t>-1,0</w:t>
                  </w:r>
                </w:p>
              </w:tc>
              <w:tc>
                <w:tcPr>
                  <w:tcW w:w="742" w:type="dxa"/>
                  <w:tcBorders>
                    <w:top w:val="nil"/>
                    <w:left w:val="nil"/>
                    <w:bottom w:val="nil"/>
                    <w:right w:val="nil"/>
                  </w:tcBorders>
                  <w:shd w:val="clear" w:color="auto" w:fill="auto"/>
                  <w:noWrap/>
                  <w:vAlign w:val="center"/>
                  <w:hideMark/>
                </w:tcPr>
                <w:p w14:paraId="51148FF2" w14:textId="77777777" w:rsidR="00087221" w:rsidRPr="00087221" w:rsidRDefault="00087221" w:rsidP="00E71244">
                  <w:pPr>
                    <w:spacing w:after="0" w:line="240" w:lineRule="auto"/>
                    <w:ind w:firstLineChars="100" w:firstLine="200"/>
                    <w:jc w:val="right"/>
                    <w:rPr>
                      <w:b/>
                      <w:bCs/>
                      <w:color w:val="000000"/>
                      <w:sz w:val="20"/>
                      <w:szCs w:val="20"/>
                      <w:lang w:eastAsia="sk-SK"/>
                    </w:rPr>
                  </w:pPr>
                  <w:r w:rsidRPr="00087221">
                    <w:rPr>
                      <w:color w:val="000000"/>
                      <w:sz w:val="20"/>
                      <w:szCs w:val="20"/>
                    </w:rPr>
                    <w:t>-3,4</w:t>
                  </w:r>
                </w:p>
              </w:tc>
              <w:tc>
                <w:tcPr>
                  <w:tcW w:w="728" w:type="dxa"/>
                  <w:tcBorders>
                    <w:top w:val="nil"/>
                    <w:left w:val="nil"/>
                    <w:bottom w:val="nil"/>
                    <w:right w:val="nil"/>
                  </w:tcBorders>
                  <w:shd w:val="clear" w:color="auto" w:fill="auto"/>
                  <w:noWrap/>
                  <w:vAlign w:val="center"/>
                  <w:hideMark/>
                </w:tcPr>
                <w:p w14:paraId="1CE304D8" w14:textId="77777777" w:rsidR="00087221" w:rsidRPr="00087221" w:rsidRDefault="00087221" w:rsidP="00E71244">
                  <w:pPr>
                    <w:spacing w:after="0" w:line="240" w:lineRule="auto"/>
                    <w:ind w:firstLineChars="100" w:firstLine="200"/>
                    <w:jc w:val="center"/>
                    <w:rPr>
                      <w:b/>
                      <w:color w:val="FF0000"/>
                      <w:sz w:val="20"/>
                      <w:szCs w:val="20"/>
                      <w:lang w:eastAsia="sk-SK"/>
                    </w:rPr>
                  </w:pPr>
                  <w:r w:rsidRPr="00087221">
                    <w:rPr>
                      <w:color w:val="FF0000"/>
                      <w:sz w:val="20"/>
                      <w:szCs w:val="20"/>
                    </w:rPr>
                    <w:t>-2,4</w:t>
                  </w:r>
                </w:p>
              </w:tc>
              <w:tc>
                <w:tcPr>
                  <w:tcW w:w="1453" w:type="dxa"/>
                  <w:tcBorders>
                    <w:top w:val="nil"/>
                    <w:left w:val="single" w:sz="4" w:space="0" w:color="auto"/>
                    <w:bottom w:val="nil"/>
                    <w:right w:val="nil"/>
                  </w:tcBorders>
                  <w:shd w:val="clear" w:color="auto" w:fill="auto"/>
                  <w:noWrap/>
                  <w:vAlign w:val="center"/>
                  <w:hideMark/>
                </w:tcPr>
                <w:p w14:paraId="4C3D8259" w14:textId="77777777" w:rsidR="00087221" w:rsidRPr="00087221" w:rsidRDefault="00087221" w:rsidP="00E71244">
                  <w:pPr>
                    <w:spacing w:after="0" w:line="240" w:lineRule="auto"/>
                    <w:rPr>
                      <w:sz w:val="20"/>
                      <w:szCs w:val="20"/>
                      <w:lang w:eastAsia="sk-SK"/>
                    </w:rPr>
                  </w:pPr>
                  <w:r w:rsidRPr="00087221">
                    <w:rPr>
                      <w:sz w:val="20"/>
                      <w:szCs w:val="20"/>
                    </w:rPr>
                    <w:t>Slovinsko</w:t>
                  </w:r>
                </w:p>
              </w:tc>
              <w:tc>
                <w:tcPr>
                  <w:tcW w:w="843" w:type="dxa"/>
                  <w:tcBorders>
                    <w:top w:val="nil"/>
                    <w:left w:val="nil"/>
                    <w:bottom w:val="nil"/>
                    <w:right w:val="nil"/>
                  </w:tcBorders>
                  <w:shd w:val="clear" w:color="auto" w:fill="auto"/>
                  <w:noWrap/>
                  <w:vAlign w:val="center"/>
                  <w:hideMark/>
                </w:tcPr>
                <w:p w14:paraId="6EBE6CCB"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74,4</w:t>
                  </w:r>
                </w:p>
              </w:tc>
              <w:tc>
                <w:tcPr>
                  <w:tcW w:w="843" w:type="dxa"/>
                  <w:tcBorders>
                    <w:top w:val="nil"/>
                    <w:left w:val="nil"/>
                    <w:bottom w:val="nil"/>
                    <w:right w:val="nil"/>
                  </w:tcBorders>
                  <w:shd w:val="clear" w:color="auto" w:fill="auto"/>
                  <w:noWrap/>
                  <w:vAlign w:val="center"/>
                  <w:hideMark/>
                </w:tcPr>
                <w:p w14:paraId="1A608722"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72,5</w:t>
                  </w:r>
                </w:p>
              </w:tc>
              <w:tc>
                <w:tcPr>
                  <w:tcW w:w="864" w:type="dxa"/>
                  <w:tcBorders>
                    <w:top w:val="nil"/>
                    <w:left w:val="nil"/>
                    <w:bottom w:val="nil"/>
                    <w:right w:val="nil"/>
                  </w:tcBorders>
                  <w:shd w:val="clear" w:color="auto" w:fill="auto"/>
                  <w:noWrap/>
                  <w:vAlign w:val="center"/>
                  <w:hideMark/>
                </w:tcPr>
                <w:p w14:paraId="042CDFAC"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69,2</w:t>
                  </w:r>
                </w:p>
              </w:tc>
              <w:tc>
                <w:tcPr>
                  <w:tcW w:w="799" w:type="dxa"/>
                  <w:tcBorders>
                    <w:top w:val="nil"/>
                    <w:left w:val="nil"/>
                    <w:bottom w:val="nil"/>
                    <w:right w:val="single" w:sz="4" w:space="0" w:color="auto"/>
                  </w:tcBorders>
                  <w:shd w:val="clear" w:color="auto" w:fill="auto"/>
                  <w:noWrap/>
                  <w:vAlign w:val="center"/>
                  <w:hideMark/>
                </w:tcPr>
                <w:p w14:paraId="488D856D" w14:textId="77777777" w:rsidR="00087221" w:rsidRPr="00087221" w:rsidRDefault="00087221" w:rsidP="00E71244">
                  <w:pPr>
                    <w:tabs>
                      <w:tab w:val="decimal" w:pos="230"/>
                    </w:tabs>
                    <w:spacing w:after="0" w:line="240" w:lineRule="auto"/>
                    <w:ind w:right="32" w:firstLineChars="100" w:firstLine="200"/>
                    <w:jc w:val="right"/>
                    <w:rPr>
                      <w:color w:val="00B050"/>
                      <w:sz w:val="20"/>
                      <w:szCs w:val="20"/>
                      <w:lang w:eastAsia="sk-SK"/>
                    </w:rPr>
                  </w:pPr>
                  <w:r w:rsidRPr="00087221">
                    <w:rPr>
                      <w:color w:val="00B050"/>
                      <w:sz w:val="20"/>
                      <w:szCs w:val="20"/>
                    </w:rPr>
                    <w:t>-3,3</w:t>
                  </w:r>
                </w:p>
              </w:tc>
            </w:tr>
            <w:tr w:rsidR="00087221" w:rsidRPr="00087221" w14:paraId="0752050E"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78CC05AA" w14:textId="77777777" w:rsidR="00087221" w:rsidRPr="00087221" w:rsidRDefault="00087221" w:rsidP="00E71244">
                  <w:pPr>
                    <w:spacing w:after="0" w:line="240" w:lineRule="auto"/>
                    <w:ind w:right="-81"/>
                    <w:rPr>
                      <w:sz w:val="20"/>
                      <w:szCs w:val="20"/>
                      <w:lang w:eastAsia="sk-SK"/>
                    </w:rPr>
                  </w:pPr>
                  <w:r w:rsidRPr="00087221">
                    <w:rPr>
                      <w:sz w:val="20"/>
                      <w:szCs w:val="20"/>
                    </w:rPr>
                    <w:t>Rakúsko</w:t>
                  </w:r>
                </w:p>
              </w:tc>
              <w:tc>
                <w:tcPr>
                  <w:tcW w:w="764" w:type="dxa"/>
                  <w:tcBorders>
                    <w:top w:val="nil"/>
                    <w:left w:val="nil"/>
                    <w:bottom w:val="nil"/>
                    <w:right w:val="nil"/>
                  </w:tcBorders>
                  <w:shd w:val="clear" w:color="auto" w:fill="auto"/>
                  <w:noWrap/>
                  <w:vAlign w:val="center"/>
                  <w:hideMark/>
                </w:tcPr>
                <w:p w14:paraId="46024378"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-5,8</w:t>
                  </w:r>
                </w:p>
              </w:tc>
              <w:tc>
                <w:tcPr>
                  <w:tcW w:w="826" w:type="dxa"/>
                  <w:tcBorders>
                    <w:top w:val="nil"/>
                    <w:left w:val="nil"/>
                    <w:bottom w:val="nil"/>
                    <w:right w:val="nil"/>
                  </w:tcBorders>
                  <w:shd w:val="clear" w:color="auto" w:fill="auto"/>
                  <w:noWrap/>
                  <w:vAlign w:val="center"/>
                  <w:hideMark/>
                </w:tcPr>
                <w:p w14:paraId="5FE31E0B"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-3,3</w:t>
                  </w:r>
                </w:p>
              </w:tc>
              <w:tc>
                <w:tcPr>
                  <w:tcW w:w="742" w:type="dxa"/>
                  <w:tcBorders>
                    <w:top w:val="nil"/>
                    <w:left w:val="nil"/>
                    <w:bottom w:val="nil"/>
                    <w:right w:val="nil"/>
                  </w:tcBorders>
                  <w:shd w:val="clear" w:color="auto" w:fill="auto"/>
                  <w:noWrap/>
                  <w:vAlign w:val="center"/>
                  <w:hideMark/>
                </w:tcPr>
                <w:p w14:paraId="270488D4"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-2,7</w:t>
                  </w:r>
                </w:p>
              </w:tc>
              <w:tc>
                <w:tcPr>
                  <w:tcW w:w="728" w:type="dxa"/>
                  <w:tcBorders>
                    <w:top w:val="nil"/>
                    <w:left w:val="nil"/>
                    <w:bottom w:val="nil"/>
                    <w:right w:val="nil"/>
                  </w:tcBorders>
                  <w:shd w:val="clear" w:color="auto" w:fill="auto"/>
                  <w:noWrap/>
                  <w:vAlign w:val="center"/>
                  <w:hideMark/>
                </w:tcPr>
                <w:p w14:paraId="7401F804"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00B050"/>
                      <w:sz w:val="20"/>
                      <w:szCs w:val="20"/>
                    </w:rPr>
                    <w:t>0,6</w:t>
                  </w:r>
                </w:p>
              </w:tc>
              <w:tc>
                <w:tcPr>
                  <w:tcW w:w="1453" w:type="dxa"/>
                  <w:tcBorders>
                    <w:top w:val="nil"/>
                    <w:left w:val="single" w:sz="4" w:space="0" w:color="auto"/>
                    <w:bottom w:val="nil"/>
                    <w:right w:val="nil"/>
                  </w:tcBorders>
                  <w:shd w:val="clear" w:color="auto" w:fill="auto"/>
                  <w:noWrap/>
                  <w:vAlign w:val="center"/>
                  <w:hideMark/>
                </w:tcPr>
                <w:p w14:paraId="0A94AAD7" w14:textId="77777777" w:rsidR="00087221" w:rsidRPr="00087221" w:rsidRDefault="00087221" w:rsidP="00E71244">
                  <w:pPr>
                    <w:spacing w:after="0" w:line="240" w:lineRule="auto"/>
                    <w:rPr>
                      <w:sz w:val="20"/>
                      <w:szCs w:val="20"/>
                      <w:lang w:eastAsia="sk-SK"/>
                    </w:rPr>
                  </w:pPr>
                  <w:r w:rsidRPr="00087221">
                    <w:rPr>
                      <w:sz w:val="20"/>
                      <w:szCs w:val="20"/>
                    </w:rPr>
                    <w:t>Nemecko</w:t>
                  </w:r>
                </w:p>
              </w:tc>
              <w:tc>
                <w:tcPr>
                  <w:tcW w:w="843" w:type="dxa"/>
                  <w:tcBorders>
                    <w:top w:val="nil"/>
                    <w:left w:val="nil"/>
                    <w:bottom w:val="nil"/>
                    <w:right w:val="nil"/>
                  </w:tcBorders>
                  <w:shd w:val="clear" w:color="auto" w:fill="auto"/>
                  <w:noWrap/>
                  <w:vAlign w:val="center"/>
                  <w:hideMark/>
                </w:tcPr>
                <w:p w14:paraId="046AB77A"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69,0</w:t>
                  </w:r>
                </w:p>
              </w:tc>
              <w:tc>
                <w:tcPr>
                  <w:tcW w:w="843" w:type="dxa"/>
                  <w:tcBorders>
                    <w:top w:val="nil"/>
                    <w:left w:val="nil"/>
                    <w:bottom w:val="nil"/>
                    <w:right w:val="nil"/>
                  </w:tcBorders>
                  <w:shd w:val="clear" w:color="auto" w:fill="auto"/>
                  <w:noWrap/>
                  <w:vAlign w:val="center"/>
                  <w:hideMark/>
                </w:tcPr>
                <w:p w14:paraId="0D0D6DBC"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66,1</w:t>
                  </w:r>
                </w:p>
              </w:tc>
              <w:tc>
                <w:tcPr>
                  <w:tcW w:w="864" w:type="dxa"/>
                  <w:tcBorders>
                    <w:top w:val="nil"/>
                    <w:left w:val="nil"/>
                    <w:bottom w:val="nil"/>
                    <w:right w:val="nil"/>
                  </w:tcBorders>
                  <w:shd w:val="clear" w:color="auto" w:fill="auto"/>
                  <w:noWrap/>
                  <w:vAlign w:val="center"/>
                  <w:hideMark/>
                </w:tcPr>
                <w:p w14:paraId="5737716E"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63,6</w:t>
                  </w:r>
                </w:p>
              </w:tc>
              <w:tc>
                <w:tcPr>
                  <w:tcW w:w="799" w:type="dxa"/>
                  <w:tcBorders>
                    <w:top w:val="nil"/>
                    <w:left w:val="nil"/>
                    <w:bottom w:val="nil"/>
                    <w:right w:val="single" w:sz="4" w:space="0" w:color="auto"/>
                  </w:tcBorders>
                  <w:shd w:val="clear" w:color="auto" w:fill="auto"/>
                  <w:noWrap/>
                  <w:vAlign w:val="center"/>
                  <w:hideMark/>
                </w:tcPr>
                <w:p w14:paraId="05076248" w14:textId="77777777" w:rsidR="00087221" w:rsidRPr="00087221" w:rsidRDefault="00087221" w:rsidP="00E71244">
                  <w:pPr>
                    <w:tabs>
                      <w:tab w:val="decimal" w:pos="230"/>
                    </w:tabs>
                    <w:spacing w:after="0" w:line="240" w:lineRule="auto"/>
                    <w:ind w:right="32" w:firstLineChars="100" w:firstLine="200"/>
                    <w:jc w:val="right"/>
                    <w:rPr>
                      <w:color w:val="00B050"/>
                      <w:sz w:val="20"/>
                      <w:szCs w:val="20"/>
                      <w:lang w:eastAsia="sk-SK"/>
                    </w:rPr>
                  </w:pPr>
                  <w:r w:rsidRPr="00087221">
                    <w:rPr>
                      <w:color w:val="00B050"/>
                      <w:sz w:val="20"/>
                      <w:szCs w:val="20"/>
                    </w:rPr>
                    <w:t>-2,5</w:t>
                  </w:r>
                </w:p>
              </w:tc>
            </w:tr>
            <w:tr w:rsidR="00087221" w:rsidRPr="00087221" w14:paraId="2E3CF19F"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70989398" w14:textId="77777777" w:rsidR="00087221" w:rsidRPr="00087221" w:rsidRDefault="00087221" w:rsidP="00E71244">
                  <w:pPr>
                    <w:spacing w:after="0" w:line="240" w:lineRule="auto"/>
                    <w:rPr>
                      <w:sz w:val="20"/>
                      <w:szCs w:val="20"/>
                      <w:lang w:eastAsia="sk-SK"/>
                    </w:rPr>
                  </w:pPr>
                  <w:r w:rsidRPr="00087221">
                    <w:rPr>
                      <w:sz w:val="20"/>
                      <w:szCs w:val="20"/>
                    </w:rPr>
                    <w:t>Fínsko</w:t>
                  </w:r>
                </w:p>
              </w:tc>
              <w:tc>
                <w:tcPr>
                  <w:tcW w:w="764" w:type="dxa"/>
                  <w:tcBorders>
                    <w:top w:val="nil"/>
                    <w:left w:val="nil"/>
                    <w:bottom w:val="nil"/>
                    <w:right w:val="nil"/>
                  </w:tcBorders>
                  <w:shd w:val="clear" w:color="auto" w:fill="auto"/>
                  <w:noWrap/>
                  <w:vAlign w:val="center"/>
                  <w:hideMark/>
                </w:tcPr>
                <w:p w14:paraId="28632030"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-2,8</w:t>
                  </w:r>
                </w:p>
              </w:tc>
              <w:tc>
                <w:tcPr>
                  <w:tcW w:w="826" w:type="dxa"/>
                  <w:tcBorders>
                    <w:top w:val="nil"/>
                    <w:left w:val="nil"/>
                    <w:bottom w:val="nil"/>
                    <w:right w:val="nil"/>
                  </w:tcBorders>
                  <w:shd w:val="clear" w:color="auto" w:fill="auto"/>
                  <w:noWrap/>
                  <w:vAlign w:val="center"/>
                  <w:hideMark/>
                </w:tcPr>
                <w:p w14:paraId="7DD68F8D"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-0,4</w:t>
                  </w:r>
                </w:p>
              </w:tc>
              <w:tc>
                <w:tcPr>
                  <w:tcW w:w="742" w:type="dxa"/>
                  <w:tcBorders>
                    <w:top w:val="nil"/>
                    <w:left w:val="nil"/>
                    <w:bottom w:val="nil"/>
                    <w:right w:val="nil"/>
                  </w:tcBorders>
                  <w:shd w:val="clear" w:color="auto" w:fill="auto"/>
                  <w:noWrap/>
                  <w:vAlign w:val="center"/>
                  <w:hideMark/>
                </w:tcPr>
                <w:p w14:paraId="2B4E0451"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-2,7</w:t>
                  </w:r>
                </w:p>
              </w:tc>
              <w:tc>
                <w:tcPr>
                  <w:tcW w:w="728" w:type="dxa"/>
                  <w:tcBorders>
                    <w:top w:val="nil"/>
                    <w:left w:val="nil"/>
                    <w:bottom w:val="nil"/>
                    <w:right w:val="nil"/>
                  </w:tcBorders>
                  <w:shd w:val="clear" w:color="auto" w:fill="auto"/>
                  <w:noWrap/>
                  <w:vAlign w:val="center"/>
                  <w:hideMark/>
                </w:tcPr>
                <w:p w14:paraId="6B086712"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FF0000"/>
                      <w:sz w:val="20"/>
                      <w:szCs w:val="20"/>
                    </w:rPr>
                    <w:t>-2,3</w:t>
                  </w:r>
                </w:p>
              </w:tc>
              <w:tc>
                <w:tcPr>
                  <w:tcW w:w="1453" w:type="dxa"/>
                  <w:tcBorders>
                    <w:top w:val="nil"/>
                    <w:left w:val="single" w:sz="4" w:space="0" w:color="auto"/>
                    <w:bottom w:val="nil"/>
                    <w:right w:val="nil"/>
                  </w:tcBorders>
                  <w:shd w:val="clear" w:color="auto" w:fill="auto"/>
                  <w:noWrap/>
                  <w:vAlign w:val="center"/>
                  <w:hideMark/>
                </w:tcPr>
                <w:p w14:paraId="3C6720F7" w14:textId="77777777" w:rsidR="00087221" w:rsidRPr="00087221" w:rsidRDefault="00087221" w:rsidP="00E71244">
                  <w:pPr>
                    <w:spacing w:after="0" w:line="240" w:lineRule="auto"/>
                    <w:rPr>
                      <w:sz w:val="20"/>
                      <w:szCs w:val="20"/>
                      <w:lang w:eastAsia="sk-SK"/>
                    </w:rPr>
                  </w:pPr>
                  <w:r w:rsidRPr="00087221">
                    <w:rPr>
                      <w:sz w:val="20"/>
                      <w:szCs w:val="20"/>
                    </w:rPr>
                    <w:t>Chorvátsko</w:t>
                  </w:r>
                </w:p>
              </w:tc>
              <w:tc>
                <w:tcPr>
                  <w:tcW w:w="843" w:type="dxa"/>
                  <w:tcBorders>
                    <w:top w:val="nil"/>
                    <w:left w:val="nil"/>
                    <w:bottom w:val="nil"/>
                    <w:right w:val="nil"/>
                  </w:tcBorders>
                  <w:shd w:val="clear" w:color="auto" w:fill="auto"/>
                  <w:noWrap/>
                  <w:vAlign w:val="center"/>
                  <w:hideMark/>
                </w:tcPr>
                <w:p w14:paraId="5B686E48"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77,5</w:t>
                  </w:r>
                </w:p>
              </w:tc>
              <w:tc>
                <w:tcPr>
                  <w:tcW w:w="843" w:type="dxa"/>
                  <w:tcBorders>
                    <w:top w:val="nil"/>
                    <w:left w:val="nil"/>
                    <w:bottom w:val="nil"/>
                    <w:right w:val="nil"/>
                  </w:tcBorders>
                  <w:shd w:val="clear" w:color="auto" w:fill="auto"/>
                  <w:noWrap/>
                  <w:vAlign w:val="center"/>
                  <w:hideMark/>
                </w:tcPr>
                <w:p w14:paraId="505BB618"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67,8</w:t>
                  </w:r>
                </w:p>
              </w:tc>
              <w:tc>
                <w:tcPr>
                  <w:tcW w:w="864" w:type="dxa"/>
                  <w:tcBorders>
                    <w:top w:val="nil"/>
                    <w:left w:val="nil"/>
                    <w:bottom w:val="nil"/>
                    <w:right w:val="nil"/>
                  </w:tcBorders>
                  <w:shd w:val="clear" w:color="auto" w:fill="auto"/>
                  <w:noWrap/>
                  <w:vAlign w:val="center"/>
                  <w:hideMark/>
                </w:tcPr>
                <w:p w14:paraId="69658CCF"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63,0</w:t>
                  </w:r>
                </w:p>
              </w:tc>
              <w:tc>
                <w:tcPr>
                  <w:tcW w:w="799" w:type="dxa"/>
                  <w:tcBorders>
                    <w:top w:val="nil"/>
                    <w:left w:val="nil"/>
                    <w:bottom w:val="nil"/>
                    <w:right w:val="single" w:sz="4" w:space="0" w:color="auto"/>
                  </w:tcBorders>
                  <w:shd w:val="clear" w:color="auto" w:fill="auto"/>
                  <w:noWrap/>
                  <w:vAlign w:val="center"/>
                  <w:hideMark/>
                </w:tcPr>
                <w:p w14:paraId="77D7D616" w14:textId="77777777" w:rsidR="00087221" w:rsidRPr="00087221" w:rsidRDefault="00087221" w:rsidP="00E71244">
                  <w:pPr>
                    <w:tabs>
                      <w:tab w:val="decimal" w:pos="230"/>
                    </w:tabs>
                    <w:spacing w:after="0" w:line="240" w:lineRule="auto"/>
                    <w:ind w:right="32" w:firstLineChars="100" w:firstLine="200"/>
                    <w:jc w:val="right"/>
                    <w:rPr>
                      <w:color w:val="FF0000"/>
                      <w:sz w:val="20"/>
                      <w:szCs w:val="20"/>
                      <w:lang w:eastAsia="sk-SK"/>
                    </w:rPr>
                  </w:pPr>
                  <w:r w:rsidRPr="00087221">
                    <w:rPr>
                      <w:color w:val="00B050"/>
                      <w:sz w:val="20"/>
                      <w:szCs w:val="20"/>
                    </w:rPr>
                    <w:t>-4,8</w:t>
                  </w:r>
                </w:p>
              </w:tc>
            </w:tr>
            <w:tr w:rsidR="00087221" w:rsidRPr="00087221" w14:paraId="7D90EDED"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730E1C54" w14:textId="77777777" w:rsidR="00087221" w:rsidRPr="00087221" w:rsidRDefault="00087221" w:rsidP="00E71244">
                  <w:pPr>
                    <w:spacing w:after="0" w:line="240" w:lineRule="auto"/>
                    <w:rPr>
                      <w:sz w:val="20"/>
                      <w:szCs w:val="20"/>
                      <w:lang w:eastAsia="sk-SK"/>
                    </w:rPr>
                  </w:pPr>
                  <w:r w:rsidRPr="00087221">
                    <w:rPr>
                      <w:sz w:val="20"/>
                      <w:szCs w:val="20"/>
                    </w:rPr>
                    <w:t>Nemecko</w:t>
                  </w:r>
                </w:p>
              </w:tc>
              <w:tc>
                <w:tcPr>
                  <w:tcW w:w="764" w:type="dxa"/>
                  <w:tcBorders>
                    <w:top w:val="nil"/>
                    <w:left w:val="nil"/>
                    <w:bottom w:val="nil"/>
                    <w:right w:val="nil"/>
                  </w:tcBorders>
                  <w:shd w:val="clear" w:color="auto" w:fill="auto"/>
                  <w:noWrap/>
                  <w:vAlign w:val="center"/>
                  <w:hideMark/>
                </w:tcPr>
                <w:p w14:paraId="7F61ABDC"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-3,6</w:t>
                  </w:r>
                </w:p>
              </w:tc>
              <w:tc>
                <w:tcPr>
                  <w:tcW w:w="826" w:type="dxa"/>
                  <w:tcBorders>
                    <w:top w:val="nil"/>
                    <w:left w:val="nil"/>
                    <w:bottom w:val="nil"/>
                    <w:right w:val="nil"/>
                  </w:tcBorders>
                  <w:shd w:val="clear" w:color="auto" w:fill="auto"/>
                  <w:noWrap/>
                  <w:vAlign w:val="center"/>
                  <w:hideMark/>
                </w:tcPr>
                <w:p w14:paraId="610B261C"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-2,5</w:t>
                  </w:r>
                </w:p>
              </w:tc>
              <w:tc>
                <w:tcPr>
                  <w:tcW w:w="742" w:type="dxa"/>
                  <w:tcBorders>
                    <w:top w:val="nil"/>
                    <w:left w:val="nil"/>
                    <w:bottom w:val="nil"/>
                    <w:right w:val="nil"/>
                  </w:tcBorders>
                  <w:shd w:val="clear" w:color="auto" w:fill="auto"/>
                  <w:noWrap/>
                  <w:vAlign w:val="center"/>
                  <w:hideMark/>
                </w:tcPr>
                <w:p w14:paraId="03C1DE83"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-2,5</w:t>
                  </w:r>
                </w:p>
              </w:tc>
              <w:tc>
                <w:tcPr>
                  <w:tcW w:w="728" w:type="dxa"/>
                  <w:tcBorders>
                    <w:top w:val="nil"/>
                    <w:left w:val="nil"/>
                    <w:bottom w:val="nil"/>
                    <w:right w:val="nil"/>
                  </w:tcBorders>
                  <w:shd w:val="clear" w:color="auto" w:fill="auto"/>
                  <w:noWrap/>
                  <w:vAlign w:val="center"/>
                  <w:hideMark/>
                </w:tcPr>
                <w:p w14:paraId="3F81EF01" w14:textId="77777777" w:rsidR="00087221" w:rsidRPr="00087221" w:rsidRDefault="00087221" w:rsidP="00E71244">
                  <w:pPr>
                    <w:spacing w:after="0" w:line="240" w:lineRule="auto"/>
                    <w:ind w:firstLineChars="100" w:firstLine="200"/>
                    <w:jc w:val="center"/>
                    <w:rPr>
                      <w:color w:val="FF0000"/>
                      <w:sz w:val="20"/>
                      <w:szCs w:val="20"/>
                      <w:lang w:eastAsia="sk-SK"/>
                    </w:rPr>
                  </w:pPr>
                  <w:r w:rsidRPr="00087221">
                    <w:rPr>
                      <w:sz w:val="20"/>
                      <w:szCs w:val="20"/>
                    </w:rPr>
                    <w:t>0,0</w:t>
                  </w:r>
                </w:p>
              </w:tc>
              <w:tc>
                <w:tcPr>
                  <w:tcW w:w="1453" w:type="dxa"/>
                  <w:tcBorders>
                    <w:top w:val="nil"/>
                    <w:left w:val="single" w:sz="4" w:space="0" w:color="auto"/>
                    <w:bottom w:val="nil"/>
                    <w:right w:val="nil"/>
                  </w:tcBorders>
                  <w:shd w:val="clear" w:color="auto" w:fill="auto"/>
                  <w:noWrap/>
                  <w:vAlign w:val="center"/>
                  <w:hideMark/>
                </w:tcPr>
                <w:p w14:paraId="76BAC1AB" w14:textId="77777777" w:rsidR="00087221" w:rsidRPr="00087221" w:rsidRDefault="00087221" w:rsidP="00E71244">
                  <w:pPr>
                    <w:spacing w:after="0" w:line="240" w:lineRule="auto"/>
                    <w:rPr>
                      <w:b/>
                      <w:bCs/>
                      <w:sz w:val="20"/>
                      <w:szCs w:val="20"/>
                      <w:lang w:eastAsia="sk-SK"/>
                    </w:rPr>
                  </w:pPr>
                  <w:r w:rsidRPr="00087221">
                    <w:rPr>
                      <w:b/>
                      <w:bCs/>
                      <w:sz w:val="20"/>
                      <w:szCs w:val="20"/>
                    </w:rPr>
                    <w:t>Slovensko</w:t>
                  </w:r>
                </w:p>
              </w:tc>
              <w:tc>
                <w:tcPr>
                  <w:tcW w:w="843" w:type="dxa"/>
                  <w:tcBorders>
                    <w:top w:val="nil"/>
                    <w:left w:val="nil"/>
                    <w:bottom w:val="nil"/>
                    <w:right w:val="nil"/>
                  </w:tcBorders>
                  <w:shd w:val="clear" w:color="auto" w:fill="auto"/>
                  <w:noWrap/>
                  <w:vAlign w:val="center"/>
                  <w:hideMark/>
                </w:tcPr>
                <w:p w14:paraId="75A4A1D2" w14:textId="77777777" w:rsidR="00087221" w:rsidRPr="00087221" w:rsidRDefault="00087221" w:rsidP="00E71244">
                  <w:pPr>
                    <w:spacing w:after="0" w:line="240" w:lineRule="auto"/>
                    <w:ind w:firstLineChars="100" w:firstLine="200"/>
                    <w:jc w:val="right"/>
                    <w:rPr>
                      <w:b/>
                      <w:bCs/>
                      <w:color w:val="000000"/>
                      <w:sz w:val="20"/>
                      <w:szCs w:val="20"/>
                      <w:lang w:eastAsia="sk-SK"/>
                    </w:rPr>
                  </w:pPr>
                  <w:r w:rsidRPr="00087221">
                    <w:rPr>
                      <w:b/>
                      <w:bCs/>
                      <w:color w:val="000000"/>
                      <w:sz w:val="20"/>
                      <w:szCs w:val="20"/>
                    </w:rPr>
                    <w:t>61,1</w:t>
                  </w:r>
                </w:p>
              </w:tc>
              <w:tc>
                <w:tcPr>
                  <w:tcW w:w="843" w:type="dxa"/>
                  <w:tcBorders>
                    <w:top w:val="nil"/>
                    <w:left w:val="nil"/>
                    <w:bottom w:val="nil"/>
                    <w:right w:val="nil"/>
                  </w:tcBorders>
                  <w:shd w:val="clear" w:color="auto" w:fill="auto"/>
                  <w:noWrap/>
                  <w:vAlign w:val="center"/>
                  <w:hideMark/>
                </w:tcPr>
                <w:p w14:paraId="47E0FA49" w14:textId="77777777" w:rsidR="00087221" w:rsidRPr="00087221" w:rsidRDefault="00087221" w:rsidP="00E71244">
                  <w:pPr>
                    <w:spacing w:after="0" w:line="240" w:lineRule="auto"/>
                    <w:ind w:firstLineChars="100" w:firstLine="200"/>
                    <w:jc w:val="right"/>
                    <w:rPr>
                      <w:b/>
                      <w:bCs/>
                      <w:color w:val="000000"/>
                      <w:sz w:val="20"/>
                      <w:szCs w:val="20"/>
                      <w:lang w:eastAsia="sk-SK"/>
                    </w:rPr>
                  </w:pPr>
                  <w:r w:rsidRPr="00087221">
                    <w:rPr>
                      <w:b/>
                      <w:bCs/>
                      <w:color w:val="000000"/>
                      <w:sz w:val="20"/>
                      <w:szCs w:val="20"/>
                    </w:rPr>
                    <w:t>57,7</w:t>
                  </w:r>
                </w:p>
              </w:tc>
              <w:tc>
                <w:tcPr>
                  <w:tcW w:w="864" w:type="dxa"/>
                  <w:tcBorders>
                    <w:top w:val="nil"/>
                    <w:left w:val="nil"/>
                    <w:bottom w:val="nil"/>
                    <w:right w:val="nil"/>
                  </w:tcBorders>
                  <w:shd w:val="clear" w:color="auto" w:fill="auto"/>
                  <w:noWrap/>
                  <w:vAlign w:val="center"/>
                  <w:hideMark/>
                </w:tcPr>
                <w:p w14:paraId="1CEEAC3F" w14:textId="77777777" w:rsidR="00087221" w:rsidRPr="00087221" w:rsidRDefault="00087221" w:rsidP="00E71244">
                  <w:pPr>
                    <w:spacing w:after="0" w:line="240" w:lineRule="auto"/>
                    <w:ind w:firstLineChars="100" w:firstLine="200"/>
                    <w:jc w:val="right"/>
                    <w:rPr>
                      <w:b/>
                      <w:bCs/>
                      <w:color w:val="000000"/>
                      <w:sz w:val="20"/>
                      <w:szCs w:val="20"/>
                      <w:lang w:eastAsia="sk-SK"/>
                    </w:rPr>
                  </w:pPr>
                  <w:r w:rsidRPr="00087221">
                    <w:rPr>
                      <w:b/>
                      <w:bCs/>
                      <w:color w:val="000000"/>
                      <w:sz w:val="20"/>
                      <w:szCs w:val="20"/>
                    </w:rPr>
                    <w:t>56,0</w:t>
                  </w:r>
                </w:p>
              </w:tc>
              <w:tc>
                <w:tcPr>
                  <w:tcW w:w="799" w:type="dxa"/>
                  <w:tcBorders>
                    <w:top w:val="nil"/>
                    <w:left w:val="nil"/>
                    <w:bottom w:val="nil"/>
                    <w:right w:val="single" w:sz="4" w:space="0" w:color="auto"/>
                  </w:tcBorders>
                  <w:shd w:val="clear" w:color="auto" w:fill="auto"/>
                  <w:noWrap/>
                  <w:vAlign w:val="center"/>
                  <w:hideMark/>
                </w:tcPr>
                <w:p w14:paraId="0B52ABAE" w14:textId="77777777" w:rsidR="00087221" w:rsidRPr="00087221" w:rsidRDefault="00087221" w:rsidP="00E71244">
                  <w:pPr>
                    <w:tabs>
                      <w:tab w:val="decimal" w:pos="230"/>
                    </w:tabs>
                    <w:spacing w:after="0" w:line="240" w:lineRule="auto"/>
                    <w:ind w:right="32" w:firstLineChars="100" w:firstLine="200"/>
                    <w:jc w:val="right"/>
                    <w:rPr>
                      <w:b/>
                      <w:color w:val="FF0000"/>
                      <w:sz w:val="20"/>
                      <w:szCs w:val="20"/>
                      <w:lang w:eastAsia="sk-SK"/>
                    </w:rPr>
                  </w:pPr>
                  <w:r w:rsidRPr="00087221">
                    <w:rPr>
                      <w:color w:val="00B050"/>
                      <w:sz w:val="20"/>
                      <w:szCs w:val="20"/>
                    </w:rPr>
                    <w:t>-1,7</w:t>
                  </w:r>
                </w:p>
              </w:tc>
            </w:tr>
            <w:tr w:rsidR="00087221" w:rsidRPr="00087221" w14:paraId="0EC646D8"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3C049462" w14:textId="77777777" w:rsidR="00087221" w:rsidRPr="00087221" w:rsidRDefault="00087221" w:rsidP="00E71244">
                  <w:pPr>
                    <w:spacing w:after="0" w:line="240" w:lineRule="auto"/>
                    <w:rPr>
                      <w:sz w:val="20"/>
                      <w:szCs w:val="20"/>
                      <w:lang w:eastAsia="sk-SK"/>
                    </w:rPr>
                  </w:pPr>
                  <w:r w:rsidRPr="00087221">
                    <w:rPr>
                      <w:sz w:val="20"/>
                      <w:szCs w:val="20"/>
                    </w:rPr>
                    <w:t>Slovinsko</w:t>
                  </w:r>
                </w:p>
              </w:tc>
              <w:tc>
                <w:tcPr>
                  <w:tcW w:w="764" w:type="dxa"/>
                  <w:tcBorders>
                    <w:top w:val="nil"/>
                    <w:left w:val="nil"/>
                    <w:bottom w:val="nil"/>
                    <w:right w:val="nil"/>
                  </w:tcBorders>
                  <w:shd w:val="clear" w:color="auto" w:fill="auto"/>
                  <w:noWrap/>
                  <w:vAlign w:val="center"/>
                  <w:hideMark/>
                </w:tcPr>
                <w:p w14:paraId="16BD540A"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-4,6</w:t>
                  </w:r>
                </w:p>
              </w:tc>
              <w:tc>
                <w:tcPr>
                  <w:tcW w:w="826" w:type="dxa"/>
                  <w:tcBorders>
                    <w:top w:val="nil"/>
                    <w:left w:val="nil"/>
                    <w:bottom w:val="nil"/>
                    <w:right w:val="nil"/>
                  </w:tcBorders>
                  <w:shd w:val="clear" w:color="auto" w:fill="auto"/>
                  <w:noWrap/>
                  <w:vAlign w:val="center"/>
                  <w:hideMark/>
                </w:tcPr>
                <w:p w14:paraId="784DAE57"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-3,0</w:t>
                  </w:r>
                </w:p>
              </w:tc>
              <w:tc>
                <w:tcPr>
                  <w:tcW w:w="742" w:type="dxa"/>
                  <w:tcBorders>
                    <w:top w:val="nil"/>
                    <w:left w:val="nil"/>
                    <w:bottom w:val="nil"/>
                    <w:right w:val="nil"/>
                  </w:tcBorders>
                  <w:shd w:val="clear" w:color="auto" w:fill="auto"/>
                  <w:noWrap/>
                  <w:vAlign w:val="center"/>
                  <w:hideMark/>
                </w:tcPr>
                <w:p w14:paraId="57262DF9"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-2,5</w:t>
                  </w:r>
                </w:p>
              </w:tc>
              <w:tc>
                <w:tcPr>
                  <w:tcW w:w="728" w:type="dxa"/>
                  <w:tcBorders>
                    <w:top w:val="nil"/>
                    <w:left w:val="nil"/>
                    <w:bottom w:val="nil"/>
                    <w:right w:val="nil"/>
                  </w:tcBorders>
                  <w:shd w:val="clear" w:color="auto" w:fill="auto"/>
                  <w:noWrap/>
                  <w:vAlign w:val="center"/>
                  <w:hideMark/>
                </w:tcPr>
                <w:p w14:paraId="6EBE98B9"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00B050"/>
                      <w:sz w:val="20"/>
                      <w:szCs w:val="20"/>
                    </w:rPr>
                    <w:t>0,5</w:t>
                  </w:r>
                </w:p>
              </w:tc>
              <w:tc>
                <w:tcPr>
                  <w:tcW w:w="1453" w:type="dxa"/>
                  <w:tcBorders>
                    <w:top w:val="nil"/>
                    <w:left w:val="single" w:sz="4" w:space="0" w:color="auto"/>
                    <w:bottom w:val="nil"/>
                    <w:right w:val="nil"/>
                  </w:tcBorders>
                  <w:shd w:val="clear" w:color="auto" w:fill="auto"/>
                  <w:noWrap/>
                  <w:vAlign w:val="center"/>
                  <w:hideMark/>
                </w:tcPr>
                <w:p w14:paraId="20F5E74C" w14:textId="77777777" w:rsidR="00087221" w:rsidRPr="00087221" w:rsidRDefault="00087221" w:rsidP="00E71244">
                  <w:pPr>
                    <w:spacing w:after="0" w:line="240" w:lineRule="auto"/>
                    <w:rPr>
                      <w:sz w:val="20"/>
                      <w:szCs w:val="20"/>
                      <w:lang w:eastAsia="sk-SK"/>
                    </w:rPr>
                  </w:pPr>
                  <w:r w:rsidRPr="00087221">
                    <w:rPr>
                      <w:sz w:val="20"/>
                      <w:szCs w:val="20"/>
                    </w:rPr>
                    <w:t>Malta</w:t>
                  </w:r>
                </w:p>
              </w:tc>
              <w:tc>
                <w:tcPr>
                  <w:tcW w:w="843" w:type="dxa"/>
                  <w:tcBorders>
                    <w:top w:val="nil"/>
                    <w:left w:val="nil"/>
                    <w:bottom w:val="nil"/>
                    <w:right w:val="nil"/>
                  </w:tcBorders>
                  <w:shd w:val="clear" w:color="auto" w:fill="auto"/>
                  <w:noWrap/>
                  <w:vAlign w:val="center"/>
                  <w:hideMark/>
                </w:tcPr>
                <w:p w14:paraId="14B70C47"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53,9</w:t>
                  </w:r>
                </w:p>
              </w:tc>
              <w:tc>
                <w:tcPr>
                  <w:tcW w:w="843" w:type="dxa"/>
                  <w:tcBorders>
                    <w:top w:val="nil"/>
                    <w:left w:val="nil"/>
                    <w:bottom w:val="nil"/>
                    <w:right w:val="nil"/>
                  </w:tcBorders>
                  <w:shd w:val="clear" w:color="auto" w:fill="auto"/>
                  <w:noWrap/>
                  <w:vAlign w:val="center"/>
                  <w:hideMark/>
                </w:tcPr>
                <w:p w14:paraId="4D5EC613"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51,6</w:t>
                  </w:r>
                </w:p>
              </w:tc>
              <w:tc>
                <w:tcPr>
                  <w:tcW w:w="864" w:type="dxa"/>
                  <w:tcBorders>
                    <w:top w:val="nil"/>
                    <w:left w:val="nil"/>
                    <w:bottom w:val="nil"/>
                    <w:right w:val="nil"/>
                  </w:tcBorders>
                  <w:shd w:val="clear" w:color="auto" w:fill="auto"/>
                  <w:noWrap/>
                  <w:vAlign w:val="center"/>
                  <w:hideMark/>
                </w:tcPr>
                <w:p w14:paraId="47E1AF47"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50,4</w:t>
                  </w:r>
                </w:p>
              </w:tc>
              <w:tc>
                <w:tcPr>
                  <w:tcW w:w="799" w:type="dxa"/>
                  <w:tcBorders>
                    <w:top w:val="nil"/>
                    <w:left w:val="nil"/>
                    <w:bottom w:val="nil"/>
                    <w:right w:val="single" w:sz="4" w:space="0" w:color="auto"/>
                  </w:tcBorders>
                  <w:shd w:val="clear" w:color="auto" w:fill="auto"/>
                  <w:noWrap/>
                  <w:vAlign w:val="center"/>
                  <w:hideMark/>
                </w:tcPr>
                <w:p w14:paraId="380E119B" w14:textId="77777777" w:rsidR="00087221" w:rsidRPr="00087221" w:rsidRDefault="00087221" w:rsidP="00E71244">
                  <w:pPr>
                    <w:tabs>
                      <w:tab w:val="decimal" w:pos="230"/>
                    </w:tabs>
                    <w:spacing w:after="0" w:line="240" w:lineRule="auto"/>
                    <w:ind w:right="32" w:firstLineChars="100" w:firstLine="200"/>
                    <w:jc w:val="right"/>
                    <w:rPr>
                      <w:color w:val="FF0000"/>
                      <w:sz w:val="20"/>
                      <w:szCs w:val="20"/>
                      <w:lang w:eastAsia="sk-SK"/>
                    </w:rPr>
                  </w:pPr>
                  <w:r w:rsidRPr="00087221">
                    <w:rPr>
                      <w:color w:val="00B050"/>
                      <w:sz w:val="20"/>
                      <w:szCs w:val="20"/>
                    </w:rPr>
                    <w:t>-1,2</w:t>
                  </w:r>
                </w:p>
              </w:tc>
            </w:tr>
            <w:tr w:rsidR="00087221" w:rsidRPr="00087221" w14:paraId="723073FA"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679896A5" w14:textId="77777777" w:rsidR="00087221" w:rsidRPr="00087221" w:rsidRDefault="00087221" w:rsidP="00E71244">
                  <w:pPr>
                    <w:spacing w:after="0" w:line="240" w:lineRule="auto"/>
                    <w:rPr>
                      <w:sz w:val="20"/>
                      <w:szCs w:val="20"/>
                      <w:lang w:eastAsia="sk-SK"/>
                    </w:rPr>
                  </w:pPr>
                  <w:r w:rsidRPr="00087221">
                    <w:rPr>
                      <w:sz w:val="20"/>
                      <w:szCs w:val="20"/>
                    </w:rPr>
                    <w:t>Lotyšsko</w:t>
                  </w:r>
                </w:p>
              </w:tc>
              <w:tc>
                <w:tcPr>
                  <w:tcW w:w="764" w:type="dxa"/>
                  <w:tcBorders>
                    <w:top w:val="nil"/>
                    <w:left w:val="nil"/>
                    <w:bottom w:val="nil"/>
                    <w:right w:val="nil"/>
                  </w:tcBorders>
                  <w:shd w:val="clear" w:color="auto" w:fill="auto"/>
                  <w:noWrap/>
                  <w:vAlign w:val="center"/>
                  <w:hideMark/>
                </w:tcPr>
                <w:p w14:paraId="63D83166"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-7,2</w:t>
                  </w:r>
                </w:p>
              </w:tc>
              <w:tc>
                <w:tcPr>
                  <w:tcW w:w="826" w:type="dxa"/>
                  <w:tcBorders>
                    <w:top w:val="nil"/>
                    <w:left w:val="nil"/>
                    <w:bottom w:val="nil"/>
                    <w:right w:val="nil"/>
                  </w:tcBorders>
                  <w:shd w:val="clear" w:color="auto" w:fill="auto"/>
                  <w:noWrap/>
                  <w:vAlign w:val="center"/>
                  <w:hideMark/>
                </w:tcPr>
                <w:p w14:paraId="77EC00C0"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-4,6</w:t>
                  </w:r>
                </w:p>
              </w:tc>
              <w:tc>
                <w:tcPr>
                  <w:tcW w:w="742" w:type="dxa"/>
                  <w:tcBorders>
                    <w:top w:val="nil"/>
                    <w:left w:val="nil"/>
                    <w:bottom w:val="nil"/>
                    <w:right w:val="nil"/>
                  </w:tcBorders>
                  <w:shd w:val="clear" w:color="auto" w:fill="auto"/>
                  <w:noWrap/>
                  <w:vAlign w:val="center"/>
                  <w:hideMark/>
                </w:tcPr>
                <w:p w14:paraId="33E5B8C4"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-2,2</w:t>
                  </w:r>
                </w:p>
              </w:tc>
              <w:tc>
                <w:tcPr>
                  <w:tcW w:w="728" w:type="dxa"/>
                  <w:tcBorders>
                    <w:top w:val="nil"/>
                    <w:left w:val="nil"/>
                    <w:bottom w:val="nil"/>
                    <w:right w:val="nil"/>
                  </w:tcBorders>
                  <w:shd w:val="clear" w:color="auto" w:fill="auto"/>
                  <w:noWrap/>
                  <w:vAlign w:val="center"/>
                  <w:hideMark/>
                </w:tcPr>
                <w:p w14:paraId="0EEE0A27" w14:textId="77777777" w:rsidR="00087221" w:rsidRPr="00087221" w:rsidRDefault="00087221" w:rsidP="00E71244">
                  <w:pPr>
                    <w:spacing w:after="0" w:line="240" w:lineRule="auto"/>
                    <w:ind w:firstLineChars="100" w:firstLine="200"/>
                    <w:jc w:val="center"/>
                    <w:rPr>
                      <w:b/>
                      <w:color w:val="00B050"/>
                      <w:sz w:val="20"/>
                      <w:szCs w:val="20"/>
                      <w:lang w:eastAsia="sk-SK"/>
                    </w:rPr>
                  </w:pPr>
                  <w:r w:rsidRPr="00087221">
                    <w:rPr>
                      <w:color w:val="00B050"/>
                      <w:sz w:val="20"/>
                      <w:szCs w:val="20"/>
                    </w:rPr>
                    <w:t>2,4</w:t>
                  </w:r>
                </w:p>
              </w:tc>
              <w:tc>
                <w:tcPr>
                  <w:tcW w:w="1453" w:type="dxa"/>
                  <w:tcBorders>
                    <w:top w:val="nil"/>
                    <w:left w:val="single" w:sz="4" w:space="0" w:color="auto"/>
                    <w:bottom w:val="nil"/>
                    <w:right w:val="nil"/>
                  </w:tcBorders>
                  <w:shd w:val="clear" w:color="auto" w:fill="auto"/>
                  <w:noWrap/>
                  <w:vAlign w:val="center"/>
                  <w:hideMark/>
                </w:tcPr>
                <w:p w14:paraId="5D083091" w14:textId="77777777" w:rsidR="00087221" w:rsidRPr="00087221" w:rsidRDefault="00087221" w:rsidP="00E71244">
                  <w:pPr>
                    <w:spacing w:after="0" w:line="240" w:lineRule="auto"/>
                    <w:rPr>
                      <w:sz w:val="20"/>
                      <w:szCs w:val="20"/>
                      <w:lang w:eastAsia="sk-SK"/>
                    </w:rPr>
                  </w:pPr>
                  <w:r w:rsidRPr="00087221">
                    <w:rPr>
                      <w:sz w:val="20"/>
                      <w:szCs w:val="20"/>
                    </w:rPr>
                    <w:t>Poľsko</w:t>
                  </w:r>
                </w:p>
              </w:tc>
              <w:tc>
                <w:tcPr>
                  <w:tcW w:w="843" w:type="dxa"/>
                  <w:tcBorders>
                    <w:top w:val="nil"/>
                    <w:left w:val="nil"/>
                    <w:bottom w:val="nil"/>
                    <w:right w:val="nil"/>
                  </w:tcBorders>
                  <w:shd w:val="clear" w:color="auto" w:fill="auto"/>
                  <w:noWrap/>
                  <w:vAlign w:val="center"/>
                  <w:hideMark/>
                </w:tcPr>
                <w:p w14:paraId="1E3BFF92"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53,6</w:t>
                  </w:r>
                </w:p>
              </w:tc>
              <w:tc>
                <w:tcPr>
                  <w:tcW w:w="843" w:type="dxa"/>
                  <w:tcBorders>
                    <w:top w:val="nil"/>
                    <w:left w:val="nil"/>
                    <w:bottom w:val="nil"/>
                    <w:right w:val="nil"/>
                  </w:tcBorders>
                  <w:shd w:val="clear" w:color="auto" w:fill="auto"/>
                  <w:noWrap/>
                  <w:vAlign w:val="center"/>
                  <w:hideMark/>
                </w:tcPr>
                <w:p w14:paraId="7EC85628"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49,2</w:t>
                  </w:r>
                </w:p>
              </w:tc>
              <w:tc>
                <w:tcPr>
                  <w:tcW w:w="864" w:type="dxa"/>
                  <w:tcBorders>
                    <w:top w:val="nil"/>
                    <w:left w:val="nil"/>
                    <w:bottom w:val="nil"/>
                    <w:right w:val="nil"/>
                  </w:tcBorders>
                  <w:shd w:val="clear" w:color="auto" w:fill="auto"/>
                  <w:noWrap/>
                  <w:vAlign w:val="center"/>
                  <w:hideMark/>
                </w:tcPr>
                <w:p w14:paraId="669E3FBB"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49,6</w:t>
                  </w:r>
                </w:p>
              </w:tc>
              <w:tc>
                <w:tcPr>
                  <w:tcW w:w="799" w:type="dxa"/>
                  <w:tcBorders>
                    <w:top w:val="nil"/>
                    <w:left w:val="nil"/>
                    <w:bottom w:val="nil"/>
                    <w:right w:val="single" w:sz="4" w:space="0" w:color="auto"/>
                  </w:tcBorders>
                  <w:shd w:val="clear" w:color="auto" w:fill="auto"/>
                  <w:noWrap/>
                  <w:vAlign w:val="center"/>
                  <w:hideMark/>
                </w:tcPr>
                <w:p w14:paraId="5FFFC4DE" w14:textId="77777777" w:rsidR="00087221" w:rsidRPr="00087221" w:rsidRDefault="00087221" w:rsidP="00E71244">
                  <w:pPr>
                    <w:tabs>
                      <w:tab w:val="decimal" w:pos="230"/>
                    </w:tabs>
                    <w:spacing w:after="0" w:line="240" w:lineRule="auto"/>
                    <w:ind w:right="32" w:firstLineChars="100" w:firstLine="200"/>
                    <w:jc w:val="right"/>
                    <w:rPr>
                      <w:color w:val="00B050"/>
                      <w:sz w:val="20"/>
                      <w:szCs w:val="20"/>
                      <w:lang w:eastAsia="sk-SK"/>
                    </w:rPr>
                  </w:pPr>
                  <w:r w:rsidRPr="00087221">
                    <w:rPr>
                      <w:color w:val="FF0000"/>
                      <w:sz w:val="20"/>
                      <w:szCs w:val="20"/>
                    </w:rPr>
                    <w:t>0,4</w:t>
                  </w:r>
                </w:p>
              </w:tc>
            </w:tr>
            <w:tr w:rsidR="00087221" w:rsidRPr="00087221" w14:paraId="0375D013"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47DE3D46" w14:textId="77777777" w:rsidR="00087221" w:rsidRPr="00087221" w:rsidRDefault="00087221" w:rsidP="00E71244">
                  <w:pPr>
                    <w:spacing w:after="0" w:line="240" w:lineRule="auto"/>
                    <w:rPr>
                      <w:sz w:val="20"/>
                      <w:szCs w:val="20"/>
                      <w:lang w:eastAsia="sk-SK"/>
                    </w:rPr>
                  </w:pPr>
                  <w:r w:rsidRPr="00087221">
                    <w:rPr>
                      <w:sz w:val="20"/>
                      <w:szCs w:val="20"/>
                    </w:rPr>
                    <w:t>Bulharsko</w:t>
                  </w:r>
                </w:p>
              </w:tc>
              <w:tc>
                <w:tcPr>
                  <w:tcW w:w="764" w:type="dxa"/>
                  <w:tcBorders>
                    <w:top w:val="nil"/>
                    <w:left w:val="nil"/>
                    <w:bottom w:val="nil"/>
                    <w:right w:val="nil"/>
                  </w:tcBorders>
                  <w:shd w:val="clear" w:color="auto" w:fill="auto"/>
                  <w:noWrap/>
                  <w:vAlign w:val="center"/>
                  <w:hideMark/>
                </w:tcPr>
                <w:p w14:paraId="33E17F39"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-3,9</w:t>
                  </w:r>
                </w:p>
              </w:tc>
              <w:tc>
                <w:tcPr>
                  <w:tcW w:w="826" w:type="dxa"/>
                  <w:tcBorders>
                    <w:top w:val="nil"/>
                    <w:left w:val="nil"/>
                    <w:bottom w:val="nil"/>
                    <w:right w:val="nil"/>
                  </w:tcBorders>
                  <w:shd w:val="clear" w:color="auto" w:fill="auto"/>
                  <w:noWrap/>
                  <w:vAlign w:val="center"/>
                  <w:hideMark/>
                </w:tcPr>
                <w:p w14:paraId="6CDA6A8C"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-2,9</w:t>
                  </w:r>
                </w:p>
              </w:tc>
              <w:tc>
                <w:tcPr>
                  <w:tcW w:w="742" w:type="dxa"/>
                  <w:tcBorders>
                    <w:top w:val="nil"/>
                    <w:left w:val="nil"/>
                    <w:bottom w:val="nil"/>
                    <w:right w:val="nil"/>
                  </w:tcBorders>
                  <w:shd w:val="clear" w:color="auto" w:fill="auto"/>
                  <w:noWrap/>
                  <w:vAlign w:val="center"/>
                  <w:hideMark/>
                </w:tcPr>
                <w:p w14:paraId="12366995"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-1,9</w:t>
                  </w:r>
                </w:p>
              </w:tc>
              <w:tc>
                <w:tcPr>
                  <w:tcW w:w="728" w:type="dxa"/>
                  <w:tcBorders>
                    <w:top w:val="nil"/>
                    <w:left w:val="nil"/>
                    <w:bottom w:val="nil"/>
                    <w:right w:val="nil"/>
                  </w:tcBorders>
                  <w:shd w:val="clear" w:color="auto" w:fill="auto"/>
                  <w:noWrap/>
                  <w:vAlign w:val="center"/>
                  <w:hideMark/>
                </w:tcPr>
                <w:p w14:paraId="4C7D422F"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00B050"/>
                      <w:sz w:val="20"/>
                      <w:szCs w:val="20"/>
                    </w:rPr>
                    <w:t>1,0</w:t>
                  </w:r>
                </w:p>
              </w:tc>
              <w:tc>
                <w:tcPr>
                  <w:tcW w:w="1453" w:type="dxa"/>
                  <w:tcBorders>
                    <w:top w:val="nil"/>
                    <w:left w:val="single" w:sz="4" w:space="0" w:color="auto"/>
                    <w:bottom w:val="nil"/>
                    <w:right w:val="nil"/>
                  </w:tcBorders>
                  <w:shd w:val="clear" w:color="auto" w:fill="auto"/>
                  <w:noWrap/>
                  <w:vAlign w:val="center"/>
                  <w:hideMark/>
                </w:tcPr>
                <w:p w14:paraId="7C60E2BB" w14:textId="77777777" w:rsidR="00087221" w:rsidRPr="00087221" w:rsidRDefault="00087221" w:rsidP="00E71244">
                  <w:pPr>
                    <w:spacing w:after="0" w:line="240" w:lineRule="auto"/>
                    <w:rPr>
                      <w:sz w:val="20"/>
                      <w:szCs w:val="20"/>
                      <w:lang w:eastAsia="sk-SK"/>
                    </w:rPr>
                  </w:pPr>
                  <w:r w:rsidRPr="00087221">
                    <w:rPr>
                      <w:sz w:val="20"/>
                      <w:szCs w:val="20"/>
                    </w:rPr>
                    <w:t>Rumunsko</w:t>
                  </w:r>
                </w:p>
              </w:tc>
              <w:tc>
                <w:tcPr>
                  <w:tcW w:w="843" w:type="dxa"/>
                  <w:tcBorders>
                    <w:top w:val="nil"/>
                    <w:left w:val="nil"/>
                    <w:bottom w:val="nil"/>
                    <w:right w:val="nil"/>
                  </w:tcBorders>
                  <w:shd w:val="clear" w:color="auto" w:fill="auto"/>
                  <w:noWrap/>
                  <w:vAlign w:val="center"/>
                  <w:hideMark/>
                </w:tcPr>
                <w:p w14:paraId="2BE72216"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48,5</w:t>
                  </w:r>
                </w:p>
              </w:tc>
              <w:tc>
                <w:tcPr>
                  <w:tcW w:w="843" w:type="dxa"/>
                  <w:tcBorders>
                    <w:top w:val="nil"/>
                    <w:left w:val="nil"/>
                    <w:bottom w:val="nil"/>
                    <w:right w:val="nil"/>
                  </w:tcBorders>
                  <w:shd w:val="clear" w:color="auto" w:fill="auto"/>
                  <w:noWrap/>
                  <w:vAlign w:val="center"/>
                  <w:hideMark/>
                </w:tcPr>
                <w:p w14:paraId="5D136D19"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47,5</w:t>
                  </w:r>
                </w:p>
              </w:tc>
              <w:tc>
                <w:tcPr>
                  <w:tcW w:w="864" w:type="dxa"/>
                  <w:tcBorders>
                    <w:top w:val="nil"/>
                    <w:left w:val="nil"/>
                    <w:bottom w:val="nil"/>
                    <w:right w:val="nil"/>
                  </w:tcBorders>
                  <w:shd w:val="clear" w:color="auto" w:fill="auto"/>
                  <w:noWrap/>
                  <w:vAlign w:val="center"/>
                  <w:hideMark/>
                </w:tcPr>
                <w:p w14:paraId="4D4D4062"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48,8</w:t>
                  </w:r>
                </w:p>
              </w:tc>
              <w:tc>
                <w:tcPr>
                  <w:tcW w:w="799" w:type="dxa"/>
                  <w:tcBorders>
                    <w:top w:val="nil"/>
                    <w:left w:val="nil"/>
                    <w:bottom w:val="nil"/>
                    <w:right w:val="single" w:sz="4" w:space="0" w:color="auto"/>
                  </w:tcBorders>
                  <w:shd w:val="clear" w:color="auto" w:fill="auto"/>
                  <w:noWrap/>
                  <w:vAlign w:val="center"/>
                  <w:hideMark/>
                </w:tcPr>
                <w:p w14:paraId="27ABC373" w14:textId="77777777" w:rsidR="00087221" w:rsidRPr="00087221" w:rsidRDefault="00087221" w:rsidP="00E71244">
                  <w:pPr>
                    <w:tabs>
                      <w:tab w:val="decimal" w:pos="230"/>
                    </w:tabs>
                    <w:spacing w:after="0" w:line="240" w:lineRule="auto"/>
                    <w:ind w:right="32" w:firstLineChars="100" w:firstLine="200"/>
                    <w:jc w:val="right"/>
                    <w:rPr>
                      <w:color w:val="00B050"/>
                      <w:sz w:val="20"/>
                      <w:szCs w:val="20"/>
                      <w:lang w:eastAsia="sk-SK"/>
                    </w:rPr>
                  </w:pPr>
                  <w:r w:rsidRPr="00087221">
                    <w:rPr>
                      <w:color w:val="FF0000"/>
                      <w:sz w:val="20"/>
                      <w:szCs w:val="20"/>
                    </w:rPr>
                    <w:t>1,3</w:t>
                  </w:r>
                </w:p>
              </w:tc>
            </w:tr>
            <w:tr w:rsidR="00087221" w:rsidRPr="00087221" w14:paraId="16F95467"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59BC0C58" w14:textId="77777777" w:rsidR="00087221" w:rsidRPr="00087221" w:rsidRDefault="00087221" w:rsidP="00E71244">
                  <w:pPr>
                    <w:spacing w:after="0" w:line="240" w:lineRule="auto"/>
                    <w:rPr>
                      <w:sz w:val="20"/>
                      <w:szCs w:val="20"/>
                      <w:lang w:eastAsia="sk-SK"/>
                    </w:rPr>
                  </w:pPr>
                  <w:r w:rsidRPr="00087221">
                    <w:rPr>
                      <w:sz w:val="20"/>
                      <w:szCs w:val="20"/>
                    </w:rPr>
                    <w:t>Grécko</w:t>
                  </w:r>
                </w:p>
              </w:tc>
              <w:tc>
                <w:tcPr>
                  <w:tcW w:w="764" w:type="dxa"/>
                  <w:tcBorders>
                    <w:top w:val="nil"/>
                    <w:left w:val="nil"/>
                    <w:bottom w:val="nil"/>
                    <w:right w:val="nil"/>
                  </w:tcBorders>
                  <w:shd w:val="clear" w:color="auto" w:fill="auto"/>
                  <w:noWrap/>
                  <w:vAlign w:val="center"/>
                  <w:hideMark/>
                </w:tcPr>
                <w:p w14:paraId="1E326297"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-7,0</w:t>
                  </w:r>
                </w:p>
              </w:tc>
              <w:tc>
                <w:tcPr>
                  <w:tcW w:w="826" w:type="dxa"/>
                  <w:tcBorders>
                    <w:top w:val="nil"/>
                    <w:left w:val="nil"/>
                    <w:bottom w:val="nil"/>
                    <w:right w:val="nil"/>
                  </w:tcBorders>
                  <w:shd w:val="clear" w:color="auto" w:fill="auto"/>
                  <w:noWrap/>
                  <w:vAlign w:val="center"/>
                  <w:hideMark/>
                </w:tcPr>
                <w:p w14:paraId="0DFCED6F"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-2,5</w:t>
                  </w:r>
                </w:p>
              </w:tc>
              <w:tc>
                <w:tcPr>
                  <w:tcW w:w="742" w:type="dxa"/>
                  <w:tcBorders>
                    <w:top w:val="nil"/>
                    <w:left w:val="nil"/>
                    <w:bottom w:val="nil"/>
                    <w:right w:val="nil"/>
                  </w:tcBorders>
                  <w:shd w:val="clear" w:color="auto" w:fill="auto"/>
                  <w:noWrap/>
                  <w:vAlign w:val="center"/>
                  <w:hideMark/>
                </w:tcPr>
                <w:p w14:paraId="3B2D861A"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-1,6</w:t>
                  </w:r>
                </w:p>
              </w:tc>
              <w:tc>
                <w:tcPr>
                  <w:tcW w:w="728" w:type="dxa"/>
                  <w:tcBorders>
                    <w:top w:val="nil"/>
                    <w:left w:val="nil"/>
                    <w:bottom w:val="nil"/>
                    <w:right w:val="nil"/>
                  </w:tcBorders>
                  <w:shd w:val="clear" w:color="auto" w:fill="auto"/>
                  <w:noWrap/>
                  <w:vAlign w:val="center"/>
                  <w:hideMark/>
                </w:tcPr>
                <w:p w14:paraId="5C7E77EC"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00B050"/>
                      <w:sz w:val="20"/>
                      <w:szCs w:val="20"/>
                    </w:rPr>
                    <w:t>0,9</w:t>
                  </w:r>
                </w:p>
              </w:tc>
              <w:tc>
                <w:tcPr>
                  <w:tcW w:w="1453" w:type="dxa"/>
                  <w:tcBorders>
                    <w:top w:val="nil"/>
                    <w:left w:val="single" w:sz="4" w:space="0" w:color="auto"/>
                    <w:bottom w:val="nil"/>
                    <w:right w:val="nil"/>
                  </w:tcBorders>
                  <w:shd w:val="clear" w:color="auto" w:fill="auto"/>
                  <w:noWrap/>
                  <w:vAlign w:val="center"/>
                  <w:hideMark/>
                </w:tcPr>
                <w:p w14:paraId="7ACB88D3" w14:textId="77777777" w:rsidR="00087221" w:rsidRPr="00087221" w:rsidRDefault="00087221" w:rsidP="00E71244">
                  <w:pPr>
                    <w:spacing w:after="0" w:line="240" w:lineRule="auto"/>
                    <w:rPr>
                      <w:sz w:val="20"/>
                      <w:szCs w:val="20"/>
                      <w:lang w:eastAsia="sk-SK"/>
                    </w:rPr>
                  </w:pPr>
                  <w:r w:rsidRPr="00087221">
                    <w:rPr>
                      <w:sz w:val="20"/>
                      <w:szCs w:val="20"/>
                    </w:rPr>
                    <w:t>Holandsko</w:t>
                  </w:r>
                </w:p>
              </w:tc>
              <w:tc>
                <w:tcPr>
                  <w:tcW w:w="843" w:type="dxa"/>
                  <w:tcBorders>
                    <w:top w:val="nil"/>
                    <w:left w:val="nil"/>
                    <w:bottom w:val="nil"/>
                    <w:right w:val="nil"/>
                  </w:tcBorders>
                  <w:shd w:val="clear" w:color="auto" w:fill="auto"/>
                  <w:noWrap/>
                  <w:vAlign w:val="center"/>
                  <w:hideMark/>
                </w:tcPr>
                <w:p w14:paraId="6D4CFCA9"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51,7</w:t>
                  </w:r>
                </w:p>
              </w:tc>
              <w:tc>
                <w:tcPr>
                  <w:tcW w:w="843" w:type="dxa"/>
                  <w:tcBorders>
                    <w:top w:val="nil"/>
                    <w:left w:val="nil"/>
                    <w:bottom w:val="nil"/>
                    <w:right w:val="nil"/>
                  </w:tcBorders>
                  <w:shd w:val="clear" w:color="auto" w:fill="auto"/>
                  <w:noWrap/>
                  <w:vAlign w:val="center"/>
                  <w:hideMark/>
                </w:tcPr>
                <w:p w14:paraId="3D85E2E5"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50,1</w:t>
                  </w:r>
                </w:p>
              </w:tc>
              <w:tc>
                <w:tcPr>
                  <w:tcW w:w="864" w:type="dxa"/>
                  <w:tcBorders>
                    <w:top w:val="nil"/>
                    <w:left w:val="nil"/>
                    <w:bottom w:val="nil"/>
                    <w:right w:val="nil"/>
                  </w:tcBorders>
                  <w:shd w:val="clear" w:color="auto" w:fill="auto"/>
                  <w:noWrap/>
                  <w:vAlign w:val="center"/>
                  <w:hideMark/>
                </w:tcPr>
                <w:p w14:paraId="545E3CA3"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46,5</w:t>
                  </w:r>
                </w:p>
              </w:tc>
              <w:tc>
                <w:tcPr>
                  <w:tcW w:w="799" w:type="dxa"/>
                  <w:tcBorders>
                    <w:top w:val="nil"/>
                    <w:left w:val="nil"/>
                    <w:bottom w:val="nil"/>
                    <w:right w:val="single" w:sz="4" w:space="0" w:color="auto"/>
                  </w:tcBorders>
                  <w:shd w:val="clear" w:color="auto" w:fill="auto"/>
                  <w:noWrap/>
                  <w:vAlign w:val="center"/>
                  <w:hideMark/>
                </w:tcPr>
                <w:p w14:paraId="3E492410" w14:textId="77777777" w:rsidR="00087221" w:rsidRPr="00087221" w:rsidRDefault="00087221" w:rsidP="00E71244">
                  <w:pPr>
                    <w:tabs>
                      <w:tab w:val="decimal" w:pos="230"/>
                    </w:tabs>
                    <w:spacing w:after="0" w:line="240" w:lineRule="auto"/>
                    <w:ind w:right="32" w:firstLineChars="100" w:firstLine="200"/>
                    <w:jc w:val="right"/>
                    <w:rPr>
                      <w:color w:val="00B050"/>
                      <w:sz w:val="20"/>
                      <w:szCs w:val="20"/>
                      <w:lang w:eastAsia="sk-SK"/>
                    </w:rPr>
                  </w:pPr>
                  <w:r w:rsidRPr="00087221">
                    <w:rPr>
                      <w:color w:val="00B050"/>
                      <w:sz w:val="20"/>
                      <w:szCs w:val="20"/>
                    </w:rPr>
                    <w:t>-3,6</w:t>
                  </w:r>
                </w:p>
              </w:tc>
            </w:tr>
            <w:tr w:rsidR="00087221" w:rsidRPr="00087221" w14:paraId="70C5DF88"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7627BE0B" w14:textId="77777777" w:rsidR="00087221" w:rsidRPr="00087221" w:rsidRDefault="00087221" w:rsidP="00E71244">
                  <w:pPr>
                    <w:spacing w:after="0" w:line="240" w:lineRule="auto"/>
                    <w:rPr>
                      <w:sz w:val="20"/>
                      <w:szCs w:val="20"/>
                      <w:lang w:eastAsia="sk-SK"/>
                    </w:rPr>
                  </w:pPr>
                  <w:r w:rsidRPr="00087221">
                    <w:rPr>
                      <w:sz w:val="20"/>
                      <w:szCs w:val="20"/>
                    </w:rPr>
                    <w:t>Luxembursko</w:t>
                  </w:r>
                </w:p>
              </w:tc>
              <w:tc>
                <w:tcPr>
                  <w:tcW w:w="764" w:type="dxa"/>
                  <w:tcBorders>
                    <w:top w:val="nil"/>
                    <w:left w:val="nil"/>
                    <w:bottom w:val="nil"/>
                    <w:right w:val="nil"/>
                  </w:tcBorders>
                  <w:shd w:val="clear" w:color="auto" w:fill="auto"/>
                  <w:noWrap/>
                  <w:vAlign w:val="center"/>
                  <w:hideMark/>
                </w:tcPr>
                <w:p w14:paraId="6DB2A8E6"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0,5</w:t>
                  </w:r>
                </w:p>
              </w:tc>
              <w:tc>
                <w:tcPr>
                  <w:tcW w:w="826" w:type="dxa"/>
                  <w:tcBorders>
                    <w:top w:val="nil"/>
                    <w:left w:val="nil"/>
                    <w:bottom w:val="nil"/>
                    <w:right w:val="nil"/>
                  </w:tcBorders>
                  <w:shd w:val="clear" w:color="auto" w:fill="auto"/>
                  <w:noWrap/>
                  <w:vAlign w:val="center"/>
                  <w:hideMark/>
                </w:tcPr>
                <w:p w14:paraId="7A0677F6"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-0,3</w:t>
                  </w:r>
                </w:p>
              </w:tc>
              <w:tc>
                <w:tcPr>
                  <w:tcW w:w="742" w:type="dxa"/>
                  <w:tcBorders>
                    <w:top w:val="nil"/>
                    <w:left w:val="nil"/>
                    <w:bottom w:val="nil"/>
                    <w:right w:val="nil"/>
                  </w:tcBorders>
                  <w:shd w:val="clear" w:color="auto" w:fill="auto"/>
                  <w:noWrap/>
                  <w:vAlign w:val="center"/>
                  <w:hideMark/>
                </w:tcPr>
                <w:p w14:paraId="653514AC"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-1,3</w:t>
                  </w:r>
                </w:p>
              </w:tc>
              <w:tc>
                <w:tcPr>
                  <w:tcW w:w="728" w:type="dxa"/>
                  <w:tcBorders>
                    <w:top w:val="nil"/>
                    <w:left w:val="nil"/>
                    <w:bottom w:val="nil"/>
                    <w:right w:val="nil"/>
                  </w:tcBorders>
                  <w:shd w:val="clear" w:color="auto" w:fill="auto"/>
                  <w:noWrap/>
                  <w:vAlign w:val="center"/>
                  <w:hideMark/>
                </w:tcPr>
                <w:p w14:paraId="4066F183"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FF0000"/>
                      <w:sz w:val="20"/>
                      <w:szCs w:val="20"/>
                    </w:rPr>
                    <w:t>-1,0</w:t>
                  </w:r>
                </w:p>
              </w:tc>
              <w:tc>
                <w:tcPr>
                  <w:tcW w:w="1453" w:type="dxa"/>
                  <w:tcBorders>
                    <w:top w:val="nil"/>
                    <w:left w:val="single" w:sz="4" w:space="0" w:color="auto"/>
                    <w:bottom w:val="nil"/>
                    <w:right w:val="nil"/>
                  </w:tcBorders>
                  <w:shd w:val="clear" w:color="auto" w:fill="auto"/>
                  <w:noWrap/>
                  <w:vAlign w:val="center"/>
                  <w:hideMark/>
                </w:tcPr>
                <w:p w14:paraId="484BFF10" w14:textId="77777777" w:rsidR="00087221" w:rsidRPr="00087221" w:rsidRDefault="00087221" w:rsidP="00E71244">
                  <w:pPr>
                    <w:spacing w:after="0" w:line="240" w:lineRule="auto"/>
                    <w:rPr>
                      <w:sz w:val="20"/>
                      <w:szCs w:val="20"/>
                      <w:lang w:eastAsia="sk-SK"/>
                    </w:rPr>
                  </w:pPr>
                  <w:r w:rsidRPr="00087221">
                    <w:rPr>
                      <w:sz w:val="20"/>
                      <w:szCs w:val="20"/>
                    </w:rPr>
                    <w:t>Česká republika</w:t>
                  </w:r>
                </w:p>
              </w:tc>
              <w:tc>
                <w:tcPr>
                  <w:tcW w:w="843" w:type="dxa"/>
                  <w:tcBorders>
                    <w:top w:val="nil"/>
                    <w:left w:val="nil"/>
                    <w:bottom w:val="nil"/>
                    <w:right w:val="nil"/>
                  </w:tcBorders>
                  <w:shd w:val="clear" w:color="auto" w:fill="auto"/>
                  <w:noWrap/>
                  <w:vAlign w:val="center"/>
                  <w:hideMark/>
                </w:tcPr>
                <w:p w14:paraId="2684E5CD"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42,0</w:t>
                  </w:r>
                </w:p>
              </w:tc>
              <w:tc>
                <w:tcPr>
                  <w:tcW w:w="843" w:type="dxa"/>
                  <w:tcBorders>
                    <w:top w:val="nil"/>
                    <w:left w:val="nil"/>
                    <w:bottom w:val="nil"/>
                    <w:right w:val="nil"/>
                  </w:tcBorders>
                  <w:shd w:val="clear" w:color="auto" w:fill="auto"/>
                  <w:noWrap/>
                  <w:vAlign w:val="center"/>
                  <w:hideMark/>
                </w:tcPr>
                <w:p w14:paraId="5370ACE8"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44,2</w:t>
                  </w:r>
                </w:p>
              </w:tc>
              <w:tc>
                <w:tcPr>
                  <w:tcW w:w="864" w:type="dxa"/>
                  <w:tcBorders>
                    <w:top w:val="nil"/>
                    <w:left w:val="nil"/>
                    <w:bottom w:val="nil"/>
                    <w:right w:val="nil"/>
                  </w:tcBorders>
                  <w:shd w:val="clear" w:color="auto" w:fill="auto"/>
                  <w:noWrap/>
                  <w:vAlign w:val="center"/>
                  <w:hideMark/>
                </w:tcPr>
                <w:p w14:paraId="24A62C68"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44,0</w:t>
                  </w:r>
                </w:p>
              </w:tc>
              <w:tc>
                <w:tcPr>
                  <w:tcW w:w="799" w:type="dxa"/>
                  <w:tcBorders>
                    <w:top w:val="nil"/>
                    <w:left w:val="nil"/>
                    <w:bottom w:val="nil"/>
                    <w:right w:val="single" w:sz="4" w:space="0" w:color="auto"/>
                  </w:tcBorders>
                  <w:shd w:val="clear" w:color="auto" w:fill="auto"/>
                  <w:noWrap/>
                  <w:vAlign w:val="center"/>
                  <w:hideMark/>
                </w:tcPr>
                <w:p w14:paraId="16024962" w14:textId="77777777" w:rsidR="00087221" w:rsidRPr="00087221" w:rsidRDefault="00087221" w:rsidP="00E71244">
                  <w:pPr>
                    <w:tabs>
                      <w:tab w:val="decimal" w:pos="230"/>
                    </w:tabs>
                    <w:spacing w:after="0" w:line="240" w:lineRule="auto"/>
                    <w:ind w:right="32" w:firstLineChars="100" w:firstLine="200"/>
                    <w:jc w:val="right"/>
                    <w:rPr>
                      <w:color w:val="FF0000"/>
                      <w:sz w:val="20"/>
                      <w:szCs w:val="20"/>
                      <w:lang w:eastAsia="sk-SK"/>
                    </w:rPr>
                  </w:pPr>
                  <w:r w:rsidRPr="00087221">
                    <w:rPr>
                      <w:color w:val="00B050"/>
                      <w:sz w:val="20"/>
                      <w:szCs w:val="20"/>
                    </w:rPr>
                    <w:t>-0,2</w:t>
                  </w:r>
                </w:p>
              </w:tc>
            </w:tr>
            <w:tr w:rsidR="00087221" w:rsidRPr="00087221" w14:paraId="7C7776CA"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721D67AE" w14:textId="77777777" w:rsidR="00087221" w:rsidRPr="00087221" w:rsidRDefault="00087221" w:rsidP="00E71244">
                  <w:pPr>
                    <w:spacing w:after="0" w:line="240" w:lineRule="auto"/>
                    <w:rPr>
                      <w:sz w:val="20"/>
                      <w:szCs w:val="20"/>
                      <w:lang w:eastAsia="sk-SK"/>
                    </w:rPr>
                  </w:pPr>
                  <w:r w:rsidRPr="00087221">
                    <w:rPr>
                      <w:sz w:val="20"/>
                      <w:szCs w:val="20"/>
                    </w:rPr>
                    <w:t>Litva</w:t>
                  </w:r>
                </w:p>
              </w:tc>
              <w:tc>
                <w:tcPr>
                  <w:tcW w:w="764" w:type="dxa"/>
                  <w:tcBorders>
                    <w:top w:val="nil"/>
                    <w:left w:val="nil"/>
                    <w:bottom w:val="nil"/>
                    <w:right w:val="nil"/>
                  </w:tcBorders>
                  <w:shd w:val="clear" w:color="auto" w:fill="auto"/>
                  <w:noWrap/>
                  <w:vAlign w:val="center"/>
                  <w:hideMark/>
                </w:tcPr>
                <w:p w14:paraId="6D1F610A"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-1,1</w:t>
                  </w:r>
                </w:p>
              </w:tc>
              <w:tc>
                <w:tcPr>
                  <w:tcW w:w="826" w:type="dxa"/>
                  <w:tcBorders>
                    <w:top w:val="nil"/>
                    <w:left w:val="nil"/>
                    <w:bottom w:val="nil"/>
                    <w:right w:val="nil"/>
                  </w:tcBorders>
                  <w:shd w:val="clear" w:color="auto" w:fill="auto"/>
                  <w:noWrap/>
                  <w:vAlign w:val="center"/>
                  <w:hideMark/>
                </w:tcPr>
                <w:p w14:paraId="67DAACF3"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-0,6</w:t>
                  </w:r>
                </w:p>
              </w:tc>
              <w:tc>
                <w:tcPr>
                  <w:tcW w:w="742" w:type="dxa"/>
                  <w:tcBorders>
                    <w:top w:val="nil"/>
                    <w:left w:val="nil"/>
                    <w:bottom w:val="nil"/>
                    <w:right w:val="nil"/>
                  </w:tcBorders>
                  <w:shd w:val="clear" w:color="auto" w:fill="auto"/>
                  <w:noWrap/>
                  <w:vAlign w:val="center"/>
                  <w:hideMark/>
                </w:tcPr>
                <w:p w14:paraId="4B29CAE8"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-0,8</w:t>
                  </w:r>
                </w:p>
              </w:tc>
              <w:tc>
                <w:tcPr>
                  <w:tcW w:w="728" w:type="dxa"/>
                  <w:tcBorders>
                    <w:top w:val="nil"/>
                    <w:left w:val="nil"/>
                    <w:bottom w:val="nil"/>
                    <w:right w:val="nil"/>
                  </w:tcBorders>
                  <w:shd w:val="clear" w:color="auto" w:fill="auto"/>
                  <w:noWrap/>
                  <w:vAlign w:val="center"/>
                  <w:hideMark/>
                </w:tcPr>
                <w:p w14:paraId="1D59FDF3"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FF0000"/>
                      <w:sz w:val="20"/>
                      <w:szCs w:val="20"/>
                    </w:rPr>
                    <w:t>-0,2</w:t>
                  </w:r>
                </w:p>
              </w:tc>
              <w:tc>
                <w:tcPr>
                  <w:tcW w:w="1453" w:type="dxa"/>
                  <w:tcBorders>
                    <w:top w:val="nil"/>
                    <w:left w:val="single" w:sz="4" w:space="0" w:color="auto"/>
                    <w:bottom w:val="nil"/>
                    <w:right w:val="nil"/>
                  </w:tcBorders>
                  <w:shd w:val="clear" w:color="auto" w:fill="auto"/>
                  <w:noWrap/>
                  <w:vAlign w:val="center"/>
                  <w:hideMark/>
                </w:tcPr>
                <w:p w14:paraId="20701AB0" w14:textId="77777777" w:rsidR="00087221" w:rsidRPr="00087221" w:rsidRDefault="00087221" w:rsidP="00E71244">
                  <w:pPr>
                    <w:spacing w:after="0" w:line="240" w:lineRule="auto"/>
                    <w:rPr>
                      <w:sz w:val="20"/>
                      <w:szCs w:val="20"/>
                      <w:lang w:eastAsia="sk-SK"/>
                    </w:rPr>
                  </w:pPr>
                  <w:r w:rsidRPr="00087221">
                    <w:rPr>
                      <w:sz w:val="20"/>
                      <w:szCs w:val="20"/>
                    </w:rPr>
                    <w:t>Írsko</w:t>
                  </w:r>
                </w:p>
              </w:tc>
              <w:tc>
                <w:tcPr>
                  <w:tcW w:w="843" w:type="dxa"/>
                  <w:tcBorders>
                    <w:top w:val="nil"/>
                    <w:left w:val="nil"/>
                    <w:bottom w:val="nil"/>
                    <w:right w:val="nil"/>
                  </w:tcBorders>
                  <w:shd w:val="clear" w:color="auto" w:fill="auto"/>
                  <w:noWrap/>
                  <w:vAlign w:val="center"/>
                  <w:hideMark/>
                </w:tcPr>
                <w:p w14:paraId="07BC8963"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54,4</w:t>
                  </w:r>
                </w:p>
              </w:tc>
              <w:tc>
                <w:tcPr>
                  <w:tcW w:w="843" w:type="dxa"/>
                  <w:tcBorders>
                    <w:top w:val="nil"/>
                    <w:left w:val="nil"/>
                    <w:bottom w:val="nil"/>
                    <w:right w:val="nil"/>
                  </w:tcBorders>
                  <w:shd w:val="clear" w:color="auto" w:fill="auto"/>
                  <w:noWrap/>
                  <w:vAlign w:val="center"/>
                  <w:hideMark/>
                </w:tcPr>
                <w:p w14:paraId="66EF5E53"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44,4</w:t>
                  </w:r>
                </w:p>
              </w:tc>
              <w:tc>
                <w:tcPr>
                  <w:tcW w:w="864" w:type="dxa"/>
                  <w:tcBorders>
                    <w:top w:val="nil"/>
                    <w:left w:val="nil"/>
                    <w:bottom w:val="nil"/>
                    <w:right w:val="nil"/>
                  </w:tcBorders>
                  <w:shd w:val="clear" w:color="auto" w:fill="auto"/>
                  <w:noWrap/>
                  <w:vAlign w:val="center"/>
                  <w:hideMark/>
                </w:tcPr>
                <w:p w14:paraId="08027B4F"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43,7</w:t>
                  </w:r>
                </w:p>
              </w:tc>
              <w:tc>
                <w:tcPr>
                  <w:tcW w:w="799" w:type="dxa"/>
                  <w:tcBorders>
                    <w:top w:val="nil"/>
                    <w:left w:val="nil"/>
                    <w:bottom w:val="nil"/>
                    <w:right w:val="single" w:sz="4" w:space="0" w:color="auto"/>
                  </w:tcBorders>
                  <w:shd w:val="clear" w:color="auto" w:fill="auto"/>
                  <w:noWrap/>
                  <w:vAlign w:val="center"/>
                  <w:hideMark/>
                </w:tcPr>
                <w:p w14:paraId="6241416A" w14:textId="77777777" w:rsidR="00087221" w:rsidRPr="00087221" w:rsidRDefault="00087221" w:rsidP="00E71244">
                  <w:pPr>
                    <w:tabs>
                      <w:tab w:val="decimal" w:pos="230"/>
                    </w:tabs>
                    <w:spacing w:after="0" w:line="240" w:lineRule="auto"/>
                    <w:ind w:right="32" w:firstLineChars="100" w:firstLine="200"/>
                    <w:jc w:val="right"/>
                    <w:rPr>
                      <w:color w:val="00B050"/>
                      <w:sz w:val="20"/>
                      <w:szCs w:val="20"/>
                      <w:lang w:eastAsia="sk-SK"/>
                    </w:rPr>
                  </w:pPr>
                  <w:r w:rsidRPr="00087221">
                    <w:rPr>
                      <w:color w:val="00B050"/>
                      <w:sz w:val="20"/>
                      <w:szCs w:val="20"/>
                    </w:rPr>
                    <w:t>-0,7</w:t>
                  </w:r>
                </w:p>
              </w:tc>
            </w:tr>
            <w:tr w:rsidR="00087221" w:rsidRPr="00087221" w14:paraId="2CA8AA61"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0E152A2F" w14:textId="77777777" w:rsidR="00087221" w:rsidRPr="00087221" w:rsidRDefault="00087221" w:rsidP="00E71244">
                  <w:pPr>
                    <w:spacing w:after="0" w:line="240" w:lineRule="auto"/>
                    <w:rPr>
                      <w:sz w:val="20"/>
                      <w:szCs w:val="20"/>
                      <w:lang w:eastAsia="sk-SK"/>
                    </w:rPr>
                  </w:pPr>
                  <w:r w:rsidRPr="00087221">
                    <w:rPr>
                      <w:sz w:val="20"/>
                      <w:szCs w:val="20"/>
                    </w:rPr>
                    <w:t>Chorvátsko</w:t>
                  </w:r>
                </w:p>
              </w:tc>
              <w:tc>
                <w:tcPr>
                  <w:tcW w:w="764" w:type="dxa"/>
                  <w:tcBorders>
                    <w:top w:val="nil"/>
                    <w:left w:val="nil"/>
                    <w:bottom w:val="nil"/>
                    <w:right w:val="nil"/>
                  </w:tcBorders>
                  <w:shd w:val="clear" w:color="auto" w:fill="auto"/>
                  <w:noWrap/>
                  <w:vAlign w:val="center"/>
                  <w:hideMark/>
                </w:tcPr>
                <w:p w14:paraId="5CFFF7DB"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-2,5</w:t>
                  </w:r>
                </w:p>
              </w:tc>
              <w:tc>
                <w:tcPr>
                  <w:tcW w:w="826" w:type="dxa"/>
                  <w:tcBorders>
                    <w:top w:val="nil"/>
                    <w:left w:val="nil"/>
                    <w:bottom w:val="nil"/>
                    <w:right w:val="nil"/>
                  </w:tcBorders>
                  <w:shd w:val="clear" w:color="auto" w:fill="auto"/>
                  <w:noWrap/>
                  <w:vAlign w:val="center"/>
                  <w:hideMark/>
                </w:tcPr>
                <w:p w14:paraId="62D481E5"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0,1</w:t>
                  </w:r>
                </w:p>
              </w:tc>
              <w:tc>
                <w:tcPr>
                  <w:tcW w:w="742" w:type="dxa"/>
                  <w:tcBorders>
                    <w:top w:val="nil"/>
                    <w:left w:val="nil"/>
                    <w:bottom w:val="nil"/>
                    <w:right w:val="nil"/>
                  </w:tcBorders>
                  <w:shd w:val="clear" w:color="auto" w:fill="auto"/>
                  <w:noWrap/>
                  <w:vAlign w:val="center"/>
                  <w:hideMark/>
                </w:tcPr>
                <w:p w14:paraId="0D881944"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-0,7</w:t>
                  </w:r>
                </w:p>
              </w:tc>
              <w:tc>
                <w:tcPr>
                  <w:tcW w:w="728" w:type="dxa"/>
                  <w:tcBorders>
                    <w:top w:val="nil"/>
                    <w:left w:val="nil"/>
                    <w:bottom w:val="nil"/>
                    <w:right w:val="nil"/>
                  </w:tcBorders>
                  <w:shd w:val="clear" w:color="auto" w:fill="auto"/>
                  <w:noWrap/>
                  <w:vAlign w:val="center"/>
                  <w:hideMark/>
                </w:tcPr>
                <w:p w14:paraId="393E0ED5"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FF0000"/>
                      <w:sz w:val="20"/>
                      <w:szCs w:val="20"/>
                    </w:rPr>
                    <w:t>-0,8</w:t>
                  </w:r>
                </w:p>
              </w:tc>
              <w:tc>
                <w:tcPr>
                  <w:tcW w:w="1453" w:type="dxa"/>
                  <w:tcBorders>
                    <w:top w:val="nil"/>
                    <w:left w:val="single" w:sz="4" w:space="0" w:color="auto"/>
                    <w:bottom w:val="nil"/>
                    <w:right w:val="nil"/>
                  </w:tcBorders>
                  <w:shd w:val="clear" w:color="auto" w:fill="auto"/>
                  <w:noWrap/>
                  <w:vAlign w:val="center"/>
                  <w:hideMark/>
                </w:tcPr>
                <w:p w14:paraId="1CCBE603" w14:textId="77777777" w:rsidR="00087221" w:rsidRPr="00087221" w:rsidRDefault="00087221" w:rsidP="00E71244">
                  <w:pPr>
                    <w:spacing w:after="0" w:line="240" w:lineRule="auto"/>
                    <w:rPr>
                      <w:sz w:val="20"/>
                      <w:szCs w:val="20"/>
                      <w:lang w:eastAsia="sk-SK"/>
                    </w:rPr>
                  </w:pPr>
                  <w:r w:rsidRPr="00087221">
                    <w:rPr>
                      <w:sz w:val="20"/>
                      <w:szCs w:val="20"/>
                    </w:rPr>
                    <w:t>Lotyšsko</w:t>
                  </w:r>
                </w:p>
              </w:tc>
              <w:tc>
                <w:tcPr>
                  <w:tcW w:w="843" w:type="dxa"/>
                  <w:tcBorders>
                    <w:top w:val="nil"/>
                    <w:left w:val="nil"/>
                    <w:bottom w:val="nil"/>
                    <w:right w:val="nil"/>
                  </w:tcBorders>
                  <w:shd w:val="clear" w:color="auto" w:fill="auto"/>
                  <w:noWrap/>
                  <w:vAlign w:val="center"/>
                  <w:hideMark/>
                </w:tcPr>
                <w:p w14:paraId="5543B264"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44,4</w:t>
                  </w:r>
                </w:p>
              </w:tc>
              <w:tc>
                <w:tcPr>
                  <w:tcW w:w="843" w:type="dxa"/>
                  <w:tcBorders>
                    <w:top w:val="nil"/>
                    <w:left w:val="nil"/>
                    <w:bottom w:val="nil"/>
                    <w:right w:val="nil"/>
                  </w:tcBorders>
                  <w:shd w:val="clear" w:color="auto" w:fill="auto"/>
                  <w:noWrap/>
                  <w:vAlign w:val="center"/>
                  <w:hideMark/>
                </w:tcPr>
                <w:p w14:paraId="211F941A"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41,8</w:t>
                  </w:r>
                </w:p>
              </w:tc>
              <w:tc>
                <w:tcPr>
                  <w:tcW w:w="864" w:type="dxa"/>
                  <w:tcBorders>
                    <w:top w:val="nil"/>
                    <w:left w:val="nil"/>
                    <w:bottom w:val="nil"/>
                    <w:right w:val="nil"/>
                  </w:tcBorders>
                  <w:shd w:val="clear" w:color="auto" w:fill="auto"/>
                  <w:noWrap/>
                  <w:vAlign w:val="center"/>
                  <w:hideMark/>
                </w:tcPr>
                <w:p w14:paraId="538160E4"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43,6</w:t>
                  </w:r>
                </w:p>
              </w:tc>
              <w:tc>
                <w:tcPr>
                  <w:tcW w:w="799" w:type="dxa"/>
                  <w:tcBorders>
                    <w:top w:val="nil"/>
                    <w:left w:val="nil"/>
                    <w:bottom w:val="nil"/>
                    <w:right w:val="single" w:sz="4" w:space="0" w:color="auto"/>
                  </w:tcBorders>
                  <w:shd w:val="clear" w:color="auto" w:fill="auto"/>
                  <w:noWrap/>
                  <w:vAlign w:val="center"/>
                  <w:hideMark/>
                </w:tcPr>
                <w:p w14:paraId="256EF48E" w14:textId="77777777" w:rsidR="00087221" w:rsidRPr="00087221" w:rsidRDefault="00087221" w:rsidP="00E71244">
                  <w:pPr>
                    <w:tabs>
                      <w:tab w:val="decimal" w:pos="230"/>
                    </w:tabs>
                    <w:spacing w:after="0" w:line="240" w:lineRule="auto"/>
                    <w:ind w:right="32" w:firstLineChars="100" w:firstLine="200"/>
                    <w:jc w:val="right"/>
                    <w:rPr>
                      <w:color w:val="FF0000"/>
                      <w:sz w:val="20"/>
                      <w:szCs w:val="20"/>
                      <w:lang w:eastAsia="sk-SK"/>
                    </w:rPr>
                  </w:pPr>
                  <w:r w:rsidRPr="00087221">
                    <w:rPr>
                      <w:color w:val="FF0000"/>
                      <w:sz w:val="20"/>
                      <w:szCs w:val="20"/>
                    </w:rPr>
                    <w:t>1,8</w:t>
                  </w:r>
                </w:p>
              </w:tc>
            </w:tr>
            <w:tr w:rsidR="00087221" w:rsidRPr="00087221" w14:paraId="70CDD5D3"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5D9D06F4" w14:textId="77777777" w:rsidR="00087221" w:rsidRPr="00087221" w:rsidRDefault="00087221" w:rsidP="00E71244">
                  <w:pPr>
                    <w:spacing w:after="0" w:line="240" w:lineRule="auto"/>
                    <w:rPr>
                      <w:sz w:val="20"/>
                      <w:szCs w:val="20"/>
                      <w:lang w:eastAsia="sk-SK"/>
                    </w:rPr>
                  </w:pPr>
                  <w:r w:rsidRPr="00087221">
                    <w:rPr>
                      <w:sz w:val="20"/>
                      <w:szCs w:val="20"/>
                    </w:rPr>
                    <w:t>Švédsko</w:t>
                  </w:r>
                </w:p>
              </w:tc>
              <w:tc>
                <w:tcPr>
                  <w:tcW w:w="764" w:type="dxa"/>
                  <w:tcBorders>
                    <w:top w:val="nil"/>
                    <w:left w:val="nil"/>
                    <w:bottom w:val="nil"/>
                    <w:right w:val="nil"/>
                  </w:tcBorders>
                  <w:shd w:val="clear" w:color="auto" w:fill="auto"/>
                  <w:noWrap/>
                  <w:vAlign w:val="center"/>
                  <w:hideMark/>
                </w:tcPr>
                <w:p w14:paraId="6C20B5ED"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0,0</w:t>
                  </w:r>
                </w:p>
              </w:tc>
              <w:tc>
                <w:tcPr>
                  <w:tcW w:w="826" w:type="dxa"/>
                  <w:tcBorders>
                    <w:top w:val="nil"/>
                    <w:left w:val="nil"/>
                    <w:bottom w:val="nil"/>
                    <w:right w:val="nil"/>
                  </w:tcBorders>
                  <w:shd w:val="clear" w:color="auto" w:fill="auto"/>
                  <w:noWrap/>
                  <w:vAlign w:val="center"/>
                  <w:hideMark/>
                </w:tcPr>
                <w:p w14:paraId="3DF02588"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1,2</w:t>
                  </w:r>
                </w:p>
              </w:tc>
              <w:tc>
                <w:tcPr>
                  <w:tcW w:w="742" w:type="dxa"/>
                  <w:tcBorders>
                    <w:top w:val="nil"/>
                    <w:left w:val="nil"/>
                    <w:bottom w:val="nil"/>
                    <w:right w:val="nil"/>
                  </w:tcBorders>
                  <w:shd w:val="clear" w:color="auto" w:fill="auto"/>
                  <w:noWrap/>
                  <w:vAlign w:val="center"/>
                  <w:hideMark/>
                </w:tcPr>
                <w:p w14:paraId="40DCA38E"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-0,6</w:t>
                  </w:r>
                </w:p>
              </w:tc>
              <w:tc>
                <w:tcPr>
                  <w:tcW w:w="728" w:type="dxa"/>
                  <w:tcBorders>
                    <w:top w:val="nil"/>
                    <w:left w:val="nil"/>
                    <w:bottom w:val="nil"/>
                    <w:right w:val="nil"/>
                  </w:tcBorders>
                  <w:shd w:val="clear" w:color="auto" w:fill="auto"/>
                  <w:noWrap/>
                  <w:vAlign w:val="center"/>
                  <w:hideMark/>
                </w:tcPr>
                <w:p w14:paraId="6B7B4D8F"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FF0000"/>
                      <w:sz w:val="20"/>
                      <w:szCs w:val="20"/>
                    </w:rPr>
                    <w:t>-1,8</w:t>
                  </w:r>
                </w:p>
              </w:tc>
              <w:tc>
                <w:tcPr>
                  <w:tcW w:w="1453" w:type="dxa"/>
                  <w:tcBorders>
                    <w:top w:val="nil"/>
                    <w:left w:val="single" w:sz="4" w:space="0" w:color="auto"/>
                    <w:bottom w:val="nil"/>
                    <w:right w:val="nil"/>
                  </w:tcBorders>
                  <w:shd w:val="clear" w:color="auto" w:fill="auto"/>
                  <w:noWrap/>
                  <w:vAlign w:val="center"/>
                  <w:hideMark/>
                </w:tcPr>
                <w:p w14:paraId="745B5205" w14:textId="77777777" w:rsidR="00087221" w:rsidRPr="00087221" w:rsidRDefault="00087221" w:rsidP="00E71244">
                  <w:pPr>
                    <w:spacing w:after="0" w:line="240" w:lineRule="auto"/>
                    <w:ind w:right="-209"/>
                    <w:rPr>
                      <w:sz w:val="20"/>
                      <w:szCs w:val="20"/>
                      <w:lang w:eastAsia="sk-SK"/>
                    </w:rPr>
                  </w:pPr>
                  <w:r w:rsidRPr="00087221">
                    <w:rPr>
                      <w:sz w:val="20"/>
                      <w:szCs w:val="20"/>
                    </w:rPr>
                    <w:t>Litva</w:t>
                  </w:r>
                </w:p>
              </w:tc>
              <w:tc>
                <w:tcPr>
                  <w:tcW w:w="843" w:type="dxa"/>
                  <w:tcBorders>
                    <w:top w:val="nil"/>
                    <w:left w:val="nil"/>
                    <w:bottom w:val="nil"/>
                    <w:right w:val="nil"/>
                  </w:tcBorders>
                  <w:shd w:val="clear" w:color="auto" w:fill="auto"/>
                  <w:noWrap/>
                  <w:vAlign w:val="center"/>
                  <w:hideMark/>
                </w:tcPr>
                <w:p w14:paraId="6E667962"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43,4</w:t>
                  </w:r>
                </w:p>
              </w:tc>
              <w:tc>
                <w:tcPr>
                  <w:tcW w:w="843" w:type="dxa"/>
                  <w:tcBorders>
                    <w:top w:val="nil"/>
                    <w:left w:val="nil"/>
                    <w:bottom w:val="nil"/>
                    <w:right w:val="nil"/>
                  </w:tcBorders>
                  <w:shd w:val="clear" w:color="auto" w:fill="auto"/>
                  <w:noWrap/>
                  <w:vAlign w:val="center"/>
                  <w:hideMark/>
                </w:tcPr>
                <w:p w14:paraId="6C4B9045"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38,1</w:t>
                  </w:r>
                </w:p>
              </w:tc>
              <w:tc>
                <w:tcPr>
                  <w:tcW w:w="864" w:type="dxa"/>
                  <w:tcBorders>
                    <w:top w:val="nil"/>
                    <w:left w:val="nil"/>
                    <w:bottom w:val="nil"/>
                    <w:right w:val="nil"/>
                  </w:tcBorders>
                  <w:shd w:val="clear" w:color="auto" w:fill="auto"/>
                  <w:noWrap/>
                  <w:vAlign w:val="center"/>
                  <w:hideMark/>
                </w:tcPr>
                <w:p w14:paraId="29EAA805"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38,3</w:t>
                  </w:r>
                </w:p>
              </w:tc>
              <w:tc>
                <w:tcPr>
                  <w:tcW w:w="799" w:type="dxa"/>
                  <w:tcBorders>
                    <w:top w:val="nil"/>
                    <w:left w:val="nil"/>
                    <w:bottom w:val="nil"/>
                    <w:right w:val="single" w:sz="4" w:space="0" w:color="auto"/>
                  </w:tcBorders>
                  <w:shd w:val="clear" w:color="auto" w:fill="auto"/>
                  <w:noWrap/>
                  <w:vAlign w:val="center"/>
                  <w:hideMark/>
                </w:tcPr>
                <w:p w14:paraId="2A3C9286" w14:textId="77777777" w:rsidR="00087221" w:rsidRPr="00087221" w:rsidRDefault="00087221" w:rsidP="00E71244">
                  <w:pPr>
                    <w:tabs>
                      <w:tab w:val="decimal" w:pos="230"/>
                    </w:tabs>
                    <w:spacing w:after="0" w:line="240" w:lineRule="auto"/>
                    <w:ind w:right="32" w:firstLineChars="100" w:firstLine="200"/>
                    <w:jc w:val="right"/>
                    <w:rPr>
                      <w:color w:val="FF0000"/>
                      <w:sz w:val="20"/>
                      <w:szCs w:val="20"/>
                      <w:lang w:eastAsia="sk-SK"/>
                    </w:rPr>
                  </w:pPr>
                  <w:r w:rsidRPr="00087221">
                    <w:rPr>
                      <w:color w:val="FF0000"/>
                      <w:sz w:val="20"/>
                      <w:szCs w:val="20"/>
                    </w:rPr>
                    <w:t>0,2</w:t>
                  </w:r>
                </w:p>
              </w:tc>
            </w:tr>
            <w:tr w:rsidR="00087221" w:rsidRPr="00087221" w14:paraId="30C54828"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2390F3DE" w14:textId="77777777" w:rsidR="00087221" w:rsidRPr="00087221" w:rsidRDefault="00087221" w:rsidP="00E71244">
                  <w:pPr>
                    <w:spacing w:after="0" w:line="240" w:lineRule="auto"/>
                    <w:rPr>
                      <w:sz w:val="20"/>
                      <w:szCs w:val="20"/>
                      <w:lang w:eastAsia="sk-SK"/>
                    </w:rPr>
                  </w:pPr>
                  <w:r w:rsidRPr="00087221">
                    <w:rPr>
                      <w:sz w:val="20"/>
                      <w:szCs w:val="20"/>
                    </w:rPr>
                    <w:t>Holandsko</w:t>
                  </w:r>
                </w:p>
              </w:tc>
              <w:tc>
                <w:tcPr>
                  <w:tcW w:w="764" w:type="dxa"/>
                  <w:tcBorders>
                    <w:top w:val="nil"/>
                    <w:left w:val="nil"/>
                    <w:bottom w:val="nil"/>
                    <w:right w:val="nil"/>
                  </w:tcBorders>
                  <w:shd w:val="clear" w:color="auto" w:fill="auto"/>
                  <w:noWrap/>
                  <w:vAlign w:val="center"/>
                  <w:hideMark/>
                </w:tcPr>
                <w:p w14:paraId="0AE85B00"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-2,2</w:t>
                  </w:r>
                </w:p>
              </w:tc>
              <w:tc>
                <w:tcPr>
                  <w:tcW w:w="826" w:type="dxa"/>
                  <w:tcBorders>
                    <w:top w:val="nil"/>
                    <w:left w:val="nil"/>
                    <w:bottom w:val="nil"/>
                    <w:right w:val="nil"/>
                  </w:tcBorders>
                  <w:shd w:val="clear" w:color="auto" w:fill="auto"/>
                  <w:noWrap/>
                  <w:vAlign w:val="center"/>
                  <w:hideMark/>
                </w:tcPr>
                <w:p w14:paraId="0EF7D031"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-0,1</w:t>
                  </w:r>
                </w:p>
              </w:tc>
              <w:tc>
                <w:tcPr>
                  <w:tcW w:w="742" w:type="dxa"/>
                  <w:tcBorders>
                    <w:top w:val="nil"/>
                    <w:left w:val="nil"/>
                    <w:bottom w:val="nil"/>
                    <w:right w:val="nil"/>
                  </w:tcBorders>
                  <w:shd w:val="clear" w:color="auto" w:fill="auto"/>
                  <w:noWrap/>
                  <w:vAlign w:val="center"/>
                  <w:hideMark/>
                </w:tcPr>
                <w:p w14:paraId="53FA9C53"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-0,3</w:t>
                  </w:r>
                </w:p>
              </w:tc>
              <w:tc>
                <w:tcPr>
                  <w:tcW w:w="728" w:type="dxa"/>
                  <w:tcBorders>
                    <w:top w:val="nil"/>
                    <w:left w:val="nil"/>
                    <w:bottom w:val="nil"/>
                    <w:right w:val="nil"/>
                  </w:tcBorders>
                  <w:shd w:val="clear" w:color="auto" w:fill="auto"/>
                  <w:noWrap/>
                  <w:vAlign w:val="center"/>
                  <w:hideMark/>
                </w:tcPr>
                <w:p w14:paraId="504C02A7"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FF0000"/>
                      <w:sz w:val="20"/>
                      <w:szCs w:val="20"/>
                    </w:rPr>
                    <w:t>-0,2</w:t>
                  </w:r>
                </w:p>
              </w:tc>
              <w:tc>
                <w:tcPr>
                  <w:tcW w:w="1453" w:type="dxa"/>
                  <w:tcBorders>
                    <w:top w:val="nil"/>
                    <w:left w:val="single" w:sz="4" w:space="0" w:color="auto"/>
                    <w:bottom w:val="nil"/>
                    <w:right w:val="nil"/>
                  </w:tcBorders>
                  <w:shd w:val="clear" w:color="auto" w:fill="auto"/>
                  <w:noWrap/>
                  <w:vAlign w:val="center"/>
                  <w:hideMark/>
                </w:tcPr>
                <w:p w14:paraId="0F0EAD18" w14:textId="77777777" w:rsidR="00087221" w:rsidRPr="00087221" w:rsidRDefault="00087221" w:rsidP="00E71244">
                  <w:pPr>
                    <w:spacing w:after="0" w:line="240" w:lineRule="auto"/>
                    <w:rPr>
                      <w:sz w:val="20"/>
                      <w:szCs w:val="20"/>
                      <w:lang w:eastAsia="sk-SK"/>
                    </w:rPr>
                  </w:pPr>
                  <w:r w:rsidRPr="00087221">
                    <w:rPr>
                      <w:sz w:val="20"/>
                      <w:szCs w:val="20"/>
                    </w:rPr>
                    <w:t>Švédsko</w:t>
                  </w:r>
                </w:p>
              </w:tc>
              <w:tc>
                <w:tcPr>
                  <w:tcW w:w="843" w:type="dxa"/>
                  <w:tcBorders>
                    <w:top w:val="nil"/>
                    <w:left w:val="nil"/>
                    <w:bottom w:val="nil"/>
                    <w:right w:val="nil"/>
                  </w:tcBorders>
                  <w:shd w:val="clear" w:color="auto" w:fill="auto"/>
                  <w:noWrap/>
                  <w:vAlign w:val="center"/>
                  <w:hideMark/>
                </w:tcPr>
                <w:p w14:paraId="41131ED3"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36,7</w:t>
                  </w:r>
                </w:p>
              </w:tc>
              <w:tc>
                <w:tcPr>
                  <w:tcW w:w="843" w:type="dxa"/>
                  <w:tcBorders>
                    <w:top w:val="nil"/>
                    <w:left w:val="nil"/>
                    <w:bottom w:val="nil"/>
                    <w:right w:val="nil"/>
                  </w:tcBorders>
                  <w:shd w:val="clear" w:color="auto" w:fill="auto"/>
                  <w:noWrap/>
                  <w:vAlign w:val="center"/>
                  <w:hideMark/>
                </w:tcPr>
                <w:p w14:paraId="15926BD5"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33,2</w:t>
                  </w:r>
                </w:p>
              </w:tc>
              <w:tc>
                <w:tcPr>
                  <w:tcW w:w="864" w:type="dxa"/>
                  <w:tcBorders>
                    <w:top w:val="nil"/>
                    <w:left w:val="nil"/>
                    <w:bottom w:val="nil"/>
                    <w:right w:val="nil"/>
                  </w:tcBorders>
                  <w:shd w:val="clear" w:color="auto" w:fill="auto"/>
                  <w:noWrap/>
                  <w:vAlign w:val="center"/>
                  <w:hideMark/>
                </w:tcPr>
                <w:p w14:paraId="2D3F826D"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31,2</w:t>
                  </w:r>
                </w:p>
              </w:tc>
              <w:tc>
                <w:tcPr>
                  <w:tcW w:w="799" w:type="dxa"/>
                  <w:tcBorders>
                    <w:top w:val="nil"/>
                    <w:left w:val="nil"/>
                    <w:bottom w:val="nil"/>
                    <w:right w:val="single" w:sz="4" w:space="0" w:color="auto"/>
                  </w:tcBorders>
                  <w:shd w:val="clear" w:color="auto" w:fill="auto"/>
                  <w:noWrap/>
                  <w:vAlign w:val="center"/>
                  <w:hideMark/>
                </w:tcPr>
                <w:p w14:paraId="787B6457" w14:textId="77777777" w:rsidR="00087221" w:rsidRPr="00087221" w:rsidRDefault="00087221" w:rsidP="00E71244">
                  <w:pPr>
                    <w:tabs>
                      <w:tab w:val="decimal" w:pos="230"/>
                    </w:tabs>
                    <w:spacing w:after="0" w:line="240" w:lineRule="auto"/>
                    <w:ind w:right="32" w:firstLineChars="100" w:firstLine="200"/>
                    <w:jc w:val="right"/>
                    <w:rPr>
                      <w:color w:val="00B050"/>
                      <w:sz w:val="20"/>
                      <w:szCs w:val="20"/>
                      <w:lang w:eastAsia="sk-SK"/>
                    </w:rPr>
                  </w:pPr>
                  <w:r w:rsidRPr="00087221">
                    <w:rPr>
                      <w:color w:val="00B050"/>
                      <w:sz w:val="20"/>
                      <w:szCs w:val="20"/>
                    </w:rPr>
                    <w:t>-2,0</w:t>
                  </w:r>
                </w:p>
              </w:tc>
            </w:tr>
            <w:tr w:rsidR="00087221" w:rsidRPr="00087221" w14:paraId="50B4B77F"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1B6DE566" w14:textId="77777777" w:rsidR="00087221" w:rsidRPr="00087221" w:rsidRDefault="00087221" w:rsidP="00E71244">
                  <w:pPr>
                    <w:spacing w:after="0" w:line="240" w:lineRule="auto"/>
                    <w:rPr>
                      <w:sz w:val="20"/>
                      <w:szCs w:val="20"/>
                      <w:lang w:eastAsia="sk-SK"/>
                    </w:rPr>
                  </w:pPr>
                  <w:r w:rsidRPr="00087221">
                    <w:rPr>
                      <w:sz w:val="20"/>
                      <w:szCs w:val="20"/>
                    </w:rPr>
                    <w:t>Portugalsko</w:t>
                  </w:r>
                </w:p>
              </w:tc>
              <w:tc>
                <w:tcPr>
                  <w:tcW w:w="764" w:type="dxa"/>
                  <w:tcBorders>
                    <w:top w:val="nil"/>
                    <w:left w:val="nil"/>
                    <w:bottom w:val="nil"/>
                    <w:right w:val="nil"/>
                  </w:tcBorders>
                  <w:shd w:val="clear" w:color="auto" w:fill="auto"/>
                  <w:noWrap/>
                  <w:vAlign w:val="center"/>
                  <w:hideMark/>
                </w:tcPr>
                <w:p w14:paraId="62063CBD"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-2,9</w:t>
                  </w:r>
                </w:p>
              </w:tc>
              <w:tc>
                <w:tcPr>
                  <w:tcW w:w="826" w:type="dxa"/>
                  <w:tcBorders>
                    <w:top w:val="nil"/>
                    <w:left w:val="nil"/>
                    <w:bottom w:val="nil"/>
                    <w:right w:val="nil"/>
                  </w:tcBorders>
                  <w:shd w:val="clear" w:color="auto" w:fill="auto"/>
                  <w:noWrap/>
                  <w:vAlign w:val="center"/>
                  <w:hideMark/>
                </w:tcPr>
                <w:p w14:paraId="245511D4"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-0,3</w:t>
                  </w:r>
                </w:p>
              </w:tc>
              <w:tc>
                <w:tcPr>
                  <w:tcW w:w="742" w:type="dxa"/>
                  <w:tcBorders>
                    <w:top w:val="nil"/>
                    <w:left w:val="nil"/>
                    <w:bottom w:val="nil"/>
                    <w:right w:val="nil"/>
                  </w:tcBorders>
                  <w:shd w:val="clear" w:color="auto" w:fill="auto"/>
                  <w:noWrap/>
                  <w:vAlign w:val="center"/>
                  <w:hideMark/>
                </w:tcPr>
                <w:p w14:paraId="6E99AC75"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1,2</w:t>
                  </w:r>
                </w:p>
              </w:tc>
              <w:tc>
                <w:tcPr>
                  <w:tcW w:w="728" w:type="dxa"/>
                  <w:tcBorders>
                    <w:top w:val="nil"/>
                    <w:left w:val="nil"/>
                    <w:bottom w:val="nil"/>
                    <w:right w:val="nil"/>
                  </w:tcBorders>
                  <w:shd w:val="clear" w:color="auto" w:fill="auto"/>
                  <w:noWrap/>
                  <w:vAlign w:val="center"/>
                  <w:hideMark/>
                </w:tcPr>
                <w:p w14:paraId="1879F86C"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00B050"/>
                      <w:sz w:val="20"/>
                      <w:szCs w:val="20"/>
                    </w:rPr>
                    <w:t>1,5</w:t>
                  </w:r>
                </w:p>
              </w:tc>
              <w:tc>
                <w:tcPr>
                  <w:tcW w:w="1453" w:type="dxa"/>
                  <w:tcBorders>
                    <w:top w:val="nil"/>
                    <w:left w:val="single" w:sz="4" w:space="0" w:color="auto"/>
                    <w:bottom w:val="nil"/>
                    <w:right w:val="nil"/>
                  </w:tcBorders>
                  <w:shd w:val="clear" w:color="auto" w:fill="auto"/>
                  <w:noWrap/>
                  <w:vAlign w:val="center"/>
                  <w:hideMark/>
                </w:tcPr>
                <w:p w14:paraId="1A3BFAB6" w14:textId="77777777" w:rsidR="00087221" w:rsidRPr="00087221" w:rsidRDefault="00087221" w:rsidP="00E71244">
                  <w:pPr>
                    <w:spacing w:after="0" w:line="240" w:lineRule="auto"/>
                    <w:rPr>
                      <w:sz w:val="20"/>
                      <w:szCs w:val="20"/>
                      <w:lang w:eastAsia="sk-SK"/>
                    </w:rPr>
                  </w:pPr>
                  <w:r w:rsidRPr="00087221">
                    <w:rPr>
                      <w:sz w:val="20"/>
                      <w:szCs w:val="20"/>
                    </w:rPr>
                    <w:t>Dánsko</w:t>
                  </w:r>
                </w:p>
              </w:tc>
              <w:tc>
                <w:tcPr>
                  <w:tcW w:w="843" w:type="dxa"/>
                  <w:tcBorders>
                    <w:top w:val="nil"/>
                    <w:left w:val="nil"/>
                    <w:bottom w:val="nil"/>
                    <w:right w:val="nil"/>
                  </w:tcBorders>
                  <w:shd w:val="clear" w:color="auto" w:fill="auto"/>
                  <w:noWrap/>
                  <w:vAlign w:val="center"/>
                  <w:hideMark/>
                </w:tcPr>
                <w:p w14:paraId="0A0DE9CB"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36,0</w:t>
                  </w:r>
                </w:p>
              </w:tc>
              <w:tc>
                <w:tcPr>
                  <w:tcW w:w="843" w:type="dxa"/>
                  <w:tcBorders>
                    <w:top w:val="nil"/>
                    <w:left w:val="nil"/>
                    <w:bottom w:val="nil"/>
                    <w:right w:val="nil"/>
                  </w:tcBorders>
                  <w:shd w:val="clear" w:color="auto" w:fill="auto"/>
                  <w:noWrap/>
                  <w:vAlign w:val="center"/>
                  <w:hideMark/>
                </w:tcPr>
                <w:p w14:paraId="52CEC3C5"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29,8</w:t>
                  </w:r>
                </w:p>
              </w:tc>
              <w:tc>
                <w:tcPr>
                  <w:tcW w:w="864" w:type="dxa"/>
                  <w:tcBorders>
                    <w:top w:val="nil"/>
                    <w:left w:val="nil"/>
                    <w:bottom w:val="nil"/>
                    <w:right w:val="nil"/>
                  </w:tcBorders>
                  <w:shd w:val="clear" w:color="auto" w:fill="auto"/>
                  <w:noWrap/>
                  <w:vAlign w:val="center"/>
                  <w:hideMark/>
                </w:tcPr>
                <w:p w14:paraId="61395127"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29,3</w:t>
                  </w:r>
                </w:p>
              </w:tc>
              <w:tc>
                <w:tcPr>
                  <w:tcW w:w="799" w:type="dxa"/>
                  <w:tcBorders>
                    <w:top w:val="nil"/>
                    <w:left w:val="nil"/>
                    <w:bottom w:val="nil"/>
                    <w:right w:val="single" w:sz="4" w:space="0" w:color="auto"/>
                  </w:tcBorders>
                  <w:shd w:val="clear" w:color="auto" w:fill="auto"/>
                  <w:noWrap/>
                  <w:vAlign w:val="center"/>
                  <w:hideMark/>
                </w:tcPr>
                <w:p w14:paraId="6EEB3748" w14:textId="77777777" w:rsidR="00087221" w:rsidRPr="00087221" w:rsidRDefault="00087221" w:rsidP="00E71244">
                  <w:pPr>
                    <w:tabs>
                      <w:tab w:val="decimal" w:pos="230"/>
                    </w:tabs>
                    <w:spacing w:after="0" w:line="240" w:lineRule="auto"/>
                    <w:ind w:right="32" w:firstLineChars="100" w:firstLine="200"/>
                    <w:jc w:val="right"/>
                    <w:rPr>
                      <w:color w:val="00B050"/>
                      <w:sz w:val="20"/>
                      <w:szCs w:val="20"/>
                      <w:lang w:eastAsia="sk-SK"/>
                    </w:rPr>
                  </w:pPr>
                  <w:r w:rsidRPr="00087221">
                    <w:rPr>
                      <w:color w:val="00B050"/>
                      <w:sz w:val="20"/>
                      <w:szCs w:val="20"/>
                    </w:rPr>
                    <w:t>-0,5</w:t>
                  </w:r>
                </w:p>
              </w:tc>
            </w:tr>
            <w:tr w:rsidR="00087221" w:rsidRPr="00087221" w14:paraId="24925EE0"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3FF0642B" w14:textId="77777777" w:rsidR="00087221" w:rsidRPr="00087221" w:rsidRDefault="00087221" w:rsidP="00E71244">
                  <w:pPr>
                    <w:spacing w:after="0" w:line="240" w:lineRule="auto"/>
                    <w:rPr>
                      <w:sz w:val="20"/>
                      <w:szCs w:val="20"/>
                      <w:lang w:eastAsia="sk-SK"/>
                    </w:rPr>
                  </w:pPr>
                  <w:r w:rsidRPr="00087221">
                    <w:rPr>
                      <w:sz w:val="20"/>
                      <w:szCs w:val="20"/>
                    </w:rPr>
                    <w:t>Írsko</w:t>
                  </w:r>
                </w:p>
              </w:tc>
              <w:tc>
                <w:tcPr>
                  <w:tcW w:w="764" w:type="dxa"/>
                  <w:tcBorders>
                    <w:top w:val="nil"/>
                    <w:left w:val="nil"/>
                    <w:bottom w:val="nil"/>
                    <w:right w:val="nil"/>
                  </w:tcBorders>
                  <w:shd w:val="clear" w:color="auto" w:fill="auto"/>
                  <w:noWrap/>
                  <w:vAlign w:val="center"/>
                  <w:hideMark/>
                </w:tcPr>
                <w:p w14:paraId="043FA815"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-1,5</w:t>
                  </w:r>
                </w:p>
              </w:tc>
              <w:tc>
                <w:tcPr>
                  <w:tcW w:w="826" w:type="dxa"/>
                  <w:tcBorders>
                    <w:top w:val="nil"/>
                    <w:left w:val="nil"/>
                    <w:bottom w:val="nil"/>
                    <w:right w:val="nil"/>
                  </w:tcBorders>
                  <w:shd w:val="clear" w:color="auto" w:fill="auto"/>
                  <w:noWrap/>
                  <w:vAlign w:val="center"/>
                  <w:hideMark/>
                </w:tcPr>
                <w:p w14:paraId="191FD4AB"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1,7</w:t>
                  </w:r>
                </w:p>
              </w:tc>
              <w:tc>
                <w:tcPr>
                  <w:tcW w:w="742" w:type="dxa"/>
                  <w:tcBorders>
                    <w:top w:val="nil"/>
                    <w:left w:val="nil"/>
                    <w:bottom w:val="nil"/>
                    <w:right w:val="nil"/>
                  </w:tcBorders>
                  <w:shd w:val="clear" w:color="auto" w:fill="auto"/>
                  <w:noWrap/>
                  <w:vAlign w:val="center"/>
                  <w:hideMark/>
                </w:tcPr>
                <w:p w14:paraId="752E6FF2"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1,7</w:t>
                  </w:r>
                </w:p>
              </w:tc>
              <w:tc>
                <w:tcPr>
                  <w:tcW w:w="728" w:type="dxa"/>
                  <w:tcBorders>
                    <w:top w:val="nil"/>
                    <w:left w:val="nil"/>
                    <w:bottom w:val="nil"/>
                    <w:right w:val="nil"/>
                  </w:tcBorders>
                  <w:shd w:val="clear" w:color="auto" w:fill="auto"/>
                  <w:noWrap/>
                  <w:vAlign w:val="center"/>
                  <w:hideMark/>
                </w:tcPr>
                <w:p w14:paraId="1189903A"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sz w:val="20"/>
                      <w:szCs w:val="20"/>
                    </w:rPr>
                    <w:t>0,0</w:t>
                  </w:r>
                </w:p>
              </w:tc>
              <w:tc>
                <w:tcPr>
                  <w:tcW w:w="1453" w:type="dxa"/>
                  <w:tcBorders>
                    <w:top w:val="nil"/>
                    <w:left w:val="single" w:sz="4" w:space="0" w:color="auto"/>
                    <w:bottom w:val="nil"/>
                    <w:right w:val="nil"/>
                  </w:tcBorders>
                  <w:shd w:val="clear" w:color="auto" w:fill="auto"/>
                  <w:noWrap/>
                  <w:vAlign w:val="center"/>
                  <w:hideMark/>
                </w:tcPr>
                <w:p w14:paraId="656EB78B" w14:textId="77777777" w:rsidR="00087221" w:rsidRPr="00087221" w:rsidRDefault="00087221" w:rsidP="00E71244">
                  <w:pPr>
                    <w:spacing w:after="0" w:line="240" w:lineRule="auto"/>
                    <w:rPr>
                      <w:sz w:val="20"/>
                      <w:szCs w:val="20"/>
                      <w:lang w:eastAsia="sk-SK"/>
                    </w:rPr>
                  </w:pPr>
                  <w:r w:rsidRPr="00087221">
                    <w:rPr>
                      <w:sz w:val="20"/>
                      <w:szCs w:val="20"/>
                    </w:rPr>
                    <w:t>Luxembursko</w:t>
                  </w:r>
                </w:p>
              </w:tc>
              <w:tc>
                <w:tcPr>
                  <w:tcW w:w="843" w:type="dxa"/>
                  <w:tcBorders>
                    <w:top w:val="nil"/>
                    <w:left w:val="nil"/>
                    <w:bottom w:val="nil"/>
                    <w:right w:val="nil"/>
                  </w:tcBorders>
                  <w:shd w:val="clear" w:color="auto" w:fill="auto"/>
                  <w:noWrap/>
                  <w:vAlign w:val="center"/>
                  <w:hideMark/>
                </w:tcPr>
                <w:p w14:paraId="63842B5B"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24,5</w:t>
                  </w:r>
                </w:p>
              </w:tc>
              <w:tc>
                <w:tcPr>
                  <w:tcW w:w="843" w:type="dxa"/>
                  <w:tcBorders>
                    <w:top w:val="nil"/>
                    <w:left w:val="nil"/>
                    <w:bottom w:val="nil"/>
                    <w:right w:val="nil"/>
                  </w:tcBorders>
                  <w:shd w:val="clear" w:color="auto" w:fill="auto"/>
                  <w:noWrap/>
                  <w:vAlign w:val="center"/>
                  <w:hideMark/>
                </w:tcPr>
                <w:p w14:paraId="6080366C"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24,7</w:t>
                  </w:r>
                </w:p>
              </w:tc>
              <w:tc>
                <w:tcPr>
                  <w:tcW w:w="864" w:type="dxa"/>
                  <w:tcBorders>
                    <w:top w:val="nil"/>
                    <w:left w:val="nil"/>
                    <w:bottom w:val="nil"/>
                    <w:right w:val="nil"/>
                  </w:tcBorders>
                  <w:shd w:val="clear" w:color="auto" w:fill="auto"/>
                  <w:noWrap/>
                  <w:vAlign w:val="center"/>
                  <w:hideMark/>
                </w:tcPr>
                <w:p w14:paraId="31B4AA72"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25,7</w:t>
                  </w:r>
                </w:p>
              </w:tc>
              <w:tc>
                <w:tcPr>
                  <w:tcW w:w="799" w:type="dxa"/>
                  <w:tcBorders>
                    <w:top w:val="nil"/>
                    <w:left w:val="nil"/>
                    <w:bottom w:val="nil"/>
                    <w:right w:val="single" w:sz="4" w:space="0" w:color="auto"/>
                  </w:tcBorders>
                  <w:shd w:val="clear" w:color="auto" w:fill="auto"/>
                  <w:noWrap/>
                  <w:vAlign w:val="center"/>
                  <w:hideMark/>
                </w:tcPr>
                <w:p w14:paraId="7AFBAFC0" w14:textId="77777777" w:rsidR="00087221" w:rsidRPr="00087221" w:rsidRDefault="00087221" w:rsidP="00E71244">
                  <w:pPr>
                    <w:tabs>
                      <w:tab w:val="decimal" w:pos="230"/>
                    </w:tabs>
                    <w:spacing w:after="0" w:line="240" w:lineRule="auto"/>
                    <w:ind w:right="32" w:firstLineChars="100" w:firstLine="200"/>
                    <w:jc w:val="right"/>
                    <w:rPr>
                      <w:color w:val="000000"/>
                      <w:sz w:val="20"/>
                      <w:szCs w:val="20"/>
                      <w:lang w:eastAsia="sk-SK"/>
                    </w:rPr>
                  </w:pPr>
                  <w:r w:rsidRPr="00087221">
                    <w:rPr>
                      <w:color w:val="FF0000"/>
                      <w:sz w:val="20"/>
                      <w:szCs w:val="20"/>
                    </w:rPr>
                    <w:t>1,0</w:t>
                  </w:r>
                </w:p>
              </w:tc>
            </w:tr>
            <w:tr w:rsidR="00087221" w:rsidRPr="00087221" w14:paraId="00B703B8" w14:textId="77777777" w:rsidTr="00E71244">
              <w:trPr>
                <w:trHeight w:val="307"/>
              </w:trPr>
              <w:tc>
                <w:tcPr>
                  <w:tcW w:w="1542" w:type="dxa"/>
                  <w:tcBorders>
                    <w:top w:val="nil"/>
                    <w:left w:val="single" w:sz="4" w:space="0" w:color="auto"/>
                    <w:bottom w:val="nil"/>
                    <w:right w:val="nil"/>
                  </w:tcBorders>
                  <w:shd w:val="clear" w:color="auto" w:fill="auto"/>
                  <w:noWrap/>
                  <w:vAlign w:val="center"/>
                  <w:hideMark/>
                </w:tcPr>
                <w:p w14:paraId="1E4E703F" w14:textId="77777777" w:rsidR="00087221" w:rsidRPr="00087221" w:rsidRDefault="00087221" w:rsidP="00E71244">
                  <w:pPr>
                    <w:spacing w:after="0" w:line="240" w:lineRule="auto"/>
                    <w:rPr>
                      <w:sz w:val="20"/>
                      <w:szCs w:val="20"/>
                      <w:lang w:eastAsia="sk-SK"/>
                    </w:rPr>
                  </w:pPr>
                  <w:r w:rsidRPr="00087221">
                    <w:rPr>
                      <w:sz w:val="20"/>
                      <w:szCs w:val="20"/>
                    </w:rPr>
                    <w:t>Dánsko</w:t>
                  </w:r>
                </w:p>
              </w:tc>
              <w:tc>
                <w:tcPr>
                  <w:tcW w:w="764" w:type="dxa"/>
                  <w:tcBorders>
                    <w:top w:val="nil"/>
                    <w:left w:val="nil"/>
                    <w:bottom w:val="nil"/>
                    <w:right w:val="nil"/>
                  </w:tcBorders>
                  <w:shd w:val="clear" w:color="auto" w:fill="auto"/>
                  <w:noWrap/>
                  <w:vAlign w:val="center"/>
                  <w:hideMark/>
                </w:tcPr>
                <w:p w14:paraId="4234F58E"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4,1</w:t>
                  </w:r>
                </w:p>
              </w:tc>
              <w:tc>
                <w:tcPr>
                  <w:tcW w:w="826" w:type="dxa"/>
                  <w:tcBorders>
                    <w:top w:val="nil"/>
                    <w:left w:val="nil"/>
                    <w:bottom w:val="nil"/>
                    <w:right w:val="nil"/>
                  </w:tcBorders>
                  <w:shd w:val="clear" w:color="auto" w:fill="auto"/>
                  <w:noWrap/>
                  <w:vAlign w:val="center"/>
                  <w:hideMark/>
                </w:tcPr>
                <w:p w14:paraId="04BD2C2B"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3,3</w:t>
                  </w:r>
                </w:p>
              </w:tc>
              <w:tc>
                <w:tcPr>
                  <w:tcW w:w="742" w:type="dxa"/>
                  <w:tcBorders>
                    <w:top w:val="nil"/>
                    <w:left w:val="nil"/>
                    <w:bottom w:val="nil"/>
                    <w:right w:val="nil"/>
                  </w:tcBorders>
                  <w:shd w:val="clear" w:color="auto" w:fill="auto"/>
                  <w:noWrap/>
                  <w:vAlign w:val="center"/>
                  <w:hideMark/>
                </w:tcPr>
                <w:p w14:paraId="68543074"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3,1</w:t>
                  </w:r>
                </w:p>
              </w:tc>
              <w:tc>
                <w:tcPr>
                  <w:tcW w:w="728" w:type="dxa"/>
                  <w:tcBorders>
                    <w:top w:val="nil"/>
                    <w:left w:val="nil"/>
                    <w:bottom w:val="nil"/>
                    <w:right w:val="nil"/>
                  </w:tcBorders>
                  <w:shd w:val="clear" w:color="auto" w:fill="auto"/>
                  <w:noWrap/>
                  <w:vAlign w:val="center"/>
                  <w:hideMark/>
                </w:tcPr>
                <w:p w14:paraId="00D3D33F"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FF0000"/>
                      <w:sz w:val="20"/>
                      <w:szCs w:val="20"/>
                    </w:rPr>
                    <w:t>-0,2</w:t>
                  </w:r>
                </w:p>
              </w:tc>
              <w:tc>
                <w:tcPr>
                  <w:tcW w:w="1453" w:type="dxa"/>
                  <w:tcBorders>
                    <w:top w:val="nil"/>
                    <w:left w:val="single" w:sz="4" w:space="0" w:color="auto"/>
                    <w:bottom w:val="nil"/>
                    <w:right w:val="nil"/>
                  </w:tcBorders>
                  <w:shd w:val="clear" w:color="auto" w:fill="auto"/>
                  <w:noWrap/>
                  <w:vAlign w:val="center"/>
                  <w:hideMark/>
                </w:tcPr>
                <w:p w14:paraId="595BCA16" w14:textId="77777777" w:rsidR="00087221" w:rsidRPr="00087221" w:rsidRDefault="00087221" w:rsidP="00E71244">
                  <w:pPr>
                    <w:spacing w:after="0" w:line="240" w:lineRule="auto"/>
                    <w:rPr>
                      <w:sz w:val="20"/>
                      <w:szCs w:val="20"/>
                      <w:lang w:eastAsia="sk-SK"/>
                    </w:rPr>
                  </w:pPr>
                  <w:r w:rsidRPr="00087221">
                    <w:rPr>
                      <w:sz w:val="20"/>
                      <w:szCs w:val="20"/>
                    </w:rPr>
                    <w:t>Bulharsko</w:t>
                  </w:r>
                </w:p>
              </w:tc>
              <w:tc>
                <w:tcPr>
                  <w:tcW w:w="843" w:type="dxa"/>
                  <w:tcBorders>
                    <w:top w:val="nil"/>
                    <w:left w:val="nil"/>
                    <w:bottom w:val="nil"/>
                    <w:right w:val="nil"/>
                  </w:tcBorders>
                  <w:shd w:val="clear" w:color="auto" w:fill="auto"/>
                  <w:noWrap/>
                  <w:vAlign w:val="center"/>
                  <w:hideMark/>
                </w:tcPr>
                <w:p w14:paraId="3164A2A8"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23,9</w:t>
                  </w:r>
                </w:p>
              </w:tc>
              <w:tc>
                <w:tcPr>
                  <w:tcW w:w="843" w:type="dxa"/>
                  <w:tcBorders>
                    <w:top w:val="nil"/>
                    <w:left w:val="nil"/>
                    <w:bottom w:val="nil"/>
                    <w:right w:val="nil"/>
                  </w:tcBorders>
                  <w:shd w:val="clear" w:color="auto" w:fill="auto"/>
                  <w:noWrap/>
                  <w:vAlign w:val="center"/>
                  <w:hideMark/>
                </w:tcPr>
                <w:p w14:paraId="7CC0E536"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22,6</w:t>
                  </w:r>
                </w:p>
              </w:tc>
              <w:tc>
                <w:tcPr>
                  <w:tcW w:w="864" w:type="dxa"/>
                  <w:tcBorders>
                    <w:top w:val="nil"/>
                    <w:left w:val="nil"/>
                    <w:bottom w:val="nil"/>
                    <w:right w:val="nil"/>
                  </w:tcBorders>
                  <w:shd w:val="clear" w:color="auto" w:fill="auto"/>
                  <w:noWrap/>
                  <w:vAlign w:val="center"/>
                  <w:hideMark/>
                </w:tcPr>
                <w:p w14:paraId="0F265530"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23,1</w:t>
                  </w:r>
                </w:p>
              </w:tc>
              <w:tc>
                <w:tcPr>
                  <w:tcW w:w="799" w:type="dxa"/>
                  <w:tcBorders>
                    <w:top w:val="nil"/>
                    <w:left w:val="nil"/>
                    <w:bottom w:val="nil"/>
                    <w:right w:val="single" w:sz="4" w:space="0" w:color="auto"/>
                  </w:tcBorders>
                  <w:shd w:val="clear" w:color="auto" w:fill="auto"/>
                  <w:noWrap/>
                  <w:vAlign w:val="center"/>
                  <w:hideMark/>
                </w:tcPr>
                <w:p w14:paraId="4C9EBC9F" w14:textId="77777777" w:rsidR="00087221" w:rsidRPr="00087221" w:rsidRDefault="00087221" w:rsidP="00E71244">
                  <w:pPr>
                    <w:tabs>
                      <w:tab w:val="decimal" w:pos="230"/>
                    </w:tabs>
                    <w:spacing w:after="0" w:line="240" w:lineRule="auto"/>
                    <w:ind w:right="32" w:firstLineChars="100" w:firstLine="200"/>
                    <w:jc w:val="right"/>
                    <w:rPr>
                      <w:color w:val="00B050"/>
                      <w:sz w:val="20"/>
                      <w:szCs w:val="20"/>
                      <w:lang w:eastAsia="sk-SK"/>
                    </w:rPr>
                  </w:pPr>
                  <w:r w:rsidRPr="00087221">
                    <w:rPr>
                      <w:color w:val="FF0000"/>
                      <w:sz w:val="20"/>
                      <w:szCs w:val="20"/>
                    </w:rPr>
                    <w:t>0,5</w:t>
                  </w:r>
                </w:p>
              </w:tc>
            </w:tr>
            <w:tr w:rsidR="00087221" w:rsidRPr="00087221" w14:paraId="256F05CA" w14:textId="77777777" w:rsidTr="00E71244">
              <w:trPr>
                <w:trHeight w:val="307"/>
              </w:trPr>
              <w:tc>
                <w:tcPr>
                  <w:tcW w:w="1542" w:type="dxa"/>
                  <w:tcBorders>
                    <w:top w:val="nil"/>
                    <w:left w:val="single" w:sz="4" w:space="0" w:color="auto"/>
                    <w:bottom w:val="single" w:sz="4" w:space="0" w:color="auto"/>
                    <w:right w:val="nil"/>
                  </w:tcBorders>
                  <w:shd w:val="clear" w:color="auto" w:fill="auto"/>
                  <w:noWrap/>
                  <w:vAlign w:val="center"/>
                  <w:hideMark/>
                </w:tcPr>
                <w:p w14:paraId="08166929" w14:textId="77777777" w:rsidR="00087221" w:rsidRPr="00087221" w:rsidRDefault="00087221" w:rsidP="00E71244">
                  <w:pPr>
                    <w:spacing w:after="0" w:line="240" w:lineRule="auto"/>
                    <w:rPr>
                      <w:sz w:val="20"/>
                      <w:szCs w:val="20"/>
                      <w:lang w:eastAsia="sk-SK"/>
                    </w:rPr>
                  </w:pPr>
                  <w:r w:rsidRPr="00087221">
                    <w:rPr>
                      <w:sz w:val="20"/>
                      <w:szCs w:val="20"/>
                    </w:rPr>
                    <w:t>Cyprus</w:t>
                  </w:r>
                </w:p>
              </w:tc>
              <w:tc>
                <w:tcPr>
                  <w:tcW w:w="764" w:type="dxa"/>
                  <w:tcBorders>
                    <w:top w:val="nil"/>
                    <w:left w:val="nil"/>
                    <w:bottom w:val="single" w:sz="4" w:space="0" w:color="auto"/>
                    <w:right w:val="nil"/>
                  </w:tcBorders>
                  <w:shd w:val="clear" w:color="auto" w:fill="auto"/>
                  <w:noWrap/>
                  <w:vAlign w:val="center"/>
                  <w:hideMark/>
                </w:tcPr>
                <w:p w14:paraId="5ECD1007"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-1,8</w:t>
                  </w:r>
                </w:p>
              </w:tc>
              <w:tc>
                <w:tcPr>
                  <w:tcW w:w="826" w:type="dxa"/>
                  <w:tcBorders>
                    <w:top w:val="nil"/>
                    <w:left w:val="nil"/>
                    <w:bottom w:val="single" w:sz="4" w:space="0" w:color="auto"/>
                    <w:right w:val="nil"/>
                  </w:tcBorders>
                  <w:shd w:val="clear" w:color="auto" w:fill="auto"/>
                  <w:noWrap/>
                  <w:vAlign w:val="center"/>
                  <w:hideMark/>
                </w:tcPr>
                <w:p w14:paraId="7BECC27B"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2,7</w:t>
                  </w:r>
                </w:p>
              </w:tc>
              <w:tc>
                <w:tcPr>
                  <w:tcW w:w="742" w:type="dxa"/>
                  <w:tcBorders>
                    <w:top w:val="nil"/>
                    <w:left w:val="nil"/>
                    <w:bottom w:val="single" w:sz="4" w:space="0" w:color="auto"/>
                    <w:right w:val="nil"/>
                  </w:tcBorders>
                  <w:shd w:val="clear" w:color="auto" w:fill="auto"/>
                  <w:noWrap/>
                  <w:vAlign w:val="center"/>
                  <w:hideMark/>
                </w:tcPr>
                <w:p w14:paraId="44EDDA6D"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3,1</w:t>
                  </w:r>
                </w:p>
              </w:tc>
              <w:tc>
                <w:tcPr>
                  <w:tcW w:w="728" w:type="dxa"/>
                  <w:tcBorders>
                    <w:top w:val="nil"/>
                    <w:left w:val="nil"/>
                    <w:bottom w:val="single" w:sz="4" w:space="0" w:color="auto"/>
                    <w:right w:val="single" w:sz="4" w:space="0" w:color="auto"/>
                  </w:tcBorders>
                  <w:shd w:val="clear" w:color="auto" w:fill="auto"/>
                  <w:noWrap/>
                  <w:vAlign w:val="center"/>
                  <w:hideMark/>
                </w:tcPr>
                <w:p w14:paraId="73E1573E" w14:textId="77777777" w:rsidR="00087221" w:rsidRPr="00087221" w:rsidRDefault="00087221" w:rsidP="00E71244">
                  <w:pPr>
                    <w:spacing w:after="0" w:line="240" w:lineRule="auto"/>
                    <w:ind w:firstLineChars="100" w:firstLine="200"/>
                    <w:jc w:val="center"/>
                    <w:rPr>
                      <w:color w:val="00B050"/>
                      <w:sz w:val="20"/>
                      <w:szCs w:val="20"/>
                      <w:lang w:eastAsia="sk-SK"/>
                    </w:rPr>
                  </w:pPr>
                  <w:r w:rsidRPr="00087221">
                    <w:rPr>
                      <w:color w:val="00B050"/>
                      <w:sz w:val="20"/>
                      <w:szCs w:val="20"/>
                    </w:rPr>
                    <w:t>0,4</w:t>
                  </w:r>
                </w:p>
              </w:tc>
              <w:tc>
                <w:tcPr>
                  <w:tcW w:w="1453" w:type="dxa"/>
                  <w:tcBorders>
                    <w:top w:val="nil"/>
                    <w:left w:val="nil"/>
                    <w:bottom w:val="single" w:sz="4" w:space="0" w:color="auto"/>
                    <w:right w:val="nil"/>
                  </w:tcBorders>
                  <w:shd w:val="clear" w:color="auto" w:fill="auto"/>
                  <w:noWrap/>
                  <w:vAlign w:val="center"/>
                  <w:hideMark/>
                </w:tcPr>
                <w:p w14:paraId="26DCE8F3" w14:textId="77777777" w:rsidR="00087221" w:rsidRPr="00087221" w:rsidRDefault="00087221" w:rsidP="00E71244">
                  <w:pPr>
                    <w:spacing w:after="0" w:line="240" w:lineRule="auto"/>
                    <w:rPr>
                      <w:sz w:val="20"/>
                      <w:szCs w:val="20"/>
                      <w:lang w:eastAsia="sk-SK"/>
                    </w:rPr>
                  </w:pPr>
                  <w:r w:rsidRPr="00087221">
                    <w:rPr>
                      <w:sz w:val="20"/>
                      <w:szCs w:val="20"/>
                    </w:rPr>
                    <w:t>Estónsko</w:t>
                  </w:r>
                </w:p>
              </w:tc>
              <w:tc>
                <w:tcPr>
                  <w:tcW w:w="843" w:type="dxa"/>
                  <w:tcBorders>
                    <w:top w:val="nil"/>
                    <w:left w:val="nil"/>
                    <w:bottom w:val="single" w:sz="4" w:space="0" w:color="auto"/>
                    <w:right w:val="nil"/>
                  </w:tcBorders>
                  <w:shd w:val="clear" w:color="auto" w:fill="auto"/>
                  <w:noWrap/>
                  <w:vAlign w:val="center"/>
                  <w:hideMark/>
                </w:tcPr>
                <w:p w14:paraId="03E17CD6"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17,8</w:t>
                  </w:r>
                </w:p>
              </w:tc>
              <w:tc>
                <w:tcPr>
                  <w:tcW w:w="843" w:type="dxa"/>
                  <w:tcBorders>
                    <w:top w:val="nil"/>
                    <w:left w:val="nil"/>
                    <w:bottom w:val="single" w:sz="4" w:space="0" w:color="auto"/>
                    <w:right w:val="nil"/>
                  </w:tcBorders>
                  <w:shd w:val="clear" w:color="auto" w:fill="auto"/>
                  <w:noWrap/>
                  <w:vAlign w:val="center"/>
                  <w:hideMark/>
                </w:tcPr>
                <w:p w14:paraId="7C7EC6F3"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18,5</w:t>
                  </w:r>
                </w:p>
              </w:tc>
              <w:tc>
                <w:tcPr>
                  <w:tcW w:w="864" w:type="dxa"/>
                  <w:tcBorders>
                    <w:top w:val="nil"/>
                    <w:left w:val="nil"/>
                    <w:bottom w:val="single" w:sz="4" w:space="0" w:color="auto"/>
                    <w:right w:val="nil"/>
                  </w:tcBorders>
                  <w:shd w:val="clear" w:color="auto" w:fill="auto"/>
                  <w:noWrap/>
                  <w:vAlign w:val="center"/>
                  <w:hideMark/>
                </w:tcPr>
                <w:p w14:paraId="26A354BC" w14:textId="77777777" w:rsidR="00087221" w:rsidRPr="00087221" w:rsidRDefault="00087221" w:rsidP="00E71244">
                  <w:pPr>
                    <w:spacing w:after="0" w:line="240" w:lineRule="auto"/>
                    <w:ind w:firstLineChars="100" w:firstLine="200"/>
                    <w:jc w:val="right"/>
                    <w:rPr>
                      <w:color w:val="000000"/>
                      <w:sz w:val="20"/>
                      <w:szCs w:val="20"/>
                      <w:lang w:eastAsia="sk-SK"/>
                    </w:rPr>
                  </w:pPr>
                  <w:r w:rsidRPr="00087221">
                    <w:rPr>
                      <w:color w:val="000000"/>
                      <w:sz w:val="20"/>
                      <w:szCs w:val="20"/>
                    </w:rPr>
                    <w:t>19,6</w:t>
                  </w:r>
                </w:p>
              </w:tc>
              <w:tc>
                <w:tcPr>
                  <w:tcW w:w="799" w:type="dxa"/>
                  <w:tcBorders>
                    <w:top w:val="nil"/>
                    <w:left w:val="nil"/>
                    <w:bottom w:val="single" w:sz="4" w:space="0" w:color="auto"/>
                    <w:right w:val="single" w:sz="4" w:space="0" w:color="auto"/>
                  </w:tcBorders>
                  <w:shd w:val="clear" w:color="auto" w:fill="auto"/>
                  <w:noWrap/>
                  <w:vAlign w:val="center"/>
                  <w:hideMark/>
                </w:tcPr>
                <w:p w14:paraId="62F67EE5" w14:textId="77777777" w:rsidR="00087221" w:rsidRPr="00087221" w:rsidRDefault="00087221" w:rsidP="00E71244">
                  <w:pPr>
                    <w:tabs>
                      <w:tab w:val="decimal" w:pos="230"/>
                    </w:tabs>
                    <w:spacing w:after="0" w:line="240" w:lineRule="auto"/>
                    <w:ind w:right="32" w:firstLineChars="100" w:firstLine="200"/>
                    <w:jc w:val="right"/>
                    <w:rPr>
                      <w:color w:val="00B050"/>
                      <w:sz w:val="20"/>
                      <w:szCs w:val="20"/>
                      <w:lang w:eastAsia="sk-SK"/>
                    </w:rPr>
                  </w:pPr>
                  <w:r w:rsidRPr="00087221">
                    <w:rPr>
                      <w:color w:val="FF0000"/>
                      <w:sz w:val="20"/>
                      <w:szCs w:val="20"/>
                    </w:rPr>
                    <w:t>1,1</w:t>
                  </w:r>
                </w:p>
              </w:tc>
            </w:tr>
          </w:tbl>
          <w:p w14:paraId="2F3DCDC2" w14:textId="77777777" w:rsidR="00087221" w:rsidRPr="00087221" w:rsidRDefault="00087221" w:rsidP="00E71244">
            <w:pPr>
              <w:spacing w:after="0" w:line="240" w:lineRule="auto"/>
              <w:rPr>
                <w:rFonts w:eastAsia="Times New Roman" w:cs="Times New Roman"/>
                <w:b/>
                <w:bCs/>
                <w:sz w:val="20"/>
                <w:szCs w:val="20"/>
                <w:lang w:eastAsia="sk-SK"/>
              </w:rPr>
            </w:pPr>
          </w:p>
        </w:tc>
      </w:tr>
    </w:tbl>
    <w:p w14:paraId="58D0F8EC" w14:textId="0526D810" w:rsidR="00087221" w:rsidRPr="00087221" w:rsidRDefault="00087221" w:rsidP="00087221">
      <w:pPr>
        <w:tabs>
          <w:tab w:val="left" w:pos="714"/>
          <w:tab w:val="right" w:pos="9214"/>
        </w:tabs>
        <w:spacing w:line="240" w:lineRule="auto"/>
        <w:jc w:val="left"/>
        <w:rPr>
          <w:rFonts w:eastAsia="Times New Roman" w:cs="Times New Roman"/>
          <w:iCs/>
          <w:color w:val="000000"/>
          <w:sz w:val="16"/>
          <w:szCs w:val="16"/>
          <w:lang w:eastAsia="sk-SK"/>
        </w:rPr>
      </w:pPr>
      <w:r w:rsidRPr="00087221">
        <w:rPr>
          <w:rFonts w:eastAsia="Times New Roman" w:cs="Times New Roman"/>
          <w:iCs/>
          <w:color w:val="000000"/>
          <w:sz w:val="16"/>
          <w:szCs w:val="16"/>
          <w:lang w:eastAsia="sk-SK"/>
        </w:rPr>
        <w:tab/>
      </w:r>
      <w:r w:rsidRPr="00087221">
        <w:rPr>
          <w:rFonts w:eastAsia="Times New Roman" w:cs="Times New Roman"/>
          <w:iCs/>
          <w:color w:val="000000"/>
          <w:sz w:val="16"/>
          <w:szCs w:val="16"/>
          <w:lang w:eastAsia="sk-SK"/>
        </w:rPr>
        <w:tab/>
        <w:t xml:space="preserve">   </w:t>
      </w:r>
      <w:r w:rsidR="00D74F11">
        <w:rPr>
          <w:rFonts w:eastAsia="Times New Roman" w:cs="Times New Roman"/>
          <w:iCs/>
          <w:color w:val="000000"/>
          <w:sz w:val="16"/>
          <w:szCs w:val="16"/>
          <w:lang w:eastAsia="sk-SK"/>
        </w:rPr>
        <w:t xml:space="preserve"> </w:t>
      </w:r>
      <w:r w:rsidRPr="00087221">
        <w:rPr>
          <w:rFonts w:eastAsia="Times New Roman" w:cs="Times New Roman"/>
          <w:iCs/>
          <w:color w:val="000000"/>
          <w:sz w:val="16"/>
          <w:szCs w:val="16"/>
          <w:lang w:eastAsia="sk-SK"/>
        </w:rPr>
        <w:t xml:space="preserve">Zdroj: </w:t>
      </w:r>
      <w:proofErr w:type="spellStart"/>
      <w:r w:rsidRPr="00087221">
        <w:rPr>
          <w:rFonts w:eastAsia="Times New Roman" w:cs="Times New Roman"/>
          <w:iCs/>
          <w:color w:val="000000"/>
          <w:sz w:val="16"/>
          <w:szCs w:val="16"/>
          <w:lang w:eastAsia="sk-SK"/>
        </w:rPr>
        <w:t>Eurostat</w:t>
      </w:r>
      <w:proofErr w:type="spellEnd"/>
    </w:p>
    <w:p w14:paraId="63EA5784" w14:textId="77777777" w:rsidR="00087221" w:rsidRPr="00087221" w:rsidRDefault="00087221" w:rsidP="00087221">
      <w:pPr>
        <w:pStyle w:val="Odsekzoznamu"/>
        <w:numPr>
          <w:ilvl w:val="0"/>
          <w:numId w:val="26"/>
        </w:numPr>
        <w:ind w:left="284" w:hanging="142"/>
        <w:rPr>
          <w:rFonts w:ascii="Times New Roman" w:eastAsia="Times New Roman" w:hAnsi="Times New Roman"/>
          <w:iCs/>
          <w:color w:val="000000"/>
          <w:sz w:val="18"/>
          <w:szCs w:val="18"/>
          <w:lang w:eastAsia="sk-SK"/>
        </w:rPr>
      </w:pPr>
      <w:r w:rsidRPr="00087221">
        <w:rPr>
          <w:rFonts w:ascii="Times New Roman" w:eastAsia="Times New Roman" w:hAnsi="Times New Roman"/>
          <w:iCs/>
          <w:color w:val="000000"/>
          <w:sz w:val="18"/>
          <w:szCs w:val="18"/>
          <w:lang w:eastAsia="sk-SK"/>
        </w:rPr>
        <w:t xml:space="preserve">Predchádzajúce obdobia sú zrevidované podľa aktuálneho press </w:t>
      </w:r>
      <w:proofErr w:type="spellStart"/>
      <w:r w:rsidRPr="00087221">
        <w:rPr>
          <w:rFonts w:ascii="Times New Roman" w:eastAsia="Times New Roman" w:hAnsi="Times New Roman"/>
          <w:iCs/>
          <w:color w:val="000000"/>
          <w:sz w:val="18"/>
          <w:szCs w:val="18"/>
          <w:lang w:eastAsia="sk-SK"/>
        </w:rPr>
        <w:t>release</w:t>
      </w:r>
      <w:proofErr w:type="spellEnd"/>
      <w:r w:rsidRPr="00087221">
        <w:rPr>
          <w:rFonts w:ascii="Times New Roman" w:eastAsia="Times New Roman" w:hAnsi="Times New Roman"/>
          <w:iCs/>
          <w:color w:val="000000"/>
          <w:sz w:val="18"/>
          <w:szCs w:val="18"/>
          <w:lang w:eastAsia="sk-SK"/>
        </w:rPr>
        <w:t xml:space="preserve"> (22.4.2024). Údaje sú usporiadané podľa poradia deficitu/dlhu v poslednom sledovanom období od najvyššieho (vzostupne). Zelenou farbou je označené medziročné zlepšenie, resp. červenou farbou medziročné zhoršenie salda/dlhu.</w:t>
      </w:r>
    </w:p>
    <w:p w14:paraId="139ECF47" w14:textId="02E30EE8" w:rsidR="00087221" w:rsidRPr="00087221" w:rsidRDefault="00087221" w:rsidP="00087221">
      <w:pPr>
        <w:spacing w:after="160" w:line="259" w:lineRule="auto"/>
        <w:jc w:val="left"/>
        <w:rPr>
          <w:sz w:val="24"/>
          <w:szCs w:val="24"/>
        </w:rPr>
      </w:pPr>
      <w:r>
        <w:br w:type="page"/>
      </w:r>
    </w:p>
    <w:p w14:paraId="25C934C7" w14:textId="24986CE5" w:rsidR="008254BE" w:rsidRDefault="008254BE" w:rsidP="008D5E94">
      <w:pPr>
        <w:pStyle w:val="Nadpis1"/>
        <w:ind w:left="709"/>
      </w:pPr>
      <w:bookmarkStart w:id="36" w:name="_Toc164846938"/>
      <w:r>
        <w:lastRenderedPageBreak/>
        <w:t xml:space="preserve">Hospodárenie </w:t>
      </w:r>
      <w:r w:rsidRPr="00ED135D">
        <w:t>štátneho</w:t>
      </w:r>
      <w:r>
        <w:t xml:space="preserve"> rozpočtu na hotovostn</w:t>
      </w:r>
      <w:r w:rsidR="00476126">
        <w:t>om</w:t>
      </w:r>
      <w:r>
        <w:t xml:space="preserve"> </w:t>
      </w:r>
      <w:r w:rsidR="00476126">
        <w:t>princípe</w:t>
      </w:r>
      <w:bookmarkEnd w:id="22"/>
      <w:bookmarkEnd w:id="36"/>
    </w:p>
    <w:p w14:paraId="5960703F" w14:textId="77777777" w:rsidR="00B2402D" w:rsidRPr="00F00311" w:rsidRDefault="00B2402D" w:rsidP="00B2402D">
      <w:pPr>
        <w:spacing w:line="240" w:lineRule="auto"/>
        <w:rPr>
          <w:sz w:val="24"/>
          <w:szCs w:val="24"/>
        </w:rPr>
      </w:pPr>
      <w:r w:rsidRPr="00F00311">
        <w:rPr>
          <w:sz w:val="24"/>
          <w:szCs w:val="24"/>
        </w:rPr>
        <w:t>Štátny rozpočet je základnou súčasťou rozpočtu verejnej správy a zabezpečuje sa ním financovanie hlavných funkcií štátu v príslušnom rozpočtovom roku. Štátny rozpočet schvaľuje parlament zákonom o štátnom rozpočte, ktorým sa určuje najmä výška príjmov štátneho rozpočtu, limit výdavkov štátneho rozpočtu, maximálna výška rozpočtovaného schodku alebo minimálna výška rozpočtovaného prebytku štátneho rozpočtu, ak nie sú príjmy a výdavky vyrovnané.</w:t>
      </w:r>
    </w:p>
    <w:p w14:paraId="63BF0297" w14:textId="77777777" w:rsidR="00B2402D" w:rsidRPr="00F00311" w:rsidRDefault="00B2402D" w:rsidP="00B2402D">
      <w:pPr>
        <w:spacing w:line="240" w:lineRule="auto"/>
        <w:rPr>
          <w:sz w:val="24"/>
          <w:szCs w:val="24"/>
        </w:rPr>
      </w:pPr>
      <w:r w:rsidRPr="00F00311">
        <w:rPr>
          <w:sz w:val="24"/>
          <w:szCs w:val="24"/>
        </w:rPr>
        <w:t>Plnenie príjmov štátneho rozpočtu, ako aj realizácia výdavkov štátneho rozpočtu v hotovostnom vyjadrení významne ovplyvňuje aj hospodárenie celej verejnej správy v metodike ESA 2010. Legislatívne zmeny, prijaté opatrenia a zámery vlády SR uvedené v kapitole 2, sa vo väčšine prípadov realizujú práve cez príjmy a výdavky štátneho rozpočtu (napr. zmeny v daňovej legislatíve, opatrenia v oblasti odmeňovania vo verejnej správe, financovanie podporných schém v čase krízy a podobne).</w:t>
      </w:r>
    </w:p>
    <w:p w14:paraId="31D355AA" w14:textId="77777777" w:rsidR="00B2402D" w:rsidRPr="00F00311" w:rsidRDefault="00B2402D" w:rsidP="00B2402D">
      <w:pPr>
        <w:spacing w:line="240" w:lineRule="auto"/>
        <w:rPr>
          <w:sz w:val="24"/>
          <w:szCs w:val="24"/>
        </w:rPr>
      </w:pPr>
      <w:r w:rsidRPr="00F00311">
        <w:rPr>
          <w:sz w:val="24"/>
          <w:szCs w:val="24"/>
        </w:rPr>
        <w:t xml:space="preserve">Schválený rozpočet je uvádzaný podľa zákona č. 526/2022 Z. z. o štátnom rozpočte na rok 2023 (ďalej len „zákon o štátnom rozpočte“). Prekročenie alebo nenaplnenie rozpočtovaných príjmov a výdavkov je nutné vnímať aj v kontexte faktorov uvedených v kapitole 2. </w:t>
      </w:r>
    </w:p>
    <w:p w14:paraId="138A2970" w14:textId="77777777" w:rsidR="00B2402D" w:rsidRPr="00F00311" w:rsidRDefault="00B2402D" w:rsidP="00B2402D">
      <w:pPr>
        <w:spacing w:line="240" w:lineRule="auto"/>
        <w:rPr>
          <w:rFonts w:ascii="Calibri" w:eastAsia="Times New Roman" w:hAnsi="Calibri" w:cs="Calibri"/>
          <w:color w:val="000000"/>
          <w:lang w:eastAsia="sk-SK"/>
        </w:rPr>
      </w:pPr>
      <w:r w:rsidRPr="00F00311">
        <w:rPr>
          <w:sz w:val="24"/>
          <w:szCs w:val="24"/>
        </w:rPr>
        <w:t xml:space="preserve">Skutočné dosiahnuté hotovostné príjmy štátneho rozpočtu vo výške 23 688 646 tis. eur boli oproti schválenému rozpočtu nižšie o 3 010 538 tis. eur a oproti skutočnosti roku 2022 boli vyššie o 4 658 944 tis. eur. Plnenie celkových príjmov štátneho rozpočtu tak dosiahlo 88,7 %. </w:t>
      </w:r>
    </w:p>
    <w:p w14:paraId="36645686" w14:textId="77777777" w:rsidR="00B2402D" w:rsidRPr="00F00311" w:rsidRDefault="00B2402D" w:rsidP="00B2402D">
      <w:pPr>
        <w:spacing w:line="240" w:lineRule="auto"/>
        <w:rPr>
          <w:sz w:val="24"/>
          <w:szCs w:val="24"/>
        </w:rPr>
      </w:pPr>
      <w:r w:rsidRPr="00F00311">
        <w:rPr>
          <w:sz w:val="24"/>
          <w:szCs w:val="24"/>
        </w:rPr>
        <w:t>Skutočné dosiahnuté hotovostné výdavky štátneho rozpočtu vo výške 31 363 983 tis. eur boli nižšie ako v schválenom rozpočte, a to o 3 676 573 tis. eur, pričom medziročne sa zvýšili o 7 809 428 tis. eur. Plnenie celkových výdavkov štátneho rozpočtu tak dosiahlo 89,5 % ich rozpočtovanej hodnoty.</w:t>
      </w:r>
    </w:p>
    <w:p w14:paraId="42582C4B" w14:textId="77777777" w:rsidR="00B2402D" w:rsidRPr="00F00311" w:rsidRDefault="00B2402D" w:rsidP="00B2402D">
      <w:pPr>
        <w:spacing w:line="240" w:lineRule="auto"/>
        <w:rPr>
          <w:sz w:val="24"/>
          <w:szCs w:val="24"/>
        </w:rPr>
      </w:pPr>
      <w:r w:rsidRPr="00F00311">
        <w:rPr>
          <w:sz w:val="24"/>
          <w:szCs w:val="24"/>
        </w:rPr>
        <w:t>Schodok štátneho rozpočtu na hotovostnej báze vo výške 7 675 337 tis. eur je vo vzťahu k schválenému rozpočtu nižší o 666 035 tis. eur a vo vzťahu k upravenému rozpočtu je vykázaný schodok nižší o 674 946 tis. eur.</w:t>
      </w:r>
    </w:p>
    <w:p w14:paraId="4BA81C60" w14:textId="77777777" w:rsidR="00B2402D" w:rsidRDefault="00B2402D" w:rsidP="00B2402D">
      <w:pPr>
        <w:spacing w:line="240" w:lineRule="auto"/>
        <w:rPr>
          <w:sz w:val="24"/>
          <w:szCs w:val="24"/>
        </w:rPr>
      </w:pPr>
      <w:r w:rsidRPr="00F00311">
        <w:rPr>
          <w:sz w:val="24"/>
          <w:szCs w:val="24"/>
        </w:rPr>
        <w:t>Súhrnný prehľad o rozpočtovaných a skutočne dosiahnutých základných rozpočtových ukazovateľoch v roku 2023 a za predchádzajúce dva roky na hotovostnej báze poskytujú nasledovné údaje:</w:t>
      </w:r>
    </w:p>
    <w:tbl>
      <w:tblPr>
        <w:tblW w:w="9214" w:type="dxa"/>
        <w:tblCellMar>
          <w:left w:w="70" w:type="dxa"/>
          <w:right w:w="70" w:type="dxa"/>
        </w:tblCellMar>
        <w:tblLook w:val="04A0" w:firstRow="1" w:lastRow="0" w:firstColumn="1" w:lastColumn="0" w:noHBand="0" w:noVBand="1"/>
      </w:tblPr>
      <w:tblGrid>
        <w:gridCol w:w="1985"/>
        <w:gridCol w:w="992"/>
        <w:gridCol w:w="992"/>
        <w:gridCol w:w="1134"/>
        <w:gridCol w:w="992"/>
        <w:gridCol w:w="993"/>
        <w:gridCol w:w="1107"/>
        <w:gridCol w:w="1019"/>
      </w:tblGrid>
      <w:tr w:rsidR="00B2402D" w:rsidRPr="009726A1" w14:paraId="68681196" w14:textId="77777777" w:rsidTr="00D2560E">
        <w:trPr>
          <w:trHeight w:val="259"/>
        </w:trPr>
        <w:tc>
          <w:tcPr>
            <w:tcW w:w="9214" w:type="dxa"/>
            <w:gridSpan w:val="8"/>
            <w:tcBorders>
              <w:top w:val="nil"/>
              <w:left w:val="nil"/>
              <w:bottom w:val="single" w:sz="4" w:space="0" w:color="auto"/>
              <w:right w:val="nil"/>
            </w:tcBorders>
          </w:tcPr>
          <w:p w14:paraId="0B5574A2" w14:textId="70F37EFF" w:rsidR="00B2402D" w:rsidRPr="000B69FA" w:rsidRDefault="00B2402D" w:rsidP="004A6E2F">
            <w:pPr>
              <w:spacing w:line="240" w:lineRule="auto"/>
              <w:jc w:val="left"/>
              <w:rPr>
                <w:rFonts w:eastAsia="Times New Roman" w:cs="Times New Roman"/>
                <w:b/>
                <w:bCs/>
                <w:color w:val="2F75B5"/>
                <w:sz w:val="20"/>
                <w:szCs w:val="20"/>
                <w:lang w:eastAsia="sk-SK"/>
              </w:rPr>
            </w:pPr>
            <w:r w:rsidRPr="000B69FA">
              <w:rPr>
                <w:rFonts w:eastAsia="Times New Roman" w:cs="Times New Roman"/>
                <w:b/>
                <w:bCs/>
                <w:color w:val="5B9BD5" w:themeColor="accent1"/>
                <w:sz w:val="20"/>
                <w:szCs w:val="20"/>
                <w:lang w:eastAsia="sk-SK"/>
              </w:rPr>
              <w:t>Tabuľka 2</w:t>
            </w:r>
            <w:r w:rsidR="004A6E2F">
              <w:rPr>
                <w:rFonts w:eastAsia="Times New Roman" w:cs="Times New Roman"/>
                <w:b/>
                <w:bCs/>
                <w:color w:val="5B9BD5" w:themeColor="accent1"/>
                <w:sz w:val="20"/>
                <w:szCs w:val="20"/>
                <w:lang w:eastAsia="sk-SK"/>
              </w:rPr>
              <w:t>2</w:t>
            </w:r>
            <w:r w:rsidRPr="000B69FA">
              <w:rPr>
                <w:rFonts w:eastAsia="Times New Roman" w:cs="Times New Roman"/>
                <w:b/>
                <w:bCs/>
                <w:color w:val="5B9BD5" w:themeColor="accent1"/>
                <w:sz w:val="20"/>
                <w:szCs w:val="20"/>
                <w:lang w:eastAsia="sk-SK"/>
              </w:rPr>
              <w:t xml:space="preserve"> - Štátny rozpočet na hotovostnej báze </w:t>
            </w:r>
          </w:p>
        </w:tc>
      </w:tr>
      <w:tr w:rsidR="00B2402D" w:rsidRPr="009726A1" w14:paraId="73F689A2" w14:textId="77777777" w:rsidTr="009726A1">
        <w:trPr>
          <w:trHeight w:val="456"/>
        </w:trPr>
        <w:tc>
          <w:tcPr>
            <w:tcW w:w="1985" w:type="dxa"/>
            <w:vMerge w:val="restart"/>
            <w:tcBorders>
              <w:top w:val="single" w:sz="4" w:space="0" w:color="auto"/>
              <w:left w:val="nil"/>
              <w:right w:val="nil"/>
            </w:tcBorders>
            <w:shd w:val="clear" w:color="auto" w:fill="auto"/>
            <w:vAlign w:val="center"/>
            <w:hideMark/>
          </w:tcPr>
          <w:p w14:paraId="7B77A42B" w14:textId="77777777" w:rsidR="00B2402D" w:rsidRPr="009726A1" w:rsidRDefault="00B2402D" w:rsidP="00D2560E">
            <w:pPr>
              <w:spacing w:after="0" w:line="240" w:lineRule="auto"/>
              <w:jc w:val="left"/>
              <w:rPr>
                <w:rFonts w:eastAsia="Times New Roman" w:cs="Times New Roman"/>
                <w:b/>
                <w:bCs/>
                <w:color w:val="000000"/>
                <w:sz w:val="18"/>
                <w:szCs w:val="18"/>
                <w:lang w:eastAsia="sk-SK"/>
              </w:rPr>
            </w:pPr>
            <w:r w:rsidRPr="009726A1">
              <w:rPr>
                <w:rFonts w:eastAsia="Times New Roman" w:cs="Times New Roman"/>
                <w:b/>
                <w:bCs/>
                <w:color w:val="000000"/>
                <w:sz w:val="18"/>
                <w:szCs w:val="18"/>
                <w:lang w:eastAsia="sk-SK"/>
              </w:rPr>
              <w:t>v tis. eur</w:t>
            </w:r>
          </w:p>
        </w:tc>
        <w:tc>
          <w:tcPr>
            <w:tcW w:w="992" w:type="dxa"/>
            <w:tcBorders>
              <w:top w:val="single" w:sz="4" w:space="0" w:color="auto"/>
              <w:left w:val="nil"/>
              <w:bottom w:val="nil"/>
              <w:right w:val="nil"/>
            </w:tcBorders>
            <w:shd w:val="clear" w:color="auto" w:fill="auto"/>
            <w:vAlign w:val="center"/>
          </w:tcPr>
          <w:p w14:paraId="37E20F6A" w14:textId="77777777" w:rsidR="00B2402D" w:rsidRPr="009726A1" w:rsidRDefault="00B2402D" w:rsidP="00D2560E">
            <w:pPr>
              <w:spacing w:after="0" w:line="240" w:lineRule="auto"/>
              <w:jc w:val="center"/>
              <w:rPr>
                <w:rFonts w:eastAsia="Times New Roman" w:cs="Times New Roman"/>
                <w:b/>
                <w:bCs/>
                <w:color w:val="000000"/>
                <w:sz w:val="18"/>
                <w:szCs w:val="18"/>
                <w:lang w:eastAsia="sk-SK"/>
              </w:rPr>
            </w:pPr>
          </w:p>
        </w:tc>
        <w:tc>
          <w:tcPr>
            <w:tcW w:w="992" w:type="dxa"/>
            <w:tcBorders>
              <w:top w:val="single" w:sz="4" w:space="0" w:color="auto"/>
              <w:left w:val="nil"/>
              <w:bottom w:val="nil"/>
              <w:right w:val="nil"/>
            </w:tcBorders>
            <w:shd w:val="clear" w:color="auto" w:fill="auto"/>
            <w:vAlign w:val="center"/>
            <w:hideMark/>
          </w:tcPr>
          <w:p w14:paraId="767630D8" w14:textId="77777777" w:rsidR="00B2402D" w:rsidRPr="009726A1" w:rsidRDefault="00B2402D" w:rsidP="00D2560E">
            <w:pPr>
              <w:spacing w:after="0" w:line="240" w:lineRule="auto"/>
              <w:jc w:val="center"/>
              <w:rPr>
                <w:rFonts w:eastAsia="Times New Roman" w:cs="Times New Roman"/>
                <w:b/>
                <w:bCs/>
                <w:color w:val="000000"/>
                <w:sz w:val="18"/>
                <w:szCs w:val="18"/>
                <w:lang w:eastAsia="sk-SK"/>
              </w:rPr>
            </w:pPr>
            <w:r w:rsidRPr="009726A1">
              <w:rPr>
                <w:rFonts w:eastAsia="Times New Roman" w:cs="Times New Roman"/>
                <w:b/>
                <w:bCs/>
                <w:color w:val="000000"/>
                <w:sz w:val="18"/>
                <w:szCs w:val="18"/>
                <w:lang w:eastAsia="sk-SK"/>
              </w:rPr>
              <w:t>2021 S</w:t>
            </w:r>
          </w:p>
        </w:tc>
        <w:tc>
          <w:tcPr>
            <w:tcW w:w="1134" w:type="dxa"/>
            <w:tcBorders>
              <w:top w:val="single" w:sz="4" w:space="0" w:color="auto"/>
              <w:left w:val="nil"/>
              <w:bottom w:val="nil"/>
              <w:right w:val="nil"/>
            </w:tcBorders>
            <w:shd w:val="clear" w:color="auto" w:fill="auto"/>
            <w:vAlign w:val="center"/>
          </w:tcPr>
          <w:p w14:paraId="2F3CB86B" w14:textId="77777777" w:rsidR="00B2402D" w:rsidRPr="009726A1" w:rsidRDefault="00B2402D" w:rsidP="00D2560E">
            <w:pPr>
              <w:spacing w:after="0" w:line="240" w:lineRule="auto"/>
              <w:jc w:val="center"/>
              <w:rPr>
                <w:rFonts w:eastAsia="Times New Roman" w:cs="Times New Roman"/>
                <w:b/>
                <w:bCs/>
                <w:color w:val="000000"/>
                <w:sz w:val="18"/>
                <w:szCs w:val="18"/>
                <w:highlight w:val="green"/>
                <w:lang w:eastAsia="sk-SK"/>
              </w:rPr>
            </w:pPr>
            <w:r w:rsidRPr="009726A1">
              <w:rPr>
                <w:rFonts w:eastAsia="Times New Roman" w:cs="Times New Roman"/>
                <w:b/>
                <w:bCs/>
                <w:color w:val="000000"/>
                <w:sz w:val="18"/>
                <w:szCs w:val="18"/>
                <w:lang w:eastAsia="sk-SK"/>
              </w:rPr>
              <w:t>2022 S</w:t>
            </w:r>
          </w:p>
        </w:tc>
        <w:tc>
          <w:tcPr>
            <w:tcW w:w="992" w:type="dxa"/>
            <w:tcBorders>
              <w:top w:val="single" w:sz="4" w:space="0" w:color="auto"/>
              <w:left w:val="nil"/>
              <w:bottom w:val="nil"/>
              <w:right w:val="nil"/>
            </w:tcBorders>
            <w:shd w:val="clear" w:color="auto" w:fill="auto"/>
            <w:vAlign w:val="center"/>
            <w:hideMark/>
          </w:tcPr>
          <w:p w14:paraId="477BB4B7" w14:textId="605EDFD5" w:rsidR="00B2402D" w:rsidRPr="009726A1" w:rsidRDefault="00B2402D" w:rsidP="000D557B">
            <w:pPr>
              <w:spacing w:after="0" w:line="240" w:lineRule="auto"/>
              <w:jc w:val="center"/>
              <w:rPr>
                <w:rFonts w:eastAsia="Times New Roman" w:cs="Times New Roman"/>
                <w:b/>
                <w:bCs/>
                <w:color w:val="000000"/>
                <w:sz w:val="18"/>
                <w:szCs w:val="18"/>
                <w:lang w:eastAsia="sk-SK"/>
              </w:rPr>
            </w:pPr>
            <w:r w:rsidRPr="009726A1">
              <w:rPr>
                <w:rFonts w:eastAsia="Times New Roman" w:cs="Times New Roman"/>
                <w:b/>
                <w:bCs/>
                <w:color w:val="000000"/>
                <w:sz w:val="18"/>
                <w:szCs w:val="18"/>
                <w:lang w:eastAsia="sk-SK"/>
              </w:rPr>
              <w:t xml:space="preserve">2023 </w:t>
            </w:r>
            <w:r w:rsidR="000D557B" w:rsidRPr="009726A1">
              <w:rPr>
                <w:rFonts w:eastAsia="Times New Roman" w:cs="Times New Roman"/>
                <w:b/>
                <w:bCs/>
                <w:color w:val="000000"/>
                <w:sz w:val="18"/>
                <w:szCs w:val="18"/>
                <w:lang w:eastAsia="sk-SK"/>
              </w:rPr>
              <w:t>R</w:t>
            </w:r>
          </w:p>
        </w:tc>
        <w:tc>
          <w:tcPr>
            <w:tcW w:w="993" w:type="dxa"/>
            <w:tcBorders>
              <w:top w:val="single" w:sz="4" w:space="0" w:color="auto"/>
              <w:left w:val="nil"/>
              <w:bottom w:val="nil"/>
              <w:right w:val="nil"/>
            </w:tcBorders>
            <w:shd w:val="clear" w:color="auto" w:fill="auto"/>
            <w:vAlign w:val="center"/>
            <w:hideMark/>
          </w:tcPr>
          <w:p w14:paraId="6FD0B422" w14:textId="77777777" w:rsidR="00B2402D" w:rsidRPr="009726A1" w:rsidRDefault="00B2402D" w:rsidP="00D2560E">
            <w:pPr>
              <w:spacing w:after="0" w:line="240" w:lineRule="auto"/>
              <w:jc w:val="center"/>
              <w:rPr>
                <w:rFonts w:eastAsia="Times New Roman" w:cs="Times New Roman"/>
                <w:b/>
                <w:bCs/>
                <w:color w:val="000000"/>
                <w:sz w:val="18"/>
                <w:szCs w:val="18"/>
                <w:lang w:eastAsia="sk-SK"/>
              </w:rPr>
            </w:pPr>
            <w:r w:rsidRPr="009726A1">
              <w:rPr>
                <w:rFonts w:eastAsia="Times New Roman" w:cs="Times New Roman"/>
                <w:b/>
                <w:bCs/>
                <w:color w:val="000000"/>
                <w:sz w:val="18"/>
                <w:szCs w:val="18"/>
                <w:lang w:eastAsia="sk-SK"/>
              </w:rPr>
              <w:t>2023 UR</w:t>
            </w:r>
          </w:p>
        </w:tc>
        <w:tc>
          <w:tcPr>
            <w:tcW w:w="1107" w:type="dxa"/>
            <w:tcBorders>
              <w:top w:val="single" w:sz="4" w:space="0" w:color="auto"/>
              <w:left w:val="nil"/>
              <w:bottom w:val="nil"/>
              <w:right w:val="nil"/>
            </w:tcBorders>
            <w:shd w:val="clear" w:color="auto" w:fill="auto"/>
            <w:vAlign w:val="center"/>
            <w:hideMark/>
          </w:tcPr>
          <w:p w14:paraId="349B6C85" w14:textId="77777777" w:rsidR="00B2402D" w:rsidRPr="009726A1" w:rsidRDefault="00B2402D" w:rsidP="00D2560E">
            <w:pPr>
              <w:spacing w:after="0" w:line="240" w:lineRule="auto"/>
              <w:jc w:val="center"/>
              <w:rPr>
                <w:rFonts w:eastAsia="Times New Roman" w:cs="Times New Roman"/>
                <w:b/>
                <w:bCs/>
                <w:color w:val="000000"/>
                <w:sz w:val="18"/>
                <w:szCs w:val="18"/>
                <w:lang w:eastAsia="sk-SK"/>
              </w:rPr>
            </w:pPr>
            <w:r w:rsidRPr="009726A1">
              <w:rPr>
                <w:rFonts w:eastAsia="Times New Roman" w:cs="Times New Roman"/>
                <w:b/>
                <w:bCs/>
                <w:color w:val="000000"/>
                <w:sz w:val="18"/>
                <w:szCs w:val="18"/>
                <w:lang w:eastAsia="sk-SK"/>
              </w:rPr>
              <w:t>2023 S</w:t>
            </w:r>
          </w:p>
        </w:tc>
        <w:tc>
          <w:tcPr>
            <w:tcW w:w="1019" w:type="dxa"/>
            <w:tcBorders>
              <w:top w:val="single" w:sz="4" w:space="0" w:color="auto"/>
              <w:left w:val="nil"/>
              <w:bottom w:val="nil"/>
              <w:right w:val="nil"/>
            </w:tcBorders>
            <w:shd w:val="clear" w:color="auto" w:fill="auto"/>
            <w:vAlign w:val="center"/>
            <w:hideMark/>
          </w:tcPr>
          <w:p w14:paraId="499F0102" w14:textId="77777777" w:rsidR="00B2402D" w:rsidRPr="009726A1" w:rsidRDefault="00B2402D" w:rsidP="00D2560E">
            <w:pPr>
              <w:spacing w:after="0" w:line="240" w:lineRule="auto"/>
              <w:jc w:val="center"/>
              <w:rPr>
                <w:rFonts w:eastAsia="Times New Roman" w:cs="Times New Roman"/>
                <w:b/>
                <w:bCs/>
                <w:color w:val="000000"/>
                <w:sz w:val="18"/>
                <w:szCs w:val="18"/>
                <w:lang w:eastAsia="sk-SK"/>
              </w:rPr>
            </w:pPr>
            <w:r w:rsidRPr="009726A1">
              <w:rPr>
                <w:rFonts w:eastAsia="Times New Roman" w:cs="Times New Roman"/>
                <w:b/>
                <w:bCs/>
                <w:color w:val="000000"/>
                <w:sz w:val="18"/>
                <w:szCs w:val="18"/>
                <w:lang w:eastAsia="sk-SK"/>
              </w:rPr>
              <w:t>Rozdiel</w:t>
            </w:r>
          </w:p>
        </w:tc>
      </w:tr>
      <w:tr w:rsidR="00B2402D" w:rsidRPr="009726A1" w14:paraId="72D1E146" w14:textId="77777777" w:rsidTr="009726A1">
        <w:trPr>
          <w:trHeight w:val="57"/>
        </w:trPr>
        <w:tc>
          <w:tcPr>
            <w:tcW w:w="1985" w:type="dxa"/>
            <w:vMerge/>
            <w:tcBorders>
              <w:left w:val="nil"/>
              <w:bottom w:val="single" w:sz="4" w:space="0" w:color="auto"/>
              <w:right w:val="nil"/>
            </w:tcBorders>
            <w:shd w:val="clear" w:color="auto" w:fill="auto"/>
            <w:vAlign w:val="center"/>
            <w:hideMark/>
          </w:tcPr>
          <w:p w14:paraId="540AF8DF" w14:textId="77777777" w:rsidR="00B2402D" w:rsidRPr="009726A1" w:rsidRDefault="00B2402D" w:rsidP="00D2560E">
            <w:pPr>
              <w:spacing w:after="0" w:line="240" w:lineRule="auto"/>
              <w:jc w:val="left"/>
              <w:rPr>
                <w:rFonts w:eastAsia="Times New Roman" w:cs="Times New Roman"/>
                <w:b/>
                <w:bCs/>
                <w:color w:val="000000"/>
                <w:sz w:val="18"/>
                <w:szCs w:val="18"/>
                <w:lang w:eastAsia="sk-SK"/>
              </w:rPr>
            </w:pPr>
          </w:p>
        </w:tc>
        <w:tc>
          <w:tcPr>
            <w:tcW w:w="992" w:type="dxa"/>
            <w:tcBorders>
              <w:top w:val="nil"/>
              <w:left w:val="nil"/>
              <w:bottom w:val="single" w:sz="4" w:space="0" w:color="auto"/>
              <w:right w:val="nil"/>
            </w:tcBorders>
            <w:shd w:val="clear" w:color="auto" w:fill="auto"/>
            <w:vAlign w:val="center"/>
          </w:tcPr>
          <w:p w14:paraId="43FA67F1" w14:textId="77777777" w:rsidR="00B2402D" w:rsidRPr="009726A1" w:rsidRDefault="00B2402D" w:rsidP="00D2560E">
            <w:pPr>
              <w:spacing w:after="0" w:line="240" w:lineRule="auto"/>
              <w:jc w:val="center"/>
              <w:rPr>
                <w:rFonts w:eastAsia="Times New Roman" w:cs="Times New Roman"/>
                <w:b/>
                <w:bCs/>
                <w:color w:val="000000"/>
                <w:sz w:val="18"/>
                <w:szCs w:val="18"/>
                <w:lang w:eastAsia="sk-SK"/>
              </w:rPr>
            </w:pPr>
          </w:p>
        </w:tc>
        <w:tc>
          <w:tcPr>
            <w:tcW w:w="992" w:type="dxa"/>
            <w:tcBorders>
              <w:top w:val="nil"/>
              <w:left w:val="nil"/>
              <w:bottom w:val="single" w:sz="4" w:space="0" w:color="auto"/>
              <w:right w:val="nil"/>
            </w:tcBorders>
            <w:shd w:val="clear" w:color="auto" w:fill="auto"/>
            <w:vAlign w:val="center"/>
            <w:hideMark/>
          </w:tcPr>
          <w:p w14:paraId="787255B9" w14:textId="77777777" w:rsidR="00B2402D" w:rsidRPr="009726A1" w:rsidRDefault="00B2402D" w:rsidP="00D2560E">
            <w:pPr>
              <w:spacing w:after="0" w:line="240" w:lineRule="auto"/>
              <w:jc w:val="center"/>
              <w:rPr>
                <w:rFonts w:eastAsia="Times New Roman" w:cs="Times New Roman"/>
                <w:b/>
                <w:bCs/>
                <w:color w:val="000000"/>
                <w:sz w:val="18"/>
                <w:szCs w:val="18"/>
                <w:lang w:eastAsia="sk-SK"/>
              </w:rPr>
            </w:pPr>
            <w:r w:rsidRPr="009726A1">
              <w:rPr>
                <w:rFonts w:eastAsia="Times New Roman" w:cs="Times New Roman"/>
                <w:b/>
                <w:bCs/>
                <w:color w:val="000000"/>
                <w:sz w:val="18"/>
                <w:szCs w:val="18"/>
                <w:lang w:eastAsia="sk-SK"/>
              </w:rPr>
              <w:t>1</w:t>
            </w:r>
          </w:p>
        </w:tc>
        <w:tc>
          <w:tcPr>
            <w:tcW w:w="1134" w:type="dxa"/>
            <w:tcBorders>
              <w:top w:val="nil"/>
              <w:left w:val="nil"/>
              <w:bottom w:val="single" w:sz="4" w:space="0" w:color="auto"/>
              <w:right w:val="nil"/>
            </w:tcBorders>
            <w:shd w:val="clear" w:color="auto" w:fill="auto"/>
            <w:vAlign w:val="center"/>
          </w:tcPr>
          <w:p w14:paraId="554F9DDB" w14:textId="77777777" w:rsidR="00B2402D" w:rsidRPr="009726A1" w:rsidRDefault="00B2402D" w:rsidP="00D2560E">
            <w:pPr>
              <w:spacing w:after="0" w:line="240" w:lineRule="auto"/>
              <w:jc w:val="center"/>
              <w:rPr>
                <w:rFonts w:eastAsia="Times New Roman" w:cs="Times New Roman"/>
                <w:b/>
                <w:bCs/>
                <w:color w:val="000000"/>
                <w:sz w:val="18"/>
                <w:szCs w:val="18"/>
                <w:lang w:eastAsia="sk-SK"/>
              </w:rPr>
            </w:pPr>
            <w:r w:rsidRPr="009726A1">
              <w:rPr>
                <w:rFonts w:eastAsia="Times New Roman" w:cs="Times New Roman"/>
                <w:b/>
                <w:bCs/>
                <w:color w:val="000000"/>
                <w:sz w:val="18"/>
                <w:szCs w:val="18"/>
                <w:lang w:eastAsia="sk-SK"/>
              </w:rPr>
              <w:t>2</w:t>
            </w:r>
          </w:p>
        </w:tc>
        <w:tc>
          <w:tcPr>
            <w:tcW w:w="992" w:type="dxa"/>
            <w:tcBorders>
              <w:top w:val="nil"/>
              <w:left w:val="nil"/>
              <w:bottom w:val="single" w:sz="4" w:space="0" w:color="auto"/>
              <w:right w:val="nil"/>
            </w:tcBorders>
            <w:shd w:val="clear" w:color="auto" w:fill="auto"/>
            <w:vAlign w:val="center"/>
            <w:hideMark/>
          </w:tcPr>
          <w:p w14:paraId="6A67B9F1" w14:textId="77777777" w:rsidR="00B2402D" w:rsidRPr="009726A1" w:rsidRDefault="00B2402D" w:rsidP="00D2560E">
            <w:pPr>
              <w:spacing w:after="0" w:line="240" w:lineRule="auto"/>
              <w:jc w:val="center"/>
              <w:rPr>
                <w:rFonts w:eastAsia="Times New Roman" w:cs="Times New Roman"/>
                <w:b/>
                <w:bCs/>
                <w:color w:val="000000"/>
                <w:sz w:val="18"/>
                <w:szCs w:val="18"/>
                <w:lang w:eastAsia="sk-SK"/>
              </w:rPr>
            </w:pPr>
            <w:r w:rsidRPr="009726A1">
              <w:rPr>
                <w:rFonts w:eastAsia="Times New Roman" w:cs="Times New Roman"/>
                <w:b/>
                <w:bCs/>
                <w:color w:val="000000"/>
                <w:sz w:val="18"/>
                <w:szCs w:val="18"/>
                <w:lang w:eastAsia="sk-SK"/>
              </w:rPr>
              <w:t>3</w:t>
            </w:r>
          </w:p>
        </w:tc>
        <w:tc>
          <w:tcPr>
            <w:tcW w:w="993" w:type="dxa"/>
            <w:tcBorders>
              <w:top w:val="nil"/>
              <w:left w:val="nil"/>
              <w:bottom w:val="single" w:sz="4" w:space="0" w:color="auto"/>
              <w:right w:val="nil"/>
            </w:tcBorders>
            <w:shd w:val="clear" w:color="auto" w:fill="auto"/>
            <w:vAlign w:val="center"/>
            <w:hideMark/>
          </w:tcPr>
          <w:p w14:paraId="28553528" w14:textId="77777777" w:rsidR="00B2402D" w:rsidRPr="009726A1" w:rsidRDefault="00B2402D" w:rsidP="00D2560E">
            <w:pPr>
              <w:spacing w:after="0" w:line="240" w:lineRule="auto"/>
              <w:jc w:val="center"/>
              <w:rPr>
                <w:rFonts w:eastAsia="Times New Roman" w:cs="Times New Roman"/>
                <w:b/>
                <w:bCs/>
                <w:color w:val="000000"/>
                <w:sz w:val="18"/>
                <w:szCs w:val="18"/>
                <w:lang w:eastAsia="sk-SK"/>
              </w:rPr>
            </w:pPr>
            <w:r w:rsidRPr="009726A1">
              <w:rPr>
                <w:rFonts w:eastAsia="Times New Roman" w:cs="Times New Roman"/>
                <w:b/>
                <w:bCs/>
                <w:color w:val="000000"/>
                <w:sz w:val="18"/>
                <w:szCs w:val="18"/>
                <w:lang w:eastAsia="sk-SK"/>
              </w:rPr>
              <w:t>4</w:t>
            </w:r>
          </w:p>
        </w:tc>
        <w:tc>
          <w:tcPr>
            <w:tcW w:w="1107" w:type="dxa"/>
            <w:tcBorders>
              <w:top w:val="nil"/>
              <w:left w:val="nil"/>
              <w:bottom w:val="single" w:sz="4" w:space="0" w:color="auto"/>
              <w:right w:val="nil"/>
            </w:tcBorders>
            <w:shd w:val="clear" w:color="auto" w:fill="auto"/>
            <w:vAlign w:val="center"/>
            <w:hideMark/>
          </w:tcPr>
          <w:p w14:paraId="67E51ADE" w14:textId="77777777" w:rsidR="00B2402D" w:rsidRPr="009726A1" w:rsidRDefault="00B2402D" w:rsidP="00D2560E">
            <w:pPr>
              <w:spacing w:after="0" w:line="240" w:lineRule="auto"/>
              <w:jc w:val="center"/>
              <w:rPr>
                <w:rFonts w:eastAsia="Times New Roman" w:cs="Times New Roman"/>
                <w:b/>
                <w:bCs/>
                <w:color w:val="000000"/>
                <w:sz w:val="18"/>
                <w:szCs w:val="18"/>
                <w:lang w:eastAsia="sk-SK"/>
              </w:rPr>
            </w:pPr>
            <w:r w:rsidRPr="009726A1">
              <w:rPr>
                <w:rFonts w:eastAsia="Times New Roman" w:cs="Times New Roman"/>
                <w:b/>
                <w:bCs/>
                <w:color w:val="000000"/>
                <w:sz w:val="18"/>
                <w:szCs w:val="18"/>
                <w:lang w:eastAsia="sk-SK"/>
              </w:rPr>
              <w:t>5</w:t>
            </w:r>
          </w:p>
        </w:tc>
        <w:tc>
          <w:tcPr>
            <w:tcW w:w="1019" w:type="dxa"/>
            <w:tcBorders>
              <w:top w:val="nil"/>
              <w:left w:val="nil"/>
              <w:bottom w:val="single" w:sz="4" w:space="0" w:color="auto"/>
              <w:right w:val="nil"/>
            </w:tcBorders>
            <w:shd w:val="clear" w:color="auto" w:fill="auto"/>
            <w:vAlign w:val="center"/>
            <w:hideMark/>
          </w:tcPr>
          <w:p w14:paraId="5B44A098" w14:textId="77777777" w:rsidR="00B2402D" w:rsidRPr="009726A1" w:rsidRDefault="00B2402D" w:rsidP="00D2560E">
            <w:pPr>
              <w:spacing w:after="0" w:line="240" w:lineRule="auto"/>
              <w:jc w:val="center"/>
              <w:rPr>
                <w:rFonts w:eastAsia="Times New Roman" w:cs="Times New Roman"/>
                <w:b/>
                <w:bCs/>
                <w:color w:val="000000"/>
                <w:sz w:val="18"/>
                <w:szCs w:val="18"/>
                <w:lang w:eastAsia="sk-SK"/>
              </w:rPr>
            </w:pPr>
            <w:r w:rsidRPr="009726A1">
              <w:rPr>
                <w:rFonts w:eastAsia="Times New Roman" w:cs="Times New Roman"/>
                <w:b/>
                <w:bCs/>
                <w:color w:val="000000"/>
                <w:sz w:val="18"/>
                <w:szCs w:val="18"/>
                <w:lang w:eastAsia="sk-SK"/>
              </w:rPr>
              <w:t>6=5-3</w:t>
            </w:r>
          </w:p>
        </w:tc>
      </w:tr>
      <w:tr w:rsidR="00B2402D" w:rsidRPr="009726A1" w14:paraId="70A205C8" w14:textId="77777777" w:rsidTr="009726A1">
        <w:trPr>
          <w:trHeight w:val="288"/>
        </w:trPr>
        <w:tc>
          <w:tcPr>
            <w:tcW w:w="1985" w:type="dxa"/>
            <w:tcBorders>
              <w:top w:val="nil"/>
              <w:left w:val="nil"/>
              <w:bottom w:val="nil"/>
              <w:right w:val="nil"/>
            </w:tcBorders>
            <w:shd w:val="clear" w:color="auto" w:fill="auto"/>
            <w:noWrap/>
            <w:vAlign w:val="center"/>
            <w:hideMark/>
          </w:tcPr>
          <w:p w14:paraId="78BC3682" w14:textId="77777777" w:rsidR="00B2402D" w:rsidRPr="009726A1" w:rsidRDefault="00B2402D" w:rsidP="00D2560E">
            <w:pPr>
              <w:spacing w:after="0" w:line="240" w:lineRule="auto"/>
              <w:rPr>
                <w:rFonts w:eastAsia="Times New Roman" w:cs="Times New Roman"/>
                <w:b/>
                <w:bCs/>
                <w:color w:val="000000"/>
                <w:sz w:val="18"/>
                <w:szCs w:val="18"/>
                <w:lang w:eastAsia="sk-SK"/>
              </w:rPr>
            </w:pPr>
            <w:r w:rsidRPr="009726A1">
              <w:rPr>
                <w:rFonts w:eastAsia="Times New Roman" w:cs="Times New Roman"/>
                <w:b/>
                <w:bCs/>
                <w:color w:val="000000"/>
                <w:sz w:val="18"/>
                <w:szCs w:val="18"/>
                <w:lang w:eastAsia="sk-SK"/>
              </w:rPr>
              <w:t>Príjmy spolu</w:t>
            </w:r>
          </w:p>
        </w:tc>
        <w:tc>
          <w:tcPr>
            <w:tcW w:w="992" w:type="dxa"/>
            <w:tcBorders>
              <w:top w:val="nil"/>
              <w:left w:val="nil"/>
              <w:bottom w:val="nil"/>
              <w:right w:val="nil"/>
            </w:tcBorders>
            <w:shd w:val="clear" w:color="auto" w:fill="auto"/>
            <w:vAlign w:val="center"/>
          </w:tcPr>
          <w:p w14:paraId="678411A2" w14:textId="77777777" w:rsidR="00B2402D" w:rsidRPr="009726A1" w:rsidRDefault="00B2402D" w:rsidP="00D2560E">
            <w:pPr>
              <w:spacing w:after="0" w:line="240" w:lineRule="auto"/>
              <w:jc w:val="right"/>
              <w:rPr>
                <w:rFonts w:eastAsia="Times New Roman" w:cs="Times New Roman"/>
                <w:b/>
                <w:bCs/>
                <w:color w:val="000000"/>
                <w:sz w:val="18"/>
                <w:szCs w:val="18"/>
                <w:highlight w:val="yellow"/>
                <w:lang w:eastAsia="sk-SK"/>
              </w:rPr>
            </w:pPr>
          </w:p>
        </w:tc>
        <w:tc>
          <w:tcPr>
            <w:tcW w:w="992" w:type="dxa"/>
            <w:tcBorders>
              <w:top w:val="nil"/>
              <w:left w:val="nil"/>
              <w:bottom w:val="nil"/>
              <w:right w:val="nil"/>
            </w:tcBorders>
            <w:shd w:val="clear" w:color="auto" w:fill="auto"/>
            <w:noWrap/>
            <w:vAlign w:val="center"/>
          </w:tcPr>
          <w:p w14:paraId="50A57028" w14:textId="77777777" w:rsidR="00B2402D" w:rsidRPr="009726A1" w:rsidRDefault="00B2402D" w:rsidP="00D2560E">
            <w:pPr>
              <w:spacing w:after="0" w:line="240" w:lineRule="auto"/>
              <w:jc w:val="right"/>
              <w:rPr>
                <w:rFonts w:eastAsia="Times New Roman" w:cs="Times New Roman"/>
                <w:b/>
                <w:bCs/>
                <w:color w:val="000000"/>
                <w:sz w:val="18"/>
                <w:szCs w:val="18"/>
                <w:highlight w:val="yellow"/>
                <w:lang w:eastAsia="sk-SK"/>
              </w:rPr>
            </w:pPr>
            <w:r w:rsidRPr="009726A1">
              <w:rPr>
                <w:rFonts w:eastAsia="Times New Roman" w:cs="Times New Roman"/>
                <w:b/>
                <w:bCs/>
                <w:color w:val="000000"/>
                <w:sz w:val="18"/>
                <w:szCs w:val="18"/>
                <w:lang w:eastAsia="sk-SK"/>
              </w:rPr>
              <w:t>17 197 298</w:t>
            </w:r>
          </w:p>
        </w:tc>
        <w:tc>
          <w:tcPr>
            <w:tcW w:w="1134" w:type="dxa"/>
            <w:tcBorders>
              <w:top w:val="nil"/>
              <w:left w:val="nil"/>
              <w:bottom w:val="nil"/>
              <w:right w:val="nil"/>
            </w:tcBorders>
            <w:shd w:val="clear" w:color="auto" w:fill="auto"/>
            <w:vAlign w:val="center"/>
          </w:tcPr>
          <w:p w14:paraId="75CC957B" w14:textId="77777777" w:rsidR="00B2402D" w:rsidRPr="009726A1" w:rsidRDefault="00B2402D" w:rsidP="00D2560E">
            <w:pPr>
              <w:spacing w:after="0" w:line="240" w:lineRule="auto"/>
              <w:jc w:val="right"/>
              <w:rPr>
                <w:rFonts w:eastAsia="Times New Roman" w:cs="Times New Roman"/>
                <w:b/>
                <w:bCs/>
                <w:color w:val="000000"/>
                <w:sz w:val="18"/>
                <w:szCs w:val="18"/>
                <w:lang w:eastAsia="sk-SK"/>
              </w:rPr>
            </w:pPr>
            <w:r w:rsidRPr="009726A1">
              <w:rPr>
                <w:rFonts w:eastAsia="Times New Roman" w:cs="Times New Roman"/>
                <w:b/>
                <w:bCs/>
                <w:color w:val="000000"/>
                <w:sz w:val="18"/>
                <w:szCs w:val="18"/>
                <w:lang w:eastAsia="sk-SK"/>
              </w:rPr>
              <w:t>19 029 702</w:t>
            </w:r>
          </w:p>
        </w:tc>
        <w:tc>
          <w:tcPr>
            <w:tcW w:w="992" w:type="dxa"/>
            <w:tcBorders>
              <w:top w:val="nil"/>
              <w:left w:val="nil"/>
              <w:bottom w:val="nil"/>
              <w:right w:val="nil"/>
            </w:tcBorders>
            <w:shd w:val="clear" w:color="auto" w:fill="auto"/>
            <w:noWrap/>
            <w:vAlign w:val="center"/>
            <w:hideMark/>
          </w:tcPr>
          <w:p w14:paraId="448F7F8D" w14:textId="77777777" w:rsidR="00B2402D" w:rsidRPr="009726A1" w:rsidRDefault="00B2402D" w:rsidP="00D2560E">
            <w:pPr>
              <w:spacing w:after="0" w:line="240" w:lineRule="auto"/>
              <w:jc w:val="right"/>
              <w:rPr>
                <w:rFonts w:eastAsia="Times New Roman" w:cs="Times New Roman"/>
                <w:b/>
                <w:bCs/>
                <w:color w:val="000000"/>
                <w:sz w:val="18"/>
                <w:szCs w:val="18"/>
                <w:highlight w:val="yellow"/>
                <w:lang w:eastAsia="sk-SK"/>
              </w:rPr>
            </w:pPr>
            <w:r w:rsidRPr="009726A1">
              <w:rPr>
                <w:rFonts w:eastAsia="Times New Roman" w:cs="Times New Roman"/>
                <w:b/>
                <w:bCs/>
                <w:color w:val="000000"/>
                <w:sz w:val="18"/>
                <w:szCs w:val="18"/>
                <w:lang w:eastAsia="sk-SK"/>
              </w:rPr>
              <w:t>26 699 184</w:t>
            </w:r>
          </w:p>
        </w:tc>
        <w:tc>
          <w:tcPr>
            <w:tcW w:w="993" w:type="dxa"/>
            <w:tcBorders>
              <w:top w:val="nil"/>
              <w:left w:val="nil"/>
              <w:bottom w:val="nil"/>
              <w:right w:val="nil"/>
            </w:tcBorders>
            <w:shd w:val="clear" w:color="auto" w:fill="auto"/>
            <w:noWrap/>
            <w:vAlign w:val="center"/>
            <w:hideMark/>
          </w:tcPr>
          <w:p w14:paraId="501D2567" w14:textId="77777777" w:rsidR="00B2402D" w:rsidRPr="009726A1" w:rsidRDefault="00B2402D" w:rsidP="00D2560E">
            <w:pPr>
              <w:spacing w:after="0" w:line="240" w:lineRule="auto"/>
              <w:jc w:val="right"/>
              <w:rPr>
                <w:rFonts w:eastAsia="Times New Roman" w:cs="Times New Roman"/>
                <w:b/>
                <w:bCs/>
                <w:color w:val="000000"/>
                <w:sz w:val="18"/>
                <w:szCs w:val="18"/>
                <w:highlight w:val="yellow"/>
                <w:lang w:eastAsia="sk-SK"/>
              </w:rPr>
            </w:pPr>
            <w:r w:rsidRPr="009726A1">
              <w:rPr>
                <w:rFonts w:eastAsia="Times New Roman" w:cs="Times New Roman"/>
                <w:b/>
                <w:bCs/>
                <w:color w:val="000000"/>
                <w:sz w:val="18"/>
                <w:szCs w:val="18"/>
                <w:lang w:eastAsia="sk-SK"/>
              </w:rPr>
              <w:t>23 479 613</w:t>
            </w:r>
          </w:p>
        </w:tc>
        <w:tc>
          <w:tcPr>
            <w:tcW w:w="1107" w:type="dxa"/>
            <w:tcBorders>
              <w:top w:val="nil"/>
              <w:left w:val="nil"/>
              <w:bottom w:val="nil"/>
              <w:right w:val="nil"/>
            </w:tcBorders>
            <w:shd w:val="clear" w:color="auto" w:fill="auto"/>
            <w:vAlign w:val="center"/>
            <w:hideMark/>
          </w:tcPr>
          <w:p w14:paraId="0930D0D0" w14:textId="77777777" w:rsidR="00B2402D" w:rsidRPr="009726A1" w:rsidRDefault="00B2402D" w:rsidP="00D2560E">
            <w:pPr>
              <w:spacing w:after="0" w:line="240" w:lineRule="auto"/>
              <w:jc w:val="right"/>
              <w:rPr>
                <w:rFonts w:eastAsia="Times New Roman" w:cs="Times New Roman"/>
                <w:b/>
                <w:bCs/>
                <w:color w:val="000000"/>
                <w:sz w:val="18"/>
                <w:szCs w:val="18"/>
                <w:highlight w:val="yellow"/>
                <w:lang w:eastAsia="sk-SK"/>
              </w:rPr>
            </w:pPr>
            <w:r w:rsidRPr="009726A1">
              <w:rPr>
                <w:rFonts w:eastAsia="Times New Roman" w:cs="Times New Roman"/>
                <w:b/>
                <w:bCs/>
                <w:color w:val="000000"/>
                <w:sz w:val="18"/>
                <w:szCs w:val="18"/>
                <w:lang w:eastAsia="sk-SK"/>
              </w:rPr>
              <w:t>23 688 646</w:t>
            </w:r>
          </w:p>
        </w:tc>
        <w:tc>
          <w:tcPr>
            <w:tcW w:w="1019" w:type="dxa"/>
            <w:tcBorders>
              <w:top w:val="nil"/>
              <w:left w:val="nil"/>
              <w:bottom w:val="nil"/>
              <w:right w:val="nil"/>
            </w:tcBorders>
            <w:shd w:val="clear" w:color="auto" w:fill="auto"/>
            <w:noWrap/>
            <w:vAlign w:val="center"/>
            <w:hideMark/>
          </w:tcPr>
          <w:p w14:paraId="30C780B9" w14:textId="77777777" w:rsidR="00B2402D" w:rsidRPr="009726A1" w:rsidRDefault="00B2402D" w:rsidP="00D2560E">
            <w:pPr>
              <w:spacing w:after="0" w:line="240" w:lineRule="auto"/>
              <w:jc w:val="right"/>
              <w:rPr>
                <w:rFonts w:eastAsia="Times New Roman" w:cs="Times New Roman"/>
                <w:b/>
                <w:bCs/>
                <w:color w:val="000000"/>
                <w:sz w:val="18"/>
                <w:szCs w:val="18"/>
                <w:highlight w:val="yellow"/>
                <w:lang w:eastAsia="sk-SK"/>
              </w:rPr>
            </w:pPr>
            <w:r w:rsidRPr="009726A1">
              <w:rPr>
                <w:rFonts w:eastAsia="Times New Roman" w:cs="Times New Roman"/>
                <w:b/>
                <w:bCs/>
                <w:color w:val="000000"/>
                <w:sz w:val="18"/>
                <w:szCs w:val="18"/>
                <w:lang w:eastAsia="sk-SK"/>
              </w:rPr>
              <w:t>-3 010 538</w:t>
            </w:r>
          </w:p>
        </w:tc>
      </w:tr>
      <w:tr w:rsidR="00B2402D" w:rsidRPr="009726A1" w14:paraId="2F2C0E63" w14:textId="77777777" w:rsidTr="009726A1">
        <w:trPr>
          <w:trHeight w:val="288"/>
        </w:trPr>
        <w:tc>
          <w:tcPr>
            <w:tcW w:w="1985" w:type="dxa"/>
            <w:tcBorders>
              <w:top w:val="nil"/>
              <w:left w:val="nil"/>
              <w:bottom w:val="nil"/>
              <w:right w:val="nil"/>
            </w:tcBorders>
            <w:shd w:val="clear" w:color="auto" w:fill="auto"/>
            <w:noWrap/>
            <w:vAlign w:val="center"/>
            <w:hideMark/>
          </w:tcPr>
          <w:p w14:paraId="12C4BBED" w14:textId="77777777" w:rsidR="00B2402D" w:rsidRPr="009726A1" w:rsidRDefault="00B2402D" w:rsidP="00D2560E">
            <w:pPr>
              <w:spacing w:after="0" w:line="240" w:lineRule="auto"/>
              <w:rPr>
                <w:rFonts w:eastAsia="Times New Roman" w:cs="Times New Roman"/>
                <w:color w:val="000000"/>
                <w:sz w:val="18"/>
                <w:szCs w:val="18"/>
                <w:lang w:eastAsia="sk-SK"/>
              </w:rPr>
            </w:pPr>
            <w:r w:rsidRPr="009726A1">
              <w:rPr>
                <w:rFonts w:eastAsia="Times New Roman" w:cs="Times New Roman"/>
                <w:color w:val="000000"/>
                <w:sz w:val="18"/>
                <w:szCs w:val="18"/>
                <w:lang w:eastAsia="sk-SK"/>
              </w:rPr>
              <w:t>v tom: daňové príjmy</w:t>
            </w:r>
          </w:p>
        </w:tc>
        <w:tc>
          <w:tcPr>
            <w:tcW w:w="992" w:type="dxa"/>
            <w:tcBorders>
              <w:top w:val="nil"/>
              <w:left w:val="nil"/>
              <w:bottom w:val="nil"/>
              <w:right w:val="nil"/>
            </w:tcBorders>
            <w:shd w:val="clear" w:color="auto" w:fill="auto"/>
            <w:vAlign w:val="center"/>
          </w:tcPr>
          <w:p w14:paraId="206A26BA"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p>
        </w:tc>
        <w:tc>
          <w:tcPr>
            <w:tcW w:w="992" w:type="dxa"/>
            <w:tcBorders>
              <w:top w:val="nil"/>
              <w:left w:val="nil"/>
              <w:bottom w:val="nil"/>
              <w:right w:val="nil"/>
            </w:tcBorders>
            <w:shd w:val="clear" w:color="auto" w:fill="auto"/>
            <w:noWrap/>
            <w:vAlign w:val="center"/>
          </w:tcPr>
          <w:p w14:paraId="235C66D1"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13 546 038</w:t>
            </w:r>
          </w:p>
        </w:tc>
        <w:tc>
          <w:tcPr>
            <w:tcW w:w="1134" w:type="dxa"/>
            <w:tcBorders>
              <w:top w:val="nil"/>
              <w:left w:val="nil"/>
              <w:bottom w:val="nil"/>
              <w:right w:val="nil"/>
            </w:tcBorders>
            <w:shd w:val="clear" w:color="auto" w:fill="auto"/>
            <w:vAlign w:val="center"/>
          </w:tcPr>
          <w:p w14:paraId="2AE13113" w14:textId="77777777" w:rsidR="00B2402D" w:rsidRPr="009726A1" w:rsidRDefault="00B2402D" w:rsidP="00D2560E">
            <w:pPr>
              <w:spacing w:after="0" w:line="240" w:lineRule="auto"/>
              <w:jc w:val="right"/>
              <w:rPr>
                <w:rFonts w:eastAsia="Times New Roman" w:cs="Times New Roman"/>
                <w:color w:val="000000"/>
                <w:sz w:val="18"/>
                <w:szCs w:val="18"/>
                <w:lang w:eastAsia="sk-SK"/>
              </w:rPr>
            </w:pPr>
            <w:r w:rsidRPr="009726A1">
              <w:rPr>
                <w:rFonts w:eastAsia="Times New Roman" w:cs="Times New Roman"/>
                <w:color w:val="000000"/>
                <w:sz w:val="18"/>
                <w:szCs w:val="18"/>
                <w:lang w:eastAsia="sk-SK"/>
              </w:rPr>
              <w:t>15 517 036</w:t>
            </w:r>
          </w:p>
        </w:tc>
        <w:tc>
          <w:tcPr>
            <w:tcW w:w="992" w:type="dxa"/>
            <w:tcBorders>
              <w:top w:val="nil"/>
              <w:left w:val="nil"/>
              <w:bottom w:val="nil"/>
              <w:right w:val="nil"/>
            </w:tcBorders>
            <w:shd w:val="clear" w:color="auto" w:fill="auto"/>
            <w:noWrap/>
            <w:vAlign w:val="center"/>
            <w:hideMark/>
          </w:tcPr>
          <w:p w14:paraId="1C2474E1"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16 795 409</w:t>
            </w:r>
          </w:p>
        </w:tc>
        <w:tc>
          <w:tcPr>
            <w:tcW w:w="993" w:type="dxa"/>
            <w:tcBorders>
              <w:top w:val="nil"/>
              <w:left w:val="nil"/>
              <w:bottom w:val="nil"/>
              <w:right w:val="nil"/>
            </w:tcBorders>
            <w:shd w:val="clear" w:color="auto" w:fill="auto"/>
            <w:noWrap/>
            <w:vAlign w:val="center"/>
            <w:hideMark/>
          </w:tcPr>
          <w:p w14:paraId="3DA4A073"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16 795 409</w:t>
            </w:r>
          </w:p>
        </w:tc>
        <w:tc>
          <w:tcPr>
            <w:tcW w:w="1107" w:type="dxa"/>
            <w:tcBorders>
              <w:top w:val="nil"/>
              <w:left w:val="nil"/>
              <w:bottom w:val="nil"/>
              <w:right w:val="nil"/>
            </w:tcBorders>
            <w:shd w:val="clear" w:color="auto" w:fill="auto"/>
            <w:noWrap/>
            <w:vAlign w:val="center"/>
            <w:hideMark/>
          </w:tcPr>
          <w:p w14:paraId="6FAC24E8"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17 440 976</w:t>
            </w:r>
          </w:p>
        </w:tc>
        <w:tc>
          <w:tcPr>
            <w:tcW w:w="1019" w:type="dxa"/>
            <w:tcBorders>
              <w:top w:val="nil"/>
              <w:left w:val="nil"/>
              <w:bottom w:val="nil"/>
              <w:right w:val="nil"/>
            </w:tcBorders>
            <w:shd w:val="clear" w:color="auto" w:fill="auto"/>
            <w:noWrap/>
            <w:vAlign w:val="center"/>
            <w:hideMark/>
          </w:tcPr>
          <w:p w14:paraId="3A10BCE9"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645 567</w:t>
            </w:r>
          </w:p>
        </w:tc>
      </w:tr>
      <w:tr w:rsidR="00B2402D" w:rsidRPr="009726A1" w14:paraId="22B5A3EA" w14:textId="77777777" w:rsidTr="009726A1">
        <w:trPr>
          <w:trHeight w:val="288"/>
        </w:trPr>
        <w:tc>
          <w:tcPr>
            <w:tcW w:w="1985" w:type="dxa"/>
            <w:tcBorders>
              <w:top w:val="nil"/>
              <w:left w:val="nil"/>
              <w:bottom w:val="nil"/>
              <w:right w:val="nil"/>
            </w:tcBorders>
            <w:shd w:val="clear" w:color="auto" w:fill="auto"/>
            <w:noWrap/>
            <w:vAlign w:val="center"/>
            <w:hideMark/>
          </w:tcPr>
          <w:p w14:paraId="4830BA57" w14:textId="77777777" w:rsidR="00B2402D" w:rsidRPr="009726A1" w:rsidRDefault="00B2402D" w:rsidP="00D2560E">
            <w:pPr>
              <w:spacing w:after="0" w:line="240" w:lineRule="auto"/>
              <w:rPr>
                <w:rFonts w:eastAsia="Times New Roman" w:cs="Times New Roman"/>
                <w:color w:val="000000"/>
                <w:sz w:val="18"/>
                <w:szCs w:val="18"/>
                <w:lang w:eastAsia="sk-SK"/>
              </w:rPr>
            </w:pPr>
            <w:r w:rsidRPr="009726A1">
              <w:rPr>
                <w:rFonts w:eastAsia="Times New Roman" w:cs="Times New Roman"/>
                <w:color w:val="000000"/>
                <w:sz w:val="18"/>
                <w:szCs w:val="18"/>
                <w:lang w:eastAsia="sk-SK"/>
              </w:rPr>
              <w:t xml:space="preserve">            nedaňové príjmy</w:t>
            </w:r>
          </w:p>
        </w:tc>
        <w:tc>
          <w:tcPr>
            <w:tcW w:w="992" w:type="dxa"/>
            <w:tcBorders>
              <w:top w:val="nil"/>
              <w:left w:val="nil"/>
              <w:bottom w:val="nil"/>
              <w:right w:val="nil"/>
            </w:tcBorders>
            <w:shd w:val="clear" w:color="auto" w:fill="auto"/>
            <w:vAlign w:val="center"/>
          </w:tcPr>
          <w:p w14:paraId="1069754C"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p>
        </w:tc>
        <w:tc>
          <w:tcPr>
            <w:tcW w:w="992" w:type="dxa"/>
            <w:tcBorders>
              <w:top w:val="nil"/>
              <w:left w:val="nil"/>
              <w:bottom w:val="nil"/>
              <w:right w:val="nil"/>
            </w:tcBorders>
            <w:shd w:val="clear" w:color="auto" w:fill="auto"/>
            <w:noWrap/>
            <w:vAlign w:val="center"/>
          </w:tcPr>
          <w:p w14:paraId="38C5A858"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1 338 320</w:t>
            </w:r>
          </w:p>
        </w:tc>
        <w:tc>
          <w:tcPr>
            <w:tcW w:w="1134" w:type="dxa"/>
            <w:tcBorders>
              <w:top w:val="nil"/>
              <w:left w:val="nil"/>
              <w:bottom w:val="nil"/>
              <w:right w:val="nil"/>
            </w:tcBorders>
            <w:shd w:val="clear" w:color="auto" w:fill="auto"/>
            <w:vAlign w:val="center"/>
          </w:tcPr>
          <w:p w14:paraId="11D8199A" w14:textId="77777777" w:rsidR="00B2402D" w:rsidRPr="009726A1" w:rsidRDefault="00B2402D" w:rsidP="00D2560E">
            <w:pPr>
              <w:spacing w:after="0" w:line="240" w:lineRule="auto"/>
              <w:jc w:val="right"/>
              <w:rPr>
                <w:rFonts w:eastAsia="Times New Roman" w:cs="Times New Roman"/>
                <w:color w:val="000000"/>
                <w:sz w:val="18"/>
                <w:szCs w:val="18"/>
                <w:lang w:eastAsia="sk-SK"/>
              </w:rPr>
            </w:pPr>
            <w:r w:rsidRPr="009726A1">
              <w:rPr>
                <w:rFonts w:eastAsia="Times New Roman" w:cs="Times New Roman"/>
                <w:color w:val="000000"/>
                <w:sz w:val="18"/>
                <w:szCs w:val="18"/>
                <w:lang w:eastAsia="sk-SK"/>
              </w:rPr>
              <w:t>1 285 089</w:t>
            </w:r>
          </w:p>
        </w:tc>
        <w:tc>
          <w:tcPr>
            <w:tcW w:w="992" w:type="dxa"/>
            <w:tcBorders>
              <w:top w:val="nil"/>
              <w:left w:val="nil"/>
              <w:bottom w:val="nil"/>
              <w:right w:val="nil"/>
            </w:tcBorders>
            <w:shd w:val="clear" w:color="auto" w:fill="auto"/>
            <w:noWrap/>
            <w:vAlign w:val="center"/>
            <w:hideMark/>
          </w:tcPr>
          <w:p w14:paraId="2A5AF66C"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2 129 738</w:t>
            </w:r>
          </w:p>
        </w:tc>
        <w:tc>
          <w:tcPr>
            <w:tcW w:w="993" w:type="dxa"/>
            <w:tcBorders>
              <w:top w:val="nil"/>
              <w:left w:val="nil"/>
              <w:bottom w:val="nil"/>
              <w:right w:val="nil"/>
            </w:tcBorders>
            <w:shd w:val="clear" w:color="auto" w:fill="auto"/>
            <w:noWrap/>
            <w:vAlign w:val="center"/>
            <w:hideMark/>
          </w:tcPr>
          <w:p w14:paraId="7EAC6007"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2 129 745</w:t>
            </w:r>
          </w:p>
        </w:tc>
        <w:tc>
          <w:tcPr>
            <w:tcW w:w="1107" w:type="dxa"/>
            <w:tcBorders>
              <w:top w:val="nil"/>
              <w:left w:val="nil"/>
              <w:bottom w:val="nil"/>
              <w:right w:val="nil"/>
            </w:tcBorders>
            <w:shd w:val="clear" w:color="auto" w:fill="auto"/>
            <w:noWrap/>
            <w:vAlign w:val="center"/>
            <w:hideMark/>
          </w:tcPr>
          <w:p w14:paraId="35ECE1BB"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1 738 326</w:t>
            </w:r>
          </w:p>
        </w:tc>
        <w:tc>
          <w:tcPr>
            <w:tcW w:w="1019" w:type="dxa"/>
            <w:tcBorders>
              <w:top w:val="nil"/>
              <w:left w:val="nil"/>
              <w:bottom w:val="nil"/>
              <w:right w:val="nil"/>
            </w:tcBorders>
            <w:shd w:val="clear" w:color="auto" w:fill="auto"/>
            <w:noWrap/>
            <w:vAlign w:val="center"/>
            <w:hideMark/>
          </w:tcPr>
          <w:p w14:paraId="5B9CA011"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-391 412</w:t>
            </w:r>
          </w:p>
        </w:tc>
      </w:tr>
      <w:tr w:rsidR="00B2402D" w:rsidRPr="009726A1" w14:paraId="785F2684" w14:textId="77777777" w:rsidTr="009726A1">
        <w:trPr>
          <w:trHeight w:val="288"/>
        </w:trPr>
        <w:tc>
          <w:tcPr>
            <w:tcW w:w="1985" w:type="dxa"/>
            <w:tcBorders>
              <w:top w:val="nil"/>
              <w:left w:val="nil"/>
              <w:bottom w:val="nil"/>
              <w:right w:val="nil"/>
            </w:tcBorders>
            <w:shd w:val="clear" w:color="auto" w:fill="auto"/>
            <w:noWrap/>
            <w:vAlign w:val="center"/>
            <w:hideMark/>
          </w:tcPr>
          <w:p w14:paraId="2D5E0587" w14:textId="77777777" w:rsidR="00B2402D" w:rsidRPr="009726A1" w:rsidRDefault="00B2402D" w:rsidP="00D2560E">
            <w:pPr>
              <w:spacing w:after="0" w:line="240" w:lineRule="auto"/>
              <w:rPr>
                <w:rFonts w:eastAsia="Times New Roman" w:cs="Times New Roman"/>
                <w:color w:val="000000"/>
                <w:sz w:val="18"/>
                <w:szCs w:val="18"/>
                <w:lang w:eastAsia="sk-SK"/>
              </w:rPr>
            </w:pPr>
            <w:r w:rsidRPr="009726A1">
              <w:rPr>
                <w:rFonts w:eastAsia="Times New Roman" w:cs="Times New Roman"/>
                <w:color w:val="000000"/>
                <w:sz w:val="18"/>
                <w:szCs w:val="18"/>
                <w:lang w:eastAsia="sk-SK"/>
              </w:rPr>
              <w:t xml:space="preserve">            granty a transfery</w:t>
            </w:r>
          </w:p>
        </w:tc>
        <w:tc>
          <w:tcPr>
            <w:tcW w:w="992" w:type="dxa"/>
            <w:tcBorders>
              <w:top w:val="nil"/>
              <w:left w:val="nil"/>
              <w:bottom w:val="nil"/>
              <w:right w:val="nil"/>
            </w:tcBorders>
            <w:shd w:val="clear" w:color="auto" w:fill="auto"/>
            <w:vAlign w:val="center"/>
          </w:tcPr>
          <w:p w14:paraId="0B06C465"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p>
        </w:tc>
        <w:tc>
          <w:tcPr>
            <w:tcW w:w="992" w:type="dxa"/>
            <w:tcBorders>
              <w:top w:val="nil"/>
              <w:left w:val="nil"/>
              <w:bottom w:val="nil"/>
              <w:right w:val="nil"/>
            </w:tcBorders>
            <w:shd w:val="clear" w:color="auto" w:fill="auto"/>
            <w:noWrap/>
            <w:vAlign w:val="center"/>
          </w:tcPr>
          <w:p w14:paraId="1DA8FA96"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2 312 939</w:t>
            </w:r>
          </w:p>
        </w:tc>
        <w:tc>
          <w:tcPr>
            <w:tcW w:w="1134" w:type="dxa"/>
            <w:tcBorders>
              <w:top w:val="nil"/>
              <w:left w:val="nil"/>
              <w:bottom w:val="nil"/>
              <w:right w:val="nil"/>
            </w:tcBorders>
            <w:shd w:val="clear" w:color="auto" w:fill="auto"/>
            <w:vAlign w:val="center"/>
          </w:tcPr>
          <w:p w14:paraId="76A20031"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2 227 577</w:t>
            </w:r>
          </w:p>
        </w:tc>
        <w:tc>
          <w:tcPr>
            <w:tcW w:w="992" w:type="dxa"/>
            <w:tcBorders>
              <w:top w:val="nil"/>
              <w:left w:val="nil"/>
              <w:bottom w:val="nil"/>
              <w:right w:val="nil"/>
            </w:tcBorders>
            <w:shd w:val="clear" w:color="auto" w:fill="auto"/>
            <w:noWrap/>
            <w:vAlign w:val="center"/>
            <w:hideMark/>
          </w:tcPr>
          <w:p w14:paraId="3FEE3E61"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7 774 037</w:t>
            </w:r>
          </w:p>
        </w:tc>
        <w:tc>
          <w:tcPr>
            <w:tcW w:w="993" w:type="dxa"/>
            <w:tcBorders>
              <w:top w:val="nil"/>
              <w:left w:val="nil"/>
              <w:bottom w:val="nil"/>
              <w:right w:val="nil"/>
            </w:tcBorders>
            <w:shd w:val="clear" w:color="auto" w:fill="auto"/>
            <w:noWrap/>
            <w:vAlign w:val="center"/>
            <w:hideMark/>
          </w:tcPr>
          <w:p w14:paraId="31DBDC57"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4 554 459</w:t>
            </w:r>
          </w:p>
        </w:tc>
        <w:tc>
          <w:tcPr>
            <w:tcW w:w="1107" w:type="dxa"/>
            <w:tcBorders>
              <w:top w:val="nil"/>
              <w:left w:val="nil"/>
              <w:bottom w:val="nil"/>
              <w:right w:val="nil"/>
            </w:tcBorders>
            <w:shd w:val="clear" w:color="auto" w:fill="auto"/>
            <w:noWrap/>
            <w:vAlign w:val="center"/>
            <w:hideMark/>
          </w:tcPr>
          <w:p w14:paraId="5AA0CBEC"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4 509 344</w:t>
            </w:r>
          </w:p>
        </w:tc>
        <w:tc>
          <w:tcPr>
            <w:tcW w:w="1019" w:type="dxa"/>
            <w:tcBorders>
              <w:top w:val="nil"/>
              <w:left w:val="nil"/>
              <w:bottom w:val="nil"/>
              <w:right w:val="nil"/>
            </w:tcBorders>
            <w:shd w:val="clear" w:color="auto" w:fill="auto"/>
            <w:noWrap/>
            <w:vAlign w:val="center"/>
            <w:hideMark/>
          </w:tcPr>
          <w:p w14:paraId="65BC002A"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-3 264 693</w:t>
            </w:r>
          </w:p>
        </w:tc>
      </w:tr>
      <w:tr w:rsidR="00B2402D" w:rsidRPr="009726A1" w14:paraId="1ACC5527" w14:textId="77777777" w:rsidTr="009726A1">
        <w:trPr>
          <w:trHeight w:val="288"/>
        </w:trPr>
        <w:tc>
          <w:tcPr>
            <w:tcW w:w="1985" w:type="dxa"/>
            <w:tcBorders>
              <w:top w:val="nil"/>
              <w:left w:val="nil"/>
              <w:bottom w:val="nil"/>
              <w:right w:val="nil"/>
            </w:tcBorders>
            <w:shd w:val="clear" w:color="auto" w:fill="auto"/>
            <w:noWrap/>
            <w:vAlign w:val="center"/>
            <w:hideMark/>
          </w:tcPr>
          <w:p w14:paraId="75559F4B" w14:textId="77777777" w:rsidR="00B2402D" w:rsidRPr="009726A1" w:rsidRDefault="00B2402D" w:rsidP="00D2560E">
            <w:pPr>
              <w:spacing w:after="0" w:line="240" w:lineRule="auto"/>
              <w:rPr>
                <w:rFonts w:eastAsia="Times New Roman" w:cs="Times New Roman"/>
                <w:b/>
                <w:bCs/>
                <w:color w:val="000000"/>
                <w:sz w:val="18"/>
                <w:szCs w:val="18"/>
                <w:lang w:eastAsia="sk-SK"/>
              </w:rPr>
            </w:pPr>
            <w:r w:rsidRPr="009726A1">
              <w:rPr>
                <w:rFonts w:eastAsia="Times New Roman" w:cs="Times New Roman"/>
                <w:b/>
                <w:bCs/>
                <w:color w:val="000000"/>
                <w:sz w:val="18"/>
                <w:szCs w:val="18"/>
                <w:lang w:eastAsia="sk-SK"/>
              </w:rPr>
              <w:t>Výdavky spolu</w:t>
            </w:r>
          </w:p>
        </w:tc>
        <w:tc>
          <w:tcPr>
            <w:tcW w:w="992" w:type="dxa"/>
            <w:tcBorders>
              <w:top w:val="nil"/>
              <w:left w:val="nil"/>
              <w:bottom w:val="nil"/>
              <w:right w:val="nil"/>
            </w:tcBorders>
            <w:shd w:val="clear" w:color="auto" w:fill="auto"/>
            <w:vAlign w:val="center"/>
          </w:tcPr>
          <w:p w14:paraId="70CCFE7F" w14:textId="77777777" w:rsidR="00B2402D" w:rsidRPr="009726A1" w:rsidRDefault="00B2402D" w:rsidP="00D2560E">
            <w:pPr>
              <w:spacing w:after="0" w:line="240" w:lineRule="auto"/>
              <w:jc w:val="right"/>
              <w:rPr>
                <w:rFonts w:eastAsia="Times New Roman" w:cs="Times New Roman"/>
                <w:b/>
                <w:bCs/>
                <w:color w:val="000000"/>
                <w:sz w:val="18"/>
                <w:szCs w:val="18"/>
                <w:highlight w:val="yellow"/>
                <w:lang w:eastAsia="sk-SK"/>
              </w:rPr>
            </w:pPr>
          </w:p>
        </w:tc>
        <w:tc>
          <w:tcPr>
            <w:tcW w:w="992" w:type="dxa"/>
            <w:tcBorders>
              <w:top w:val="nil"/>
              <w:left w:val="nil"/>
              <w:bottom w:val="nil"/>
              <w:right w:val="nil"/>
            </w:tcBorders>
            <w:shd w:val="clear" w:color="auto" w:fill="auto"/>
            <w:noWrap/>
            <w:vAlign w:val="center"/>
          </w:tcPr>
          <w:p w14:paraId="034C50E4" w14:textId="77777777" w:rsidR="00B2402D" w:rsidRPr="009726A1" w:rsidRDefault="00B2402D" w:rsidP="00D2560E">
            <w:pPr>
              <w:spacing w:after="0" w:line="240" w:lineRule="auto"/>
              <w:jc w:val="right"/>
              <w:rPr>
                <w:rFonts w:eastAsia="Times New Roman" w:cs="Times New Roman"/>
                <w:b/>
                <w:bCs/>
                <w:color w:val="000000"/>
                <w:sz w:val="18"/>
                <w:szCs w:val="18"/>
                <w:highlight w:val="yellow"/>
                <w:lang w:eastAsia="sk-SK"/>
              </w:rPr>
            </w:pPr>
            <w:r w:rsidRPr="009726A1">
              <w:rPr>
                <w:rFonts w:eastAsia="Times New Roman" w:cs="Times New Roman"/>
                <w:b/>
                <w:bCs/>
                <w:color w:val="000000"/>
                <w:sz w:val="18"/>
                <w:szCs w:val="18"/>
                <w:lang w:eastAsia="sk-SK"/>
              </w:rPr>
              <w:t>24 211 425</w:t>
            </w:r>
          </w:p>
        </w:tc>
        <w:tc>
          <w:tcPr>
            <w:tcW w:w="1134" w:type="dxa"/>
            <w:tcBorders>
              <w:top w:val="nil"/>
              <w:left w:val="nil"/>
              <w:bottom w:val="nil"/>
              <w:right w:val="nil"/>
            </w:tcBorders>
            <w:shd w:val="clear" w:color="auto" w:fill="auto"/>
            <w:vAlign w:val="center"/>
          </w:tcPr>
          <w:p w14:paraId="21C7ECF5" w14:textId="77777777" w:rsidR="00B2402D" w:rsidRPr="009726A1" w:rsidRDefault="00B2402D" w:rsidP="00D2560E">
            <w:pPr>
              <w:spacing w:after="0" w:line="240" w:lineRule="auto"/>
              <w:jc w:val="right"/>
              <w:rPr>
                <w:rFonts w:eastAsia="Times New Roman" w:cs="Times New Roman"/>
                <w:b/>
                <w:bCs/>
                <w:color w:val="000000"/>
                <w:sz w:val="18"/>
                <w:szCs w:val="18"/>
                <w:lang w:eastAsia="sk-SK"/>
              </w:rPr>
            </w:pPr>
            <w:r w:rsidRPr="009726A1">
              <w:rPr>
                <w:rFonts w:eastAsia="Times New Roman" w:cs="Times New Roman"/>
                <w:b/>
                <w:bCs/>
                <w:color w:val="000000"/>
                <w:sz w:val="18"/>
                <w:szCs w:val="18"/>
                <w:lang w:eastAsia="sk-SK"/>
              </w:rPr>
              <w:t>23 554 555</w:t>
            </w:r>
          </w:p>
        </w:tc>
        <w:tc>
          <w:tcPr>
            <w:tcW w:w="992" w:type="dxa"/>
            <w:tcBorders>
              <w:top w:val="nil"/>
              <w:left w:val="nil"/>
              <w:bottom w:val="nil"/>
              <w:right w:val="nil"/>
            </w:tcBorders>
            <w:shd w:val="clear" w:color="auto" w:fill="auto"/>
            <w:noWrap/>
            <w:vAlign w:val="center"/>
            <w:hideMark/>
          </w:tcPr>
          <w:p w14:paraId="0DDA3A57" w14:textId="77777777" w:rsidR="00B2402D" w:rsidRPr="009726A1" w:rsidRDefault="00B2402D" w:rsidP="00D2560E">
            <w:pPr>
              <w:spacing w:after="0" w:line="240" w:lineRule="auto"/>
              <w:jc w:val="right"/>
              <w:rPr>
                <w:rFonts w:eastAsia="Times New Roman" w:cs="Times New Roman"/>
                <w:b/>
                <w:bCs/>
                <w:color w:val="000000"/>
                <w:sz w:val="18"/>
                <w:szCs w:val="18"/>
                <w:highlight w:val="yellow"/>
                <w:lang w:eastAsia="sk-SK"/>
              </w:rPr>
            </w:pPr>
            <w:r w:rsidRPr="009726A1">
              <w:rPr>
                <w:rFonts w:eastAsia="Times New Roman" w:cs="Times New Roman"/>
                <w:b/>
                <w:bCs/>
                <w:color w:val="000000"/>
                <w:sz w:val="18"/>
                <w:szCs w:val="18"/>
                <w:lang w:eastAsia="sk-SK"/>
              </w:rPr>
              <w:t>35 040 556</w:t>
            </w:r>
          </w:p>
        </w:tc>
        <w:tc>
          <w:tcPr>
            <w:tcW w:w="993" w:type="dxa"/>
            <w:tcBorders>
              <w:top w:val="nil"/>
              <w:left w:val="nil"/>
              <w:bottom w:val="nil"/>
              <w:right w:val="nil"/>
            </w:tcBorders>
            <w:shd w:val="clear" w:color="auto" w:fill="auto"/>
            <w:noWrap/>
            <w:vAlign w:val="center"/>
            <w:hideMark/>
          </w:tcPr>
          <w:p w14:paraId="07FCE317" w14:textId="77777777" w:rsidR="00B2402D" w:rsidRPr="009726A1" w:rsidRDefault="00B2402D" w:rsidP="00D2560E">
            <w:pPr>
              <w:spacing w:after="0" w:line="240" w:lineRule="auto"/>
              <w:jc w:val="right"/>
              <w:rPr>
                <w:rFonts w:eastAsia="Times New Roman" w:cs="Times New Roman"/>
                <w:b/>
                <w:bCs/>
                <w:color w:val="000000"/>
                <w:sz w:val="18"/>
                <w:szCs w:val="18"/>
                <w:lang w:eastAsia="sk-SK"/>
              </w:rPr>
            </w:pPr>
            <w:r w:rsidRPr="009726A1">
              <w:rPr>
                <w:rFonts w:eastAsia="Times New Roman" w:cs="Times New Roman"/>
                <w:b/>
                <w:bCs/>
                <w:color w:val="000000"/>
                <w:sz w:val="18"/>
                <w:szCs w:val="18"/>
                <w:lang w:eastAsia="sk-SK"/>
              </w:rPr>
              <w:t>31 829 896</w:t>
            </w:r>
          </w:p>
        </w:tc>
        <w:tc>
          <w:tcPr>
            <w:tcW w:w="1107" w:type="dxa"/>
            <w:tcBorders>
              <w:top w:val="nil"/>
              <w:left w:val="nil"/>
              <w:bottom w:val="nil"/>
              <w:right w:val="nil"/>
            </w:tcBorders>
            <w:shd w:val="clear" w:color="auto" w:fill="auto"/>
            <w:noWrap/>
            <w:vAlign w:val="center"/>
            <w:hideMark/>
          </w:tcPr>
          <w:p w14:paraId="0BA0A7C6" w14:textId="77777777" w:rsidR="00B2402D" w:rsidRPr="009726A1" w:rsidRDefault="00B2402D" w:rsidP="00D2560E">
            <w:pPr>
              <w:spacing w:after="0" w:line="240" w:lineRule="auto"/>
              <w:jc w:val="right"/>
              <w:rPr>
                <w:rFonts w:eastAsia="Times New Roman" w:cs="Times New Roman"/>
                <w:b/>
                <w:bCs/>
                <w:color w:val="000000"/>
                <w:sz w:val="18"/>
                <w:szCs w:val="18"/>
                <w:highlight w:val="yellow"/>
                <w:lang w:eastAsia="sk-SK"/>
              </w:rPr>
            </w:pPr>
            <w:r w:rsidRPr="009726A1">
              <w:rPr>
                <w:rFonts w:eastAsia="Times New Roman" w:cs="Times New Roman"/>
                <w:b/>
                <w:bCs/>
                <w:color w:val="000000"/>
                <w:sz w:val="18"/>
                <w:szCs w:val="18"/>
                <w:lang w:eastAsia="sk-SK"/>
              </w:rPr>
              <w:t>31 363 983</w:t>
            </w:r>
          </w:p>
        </w:tc>
        <w:tc>
          <w:tcPr>
            <w:tcW w:w="1019" w:type="dxa"/>
            <w:tcBorders>
              <w:top w:val="nil"/>
              <w:left w:val="nil"/>
              <w:bottom w:val="nil"/>
              <w:right w:val="nil"/>
            </w:tcBorders>
            <w:shd w:val="clear" w:color="auto" w:fill="auto"/>
            <w:noWrap/>
            <w:vAlign w:val="center"/>
            <w:hideMark/>
          </w:tcPr>
          <w:p w14:paraId="2D51162C" w14:textId="77777777" w:rsidR="00B2402D" w:rsidRPr="009726A1" w:rsidRDefault="00B2402D" w:rsidP="00D2560E">
            <w:pPr>
              <w:spacing w:after="0" w:line="240" w:lineRule="auto"/>
              <w:jc w:val="right"/>
              <w:rPr>
                <w:rFonts w:eastAsia="Times New Roman" w:cs="Times New Roman"/>
                <w:b/>
                <w:bCs/>
                <w:color w:val="000000"/>
                <w:sz w:val="18"/>
                <w:szCs w:val="18"/>
                <w:lang w:eastAsia="sk-SK"/>
              </w:rPr>
            </w:pPr>
            <w:r w:rsidRPr="009726A1">
              <w:rPr>
                <w:rFonts w:eastAsia="Times New Roman" w:cs="Times New Roman"/>
                <w:b/>
                <w:bCs/>
                <w:color w:val="000000"/>
                <w:sz w:val="18"/>
                <w:szCs w:val="18"/>
                <w:lang w:eastAsia="sk-SK"/>
              </w:rPr>
              <w:t>-3 676 573</w:t>
            </w:r>
          </w:p>
        </w:tc>
      </w:tr>
      <w:tr w:rsidR="00B2402D" w:rsidRPr="009726A1" w14:paraId="10D34A9E" w14:textId="77777777" w:rsidTr="009726A1">
        <w:trPr>
          <w:trHeight w:val="288"/>
        </w:trPr>
        <w:tc>
          <w:tcPr>
            <w:tcW w:w="1985" w:type="dxa"/>
            <w:tcBorders>
              <w:top w:val="nil"/>
              <w:left w:val="nil"/>
              <w:bottom w:val="nil"/>
              <w:right w:val="nil"/>
            </w:tcBorders>
            <w:shd w:val="clear" w:color="auto" w:fill="auto"/>
            <w:noWrap/>
            <w:vAlign w:val="center"/>
            <w:hideMark/>
          </w:tcPr>
          <w:p w14:paraId="2BEB715E" w14:textId="77777777" w:rsidR="00B2402D" w:rsidRPr="009726A1" w:rsidRDefault="00B2402D" w:rsidP="00D2560E">
            <w:pPr>
              <w:spacing w:after="0" w:line="240" w:lineRule="auto"/>
              <w:rPr>
                <w:rFonts w:eastAsia="Times New Roman" w:cs="Times New Roman"/>
                <w:color w:val="000000"/>
                <w:sz w:val="18"/>
                <w:szCs w:val="18"/>
                <w:lang w:eastAsia="sk-SK"/>
              </w:rPr>
            </w:pPr>
            <w:r w:rsidRPr="009726A1">
              <w:rPr>
                <w:rFonts w:eastAsia="Times New Roman" w:cs="Times New Roman"/>
                <w:color w:val="000000"/>
                <w:sz w:val="18"/>
                <w:szCs w:val="18"/>
                <w:lang w:eastAsia="sk-SK"/>
              </w:rPr>
              <w:t>v tom: bežné výdavky</w:t>
            </w:r>
          </w:p>
        </w:tc>
        <w:tc>
          <w:tcPr>
            <w:tcW w:w="992" w:type="dxa"/>
            <w:tcBorders>
              <w:top w:val="nil"/>
              <w:left w:val="nil"/>
              <w:bottom w:val="nil"/>
              <w:right w:val="nil"/>
            </w:tcBorders>
            <w:shd w:val="clear" w:color="auto" w:fill="auto"/>
            <w:vAlign w:val="center"/>
          </w:tcPr>
          <w:p w14:paraId="0268DF78"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p>
        </w:tc>
        <w:tc>
          <w:tcPr>
            <w:tcW w:w="992" w:type="dxa"/>
            <w:tcBorders>
              <w:top w:val="nil"/>
              <w:left w:val="nil"/>
              <w:bottom w:val="nil"/>
              <w:right w:val="nil"/>
            </w:tcBorders>
            <w:shd w:val="clear" w:color="auto" w:fill="auto"/>
            <w:noWrap/>
            <w:vAlign w:val="center"/>
          </w:tcPr>
          <w:p w14:paraId="0C51BA8A"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21 771 263</w:t>
            </w:r>
          </w:p>
        </w:tc>
        <w:tc>
          <w:tcPr>
            <w:tcW w:w="1134" w:type="dxa"/>
            <w:tcBorders>
              <w:top w:val="nil"/>
              <w:left w:val="nil"/>
              <w:bottom w:val="nil"/>
              <w:right w:val="nil"/>
            </w:tcBorders>
            <w:shd w:val="clear" w:color="auto" w:fill="auto"/>
            <w:vAlign w:val="center"/>
          </w:tcPr>
          <w:p w14:paraId="366DFF9A" w14:textId="77777777" w:rsidR="00B2402D" w:rsidRPr="009726A1" w:rsidRDefault="00B2402D" w:rsidP="00D2560E">
            <w:pPr>
              <w:spacing w:after="0" w:line="240" w:lineRule="auto"/>
              <w:jc w:val="right"/>
              <w:rPr>
                <w:rFonts w:eastAsia="Times New Roman" w:cs="Times New Roman"/>
                <w:color w:val="000000"/>
                <w:sz w:val="18"/>
                <w:szCs w:val="18"/>
                <w:lang w:eastAsia="sk-SK"/>
              </w:rPr>
            </w:pPr>
            <w:r w:rsidRPr="009726A1">
              <w:rPr>
                <w:rFonts w:eastAsia="Times New Roman" w:cs="Times New Roman"/>
                <w:color w:val="000000"/>
                <w:sz w:val="18"/>
                <w:szCs w:val="18"/>
                <w:lang w:eastAsia="sk-SK"/>
              </w:rPr>
              <w:t>20 847 550</w:t>
            </w:r>
          </w:p>
        </w:tc>
        <w:tc>
          <w:tcPr>
            <w:tcW w:w="992" w:type="dxa"/>
            <w:tcBorders>
              <w:top w:val="nil"/>
              <w:left w:val="nil"/>
              <w:bottom w:val="nil"/>
              <w:right w:val="nil"/>
            </w:tcBorders>
            <w:shd w:val="clear" w:color="auto" w:fill="auto"/>
            <w:noWrap/>
            <w:vAlign w:val="center"/>
            <w:hideMark/>
          </w:tcPr>
          <w:p w14:paraId="34F37BA5"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29 094 461</w:t>
            </w:r>
          </w:p>
        </w:tc>
        <w:tc>
          <w:tcPr>
            <w:tcW w:w="993" w:type="dxa"/>
            <w:tcBorders>
              <w:top w:val="nil"/>
              <w:left w:val="nil"/>
              <w:bottom w:val="nil"/>
              <w:right w:val="nil"/>
            </w:tcBorders>
            <w:shd w:val="clear" w:color="auto" w:fill="auto"/>
            <w:noWrap/>
            <w:vAlign w:val="center"/>
            <w:hideMark/>
          </w:tcPr>
          <w:p w14:paraId="7BDB4925" w14:textId="77777777" w:rsidR="00B2402D" w:rsidRPr="009726A1" w:rsidRDefault="00B2402D" w:rsidP="00D2560E">
            <w:pPr>
              <w:spacing w:after="0" w:line="240" w:lineRule="auto"/>
              <w:jc w:val="right"/>
              <w:rPr>
                <w:rFonts w:eastAsia="Times New Roman" w:cs="Times New Roman"/>
                <w:color w:val="000000"/>
                <w:sz w:val="18"/>
                <w:szCs w:val="18"/>
                <w:lang w:eastAsia="sk-SK"/>
              </w:rPr>
            </w:pPr>
            <w:r w:rsidRPr="009726A1">
              <w:rPr>
                <w:rFonts w:eastAsia="Times New Roman" w:cs="Times New Roman"/>
                <w:color w:val="000000"/>
                <w:sz w:val="18"/>
                <w:szCs w:val="18"/>
                <w:lang w:eastAsia="sk-SK"/>
              </w:rPr>
              <w:t>27 068 533</w:t>
            </w:r>
          </w:p>
        </w:tc>
        <w:tc>
          <w:tcPr>
            <w:tcW w:w="1107" w:type="dxa"/>
            <w:tcBorders>
              <w:top w:val="nil"/>
              <w:left w:val="nil"/>
              <w:bottom w:val="nil"/>
              <w:right w:val="nil"/>
            </w:tcBorders>
            <w:shd w:val="clear" w:color="auto" w:fill="auto"/>
            <w:noWrap/>
            <w:vAlign w:val="center"/>
            <w:hideMark/>
          </w:tcPr>
          <w:p w14:paraId="26921956"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26 649 828</w:t>
            </w:r>
          </w:p>
        </w:tc>
        <w:tc>
          <w:tcPr>
            <w:tcW w:w="1019" w:type="dxa"/>
            <w:tcBorders>
              <w:top w:val="nil"/>
              <w:left w:val="nil"/>
              <w:bottom w:val="nil"/>
              <w:right w:val="nil"/>
            </w:tcBorders>
            <w:shd w:val="clear" w:color="auto" w:fill="auto"/>
            <w:noWrap/>
            <w:vAlign w:val="center"/>
            <w:hideMark/>
          </w:tcPr>
          <w:p w14:paraId="4DE2CCB0" w14:textId="77777777" w:rsidR="00B2402D" w:rsidRPr="009726A1" w:rsidRDefault="00B2402D" w:rsidP="00D2560E">
            <w:pPr>
              <w:spacing w:after="0" w:line="240" w:lineRule="auto"/>
              <w:jc w:val="right"/>
              <w:rPr>
                <w:rFonts w:eastAsia="Times New Roman" w:cs="Times New Roman"/>
                <w:color w:val="000000"/>
                <w:sz w:val="18"/>
                <w:szCs w:val="18"/>
                <w:lang w:eastAsia="sk-SK"/>
              </w:rPr>
            </w:pPr>
            <w:r w:rsidRPr="009726A1">
              <w:rPr>
                <w:rFonts w:eastAsia="Times New Roman" w:cs="Times New Roman"/>
                <w:color w:val="000000"/>
                <w:sz w:val="18"/>
                <w:szCs w:val="18"/>
                <w:lang w:eastAsia="sk-SK"/>
              </w:rPr>
              <w:t>-2 444 633</w:t>
            </w:r>
          </w:p>
        </w:tc>
      </w:tr>
      <w:tr w:rsidR="00B2402D" w:rsidRPr="009726A1" w14:paraId="551C5C02" w14:textId="77777777" w:rsidTr="009726A1">
        <w:trPr>
          <w:trHeight w:val="288"/>
        </w:trPr>
        <w:tc>
          <w:tcPr>
            <w:tcW w:w="1985" w:type="dxa"/>
            <w:tcBorders>
              <w:top w:val="nil"/>
              <w:left w:val="nil"/>
              <w:bottom w:val="nil"/>
              <w:right w:val="nil"/>
            </w:tcBorders>
            <w:shd w:val="clear" w:color="auto" w:fill="auto"/>
            <w:noWrap/>
            <w:vAlign w:val="center"/>
            <w:hideMark/>
          </w:tcPr>
          <w:p w14:paraId="14E2383D" w14:textId="77777777" w:rsidR="00B2402D" w:rsidRPr="009726A1" w:rsidRDefault="00B2402D" w:rsidP="00D2560E">
            <w:pPr>
              <w:spacing w:after="0" w:line="240" w:lineRule="auto"/>
              <w:rPr>
                <w:rFonts w:eastAsia="Times New Roman" w:cs="Times New Roman"/>
                <w:color w:val="000000"/>
                <w:sz w:val="18"/>
                <w:szCs w:val="18"/>
                <w:lang w:eastAsia="sk-SK"/>
              </w:rPr>
            </w:pPr>
            <w:r w:rsidRPr="009726A1">
              <w:rPr>
                <w:rFonts w:eastAsia="Times New Roman" w:cs="Times New Roman"/>
                <w:color w:val="000000"/>
                <w:sz w:val="18"/>
                <w:szCs w:val="18"/>
                <w:lang w:eastAsia="sk-SK"/>
              </w:rPr>
              <w:t xml:space="preserve">            kapitálové výdavky</w:t>
            </w:r>
          </w:p>
        </w:tc>
        <w:tc>
          <w:tcPr>
            <w:tcW w:w="992" w:type="dxa"/>
            <w:tcBorders>
              <w:top w:val="nil"/>
              <w:left w:val="nil"/>
              <w:bottom w:val="nil"/>
              <w:right w:val="nil"/>
            </w:tcBorders>
            <w:shd w:val="clear" w:color="auto" w:fill="auto"/>
            <w:vAlign w:val="center"/>
          </w:tcPr>
          <w:p w14:paraId="45942F69"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p>
        </w:tc>
        <w:tc>
          <w:tcPr>
            <w:tcW w:w="992" w:type="dxa"/>
            <w:tcBorders>
              <w:top w:val="nil"/>
              <w:left w:val="nil"/>
              <w:bottom w:val="nil"/>
              <w:right w:val="nil"/>
            </w:tcBorders>
            <w:shd w:val="clear" w:color="auto" w:fill="auto"/>
            <w:noWrap/>
            <w:vAlign w:val="center"/>
          </w:tcPr>
          <w:p w14:paraId="60EBB246"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2 440 161</w:t>
            </w:r>
          </w:p>
        </w:tc>
        <w:tc>
          <w:tcPr>
            <w:tcW w:w="1134" w:type="dxa"/>
            <w:tcBorders>
              <w:top w:val="nil"/>
              <w:left w:val="nil"/>
              <w:bottom w:val="nil"/>
              <w:right w:val="nil"/>
            </w:tcBorders>
            <w:shd w:val="clear" w:color="auto" w:fill="auto"/>
            <w:vAlign w:val="center"/>
          </w:tcPr>
          <w:p w14:paraId="4D230D2F" w14:textId="77777777" w:rsidR="00B2402D" w:rsidRPr="009726A1" w:rsidRDefault="00B2402D" w:rsidP="00D2560E">
            <w:pPr>
              <w:spacing w:after="0" w:line="240" w:lineRule="auto"/>
              <w:jc w:val="right"/>
              <w:rPr>
                <w:rFonts w:eastAsia="Times New Roman" w:cs="Times New Roman"/>
                <w:color w:val="000000"/>
                <w:sz w:val="18"/>
                <w:szCs w:val="18"/>
                <w:lang w:eastAsia="sk-SK"/>
              </w:rPr>
            </w:pPr>
            <w:r w:rsidRPr="009726A1">
              <w:rPr>
                <w:rFonts w:eastAsia="Times New Roman" w:cs="Times New Roman"/>
                <w:color w:val="000000"/>
                <w:sz w:val="18"/>
                <w:szCs w:val="18"/>
                <w:lang w:eastAsia="sk-SK"/>
              </w:rPr>
              <w:t>2 707 004</w:t>
            </w:r>
          </w:p>
        </w:tc>
        <w:tc>
          <w:tcPr>
            <w:tcW w:w="992" w:type="dxa"/>
            <w:tcBorders>
              <w:top w:val="nil"/>
              <w:left w:val="nil"/>
              <w:bottom w:val="nil"/>
              <w:right w:val="nil"/>
            </w:tcBorders>
            <w:shd w:val="clear" w:color="auto" w:fill="auto"/>
            <w:noWrap/>
            <w:vAlign w:val="center"/>
            <w:hideMark/>
          </w:tcPr>
          <w:p w14:paraId="54BD912D"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5 946 095</w:t>
            </w:r>
          </w:p>
        </w:tc>
        <w:tc>
          <w:tcPr>
            <w:tcW w:w="993" w:type="dxa"/>
            <w:tcBorders>
              <w:top w:val="nil"/>
              <w:left w:val="nil"/>
              <w:bottom w:val="nil"/>
              <w:right w:val="nil"/>
            </w:tcBorders>
            <w:shd w:val="clear" w:color="auto" w:fill="auto"/>
            <w:noWrap/>
            <w:vAlign w:val="center"/>
            <w:hideMark/>
          </w:tcPr>
          <w:p w14:paraId="077741AB"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4 761 363</w:t>
            </w:r>
          </w:p>
        </w:tc>
        <w:tc>
          <w:tcPr>
            <w:tcW w:w="1107" w:type="dxa"/>
            <w:tcBorders>
              <w:top w:val="nil"/>
              <w:left w:val="nil"/>
              <w:bottom w:val="nil"/>
              <w:right w:val="nil"/>
            </w:tcBorders>
            <w:shd w:val="clear" w:color="auto" w:fill="auto"/>
            <w:noWrap/>
            <w:vAlign w:val="center"/>
            <w:hideMark/>
          </w:tcPr>
          <w:p w14:paraId="051EFA31" w14:textId="77777777" w:rsidR="00B2402D" w:rsidRPr="009726A1" w:rsidRDefault="00B2402D" w:rsidP="00D2560E">
            <w:pPr>
              <w:spacing w:after="0" w:line="240" w:lineRule="auto"/>
              <w:jc w:val="right"/>
              <w:rPr>
                <w:rFonts w:eastAsia="Times New Roman" w:cs="Times New Roman"/>
                <w:color w:val="000000"/>
                <w:sz w:val="18"/>
                <w:szCs w:val="18"/>
                <w:highlight w:val="yellow"/>
                <w:lang w:eastAsia="sk-SK"/>
              </w:rPr>
            </w:pPr>
            <w:r w:rsidRPr="009726A1">
              <w:rPr>
                <w:rFonts w:eastAsia="Times New Roman" w:cs="Times New Roman"/>
                <w:color w:val="000000"/>
                <w:sz w:val="18"/>
                <w:szCs w:val="18"/>
                <w:lang w:eastAsia="sk-SK"/>
              </w:rPr>
              <w:t>4 714 155</w:t>
            </w:r>
          </w:p>
        </w:tc>
        <w:tc>
          <w:tcPr>
            <w:tcW w:w="1019" w:type="dxa"/>
            <w:tcBorders>
              <w:top w:val="nil"/>
              <w:left w:val="nil"/>
              <w:bottom w:val="nil"/>
              <w:right w:val="nil"/>
            </w:tcBorders>
            <w:shd w:val="clear" w:color="auto" w:fill="auto"/>
            <w:noWrap/>
            <w:vAlign w:val="center"/>
            <w:hideMark/>
          </w:tcPr>
          <w:p w14:paraId="1070DEB4" w14:textId="77777777" w:rsidR="00B2402D" w:rsidRPr="009726A1" w:rsidRDefault="00B2402D" w:rsidP="00D2560E">
            <w:pPr>
              <w:spacing w:after="0" w:line="240" w:lineRule="auto"/>
              <w:jc w:val="right"/>
              <w:rPr>
                <w:rFonts w:eastAsia="Times New Roman" w:cs="Times New Roman"/>
                <w:color w:val="000000"/>
                <w:sz w:val="18"/>
                <w:szCs w:val="18"/>
                <w:lang w:eastAsia="sk-SK"/>
              </w:rPr>
            </w:pPr>
            <w:r w:rsidRPr="009726A1">
              <w:rPr>
                <w:rFonts w:eastAsia="Times New Roman" w:cs="Times New Roman"/>
                <w:color w:val="000000"/>
                <w:sz w:val="18"/>
                <w:szCs w:val="18"/>
                <w:lang w:eastAsia="sk-SK"/>
              </w:rPr>
              <w:t>-1 231 940</w:t>
            </w:r>
          </w:p>
        </w:tc>
      </w:tr>
      <w:tr w:rsidR="00B2402D" w:rsidRPr="009726A1" w14:paraId="48F00D13" w14:textId="77777777" w:rsidTr="009726A1">
        <w:trPr>
          <w:trHeight w:val="288"/>
        </w:trPr>
        <w:tc>
          <w:tcPr>
            <w:tcW w:w="1985" w:type="dxa"/>
            <w:tcBorders>
              <w:top w:val="single" w:sz="4" w:space="0" w:color="auto"/>
              <w:left w:val="nil"/>
              <w:bottom w:val="single" w:sz="4" w:space="0" w:color="auto"/>
              <w:right w:val="nil"/>
            </w:tcBorders>
            <w:shd w:val="clear" w:color="auto" w:fill="auto"/>
            <w:noWrap/>
            <w:vAlign w:val="center"/>
            <w:hideMark/>
          </w:tcPr>
          <w:p w14:paraId="3C02908B" w14:textId="77777777" w:rsidR="00B2402D" w:rsidRPr="009726A1" w:rsidRDefault="00B2402D" w:rsidP="00D2560E">
            <w:pPr>
              <w:spacing w:after="0" w:line="240" w:lineRule="auto"/>
              <w:rPr>
                <w:rFonts w:eastAsia="Times New Roman" w:cs="Times New Roman"/>
                <w:b/>
                <w:bCs/>
                <w:color w:val="000000"/>
                <w:sz w:val="18"/>
                <w:szCs w:val="18"/>
                <w:lang w:eastAsia="sk-SK"/>
              </w:rPr>
            </w:pPr>
            <w:r w:rsidRPr="009726A1">
              <w:rPr>
                <w:rFonts w:eastAsia="Times New Roman" w:cs="Times New Roman"/>
                <w:b/>
                <w:bCs/>
                <w:color w:val="000000"/>
                <w:sz w:val="18"/>
                <w:szCs w:val="18"/>
                <w:lang w:eastAsia="sk-SK"/>
              </w:rPr>
              <w:t>Schodok (-)</w:t>
            </w:r>
          </w:p>
        </w:tc>
        <w:tc>
          <w:tcPr>
            <w:tcW w:w="992" w:type="dxa"/>
            <w:tcBorders>
              <w:top w:val="single" w:sz="4" w:space="0" w:color="auto"/>
              <w:left w:val="nil"/>
              <w:bottom w:val="single" w:sz="4" w:space="0" w:color="auto"/>
              <w:right w:val="nil"/>
            </w:tcBorders>
            <w:shd w:val="clear" w:color="auto" w:fill="auto"/>
            <w:vAlign w:val="center"/>
          </w:tcPr>
          <w:p w14:paraId="496FF9D7" w14:textId="77777777" w:rsidR="00B2402D" w:rsidRPr="009726A1" w:rsidRDefault="00B2402D" w:rsidP="00D2560E">
            <w:pPr>
              <w:spacing w:after="0" w:line="240" w:lineRule="auto"/>
              <w:jc w:val="right"/>
              <w:rPr>
                <w:rFonts w:eastAsia="Times New Roman" w:cs="Times New Roman"/>
                <w:b/>
                <w:bCs/>
                <w:color w:val="000000"/>
                <w:sz w:val="18"/>
                <w:szCs w:val="18"/>
                <w:highlight w:val="yellow"/>
                <w:lang w:eastAsia="sk-SK"/>
              </w:rPr>
            </w:pPr>
          </w:p>
        </w:tc>
        <w:tc>
          <w:tcPr>
            <w:tcW w:w="992" w:type="dxa"/>
            <w:tcBorders>
              <w:top w:val="single" w:sz="4" w:space="0" w:color="auto"/>
              <w:left w:val="nil"/>
              <w:bottom w:val="single" w:sz="4" w:space="0" w:color="auto"/>
              <w:right w:val="nil"/>
            </w:tcBorders>
            <w:shd w:val="clear" w:color="auto" w:fill="auto"/>
            <w:noWrap/>
            <w:vAlign w:val="center"/>
          </w:tcPr>
          <w:p w14:paraId="67D082AC" w14:textId="77777777" w:rsidR="00B2402D" w:rsidRPr="009726A1" w:rsidRDefault="00B2402D" w:rsidP="00D2560E">
            <w:pPr>
              <w:spacing w:after="0" w:line="240" w:lineRule="auto"/>
              <w:jc w:val="right"/>
              <w:rPr>
                <w:rFonts w:eastAsia="Times New Roman" w:cs="Times New Roman"/>
                <w:b/>
                <w:bCs/>
                <w:color w:val="000000"/>
                <w:sz w:val="18"/>
                <w:szCs w:val="18"/>
                <w:highlight w:val="yellow"/>
                <w:lang w:eastAsia="sk-SK"/>
              </w:rPr>
            </w:pPr>
            <w:r w:rsidRPr="009726A1">
              <w:rPr>
                <w:rFonts w:eastAsia="Times New Roman" w:cs="Times New Roman"/>
                <w:b/>
                <w:bCs/>
                <w:color w:val="000000"/>
                <w:sz w:val="18"/>
                <w:szCs w:val="18"/>
                <w:lang w:eastAsia="sk-SK"/>
              </w:rPr>
              <w:t>-7 014 127</w:t>
            </w:r>
          </w:p>
        </w:tc>
        <w:tc>
          <w:tcPr>
            <w:tcW w:w="1134" w:type="dxa"/>
            <w:tcBorders>
              <w:top w:val="single" w:sz="4" w:space="0" w:color="auto"/>
              <w:left w:val="nil"/>
              <w:bottom w:val="single" w:sz="4" w:space="0" w:color="auto"/>
              <w:right w:val="nil"/>
            </w:tcBorders>
            <w:shd w:val="clear" w:color="auto" w:fill="auto"/>
            <w:vAlign w:val="center"/>
          </w:tcPr>
          <w:p w14:paraId="4531EAF5" w14:textId="77777777" w:rsidR="00B2402D" w:rsidRPr="009726A1" w:rsidRDefault="00B2402D" w:rsidP="00D2560E">
            <w:pPr>
              <w:spacing w:after="0" w:line="240" w:lineRule="auto"/>
              <w:jc w:val="right"/>
              <w:rPr>
                <w:rFonts w:eastAsia="Times New Roman" w:cs="Times New Roman"/>
                <w:b/>
                <w:bCs/>
                <w:color w:val="000000"/>
                <w:sz w:val="18"/>
                <w:szCs w:val="18"/>
                <w:lang w:eastAsia="sk-SK"/>
              </w:rPr>
            </w:pPr>
            <w:r w:rsidRPr="009726A1">
              <w:rPr>
                <w:rFonts w:eastAsia="Times New Roman" w:cs="Times New Roman"/>
                <w:b/>
                <w:bCs/>
                <w:color w:val="000000"/>
                <w:sz w:val="18"/>
                <w:szCs w:val="18"/>
                <w:lang w:eastAsia="sk-SK"/>
              </w:rPr>
              <w:t>-4 524 853</w:t>
            </w:r>
          </w:p>
        </w:tc>
        <w:tc>
          <w:tcPr>
            <w:tcW w:w="992" w:type="dxa"/>
            <w:tcBorders>
              <w:top w:val="single" w:sz="4" w:space="0" w:color="auto"/>
              <w:left w:val="nil"/>
              <w:bottom w:val="single" w:sz="4" w:space="0" w:color="auto"/>
              <w:right w:val="nil"/>
            </w:tcBorders>
            <w:shd w:val="clear" w:color="auto" w:fill="auto"/>
            <w:noWrap/>
            <w:vAlign w:val="center"/>
            <w:hideMark/>
          </w:tcPr>
          <w:p w14:paraId="270F971E" w14:textId="77777777" w:rsidR="00B2402D" w:rsidRPr="009726A1" w:rsidRDefault="00B2402D" w:rsidP="00D2560E">
            <w:pPr>
              <w:spacing w:after="0" w:line="240" w:lineRule="auto"/>
              <w:jc w:val="right"/>
              <w:rPr>
                <w:rFonts w:eastAsia="Times New Roman" w:cs="Times New Roman"/>
                <w:b/>
                <w:bCs/>
                <w:color w:val="000000"/>
                <w:sz w:val="18"/>
                <w:szCs w:val="18"/>
                <w:highlight w:val="yellow"/>
                <w:lang w:eastAsia="sk-SK"/>
              </w:rPr>
            </w:pPr>
            <w:r w:rsidRPr="009726A1">
              <w:rPr>
                <w:rFonts w:eastAsia="Times New Roman" w:cs="Times New Roman"/>
                <w:b/>
                <w:bCs/>
                <w:color w:val="000000"/>
                <w:sz w:val="18"/>
                <w:szCs w:val="18"/>
                <w:lang w:eastAsia="sk-SK"/>
              </w:rPr>
              <w:t>-8 341 372</w:t>
            </w:r>
          </w:p>
        </w:tc>
        <w:tc>
          <w:tcPr>
            <w:tcW w:w="993" w:type="dxa"/>
            <w:tcBorders>
              <w:top w:val="single" w:sz="4" w:space="0" w:color="auto"/>
              <w:left w:val="nil"/>
              <w:bottom w:val="single" w:sz="4" w:space="0" w:color="auto"/>
              <w:right w:val="nil"/>
            </w:tcBorders>
            <w:shd w:val="clear" w:color="auto" w:fill="auto"/>
            <w:noWrap/>
            <w:vAlign w:val="center"/>
            <w:hideMark/>
          </w:tcPr>
          <w:p w14:paraId="1C2512C6" w14:textId="77777777" w:rsidR="00B2402D" w:rsidRPr="009726A1" w:rsidRDefault="00B2402D" w:rsidP="00D2560E">
            <w:pPr>
              <w:spacing w:after="0" w:line="240" w:lineRule="auto"/>
              <w:jc w:val="right"/>
              <w:rPr>
                <w:rFonts w:eastAsia="Times New Roman" w:cs="Times New Roman"/>
                <w:b/>
                <w:bCs/>
                <w:color w:val="000000"/>
                <w:sz w:val="18"/>
                <w:szCs w:val="18"/>
                <w:highlight w:val="yellow"/>
                <w:lang w:eastAsia="sk-SK"/>
              </w:rPr>
            </w:pPr>
            <w:r w:rsidRPr="009726A1">
              <w:rPr>
                <w:rFonts w:eastAsia="Times New Roman" w:cs="Times New Roman"/>
                <w:b/>
                <w:bCs/>
                <w:color w:val="000000"/>
                <w:sz w:val="18"/>
                <w:szCs w:val="18"/>
                <w:lang w:eastAsia="sk-SK"/>
              </w:rPr>
              <w:t>-8 350 283</w:t>
            </w:r>
          </w:p>
        </w:tc>
        <w:tc>
          <w:tcPr>
            <w:tcW w:w="1107" w:type="dxa"/>
            <w:tcBorders>
              <w:top w:val="single" w:sz="4" w:space="0" w:color="auto"/>
              <w:left w:val="nil"/>
              <w:bottom w:val="single" w:sz="4" w:space="0" w:color="auto"/>
              <w:right w:val="nil"/>
            </w:tcBorders>
            <w:shd w:val="clear" w:color="auto" w:fill="auto"/>
            <w:noWrap/>
            <w:vAlign w:val="center"/>
            <w:hideMark/>
          </w:tcPr>
          <w:p w14:paraId="554DE43C" w14:textId="77777777" w:rsidR="00B2402D" w:rsidRPr="009726A1" w:rsidRDefault="00B2402D" w:rsidP="00D2560E">
            <w:pPr>
              <w:spacing w:after="0" w:line="240" w:lineRule="auto"/>
              <w:jc w:val="right"/>
              <w:rPr>
                <w:rFonts w:eastAsia="Times New Roman" w:cs="Times New Roman"/>
                <w:b/>
                <w:bCs/>
                <w:color w:val="000000"/>
                <w:sz w:val="18"/>
                <w:szCs w:val="18"/>
                <w:highlight w:val="yellow"/>
                <w:lang w:eastAsia="sk-SK"/>
              </w:rPr>
            </w:pPr>
            <w:r w:rsidRPr="009726A1">
              <w:rPr>
                <w:rFonts w:eastAsia="Times New Roman" w:cs="Times New Roman"/>
                <w:b/>
                <w:bCs/>
                <w:color w:val="000000"/>
                <w:sz w:val="18"/>
                <w:szCs w:val="18"/>
                <w:lang w:eastAsia="sk-SK"/>
              </w:rPr>
              <w:t>-7 675 337</w:t>
            </w:r>
          </w:p>
        </w:tc>
        <w:tc>
          <w:tcPr>
            <w:tcW w:w="1019" w:type="dxa"/>
            <w:tcBorders>
              <w:top w:val="single" w:sz="4" w:space="0" w:color="auto"/>
              <w:left w:val="nil"/>
              <w:bottom w:val="single" w:sz="4" w:space="0" w:color="auto"/>
              <w:right w:val="nil"/>
            </w:tcBorders>
            <w:shd w:val="clear" w:color="auto" w:fill="auto"/>
            <w:noWrap/>
            <w:vAlign w:val="center"/>
            <w:hideMark/>
          </w:tcPr>
          <w:p w14:paraId="2839B561" w14:textId="77777777" w:rsidR="00B2402D" w:rsidRPr="009726A1" w:rsidRDefault="00B2402D" w:rsidP="00D2560E">
            <w:pPr>
              <w:spacing w:after="0" w:line="240" w:lineRule="auto"/>
              <w:jc w:val="right"/>
              <w:rPr>
                <w:rFonts w:eastAsia="Times New Roman" w:cs="Times New Roman"/>
                <w:b/>
                <w:bCs/>
                <w:color w:val="000000"/>
                <w:sz w:val="18"/>
                <w:szCs w:val="18"/>
                <w:highlight w:val="yellow"/>
                <w:lang w:eastAsia="sk-SK"/>
              </w:rPr>
            </w:pPr>
            <w:r w:rsidRPr="009726A1">
              <w:rPr>
                <w:rFonts w:eastAsia="Times New Roman" w:cs="Times New Roman"/>
                <w:b/>
                <w:bCs/>
                <w:color w:val="000000"/>
                <w:sz w:val="18"/>
                <w:szCs w:val="18"/>
                <w:lang w:eastAsia="sk-SK"/>
              </w:rPr>
              <w:t>666 035</w:t>
            </w:r>
          </w:p>
        </w:tc>
      </w:tr>
      <w:tr w:rsidR="00B2402D" w:rsidRPr="009726A1" w14:paraId="448388D2" w14:textId="77777777" w:rsidTr="00D2560E">
        <w:trPr>
          <w:trHeight w:val="288"/>
        </w:trPr>
        <w:tc>
          <w:tcPr>
            <w:tcW w:w="9214" w:type="dxa"/>
            <w:gridSpan w:val="8"/>
            <w:tcBorders>
              <w:top w:val="single" w:sz="4" w:space="0" w:color="auto"/>
              <w:left w:val="nil"/>
              <w:right w:val="nil"/>
            </w:tcBorders>
          </w:tcPr>
          <w:p w14:paraId="3C326CA4" w14:textId="4C01DB15" w:rsidR="00B2402D" w:rsidRPr="009726A1" w:rsidRDefault="000D557B" w:rsidP="00D2560E">
            <w:pPr>
              <w:spacing w:after="0" w:line="240" w:lineRule="auto"/>
              <w:jc w:val="left"/>
              <w:rPr>
                <w:rFonts w:eastAsia="Times New Roman" w:cs="Times New Roman"/>
                <w:bCs/>
                <w:color w:val="000000"/>
                <w:sz w:val="18"/>
                <w:szCs w:val="18"/>
                <w:lang w:eastAsia="sk-SK"/>
              </w:rPr>
            </w:pPr>
            <w:r w:rsidRPr="009726A1">
              <w:rPr>
                <w:rFonts w:eastAsia="Times New Roman" w:cs="Times New Roman"/>
                <w:bCs/>
                <w:color w:val="000000"/>
                <w:sz w:val="18"/>
                <w:szCs w:val="18"/>
                <w:lang w:eastAsia="sk-SK"/>
              </w:rPr>
              <w:t>R</w:t>
            </w:r>
            <w:r w:rsidR="00B2402D" w:rsidRPr="009726A1">
              <w:rPr>
                <w:rFonts w:eastAsia="Times New Roman" w:cs="Times New Roman"/>
                <w:bCs/>
                <w:color w:val="000000"/>
                <w:sz w:val="18"/>
                <w:szCs w:val="18"/>
                <w:lang w:eastAsia="sk-SK"/>
              </w:rPr>
              <w:t xml:space="preserve"> - schválený rozpočet                                                                                                                             </w:t>
            </w:r>
            <w:r w:rsidRPr="009726A1">
              <w:rPr>
                <w:rFonts w:eastAsia="Times New Roman" w:cs="Times New Roman"/>
                <w:bCs/>
                <w:color w:val="000000"/>
                <w:sz w:val="18"/>
                <w:szCs w:val="18"/>
                <w:lang w:eastAsia="sk-SK"/>
              </w:rPr>
              <w:t xml:space="preserve">   </w:t>
            </w:r>
            <w:r w:rsidR="00B2402D" w:rsidRPr="009726A1">
              <w:rPr>
                <w:rFonts w:eastAsia="Times New Roman" w:cs="Times New Roman"/>
                <w:bCs/>
                <w:color w:val="000000"/>
                <w:sz w:val="18"/>
                <w:szCs w:val="18"/>
                <w:lang w:eastAsia="sk-SK"/>
              </w:rPr>
              <w:t xml:space="preserve">              Zdroj: MF SR</w:t>
            </w:r>
          </w:p>
          <w:p w14:paraId="757EA824" w14:textId="77777777" w:rsidR="00B2402D" w:rsidRPr="009726A1" w:rsidRDefault="00B2402D" w:rsidP="00D2560E">
            <w:pPr>
              <w:spacing w:after="0" w:line="240" w:lineRule="auto"/>
              <w:jc w:val="left"/>
              <w:rPr>
                <w:rFonts w:eastAsia="Times New Roman" w:cs="Times New Roman"/>
                <w:bCs/>
                <w:color w:val="000000"/>
                <w:sz w:val="18"/>
                <w:szCs w:val="18"/>
                <w:lang w:eastAsia="sk-SK"/>
              </w:rPr>
            </w:pPr>
            <w:r w:rsidRPr="009726A1">
              <w:rPr>
                <w:rFonts w:eastAsia="Times New Roman" w:cs="Times New Roman"/>
                <w:bCs/>
                <w:color w:val="000000"/>
                <w:sz w:val="18"/>
                <w:szCs w:val="18"/>
                <w:lang w:eastAsia="sk-SK"/>
              </w:rPr>
              <w:t>UR – upravený rozpočet</w:t>
            </w:r>
          </w:p>
          <w:p w14:paraId="170561BF" w14:textId="77777777" w:rsidR="00B2402D" w:rsidRPr="009726A1" w:rsidRDefault="00B2402D" w:rsidP="00D2560E">
            <w:pPr>
              <w:spacing w:after="0" w:line="240" w:lineRule="auto"/>
              <w:jc w:val="right"/>
              <w:rPr>
                <w:rFonts w:eastAsia="Times New Roman" w:cs="Times New Roman"/>
                <w:bCs/>
                <w:color w:val="000000"/>
                <w:sz w:val="18"/>
                <w:szCs w:val="18"/>
                <w:lang w:eastAsia="sk-SK"/>
              </w:rPr>
            </w:pPr>
          </w:p>
        </w:tc>
      </w:tr>
    </w:tbl>
    <w:p w14:paraId="7FBF8952" w14:textId="77777777" w:rsidR="00EF0971" w:rsidRPr="00F00311" w:rsidRDefault="00B2402D" w:rsidP="00EF0971">
      <w:pPr>
        <w:spacing w:before="120" w:line="240" w:lineRule="auto"/>
        <w:rPr>
          <w:sz w:val="24"/>
          <w:szCs w:val="24"/>
        </w:rPr>
      </w:pPr>
      <w:r w:rsidRPr="00F00311">
        <w:rPr>
          <w:sz w:val="24"/>
          <w:szCs w:val="24"/>
        </w:rPr>
        <w:t xml:space="preserve">Schválené príjmy štátneho rozpočtu na rok 2023 boli oproti schváleným príjmom na rok 2022 vyššie úhrnom o 5 227 285 tis. eur, pričom sa predpokladali vyššie daňové príjmy </w:t>
      </w:r>
      <w:r w:rsidRPr="00F00311">
        <w:rPr>
          <w:sz w:val="24"/>
          <w:szCs w:val="24"/>
        </w:rPr>
        <w:lastRenderedPageBreak/>
        <w:t xml:space="preserve">o 949 555 tis. eur, nedaňové príjmy o 994 920 tis. eur a vyššie príjmy sa očakávali aj z grantov a </w:t>
      </w:r>
      <w:r w:rsidR="00EF0971" w:rsidRPr="00F00311">
        <w:rPr>
          <w:sz w:val="24"/>
          <w:szCs w:val="24"/>
        </w:rPr>
        <w:t>transferov o 3 282 810 tis. eur, najmä z dôvodu ukončovania čerpania prostriedkov z 3. programového obdobia, čerpania prostriedkov zo 4. programového obdobia a vyšších transferov z plánu obnovy.</w:t>
      </w:r>
    </w:p>
    <w:p w14:paraId="2E453FDC" w14:textId="344734C0" w:rsidR="00B2402D" w:rsidRPr="00F00311" w:rsidRDefault="00B2402D" w:rsidP="00B2402D">
      <w:pPr>
        <w:spacing w:line="240" w:lineRule="auto"/>
        <w:rPr>
          <w:sz w:val="24"/>
          <w:szCs w:val="24"/>
        </w:rPr>
      </w:pPr>
      <w:r w:rsidRPr="00F00311">
        <w:rPr>
          <w:sz w:val="24"/>
          <w:szCs w:val="24"/>
        </w:rPr>
        <w:t xml:space="preserve">Z daňových príjmov bola medziročne nižšie rozpočtovaná daň z príjmov právnickej osoby o 264 381 tis. eur, daň z pridanej hodnoty bola naopak rozpočtovaná vyššie o 1 213 234 tis. eur a takisto aj spotrebné dane </w:t>
      </w:r>
      <w:r w:rsidR="00253847" w:rsidRPr="00F00311">
        <w:rPr>
          <w:sz w:val="24"/>
          <w:szCs w:val="24"/>
        </w:rPr>
        <w:t xml:space="preserve">vyššie </w:t>
      </w:r>
      <w:r w:rsidRPr="00F00311">
        <w:rPr>
          <w:sz w:val="24"/>
          <w:szCs w:val="24"/>
        </w:rPr>
        <w:t xml:space="preserve">o 31 253 tis. eur. </w:t>
      </w:r>
    </w:p>
    <w:p w14:paraId="31AF9897" w14:textId="77777777" w:rsidR="00B2402D" w:rsidRPr="00F00311" w:rsidRDefault="00B2402D" w:rsidP="00B2402D">
      <w:pPr>
        <w:spacing w:line="240" w:lineRule="auto"/>
        <w:rPr>
          <w:sz w:val="24"/>
          <w:szCs w:val="24"/>
        </w:rPr>
      </w:pPr>
      <w:r w:rsidRPr="00F00311">
        <w:rPr>
          <w:sz w:val="24"/>
          <w:szCs w:val="24"/>
        </w:rPr>
        <w:t>Príjmy z grantov a transferov sú takmer zo 100 % tvorené transfermi z rozpočtu Európskej únie. V porovnaní s rokom 2022 sa rozpočtovali vyššie o 3 282 810 tis. eur.</w:t>
      </w:r>
    </w:p>
    <w:p w14:paraId="387D9F24" w14:textId="11AD0B27" w:rsidR="00B2402D" w:rsidRPr="00F00311" w:rsidRDefault="00B2402D" w:rsidP="00B2402D">
      <w:pPr>
        <w:spacing w:line="240" w:lineRule="auto"/>
        <w:rPr>
          <w:sz w:val="24"/>
          <w:szCs w:val="24"/>
        </w:rPr>
      </w:pPr>
      <w:r w:rsidRPr="00F00311">
        <w:rPr>
          <w:sz w:val="24"/>
          <w:szCs w:val="24"/>
        </w:rPr>
        <w:t>Z nedaňových príjmov sa medziročne vyššie rozpočtovali súd</w:t>
      </w:r>
      <w:r w:rsidR="00253847" w:rsidRPr="00F00311">
        <w:rPr>
          <w:sz w:val="24"/>
          <w:szCs w:val="24"/>
        </w:rPr>
        <w:t xml:space="preserve">ne poplatky o 4 000 tis. eur, </w:t>
      </w:r>
      <w:r w:rsidRPr="00F00311">
        <w:rPr>
          <w:sz w:val="24"/>
          <w:szCs w:val="24"/>
        </w:rPr>
        <w:t>o</w:t>
      </w:r>
      <w:r w:rsidR="00253847" w:rsidRPr="00F00311">
        <w:rPr>
          <w:sz w:val="24"/>
          <w:szCs w:val="24"/>
        </w:rPr>
        <w:t>dvod</w:t>
      </w:r>
      <w:r w:rsidRPr="00F00311">
        <w:rPr>
          <w:sz w:val="24"/>
          <w:szCs w:val="24"/>
        </w:rPr>
        <w:t xml:space="preserve"> z hazardných h</w:t>
      </w:r>
      <w:r w:rsidR="00253847" w:rsidRPr="00F00311">
        <w:rPr>
          <w:sz w:val="24"/>
          <w:szCs w:val="24"/>
        </w:rPr>
        <w:t>ier o 17 338 tis. eur a z </w:t>
      </w:r>
      <w:proofErr w:type="spellStart"/>
      <w:r w:rsidR="00253847" w:rsidRPr="00F00311">
        <w:rPr>
          <w:sz w:val="24"/>
          <w:szCs w:val="24"/>
        </w:rPr>
        <w:t>vrat</w:t>
      </w:r>
      <w:r w:rsidRPr="00F00311">
        <w:rPr>
          <w:sz w:val="24"/>
          <w:szCs w:val="24"/>
        </w:rPr>
        <w:t>k</w:t>
      </w:r>
      <w:r w:rsidR="00253847" w:rsidRPr="00F00311">
        <w:rPr>
          <w:sz w:val="24"/>
          <w:szCs w:val="24"/>
        </w:rPr>
        <w:t>y</w:t>
      </w:r>
      <w:proofErr w:type="spellEnd"/>
      <w:r w:rsidRPr="00F00311">
        <w:rPr>
          <w:sz w:val="24"/>
          <w:szCs w:val="24"/>
        </w:rPr>
        <w:t xml:space="preserve"> o 2 490 tis. eur. Naopak, nižší príjem sa rozpočtoval za predaj výrobkov, tovarov a služieb o 14 355 tis. eur a na pokuty, penále a iné sankcie o 4 342 tis. eur.</w:t>
      </w:r>
    </w:p>
    <w:p w14:paraId="464EEA17" w14:textId="77777777" w:rsidR="00B2402D" w:rsidRPr="00F00311" w:rsidRDefault="00B2402D" w:rsidP="00B2402D">
      <w:pPr>
        <w:spacing w:line="240" w:lineRule="auto"/>
        <w:rPr>
          <w:sz w:val="24"/>
          <w:szCs w:val="24"/>
        </w:rPr>
      </w:pPr>
      <w:r w:rsidRPr="00F00311">
        <w:rPr>
          <w:sz w:val="24"/>
          <w:szCs w:val="24"/>
        </w:rPr>
        <w:t>V medziročnom porovnaní schválených výdavkov štátneho rozpočtu na roky 2023 a 2022 sa predpokladalo ich zvýšenie o 8 095 139 tis. eur. Bežné výdavky sa rozpočtovali medziročne vyššie o 6 262 849 tis. eur a kapitálové výdavky vyššie o 1 832 290 tis. eur.</w:t>
      </w:r>
    </w:p>
    <w:p w14:paraId="5C774F2B" w14:textId="77777777" w:rsidR="00B2402D" w:rsidRPr="00F00311" w:rsidRDefault="00B2402D" w:rsidP="00B2402D">
      <w:pPr>
        <w:spacing w:line="240" w:lineRule="auto"/>
        <w:rPr>
          <w:sz w:val="24"/>
          <w:szCs w:val="24"/>
        </w:rPr>
      </w:pPr>
      <w:r w:rsidRPr="00F00311">
        <w:rPr>
          <w:sz w:val="24"/>
          <w:szCs w:val="24"/>
        </w:rPr>
        <w:t xml:space="preserve">Okrem vyššie rozpočtovaných výdavkov na zmiernenie dopadov pandémie v bežných výdavkoch (v skutočnosti čerpaných v riadnych druhových výdavkoch, napríklad mzdy, platy, osobné vyrovnania, tovary a služby) sa medziročne vyššie rozpočtovali mzdy, platy, služobné príjmy a OOV spolu s poistnými odvodmi o 425 992 tis. eur a bežné transfery úhrnom o 2 329 149 tis. eur. Z bežných transferov sa medziročne vyššie rozpočtovali v rámci verejnej správy o 847 521 tis. eur, transfery na platené poistné za skupiny osôb ustanovené zákonom o 594 562 tis. eur a na ostatné dávky poskytované štátom nižšie o 215 109 tis. eur. </w:t>
      </w:r>
    </w:p>
    <w:p w14:paraId="68250427" w14:textId="1B7E0A5F" w:rsidR="00B2402D" w:rsidRPr="00F00311" w:rsidRDefault="00B2402D" w:rsidP="00B2402D">
      <w:pPr>
        <w:spacing w:line="240" w:lineRule="auto"/>
        <w:rPr>
          <w:sz w:val="24"/>
          <w:szCs w:val="24"/>
        </w:rPr>
      </w:pPr>
      <w:r w:rsidRPr="00F00311">
        <w:rPr>
          <w:sz w:val="24"/>
          <w:szCs w:val="24"/>
        </w:rPr>
        <w:t xml:space="preserve">Kapitálové výdavky sa medziročne rozpočtovali vyššie o 1 832 290 tis. eur, a to najmä na </w:t>
      </w:r>
      <w:r w:rsidR="00253847" w:rsidRPr="00F00311">
        <w:rPr>
          <w:sz w:val="24"/>
          <w:szCs w:val="24"/>
        </w:rPr>
        <w:t>kapitálové transfery o 1 639 143 tis. eur. O</w:t>
      </w:r>
      <w:r w:rsidRPr="00F00311">
        <w:rPr>
          <w:sz w:val="24"/>
          <w:szCs w:val="24"/>
        </w:rPr>
        <w:t xml:space="preserve">bstarávanie kapitálových aktív </w:t>
      </w:r>
      <w:r w:rsidR="00253847" w:rsidRPr="00F00311">
        <w:rPr>
          <w:sz w:val="24"/>
          <w:szCs w:val="24"/>
        </w:rPr>
        <w:t>bolo medziročne rozpočtované vyššie o 193 147 tis. eur</w:t>
      </w:r>
      <w:r w:rsidRPr="00F00311">
        <w:rPr>
          <w:sz w:val="24"/>
          <w:szCs w:val="24"/>
        </w:rPr>
        <w:t xml:space="preserve">, </w:t>
      </w:r>
      <w:r w:rsidR="00253847" w:rsidRPr="00F00311">
        <w:rPr>
          <w:sz w:val="24"/>
          <w:szCs w:val="24"/>
        </w:rPr>
        <w:t xml:space="preserve">transfery iným subjektom boli vyššie o 55 650 tis. eur a </w:t>
      </w:r>
      <w:r w:rsidRPr="00F00311">
        <w:rPr>
          <w:sz w:val="24"/>
          <w:szCs w:val="24"/>
        </w:rPr>
        <w:t>transfery v rámci verejnej správy</w:t>
      </w:r>
      <w:r w:rsidR="00253847" w:rsidRPr="00F00311">
        <w:rPr>
          <w:sz w:val="24"/>
          <w:szCs w:val="24"/>
        </w:rPr>
        <w:t xml:space="preserve"> boli nižšie o 168 892 tis. eur.</w:t>
      </w:r>
    </w:p>
    <w:p w14:paraId="6F1D3CB5" w14:textId="6D4062E5" w:rsidR="00B2402D" w:rsidRPr="00F00311" w:rsidRDefault="00B2402D" w:rsidP="00B2402D">
      <w:pPr>
        <w:spacing w:line="240" w:lineRule="auto"/>
        <w:rPr>
          <w:b/>
          <w:sz w:val="24"/>
          <w:szCs w:val="24"/>
        </w:rPr>
      </w:pPr>
      <w:r w:rsidRPr="00F00311">
        <w:rPr>
          <w:b/>
          <w:sz w:val="24"/>
          <w:szCs w:val="24"/>
        </w:rPr>
        <w:t>V priebehu rozpočtového roka 2023 sa vykonali v súlade s rozpočtovými pravidlami rozpočtové opatrenia, ktoré znížili celkovo schválené príjmy na rok 2023 o 3 219 571 tis. eur na 23 479 613 tis. eur a celkové schválené výdavky o 3 210 660 tis. eur na 31 829 896 tis. eur. Plánovaný schodok štátneho rozpočtu po úpravách počas roka 2023 mal byť k </w:t>
      </w:r>
      <w:proofErr w:type="spellStart"/>
      <w:r w:rsidRPr="00F00311">
        <w:rPr>
          <w:b/>
          <w:sz w:val="24"/>
          <w:szCs w:val="24"/>
        </w:rPr>
        <w:t>ultimu</w:t>
      </w:r>
      <w:proofErr w:type="spellEnd"/>
      <w:r w:rsidRPr="00F00311">
        <w:rPr>
          <w:b/>
          <w:sz w:val="24"/>
          <w:szCs w:val="24"/>
        </w:rPr>
        <w:t xml:space="preserve"> roka </w:t>
      </w:r>
      <w:r w:rsidR="00E46E64" w:rsidRPr="00F00311">
        <w:rPr>
          <w:b/>
          <w:sz w:val="24"/>
          <w:szCs w:val="24"/>
        </w:rPr>
        <w:t>vyšší</w:t>
      </w:r>
      <w:r w:rsidRPr="00F00311">
        <w:rPr>
          <w:b/>
          <w:sz w:val="24"/>
          <w:szCs w:val="24"/>
        </w:rPr>
        <w:t xml:space="preserve"> oproti schválenému o 8 911 tis. eur, vo výške 8 350 283 tis. eur.</w:t>
      </w:r>
    </w:p>
    <w:p w14:paraId="4FAEE536" w14:textId="77777777" w:rsidR="00B2402D" w:rsidRPr="00F00311" w:rsidRDefault="00B2402D" w:rsidP="00B2402D">
      <w:pPr>
        <w:spacing w:line="240" w:lineRule="auto"/>
        <w:rPr>
          <w:sz w:val="24"/>
          <w:szCs w:val="24"/>
        </w:rPr>
      </w:pPr>
      <w:r w:rsidRPr="00F00311">
        <w:rPr>
          <w:sz w:val="24"/>
          <w:szCs w:val="24"/>
        </w:rPr>
        <w:t xml:space="preserve">Úpravy rozpočtu sa realizovali na základe aktualizovaných informácií o plnení úloh a požiadaviek jednotlivých kapitol ŠR počas rozpočtového roku, legislatívnych zmien, ktoré môžu priniesť zmenu v príjmoch alebo výdavkoch, ako aj na základe aktuálneho vývoja ekonomiky a verejných financií. </w:t>
      </w:r>
    </w:p>
    <w:p w14:paraId="039C3365" w14:textId="77777777" w:rsidR="00B2402D" w:rsidRPr="00F00311" w:rsidRDefault="00B2402D" w:rsidP="00B2402D">
      <w:pPr>
        <w:spacing w:line="240" w:lineRule="auto"/>
        <w:rPr>
          <w:sz w:val="24"/>
          <w:szCs w:val="24"/>
        </w:rPr>
      </w:pPr>
      <w:r w:rsidRPr="00F00311">
        <w:rPr>
          <w:sz w:val="24"/>
          <w:szCs w:val="24"/>
        </w:rPr>
        <w:t>V rámci úprav schváleného rozpočtu príjmov sa predpokladali príjmy nižšie o 3 219 571 tis. eur a v rámci nich bolo zohľadnené najmä nižšie plnenie transferov z rozpočtu Európskej únie o 3 219 531 tis. eur. Daňové príjmy zostali bez zmeny a v rámci nedaňových príjmov sa očakávali nižšie príjmy za predaj výrobkov, tovarov a služieb o 5 332 tis. eur. Naopak, vyššie ako rozpočtované príjmy sa očakávali najmä príjmy z predaja pozemkov o 2 657 tis. eur.</w:t>
      </w:r>
    </w:p>
    <w:p w14:paraId="1A6C56F3" w14:textId="44FE8A9C" w:rsidR="00B2402D" w:rsidRPr="00E33D55" w:rsidRDefault="00B2402D" w:rsidP="00B2402D">
      <w:pPr>
        <w:spacing w:line="240" w:lineRule="auto"/>
        <w:rPr>
          <w:sz w:val="24"/>
          <w:szCs w:val="24"/>
        </w:rPr>
      </w:pPr>
      <w:r w:rsidRPr="00F00311">
        <w:rPr>
          <w:sz w:val="24"/>
          <w:szCs w:val="24"/>
        </w:rPr>
        <w:t>Celková úprava rozpočtu výdavkov predstavovala zníženie bežných výdavkov o 2 025 928 tis. </w:t>
      </w:r>
      <w:r w:rsidR="00115076" w:rsidRPr="00F00311">
        <w:rPr>
          <w:sz w:val="24"/>
          <w:szCs w:val="24"/>
        </w:rPr>
        <w:t xml:space="preserve">eur a </w:t>
      </w:r>
      <w:r w:rsidRPr="00F00311">
        <w:rPr>
          <w:sz w:val="24"/>
          <w:szCs w:val="24"/>
        </w:rPr>
        <w:t>zníženie kapitál</w:t>
      </w:r>
      <w:r w:rsidR="00425191" w:rsidRPr="00F00311">
        <w:rPr>
          <w:sz w:val="24"/>
          <w:szCs w:val="24"/>
        </w:rPr>
        <w:t>ových výdavkov o 1 184 732 tis. </w:t>
      </w:r>
      <w:r w:rsidRPr="00F00311">
        <w:rPr>
          <w:sz w:val="24"/>
          <w:szCs w:val="24"/>
        </w:rPr>
        <w:t>eur.</w:t>
      </w:r>
      <w:r w:rsidRPr="00E33D55">
        <w:rPr>
          <w:sz w:val="24"/>
          <w:szCs w:val="24"/>
        </w:rPr>
        <w:t xml:space="preserve"> </w:t>
      </w:r>
    </w:p>
    <w:p w14:paraId="49507707" w14:textId="77777777" w:rsidR="00B2402D" w:rsidRPr="00F00311" w:rsidRDefault="00B2402D" w:rsidP="00B2402D">
      <w:pPr>
        <w:spacing w:line="240" w:lineRule="auto"/>
        <w:rPr>
          <w:b/>
          <w:sz w:val="24"/>
          <w:szCs w:val="24"/>
        </w:rPr>
      </w:pPr>
      <w:r w:rsidRPr="00F00311">
        <w:rPr>
          <w:b/>
          <w:sz w:val="24"/>
          <w:szCs w:val="24"/>
        </w:rPr>
        <w:lastRenderedPageBreak/>
        <w:t>Schodok štátneho rozpočtu vykázaný k 31. 12. 2023 v sume 7 675 337 tis. eur bol krytý finančnými prostriedkami získanými z predaja štátnych dlhopisov v hodnote 7 655 337 tis. eur a prijatým zahraničným bankovým úverom v hodnote 20 000 tis. eur.</w:t>
      </w:r>
    </w:p>
    <w:p w14:paraId="2EF31DB6" w14:textId="6B3AE4CD" w:rsidR="00B2402D" w:rsidRDefault="00B2402D" w:rsidP="00B2402D">
      <w:pPr>
        <w:spacing w:line="240" w:lineRule="auto"/>
        <w:rPr>
          <w:sz w:val="24"/>
          <w:szCs w:val="24"/>
        </w:rPr>
      </w:pPr>
      <w:r w:rsidRPr="00F00311">
        <w:rPr>
          <w:sz w:val="24"/>
          <w:szCs w:val="24"/>
        </w:rPr>
        <w:t>Prehľad o rozpočtovaných a skutočne dosiahnutých vybraných</w:t>
      </w:r>
      <w:r w:rsidR="007F55D6" w:rsidRPr="00F00311">
        <w:rPr>
          <w:sz w:val="24"/>
          <w:szCs w:val="24"/>
        </w:rPr>
        <w:t xml:space="preserve"> rozpočtových ukazovateľoch v </w:t>
      </w:r>
      <w:r w:rsidRPr="00F00311">
        <w:rPr>
          <w:sz w:val="24"/>
          <w:szCs w:val="24"/>
        </w:rPr>
        <w:t xml:space="preserve">roku 2023 </w:t>
      </w:r>
      <w:r w:rsidR="007F55D6" w:rsidRPr="00F00311">
        <w:rPr>
          <w:sz w:val="24"/>
          <w:szCs w:val="24"/>
        </w:rPr>
        <w:t>(</w:t>
      </w:r>
      <w:r w:rsidRPr="00F00311">
        <w:rPr>
          <w:sz w:val="24"/>
          <w:szCs w:val="24"/>
        </w:rPr>
        <w:t>a za predchádzajúce dva roky</w:t>
      </w:r>
      <w:r w:rsidR="007F55D6" w:rsidRPr="00F00311">
        <w:rPr>
          <w:sz w:val="24"/>
          <w:szCs w:val="24"/>
        </w:rPr>
        <w:t>) v štruktúre základnej bilancie</w:t>
      </w:r>
      <w:r w:rsidRPr="00F00311">
        <w:rPr>
          <w:sz w:val="24"/>
          <w:szCs w:val="24"/>
        </w:rPr>
        <w:t xml:space="preserve"> </w:t>
      </w:r>
      <w:r w:rsidR="007F55D6" w:rsidRPr="00F00311">
        <w:rPr>
          <w:sz w:val="24"/>
          <w:szCs w:val="24"/>
        </w:rPr>
        <w:t>rozpočtu poskytuje</w:t>
      </w:r>
      <w:r w:rsidRPr="00F00311">
        <w:rPr>
          <w:sz w:val="24"/>
          <w:szCs w:val="24"/>
        </w:rPr>
        <w:t xml:space="preserve"> </w:t>
      </w:r>
      <w:r w:rsidR="007F55D6" w:rsidRPr="00F00311">
        <w:rPr>
          <w:sz w:val="24"/>
          <w:szCs w:val="24"/>
        </w:rPr>
        <w:t>nasledujúca tabuľka</w:t>
      </w:r>
      <w:r w:rsidRPr="00F00311">
        <w:rPr>
          <w:sz w:val="24"/>
          <w:szCs w:val="24"/>
        </w:rPr>
        <w:t>:</w:t>
      </w:r>
    </w:p>
    <w:tbl>
      <w:tblPr>
        <w:tblW w:w="9177" w:type="dxa"/>
        <w:tblCellMar>
          <w:left w:w="70" w:type="dxa"/>
          <w:right w:w="70" w:type="dxa"/>
        </w:tblCellMar>
        <w:tblLook w:val="04A0" w:firstRow="1" w:lastRow="0" w:firstColumn="1" w:lastColumn="0" w:noHBand="0" w:noVBand="1"/>
      </w:tblPr>
      <w:tblGrid>
        <w:gridCol w:w="3402"/>
        <w:gridCol w:w="993"/>
        <w:gridCol w:w="1033"/>
        <w:gridCol w:w="242"/>
        <w:gridCol w:w="933"/>
        <w:gridCol w:w="201"/>
        <w:gridCol w:w="1134"/>
        <w:gridCol w:w="62"/>
        <w:gridCol w:w="1072"/>
        <w:gridCol w:w="105"/>
      </w:tblGrid>
      <w:tr w:rsidR="00B2402D" w:rsidRPr="006D37EA" w14:paraId="17FF0652" w14:textId="77777777" w:rsidTr="006D37EA">
        <w:trPr>
          <w:trHeight w:val="73"/>
        </w:trPr>
        <w:tc>
          <w:tcPr>
            <w:tcW w:w="5428" w:type="dxa"/>
            <w:gridSpan w:val="3"/>
            <w:tcBorders>
              <w:top w:val="nil"/>
              <w:left w:val="nil"/>
              <w:bottom w:val="nil"/>
              <w:right w:val="nil"/>
            </w:tcBorders>
            <w:shd w:val="clear" w:color="auto" w:fill="auto"/>
            <w:noWrap/>
            <w:vAlign w:val="bottom"/>
            <w:hideMark/>
          </w:tcPr>
          <w:p w14:paraId="3FC7A49C" w14:textId="077C6557" w:rsidR="00B2402D" w:rsidRPr="006D37EA" w:rsidRDefault="00B2402D" w:rsidP="004A6E2F">
            <w:pPr>
              <w:spacing w:line="240" w:lineRule="auto"/>
              <w:jc w:val="left"/>
              <w:rPr>
                <w:rFonts w:ascii="Arial Narrow" w:eastAsia="Times New Roman" w:hAnsi="Arial Narrow" w:cs="Calibri"/>
                <w:b/>
                <w:bCs/>
                <w:color w:val="000000"/>
                <w:sz w:val="20"/>
                <w:szCs w:val="20"/>
                <w:lang w:eastAsia="sk-SK"/>
              </w:rPr>
            </w:pPr>
            <w:r w:rsidRPr="006D37EA">
              <w:rPr>
                <w:rFonts w:eastAsia="Times New Roman" w:cs="Times New Roman"/>
                <w:b/>
                <w:bCs/>
                <w:color w:val="5B9BD5"/>
                <w:sz w:val="20"/>
                <w:szCs w:val="20"/>
                <w:lang w:eastAsia="sk-SK"/>
              </w:rPr>
              <w:t>Tabuľka 2</w:t>
            </w:r>
            <w:r w:rsidR="004A6E2F">
              <w:rPr>
                <w:rFonts w:eastAsia="Times New Roman" w:cs="Times New Roman"/>
                <w:b/>
                <w:bCs/>
                <w:color w:val="5B9BD5"/>
                <w:sz w:val="20"/>
                <w:szCs w:val="20"/>
                <w:lang w:eastAsia="sk-SK"/>
              </w:rPr>
              <w:t>3</w:t>
            </w:r>
            <w:r w:rsidRPr="006D37EA">
              <w:rPr>
                <w:rFonts w:eastAsia="Times New Roman" w:cs="Times New Roman"/>
                <w:b/>
                <w:bCs/>
                <w:color w:val="5B9BD5"/>
                <w:sz w:val="20"/>
                <w:szCs w:val="20"/>
                <w:lang w:eastAsia="sk-SK"/>
              </w:rPr>
              <w:t xml:space="preserve"> - Základná bilancia štátneho rozpočtu</w:t>
            </w:r>
          </w:p>
        </w:tc>
        <w:tc>
          <w:tcPr>
            <w:tcW w:w="1175" w:type="dxa"/>
            <w:gridSpan w:val="2"/>
            <w:tcBorders>
              <w:top w:val="nil"/>
              <w:left w:val="nil"/>
              <w:bottom w:val="nil"/>
              <w:right w:val="nil"/>
            </w:tcBorders>
            <w:shd w:val="clear" w:color="auto" w:fill="auto"/>
            <w:noWrap/>
            <w:vAlign w:val="bottom"/>
            <w:hideMark/>
          </w:tcPr>
          <w:p w14:paraId="6902D82D" w14:textId="77777777" w:rsidR="00B2402D" w:rsidRPr="006D37EA" w:rsidRDefault="00B2402D" w:rsidP="00D2560E">
            <w:pPr>
              <w:spacing w:after="0" w:line="240" w:lineRule="auto"/>
              <w:jc w:val="left"/>
              <w:rPr>
                <w:rFonts w:eastAsia="Times New Roman" w:cs="Times New Roman"/>
                <w:sz w:val="20"/>
                <w:szCs w:val="20"/>
                <w:lang w:eastAsia="sk-SK"/>
              </w:rPr>
            </w:pPr>
          </w:p>
        </w:tc>
        <w:tc>
          <w:tcPr>
            <w:tcW w:w="1397" w:type="dxa"/>
            <w:gridSpan w:val="3"/>
            <w:tcBorders>
              <w:top w:val="nil"/>
              <w:left w:val="nil"/>
              <w:bottom w:val="nil"/>
              <w:right w:val="nil"/>
            </w:tcBorders>
            <w:shd w:val="clear" w:color="auto" w:fill="auto"/>
            <w:noWrap/>
            <w:vAlign w:val="bottom"/>
            <w:hideMark/>
          </w:tcPr>
          <w:p w14:paraId="2D2C1895" w14:textId="77777777" w:rsidR="00B2402D" w:rsidRPr="006D37EA" w:rsidRDefault="00B2402D" w:rsidP="00D2560E">
            <w:pPr>
              <w:spacing w:after="0" w:line="240" w:lineRule="auto"/>
              <w:jc w:val="left"/>
              <w:rPr>
                <w:rFonts w:eastAsia="Times New Roman" w:cs="Times New Roman"/>
                <w:sz w:val="20"/>
                <w:szCs w:val="20"/>
                <w:lang w:eastAsia="sk-SK"/>
              </w:rPr>
            </w:pPr>
          </w:p>
        </w:tc>
        <w:tc>
          <w:tcPr>
            <w:tcW w:w="1177" w:type="dxa"/>
            <w:gridSpan w:val="2"/>
            <w:tcBorders>
              <w:top w:val="nil"/>
              <w:left w:val="nil"/>
              <w:bottom w:val="nil"/>
              <w:right w:val="nil"/>
            </w:tcBorders>
            <w:shd w:val="clear" w:color="auto" w:fill="auto"/>
            <w:noWrap/>
            <w:vAlign w:val="bottom"/>
            <w:hideMark/>
          </w:tcPr>
          <w:p w14:paraId="0FB7C4A1" w14:textId="77777777" w:rsidR="00B2402D" w:rsidRPr="006D37EA" w:rsidRDefault="00B2402D" w:rsidP="00D2560E">
            <w:pPr>
              <w:spacing w:after="0" w:line="240" w:lineRule="auto"/>
              <w:jc w:val="left"/>
              <w:rPr>
                <w:rFonts w:eastAsia="Times New Roman" w:cs="Times New Roman"/>
                <w:sz w:val="20"/>
                <w:szCs w:val="20"/>
                <w:lang w:eastAsia="sk-SK"/>
              </w:rPr>
            </w:pPr>
          </w:p>
        </w:tc>
      </w:tr>
      <w:tr w:rsidR="00B2402D" w:rsidRPr="006D37EA" w14:paraId="1C78315D" w14:textId="77777777" w:rsidTr="006D37EA">
        <w:trPr>
          <w:gridAfter w:val="1"/>
          <w:wAfter w:w="105" w:type="dxa"/>
          <w:trHeight w:val="256"/>
        </w:trPr>
        <w:tc>
          <w:tcPr>
            <w:tcW w:w="3402" w:type="dxa"/>
            <w:vMerge w:val="restart"/>
            <w:tcBorders>
              <w:top w:val="single" w:sz="4" w:space="0" w:color="auto"/>
              <w:left w:val="nil"/>
              <w:bottom w:val="single" w:sz="4" w:space="0" w:color="000000"/>
              <w:right w:val="nil"/>
            </w:tcBorders>
            <w:shd w:val="clear" w:color="auto" w:fill="auto"/>
            <w:vAlign w:val="center"/>
            <w:hideMark/>
          </w:tcPr>
          <w:p w14:paraId="2DA22340" w14:textId="77777777" w:rsidR="00B2402D" w:rsidRPr="006D37EA" w:rsidRDefault="00B2402D" w:rsidP="00D2560E">
            <w:pPr>
              <w:spacing w:after="0" w:line="240" w:lineRule="auto"/>
              <w:jc w:val="left"/>
              <w:rPr>
                <w:rFonts w:eastAsia="Times New Roman" w:cs="Times New Roman"/>
                <w:b/>
                <w:bCs/>
                <w:sz w:val="18"/>
                <w:szCs w:val="18"/>
                <w:lang w:eastAsia="sk-SK"/>
              </w:rPr>
            </w:pPr>
            <w:r w:rsidRPr="006D37EA">
              <w:rPr>
                <w:rFonts w:eastAsia="Times New Roman" w:cs="Times New Roman"/>
                <w:b/>
                <w:bCs/>
                <w:sz w:val="18"/>
                <w:szCs w:val="18"/>
                <w:lang w:eastAsia="sk-SK"/>
              </w:rPr>
              <w:t>v tis. eur</w:t>
            </w:r>
          </w:p>
        </w:tc>
        <w:tc>
          <w:tcPr>
            <w:tcW w:w="993" w:type="dxa"/>
            <w:tcBorders>
              <w:top w:val="single" w:sz="4" w:space="0" w:color="auto"/>
              <w:left w:val="nil"/>
              <w:bottom w:val="nil"/>
              <w:right w:val="nil"/>
            </w:tcBorders>
            <w:shd w:val="clear" w:color="auto" w:fill="auto"/>
            <w:vAlign w:val="center"/>
            <w:hideMark/>
          </w:tcPr>
          <w:p w14:paraId="402F0F37" w14:textId="77777777" w:rsidR="00B2402D" w:rsidRPr="006D37EA" w:rsidRDefault="00B2402D" w:rsidP="00D2560E">
            <w:pPr>
              <w:spacing w:after="0" w:line="240" w:lineRule="auto"/>
              <w:jc w:val="center"/>
              <w:rPr>
                <w:rFonts w:eastAsia="Times New Roman" w:cs="Times New Roman"/>
                <w:b/>
                <w:bCs/>
                <w:sz w:val="18"/>
                <w:szCs w:val="18"/>
                <w:lang w:eastAsia="sk-SK"/>
              </w:rPr>
            </w:pPr>
            <w:r w:rsidRPr="006D37EA">
              <w:rPr>
                <w:rFonts w:eastAsia="Times New Roman" w:cs="Times New Roman"/>
                <w:b/>
                <w:bCs/>
                <w:sz w:val="18"/>
                <w:szCs w:val="18"/>
                <w:lang w:eastAsia="sk-SK"/>
              </w:rPr>
              <w:t>2021 S</w:t>
            </w:r>
          </w:p>
        </w:tc>
        <w:tc>
          <w:tcPr>
            <w:tcW w:w="1275" w:type="dxa"/>
            <w:gridSpan w:val="2"/>
            <w:tcBorders>
              <w:top w:val="single" w:sz="4" w:space="0" w:color="auto"/>
              <w:left w:val="nil"/>
              <w:bottom w:val="nil"/>
              <w:right w:val="nil"/>
            </w:tcBorders>
            <w:shd w:val="clear" w:color="auto" w:fill="auto"/>
            <w:vAlign w:val="center"/>
            <w:hideMark/>
          </w:tcPr>
          <w:p w14:paraId="686776F6" w14:textId="77777777" w:rsidR="00B2402D" w:rsidRPr="006D37EA" w:rsidRDefault="00B2402D" w:rsidP="00D2560E">
            <w:pPr>
              <w:spacing w:after="0" w:line="240" w:lineRule="auto"/>
              <w:jc w:val="center"/>
              <w:rPr>
                <w:rFonts w:eastAsia="Times New Roman" w:cs="Times New Roman"/>
                <w:b/>
                <w:bCs/>
                <w:sz w:val="18"/>
                <w:szCs w:val="18"/>
                <w:lang w:eastAsia="sk-SK"/>
              </w:rPr>
            </w:pPr>
            <w:r w:rsidRPr="006D37EA">
              <w:rPr>
                <w:rFonts w:eastAsia="Times New Roman" w:cs="Times New Roman"/>
                <w:b/>
                <w:bCs/>
                <w:sz w:val="18"/>
                <w:szCs w:val="18"/>
                <w:lang w:eastAsia="sk-SK"/>
              </w:rPr>
              <w:t>2022 S</w:t>
            </w:r>
          </w:p>
        </w:tc>
        <w:tc>
          <w:tcPr>
            <w:tcW w:w="1134" w:type="dxa"/>
            <w:gridSpan w:val="2"/>
            <w:tcBorders>
              <w:top w:val="single" w:sz="4" w:space="0" w:color="auto"/>
              <w:left w:val="nil"/>
              <w:bottom w:val="nil"/>
              <w:right w:val="nil"/>
            </w:tcBorders>
            <w:shd w:val="clear" w:color="auto" w:fill="auto"/>
            <w:vAlign w:val="center"/>
            <w:hideMark/>
          </w:tcPr>
          <w:p w14:paraId="644BAE3B" w14:textId="77777777" w:rsidR="00B2402D" w:rsidRPr="006D37EA" w:rsidRDefault="00B2402D" w:rsidP="00D2560E">
            <w:pPr>
              <w:spacing w:after="0" w:line="240" w:lineRule="auto"/>
              <w:jc w:val="center"/>
              <w:rPr>
                <w:rFonts w:eastAsia="Times New Roman" w:cs="Times New Roman"/>
                <w:b/>
                <w:bCs/>
                <w:sz w:val="18"/>
                <w:szCs w:val="18"/>
                <w:lang w:eastAsia="sk-SK"/>
              </w:rPr>
            </w:pPr>
            <w:r w:rsidRPr="006D37EA">
              <w:rPr>
                <w:rFonts w:eastAsia="Times New Roman" w:cs="Times New Roman"/>
                <w:b/>
                <w:bCs/>
                <w:sz w:val="18"/>
                <w:szCs w:val="18"/>
                <w:lang w:eastAsia="sk-SK"/>
              </w:rPr>
              <w:t>2023 R</w:t>
            </w:r>
          </w:p>
        </w:tc>
        <w:tc>
          <w:tcPr>
            <w:tcW w:w="1134" w:type="dxa"/>
            <w:tcBorders>
              <w:top w:val="single" w:sz="4" w:space="0" w:color="auto"/>
              <w:left w:val="nil"/>
              <w:bottom w:val="nil"/>
              <w:right w:val="nil"/>
            </w:tcBorders>
            <w:shd w:val="clear" w:color="auto" w:fill="auto"/>
            <w:vAlign w:val="center"/>
            <w:hideMark/>
          </w:tcPr>
          <w:p w14:paraId="4667F8BB" w14:textId="77777777" w:rsidR="00B2402D" w:rsidRPr="006D37EA" w:rsidRDefault="00B2402D" w:rsidP="00D2560E">
            <w:pPr>
              <w:spacing w:after="0" w:line="240" w:lineRule="auto"/>
              <w:jc w:val="center"/>
              <w:rPr>
                <w:rFonts w:eastAsia="Times New Roman" w:cs="Times New Roman"/>
                <w:b/>
                <w:bCs/>
                <w:sz w:val="18"/>
                <w:szCs w:val="18"/>
                <w:lang w:eastAsia="sk-SK"/>
              </w:rPr>
            </w:pPr>
            <w:r w:rsidRPr="006D37EA">
              <w:rPr>
                <w:rFonts w:eastAsia="Times New Roman" w:cs="Times New Roman"/>
                <w:b/>
                <w:bCs/>
                <w:sz w:val="18"/>
                <w:szCs w:val="18"/>
                <w:lang w:eastAsia="sk-SK"/>
              </w:rPr>
              <w:t>2023 S</w:t>
            </w:r>
          </w:p>
        </w:tc>
        <w:tc>
          <w:tcPr>
            <w:tcW w:w="1134" w:type="dxa"/>
            <w:gridSpan w:val="2"/>
            <w:tcBorders>
              <w:top w:val="single" w:sz="4" w:space="0" w:color="auto"/>
              <w:left w:val="nil"/>
              <w:bottom w:val="nil"/>
              <w:right w:val="nil"/>
            </w:tcBorders>
            <w:shd w:val="clear" w:color="auto" w:fill="auto"/>
            <w:vAlign w:val="center"/>
            <w:hideMark/>
          </w:tcPr>
          <w:p w14:paraId="1DBDFBF9" w14:textId="77777777" w:rsidR="00B2402D" w:rsidRPr="006D37EA" w:rsidRDefault="00B2402D" w:rsidP="00D2560E">
            <w:pPr>
              <w:spacing w:after="0" w:line="240" w:lineRule="auto"/>
              <w:ind w:left="42"/>
              <w:jc w:val="center"/>
              <w:rPr>
                <w:rFonts w:eastAsia="Times New Roman" w:cs="Times New Roman"/>
                <w:b/>
                <w:bCs/>
                <w:sz w:val="18"/>
                <w:szCs w:val="18"/>
                <w:lang w:eastAsia="sk-SK"/>
              </w:rPr>
            </w:pPr>
            <w:r w:rsidRPr="006D37EA">
              <w:rPr>
                <w:rFonts w:eastAsia="Times New Roman" w:cs="Times New Roman"/>
                <w:b/>
                <w:bCs/>
                <w:sz w:val="18"/>
                <w:szCs w:val="18"/>
                <w:lang w:eastAsia="sk-SK"/>
              </w:rPr>
              <w:t>Rozdiel</w:t>
            </w:r>
          </w:p>
        </w:tc>
      </w:tr>
      <w:tr w:rsidR="00B2402D" w:rsidRPr="006D37EA" w14:paraId="5DBDCC7F" w14:textId="77777777" w:rsidTr="006D37EA">
        <w:trPr>
          <w:gridAfter w:val="1"/>
          <w:wAfter w:w="105" w:type="dxa"/>
          <w:trHeight w:val="256"/>
        </w:trPr>
        <w:tc>
          <w:tcPr>
            <w:tcW w:w="3402" w:type="dxa"/>
            <w:vMerge/>
            <w:tcBorders>
              <w:top w:val="single" w:sz="4" w:space="0" w:color="auto"/>
              <w:left w:val="nil"/>
              <w:bottom w:val="single" w:sz="4" w:space="0" w:color="000000"/>
              <w:right w:val="nil"/>
            </w:tcBorders>
            <w:vAlign w:val="center"/>
            <w:hideMark/>
          </w:tcPr>
          <w:p w14:paraId="4A0A6F36" w14:textId="77777777" w:rsidR="00B2402D" w:rsidRPr="006D37EA" w:rsidRDefault="00B2402D" w:rsidP="00D2560E">
            <w:pPr>
              <w:spacing w:after="0" w:line="240" w:lineRule="auto"/>
              <w:jc w:val="left"/>
              <w:rPr>
                <w:rFonts w:eastAsia="Times New Roman" w:cs="Times New Roman"/>
                <w:b/>
                <w:bCs/>
                <w:sz w:val="18"/>
                <w:szCs w:val="18"/>
                <w:lang w:eastAsia="sk-SK"/>
              </w:rPr>
            </w:pPr>
          </w:p>
        </w:tc>
        <w:tc>
          <w:tcPr>
            <w:tcW w:w="993" w:type="dxa"/>
            <w:tcBorders>
              <w:top w:val="nil"/>
              <w:left w:val="nil"/>
              <w:bottom w:val="single" w:sz="4" w:space="0" w:color="auto"/>
              <w:right w:val="nil"/>
            </w:tcBorders>
            <w:shd w:val="clear" w:color="auto" w:fill="auto"/>
            <w:noWrap/>
            <w:vAlign w:val="center"/>
            <w:hideMark/>
          </w:tcPr>
          <w:p w14:paraId="0D594DD3" w14:textId="77777777" w:rsidR="00B2402D" w:rsidRPr="006D37EA" w:rsidRDefault="00B2402D" w:rsidP="00D2560E">
            <w:pPr>
              <w:spacing w:after="0" w:line="240" w:lineRule="auto"/>
              <w:jc w:val="center"/>
              <w:rPr>
                <w:rFonts w:eastAsia="Times New Roman" w:cs="Times New Roman"/>
                <w:b/>
                <w:bCs/>
                <w:sz w:val="18"/>
                <w:szCs w:val="18"/>
                <w:lang w:eastAsia="sk-SK"/>
              </w:rPr>
            </w:pPr>
            <w:r w:rsidRPr="006D37EA">
              <w:rPr>
                <w:rFonts w:eastAsia="Times New Roman" w:cs="Times New Roman"/>
                <w:b/>
                <w:bCs/>
                <w:sz w:val="18"/>
                <w:szCs w:val="18"/>
                <w:lang w:eastAsia="sk-SK"/>
              </w:rPr>
              <w:t>1</w:t>
            </w:r>
          </w:p>
        </w:tc>
        <w:tc>
          <w:tcPr>
            <w:tcW w:w="1275" w:type="dxa"/>
            <w:gridSpan w:val="2"/>
            <w:tcBorders>
              <w:top w:val="nil"/>
              <w:left w:val="nil"/>
              <w:bottom w:val="single" w:sz="4" w:space="0" w:color="auto"/>
              <w:right w:val="nil"/>
            </w:tcBorders>
            <w:shd w:val="clear" w:color="auto" w:fill="auto"/>
            <w:noWrap/>
            <w:vAlign w:val="center"/>
            <w:hideMark/>
          </w:tcPr>
          <w:p w14:paraId="360B5E03" w14:textId="77777777" w:rsidR="00B2402D" w:rsidRPr="006D37EA" w:rsidRDefault="00B2402D" w:rsidP="00D2560E">
            <w:pPr>
              <w:spacing w:after="0" w:line="240" w:lineRule="auto"/>
              <w:jc w:val="center"/>
              <w:rPr>
                <w:rFonts w:eastAsia="Times New Roman" w:cs="Times New Roman"/>
                <w:b/>
                <w:bCs/>
                <w:sz w:val="18"/>
                <w:szCs w:val="18"/>
                <w:lang w:eastAsia="sk-SK"/>
              </w:rPr>
            </w:pPr>
            <w:r w:rsidRPr="006D37EA">
              <w:rPr>
                <w:rFonts w:eastAsia="Times New Roman" w:cs="Times New Roman"/>
                <w:b/>
                <w:bCs/>
                <w:sz w:val="18"/>
                <w:szCs w:val="18"/>
                <w:lang w:eastAsia="sk-SK"/>
              </w:rPr>
              <w:t>2</w:t>
            </w:r>
          </w:p>
        </w:tc>
        <w:tc>
          <w:tcPr>
            <w:tcW w:w="1134" w:type="dxa"/>
            <w:gridSpan w:val="2"/>
            <w:tcBorders>
              <w:top w:val="nil"/>
              <w:left w:val="nil"/>
              <w:bottom w:val="single" w:sz="4" w:space="0" w:color="auto"/>
              <w:right w:val="nil"/>
            </w:tcBorders>
            <w:shd w:val="clear" w:color="auto" w:fill="auto"/>
            <w:noWrap/>
            <w:vAlign w:val="center"/>
            <w:hideMark/>
          </w:tcPr>
          <w:p w14:paraId="6D226211" w14:textId="77777777" w:rsidR="00B2402D" w:rsidRPr="006D37EA" w:rsidRDefault="00B2402D" w:rsidP="00D2560E">
            <w:pPr>
              <w:spacing w:after="0" w:line="240" w:lineRule="auto"/>
              <w:jc w:val="center"/>
              <w:rPr>
                <w:rFonts w:eastAsia="Times New Roman" w:cs="Times New Roman"/>
                <w:b/>
                <w:bCs/>
                <w:sz w:val="18"/>
                <w:szCs w:val="18"/>
                <w:lang w:eastAsia="sk-SK"/>
              </w:rPr>
            </w:pPr>
            <w:r w:rsidRPr="006D37EA">
              <w:rPr>
                <w:rFonts w:eastAsia="Times New Roman" w:cs="Times New Roman"/>
                <w:b/>
                <w:bCs/>
                <w:sz w:val="18"/>
                <w:szCs w:val="18"/>
                <w:lang w:eastAsia="sk-SK"/>
              </w:rPr>
              <w:t>3</w:t>
            </w:r>
          </w:p>
        </w:tc>
        <w:tc>
          <w:tcPr>
            <w:tcW w:w="1134" w:type="dxa"/>
            <w:tcBorders>
              <w:top w:val="nil"/>
              <w:left w:val="nil"/>
              <w:bottom w:val="single" w:sz="4" w:space="0" w:color="auto"/>
              <w:right w:val="nil"/>
            </w:tcBorders>
            <w:shd w:val="clear" w:color="auto" w:fill="auto"/>
            <w:noWrap/>
            <w:vAlign w:val="center"/>
            <w:hideMark/>
          </w:tcPr>
          <w:p w14:paraId="5B19233B" w14:textId="77777777" w:rsidR="00B2402D" w:rsidRPr="006D37EA" w:rsidRDefault="00B2402D" w:rsidP="00D2560E">
            <w:pPr>
              <w:spacing w:after="0" w:line="240" w:lineRule="auto"/>
              <w:jc w:val="center"/>
              <w:rPr>
                <w:rFonts w:eastAsia="Times New Roman" w:cs="Times New Roman"/>
                <w:b/>
                <w:bCs/>
                <w:sz w:val="18"/>
                <w:szCs w:val="18"/>
                <w:lang w:eastAsia="sk-SK"/>
              </w:rPr>
            </w:pPr>
            <w:r w:rsidRPr="006D37EA">
              <w:rPr>
                <w:rFonts w:eastAsia="Times New Roman" w:cs="Times New Roman"/>
                <w:b/>
                <w:bCs/>
                <w:sz w:val="18"/>
                <w:szCs w:val="18"/>
                <w:lang w:eastAsia="sk-SK"/>
              </w:rPr>
              <w:t>4</w:t>
            </w:r>
          </w:p>
        </w:tc>
        <w:tc>
          <w:tcPr>
            <w:tcW w:w="1134" w:type="dxa"/>
            <w:gridSpan w:val="2"/>
            <w:tcBorders>
              <w:top w:val="nil"/>
              <w:left w:val="nil"/>
              <w:bottom w:val="single" w:sz="4" w:space="0" w:color="auto"/>
              <w:right w:val="nil"/>
            </w:tcBorders>
            <w:shd w:val="clear" w:color="auto" w:fill="auto"/>
            <w:noWrap/>
            <w:vAlign w:val="center"/>
            <w:hideMark/>
          </w:tcPr>
          <w:p w14:paraId="6E696E6A" w14:textId="77777777" w:rsidR="00B2402D" w:rsidRPr="006D37EA" w:rsidRDefault="00B2402D" w:rsidP="00D2560E">
            <w:pPr>
              <w:spacing w:after="0" w:line="240" w:lineRule="auto"/>
              <w:ind w:left="42"/>
              <w:jc w:val="center"/>
              <w:rPr>
                <w:rFonts w:eastAsia="Times New Roman" w:cs="Times New Roman"/>
                <w:b/>
                <w:bCs/>
                <w:sz w:val="18"/>
                <w:szCs w:val="18"/>
                <w:lang w:eastAsia="sk-SK"/>
              </w:rPr>
            </w:pPr>
            <w:r w:rsidRPr="006D37EA">
              <w:rPr>
                <w:rFonts w:eastAsia="Times New Roman" w:cs="Times New Roman"/>
                <w:b/>
                <w:bCs/>
                <w:sz w:val="18"/>
                <w:szCs w:val="18"/>
                <w:lang w:eastAsia="sk-SK"/>
              </w:rPr>
              <w:t>5=4-3</w:t>
            </w:r>
          </w:p>
        </w:tc>
      </w:tr>
      <w:tr w:rsidR="00B2402D" w:rsidRPr="006D37EA" w14:paraId="56680405" w14:textId="77777777" w:rsidTr="006D37EA">
        <w:trPr>
          <w:gridAfter w:val="1"/>
          <w:wAfter w:w="105" w:type="dxa"/>
          <w:trHeight w:val="492"/>
        </w:trPr>
        <w:tc>
          <w:tcPr>
            <w:tcW w:w="3402" w:type="dxa"/>
            <w:tcBorders>
              <w:top w:val="nil"/>
              <w:left w:val="nil"/>
              <w:bottom w:val="nil"/>
              <w:right w:val="nil"/>
            </w:tcBorders>
            <w:shd w:val="clear" w:color="auto" w:fill="auto"/>
            <w:noWrap/>
            <w:vAlign w:val="center"/>
            <w:hideMark/>
          </w:tcPr>
          <w:p w14:paraId="555B04DE" w14:textId="77777777" w:rsidR="00B2402D" w:rsidRPr="006D37EA" w:rsidRDefault="00B2402D" w:rsidP="00D2560E">
            <w:pPr>
              <w:spacing w:after="0" w:line="240" w:lineRule="auto"/>
              <w:jc w:val="left"/>
              <w:rPr>
                <w:rFonts w:eastAsia="Times New Roman" w:cs="Times New Roman"/>
                <w:b/>
                <w:bCs/>
                <w:sz w:val="18"/>
                <w:szCs w:val="18"/>
                <w:lang w:eastAsia="sk-SK"/>
              </w:rPr>
            </w:pPr>
            <w:r w:rsidRPr="006D37EA">
              <w:rPr>
                <w:rFonts w:eastAsia="Times New Roman" w:cs="Times New Roman"/>
                <w:b/>
                <w:bCs/>
                <w:sz w:val="18"/>
                <w:szCs w:val="18"/>
                <w:lang w:eastAsia="sk-SK"/>
              </w:rPr>
              <w:t>Príjmy štátneho rozpočtu</w:t>
            </w:r>
          </w:p>
        </w:tc>
        <w:tc>
          <w:tcPr>
            <w:tcW w:w="993" w:type="dxa"/>
            <w:tcBorders>
              <w:top w:val="nil"/>
              <w:left w:val="nil"/>
              <w:bottom w:val="nil"/>
              <w:right w:val="nil"/>
            </w:tcBorders>
            <w:shd w:val="clear" w:color="000000" w:fill="FFFFFF"/>
            <w:noWrap/>
            <w:vAlign w:val="center"/>
            <w:hideMark/>
          </w:tcPr>
          <w:p w14:paraId="1FD6A599" w14:textId="77777777" w:rsidR="00B2402D" w:rsidRPr="006D37EA" w:rsidRDefault="00B2402D" w:rsidP="00D2560E">
            <w:pPr>
              <w:spacing w:after="0" w:line="240" w:lineRule="auto"/>
              <w:jc w:val="right"/>
              <w:rPr>
                <w:rFonts w:eastAsia="Times New Roman" w:cs="Times New Roman"/>
                <w:b/>
                <w:bCs/>
                <w:sz w:val="18"/>
                <w:szCs w:val="18"/>
                <w:lang w:eastAsia="sk-SK"/>
              </w:rPr>
            </w:pPr>
            <w:r w:rsidRPr="006D37EA">
              <w:rPr>
                <w:rFonts w:eastAsia="Times New Roman" w:cs="Times New Roman"/>
                <w:b/>
                <w:bCs/>
                <w:sz w:val="18"/>
                <w:szCs w:val="18"/>
                <w:lang w:eastAsia="sk-SK"/>
              </w:rPr>
              <w:t>17 197 298</w:t>
            </w:r>
          </w:p>
        </w:tc>
        <w:tc>
          <w:tcPr>
            <w:tcW w:w="1275" w:type="dxa"/>
            <w:gridSpan w:val="2"/>
            <w:tcBorders>
              <w:top w:val="nil"/>
              <w:left w:val="nil"/>
              <w:bottom w:val="nil"/>
              <w:right w:val="nil"/>
            </w:tcBorders>
            <w:shd w:val="clear" w:color="000000" w:fill="FFFFFF"/>
            <w:noWrap/>
            <w:vAlign w:val="center"/>
            <w:hideMark/>
          </w:tcPr>
          <w:p w14:paraId="089B961C" w14:textId="77777777" w:rsidR="00B2402D" w:rsidRPr="006D37EA" w:rsidRDefault="00B2402D" w:rsidP="00D2560E">
            <w:pPr>
              <w:spacing w:after="0" w:line="240" w:lineRule="auto"/>
              <w:jc w:val="right"/>
              <w:rPr>
                <w:rFonts w:eastAsia="Times New Roman" w:cs="Times New Roman"/>
                <w:b/>
                <w:bCs/>
                <w:sz w:val="18"/>
                <w:szCs w:val="18"/>
                <w:lang w:eastAsia="sk-SK"/>
              </w:rPr>
            </w:pPr>
            <w:r w:rsidRPr="006D37EA">
              <w:rPr>
                <w:rFonts w:eastAsia="Times New Roman" w:cs="Times New Roman"/>
                <w:b/>
                <w:bCs/>
                <w:sz w:val="18"/>
                <w:szCs w:val="18"/>
                <w:lang w:eastAsia="sk-SK"/>
              </w:rPr>
              <w:t>19 029 702</w:t>
            </w:r>
          </w:p>
        </w:tc>
        <w:tc>
          <w:tcPr>
            <w:tcW w:w="1134" w:type="dxa"/>
            <w:gridSpan w:val="2"/>
            <w:tcBorders>
              <w:top w:val="nil"/>
              <w:left w:val="nil"/>
              <w:bottom w:val="nil"/>
              <w:right w:val="nil"/>
            </w:tcBorders>
            <w:shd w:val="clear" w:color="000000" w:fill="FFFFFF"/>
            <w:noWrap/>
            <w:vAlign w:val="center"/>
            <w:hideMark/>
          </w:tcPr>
          <w:p w14:paraId="53DA5423" w14:textId="77777777" w:rsidR="00B2402D" w:rsidRPr="006D37EA" w:rsidRDefault="00B2402D" w:rsidP="00D2560E">
            <w:pPr>
              <w:spacing w:after="0" w:line="240" w:lineRule="auto"/>
              <w:jc w:val="right"/>
              <w:rPr>
                <w:rFonts w:eastAsia="Times New Roman" w:cs="Times New Roman"/>
                <w:b/>
                <w:bCs/>
                <w:sz w:val="18"/>
                <w:szCs w:val="18"/>
                <w:lang w:eastAsia="sk-SK"/>
              </w:rPr>
            </w:pPr>
            <w:r w:rsidRPr="006D37EA">
              <w:rPr>
                <w:rFonts w:eastAsia="Times New Roman" w:cs="Times New Roman"/>
                <w:b/>
                <w:bCs/>
                <w:sz w:val="18"/>
                <w:szCs w:val="18"/>
                <w:lang w:eastAsia="sk-SK"/>
              </w:rPr>
              <w:t>26 699 184</w:t>
            </w:r>
          </w:p>
        </w:tc>
        <w:tc>
          <w:tcPr>
            <w:tcW w:w="1134" w:type="dxa"/>
            <w:tcBorders>
              <w:top w:val="nil"/>
              <w:left w:val="nil"/>
              <w:bottom w:val="nil"/>
              <w:right w:val="nil"/>
            </w:tcBorders>
            <w:shd w:val="clear" w:color="000000" w:fill="FFFFFF"/>
            <w:noWrap/>
            <w:vAlign w:val="center"/>
            <w:hideMark/>
          </w:tcPr>
          <w:p w14:paraId="79DAA3BE" w14:textId="77777777" w:rsidR="00B2402D" w:rsidRPr="006D37EA" w:rsidRDefault="00B2402D" w:rsidP="00D2560E">
            <w:pPr>
              <w:spacing w:after="0" w:line="240" w:lineRule="auto"/>
              <w:jc w:val="right"/>
              <w:rPr>
                <w:rFonts w:eastAsia="Times New Roman" w:cs="Times New Roman"/>
                <w:b/>
                <w:bCs/>
                <w:sz w:val="18"/>
                <w:szCs w:val="18"/>
                <w:lang w:eastAsia="sk-SK"/>
              </w:rPr>
            </w:pPr>
            <w:r w:rsidRPr="006D37EA">
              <w:rPr>
                <w:rFonts w:eastAsia="Times New Roman" w:cs="Times New Roman"/>
                <w:b/>
                <w:bCs/>
                <w:sz w:val="18"/>
                <w:szCs w:val="18"/>
                <w:lang w:eastAsia="sk-SK"/>
              </w:rPr>
              <w:t>23 688 646</w:t>
            </w:r>
          </w:p>
        </w:tc>
        <w:tc>
          <w:tcPr>
            <w:tcW w:w="1134" w:type="dxa"/>
            <w:gridSpan w:val="2"/>
            <w:tcBorders>
              <w:top w:val="nil"/>
              <w:left w:val="nil"/>
              <w:bottom w:val="nil"/>
              <w:right w:val="nil"/>
            </w:tcBorders>
            <w:shd w:val="clear" w:color="000000" w:fill="FFFFFF"/>
            <w:noWrap/>
            <w:vAlign w:val="center"/>
            <w:hideMark/>
          </w:tcPr>
          <w:p w14:paraId="53C8B8D7" w14:textId="77777777" w:rsidR="00B2402D" w:rsidRPr="006D37EA" w:rsidRDefault="00B2402D" w:rsidP="00D2560E">
            <w:pPr>
              <w:spacing w:after="0" w:line="240" w:lineRule="auto"/>
              <w:jc w:val="right"/>
              <w:rPr>
                <w:rFonts w:eastAsia="Times New Roman" w:cs="Times New Roman"/>
                <w:b/>
                <w:bCs/>
                <w:sz w:val="18"/>
                <w:szCs w:val="18"/>
                <w:lang w:eastAsia="sk-SK"/>
              </w:rPr>
            </w:pPr>
            <w:r w:rsidRPr="006D37EA">
              <w:rPr>
                <w:rFonts w:eastAsia="Times New Roman" w:cs="Times New Roman"/>
                <w:b/>
                <w:bCs/>
                <w:sz w:val="18"/>
                <w:szCs w:val="18"/>
                <w:lang w:eastAsia="sk-SK"/>
              </w:rPr>
              <w:t>-3 010 538</w:t>
            </w:r>
          </w:p>
        </w:tc>
      </w:tr>
      <w:tr w:rsidR="00B2402D" w:rsidRPr="006D37EA" w14:paraId="4C97F504" w14:textId="77777777" w:rsidTr="006D37EA">
        <w:trPr>
          <w:gridAfter w:val="1"/>
          <w:wAfter w:w="105" w:type="dxa"/>
          <w:trHeight w:val="256"/>
        </w:trPr>
        <w:tc>
          <w:tcPr>
            <w:tcW w:w="3402" w:type="dxa"/>
            <w:tcBorders>
              <w:top w:val="nil"/>
              <w:left w:val="nil"/>
              <w:bottom w:val="nil"/>
              <w:right w:val="nil"/>
            </w:tcBorders>
            <w:shd w:val="clear" w:color="auto" w:fill="auto"/>
            <w:noWrap/>
            <w:vAlign w:val="center"/>
            <w:hideMark/>
          </w:tcPr>
          <w:p w14:paraId="6F6F0D94" w14:textId="77777777" w:rsidR="00B2402D" w:rsidRPr="006D37EA" w:rsidRDefault="00B2402D" w:rsidP="00D2560E">
            <w:pPr>
              <w:spacing w:after="0" w:line="240" w:lineRule="auto"/>
              <w:ind w:firstLineChars="100" w:firstLine="180"/>
              <w:jc w:val="left"/>
              <w:rPr>
                <w:rFonts w:eastAsia="Times New Roman" w:cs="Times New Roman"/>
                <w:sz w:val="18"/>
                <w:szCs w:val="18"/>
                <w:lang w:eastAsia="sk-SK"/>
              </w:rPr>
            </w:pPr>
            <w:r w:rsidRPr="006D37EA">
              <w:rPr>
                <w:rFonts w:eastAsia="Times New Roman" w:cs="Times New Roman"/>
                <w:sz w:val="18"/>
                <w:szCs w:val="18"/>
                <w:lang w:eastAsia="sk-SK"/>
              </w:rPr>
              <w:t>Daňové príjmy</w:t>
            </w:r>
          </w:p>
        </w:tc>
        <w:tc>
          <w:tcPr>
            <w:tcW w:w="993" w:type="dxa"/>
            <w:tcBorders>
              <w:top w:val="nil"/>
              <w:left w:val="nil"/>
              <w:bottom w:val="nil"/>
              <w:right w:val="nil"/>
            </w:tcBorders>
            <w:shd w:val="clear" w:color="000000" w:fill="FFFFFF"/>
            <w:noWrap/>
            <w:vAlign w:val="center"/>
            <w:hideMark/>
          </w:tcPr>
          <w:p w14:paraId="1268D7D6"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13 546 038</w:t>
            </w:r>
          </w:p>
        </w:tc>
        <w:tc>
          <w:tcPr>
            <w:tcW w:w="1275" w:type="dxa"/>
            <w:gridSpan w:val="2"/>
            <w:tcBorders>
              <w:top w:val="nil"/>
              <w:left w:val="nil"/>
              <w:bottom w:val="nil"/>
              <w:right w:val="nil"/>
            </w:tcBorders>
            <w:shd w:val="clear" w:color="000000" w:fill="FFFFFF"/>
            <w:noWrap/>
            <w:vAlign w:val="center"/>
            <w:hideMark/>
          </w:tcPr>
          <w:p w14:paraId="5B2CE3F7"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15 517 036</w:t>
            </w:r>
          </w:p>
        </w:tc>
        <w:tc>
          <w:tcPr>
            <w:tcW w:w="1134" w:type="dxa"/>
            <w:gridSpan w:val="2"/>
            <w:tcBorders>
              <w:top w:val="nil"/>
              <w:left w:val="nil"/>
              <w:bottom w:val="nil"/>
              <w:right w:val="nil"/>
            </w:tcBorders>
            <w:shd w:val="clear" w:color="000000" w:fill="FFFFFF"/>
            <w:noWrap/>
            <w:vAlign w:val="center"/>
            <w:hideMark/>
          </w:tcPr>
          <w:p w14:paraId="64324F8C"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16 795 409</w:t>
            </w:r>
          </w:p>
        </w:tc>
        <w:tc>
          <w:tcPr>
            <w:tcW w:w="1134" w:type="dxa"/>
            <w:tcBorders>
              <w:top w:val="nil"/>
              <w:left w:val="nil"/>
              <w:bottom w:val="nil"/>
              <w:right w:val="nil"/>
            </w:tcBorders>
            <w:shd w:val="clear" w:color="000000" w:fill="FFFFFF"/>
            <w:noWrap/>
            <w:vAlign w:val="center"/>
            <w:hideMark/>
          </w:tcPr>
          <w:p w14:paraId="79229F5F"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17 440 976</w:t>
            </w:r>
          </w:p>
        </w:tc>
        <w:tc>
          <w:tcPr>
            <w:tcW w:w="1134" w:type="dxa"/>
            <w:gridSpan w:val="2"/>
            <w:tcBorders>
              <w:top w:val="nil"/>
              <w:left w:val="nil"/>
              <w:bottom w:val="nil"/>
              <w:right w:val="nil"/>
            </w:tcBorders>
            <w:shd w:val="clear" w:color="000000" w:fill="FFFFFF"/>
            <w:noWrap/>
            <w:vAlign w:val="center"/>
            <w:hideMark/>
          </w:tcPr>
          <w:p w14:paraId="404906D5"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645 567</w:t>
            </w:r>
          </w:p>
        </w:tc>
      </w:tr>
      <w:tr w:rsidR="00B2402D" w:rsidRPr="006D37EA" w14:paraId="2A8E7686" w14:textId="77777777" w:rsidTr="006D37EA">
        <w:trPr>
          <w:gridAfter w:val="1"/>
          <w:wAfter w:w="105" w:type="dxa"/>
          <w:trHeight w:val="185"/>
        </w:trPr>
        <w:tc>
          <w:tcPr>
            <w:tcW w:w="3402" w:type="dxa"/>
            <w:tcBorders>
              <w:top w:val="nil"/>
              <w:left w:val="nil"/>
              <w:bottom w:val="nil"/>
              <w:right w:val="nil"/>
            </w:tcBorders>
            <w:shd w:val="clear" w:color="auto" w:fill="auto"/>
            <w:noWrap/>
            <w:vAlign w:val="center"/>
            <w:hideMark/>
          </w:tcPr>
          <w:p w14:paraId="7C9F79E9" w14:textId="77777777" w:rsidR="00B2402D" w:rsidRPr="006D37EA" w:rsidRDefault="00B2402D" w:rsidP="00D2560E">
            <w:pPr>
              <w:spacing w:after="0" w:line="240" w:lineRule="auto"/>
              <w:ind w:firstLineChars="100" w:firstLine="180"/>
              <w:jc w:val="left"/>
              <w:rPr>
                <w:rFonts w:eastAsia="Times New Roman" w:cs="Times New Roman"/>
                <w:sz w:val="18"/>
                <w:szCs w:val="18"/>
                <w:lang w:eastAsia="sk-SK"/>
              </w:rPr>
            </w:pPr>
            <w:r w:rsidRPr="006D37EA">
              <w:rPr>
                <w:rFonts w:eastAsia="Times New Roman" w:cs="Times New Roman"/>
                <w:sz w:val="18"/>
                <w:szCs w:val="18"/>
                <w:lang w:eastAsia="sk-SK"/>
              </w:rPr>
              <w:t>Plán obnovy a odolnosti - príjmy</w:t>
            </w:r>
          </w:p>
        </w:tc>
        <w:tc>
          <w:tcPr>
            <w:tcW w:w="993" w:type="dxa"/>
            <w:tcBorders>
              <w:top w:val="nil"/>
              <w:left w:val="nil"/>
              <w:bottom w:val="nil"/>
              <w:right w:val="nil"/>
            </w:tcBorders>
            <w:shd w:val="clear" w:color="000000" w:fill="FFFFFF"/>
            <w:noWrap/>
            <w:vAlign w:val="center"/>
            <w:hideMark/>
          </w:tcPr>
          <w:p w14:paraId="0D14C939"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4 283</w:t>
            </w:r>
          </w:p>
        </w:tc>
        <w:tc>
          <w:tcPr>
            <w:tcW w:w="1275" w:type="dxa"/>
            <w:gridSpan w:val="2"/>
            <w:tcBorders>
              <w:top w:val="nil"/>
              <w:left w:val="nil"/>
              <w:bottom w:val="nil"/>
              <w:right w:val="nil"/>
            </w:tcBorders>
            <w:shd w:val="clear" w:color="000000" w:fill="FFFFFF"/>
            <w:noWrap/>
            <w:vAlign w:val="center"/>
            <w:hideMark/>
          </w:tcPr>
          <w:p w14:paraId="717840A2"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41 061</w:t>
            </w:r>
          </w:p>
        </w:tc>
        <w:tc>
          <w:tcPr>
            <w:tcW w:w="1134" w:type="dxa"/>
            <w:gridSpan w:val="2"/>
            <w:tcBorders>
              <w:top w:val="nil"/>
              <w:left w:val="nil"/>
              <w:bottom w:val="nil"/>
              <w:right w:val="nil"/>
            </w:tcBorders>
            <w:shd w:val="clear" w:color="000000" w:fill="FFFFFF"/>
            <w:noWrap/>
            <w:vAlign w:val="center"/>
            <w:hideMark/>
          </w:tcPr>
          <w:p w14:paraId="2D547825"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2 011 251</w:t>
            </w:r>
          </w:p>
        </w:tc>
        <w:tc>
          <w:tcPr>
            <w:tcW w:w="1134" w:type="dxa"/>
            <w:tcBorders>
              <w:top w:val="nil"/>
              <w:left w:val="nil"/>
              <w:bottom w:val="nil"/>
              <w:right w:val="nil"/>
            </w:tcBorders>
            <w:shd w:val="clear" w:color="000000" w:fill="FFFFFF"/>
            <w:noWrap/>
            <w:vAlign w:val="center"/>
            <w:hideMark/>
          </w:tcPr>
          <w:p w14:paraId="1C91EF7F"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367 278</w:t>
            </w:r>
          </w:p>
        </w:tc>
        <w:tc>
          <w:tcPr>
            <w:tcW w:w="1134" w:type="dxa"/>
            <w:gridSpan w:val="2"/>
            <w:tcBorders>
              <w:top w:val="nil"/>
              <w:left w:val="nil"/>
              <w:bottom w:val="nil"/>
              <w:right w:val="nil"/>
            </w:tcBorders>
            <w:shd w:val="clear" w:color="000000" w:fill="FFFFFF"/>
            <w:noWrap/>
            <w:vAlign w:val="center"/>
            <w:hideMark/>
          </w:tcPr>
          <w:p w14:paraId="259D9CA0"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-1 643 973</w:t>
            </w:r>
          </w:p>
        </w:tc>
      </w:tr>
      <w:tr w:rsidR="00B2402D" w:rsidRPr="006D37EA" w14:paraId="5EC5D3CD" w14:textId="77777777" w:rsidTr="006D37EA">
        <w:trPr>
          <w:gridAfter w:val="1"/>
          <w:wAfter w:w="105" w:type="dxa"/>
          <w:trHeight w:val="256"/>
        </w:trPr>
        <w:tc>
          <w:tcPr>
            <w:tcW w:w="3402" w:type="dxa"/>
            <w:tcBorders>
              <w:top w:val="nil"/>
              <w:left w:val="nil"/>
              <w:bottom w:val="nil"/>
              <w:right w:val="nil"/>
            </w:tcBorders>
            <w:shd w:val="clear" w:color="auto" w:fill="auto"/>
            <w:noWrap/>
            <w:vAlign w:val="center"/>
            <w:hideMark/>
          </w:tcPr>
          <w:p w14:paraId="3665C8B3" w14:textId="14B7DB7D" w:rsidR="00B2402D" w:rsidRPr="006D37EA" w:rsidRDefault="00B2402D" w:rsidP="00D2560E">
            <w:pPr>
              <w:spacing w:after="0" w:line="240" w:lineRule="auto"/>
              <w:ind w:firstLineChars="100" w:firstLine="180"/>
              <w:jc w:val="left"/>
              <w:rPr>
                <w:rFonts w:eastAsia="Times New Roman" w:cs="Times New Roman"/>
                <w:sz w:val="18"/>
                <w:szCs w:val="18"/>
                <w:lang w:eastAsia="sk-SK"/>
              </w:rPr>
            </w:pPr>
            <w:r w:rsidRPr="006D37EA">
              <w:rPr>
                <w:rFonts w:eastAsia="Times New Roman" w:cs="Times New Roman"/>
                <w:sz w:val="18"/>
                <w:szCs w:val="18"/>
                <w:lang w:eastAsia="sk-SK"/>
              </w:rPr>
              <w:t>EÚ príjmy</w:t>
            </w:r>
            <w:r w:rsidR="00852C51">
              <w:rPr>
                <w:rFonts w:eastAsia="Times New Roman" w:cs="Times New Roman"/>
                <w:sz w:val="18"/>
                <w:szCs w:val="18"/>
                <w:lang w:eastAsia="sk-SK"/>
              </w:rPr>
              <w:t>*</w:t>
            </w:r>
          </w:p>
        </w:tc>
        <w:tc>
          <w:tcPr>
            <w:tcW w:w="993" w:type="dxa"/>
            <w:tcBorders>
              <w:top w:val="nil"/>
              <w:left w:val="nil"/>
              <w:bottom w:val="nil"/>
              <w:right w:val="nil"/>
            </w:tcBorders>
            <w:shd w:val="clear" w:color="000000" w:fill="FFFFFF"/>
            <w:noWrap/>
            <w:vAlign w:val="center"/>
            <w:hideMark/>
          </w:tcPr>
          <w:p w14:paraId="79D14295" w14:textId="6E26442B" w:rsidR="00B2402D" w:rsidRPr="006D37EA" w:rsidRDefault="00B2402D" w:rsidP="00852C51">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2 2</w:t>
            </w:r>
            <w:r w:rsidR="00852C51">
              <w:rPr>
                <w:rFonts w:eastAsia="Times New Roman" w:cs="Times New Roman"/>
                <w:sz w:val="18"/>
                <w:szCs w:val="18"/>
                <w:lang w:eastAsia="sk-SK"/>
              </w:rPr>
              <w:t>69</w:t>
            </w:r>
            <w:r w:rsidRPr="006D37EA">
              <w:rPr>
                <w:rFonts w:eastAsia="Times New Roman" w:cs="Times New Roman"/>
                <w:sz w:val="18"/>
                <w:szCs w:val="18"/>
                <w:lang w:eastAsia="sk-SK"/>
              </w:rPr>
              <w:t> </w:t>
            </w:r>
            <w:r w:rsidR="00852C51">
              <w:rPr>
                <w:rFonts w:eastAsia="Times New Roman" w:cs="Times New Roman"/>
                <w:sz w:val="18"/>
                <w:szCs w:val="18"/>
                <w:lang w:eastAsia="sk-SK"/>
              </w:rPr>
              <w:t>707</w:t>
            </w:r>
          </w:p>
        </w:tc>
        <w:tc>
          <w:tcPr>
            <w:tcW w:w="1275" w:type="dxa"/>
            <w:gridSpan w:val="2"/>
            <w:tcBorders>
              <w:top w:val="nil"/>
              <w:left w:val="nil"/>
              <w:bottom w:val="nil"/>
              <w:right w:val="nil"/>
            </w:tcBorders>
            <w:shd w:val="clear" w:color="000000" w:fill="FFFFFF"/>
            <w:noWrap/>
            <w:vAlign w:val="center"/>
            <w:hideMark/>
          </w:tcPr>
          <w:p w14:paraId="6BF439E0" w14:textId="593B366A" w:rsidR="00B2402D" w:rsidRPr="006D37EA" w:rsidRDefault="00B2402D" w:rsidP="00852C51">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2 </w:t>
            </w:r>
            <w:r w:rsidR="00852C51">
              <w:rPr>
                <w:rFonts w:eastAsia="Times New Roman" w:cs="Times New Roman"/>
                <w:sz w:val="18"/>
                <w:szCs w:val="18"/>
                <w:lang w:eastAsia="sk-SK"/>
              </w:rPr>
              <w:t>146</w:t>
            </w:r>
            <w:r w:rsidRPr="006D37EA">
              <w:rPr>
                <w:rFonts w:eastAsia="Times New Roman" w:cs="Times New Roman"/>
                <w:sz w:val="18"/>
                <w:szCs w:val="18"/>
                <w:lang w:eastAsia="sk-SK"/>
              </w:rPr>
              <w:t> </w:t>
            </w:r>
            <w:r w:rsidR="00852C51">
              <w:rPr>
                <w:rFonts w:eastAsia="Times New Roman" w:cs="Times New Roman"/>
                <w:sz w:val="18"/>
                <w:szCs w:val="18"/>
                <w:lang w:eastAsia="sk-SK"/>
              </w:rPr>
              <w:t>641</w:t>
            </w:r>
          </w:p>
        </w:tc>
        <w:tc>
          <w:tcPr>
            <w:tcW w:w="1134" w:type="dxa"/>
            <w:gridSpan w:val="2"/>
            <w:tcBorders>
              <w:top w:val="nil"/>
              <w:left w:val="nil"/>
              <w:bottom w:val="nil"/>
              <w:right w:val="nil"/>
            </w:tcBorders>
            <w:shd w:val="clear" w:color="000000" w:fill="FFFFFF"/>
            <w:noWrap/>
            <w:vAlign w:val="center"/>
            <w:hideMark/>
          </w:tcPr>
          <w:p w14:paraId="135D2802"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5 717 554</w:t>
            </w:r>
          </w:p>
        </w:tc>
        <w:tc>
          <w:tcPr>
            <w:tcW w:w="1134" w:type="dxa"/>
            <w:tcBorders>
              <w:top w:val="nil"/>
              <w:left w:val="nil"/>
              <w:bottom w:val="nil"/>
              <w:right w:val="nil"/>
            </w:tcBorders>
            <w:shd w:val="clear" w:color="000000" w:fill="FFFFFF"/>
            <w:noWrap/>
            <w:vAlign w:val="center"/>
            <w:hideMark/>
          </w:tcPr>
          <w:p w14:paraId="77D4A246" w14:textId="3E1532EF" w:rsidR="00B2402D" w:rsidRPr="006D37EA" w:rsidRDefault="00B2402D" w:rsidP="00852C51">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4 1</w:t>
            </w:r>
            <w:r w:rsidR="00852C51">
              <w:rPr>
                <w:rFonts w:eastAsia="Times New Roman" w:cs="Times New Roman"/>
                <w:sz w:val="18"/>
                <w:szCs w:val="18"/>
                <w:lang w:eastAsia="sk-SK"/>
              </w:rPr>
              <w:t>41 99</w:t>
            </w:r>
            <w:r w:rsidRPr="006D37EA">
              <w:rPr>
                <w:rFonts w:eastAsia="Times New Roman" w:cs="Times New Roman"/>
                <w:sz w:val="18"/>
                <w:szCs w:val="18"/>
                <w:lang w:eastAsia="sk-SK"/>
              </w:rPr>
              <w:t>6</w:t>
            </w:r>
          </w:p>
        </w:tc>
        <w:tc>
          <w:tcPr>
            <w:tcW w:w="1134" w:type="dxa"/>
            <w:gridSpan w:val="2"/>
            <w:tcBorders>
              <w:top w:val="nil"/>
              <w:left w:val="nil"/>
              <w:bottom w:val="nil"/>
              <w:right w:val="nil"/>
            </w:tcBorders>
            <w:shd w:val="clear" w:color="000000" w:fill="FFFFFF"/>
            <w:noWrap/>
            <w:vAlign w:val="center"/>
            <w:hideMark/>
          </w:tcPr>
          <w:p w14:paraId="3362578F" w14:textId="05534463" w:rsidR="00B2402D" w:rsidRPr="006D37EA" w:rsidRDefault="00B2402D" w:rsidP="00852C51">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-1 5</w:t>
            </w:r>
            <w:r w:rsidR="00852C51">
              <w:rPr>
                <w:rFonts w:eastAsia="Times New Roman" w:cs="Times New Roman"/>
                <w:sz w:val="18"/>
                <w:szCs w:val="18"/>
                <w:lang w:eastAsia="sk-SK"/>
              </w:rPr>
              <w:t>7</w:t>
            </w:r>
            <w:r w:rsidRPr="006D37EA">
              <w:rPr>
                <w:rFonts w:eastAsia="Times New Roman" w:cs="Times New Roman"/>
                <w:sz w:val="18"/>
                <w:szCs w:val="18"/>
                <w:lang w:eastAsia="sk-SK"/>
              </w:rPr>
              <w:t>5 </w:t>
            </w:r>
            <w:r w:rsidR="00852C51">
              <w:rPr>
                <w:rFonts w:eastAsia="Times New Roman" w:cs="Times New Roman"/>
                <w:sz w:val="18"/>
                <w:szCs w:val="18"/>
                <w:lang w:eastAsia="sk-SK"/>
              </w:rPr>
              <w:t>55</w:t>
            </w:r>
            <w:r w:rsidRPr="006D37EA">
              <w:rPr>
                <w:rFonts w:eastAsia="Times New Roman" w:cs="Times New Roman"/>
                <w:sz w:val="18"/>
                <w:szCs w:val="18"/>
                <w:lang w:eastAsia="sk-SK"/>
              </w:rPr>
              <w:t>8</w:t>
            </w:r>
          </w:p>
        </w:tc>
      </w:tr>
      <w:tr w:rsidR="00B2402D" w:rsidRPr="006D37EA" w14:paraId="4BE9055B" w14:textId="77777777" w:rsidTr="006D37EA">
        <w:trPr>
          <w:gridAfter w:val="1"/>
          <w:wAfter w:w="105" w:type="dxa"/>
          <w:trHeight w:val="256"/>
        </w:trPr>
        <w:tc>
          <w:tcPr>
            <w:tcW w:w="3402" w:type="dxa"/>
            <w:tcBorders>
              <w:top w:val="nil"/>
              <w:left w:val="nil"/>
              <w:bottom w:val="nil"/>
              <w:right w:val="nil"/>
            </w:tcBorders>
            <w:shd w:val="clear" w:color="auto" w:fill="auto"/>
            <w:noWrap/>
            <w:vAlign w:val="center"/>
            <w:hideMark/>
          </w:tcPr>
          <w:p w14:paraId="665B4AEB" w14:textId="0E80B7C1" w:rsidR="00B2402D" w:rsidRPr="006D37EA" w:rsidRDefault="00B2402D" w:rsidP="00D2560E">
            <w:pPr>
              <w:spacing w:after="0" w:line="240" w:lineRule="auto"/>
              <w:ind w:firstLineChars="100" w:firstLine="180"/>
              <w:jc w:val="left"/>
              <w:rPr>
                <w:rFonts w:eastAsia="Times New Roman" w:cs="Times New Roman"/>
                <w:sz w:val="18"/>
                <w:szCs w:val="18"/>
                <w:lang w:eastAsia="sk-SK"/>
              </w:rPr>
            </w:pPr>
            <w:r w:rsidRPr="006D37EA">
              <w:rPr>
                <w:rFonts w:eastAsia="Times New Roman" w:cs="Times New Roman"/>
                <w:sz w:val="18"/>
                <w:szCs w:val="18"/>
                <w:lang w:eastAsia="sk-SK"/>
              </w:rPr>
              <w:t>Dividendy</w:t>
            </w:r>
            <w:r w:rsidR="00A86470">
              <w:rPr>
                <w:rFonts w:eastAsia="Times New Roman" w:cs="Times New Roman"/>
                <w:sz w:val="18"/>
                <w:szCs w:val="18"/>
                <w:lang w:eastAsia="sk-SK"/>
              </w:rPr>
              <w:t xml:space="preserve"> a iné príjmy z podnikania</w:t>
            </w:r>
          </w:p>
        </w:tc>
        <w:tc>
          <w:tcPr>
            <w:tcW w:w="993" w:type="dxa"/>
            <w:tcBorders>
              <w:top w:val="nil"/>
              <w:left w:val="nil"/>
              <w:bottom w:val="nil"/>
              <w:right w:val="nil"/>
            </w:tcBorders>
            <w:shd w:val="clear" w:color="000000" w:fill="FFFFFF"/>
            <w:noWrap/>
            <w:vAlign w:val="center"/>
            <w:hideMark/>
          </w:tcPr>
          <w:p w14:paraId="57560557"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480 820</w:t>
            </w:r>
          </w:p>
        </w:tc>
        <w:tc>
          <w:tcPr>
            <w:tcW w:w="1275" w:type="dxa"/>
            <w:gridSpan w:val="2"/>
            <w:tcBorders>
              <w:top w:val="nil"/>
              <w:left w:val="nil"/>
              <w:bottom w:val="nil"/>
              <w:right w:val="nil"/>
            </w:tcBorders>
            <w:shd w:val="clear" w:color="000000" w:fill="FFFFFF"/>
            <w:noWrap/>
            <w:vAlign w:val="center"/>
            <w:hideMark/>
          </w:tcPr>
          <w:p w14:paraId="1A17D0FF"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160 719</w:t>
            </w:r>
          </w:p>
        </w:tc>
        <w:tc>
          <w:tcPr>
            <w:tcW w:w="1134" w:type="dxa"/>
            <w:gridSpan w:val="2"/>
            <w:tcBorders>
              <w:top w:val="nil"/>
              <w:left w:val="nil"/>
              <w:bottom w:val="nil"/>
              <w:right w:val="nil"/>
            </w:tcBorders>
            <w:shd w:val="clear" w:color="000000" w:fill="FFFFFF"/>
            <w:noWrap/>
            <w:vAlign w:val="center"/>
            <w:hideMark/>
          </w:tcPr>
          <w:p w14:paraId="1EB979D1"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539 243</w:t>
            </w:r>
          </w:p>
        </w:tc>
        <w:tc>
          <w:tcPr>
            <w:tcW w:w="1134" w:type="dxa"/>
            <w:tcBorders>
              <w:top w:val="nil"/>
              <w:left w:val="nil"/>
              <w:bottom w:val="nil"/>
              <w:right w:val="nil"/>
            </w:tcBorders>
            <w:shd w:val="clear" w:color="000000" w:fill="FFFFFF"/>
            <w:noWrap/>
            <w:vAlign w:val="center"/>
            <w:hideMark/>
          </w:tcPr>
          <w:p w14:paraId="4C82FCB9"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592 612</w:t>
            </w:r>
          </w:p>
        </w:tc>
        <w:tc>
          <w:tcPr>
            <w:tcW w:w="1134" w:type="dxa"/>
            <w:gridSpan w:val="2"/>
            <w:tcBorders>
              <w:top w:val="nil"/>
              <w:left w:val="nil"/>
              <w:bottom w:val="nil"/>
              <w:right w:val="nil"/>
            </w:tcBorders>
            <w:shd w:val="clear" w:color="000000" w:fill="FFFFFF"/>
            <w:noWrap/>
            <w:vAlign w:val="center"/>
            <w:hideMark/>
          </w:tcPr>
          <w:p w14:paraId="58262F14"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53 369</w:t>
            </w:r>
          </w:p>
        </w:tc>
      </w:tr>
      <w:tr w:rsidR="00B2402D" w:rsidRPr="006D37EA" w14:paraId="250A83B5" w14:textId="77777777" w:rsidTr="006D37EA">
        <w:trPr>
          <w:gridAfter w:val="1"/>
          <w:wAfter w:w="105" w:type="dxa"/>
          <w:trHeight w:val="256"/>
        </w:trPr>
        <w:tc>
          <w:tcPr>
            <w:tcW w:w="3402" w:type="dxa"/>
            <w:tcBorders>
              <w:top w:val="nil"/>
              <w:left w:val="nil"/>
              <w:bottom w:val="nil"/>
              <w:right w:val="nil"/>
            </w:tcBorders>
            <w:shd w:val="clear" w:color="auto" w:fill="auto"/>
            <w:noWrap/>
            <w:vAlign w:val="center"/>
            <w:hideMark/>
          </w:tcPr>
          <w:p w14:paraId="457F4DE6" w14:textId="77777777" w:rsidR="00B2402D" w:rsidRPr="006D37EA" w:rsidRDefault="00B2402D" w:rsidP="00D2560E">
            <w:pPr>
              <w:spacing w:after="0" w:line="240" w:lineRule="auto"/>
              <w:ind w:firstLineChars="100" w:firstLine="180"/>
              <w:jc w:val="left"/>
              <w:rPr>
                <w:rFonts w:eastAsia="Times New Roman" w:cs="Times New Roman"/>
                <w:sz w:val="18"/>
                <w:szCs w:val="18"/>
                <w:lang w:eastAsia="sk-SK"/>
              </w:rPr>
            </w:pPr>
            <w:r w:rsidRPr="006D37EA">
              <w:rPr>
                <w:rFonts w:eastAsia="Times New Roman" w:cs="Times New Roman"/>
                <w:sz w:val="18"/>
                <w:szCs w:val="18"/>
                <w:lang w:eastAsia="sk-SK"/>
              </w:rPr>
              <w:t>Ostatné príjmy</w:t>
            </w:r>
          </w:p>
        </w:tc>
        <w:tc>
          <w:tcPr>
            <w:tcW w:w="993" w:type="dxa"/>
            <w:tcBorders>
              <w:top w:val="nil"/>
              <w:left w:val="nil"/>
              <w:bottom w:val="nil"/>
              <w:right w:val="nil"/>
            </w:tcBorders>
            <w:shd w:val="clear" w:color="000000" w:fill="FFFFFF"/>
            <w:noWrap/>
            <w:vAlign w:val="center"/>
            <w:hideMark/>
          </w:tcPr>
          <w:p w14:paraId="3FDC423A" w14:textId="3F45F22D" w:rsidR="00B2402D" w:rsidRPr="006D37EA" w:rsidRDefault="00B2402D" w:rsidP="00852C51">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8</w:t>
            </w:r>
            <w:r w:rsidR="00852C51">
              <w:rPr>
                <w:rFonts w:eastAsia="Times New Roman" w:cs="Times New Roman"/>
                <w:sz w:val="18"/>
                <w:szCs w:val="18"/>
                <w:lang w:eastAsia="sk-SK"/>
              </w:rPr>
              <w:t>94</w:t>
            </w:r>
            <w:r w:rsidRPr="006D37EA">
              <w:rPr>
                <w:rFonts w:eastAsia="Times New Roman" w:cs="Times New Roman"/>
                <w:sz w:val="18"/>
                <w:szCs w:val="18"/>
                <w:lang w:eastAsia="sk-SK"/>
              </w:rPr>
              <w:t> </w:t>
            </w:r>
            <w:r w:rsidR="00852C51">
              <w:rPr>
                <w:rFonts w:eastAsia="Times New Roman" w:cs="Times New Roman"/>
                <w:sz w:val="18"/>
                <w:szCs w:val="18"/>
                <w:lang w:eastAsia="sk-SK"/>
              </w:rPr>
              <w:t>522</w:t>
            </w:r>
          </w:p>
        </w:tc>
        <w:tc>
          <w:tcPr>
            <w:tcW w:w="1275" w:type="dxa"/>
            <w:gridSpan w:val="2"/>
            <w:tcBorders>
              <w:top w:val="nil"/>
              <w:left w:val="nil"/>
              <w:bottom w:val="nil"/>
              <w:right w:val="nil"/>
            </w:tcBorders>
            <w:shd w:val="clear" w:color="000000" w:fill="FFFFFF"/>
            <w:noWrap/>
            <w:vAlign w:val="center"/>
            <w:hideMark/>
          </w:tcPr>
          <w:p w14:paraId="7FE58475" w14:textId="009C21BD" w:rsidR="00B2402D" w:rsidRPr="006D37EA" w:rsidRDefault="00B2402D" w:rsidP="00852C51">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1 </w:t>
            </w:r>
            <w:r w:rsidR="00852C51">
              <w:rPr>
                <w:rFonts w:eastAsia="Times New Roman" w:cs="Times New Roman"/>
                <w:sz w:val="18"/>
                <w:szCs w:val="18"/>
                <w:lang w:eastAsia="sk-SK"/>
              </w:rPr>
              <w:t>161</w:t>
            </w:r>
            <w:r w:rsidRPr="006D37EA">
              <w:rPr>
                <w:rFonts w:eastAsia="Times New Roman" w:cs="Times New Roman"/>
                <w:sz w:val="18"/>
                <w:szCs w:val="18"/>
                <w:lang w:eastAsia="sk-SK"/>
              </w:rPr>
              <w:t> </w:t>
            </w:r>
            <w:r w:rsidR="00852C51">
              <w:rPr>
                <w:rFonts w:eastAsia="Times New Roman" w:cs="Times New Roman"/>
                <w:sz w:val="18"/>
                <w:szCs w:val="18"/>
                <w:lang w:eastAsia="sk-SK"/>
              </w:rPr>
              <w:t>955</w:t>
            </w:r>
          </w:p>
        </w:tc>
        <w:tc>
          <w:tcPr>
            <w:tcW w:w="1134" w:type="dxa"/>
            <w:gridSpan w:val="2"/>
            <w:tcBorders>
              <w:top w:val="nil"/>
              <w:left w:val="nil"/>
              <w:bottom w:val="nil"/>
              <w:right w:val="nil"/>
            </w:tcBorders>
            <w:shd w:val="clear" w:color="000000" w:fill="FFFFFF"/>
            <w:noWrap/>
            <w:vAlign w:val="center"/>
            <w:hideMark/>
          </w:tcPr>
          <w:p w14:paraId="23177118"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1 632 942</w:t>
            </w:r>
          </w:p>
        </w:tc>
        <w:tc>
          <w:tcPr>
            <w:tcW w:w="1134" w:type="dxa"/>
            <w:tcBorders>
              <w:top w:val="nil"/>
              <w:left w:val="nil"/>
              <w:bottom w:val="nil"/>
              <w:right w:val="nil"/>
            </w:tcBorders>
            <w:shd w:val="clear" w:color="000000" w:fill="FFFFFF"/>
            <w:noWrap/>
            <w:vAlign w:val="center"/>
            <w:hideMark/>
          </w:tcPr>
          <w:p w14:paraId="555A7178" w14:textId="25DF06C1" w:rsidR="00B2402D" w:rsidRPr="006D37EA" w:rsidRDefault="00B2402D" w:rsidP="00852C51">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1 1</w:t>
            </w:r>
            <w:r w:rsidR="00852C51">
              <w:rPr>
                <w:rFonts w:eastAsia="Times New Roman" w:cs="Times New Roman"/>
                <w:sz w:val="18"/>
                <w:szCs w:val="18"/>
                <w:lang w:eastAsia="sk-SK"/>
              </w:rPr>
              <w:t>4</w:t>
            </w:r>
            <w:r w:rsidRPr="006D37EA">
              <w:rPr>
                <w:rFonts w:eastAsia="Times New Roman" w:cs="Times New Roman"/>
                <w:sz w:val="18"/>
                <w:szCs w:val="18"/>
                <w:lang w:eastAsia="sk-SK"/>
              </w:rPr>
              <w:t>3 </w:t>
            </w:r>
            <w:r w:rsidR="00852C51">
              <w:rPr>
                <w:rFonts w:eastAsia="Times New Roman" w:cs="Times New Roman"/>
                <w:sz w:val="18"/>
                <w:szCs w:val="18"/>
                <w:lang w:eastAsia="sk-SK"/>
              </w:rPr>
              <w:t>049</w:t>
            </w:r>
          </w:p>
        </w:tc>
        <w:tc>
          <w:tcPr>
            <w:tcW w:w="1134" w:type="dxa"/>
            <w:gridSpan w:val="2"/>
            <w:tcBorders>
              <w:top w:val="nil"/>
              <w:left w:val="nil"/>
              <w:bottom w:val="nil"/>
              <w:right w:val="nil"/>
            </w:tcBorders>
            <w:shd w:val="clear" w:color="000000" w:fill="FFFFFF"/>
            <w:noWrap/>
            <w:vAlign w:val="center"/>
            <w:hideMark/>
          </w:tcPr>
          <w:p w14:paraId="09BFFAF0" w14:textId="79AFC3EC" w:rsidR="00B2402D" w:rsidRPr="006D37EA" w:rsidRDefault="00B2402D" w:rsidP="00852C51">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w:t>
            </w:r>
            <w:r w:rsidR="00852C51">
              <w:rPr>
                <w:rFonts w:eastAsia="Times New Roman" w:cs="Times New Roman"/>
                <w:sz w:val="18"/>
                <w:szCs w:val="18"/>
                <w:lang w:eastAsia="sk-SK"/>
              </w:rPr>
              <w:t>489</w:t>
            </w:r>
            <w:r w:rsidRPr="006D37EA">
              <w:rPr>
                <w:rFonts w:eastAsia="Times New Roman" w:cs="Times New Roman"/>
                <w:sz w:val="18"/>
                <w:szCs w:val="18"/>
                <w:lang w:eastAsia="sk-SK"/>
              </w:rPr>
              <w:t> </w:t>
            </w:r>
            <w:r w:rsidR="00852C51">
              <w:rPr>
                <w:rFonts w:eastAsia="Times New Roman" w:cs="Times New Roman"/>
                <w:sz w:val="18"/>
                <w:szCs w:val="18"/>
                <w:lang w:eastAsia="sk-SK"/>
              </w:rPr>
              <w:t>893</w:t>
            </w:r>
          </w:p>
        </w:tc>
      </w:tr>
      <w:tr w:rsidR="00B2402D" w:rsidRPr="006D37EA" w14:paraId="459EFC87" w14:textId="77777777" w:rsidTr="006D37EA">
        <w:trPr>
          <w:gridAfter w:val="1"/>
          <w:wAfter w:w="105" w:type="dxa"/>
          <w:trHeight w:val="256"/>
        </w:trPr>
        <w:tc>
          <w:tcPr>
            <w:tcW w:w="3402" w:type="dxa"/>
            <w:tcBorders>
              <w:top w:val="nil"/>
              <w:left w:val="nil"/>
              <w:bottom w:val="nil"/>
              <w:right w:val="nil"/>
            </w:tcBorders>
            <w:shd w:val="clear" w:color="auto" w:fill="auto"/>
            <w:noWrap/>
            <w:vAlign w:val="center"/>
            <w:hideMark/>
          </w:tcPr>
          <w:p w14:paraId="1F6B8B46" w14:textId="77777777" w:rsidR="00B2402D" w:rsidRPr="006D37EA" w:rsidRDefault="00B2402D" w:rsidP="00D2560E">
            <w:pPr>
              <w:spacing w:after="0" w:line="240" w:lineRule="auto"/>
              <w:ind w:firstLineChars="100" w:firstLine="180"/>
              <w:jc w:val="left"/>
              <w:rPr>
                <w:rFonts w:eastAsia="Times New Roman" w:cs="Times New Roman"/>
                <w:sz w:val="18"/>
                <w:szCs w:val="18"/>
                <w:lang w:eastAsia="sk-SK"/>
              </w:rPr>
            </w:pPr>
            <w:r w:rsidRPr="006D37EA">
              <w:rPr>
                <w:rFonts w:eastAsia="Times New Roman" w:cs="Times New Roman"/>
                <w:sz w:val="18"/>
                <w:szCs w:val="18"/>
                <w:lang w:eastAsia="sk-SK"/>
              </w:rPr>
              <w:t>Príjmy v zmysle § 17, ods. 4</w:t>
            </w:r>
          </w:p>
        </w:tc>
        <w:tc>
          <w:tcPr>
            <w:tcW w:w="993" w:type="dxa"/>
            <w:tcBorders>
              <w:top w:val="nil"/>
              <w:left w:val="nil"/>
              <w:bottom w:val="nil"/>
              <w:right w:val="nil"/>
            </w:tcBorders>
            <w:shd w:val="clear" w:color="000000" w:fill="FFFFFF"/>
            <w:noWrap/>
            <w:vAlign w:val="center"/>
            <w:hideMark/>
          </w:tcPr>
          <w:p w14:paraId="7BCAD212"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1 928</w:t>
            </w:r>
          </w:p>
        </w:tc>
        <w:tc>
          <w:tcPr>
            <w:tcW w:w="1275" w:type="dxa"/>
            <w:gridSpan w:val="2"/>
            <w:tcBorders>
              <w:top w:val="nil"/>
              <w:left w:val="nil"/>
              <w:bottom w:val="nil"/>
              <w:right w:val="nil"/>
            </w:tcBorders>
            <w:shd w:val="clear" w:color="000000" w:fill="FFFFFF"/>
            <w:noWrap/>
            <w:vAlign w:val="center"/>
            <w:hideMark/>
          </w:tcPr>
          <w:p w14:paraId="2EE9EDFB"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2 290</w:t>
            </w:r>
          </w:p>
        </w:tc>
        <w:tc>
          <w:tcPr>
            <w:tcW w:w="1134" w:type="dxa"/>
            <w:gridSpan w:val="2"/>
            <w:tcBorders>
              <w:top w:val="nil"/>
              <w:left w:val="nil"/>
              <w:bottom w:val="nil"/>
              <w:right w:val="nil"/>
            </w:tcBorders>
            <w:shd w:val="clear" w:color="000000" w:fill="FFFFFF"/>
            <w:noWrap/>
            <w:vAlign w:val="center"/>
            <w:hideMark/>
          </w:tcPr>
          <w:p w14:paraId="5F5B9052"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2 785</w:t>
            </w:r>
          </w:p>
        </w:tc>
        <w:tc>
          <w:tcPr>
            <w:tcW w:w="1134" w:type="dxa"/>
            <w:tcBorders>
              <w:top w:val="nil"/>
              <w:left w:val="nil"/>
              <w:bottom w:val="nil"/>
              <w:right w:val="nil"/>
            </w:tcBorders>
            <w:shd w:val="clear" w:color="000000" w:fill="FFFFFF"/>
            <w:noWrap/>
            <w:vAlign w:val="center"/>
            <w:hideMark/>
          </w:tcPr>
          <w:p w14:paraId="56BC8755"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2 735</w:t>
            </w:r>
          </w:p>
        </w:tc>
        <w:tc>
          <w:tcPr>
            <w:tcW w:w="1134" w:type="dxa"/>
            <w:gridSpan w:val="2"/>
            <w:tcBorders>
              <w:top w:val="nil"/>
              <w:left w:val="nil"/>
              <w:bottom w:val="nil"/>
              <w:right w:val="nil"/>
            </w:tcBorders>
            <w:shd w:val="clear" w:color="000000" w:fill="FFFFFF"/>
            <w:noWrap/>
            <w:vAlign w:val="center"/>
            <w:hideMark/>
          </w:tcPr>
          <w:p w14:paraId="19A0B726"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-50</w:t>
            </w:r>
          </w:p>
        </w:tc>
      </w:tr>
      <w:tr w:rsidR="00B2402D" w:rsidRPr="006D37EA" w14:paraId="5DD27243" w14:textId="77777777" w:rsidTr="006D37EA">
        <w:trPr>
          <w:gridAfter w:val="1"/>
          <w:wAfter w:w="105" w:type="dxa"/>
          <w:trHeight w:val="492"/>
        </w:trPr>
        <w:tc>
          <w:tcPr>
            <w:tcW w:w="3402" w:type="dxa"/>
            <w:tcBorders>
              <w:top w:val="nil"/>
              <w:left w:val="nil"/>
              <w:bottom w:val="nil"/>
              <w:right w:val="nil"/>
            </w:tcBorders>
            <w:shd w:val="clear" w:color="auto" w:fill="auto"/>
            <w:noWrap/>
            <w:vAlign w:val="center"/>
            <w:hideMark/>
          </w:tcPr>
          <w:p w14:paraId="7F4AAB12" w14:textId="77777777" w:rsidR="00B2402D" w:rsidRPr="006D37EA" w:rsidRDefault="00B2402D" w:rsidP="00D2560E">
            <w:pPr>
              <w:spacing w:after="0" w:line="240" w:lineRule="auto"/>
              <w:jc w:val="left"/>
              <w:rPr>
                <w:rFonts w:eastAsia="Times New Roman" w:cs="Times New Roman"/>
                <w:b/>
                <w:bCs/>
                <w:sz w:val="18"/>
                <w:szCs w:val="18"/>
                <w:lang w:eastAsia="sk-SK"/>
              </w:rPr>
            </w:pPr>
            <w:r w:rsidRPr="006D37EA">
              <w:rPr>
                <w:rFonts w:eastAsia="Times New Roman" w:cs="Times New Roman"/>
                <w:b/>
                <w:bCs/>
                <w:sz w:val="18"/>
                <w:szCs w:val="18"/>
                <w:lang w:eastAsia="sk-SK"/>
              </w:rPr>
              <w:t>Výdavky štátneho rozpočtu</w:t>
            </w:r>
          </w:p>
        </w:tc>
        <w:tc>
          <w:tcPr>
            <w:tcW w:w="993" w:type="dxa"/>
            <w:tcBorders>
              <w:top w:val="nil"/>
              <w:left w:val="nil"/>
              <w:bottom w:val="nil"/>
              <w:right w:val="nil"/>
            </w:tcBorders>
            <w:shd w:val="clear" w:color="000000" w:fill="FFFFFF"/>
            <w:noWrap/>
            <w:vAlign w:val="center"/>
            <w:hideMark/>
          </w:tcPr>
          <w:p w14:paraId="6E91BE2F" w14:textId="77777777" w:rsidR="00B2402D" w:rsidRPr="006D37EA" w:rsidRDefault="00B2402D" w:rsidP="00D2560E">
            <w:pPr>
              <w:spacing w:after="0" w:line="240" w:lineRule="auto"/>
              <w:jc w:val="right"/>
              <w:rPr>
                <w:rFonts w:eastAsia="Times New Roman" w:cs="Times New Roman"/>
                <w:b/>
                <w:bCs/>
                <w:sz w:val="18"/>
                <w:szCs w:val="18"/>
                <w:lang w:eastAsia="sk-SK"/>
              </w:rPr>
            </w:pPr>
            <w:r w:rsidRPr="006D37EA">
              <w:rPr>
                <w:rFonts w:eastAsia="Times New Roman" w:cs="Times New Roman"/>
                <w:b/>
                <w:bCs/>
                <w:sz w:val="18"/>
                <w:szCs w:val="18"/>
                <w:lang w:eastAsia="sk-SK"/>
              </w:rPr>
              <w:t>24 211 425</w:t>
            </w:r>
          </w:p>
        </w:tc>
        <w:tc>
          <w:tcPr>
            <w:tcW w:w="1275" w:type="dxa"/>
            <w:gridSpan w:val="2"/>
            <w:tcBorders>
              <w:top w:val="nil"/>
              <w:left w:val="nil"/>
              <w:bottom w:val="nil"/>
              <w:right w:val="nil"/>
            </w:tcBorders>
            <w:shd w:val="clear" w:color="000000" w:fill="FFFFFF"/>
            <w:noWrap/>
            <w:vAlign w:val="center"/>
            <w:hideMark/>
          </w:tcPr>
          <w:p w14:paraId="6839F999" w14:textId="77777777" w:rsidR="00B2402D" w:rsidRPr="006D37EA" w:rsidRDefault="00B2402D" w:rsidP="00D2560E">
            <w:pPr>
              <w:spacing w:after="0" w:line="240" w:lineRule="auto"/>
              <w:jc w:val="right"/>
              <w:rPr>
                <w:rFonts w:eastAsia="Times New Roman" w:cs="Times New Roman"/>
                <w:b/>
                <w:bCs/>
                <w:sz w:val="18"/>
                <w:szCs w:val="18"/>
                <w:lang w:eastAsia="sk-SK"/>
              </w:rPr>
            </w:pPr>
            <w:r w:rsidRPr="006D37EA">
              <w:rPr>
                <w:rFonts w:eastAsia="Times New Roman" w:cs="Times New Roman"/>
                <w:b/>
                <w:bCs/>
                <w:sz w:val="18"/>
                <w:szCs w:val="18"/>
                <w:lang w:eastAsia="sk-SK"/>
              </w:rPr>
              <w:t>23 554 555</w:t>
            </w:r>
          </w:p>
        </w:tc>
        <w:tc>
          <w:tcPr>
            <w:tcW w:w="1134" w:type="dxa"/>
            <w:gridSpan w:val="2"/>
            <w:tcBorders>
              <w:top w:val="nil"/>
              <w:left w:val="nil"/>
              <w:bottom w:val="nil"/>
              <w:right w:val="nil"/>
            </w:tcBorders>
            <w:shd w:val="clear" w:color="000000" w:fill="FFFFFF"/>
            <w:noWrap/>
            <w:vAlign w:val="center"/>
            <w:hideMark/>
          </w:tcPr>
          <w:p w14:paraId="13294B69" w14:textId="77777777" w:rsidR="00B2402D" w:rsidRPr="006D37EA" w:rsidRDefault="00B2402D" w:rsidP="00D2560E">
            <w:pPr>
              <w:spacing w:after="0" w:line="240" w:lineRule="auto"/>
              <w:jc w:val="right"/>
              <w:rPr>
                <w:rFonts w:eastAsia="Times New Roman" w:cs="Times New Roman"/>
                <w:b/>
                <w:bCs/>
                <w:sz w:val="18"/>
                <w:szCs w:val="18"/>
                <w:lang w:eastAsia="sk-SK"/>
              </w:rPr>
            </w:pPr>
            <w:r w:rsidRPr="006D37EA">
              <w:rPr>
                <w:rFonts w:eastAsia="Times New Roman" w:cs="Times New Roman"/>
                <w:b/>
                <w:bCs/>
                <w:sz w:val="18"/>
                <w:szCs w:val="18"/>
                <w:lang w:eastAsia="sk-SK"/>
              </w:rPr>
              <w:t>35 040 556</w:t>
            </w:r>
          </w:p>
        </w:tc>
        <w:tc>
          <w:tcPr>
            <w:tcW w:w="1134" w:type="dxa"/>
            <w:tcBorders>
              <w:top w:val="nil"/>
              <w:left w:val="nil"/>
              <w:bottom w:val="nil"/>
              <w:right w:val="nil"/>
            </w:tcBorders>
            <w:shd w:val="clear" w:color="000000" w:fill="FFFFFF"/>
            <w:noWrap/>
            <w:vAlign w:val="center"/>
            <w:hideMark/>
          </w:tcPr>
          <w:p w14:paraId="323EB30B" w14:textId="77777777" w:rsidR="00B2402D" w:rsidRPr="006D37EA" w:rsidRDefault="00B2402D" w:rsidP="00D2560E">
            <w:pPr>
              <w:spacing w:after="0" w:line="240" w:lineRule="auto"/>
              <w:jc w:val="right"/>
              <w:rPr>
                <w:rFonts w:eastAsia="Times New Roman" w:cs="Times New Roman"/>
                <w:b/>
                <w:bCs/>
                <w:sz w:val="18"/>
                <w:szCs w:val="18"/>
                <w:lang w:eastAsia="sk-SK"/>
              </w:rPr>
            </w:pPr>
            <w:r w:rsidRPr="006D37EA">
              <w:rPr>
                <w:rFonts w:eastAsia="Times New Roman" w:cs="Times New Roman"/>
                <w:b/>
                <w:bCs/>
                <w:sz w:val="18"/>
                <w:szCs w:val="18"/>
                <w:lang w:eastAsia="sk-SK"/>
              </w:rPr>
              <w:t>31 363 983</w:t>
            </w:r>
          </w:p>
        </w:tc>
        <w:tc>
          <w:tcPr>
            <w:tcW w:w="1134" w:type="dxa"/>
            <w:gridSpan w:val="2"/>
            <w:tcBorders>
              <w:top w:val="nil"/>
              <w:left w:val="nil"/>
              <w:bottom w:val="nil"/>
              <w:right w:val="nil"/>
            </w:tcBorders>
            <w:shd w:val="clear" w:color="000000" w:fill="FFFFFF"/>
            <w:noWrap/>
            <w:vAlign w:val="center"/>
            <w:hideMark/>
          </w:tcPr>
          <w:p w14:paraId="2A6773CE" w14:textId="77777777" w:rsidR="00B2402D" w:rsidRPr="006D37EA" w:rsidRDefault="00B2402D" w:rsidP="00D2560E">
            <w:pPr>
              <w:spacing w:after="0" w:line="240" w:lineRule="auto"/>
              <w:jc w:val="right"/>
              <w:rPr>
                <w:rFonts w:eastAsia="Times New Roman" w:cs="Times New Roman"/>
                <w:b/>
                <w:bCs/>
                <w:sz w:val="18"/>
                <w:szCs w:val="18"/>
                <w:lang w:eastAsia="sk-SK"/>
              </w:rPr>
            </w:pPr>
            <w:r w:rsidRPr="006D37EA">
              <w:rPr>
                <w:rFonts w:eastAsia="Times New Roman" w:cs="Times New Roman"/>
                <w:b/>
                <w:bCs/>
                <w:sz w:val="18"/>
                <w:szCs w:val="18"/>
                <w:lang w:eastAsia="sk-SK"/>
              </w:rPr>
              <w:t>-3 676 573</w:t>
            </w:r>
          </w:p>
        </w:tc>
      </w:tr>
      <w:tr w:rsidR="00B2402D" w:rsidRPr="006D37EA" w14:paraId="21B31F4E" w14:textId="77777777" w:rsidTr="006D37EA">
        <w:trPr>
          <w:gridAfter w:val="1"/>
          <w:wAfter w:w="105" w:type="dxa"/>
          <w:trHeight w:val="256"/>
        </w:trPr>
        <w:tc>
          <w:tcPr>
            <w:tcW w:w="3402" w:type="dxa"/>
            <w:tcBorders>
              <w:top w:val="nil"/>
              <w:left w:val="nil"/>
              <w:bottom w:val="nil"/>
              <w:right w:val="nil"/>
            </w:tcBorders>
            <w:shd w:val="clear" w:color="auto" w:fill="auto"/>
            <w:noWrap/>
            <w:vAlign w:val="center"/>
            <w:hideMark/>
          </w:tcPr>
          <w:p w14:paraId="6D7658AB" w14:textId="77777777" w:rsidR="00B2402D" w:rsidRPr="006D37EA" w:rsidRDefault="00B2402D" w:rsidP="00D2560E">
            <w:pPr>
              <w:spacing w:after="0" w:line="240" w:lineRule="auto"/>
              <w:ind w:firstLineChars="100" w:firstLine="180"/>
              <w:jc w:val="left"/>
              <w:rPr>
                <w:rFonts w:eastAsia="Times New Roman" w:cs="Times New Roman"/>
                <w:sz w:val="18"/>
                <w:szCs w:val="18"/>
                <w:lang w:eastAsia="sk-SK"/>
              </w:rPr>
            </w:pPr>
            <w:r w:rsidRPr="006D37EA">
              <w:rPr>
                <w:rFonts w:eastAsia="Times New Roman" w:cs="Times New Roman"/>
                <w:sz w:val="18"/>
                <w:szCs w:val="18"/>
                <w:lang w:eastAsia="sk-SK"/>
              </w:rPr>
              <w:t>Výdavky na obsluhu štátneho dlhu</w:t>
            </w:r>
          </w:p>
        </w:tc>
        <w:tc>
          <w:tcPr>
            <w:tcW w:w="993" w:type="dxa"/>
            <w:tcBorders>
              <w:top w:val="nil"/>
              <w:left w:val="nil"/>
              <w:bottom w:val="nil"/>
              <w:right w:val="nil"/>
            </w:tcBorders>
            <w:shd w:val="clear" w:color="000000" w:fill="FFFFFF"/>
            <w:noWrap/>
            <w:vAlign w:val="center"/>
            <w:hideMark/>
          </w:tcPr>
          <w:p w14:paraId="70347A46"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657 218</w:t>
            </w:r>
          </w:p>
        </w:tc>
        <w:tc>
          <w:tcPr>
            <w:tcW w:w="1275" w:type="dxa"/>
            <w:gridSpan w:val="2"/>
            <w:tcBorders>
              <w:top w:val="nil"/>
              <w:left w:val="nil"/>
              <w:bottom w:val="nil"/>
              <w:right w:val="nil"/>
            </w:tcBorders>
            <w:shd w:val="clear" w:color="000000" w:fill="FFFFFF"/>
            <w:noWrap/>
            <w:vAlign w:val="center"/>
            <w:hideMark/>
          </w:tcPr>
          <w:p w14:paraId="2843CDD6"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1 059 061</w:t>
            </w:r>
          </w:p>
        </w:tc>
        <w:tc>
          <w:tcPr>
            <w:tcW w:w="1134" w:type="dxa"/>
            <w:gridSpan w:val="2"/>
            <w:tcBorders>
              <w:top w:val="nil"/>
              <w:left w:val="nil"/>
              <w:bottom w:val="nil"/>
              <w:right w:val="nil"/>
            </w:tcBorders>
            <w:shd w:val="clear" w:color="000000" w:fill="FFFFFF"/>
            <w:noWrap/>
            <w:vAlign w:val="center"/>
            <w:hideMark/>
          </w:tcPr>
          <w:p w14:paraId="4C3C4EB4"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1 343 478</w:t>
            </w:r>
          </w:p>
        </w:tc>
        <w:tc>
          <w:tcPr>
            <w:tcW w:w="1134" w:type="dxa"/>
            <w:tcBorders>
              <w:top w:val="nil"/>
              <w:left w:val="nil"/>
              <w:bottom w:val="nil"/>
              <w:right w:val="nil"/>
            </w:tcBorders>
            <w:shd w:val="clear" w:color="000000" w:fill="FFFFFF"/>
            <w:noWrap/>
            <w:vAlign w:val="center"/>
            <w:hideMark/>
          </w:tcPr>
          <w:p w14:paraId="40A41F90"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1 073 190</w:t>
            </w:r>
          </w:p>
        </w:tc>
        <w:tc>
          <w:tcPr>
            <w:tcW w:w="1134" w:type="dxa"/>
            <w:gridSpan w:val="2"/>
            <w:tcBorders>
              <w:top w:val="nil"/>
              <w:left w:val="nil"/>
              <w:bottom w:val="nil"/>
              <w:right w:val="nil"/>
            </w:tcBorders>
            <w:shd w:val="clear" w:color="000000" w:fill="FFFFFF"/>
            <w:noWrap/>
            <w:vAlign w:val="center"/>
            <w:hideMark/>
          </w:tcPr>
          <w:p w14:paraId="735BBEC9"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-270 288</w:t>
            </w:r>
          </w:p>
        </w:tc>
      </w:tr>
      <w:tr w:rsidR="00B2402D" w:rsidRPr="006D37EA" w14:paraId="070A23E6" w14:textId="77777777" w:rsidTr="006D37EA">
        <w:trPr>
          <w:gridAfter w:val="1"/>
          <w:wAfter w:w="105" w:type="dxa"/>
          <w:trHeight w:val="256"/>
        </w:trPr>
        <w:tc>
          <w:tcPr>
            <w:tcW w:w="3402" w:type="dxa"/>
            <w:tcBorders>
              <w:top w:val="nil"/>
              <w:left w:val="nil"/>
              <w:bottom w:val="nil"/>
              <w:right w:val="nil"/>
            </w:tcBorders>
            <w:shd w:val="clear" w:color="auto" w:fill="auto"/>
            <w:noWrap/>
            <w:vAlign w:val="center"/>
            <w:hideMark/>
          </w:tcPr>
          <w:p w14:paraId="6FC4B798" w14:textId="77777777" w:rsidR="00B2402D" w:rsidRPr="006D37EA" w:rsidRDefault="00B2402D" w:rsidP="00D2560E">
            <w:pPr>
              <w:spacing w:after="0" w:line="240" w:lineRule="auto"/>
              <w:ind w:firstLineChars="100" w:firstLine="180"/>
              <w:jc w:val="left"/>
              <w:rPr>
                <w:rFonts w:eastAsia="Times New Roman" w:cs="Times New Roman"/>
                <w:sz w:val="18"/>
                <w:szCs w:val="18"/>
                <w:lang w:eastAsia="sk-SK"/>
              </w:rPr>
            </w:pPr>
            <w:r w:rsidRPr="006D37EA">
              <w:rPr>
                <w:rFonts w:eastAsia="Times New Roman" w:cs="Times New Roman"/>
                <w:sz w:val="18"/>
                <w:szCs w:val="18"/>
                <w:lang w:eastAsia="sk-SK"/>
              </w:rPr>
              <w:t>Plán obnovy a odolnosti - výdavky</w:t>
            </w:r>
          </w:p>
        </w:tc>
        <w:tc>
          <w:tcPr>
            <w:tcW w:w="993" w:type="dxa"/>
            <w:tcBorders>
              <w:top w:val="nil"/>
              <w:left w:val="nil"/>
              <w:bottom w:val="nil"/>
              <w:right w:val="nil"/>
            </w:tcBorders>
            <w:shd w:val="clear" w:color="000000" w:fill="FFFFFF"/>
            <w:noWrap/>
            <w:vAlign w:val="center"/>
            <w:hideMark/>
          </w:tcPr>
          <w:p w14:paraId="68C42E43"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6 072</w:t>
            </w:r>
          </w:p>
        </w:tc>
        <w:tc>
          <w:tcPr>
            <w:tcW w:w="1275" w:type="dxa"/>
            <w:gridSpan w:val="2"/>
            <w:tcBorders>
              <w:top w:val="nil"/>
              <w:left w:val="nil"/>
              <w:bottom w:val="nil"/>
              <w:right w:val="nil"/>
            </w:tcBorders>
            <w:shd w:val="clear" w:color="000000" w:fill="FFFFFF"/>
            <w:noWrap/>
            <w:vAlign w:val="center"/>
            <w:hideMark/>
          </w:tcPr>
          <w:p w14:paraId="492FBDD8"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48 966</w:t>
            </w:r>
          </w:p>
        </w:tc>
        <w:tc>
          <w:tcPr>
            <w:tcW w:w="1134" w:type="dxa"/>
            <w:gridSpan w:val="2"/>
            <w:tcBorders>
              <w:top w:val="nil"/>
              <w:left w:val="nil"/>
              <w:bottom w:val="nil"/>
              <w:right w:val="nil"/>
            </w:tcBorders>
            <w:shd w:val="clear" w:color="000000" w:fill="FFFFFF"/>
            <w:noWrap/>
            <w:vAlign w:val="center"/>
            <w:hideMark/>
          </w:tcPr>
          <w:p w14:paraId="4792EAD3"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2 011 251</w:t>
            </w:r>
          </w:p>
        </w:tc>
        <w:tc>
          <w:tcPr>
            <w:tcW w:w="1134" w:type="dxa"/>
            <w:tcBorders>
              <w:top w:val="nil"/>
              <w:left w:val="nil"/>
              <w:bottom w:val="nil"/>
              <w:right w:val="nil"/>
            </w:tcBorders>
            <w:shd w:val="clear" w:color="000000" w:fill="FFFFFF"/>
            <w:noWrap/>
            <w:vAlign w:val="center"/>
            <w:hideMark/>
          </w:tcPr>
          <w:p w14:paraId="6A4774F2"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374 178</w:t>
            </w:r>
          </w:p>
        </w:tc>
        <w:tc>
          <w:tcPr>
            <w:tcW w:w="1134" w:type="dxa"/>
            <w:gridSpan w:val="2"/>
            <w:tcBorders>
              <w:top w:val="nil"/>
              <w:left w:val="nil"/>
              <w:bottom w:val="nil"/>
              <w:right w:val="nil"/>
            </w:tcBorders>
            <w:shd w:val="clear" w:color="000000" w:fill="FFFFFF"/>
            <w:noWrap/>
            <w:vAlign w:val="center"/>
            <w:hideMark/>
          </w:tcPr>
          <w:p w14:paraId="525E4F04"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-1 637 073</w:t>
            </w:r>
          </w:p>
        </w:tc>
      </w:tr>
      <w:tr w:rsidR="00B2402D" w:rsidRPr="006D37EA" w14:paraId="5620D905" w14:textId="77777777" w:rsidTr="006D37EA">
        <w:trPr>
          <w:gridAfter w:val="1"/>
          <w:wAfter w:w="105" w:type="dxa"/>
          <w:trHeight w:val="256"/>
        </w:trPr>
        <w:tc>
          <w:tcPr>
            <w:tcW w:w="3402" w:type="dxa"/>
            <w:tcBorders>
              <w:top w:val="nil"/>
              <w:left w:val="nil"/>
              <w:bottom w:val="nil"/>
              <w:right w:val="nil"/>
            </w:tcBorders>
            <w:shd w:val="clear" w:color="auto" w:fill="auto"/>
            <w:noWrap/>
            <w:vAlign w:val="center"/>
            <w:hideMark/>
          </w:tcPr>
          <w:p w14:paraId="2B0FE10F" w14:textId="77777777" w:rsidR="00B2402D" w:rsidRPr="006D37EA" w:rsidRDefault="00B2402D" w:rsidP="00D2560E">
            <w:pPr>
              <w:spacing w:after="0" w:line="240" w:lineRule="auto"/>
              <w:ind w:left="214"/>
              <w:jc w:val="left"/>
              <w:rPr>
                <w:rFonts w:eastAsia="Times New Roman" w:cs="Times New Roman"/>
                <w:sz w:val="18"/>
                <w:szCs w:val="18"/>
                <w:lang w:eastAsia="sk-SK"/>
              </w:rPr>
            </w:pPr>
            <w:r w:rsidRPr="006D37EA">
              <w:rPr>
                <w:rFonts w:eastAsia="Times New Roman" w:cs="Times New Roman"/>
                <w:sz w:val="18"/>
                <w:szCs w:val="18"/>
                <w:lang w:eastAsia="sk-SK"/>
              </w:rPr>
              <w:t>Plán obnovy a odolnosti - výdavky na DPH</w:t>
            </w:r>
          </w:p>
        </w:tc>
        <w:tc>
          <w:tcPr>
            <w:tcW w:w="993" w:type="dxa"/>
            <w:tcBorders>
              <w:top w:val="nil"/>
              <w:left w:val="nil"/>
              <w:bottom w:val="nil"/>
              <w:right w:val="nil"/>
            </w:tcBorders>
            <w:shd w:val="clear" w:color="000000" w:fill="FFFFFF"/>
            <w:noWrap/>
            <w:vAlign w:val="center"/>
            <w:hideMark/>
          </w:tcPr>
          <w:p w14:paraId="1B39C043"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28</w:t>
            </w:r>
          </w:p>
        </w:tc>
        <w:tc>
          <w:tcPr>
            <w:tcW w:w="1275" w:type="dxa"/>
            <w:gridSpan w:val="2"/>
            <w:tcBorders>
              <w:top w:val="nil"/>
              <w:left w:val="nil"/>
              <w:bottom w:val="nil"/>
              <w:right w:val="nil"/>
            </w:tcBorders>
            <w:shd w:val="clear" w:color="000000" w:fill="FFFFFF"/>
            <w:noWrap/>
            <w:vAlign w:val="center"/>
            <w:hideMark/>
          </w:tcPr>
          <w:p w14:paraId="11918C94"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2 954</w:t>
            </w:r>
          </w:p>
        </w:tc>
        <w:tc>
          <w:tcPr>
            <w:tcW w:w="1134" w:type="dxa"/>
            <w:gridSpan w:val="2"/>
            <w:tcBorders>
              <w:top w:val="nil"/>
              <w:left w:val="nil"/>
              <w:bottom w:val="nil"/>
              <w:right w:val="nil"/>
            </w:tcBorders>
            <w:shd w:val="clear" w:color="000000" w:fill="FFFFFF"/>
            <w:noWrap/>
            <w:vAlign w:val="center"/>
            <w:hideMark/>
          </w:tcPr>
          <w:p w14:paraId="17CAD320"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332 152</w:t>
            </w:r>
          </w:p>
        </w:tc>
        <w:tc>
          <w:tcPr>
            <w:tcW w:w="1134" w:type="dxa"/>
            <w:tcBorders>
              <w:top w:val="nil"/>
              <w:left w:val="nil"/>
              <w:bottom w:val="nil"/>
              <w:right w:val="nil"/>
            </w:tcBorders>
            <w:shd w:val="clear" w:color="000000" w:fill="FFFFFF"/>
            <w:noWrap/>
            <w:vAlign w:val="center"/>
            <w:hideMark/>
          </w:tcPr>
          <w:p w14:paraId="5B121F6E"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15 742</w:t>
            </w:r>
          </w:p>
        </w:tc>
        <w:tc>
          <w:tcPr>
            <w:tcW w:w="1134" w:type="dxa"/>
            <w:gridSpan w:val="2"/>
            <w:tcBorders>
              <w:top w:val="nil"/>
              <w:left w:val="nil"/>
              <w:bottom w:val="nil"/>
              <w:right w:val="nil"/>
            </w:tcBorders>
            <w:shd w:val="clear" w:color="000000" w:fill="FFFFFF"/>
            <w:noWrap/>
            <w:vAlign w:val="center"/>
            <w:hideMark/>
          </w:tcPr>
          <w:p w14:paraId="614CB0A0"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-316 410</w:t>
            </w:r>
          </w:p>
        </w:tc>
      </w:tr>
      <w:tr w:rsidR="00B2402D" w:rsidRPr="006D37EA" w14:paraId="75CE490E" w14:textId="77777777" w:rsidTr="006D37EA">
        <w:trPr>
          <w:gridAfter w:val="1"/>
          <w:wAfter w:w="105" w:type="dxa"/>
          <w:trHeight w:val="256"/>
        </w:trPr>
        <w:tc>
          <w:tcPr>
            <w:tcW w:w="3402" w:type="dxa"/>
            <w:tcBorders>
              <w:top w:val="nil"/>
              <w:left w:val="nil"/>
              <w:bottom w:val="nil"/>
              <w:right w:val="nil"/>
            </w:tcBorders>
            <w:shd w:val="clear" w:color="auto" w:fill="auto"/>
            <w:noWrap/>
            <w:vAlign w:val="center"/>
            <w:hideMark/>
          </w:tcPr>
          <w:p w14:paraId="45326810" w14:textId="77777777" w:rsidR="00B2402D" w:rsidRPr="006D37EA" w:rsidRDefault="00B2402D" w:rsidP="00D2560E">
            <w:pPr>
              <w:spacing w:after="0" w:line="240" w:lineRule="auto"/>
              <w:ind w:firstLineChars="100" w:firstLine="180"/>
              <w:jc w:val="left"/>
              <w:rPr>
                <w:rFonts w:eastAsia="Times New Roman" w:cs="Times New Roman"/>
                <w:sz w:val="18"/>
                <w:szCs w:val="18"/>
                <w:lang w:eastAsia="sk-SK"/>
              </w:rPr>
            </w:pPr>
            <w:r w:rsidRPr="006D37EA">
              <w:rPr>
                <w:rFonts w:eastAsia="Times New Roman" w:cs="Times New Roman"/>
                <w:sz w:val="18"/>
                <w:szCs w:val="18"/>
                <w:lang w:eastAsia="sk-SK"/>
              </w:rPr>
              <w:t>EÚ výdavky</w:t>
            </w:r>
          </w:p>
        </w:tc>
        <w:tc>
          <w:tcPr>
            <w:tcW w:w="993" w:type="dxa"/>
            <w:tcBorders>
              <w:top w:val="nil"/>
              <w:left w:val="nil"/>
              <w:bottom w:val="nil"/>
              <w:right w:val="nil"/>
            </w:tcBorders>
            <w:shd w:val="clear" w:color="000000" w:fill="FFFFFF"/>
            <w:noWrap/>
            <w:vAlign w:val="center"/>
            <w:hideMark/>
          </w:tcPr>
          <w:p w14:paraId="39CF0016"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2 358 196</w:t>
            </w:r>
          </w:p>
        </w:tc>
        <w:tc>
          <w:tcPr>
            <w:tcW w:w="1275" w:type="dxa"/>
            <w:gridSpan w:val="2"/>
            <w:tcBorders>
              <w:top w:val="nil"/>
              <w:left w:val="nil"/>
              <w:bottom w:val="nil"/>
              <w:right w:val="nil"/>
            </w:tcBorders>
            <w:shd w:val="clear" w:color="000000" w:fill="FFFFFF"/>
            <w:noWrap/>
            <w:vAlign w:val="center"/>
            <w:hideMark/>
          </w:tcPr>
          <w:p w14:paraId="55431067"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2 203 315</w:t>
            </w:r>
          </w:p>
        </w:tc>
        <w:tc>
          <w:tcPr>
            <w:tcW w:w="1134" w:type="dxa"/>
            <w:gridSpan w:val="2"/>
            <w:tcBorders>
              <w:top w:val="nil"/>
              <w:left w:val="nil"/>
              <w:bottom w:val="nil"/>
              <w:right w:val="nil"/>
            </w:tcBorders>
            <w:shd w:val="clear" w:color="000000" w:fill="FFFFFF"/>
            <w:noWrap/>
            <w:vAlign w:val="center"/>
            <w:hideMark/>
          </w:tcPr>
          <w:p w14:paraId="08D9130B"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5 717 554</w:t>
            </w:r>
          </w:p>
        </w:tc>
        <w:tc>
          <w:tcPr>
            <w:tcW w:w="1134" w:type="dxa"/>
            <w:tcBorders>
              <w:top w:val="nil"/>
              <w:left w:val="nil"/>
              <w:bottom w:val="nil"/>
              <w:right w:val="nil"/>
            </w:tcBorders>
            <w:shd w:val="clear" w:color="000000" w:fill="FFFFFF"/>
            <w:noWrap/>
            <w:vAlign w:val="center"/>
            <w:hideMark/>
          </w:tcPr>
          <w:p w14:paraId="0ABC3563"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4 906 961</w:t>
            </w:r>
          </w:p>
        </w:tc>
        <w:tc>
          <w:tcPr>
            <w:tcW w:w="1134" w:type="dxa"/>
            <w:gridSpan w:val="2"/>
            <w:tcBorders>
              <w:top w:val="nil"/>
              <w:left w:val="nil"/>
              <w:bottom w:val="nil"/>
              <w:right w:val="nil"/>
            </w:tcBorders>
            <w:shd w:val="clear" w:color="000000" w:fill="FFFFFF"/>
            <w:noWrap/>
            <w:vAlign w:val="center"/>
            <w:hideMark/>
          </w:tcPr>
          <w:p w14:paraId="7158C6C4"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-810 593</w:t>
            </w:r>
          </w:p>
        </w:tc>
      </w:tr>
      <w:tr w:rsidR="00870505" w:rsidRPr="006D37EA" w14:paraId="4BAD7475" w14:textId="77777777" w:rsidTr="006D37EA">
        <w:trPr>
          <w:gridAfter w:val="1"/>
          <w:wAfter w:w="105" w:type="dxa"/>
          <w:trHeight w:val="256"/>
        </w:trPr>
        <w:tc>
          <w:tcPr>
            <w:tcW w:w="3402" w:type="dxa"/>
            <w:tcBorders>
              <w:top w:val="nil"/>
              <w:left w:val="nil"/>
              <w:bottom w:val="nil"/>
              <w:right w:val="nil"/>
            </w:tcBorders>
            <w:shd w:val="clear" w:color="auto" w:fill="auto"/>
            <w:noWrap/>
            <w:vAlign w:val="center"/>
            <w:hideMark/>
          </w:tcPr>
          <w:p w14:paraId="05D5A808" w14:textId="77777777" w:rsidR="00870505" w:rsidRPr="006D37EA" w:rsidRDefault="00870505" w:rsidP="00870505">
            <w:pPr>
              <w:spacing w:after="0" w:line="240" w:lineRule="auto"/>
              <w:ind w:firstLineChars="100" w:firstLine="180"/>
              <w:jc w:val="left"/>
              <w:rPr>
                <w:rFonts w:eastAsia="Times New Roman" w:cs="Times New Roman"/>
                <w:sz w:val="18"/>
                <w:szCs w:val="18"/>
                <w:lang w:eastAsia="sk-SK"/>
              </w:rPr>
            </w:pPr>
            <w:r w:rsidRPr="006D37EA">
              <w:rPr>
                <w:rFonts w:eastAsia="Times New Roman" w:cs="Times New Roman"/>
                <w:sz w:val="18"/>
                <w:szCs w:val="18"/>
                <w:lang w:eastAsia="sk-SK"/>
              </w:rPr>
              <w:t>Spolufinancovanie (EÚ)</w:t>
            </w:r>
          </w:p>
        </w:tc>
        <w:tc>
          <w:tcPr>
            <w:tcW w:w="993" w:type="dxa"/>
            <w:tcBorders>
              <w:top w:val="nil"/>
              <w:left w:val="nil"/>
              <w:bottom w:val="nil"/>
              <w:right w:val="nil"/>
            </w:tcBorders>
            <w:shd w:val="clear" w:color="000000" w:fill="FFFFFF"/>
            <w:noWrap/>
            <w:vAlign w:val="center"/>
            <w:hideMark/>
          </w:tcPr>
          <w:p w14:paraId="709BFDD1" w14:textId="77777777" w:rsidR="00870505" w:rsidRPr="006D37EA" w:rsidRDefault="00870505" w:rsidP="00870505">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378 319</w:t>
            </w:r>
          </w:p>
        </w:tc>
        <w:tc>
          <w:tcPr>
            <w:tcW w:w="1275" w:type="dxa"/>
            <w:gridSpan w:val="2"/>
            <w:tcBorders>
              <w:top w:val="nil"/>
              <w:left w:val="nil"/>
              <w:bottom w:val="nil"/>
              <w:right w:val="nil"/>
            </w:tcBorders>
            <w:shd w:val="clear" w:color="000000" w:fill="FFFFFF"/>
            <w:noWrap/>
            <w:vAlign w:val="center"/>
            <w:hideMark/>
          </w:tcPr>
          <w:p w14:paraId="2B651CA2" w14:textId="77777777" w:rsidR="00870505" w:rsidRPr="006D37EA" w:rsidRDefault="00870505" w:rsidP="00870505">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404 819</w:t>
            </w:r>
          </w:p>
        </w:tc>
        <w:tc>
          <w:tcPr>
            <w:tcW w:w="1134" w:type="dxa"/>
            <w:gridSpan w:val="2"/>
            <w:tcBorders>
              <w:top w:val="nil"/>
              <w:left w:val="nil"/>
              <w:bottom w:val="nil"/>
              <w:right w:val="nil"/>
            </w:tcBorders>
            <w:shd w:val="clear" w:color="000000" w:fill="FFFFFF"/>
            <w:noWrap/>
            <w:vAlign w:val="center"/>
            <w:hideMark/>
          </w:tcPr>
          <w:p w14:paraId="6108474B" w14:textId="77777777" w:rsidR="00870505" w:rsidRPr="006D37EA" w:rsidRDefault="00870505" w:rsidP="00870505">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970 441</w:t>
            </w:r>
          </w:p>
        </w:tc>
        <w:tc>
          <w:tcPr>
            <w:tcW w:w="1134" w:type="dxa"/>
            <w:tcBorders>
              <w:top w:val="nil"/>
              <w:left w:val="nil"/>
              <w:bottom w:val="nil"/>
              <w:right w:val="nil"/>
            </w:tcBorders>
            <w:shd w:val="clear" w:color="000000" w:fill="FFFFFF"/>
            <w:noWrap/>
            <w:vAlign w:val="center"/>
            <w:hideMark/>
          </w:tcPr>
          <w:p w14:paraId="15A3FD49" w14:textId="25FD97A7" w:rsidR="00870505" w:rsidRPr="006D37EA" w:rsidRDefault="005D2C1D" w:rsidP="00870505">
            <w:pPr>
              <w:spacing w:after="0" w:line="240" w:lineRule="auto"/>
              <w:jc w:val="right"/>
              <w:rPr>
                <w:rFonts w:eastAsia="Times New Roman" w:cs="Times New Roman"/>
                <w:sz w:val="18"/>
                <w:szCs w:val="18"/>
                <w:lang w:eastAsia="sk-SK"/>
              </w:rPr>
            </w:pPr>
            <w:r>
              <w:rPr>
                <w:color w:val="000000"/>
                <w:sz w:val="18"/>
                <w:szCs w:val="18"/>
              </w:rPr>
              <w:t>731 264</w:t>
            </w:r>
          </w:p>
        </w:tc>
        <w:tc>
          <w:tcPr>
            <w:tcW w:w="1134" w:type="dxa"/>
            <w:gridSpan w:val="2"/>
            <w:tcBorders>
              <w:top w:val="nil"/>
              <w:left w:val="nil"/>
              <w:bottom w:val="nil"/>
              <w:right w:val="nil"/>
            </w:tcBorders>
            <w:shd w:val="clear" w:color="000000" w:fill="FFFFFF"/>
            <w:noWrap/>
            <w:vAlign w:val="center"/>
            <w:hideMark/>
          </w:tcPr>
          <w:p w14:paraId="4F38A8B8" w14:textId="11ECA059" w:rsidR="00870505" w:rsidRPr="006D37EA" w:rsidRDefault="00870505" w:rsidP="00870505">
            <w:pPr>
              <w:spacing w:after="0" w:line="240" w:lineRule="auto"/>
              <w:jc w:val="right"/>
              <w:rPr>
                <w:rFonts w:eastAsia="Times New Roman" w:cs="Times New Roman"/>
                <w:sz w:val="18"/>
                <w:szCs w:val="18"/>
                <w:lang w:eastAsia="sk-SK"/>
              </w:rPr>
            </w:pPr>
            <w:r>
              <w:rPr>
                <w:color w:val="000000"/>
                <w:sz w:val="18"/>
                <w:szCs w:val="18"/>
              </w:rPr>
              <w:t>-239 175</w:t>
            </w:r>
          </w:p>
        </w:tc>
      </w:tr>
      <w:tr w:rsidR="00B2402D" w:rsidRPr="006D37EA" w14:paraId="16CA0A33" w14:textId="77777777" w:rsidTr="006D37EA">
        <w:trPr>
          <w:gridAfter w:val="1"/>
          <w:wAfter w:w="105" w:type="dxa"/>
          <w:trHeight w:val="256"/>
        </w:trPr>
        <w:tc>
          <w:tcPr>
            <w:tcW w:w="3402" w:type="dxa"/>
            <w:tcBorders>
              <w:top w:val="nil"/>
              <w:left w:val="nil"/>
              <w:bottom w:val="nil"/>
              <w:right w:val="nil"/>
            </w:tcBorders>
            <w:shd w:val="clear" w:color="auto" w:fill="auto"/>
            <w:noWrap/>
            <w:vAlign w:val="center"/>
            <w:hideMark/>
          </w:tcPr>
          <w:p w14:paraId="58598FA2" w14:textId="18D14764" w:rsidR="00B2402D" w:rsidRPr="006D37EA" w:rsidRDefault="00B2402D" w:rsidP="00D2560E">
            <w:pPr>
              <w:spacing w:after="0" w:line="240" w:lineRule="auto"/>
              <w:ind w:firstLineChars="100" w:firstLine="180"/>
              <w:jc w:val="left"/>
              <w:rPr>
                <w:rFonts w:eastAsia="Times New Roman" w:cs="Times New Roman"/>
                <w:sz w:val="18"/>
                <w:szCs w:val="18"/>
                <w:lang w:eastAsia="sk-SK"/>
              </w:rPr>
            </w:pPr>
            <w:r w:rsidRPr="006D37EA">
              <w:rPr>
                <w:rFonts w:eastAsia="Times New Roman" w:cs="Times New Roman"/>
                <w:sz w:val="18"/>
                <w:szCs w:val="18"/>
                <w:lang w:eastAsia="sk-SK"/>
              </w:rPr>
              <w:t>Odvod do rozpočtu EÚ</w:t>
            </w:r>
            <w:r w:rsidR="004A32EE">
              <w:rPr>
                <w:rFonts w:eastAsia="Times New Roman" w:cs="Times New Roman"/>
                <w:sz w:val="18"/>
                <w:szCs w:val="18"/>
                <w:lang w:eastAsia="sk-SK"/>
              </w:rPr>
              <w:t>**</w:t>
            </w:r>
          </w:p>
        </w:tc>
        <w:tc>
          <w:tcPr>
            <w:tcW w:w="993" w:type="dxa"/>
            <w:tcBorders>
              <w:top w:val="nil"/>
              <w:left w:val="nil"/>
              <w:bottom w:val="nil"/>
              <w:right w:val="nil"/>
            </w:tcBorders>
            <w:shd w:val="clear" w:color="000000" w:fill="FFFFFF"/>
            <w:noWrap/>
            <w:vAlign w:val="center"/>
            <w:hideMark/>
          </w:tcPr>
          <w:p w14:paraId="7EE81F9A"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966 750</w:t>
            </w:r>
          </w:p>
        </w:tc>
        <w:tc>
          <w:tcPr>
            <w:tcW w:w="1275" w:type="dxa"/>
            <w:gridSpan w:val="2"/>
            <w:tcBorders>
              <w:top w:val="nil"/>
              <w:left w:val="nil"/>
              <w:bottom w:val="nil"/>
              <w:right w:val="nil"/>
            </w:tcBorders>
            <w:shd w:val="clear" w:color="000000" w:fill="FFFFFF"/>
            <w:noWrap/>
            <w:vAlign w:val="center"/>
            <w:hideMark/>
          </w:tcPr>
          <w:p w14:paraId="2A114A69"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940 226</w:t>
            </w:r>
          </w:p>
        </w:tc>
        <w:tc>
          <w:tcPr>
            <w:tcW w:w="1134" w:type="dxa"/>
            <w:gridSpan w:val="2"/>
            <w:tcBorders>
              <w:top w:val="nil"/>
              <w:left w:val="nil"/>
              <w:bottom w:val="nil"/>
              <w:right w:val="nil"/>
            </w:tcBorders>
            <w:shd w:val="clear" w:color="000000" w:fill="FFFFFF"/>
            <w:noWrap/>
            <w:vAlign w:val="center"/>
            <w:hideMark/>
          </w:tcPr>
          <w:p w14:paraId="74607489"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1 027 581</w:t>
            </w:r>
          </w:p>
        </w:tc>
        <w:tc>
          <w:tcPr>
            <w:tcW w:w="1134" w:type="dxa"/>
            <w:tcBorders>
              <w:top w:val="nil"/>
              <w:left w:val="nil"/>
              <w:bottom w:val="nil"/>
              <w:right w:val="nil"/>
            </w:tcBorders>
            <w:shd w:val="clear" w:color="000000" w:fill="FFFFFF"/>
            <w:noWrap/>
            <w:vAlign w:val="center"/>
            <w:hideMark/>
          </w:tcPr>
          <w:p w14:paraId="3363962B"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943 226</w:t>
            </w:r>
          </w:p>
        </w:tc>
        <w:tc>
          <w:tcPr>
            <w:tcW w:w="1134" w:type="dxa"/>
            <w:gridSpan w:val="2"/>
            <w:tcBorders>
              <w:top w:val="nil"/>
              <w:left w:val="nil"/>
              <w:bottom w:val="nil"/>
              <w:right w:val="nil"/>
            </w:tcBorders>
            <w:shd w:val="clear" w:color="000000" w:fill="FFFFFF"/>
            <w:noWrap/>
            <w:vAlign w:val="center"/>
            <w:hideMark/>
          </w:tcPr>
          <w:p w14:paraId="0E84C6C4"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-84 355</w:t>
            </w:r>
          </w:p>
        </w:tc>
      </w:tr>
      <w:tr w:rsidR="00B2402D" w:rsidRPr="006D37EA" w14:paraId="72117101" w14:textId="77777777" w:rsidTr="006D37EA">
        <w:trPr>
          <w:gridAfter w:val="1"/>
          <w:wAfter w:w="105" w:type="dxa"/>
          <w:trHeight w:val="256"/>
        </w:trPr>
        <w:tc>
          <w:tcPr>
            <w:tcW w:w="3402" w:type="dxa"/>
            <w:tcBorders>
              <w:top w:val="nil"/>
              <w:left w:val="nil"/>
              <w:bottom w:val="nil"/>
              <w:right w:val="nil"/>
            </w:tcBorders>
            <w:shd w:val="clear" w:color="auto" w:fill="auto"/>
            <w:noWrap/>
            <w:vAlign w:val="center"/>
            <w:hideMark/>
          </w:tcPr>
          <w:p w14:paraId="5FF5F475" w14:textId="77777777" w:rsidR="00B2402D" w:rsidRPr="006D37EA" w:rsidRDefault="00B2402D" w:rsidP="00D2560E">
            <w:pPr>
              <w:spacing w:after="0" w:line="240" w:lineRule="auto"/>
              <w:ind w:firstLineChars="100" w:firstLine="180"/>
              <w:jc w:val="left"/>
              <w:rPr>
                <w:rFonts w:eastAsia="Times New Roman" w:cs="Times New Roman"/>
                <w:sz w:val="18"/>
                <w:szCs w:val="18"/>
                <w:lang w:eastAsia="sk-SK"/>
              </w:rPr>
            </w:pPr>
            <w:r w:rsidRPr="006D37EA">
              <w:rPr>
                <w:rFonts w:eastAsia="Times New Roman" w:cs="Times New Roman"/>
                <w:sz w:val="18"/>
                <w:szCs w:val="18"/>
                <w:lang w:eastAsia="sk-SK"/>
              </w:rPr>
              <w:t>Transfer Sociálnej poisťovni</w:t>
            </w:r>
          </w:p>
        </w:tc>
        <w:tc>
          <w:tcPr>
            <w:tcW w:w="993" w:type="dxa"/>
            <w:tcBorders>
              <w:top w:val="nil"/>
              <w:left w:val="nil"/>
              <w:bottom w:val="nil"/>
              <w:right w:val="nil"/>
            </w:tcBorders>
            <w:shd w:val="clear" w:color="000000" w:fill="FFFFFF"/>
            <w:noWrap/>
            <w:vAlign w:val="center"/>
            <w:hideMark/>
          </w:tcPr>
          <w:p w14:paraId="79B0139A"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840 000</w:t>
            </w:r>
          </w:p>
        </w:tc>
        <w:tc>
          <w:tcPr>
            <w:tcW w:w="1275" w:type="dxa"/>
            <w:gridSpan w:val="2"/>
            <w:tcBorders>
              <w:top w:val="nil"/>
              <w:left w:val="nil"/>
              <w:bottom w:val="nil"/>
              <w:right w:val="nil"/>
            </w:tcBorders>
            <w:shd w:val="clear" w:color="000000" w:fill="FFFFFF"/>
            <w:noWrap/>
            <w:vAlign w:val="center"/>
            <w:hideMark/>
          </w:tcPr>
          <w:p w14:paraId="72ECF8BF"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103 488</w:t>
            </w:r>
          </w:p>
        </w:tc>
        <w:tc>
          <w:tcPr>
            <w:tcW w:w="1134" w:type="dxa"/>
            <w:gridSpan w:val="2"/>
            <w:tcBorders>
              <w:top w:val="nil"/>
              <w:left w:val="nil"/>
              <w:bottom w:val="nil"/>
              <w:right w:val="nil"/>
            </w:tcBorders>
            <w:shd w:val="clear" w:color="000000" w:fill="FFFFFF"/>
            <w:noWrap/>
            <w:vAlign w:val="center"/>
            <w:hideMark/>
          </w:tcPr>
          <w:p w14:paraId="080FB6B2"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0</w:t>
            </w:r>
          </w:p>
        </w:tc>
        <w:tc>
          <w:tcPr>
            <w:tcW w:w="1134" w:type="dxa"/>
            <w:tcBorders>
              <w:top w:val="nil"/>
              <w:left w:val="nil"/>
              <w:bottom w:val="nil"/>
              <w:right w:val="nil"/>
            </w:tcBorders>
            <w:shd w:val="clear" w:color="000000" w:fill="FFFFFF"/>
            <w:noWrap/>
            <w:vAlign w:val="center"/>
            <w:hideMark/>
          </w:tcPr>
          <w:p w14:paraId="5DE06F27"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1 160 000</w:t>
            </w:r>
          </w:p>
        </w:tc>
        <w:tc>
          <w:tcPr>
            <w:tcW w:w="1134" w:type="dxa"/>
            <w:gridSpan w:val="2"/>
            <w:tcBorders>
              <w:top w:val="nil"/>
              <w:left w:val="nil"/>
              <w:bottom w:val="nil"/>
              <w:right w:val="nil"/>
            </w:tcBorders>
            <w:shd w:val="clear" w:color="000000" w:fill="FFFFFF"/>
            <w:noWrap/>
            <w:vAlign w:val="center"/>
            <w:hideMark/>
          </w:tcPr>
          <w:p w14:paraId="0615169E"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1 160 000</w:t>
            </w:r>
          </w:p>
        </w:tc>
      </w:tr>
      <w:tr w:rsidR="00870505" w:rsidRPr="006D37EA" w14:paraId="44BBF710" w14:textId="77777777" w:rsidTr="006D37EA">
        <w:trPr>
          <w:gridAfter w:val="1"/>
          <w:wAfter w:w="105" w:type="dxa"/>
          <w:trHeight w:val="256"/>
        </w:trPr>
        <w:tc>
          <w:tcPr>
            <w:tcW w:w="3402" w:type="dxa"/>
            <w:tcBorders>
              <w:top w:val="nil"/>
              <w:left w:val="nil"/>
              <w:bottom w:val="nil"/>
              <w:right w:val="nil"/>
            </w:tcBorders>
            <w:shd w:val="clear" w:color="auto" w:fill="auto"/>
            <w:noWrap/>
            <w:vAlign w:val="center"/>
            <w:hideMark/>
          </w:tcPr>
          <w:p w14:paraId="222929C1" w14:textId="77777777" w:rsidR="00870505" w:rsidRPr="006D37EA" w:rsidRDefault="00870505" w:rsidP="00870505">
            <w:pPr>
              <w:spacing w:after="0" w:line="240" w:lineRule="auto"/>
              <w:ind w:firstLineChars="100" w:firstLine="180"/>
              <w:jc w:val="left"/>
              <w:rPr>
                <w:rFonts w:eastAsia="Times New Roman" w:cs="Times New Roman"/>
                <w:sz w:val="18"/>
                <w:szCs w:val="18"/>
                <w:lang w:eastAsia="sk-SK"/>
              </w:rPr>
            </w:pPr>
            <w:r w:rsidRPr="006D37EA">
              <w:rPr>
                <w:rFonts w:eastAsia="Times New Roman" w:cs="Times New Roman"/>
                <w:sz w:val="18"/>
                <w:szCs w:val="18"/>
                <w:lang w:eastAsia="sk-SK"/>
              </w:rPr>
              <w:t>Ďalšie výdavky štátneho rozpočtu</w:t>
            </w:r>
          </w:p>
        </w:tc>
        <w:tc>
          <w:tcPr>
            <w:tcW w:w="993" w:type="dxa"/>
            <w:tcBorders>
              <w:top w:val="nil"/>
              <w:left w:val="nil"/>
              <w:bottom w:val="nil"/>
              <w:right w:val="nil"/>
            </w:tcBorders>
            <w:shd w:val="clear" w:color="000000" w:fill="FFFFFF"/>
            <w:noWrap/>
            <w:vAlign w:val="center"/>
            <w:hideMark/>
          </w:tcPr>
          <w:p w14:paraId="2033844B" w14:textId="77777777" w:rsidR="00870505" w:rsidRPr="006D37EA" w:rsidRDefault="00870505" w:rsidP="00870505">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19 003 013</w:t>
            </w:r>
          </w:p>
        </w:tc>
        <w:tc>
          <w:tcPr>
            <w:tcW w:w="1275" w:type="dxa"/>
            <w:gridSpan w:val="2"/>
            <w:tcBorders>
              <w:top w:val="nil"/>
              <w:left w:val="nil"/>
              <w:bottom w:val="nil"/>
              <w:right w:val="nil"/>
            </w:tcBorders>
            <w:shd w:val="clear" w:color="000000" w:fill="FFFFFF"/>
            <w:noWrap/>
            <w:vAlign w:val="center"/>
            <w:hideMark/>
          </w:tcPr>
          <w:p w14:paraId="7366E70B" w14:textId="77777777" w:rsidR="00870505" w:rsidRPr="006D37EA" w:rsidRDefault="00870505" w:rsidP="00870505">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18 789 493</w:t>
            </w:r>
          </w:p>
        </w:tc>
        <w:tc>
          <w:tcPr>
            <w:tcW w:w="1134" w:type="dxa"/>
            <w:gridSpan w:val="2"/>
            <w:tcBorders>
              <w:top w:val="nil"/>
              <w:left w:val="nil"/>
              <w:bottom w:val="nil"/>
              <w:right w:val="nil"/>
            </w:tcBorders>
            <w:shd w:val="clear" w:color="000000" w:fill="FFFFFF"/>
            <w:noWrap/>
            <w:vAlign w:val="center"/>
            <w:hideMark/>
          </w:tcPr>
          <w:p w14:paraId="4DBA7ADF" w14:textId="77777777" w:rsidR="00870505" w:rsidRPr="006D37EA" w:rsidRDefault="00870505" w:rsidP="00870505">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23 635 314</w:t>
            </w:r>
          </w:p>
        </w:tc>
        <w:tc>
          <w:tcPr>
            <w:tcW w:w="1134" w:type="dxa"/>
            <w:tcBorders>
              <w:top w:val="nil"/>
              <w:left w:val="nil"/>
              <w:bottom w:val="nil"/>
              <w:right w:val="nil"/>
            </w:tcBorders>
            <w:shd w:val="clear" w:color="000000" w:fill="FFFFFF"/>
            <w:noWrap/>
            <w:vAlign w:val="center"/>
            <w:hideMark/>
          </w:tcPr>
          <w:p w14:paraId="060889D1" w14:textId="119C0EF0" w:rsidR="00870505" w:rsidRPr="006D37EA" w:rsidRDefault="00870505" w:rsidP="00870505">
            <w:pPr>
              <w:spacing w:after="0" w:line="240" w:lineRule="auto"/>
              <w:jc w:val="right"/>
              <w:rPr>
                <w:rFonts w:eastAsia="Times New Roman" w:cs="Times New Roman"/>
                <w:sz w:val="18"/>
                <w:szCs w:val="18"/>
                <w:lang w:eastAsia="sk-SK"/>
              </w:rPr>
            </w:pPr>
            <w:r>
              <w:rPr>
                <w:color w:val="000000"/>
                <w:sz w:val="18"/>
                <w:szCs w:val="18"/>
              </w:rPr>
              <w:t>22 156 84</w:t>
            </w:r>
            <w:r w:rsidR="005D2C1D">
              <w:rPr>
                <w:color w:val="000000"/>
                <w:sz w:val="18"/>
                <w:szCs w:val="18"/>
              </w:rPr>
              <w:t>7</w:t>
            </w:r>
          </w:p>
        </w:tc>
        <w:tc>
          <w:tcPr>
            <w:tcW w:w="1134" w:type="dxa"/>
            <w:gridSpan w:val="2"/>
            <w:tcBorders>
              <w:top w:val="nil"/>
              <w:left w:val="nil"/>
              <w:bottom w:val="nil"/>
              <w:right w:val="nil"/>
            </w:tcBorders>
            <w:shd w:val="clear" w:color="000000" w:fill="FFFFFF"/>
            <w:noWrap/>
            <w:vAlign w:val="center"/>
            <w:hideMark/>
          </w:tcPr>
          <w:p w14:paraId="109BD160" w14:textId="1412E8BC" w:rsidR="00870505" w:rsidRPr="006D37EA" w:rsidRDefault="00870505" w:rsidP="00870505">
            <w:pPr>
              <w:spacing w:after="0" w:line="240" w:lineRule="auto"/>
              <w:jc w:val="right"/>
              <w:rPr>
                <w:rFonts w:eastAsia="Times New Roman" w:cs="Times New Roman"/>
                <w:sz w:val="18"/>
                <w:szCs w:val="18"/>
                <w:lang w:eastAsia="sk-SK"/>
              </w:rPr>
            </w:pPr>
            <w:r>
              <w:rPr>
                <w:color w:val="000000"/>
                <w:sz w:val="18"/>
                <w:szCs w:val="18"/>
              </w:rPr>
              <w:t>-1 478 469</w:t>
            </w:r>
          </w:p>
        </w:tc>
      </w:tr>
      <w:tr w:rsidR="00B2402D" w:rsidRPr="006D37EA" w14:paraId="09FB49C6" w14:textId="77777777" w:rsidTr="006D37EA">
        <w:trPr>
          <w:gridAfter w:val="1"/>
          <w:wAfter w:w="105" w:type="dxa"/>
          <w:trHeight w:val="256"/>
        </w:trPr>
        <w:tc>
          <w:tcPr>
            <w:tcW w:w="3402" w:type="dxa"/>
            <w:tcBorders>
              <w:top w:val="nil"/>
              <w:left w:val="nil"/>
              <w:bottom w:val="nil"/>
              <w:right w:val="nil"/>
            </w:tcBorders>
            <w:shd w:val="clear" w:color="auto" w:fill="auto"/>
            <w:noWrap/>
            <w:vAlign w:val="center"/>
            <w:hideMark/>
          </w:tcPr>
          <w:p w14:paraId="7A01FA93" w14:textId="77777777" w:rsidR="00B2402D" w:rsidRPr="006D37EA" w:rsidRDefault="00B2402D" w:rsidP="00D2560E">
            <w:pPr>
              <w:spacing w:after="0" w:line="240" w:lineRule="auto"/>
              <w:ind w:firstLineChars="100" w:firstLine="180"/>
              <w:jc w:val="left"/>
              <w:rPr>
                <w:rFonts w:eastAsia="Times New Roman" w:cs="Times New Roman"/>
                <w:sz w:val="18"/>
                <w:szCs w:val="18"/>
                <w:lang w:eastAsia="sk-SK"/>
              </w:rPr>
            </w:pPr>
            <w:r w:rsidRPr="006D37EA">
              <w:rPr>
                <w:rFonts w:eastAsia="Times New Roman" w:cs="Times New Roman"/>
                <w:sz w:val="18"/>
                <w:szCs w:val="18"/>
                <w:lang w:eastAsia="sk-SK"/>
              </w:rPr>
              <w:t>Výdavky v zmysle § 17, ods. 4</w:t>
            </w:r>
          </w:p>
        </w:tc>
        <w:tc>
          <w:tcPr>
            <w:tcW w:w="993" w:type="dxa"/>
            <w:tcBorders>
              <w:top w:val="nil"/>
              <w:left w:val="nil"/>
              <w:bottom w:val="nil"/>
              <w:right w:val="nil"/>
            </w:tcBorders>
            <w:shd w:val="clear" w:color="000000" w:fill="FFFFFF"/>
            <w:noWrap/>
            <w:vAlign w:val="center"/>
            <w:hideMark/>
          </w:tcPr>
          <w:p w14:paraId="38F6CA78"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1 829</w:t>
            </w:r>
          </w:p>
        </w:tc>
        <w:tc>
          <w:tcPr>
            <w:tcW w:w="1275" w:type="dxa"/>
            <w:gridSpan w:val="2"/>
            <w:tcBorders>
              <w:top w:val="nil"/>
              <w:left w:val="nil"/>
              <w:bottom w:val="nil"/>
              <w:right w:val="nil"/>
            </w:tcBorders>
            <w:shd w:val="clear" w:color="000000" w:fill="FFFFFF"/>
            <w:noWrap/>
            <w:vAlign w:val="center"/>
            <w:hideMark/>
          </w:tcPr>
          <w:p w14:paraId="6EC23B2D"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2 233</w:t>
            </w:r>
          </w:p>
        </w:tc>
        <w:tc>
          <w:tcPr>
            <w:tcW w:w="1134" w:type="dxa"/>
            <w:gridSpan w:val="2"/>
            <w:tcBorders>
              <w:top w:val="nil"/>
              <w:left w:val="nil"/>
              <w:bottom w:val="nil"/>
              <w:right w:val="nil"/>
            </w:tcBorders>
            <w:shd w:val="clear" w:color="000000" w:fill="FFFFFF"/>
            <w:noWrap/>
            <w:vAlign w:val="center"/>
            <w:hideMark/>
          </w:tcPr>
          <w:p w14:paraId="2C652888"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2 785</w:t>
            </w:r>
          </w:p>
        </w:tc>
        <w:tc>
          <w:tcPr>
            <w:tcW w:w="1134" w:type="dxa"/>
            <w:tcBorders>
              <w:top w:val="nil"/>
              <w:left w:val="nil"/>
              <w:bottom w:val="nil"/>
              <w:right w:val="nil"/>
            </w:tcBorders>
            <w:shd w:val="clear" w:color="000000" w:fill="FFFFFF"/>
            <w:noWrap/>
            <w:vAlign w:val="center"/>
            <w:hideMark/>
          </w:tcPr>
          <w:p w14:paraId="3FD0B48F"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2 575</w:t>
            </w:r>
          </w:p>
        </w:tc>
        <w:tc>
          <w:tcPr>
            <w:tcW w:w="1134" w:type="dxa"/>
            <w:gridSpan w:val="2"/>
            <w:tcBorders>
              <w:top w:val="nil"/>
              <w:left w:val="nil"/>
              <w:bottom w:val="nil"/>
              <w:right w:val="nil"/>
            </w:tcBorders>
            <w:shd w:val="clear" w:color="000000" w:fill="FFFFFF"/>
            <w:noWrap/>
            <w:vAlign w:val="center"/>
            <w:hideMark/>
          </w:tcPr>
          <w:p w14:paraId="44ABB2E8" w14:textId="77777777" w:rsidR="00B2402D" w:rsidRPr="006D37EA" w:rsidRDefault="00B2402D" w:rsidP="00D2560E">
            <w:pPr>
              <w:spacing w:after="0" w:line="240" w:lineRule="auto"/>
              <w:jc w:val="right"/>
              <w:rPr>
                <w:rFonts w:eastAsia="Times New Roman" w:cs="Times New Roman"/>
                <w:sz w:val="18"/>
                <w:szCs w:val="18"/>
                <w:lang w:eastAsia="sk-SK"/>
              </w:rPr>
            </w:pPr>
            <w:r w:rsidRPr="006D37EA">
              <w:rPr>
                <w:rFonts w:eastAsia="Times New Roman" w:cs="Times New Roman"/>
                <w:sz w:val="18"/>
                <w:szCs w:val="18"/>
                <w:lang w:eastAsia="sk-SK"/>
              </w:rPr>
              <w:t>-210</w:t>
            </w:r>
          </w:p>
        </w:tc>
      </w:tr>
      <w:tr w:rsidR="00B2402D" w:rsidRPr="006D37EA" w14:paraId="30A78542" w14:textId="77777777" w:rsidTr="006D37EA">
        <w:trPr>
          <w:gridAfter w:val="1"/>
          <w:wAfter w:w="105" w:type="dxa"/>
          <w:trHeight w:val="256"/>
        </w:trPr>
        <w:tc>
          <w:tcPr>
            <w:tcW w:w="3402" w:type="dxa"/>
            <w:tcBorders>
              <w:top w:val="single" w:sz="4" w:space="0" w:color="auto"/>
              <w:left w:val="nil"/>
              <w:bottom w:val="single" w:sz="4" w:space="0" w:color="auto"/>
              <w:right w:val="nil"/>
            </w:tcBorders>
            <w:shd w:val="clear" w:color="auto" w:fill="auto"/>
            <w:noWrap/>
            <w:vAlign w:val="center"/>
            <w:hideMark/>
          </w:tcPr>
          <w:p w14:paraId="0849DC18" w14:textId="77777777" w:rsidR="00B2402D" w:rsidRPr="006D37EA" w:rsidRDefault="00B2402D" w:rsidP="00D2560E">
            <w:pPr>
              <w:spacing w:after="0" w:line="240" w:lineRule="auto"/>
              <w:jc w:val="left"/>
              <w:rPr>
                <w:rFonts w:eastAsia="Times New Roman" w:cs="Times New Roman"/>
                <w:b/>
                <w:bCs/>
                <w:sz w:val="18"/>
                <w:szCs w:val="18"/>
                <w:lang w:eastAsia="sk-SK"/>
              </w:rPr>
            </w:pPr>
            <w:r w:rsidRPr="006D37EA">
              <w:rPr>
                <w:rFonts w:eastAsia="Times New Roman" w:cs="Times New Roman"/>
                <w:b/>
                <w:bCs/>
                <w:sz w:val="18"/>
                <w:szCs w:val="18"/>
                <w:lang w:eastAsia="sk-SK"/>
              </w:rPr>
              <w:t>Schodok štátneho rozpočtu</w:t>
            </w:r>
          </w:p>
        </w:tc>
        <w:tc>
          <w:tcPr>
            <w:tcW w:w="993" w:type="dxa"/>
            <w:tcBorders>
              <w:top w:val="single" w:sz="4" w:space="0" w:color="auto"/>
              <w:left w:val="nil"/>
              <w:bottom w:val="single" w:sz="4" w:space="0" w:color="auto"/>
              <w:right w:val="nil"/>
            </w:tcBorders>
            <w:shd w:val="clear" w:color="000000" w:fill="FFFFFF"/>
            <w:noWrap/>
            <w:vAlign w:val="center"/>
            <w:hideMark/>
          </w:tcPr>
          <w:p w14:paraId="148D29D0" w14:textId="77777777" w:rsidR="00B2402D" w:rsidRPr="006D37EA" w:rsidRDefault="00B2402D" w:rsidP="00D2560E">
            <w:pPr>
              <w:spacing w:after="0" w:line="240" w:lineRule="auto"/>
              <w:jc w:val="right"/>
              <w:rPr>
                <w:rFonts w:eastAsia="Times New Roman" w:cs="Times New Roman"/>
                <w:b/>
                <w:bCs/>
                <w:sz w:val="18"/>
                <w:szCs w:val="18"/>
                <w:lang w:eastAsia="sk-SK"/>
              </w:rPr>
            </w:pPr>
            <w:r w:rsidRPr="006D37EA">
              <w:rPr>
                <w:rFonts w:eastAsia="Times New Roman" w:cs="Times New Roman"/>
                <w:b/>
                <w:bCs/>
                <w:sz w:val="18"/>
                <w:szCs w:val="18"/>
                <w:lang w:eastAsia="sk-SK"/>
              </w:rPr>
              <w:t>-7 014 127</w:t>
            </w:r>
          </w:p>
        </w:tc>
        <w:tc>
          <w:tcPr>
            <w:tcW w:w="1275" w:type="dxa"/>
            <w:gridSpan w:val="2"/>
            <w:tcBorders>
              <w:top w:val="single" w:sz="4" w:space="0" w:color="auto"/>
              <w:left w:val="nil"/>
              <w:bottom w:val="single" w:sz="4" w:space="0" w:color="auto"/>
              <w:right w:val="nil"/>
            </w:tcBorders>
            <w:shd w:val="clear" w:color="000000" w:fill="FFFFFF"/>
            <w:noWrap/>
            <w:vAlign w:val="center"/>
            <w:hideMark/>
          </w:tcPr>
          <w:p w14:paraId="0689C0AC" w14:textId="77777777" w:rsidR="00B2402D" w:rsidRPr="006D37EA" w:rsidRDefault="00B2402D" w:rsidP="00D2560E">
            <w:pPr>
              <w:spacing w:after="0" w:line="240" w:lineRule="auto"/>
              <w:jc w:val="right"/>
              <w:rPr>
                <w:rFonts w:eastAsia="Times New Roman" w:cs="Times New Roman"/>
                <w:b/>
                <w:bCs/>
                <w:sz w:val="18"/>
                <w:szCs w:val="18"/>
                <w:lang w:eastAsia="sk-SK"/>
              </w:rPr>
            </w:pPr>
            <w:r w:rsidRPr="006D37EA">
              <w:rPr>
                <w:rFonts w:eastAsia="Times New Roman" w:cs="Times New Roman"/>
                <w:b/>
                <w:bCs/>
                <w:sz w:val="18"/>
                <w:szCs w:val="18"/>
                <w:lang w:eastAsia="sk-SK"/>
              </w:rPr>
              <w:t>-4 524 853</w:t>
            </w:r>
          </w:p>
        </w:tc>
        <w:tc>
          <w:tcPr>
            <w:tcW w:w="1134" w:type="dxa"/>
            <w:gridSpan w:val="2"/>
            <w:tcBorders>
              <w:top w:val="single" w:sz="4" w:space="0" w:color="auto"/>
              <w:left w:val="nil"/>
              <w:bottom w:val="single" w:sz="4" w:space="0" w:color="auto"/>
              <w:right w:val="nil"/>
            </w:tcBorders>
            <w:shd w:val="clear" w:color="000000" w:fill="FFFFFF"/>
            <w:noWrap/>
            <w:vAlign w:val="center"/>
            <w:hideMark/>
          </w:tcPr>
          <w:p w14:paraId="6DB12B1F" w14:textId="77777777" w:rsidR="00B2402D" w:rsidRPr="006D37EA" w:rsidRDefault="00B2402D" w:rsidP="00D2560E">
            <w:pPr>
              <w:spacing w:after="0" w:line="240" w:lineRule="auto"/>
              <w:jc w:val="right"/>
              <w:rPr>
                <w:rFonts w:eastAsia="Times New Roman" w:cs="Times New Roman"/>
                <w:b/>
                <w:bCs/>
                <w:sz w:val="18"/>
                <w:szCs w:val="18"/>
                <w:lang w:eastAsia="sk-SK"/>
              </w:rPr>
            </w:pPr>
            <w:r w:rsidRPr="006D37EA">
              <w:rPr>
                <w:rFonts w:eastAsia="Times New Roman" w:cs="Times New Roman"/>
                <w:b/>
                <w:bCs/>
                <w:sz w:val="18"/>
                <w:szCs w:val="18"/>
                <w:lang w:eastAsia="sk-SK"/>
              </w:rPr>
              <w:t>-8 341 372</w:t>
            </w:r>
          </w:p>
        </w:tc>
        <w:tc>
          <w:tcPr>
            <w:tcW w:w="1134" w:type="dxa"/>
            <w:tcBorders>
              <w:top w:val="single" w:sz="4" w:space="0" w:color="auto"/>
              <w:left w:val="nil"/>
              <w:bottom w:val="single" w:sz="4" w:space="0" w:color="auto"/>
              <w:right w:val="nil"/>
            </w:tcBorders>
            <w:shd w:val="clear" w:color="000000" w:fill="FFFFFF"/>
            <w:noWrap/>
            <w:vAlign w:val="center"/>
            <w:hideMark/>
          </w:tcPr>
          <w:p w14:paraId="40D03DA5" w14:textId="77777777" w:rsidR="00B2402D" w:rsidRPr="006D37EA" w:rsidRDefault="00B2402D" w:rsidP="00D2560E">
            <w:pPr>
              <w:spacing w:after="0" w:line="240" w:lineRule="auto"/>
              <w:jc w:val="right"/>
              <w:rPr>
                <w:rFonts w:eastAsia="Times New Roman" w:cs="Times New Roman"/>
                <w:b/>
                <w:bCs/>
                <w:sz w:val="18"/>
                <w:szCs w:val="18"/>
                <w:lang w:eastAsia="sk-SK"/>
              </w:rPr>
            </w:pPr>
            <w:r w:rsidRPr="006D37EA">
              <w:rPr>
                <w:rFonts w:eastAsia="Times New Roman" w:cs="Times New Roman"/>
                <w:b/>
                <w:bCs/>
                <w:sz w:val="18"/>
                <w:szCs w:val="18"/>
                <w:lang w:eastAsia="sk-SK"/>
              </w:rPr>
              <w:t>-7 675 337</w:t>
            </w:r>
          </w:p>
        </w:tc>
        <w:tc>
          <w:tcPr>
            <w:tcW w:w="1134" w:type="dxa"/>
            <w:gridSpan w:val="2"/>
            <w:tcBorders>
              <w:top w:val="single" w:sz="4" w:space="0" w:color="auto"/>
              <w:left w:val="nil"/>
              <w:bottom w:val="single" w:sz="4" w:space="0" w:color="auto"/>
              <w:right w:val="nil"/>
            </w:tcBorders>
            <w:shd w:val="clear" w:color="000000" w:fill="FFFFFF"/>
            <w:noWrap/>
            <w:vAlign w:val="center"/>
            <w:hideMark/>
          </w:tcPr>
          <w:p w14:paraId="0FD9C6AD" w14:textId="77777777" w:rsidR="00B2402D" w:rsidRPr="006D37EA" w:rsidRDefault="00B2402D" w:rsidP="00D2560E">
            <w:pPr>
              <w:spacing w:after="0" w:line="240" w:lineRule="auto"/>
              <w:jc w:val="right"/>
              <w:rPr>
                <w:rFonts w:eastAsia="Times New Roman" w:cs="Times New Roman"/>
                <w:b/>
                <w:bCs/>
                <w:sz w:val="18"/>
                <w:szCs w:val="18"/>
                <w:lang w:eastAsia="sk-SK"/>
              </w:rPr>
            </w:pPr>
            <w:r w:rsidRPr="006D37EA">
              <w:rPr>
                <w:rFonts w:eastAsia="Times New Roman" w:cs="Times New Roman"/>
                <w:b/>
                <w:bCs/>
                <w:sz w:val="18"/>
                <w:szCs w:val="18"/>
                <w:lang w:eastAsia="sk-SK"/>
              </w:rPr>
              <w:t>666 035</w:t>
            </w:r>
          </w:p>
        </w:tc>
      </w:tr>
    </w:tbl>
    <w:p w14:paraId="4701130B" w14:textId="18CE7D4A" w:rsidR="00852C51" w:rsidRDefault="00852C51" w:rsidP="00852C51">
      <w:pPr>
        <w:spacing w:after="0" w:line="240" w:lineRule="auto"/>
        <w:rPr>
          <w:sz w:val="18"/>
          <w:szCs w:val="18"/>
        </w:rPr>
      </w:pPr>
      <w:r w:rsidRPr="00852C51">
        <w:rPr>
          <w:sz w:val="18"/>
          <w:szCs w:val="18"/>
        </w:rPr>
        <w:t>*</w:t>
      </w:r>
      <w:r>
        <w:rPr>
          <w:sz w:val="18"/>
          <w:szCs w:val="18"/>
        </w:rPr>
        <w:t xml:space="preserve"> </w:t>
      </w:r>
      <w:r w:rsidRPr="00852C51">
        <w:rPr>
          <w:sz w:val="18"/>
          <w:szCs w:val="18"/>
        </w:rPr>
        <w:t>Príjmy z rozpočtu EÚ</w:t>
      </w:r>
      <w:r>
        <w:rPr>
          <w:sz w:val="18"/>
          <w:szCs w:val="18"/>
        </w:rPr>
        <w:t xml:space="preserve"> – prostriedky EÚ sa rozpočtujú pod ekonomickou klasifikáciou zahraničné transfery      </w:t>
      </w:r>
      <w:r w:rsidRPr="00852C51">
        <w:rPr>
          <w:sz w:val="18"/>
          <w:szCs w:val="18"/>
        </w:rPr>
        <w:t>Zdroj: MF SR</w:t>
      </w:r>
    </w:p>
    <w:p w14:paraId="4C58A7E4" w14:textId="77777777" w:rsidR="002D319E" w:rsidRDefault="00852C51" w:rsidP="002D319E">
      <w:pPr>
        <w:spacing w:after="0" w:line="240" w:lineRule="auto"/>
        <w:rPr>
          <w:sz w:val="18"/>
          <w:szCs w:val="18"/>
        </w:rPr>
      </w:pPr>
      <w:r>
        <w:rPr>
          <w:sz w:val="18"/>
          <w:szCs w:val="18"/>
        </w:rPr>
        <w:t xml:space="preserve">   - 341 Prostriedky z rozpočtu Európskej únie pre programy, ktoré sa v Slovenskej republike poskytujú </w:t>
      </w:r>
    </w:p>
    <w:p w14:paraId="44A94BDC" w14:textId="352BC506" w:rsidR="00852C51" w:rsidRDefault="002D319E" w:rsidP="002D319E">
      <w:pPr>
        <w:spacing w:after="0" w:line="240" w:lineRule="auto"/>
        <w:rPr>
          <w:sz w:val="18"/>
          <w:szCs w:val="18"/>
        </w:rPr>
      </w:pPr>
      <w:r>
        <w:rPr>
          <w:sz w:val="18"/>
          <w:szCs w:val="18"/>
        </w:rPr>
        <w:t xml:space="preserve">   </w:t>
      </w:r>
      <w:r w:rsidR="00852C51">
        <w:rPr>
          <w:sz w:val="18"/>
          <w:szCs w:val="18"/>
        </w:rPr>
        <w:t>prostredníctvom certifikačného orgánu a platobného orgánu</w:t>
      </w:r>
    </w:p>
    <w:p w14:paraId="6B3238F7" w14:textId="3F35320C" w:rsidR="004A32EE" w:rsidRPr="00852C51" w:rsidRDefault="005F5D7E" w:rsidP="002D319E">
      <w:pPr>
        <w:spacing w:after="0" w:line="240" w:lineRule="auto"/>
        <w:rPr>
          <w:sz w:val="18"/>
          <w:szCs w:val="18"/>
        </w:rPr>
      </w:pPr>
      <w:r>
        <w:rPr>
          <w:sz w:val="18"/>
          <w:szCs w:val="18"/>
        </w:rPr>
        <w:t>** H</w:t>
      </w:r>
      <w:r w:rsidR="004A32EE">
        <w:rPr>
          <w:sz w:val="18"/>
          <w:szCs w:val="18"/>
        </w:rPr>
        <w:t>odnota bez tradičných vlastných zdrojov</w:t>
      </w:r>
    </w:p>
    <w:p w14:paraId="53FAF2B0" w14:textId="70C4BFDA" w:rsidR="00B2402D" w:rsidRPr="00F00311" w:rsidRDefault="00B2402D" w:rsidP="002D319E">
      <w:pPr>
        <w:spacing w:before="120" w:line="240" w:lineRule="auto"/>
        <w:rPr>
          <w:sz w:val="24"/>
          <w:szCs w:val="24"/>
        </w:rPr>
      </w:pPr>
      <w:r w:rsidRPr="00F00311">
        <w:rPr>
          <w:sz w:val="24"/>
          <w:szCs w:val="24"/>
        </w:rPr>
        <w:t>Nasledujúce informácie o príjmoch a výdavkoch štátneho rozpočtu popisujú ich hotovostné plnenie tak, ako sa prejavili na príjmových a výdavkových účtoch štátnych rozpočtových organizácií v priebehu roka 2023. Komentár k jednotlivým položkám príjmov a výdavkov sa sústredí na opis faktorov majúcich vplyv na ich hotovostné plnenie, pričom porovnanie dosiahnutej skutočnosti sa realizuje voči rozpočtu schváleného novelou zákona o štátnom rozpočte na rok 2023.</w:t>
      </w:r>
    </w:p>
    <w:p w14:paraId="5D3D19E2" w14:textId="77777777" w:rsidR="00B2402D" w:rsidRPr="00F00311" w:rsidRDefault="00B2402D" w:rsidP="00B2402D">
      <w:pPr>
        <w:spacing w:line="240" w:lineRule="auto"/>
        <w:rPr>
          <w:sz w:val="24"/>
          <w:szCs w:val="24"/>
        </w:rPr>
      </w:pPr>
      <w:r w:rsidRPr="00F00311">
        <w:rPr>
          <w:sz w:val="24"/>
          <w:szCs w:val="24"/>
        </w:rPr>
        <w:t>Súčasťou Štátneho záverečného účtu SR je aj tabuľková príloha, ktorá dopĺňa opisnú časť hotovostných príjmov a výdavkov, v členení podľa ekonomickej a organizačnej klasifikácie. Podrobnejšie informácie o príjmoch a výdavkoch jednotlivých kapitol ŠR sú uvedené aj v záverečných účtoch kapitol, ktoré sa zverejňujú na ich webovom sídle.</w:t>
      </w:r>
    </w:p>
    <w:p w14:paraId="0C16EC0A" w14:textId="77777777" w:rsidR="00B2402D" w:rsidRPr="007D3A50" w:rsidRDefault="00B2402D" w:rsidP="00B2402D">
      <w:pPr>
        <w:spacing w:line="240" w:lineRule="auto"/>
        <w:rPr>
          <w:sz w:val="24"/>
          <w:szCs w:val="24"/>
        </w:rPr>
      </w:pPr>
      <w:r w:rsidRPr="00F00311">
        <w:rPr>
          <w:sz w:val="24"/>
          <w:szCs w:val="24"/>
        </w:rPr>
        <w:t>Prípadné číselné rozdiely medzi tabuľkovou prílohou a údajmi v textovej časti záverečného účtu sú spôsobené automatickým zaokrúhľovaním.</w:t>
      </w:r>
    </w:p>
    <w:p w14:paraId="32FA6D11" w14:textId="572E0939" w:rsidR="008254BE" w:rsidRDefault="008254BE" w:rsidP="00752862">
      <w:pPr>
        <w:pStyle w:val="Nadpis2"/>
      </w:pPr>
      <w:bookmarkStart w:id="37" w:name="_Toc6415641"/>
      <w:bookmarkStart w:id="38" w:name="_Toc164846939"/>
      <w:r>
        <w:lastRenderedPageBreak/>
        <w:t>Príjmy štátneho rozpočtu</w:t>
      </w:r>
      <w:bookmarkEnd w:id="37"/>
      <w:bookmarkEnd w:id="38"/>
    </w:p>
    <w:p w14:paraId="4C36F68C" w14:textId="15FFD99A" w:rsidR="008254BE" w:rsidRDefault="008254BE" w:rsidP="001205D5">
      <w:pPr>
        <w:pStyle w:val="Nadpis3"/>
      </w:pPr>
      <w:bookmarkStart w:id="39" w:name="_Toc6415642"/>
      <w:bookmarkStart w:id="40" w:name="_Toc164846940"/>
      <w:r w:rsidRPr="00E87CB0">
        <w:t>Daňové príjmy</w:t>
      </w:r>
      <w:bookmarkEnd w:id="39"/>
      <w:bookmarkEnd w:id="40"/>
    </w:p>
    <w:p w14:paraId="4F7453E3" w14:textId="4B3709CC" w:rsidR="00B2402D" w:rsidRDefault="00B2402D" w:rsidP="00B2402D">
      <w:pPr>
        <w:spacing w:line="240" w:lineRule="auto"/>
        <w:rPr>
          <w:sz w:val="24"/>
          <w:szCs w:val="24"/>
        </w:rPr>
      </w:pPr>
      <w:r w:rsidRPr="003361E6">
        <w:rPr>
          <w:sz w:val="24"/>
          <w:szCs w:val="24"/>
        </w:rPr>
        <w:t xml:space="preserve">Pre rok 2023 boli daňové príjmy na hotovostnej báze rozpočtované vo výške </w:t>
      </w:r>
      <w:r w:rsidR="00C65CD4">
        <w:rPr>
          <w:sz w:val="24"/>
          <w:szCs w:val="24"/>
        </w:rPr>
        <w:t>16 795 409 tis. </w:t>
      </w:r>
      <w:r w:rsidRPr="009C4745">
        <w:rPr>
          <w:sz w:val="24"/>
          <w:szCs w:val="24"/>
        </w:rPr>
        <w:t>e</w:t>
      </w:r>
      <w:r>
        <w:rPr>
          <w:sz w:val="24"/>
          <w:szCs w:val="24"/>
        </w:rPr>
        <w:t xml:space="preserve">ur, čo bolo oproti rozpočtu </w:t>
      </w:r>
      <w:r w:rsidR="00C65CD4">
        <w:rPr>
          <w:sz w:val="24"/>
          <w:szCs w:val="24"/>
        </w:rPr>
        <w:t>2022 viac o 949 555 tis. </w:t>
      </w:r>
      <w:r w:rsidRPr="007131C0">
        <w:rPr>
          <w:sz w:val="24"/>
          <w:szCs w:val="24"/>
        </w:rPr>
        <w:t>eur</w:t>
      </w:r>
      <w:r>
        <w:rPr>
          <w:sz w:val="24"/>
          <w:szCs w:val="24"/>
        </w:rPr>
        <w:t xml:space="preserve">. </w:t>
      </w:r>
      <w:r w:rsidRPr="00312C76">
        <w:rPr>
          <w:sz w:val="24"/>
          <w:szCs w:val="24"/>
        </w:rPr>
        <w:t>V skutočnosti boli vyššie o 645</w:t>
      </w:r>
      <w:r w:rsidR="00C65CD4">
        <w:rPr>
          <w:sz w:val="24"/>
          <w:szCs w:val="24"/>
        </w:rPr>
        <w:t> </w:t>
      </w:r>
      <w:r w:rsidRPr="00312C76">
        <w:rPr>
          <w:sz w:val="24"/>
          <w:szCs w:val="24"/>
        </w:rPr>
        <w:t>567</w:t>
      </w:r>
      <w:r w:rsidR="00C65CD4">
        <w:rPr>
          <w:sz w:val="24"/>
          <w:szCs w:val="24"/>
        </w:rPr>
        <w:t> tis. </w:t>
      </w:r>
      <w:r w:rsidRPr="00312C76">
        <w:rPr>
          <w:sz w:val="24"/>
          <w:szCs w:val="24"/>
        </w:rPr>
        <w:t>eur (resp. 3,8 %) a</w:t>
      </w:r>
      <w:r w:rsidR="00C65CD4">
        <w:rPr>
          <w:sz w:val="24"/>
          <w:szCs w:val="24"/>
        </w:rPr>
        <w:t> dosiahli výšku 17 440 976 tis. </w:t>
      </w:r>
      <w:r w:rsidRPr="00312C76">
        <w:rPr>
          <w:sz w:val="24"/>
          <w:szCs w:val="24"/>
        </w:rPr>
        <w:t xml:space="preserve">eur. Za vyšším výnosom je najmä </w:t>
      </w:r>
      <w:proofErr w:type="spellStart"/>
      <w:r w:rsidRPr="00312C76">
        <w:rPr>
          <w:sz w:val="24"/>
          <w:szCs w:val="24"/>
        </w:rPr>
        <w:t>korporátna</w:t>
      </w:r>
      <w:proofErr w:type="spellEnd"/>
      <w:r w:rsidRPr="00312C76">
        <w:rPr>
          <w:sz w:val="24"/>
          <w:szCs w:val="24"/>
        </w:rPr>
        <w:t xml:space="preserve"> daň a zavedenie nových daní.</w:t>
      </w:r>
    </w:p>
    <w:p w14:paraId="3CC31A49" w14:textId="77777777" w:rsidR="00B2402D" w:rsidRPr="00775F08" w:rsidRDefault="00B2402D" w:rsidP="00B2402D">
      <w:pPr>
        <w:spacing w:line="240" w:lineRule="auto"/>
        <w:rPr>
          <w:sz w:val="24"/>
          <w:szCs w:val="24"/>
        </w:rPr>
      </w:pPr>
      <w:r w:rsidRPr="00956057">
        <w:rPr>
          <w:sz w:val="24"/>
          <w:szCs w:val="24"/>
        </w:rPr>
        <w:t xml:space="preserve">V porovnaní s rokom 2022 boli celkové daňové príjmy vyššie o 1 923 941 tis. eur, čo zodpovedá medziročnému rastu na úrovni 12,4 %. Nárast ekonomickej aktivity sa odzrkadlil na medziročne </w:t>
      </w:r>
      <w:r w:rsidRPr="00F06721">
        <w:rPr>
          <w:sz w:val="24"/>
          <w:szCs w:val="24"/>
        </w:rPr>
        <w:t>vyššom výbere DPH o 1 064 128 tis. </w:t>
      </w:r>
      <w:r>
        <w:rPr>
          <w:sz w:val="24"/>
          <w:szCs w:val="24"/>
        </w:rPr>
        <w:t>eur.</w:t>
      </w:r>
    </w:p>
    <w:p w14:paraId="23D42ECC" w14:textId="77777777" w:rsidR="00B2402D" w:rsidRPr="00695239" w:rsidRDefault="00B2402D" w:rsidP="00B2402D">
      <w:pPr>
        <w:spacing w:line="240" w:lineRule="auto"/>
        <w:rPr>
          <w:sz w:val="24"/>
          <w:szCs w:val="24"/>
        </w:rPr>
      </w:pPr>
      <w:r w:rsidRPr="00695239">
        <w:rPr>
          <w:sz w:val="24"/>
          <w:szCs w:val="24"/>
        </w:rPr>
        <w:t>Prehľad o plnení daňových príjmov štátneho rozpočtu poskytujú nasledovné údaje:</w:t>
      </w:r>
    </w:p>
    <w:tbl>
      <w:tblPr>
        <w:tblW w:w="5000" w:type="pct"/>
        <w:tblLayout w:type="fixed"/>
        <w:tblCellMar>
          <w:left w:w="70" w:type="dxa"/>
          <w:right w:w="70" w:type="dxa"/>
        </w:tblCellMar>
        <w:tblLook w:val="04A0" w:firstRow="1" w:lastRow="0" w:firstColumn="1" w:lastColumn="0" w:noHBand="0" w:noVBand="1"/>
      </w:tblPr>
      <w:tblGrid>
        <w:gridCol w:w="3126"/>
        <w:gridCol w:w="1133"/>
        <w:gridCol w:w="1133"/>
        <w:gridCol w:w="1133"/>
        <w:gridCol w:w="991"/>
        <w:gridCol w:w="990"/>
        <w:gridCol w:w="708"/>
      </w:tblGrid>
      <w:tr w:rsidR="00B2402D" w:rsidRPr="00E316B9" w14:paraId="1766181D" w14:textId="77777777" w:rsidTr="00795D97">
        <w:trPr>
          <w:trHeight w:val="300"/>
        </w:trPr>
        <w:tc>
          <w:tcPr>
            <w:tcW w:w="3541" w:type="pct"/>
            <w:gridSpan w:val="4"/>
            <w:tcBorders>
              <w:top w:val="nil"/>
              <w:left w:val="nil"/>
              <w:bottom w:val="single" w:sz="8" w:space="0" w:color="auto"/>
              <w:right w:val="nil"/>
            </w:tcBorders>
            <w:shd w:val="clear" w:color="auto" w:fill="auto"/>
            <w:noWrap/>
            <w:vAlign w:val="center"/>
            <w:hideMark/>
          </w:tcPr>
          <w:p w14:paraId="1E141E81" w14:textId="57E2BA63" w:rsidR="00B2402D" w:rsidRPr="00DF1D78" w:rsidRDefault="00B2402D" w:rsidP="004A6E2F">
            <w:pPr>
              <w:spacing w:line="240" w:lineRule="auto"/>
              <w:jc w:val="left"/>
              <w:rPr>
                <w:rFonts w:eastAsia="Times New Roman" w:cs="Times New Roman"/>
                <w:b/>
                <w:bCs/>
                <w:color w:val="5B9BD5"/>
                <w:sz w:val="20"/>
                <w:szCs w:val="20"/>
                <w:lang w:eastAsia="sk-SK"/>
              </w:rPr>
            </w:pPr>
            <w:r w:rsidRPr="00E316B9">
              <w:rPr>
                <w:rFonts w:eastAsia="Times New Roman" w:cs="Times New Roman"/>
                <w:b/>
                <w:bCs/>
                <w:color w:val="5B9BD5"/>
                <w:sz w:val="20"/>
                <w:szCs w:val="20"/>
                <w:lang w:eastAsia="sk-SK"/>
              </w:rPr>
              <w:t xml:space="preserve">Tabuľka </w:t>
            </w:r>
            <w:r>
              <w:rPr>
                <w:rFonts w:eastAsia="Times New Roman" w:cs="Times New Roman"/>
                <w:b/>
                <w:bCs/>
                <w:color w:val="5B9BD5"/>
                <w:sz w:val="20"/>
                <w:szCs w:val="20"/>
                <w:lang w:eastAsia="sk-SK"/>
              </w:rPr>
              <w:t>2</w:t>
            </w:r>
            <w:r w:rsidR="004A6E2F">
              <w:rPr>
                <w:rFonts w:eastAsia="Times New Roman" w:cs="Times New Roman"/>
                <w:b/>
                <w:bCs/>
                <w:color w:val="5B9BD5"/>
                <w:sz w:val="20"/>
                <w:szCs w:val="20"/>
                <w:lang w:eastAsia="sk-SK"/>
              </w:rPr>
              <w:t>4</w:t>
            </w:r>
            <w:r w:rsidRPr="00E316B9">
              <w:rPr>
                <w:rFonts w:eastAsia="Times New Roman" w:cs="Times New Roman"/>
                <w:b/>
                <w:bCs/>
                <w:color w:val="5B9BD5"/>
                <w:sz w:val="20"/>
                <w:szCs w:val="20"/>
                <w:lang w:eastAsia="sk-SK"/>
              </w:rPr>
              <w:t xml:space="preserve"> - Daňové príjmy štátneho rozpočtu</w:t>
            </w:r>
            <w:r>
              <w:rPr>
                <w:rFonts w:eastAsia="Times New Roman" w:cs="Times New Roman"/>
                <w:b/>
                <w:bCs/>
                <w:color w:val="5B9BD5"/>
                <w:sz w:val="20"/>
                <w:szCs w:val="20"/>
                <w:lang w:eastAsia="sk-SK"/>
              </w:rPr>
              <w:t xml:space="preserve"> na hotovostnej báze</w:t>
            </w:r>
            <w:r w:rsidRPr="00E316B9">
              <w:rPr>
                <w:rFonts w:eastAsia="Times New Roman" w:cs="Times New Roman"/>
                <w:b/>
                <w:bCs/>
                <w:color w:val="5B9BD5"/>
                <w:sz w:val="20"/>
                <w:szCs w:val="20"/>
                <w:lang w:eastAsia="sk-SK"/>
              </w:rPr>
              <w:t xml:space="preserve"> </w:t>
            </w:r>
          </w:p>
        </w:tc>
        <w:tc>
          <w:tcPr>
            <w:tcW w:w="538" w:type="pct"/>
            <w:tcBorders>
              <w:top w:val="nil"/>
              <w:left w:val="nil"/>
              <w:bottom w:val="single" w:sz="8" w:space="0" w:color="auto"/>
              <w:right w:val="nil"/>
            </w:tcBorders>
            <w:shd w:val="clear" w:color="auto" w:fill="auto"/>
            <w:noWrap/>
            <w:vAlign w:val="center"/>
            <w:hideMark/>
          </w:tcPr>
          <w:p w14:paraId="04E2FEE7" w14:textId="4FEC407D" w:rsidR="00B2402D" w:rsidRPr="00E316B9" w:rsidRDefault="00B2402D" w:rsidP="00D2560E">
            <w:pPr>
              <w:spacing w:after="0" w:line="240" w:lineRule="auto"/>
              <w:jc w:val="left"/>
              <w:rPr>
                <w:rFonts w:eastAsia="Times New Roman" w:cs="Times New Roman"/>
                <w:b/>
                <w:bCs/>
                <w:color w:val="2F75B5"/>
                <w:sz w:val="20"/>
                <w:szCs w:val="20"/>
                <w:lang w:eastAsia="sk-SK"/>
              </w:rPr>
            </w:pPr>
          </w:p>
        </w:tc>
        <w:tc>
          <w:tcPr>
            <w:tcW w:w="537" w:type="pct"/>
            <w:tcBorders>
              <w:top w:val="nil"/>
              <w:left w:val="nil"/>
              <w:bottom w:val="single" w:sz="8" w:space="0" w:color="auto"/>
              <w:right w:val="nil"/>
            </w:tcBorders>
            <w:shd w:val="clear" w:color="auto" w:fill="auto"/>
            <w:noWrap/>
            <w:vAlign w:val="center"/>
            <w:hideMark/>
          </w:tcPr>
          <w:p w14:paraId="135994B3" w14:textId="76899FE2" w:rsidR="00B2402D" w:rsidRPr="00E316B9" w:rsidRDefault="00B2402D" w:rsidP="00D2560E">
            <w:pPr>
              <w:spacing w:after="0" w:line="240" w:lineRule="auto"/>
              <w:jc w:val="left"/>
              <w:rPr>
                <w:rFonts w:eastAsia="Times New Roman" w:cs="Times New Roman"/>
                <w:b/>
                <w:bCs/>
                <w:color w:val="2F75B5"/>
                <w:sz w:val="20"/>
                <w:szCs w:val="20"/>
                <w:lang w:eastAsia="sk-SK"/>
              </w:rPr>
            </w:pPr>
          </w:p>
        </w:tc>
        <w:tc>
          <w:tcPr>
            <w:tcW w:w="384" w:type="pct"/>
            <w:tcBorders>
              <w:top w:val="nil"/>
              <w:left w:val="nil"/>
              <w:bottom w:val="single" w:sz="8" w:space="0" w:color="auto"/>
              <w:right w:val="nil"/>
            </w:tcBorders>
            <w:shd w:val="clear" w:color="auto" w:fill="auto"/>
            <w:noWrap/>
            <w:vAlign w:val="center"/>
          </w:tcPr>
          <w:p w14:paraId="6EAA5404" w14:textId="5AF58EDE" w:rsidR="00B2402D" w:rsidRPr="00E316B9" w:rsidRDefault="00B2402D" w:rsidP="00D2560E">
            <w:pPr>
              <w:spacing w:after="0" w:line="240" w:lineRule="auto"/>
              <w:jc w:val="left"/>
              <w:rPr>
                <w:rFonts w:eastAsia="Times New Roman" w:cs="Times New Roman"/>
                <w:b/>
                <w:bCs/>
                <w:color w:val="2F75B5"/>
                <w:sz w:val="20"/>
                <w:szCs w:val="20"/>
                <w:lang w:eastAsia="sk-SK"/>
              </w:rPr>
            </w:pPr>
          </w:p>
        </w:tc>
      </w:tr>
      <w:tr w:rsidR="00B2402D" w:rsidRPr="006D37EA" w14:paraId="35E66AF7" w14:textId="77777777" w:rsidTr="00D2560E">
        <w:trPr>
          <w:trHeight w:val="528"/>
        </w:trPr>
        <w:tc>
          <w:tcPr>
            <w:tcW w:w="1696" w:type="pct"/>
            <w:vMerge w:val="restart"/>
            <w:tcBorders>
              <w:top w:val="nil"/>
              <w:left w:val="nil"/>
              <w:bottom w:val="single" w:sz="8" w:space="0" w:color="000000"/>
              <w:right w:val="nil"/>
            </w:tcBorders>
            <w:shd w:val="clear" w:color="auto" w:fill="auto"/>
            <w:vAlign w:val="center"/>
            <w:hideMark/>
          </w:tcPr>
          <w:p w14:paraId="42B7D159" w14:textId="77777777" w:rsidR="00B2402D" w:rsidRPr="006D37EA" w:rsidRDefault="00B2402D" w:rsidP="00D2560E">
            <w:pPr>
              <w:spacing w:after="0" w:line="240" w:lineRule="auto"/>
              <w:jc w:val="lef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v tis. eur</w:t>
            </w:r>
          </w:p>
        </w:tc>
        <w:tc>
          <w:tcPr>
            <w:tcW w:w="615" w:type="pct"/>
            <w:tcBorders>
              <w:top w:val="nil"/>
              <w:left w:val="nil"/>
              <w:bottom w:val="nil"/>
              <w:right w:val="nil"/>
            </w:tcBorders>
            <w:shd w:val="clear" w:color="auto" w:fill="auto"/>
            <w:vAlign w:val="center"/>
            <w:hideMark/>
          </w:tcPr>
          <w:p w14:paraId="20E721BE"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2021 S</w:t>
            </w:r>
          </w:p>
        </w:tc>
        <w:tc>
          <w:tcPr>
            <w:tcW w:w="615" w:type="pct"/>
            <w:tcBorders>
              <w:top w:val="nil"/>
              <w:left w:val="nil"/>
              <w:bottom w:val="nil"/>
              <w:right w:val="nil"/>
            </w:tcBorders>
            <w:shd w:val="clear" w:color="auto" w:fill="auto"/>
            <w:vAlign w:val="center"/>
            <w:hideMark/>
          </w:tcPr>
          <w:p w14:paraId="5E064AC4"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2022 S</w:t>
            </w:r>
          </w:p>
        </w:tc>
        <w:tc>
          <w:tcPr>
            <w:tcW w:w="615" w:type="pct"/>
            <w:tcBorders>
              <w:top w:val="nil"/>
              <w:left w:val="nil"/>
              <w:bottom w:val="nil"/>
              <w:right w:val="nil"/>
            </w:tcBorders>
            <w:shd w:val="clear" w:color="auto" w:fill="auto"/>
            <w:vAlign w:val="center"/>
            <w:hideMark/>
          </w:tcPr>
          <w:p w14:paraId="326F2BC1"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2023 R</w:t>
            </w:r>
          </w:p>
        </w:tc>
        <w:tc>
          <w:tcPr>
            <w:tcW w:w="538" w:type="pct"/>
            <w:tcBorders>
              <w:top w:val="nil"/>
              <w:left w:val="nil"/>
              <w:bottom w:val="nil"/>
              <w:right w:val="nil"/>
            </w:tcBorders>
            <w:shd w:val="clear" w:color="auto" w:fill="auto"/>
            <w:vAlign w:val="center"/>
            <w:hideMark/>
          </w:tcPr>
          <w:p w14:paraId="6DEE49D3"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2023 S</w:t>
            </w:r>
          </w:p>
        </w:tc>
        <w:tc>
          <w:tcPr>
            <w:tcW w:w="537" w:type="pct"/>
            <w:tcBorders>
              <w:top w:val="nil"/>
              <w:left w:val="nil"/>
              <w:bottom w:val="nil"/>
              <w:right w:val="nil"/>
            </w:tcBorders>
            <w:shd w:val="clear" w:color="auto" w:fill="auto"/>
            <w:vAlign w:val="center"/>
            <w:hideMark/>
          </w:tcPr>
          <w:p w14:paraId="69932520"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Rozdiel</w:t>
            </w:r>
          </w:p>
        </w:tc>
        <w:tc>
          <w:tcPr>
            <w:tcW w:w="384" w:type="pct"/>
            <w:tcBorders>
              <w:top w:val="nil"/>
              <w:left w:val="nil"/>
              <w:bottom w:val="nil"/>
              <w:right w:val="nil"/>
            </w:tcBorders>
            <w:shd w:val="clear" w:color="auto" w:fill="auto"/>
            <w:vAlign w:val="center"/>
            <w:hideMark/>
          </w:tcPr>
          <w:p w14:paraId="4D043808"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v %</w:t>
            </w:r>
          </w:p>
        </w:tc>
      </w:tr>
      <w:tr w:rsidR="00B2402D" w:rsidRPr="006D37EA" w14:paraId="4D0F6A2C" w14:textId="77777777" w:rsidTr="00D2560E">
        <w:trPr>
          <w:trHeight w:val="300"/>
        </w:trPr>
        <w:tc>
          <w:tcPr>
            <w:tcW w:w="1696" w:type="pct"/>
            <w:vMerge/>
            <w:tcBorders>
              <w:top w:val="nil"/>
              <w:left w:val="nil"/>
              <w:bottom w:val="single" w:sz="8" w:space="0" w:color="000000"/>
              <w:right w:val="nil"/>
            </w:tcBorders>
            <w:vAlign w:val="center"/>
            <w:hideMark/>
          </w:tcPr>
          <w:p w14:paraId="63A25A53" w14:textId="77777777" w:rsidR="00B2402D" w:rsidRPr="006D37EA" w:rsidRDefault="00B2402D" w:rsidP="00D2560E">
            <w:pPr>
              <w:spacing w:after="0" w:line="240" w:lineRule="auto"/>
              <w:jc w:val="left"/>
              <w:rPr>
                <w:rFonts w:eastAsia="Times New Roman" w:cs="Times New Roman"/>
                <w:b/>
                <w:bCs/>
                <w:color w:val="000000"/>
                <w:sz w:val="18"/>
                <w:szCs w:val="18"/>
                <w:lang w:eastAsia="sk-SK"/>
              </w:rPr>
            </w:pPr>
          </w:p>
        </w:tc>
        <w:tc>
          <w:tcPr>
            <w:tcW w:w="615" w:type="pct"/>
            <w:tcBorders>
              <w:top w:val="nil"/>
              <w:left w:val="nil"/>
              <w:bottom w:val="single" w:sz="8" w:space="0" w:color="auto"/>
              <w:right w:val="nil"/>
            </w:tcBorders>
            <w:shd w:val="clear" w:color="auto" w:fill="auto"/>
            <w:vAlign w:val="center"/>
            <w:hideMark/>
          </w:tcPr>
          <w:p w14:paraId="666FFEC3"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1</w:t>
            </w:r>
          </w:p>
        </w:tc>
        <w:tc>
          <w:tcPr>
            <w:tcW w:w="615" w:type="pct"/>
            <w:tcBorders>
              <w:top w:val="nil"/>
              <w:left w:val="nil"/>
              <w:bottom w:val="single" w:sz="8" w:space="0" w:color="auto"/>
              <w:right w:val="nil"/>
            </w:tcBorders>
            <w:shd w:val="clear" w:color="auto" w:fill="auto"/>
            <w:vAlign w:val="center"/>
            <w:hideMark/>
          </w:tcPr>
          <w:p w14:paraId="718D6C28"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2</w:t>
            </w:r>
          </w:p>
        </w:tc>
        <w:tc>
          <w:tcPr>
            <w:tcW w:w="615" w:type="pct"/>
            <w:tcBorders>
              <w:top w:val="nil"/>
              <w:left w:val="nil"/>
              <w:bottom w:val="single" w:sz="8" w:space="0" w:color="auto"/>
              <w:right w:val="nil"/>
            </w:tcBorders>
            <w:shd w:val="clear" w:color="auto" w:fill="auto"/>
            <w:vAlign w:val="center"/>
            <w:hideMark/>
          </w:tcPr>
          <w:p w14:paraId="597B3B42"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3</w:t>
            </w:r>
          </w:p>
        </w:tc>
        <w:tc>
          <w:tcPr>
            <w:tcW w:w="538" w:type="pct"/>
            <w:tcBorders>
              <w:top w:val="nil"/>
              <w:left w:val="nil"/>
              <w:bottom w:val="single" w:sz="8" w:space="0" w:color="auto"/>
              <w:right w:val="nil"/>
            </w:tcBorders>
            <w:shd w:val="clear" w:color="auto" w:fill="auto"/>
            <w:vAlign w:val="center"/>
            <w:hideMark/>
          </w:tcPr>
          <w:p w14:paraId="679D2F36"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4</w:t>
            </w:r>
          </w:p>
        </w:tc>
        <w:tc>
          <w:tcPr>
            <w:tcW w:w="537" w:type="pct"/>
            <w:tcBorders>
              <w:top w:val="nil"/>
              <w:left w:val="nil"/>
              <w:bottom w:val="single" w:sz="8" w:space="0" w:color="auto"/>
              <w:right w:val="nil"/>
            </w:tcBorders>
            <w:shd w:val="clear" w:color="auto" w:fill="auto"/>
            <w:vAlign w:val="center"/>
            <w:hideMark/>
          </w:tcPr>
          <w:p w14:paraId="14291B76"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5=4-3</w:t>
            </w:r>
          </w:p>
        </w:tc>
        <w:tc>
          <w:tcPr>
            <w:tcW w:w="384" w:type="pct"/>
            <w:tcBorders>
              <w:top w:val="nil"/>
              <w:left w:val="nil"/>
              <w:bottom w:val="single" w:sz="8" w:space="0" w:color="auto"/>
              <w:right w:val="nil"/>
            </w:tcBorders>
            <w:shd w:val="clear" w:color="auto" w:fill="auto"/>
            <w:vAlign w:val="center"/>
            <w:hideMark/>
          </w:tcPr>
          <w:p w14:paraId="080F467A"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6=4-3</w:t>
            </w:r>
          </w:p>
        </w:tc>
      </w:tr>
      <w:tr w:rsidR="00B2402D" w:rsidRPr="006D37EA" w14:paraId="5BBCEAB5" w14:textId="77777777" w:rsidTr="00D2560E">
        <w:trPr>
          <w:trHeight w:val="288"/>
        </w:trPr>
        <w:tc>
          <w:tcPr>
            <w:tcW w:w="1696" w:type="pct"/>
            <w:tcBorders>
              <w:top w:val="nil"/>
              <w:left w:val="nil"/>
              <w:bottom w:val="nil"/>
              <w:right w:val="nil"/>
            </w:tcBorders>
            <w:shd w:val="clear" w:color="auto" w:fill="auto"/>
            <w:noWrap/>
            <w:vAlign w:val="center"/>
            <w:hideMark/>
          </w:tcPr>
          <w:p w14:paraId="6368E822" w14:textId="77777777" w:rsidR="00B2402D" w:rsidRPr="006D37EA" w:rsidRDefault="00B2402D" w:rsidP="00D2560E">
            <w:pPr>
              <w:spacing w:after="0" w:line="240" w:lineRule="auto"/>
              <w:jc w:val="lef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Dane za tovary a služby</w:t>
            </w:r>
          </w:p>
        </w:tc>
        <w:tc>
          <w:tcPr>
            <w:tcW w:w="615" w:type="pct"/>
            <w:tcBorders>
              <w:top w:val="nil"/>
              <w:left w:val="nil"/>
              <w:bottom w:val="nil"/>
              <w:right w:val="nil"/>
            </w:tcBorders>
            <w:shd w:val="clear" w:color="auto" w:fill="auto"/>
            <w:noWrap/>
            <w:vAlign w:val="center"/>
            <w:hideMark/>
          </w:tcPr>
          <w:p w14:paraId="4A9E4B80"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10 327 344</w:t>
            </w:r>
          </w:p>
        </w:tc>
        <w:tc>
          <w:tcPr>
            <w:tcW w:w="615" w:type="pct"/>
            <w:tcBorders>
              <w:top w:val="nil"/>
              <w:left w:val="nil"/>
              <w:bottom w:val="nil"/>
              <w:right w:val="nil"/>
            </w:tcBorders>
            <w:shd w:val="clear" w:color="auto" w:fill="auto"/>
            <w:noWrap/>
            <w:vAlign w:val="center"/>
            <w:hideMark/>
          </w:tcPr>
          <w:p w14:paraId="35C33D99"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11 330 228</w:t>
            </w:r>
          </w:p>
        </w:tc>
        <w:tc>
          <w:tcPr>
            <w:tcW w:w="615" w:type="pct"/>
            <w:tcBorders>
              <w:top w:val="nil"/>
              <w:left w:val="nil"/>
              <w:bottom w:val="nil"/>
              <w:right w:val="nil"/>
            </w:tcBorders>
            <w:shd w:val="clear" w:color="000000" w:fill="FFFFFF"/>
            <w:noWrap/>
            <w:vAlign w:val="center"/>
            <w:hideMark/>
          </w:tcPr>
          <w:p w14:paraId="1E1EF718"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12 771 663</w:t>
            </w:r>
          </w:p>
        </w:tc>
        <w:tc>
          <w:tcPr>
            <w:tcW w:w="538" w:type="pct"/>
            <w:tcBorders>
              <w:top w:val="nil"/>
              <w:left w:val="nil"/>
              <w:bottom w:val="nil"/>
              <w:right w:val="nil"/>
            </w:tcBorders>
            <w:shd w:val="clear" w:color="auto" w:fill="auto"/>
            <w:noWrap/>
            <w:vAlign w:val="center"/>
            <w:hideMark/>
          </w:tcPr>
          <w:p w14:paraId="24FA0566"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12 450 214</w:t>
            </w:r>
          </w:p>
        </w:tc>
        <w:tc>
          <w:tcPr>
            <w:tcW w:w="537" w:type="pct"/>
            <w:tcBorders>
              <w:top w:val="nil"/>
              <w:left w:val="nil"/>
              <w:bottom w:val="nil"/>
              <w:right w:val="nil"/>
            </w:tcBorders>
            <w:shd w:val="clear" w:color="000000" w:fill="FFFFFF"/>
            <w:vAlign w:val="center"/>
            <w:hideMark/>
          </w:tcPr>
          <w:p w14:paraId="26ADDDF1"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-321 449</w:t>
            </w:r>
          </w:p>
        </w:tc>
        <w:tc>
          <w:tcPr>
            <w:tcW w:w="384" w:type="pct"/>
            <w:tcBorders>
              <w:top w:val="nil"/>
              <w:left w:val="nil"/>
              <w:bottom w:val="nil"/>
              <w:right w:val="nil"/>
            </w:tcBorders>
            <w:shd w:val="clear" w:color="000000" w:fill="FFFFFF"/>
            <w:vAlign w:val="center"/>
            <w:hideMark/>
          </w:tcPr>
          <w:p w14:paraId="77282FC1"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-2,5</w:t>
            </w:r>
          </w:p>
        </w:tc>
      </w:tr>
      <w:tr w:rsidR="00B2402D" w:rsidRPr="006D37EA" w14:paraId="064ED83B" w14:textId="77777777" w:rsidTr="00D2560E">
        <w:trPr>
          <w:trHeight w:val="288"/>
        </w:trPr>
        <w:tc>
          <w:tcPr>
            <w:tcW w:w="1696" w:type="pct"/>
            <w:tcBorders>
              <w:top w:val="nil"/>
              <w:left w:val="nil"/>
              <w:bottom w:val="nil"/>
              <w:right w:val="nil"/>
            </w:tcBorders>
            <w:shd w:val="clear" w:color="auto" w:fill="auto"/>
            <w:noWrap/>
            <w:vAlign w:val="center"/>
            <w:hideMark/>
          </w:tcPr>
          <w:p w14:paraId="79851BA9" w14:textId="77777777" w:rsidR="00B2402D" w:rsidRPr="006D37EA" w:rsidRDefault="00B2402D" w:rsidP="00D2560E">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 xml:space="preserve">v tom: </w:t>
            </w:r>
          </w:p>
        </w:tc>
        <w:tc>
          <w:tcPr>
            <w:tcW w:w="615" w:type="pct"/>
            <w:tcBorders>
              <w:top w:val="nil"/>
              <w:left w:val="nil"/>
              <w:bottom w:val="nil"/>
              <w:right w:val="nil"/>
            </w:tcBorders>
            <w:shd w:val="clear" w:color="auto" w:fill="auto"/>
            <w:noWrap/>
            <w:vAlign w:val="center"/>
            <w:hideMark/>
          </w:tcPr>
          <w:p w14:paraId="0283108B" w14:textId="77777777" w:rsidR="00B2402D" w:rsidRPr="006D37EA" w:rsidRDefault="00B2402D" w:rsidP="00D2560E">
            <w:pPr>
              <w:spacing w:after="0" w:line="240" w:lineRule="auto"/>
              <w:jc w:val="left"/>
              <w:rPr>
                <w:rFonts w:eastAsia="Times New Roman" w:cs="Times New Roman"/>
                <w:color w:val="000000"/>
                <w:sz w:val="18"/>
                <w:szCs w:val="18"/>
                <w:lang w:eastAsia="sk-SK"/>
              </w:rPr>
            </w:pPr>
          </w:p>
        </w:tc>
        <w:tc>
          <w:tcPr>
            <w:tcW w:w="615" w:type="pct"/>
            <w:tcBorders>
              <w:top w:val="nil"/>
              <w:left w:val="nil"/>
              <w:bottom w:val="nil"/>
              <w:right w:val="nil"/>
            </w:tcBorders>
            <w:shd w:val="clear" w:color="auto" w:fill="auto"/>
            <w:noWrap/>
            <w:vAlign w:val="center"/>
            <w:hideMark/>
          </w:tcPr>
          <w:p w14:paraId="791E5891" w14:textId="77777777" w:rsidR="00B2402D" w:rsidRPr="006D37EA" w:rsidRDefault="00B2402D" w:rsidP="00D2560E">
            <w:pPr>
              <w:spacing w:after="0" w:line="240" w:lineRule="auto"/>
              <w:jc w:val="left"/>
              <w:rPr>
                <w:rFonts w:eastAsia="Times New Roman" w:cs="Times New Roman"/>
                <w:sz w:val="18"/>
                <w:szCs w:val="18"/>
                <w:lang w:eastAsia="sk-SK"/>
              </w:rPr>
            </w:pPr>
          </w:p>
        </w:tc>
        <w:tc>
          <w:tcPr>
            <w:tcW w:w="615" w:type="pct"/>
            <w:tcBorders>
              <w:top w:val="nil"/>
              <w:left w:val="nil"/>
              <w:bottom w:val="nil"/>
              <w:right w:val="nil"/>
            </w:tcBorders>
            <w:shd w:val="clear" w:color="auto" w:fill="auto"/>
            <w:noWrap/>
            <w:vAlign w:val="center"/>
            <w:hideMark/>
          </w:tcPr>
          <w:p w14:paraId="1C38BC19" w14:textId="77777777" w:rsidR="00B2402D" w:rsidRPr="006D37EA" w:rsidRDefault="00B2402D" w:rsidP="00D2560E">
            <w:pPr>
              <w:spacing w:after="0" w:line="240" w:lineRule="auto"/>
              <w:jc w:val="left"/>
              <w:rPr>
                <w:rFonts w:eastAsia="Times New Roman" w:cs="Times New Roman"/>
                <w:sz w:val="18"/>
                <w:szCs w:val="18"/>
                <w:lang w:eastAsia="sk-SK"/>
              </w:rPr>
            </w:pPr>
          </w:p>
        </w:tc>
        <w:tc>
          <w:tcPr>
            <w:tcW w:w="538" w:type="pct"/>
            <w:tcBorders>
              <w:top w:val="nil"/>
              <w:left w:val="nil"/>
              <w:bottom w:val="nil"/>
              <w:right w:val="nil"/>
            </w:tcBorders>
            <w:shd w:val="clear" w:color="auto" w:fill="auto"/>
            <w:noWrap/>
            <w:vAlign w:val="center"/>
            <w:hideMark/>
          </w:tcPr>
          <w:p w14:paraId="4794DA95" w14:textId="77777777" w:rsidR="00B2402D" w:rsidRPr="006D37EA" w:rsidRDefault="00B2402D" w:rsidP="00D2560E">
            <w:pPr>
              <w:spacing w:after="0" w:line="240" w:lineRule="auto"/>
              <w:jc w:val="left"/>
              <w:rPr>
                <w:rFonts w:eastAsia="Times New Roman" w:cs="Times New Roman"/>
                <w:sz w:val="18"/>
                <w:szCs w:val="18"/>
                <w:lang w:eastAsia="sk-SK"/>
              </w:rPr>
            </w:pPr>
          </w:p>
        </w:tc>
        <w:tc>
          <w:tcPr>
            <w:tcW w:w="537" w:type="pct"/>
            <w:tcBorders>
              <w:top w:val="nil"/>
              <w:left w:val="nil"/>
              <w:bottom w:val="nil"/>
              <w:right w:val="nil"/>
            </w:tcBorders>
            <w:shd w:val="clear" w:color="000000" w:fill="FFFFFF"/>
            <w:vAlign w:val="center"/>
            <w:hideMark/>
          </w:tcPr>
          <w:p w14:paraId="34925541"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 </w:t>
            </w:r>
          </w:p>
        </w:tc>
        <w:tc>
          <w:tcPr>
            <w:tcW w:w="384" w:type="pct"/>
            <w:tcBorders>
              <w:top w:val="nil"/>
              <w:left w:val="nil"/>
              <w:bottom w:val="nil"/>
              <w:right w:val="nil"/>
            </w:tcBorders>
            <w:shd w:val="clear" w:color="000000" w:fill="FFFFFF"/>
            <w:vAlign w:val="center"/>
            <w:hideMark/>
          </w:tcPr>
          <w:p w14:paraId="6CDD7142"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 </w:t>
            </w:r>
          </w:p>
        </w:tc>
      </w:tr>
      <w:tr w:rsidR="00B2402D" w:rsidRPr="006D37EA" w14:paraId="581688E4" w14:textId="77777777" w:rsidTr="00D2560E">
        <w:trPr>
          <w:trHeight w:val="288"/>
        </w:trPr>
        <w:tc>
          <w:tcPr>
            <w:tcW w:w="1696" w:type="pct"/>
            <w:tcBorders>
              <w:top w:val="nil"/>
              <w:left w:val="nil"/>
              <w:bottom w:val="nil"/>
              <w:right w:val="nil"/>
            </w:tcBorders>
            <w:shd w:val="clear" w:color="auto" w:fill="auto"/>
            <w:noWrap/>
            <w:vAlign w:val="center"/>
            <w:hideMark/>
          </w:tcPr>
          <w:p w14:paraId="19CA0E9A" w14:textId="77777777" w:rsidR="00B2402D" w:rsidRPr="006D37EA" w:rsidRDefault="00B2402D" w:rsidP="00D2560E">
            <w:pPr>
              <w:spacing w:after="0" w:line="240" w:lineRule="auto"/>
              <w:jc w:val="left"/>
              <w:rPr>
                <w:rFonts w:eastAsia="Times New Roman" w:cs="Times New Roman"/>
                <w:i/>
                <w:iCs/>
                <w:color w:val="000000"/>
                <w:sz w:val="18"/>
                <w:szCs w:val="18"/>
                <w:lang w:eastAsia="sk-SK"/>
              </w:rPr>
            </w:pPr>
            <w:r w:rsidRPr="006D37EA">
              <w:rPr>
                <w:rFonts w:eastAsia="Times New Roman" w:cs="Times New Roman"/>
                <w:i/>
                <w:iCs/>
                <w:color w:val="000000"/>
                <w:sz w:val="18"/>
                <w:szCs w:val="18"/>
                <w:lang w:eastAsia="sk-SK"/>
              </w:rPr>
              <w:t xml:space="preserve">     DPH</w:t>
            </w:r>
          </w:p>
        </w:tc>
        <w:tc>
          <w:tcPr>
            <w:tcW w:w="615" w:type="pct"/>
            <w:tcBorders>
              <w:top w:val="nil"/>
              <w:left w:val="nil"/>
              <w:bottom w:val="nil"/>
              <w:right w:val="nil"/>
            </w:tcBorders>
            <w:shd w:val="clear" w:color="auto" w:fill="auto"/>
            <w:noWrap/>
            <w:vAlign w:val="center"/>
            <w:hideMark/>
          </w:tcPr>
          <w:p w14:paraId="779EE223"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7 760 691</w:t>
            </w:r>
          </w:p>
        </w:tc>
        <w:tc>
          <w:tcPr>
            <w:tcW w:w="615" w:type="pct"/>
            <w:tcBorders>
              <w:top w:val="nil"/>
              <w:left w:val="nil"/>
              <w:bottom w:val="nil"/>
              <w:right w:val="nil"/>
            </w:tcBorders>
            <w:shd w:val="clear" w:color="auto" w:fill="auto"/>
            <w:noWrap/>
            <w:vAlign w:val="center"/>
            <w:hideMark/>
          </w:tcPr>
          <w:p w14:paraId="255661C3"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8 584 936</w:t>
            </w:r>
          </w:p>
        </w:tc>
        <w:tc>
          <w:tcPr>
            <w:tcW w:w="615" w:type="pct"/>
            <w:tcBorders>
              <w:top w:val="nil"/>
              <w:left w:val="nil"/>
              <w:bottom w:val="nil"/>
              <w:right w:val="nil"/>
            </w:tcBorders>
            <w:shd w:val="clear" w:color="auto" w:fill="auto"/>
            <w:noWrap/>
            <w:vAlign w:val="center"/>
            <w:hideMark/>
          </w:tcPr>
          <w:p w14:paraId="7DF131DB"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10 009 813</w:t>
            </w:r>
          </w:p>
        </w:tc>
        <w:tc>
          <w:tcPr>
            <w:tcW w:w="538" w:type="pct"/>
            <w:tcBorders>
              <w:top w:val="nil"/>
              <w:left w:val="nil"/>
              <w:bottom w:val="nil"/>
              <w:right w:val="nil"/>
            </w:tcBorders>
            <w:shd w:val="clear" w:color="auto" w:fill="auto"/>
            <w:noWrap/>
            <w:vAlign w:val="center"/>
            <w:hideMark/>
          </w:tcPr>
          <w:p w14:paraId="29128B5B"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9 649 064</w:t>
            </w:r>
          </w:p>
        </w:tc>
        <w:tc>
          <w:tcPr>
            <w:tcW w:w="537" w:type="pct"/>
            <w:tcBorders>
              <w:top w:val="nil"/>
              <w:left w:val="nil"/>
              <w:bottom w:val="nil"/>
              <w:right w:val="nil"/>
            </w:tcBorders>
            <w:shd w:val="clear" w:color="000000" w:fill="FFFFFF"/>
            <w:vAlign w:val="center"/>
            <w:hideMark/>
          </w:tcPr>
          <w:p w14:paraId="4778F202"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-360 749</w:t>
            </w:r>
          </w:p>
        </w:tc>
        <w:tc>
          <w:tcPr>
            <w:tcW w:w="384" w:type="pct"/>
            <w:tcBorders>
              <w:top w:val="nil"/>
              <w:left w:val="nil"/>
              <w:bottom w:val="nil"/>
              <w:right w:val="nil"/>
            </w:tcBorders>
            <w:shd w:val="clear" w:color="000000" w:fill="FFFFFF"/>
            <w:vAlign w:val="center"/>
            <w:hideMark/>
          </w:tcPr>
          <w:p w14:paraId="05E9094D"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-3,6</w:t>
            </w:r>
          </w:p>
        </w:tc>
      </w:tr>
      <w:tr w:rsidR="00B2402D" w:rsidRPr="006D37EA" w14:paraId="10DA4C45" w14:textId="77777777" w:rsidTr="00D2560E">
        <w:trPr>
          <w:trHeight w:val="288"/>
        </w:trPr>
        <w:tc>
          <w:tcPr>
            <w:tcW w:w="1696" w:type="pct"/>
            <w:tcBorders>
              <w:top w:val="nil"/>
              <w:left w:val="nil"/>
              <w:bottom w:val="nil"/>
              <w:right w:val="nil"/>
            </w:tcBorders>
            <w:shd w:val="clear" w:color="auto" w:fill="auto"/>
            <w:noWrap/>
            <w:vAlign w:val="center"/>
            <w:hideMark/>
          </w:tcPr>
          <w:p w14:paraId="738E7C53" w14:textId="77777777" w:rsidR="00B2402D" w:rsidRPr="006D37EA" w:rsidRDefault="00B2402D" w:rsidP="00D2560E">
            <w:pPr>
              <w:spacing w:after="0" w:line="240" w:lineRule="auto"/>
              <w:jc w:val="left"/>
              <w:rPr>
                <w:rFonts w:eastAsia="Times New Roman" w:cs="Times New Roman"/>
                <w:i/>
                <w:iCs/>
                <w:color w:val="000000"/>
                <w:sz w:val="18"/>
                <w:szCs w:val="18"/>
                <w:lang w:eastAsia="sk-SK"/>
              </w:rPr>
            </w:pPr>
            <w:r w:rsidRPr="006D37EA">
              <w:rPr>
                <w:rFonts w:eastAsia="Times New Roman" w:cs="Times New Roman"/>
                <w:i/>
                <w:iCs/>
                <w:color w:val="000000"/>
                <w:sz w:val="18"/>
                <w:szCs w:val="18"/>
                <w:lang w:eastAsia="sk-SK"/>
              </w:rPr>
              <w:t xml:space="preserve">     spotrebné dane</w:t>
            </w:r>
          </w:p>
        </w:tc>
        <w:tc>
          <w:tcPr>
            <w:tcW w:w="615" w:type="pct"/>
            <w:tcBorders>
              <w:top w:val="nil"/>
              <w:left w:val="nil"/>
              <w:bottom w:val="nil"/>
              <w:right w:val="nil"/>
            </w:tcBorders>
            <w:shd w:val="clear" w:color="auto" w:fill="auto"/>
            <w:noWrap/>
            <w:vAlign w:val="center"/>
            <w:hideMark/>
          </w:tcPr>
          <w:p w14:paraId="3C4472C4"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2 369 824</w:t>
            </w:r>
          </w:p>
        </w:tc>
        <w:tc>
          <w:tcPr>
            <w:tcW w:w="615" w:type="pct"/>
            <w:tcBorders>
              <w:top w:val="nil"/>
              <w:left w:val="nil"/>
              <w:bottom w:val="nil"/>
              <w:right w:val="nil"/>
            </w:tcBorders>
            <w:shd w:val="clear" w:color="auto" w:fill="auto"/>
            <w:noWrap/>
            <w:vAlign w:val="center"/>
            <w:hideMark/>
          </w:tcPr>
          <w:p w14:paraId="28F3915C"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2 524 521</w:t>
            </w:r>
          </w:p>
        </w:tc>
        <w:tc>
          <w:tcPr>
            <w:tcW w:w="615" w:type="pct"/>
            <w:tcBorders>
              <w:top w:val="nil"/>
              <w:left w:val="nil"/>
              <w:bottom w:val="nil"/>
              <w:right w:val="nil"/>
            </w:tcBorders>
            <w:shd w:val="clear" w:color="auto" w:fill="auto"/>
            <w:noWrap/>
            <w:vAlign w:val="center"/>
            <w:hideMark/>
          </w:tcPr>
          <w:p w14:paraId="231C4D31"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2 543 316</w:t>
            </w:r>
          </w:p>
        </w:tc>
        <w:tc>
          <w:tcPr>
            <w:tcW w:w="538" w:type="pct"/>
            <w:tcBorders>
              <w:top w:val="nil"/>
              <w:left w:val="nil"/>
              <w:bottom w:val="nil"/>
              <w:right w:val="nil"/>
            </w:tcBorders>
            <w:shd w:val="clear" w:color="auto" w:fill="auto"/>
            <w:noWrap/>
            <w:vAlign w:val="center"/>
            <w:hideMark/>
          </w:tcPr>
          <w:p w14:paraId="0FCA1151"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2 565 078</w:t>
            </w:r>
          </w:p>
        </w:tc>
        <w:tc>
          <w:tcPr>
            <w:tcW w:w="537" w:type="pct"/>
            <w:tcBorders>
              <w:top w:val="nil"/>
              <w:left w:val="nil"/>
              <w:bottom w:val="nil"/>
              <w:right w:val="nil"/>
            </w:tcBorders>
            <w:shd w:val="clear" w:color="000000" w:fill="FFFFFF"/>
            <w:vAlign w:val="center"/>
            <w:hideMark/>
          </w:tcPr>
          <w:p w14:paraId="560712F6"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21 762</w:t>
            </w:r>
          </w:p>
        </w:tc>
        <w:tc>
          <w:tcPr>
            <w:tcW w:w="384" w:type="pct"/>
            <w:tcBorders>
              <w:top w:val="nil"/>
              <w:left w:val="nil"/>
              <w:bottom w:val="nil"/>
              <w:right w:val="nil"/>
            </w:tcBorders>
            <w:shd w:val="clear" w:color="000000" w:fill="FFFFFF"/>
            <w:vAlign w:val="center"/>
            <w:hideMark/>
          </w:tcPr>
          <w:p w14:paraId="686F4C98"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0,9</w:t>
            </w:r>
          </w:p>
        </w:tc>
      </w:tr>
      <w:tr w:rsidR="00B2402D" w:rsidRPr="006D37EA" w14:paraId="0E54C30F" w14:textId="77777777" w:rsidTr="00D2560E">
        <w:trPr>
          <w:trHeight w:val="288"/>
        </w:trPr>
        <w:tc>
          <w:tcPr>
            <w:tcW w:w="1696" w:type="pct"/>
            <w:tcBorders>
              <w:top w:val="nil"/>
              <w:left w:val="nil"/>
              <w:bottom w:val="nil"/>
              <w:right w:val="nil"/>
            </w:tcBorders>
            <w:shd w:val="clear" w:color="auto" w:fill="auto"/>
            <w:noWrap/>
            <w:vAlign w:val="center"/>
            <w:hideMark/>
          </w:tcPr>
          <w:p w14:paraId="21ACBFDF" w14:textId="77777777" w:rsidR="00B2402D" w:rsidRPr="006D37EA" w:rsidRDefault="00B2402D" w:rsidP="00D2560E">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 xml:space="preserve">v tom: </w:t>
            </w:r>
          </w:p>
        </w:tc>
        <w:tc>
          <w:tcPr>
            <w:tcW w:w="615" w:type="pct"/>
            <w:tcBorders>
              <w:top w:val="nil"/>
              <w:left w:val="nil"/>
              <w:bottom w:val="nil"/>
              <w:right w:val="nil"/>
            </w:tcBorders>
            <w:shd w:val="clear" w:color="auto" w:fill="auto"/>
            <w:noWrap/>
            <w:vAlign w:val="center"/>
            <w:hideMark/>
          </w:tcPr>
          <w:p w14:paraId="7B498874" w14:textId="77777777" w:rsidR="00B2402D" w:rsidRPr="006D37EA" w:rsidRDefault="00B2402D" w:rsidP="00D2560E">
            <w:pPr>
              <w:spacing w:after="0" w:line="240" w:lineRule="auto"/>
              <w:jc w:val="left"/>
              <w:rPr>
                <w:rFonts w:eastAsia="Times New Roman" w:cs="Times New Roman"/>
                <w:color w:val="000000"/>
                <w:sz w:val="18"/>
                <w:szCs w:val="18"/>
                <w:lang w:eastAsia="sk-SK"/>
              </w:rPr>
            </w:pPr>
          </w:p>
        </w:tc>
        <w:tc>
          <w:tcPr>
            <w:tcW w:w="615" w:type="pct"/>
            <w:tcBorders>
              <w:top w:val="nil"/>
              <w:left w:val="nil"/>
              <w:bottom w:val="nil"/>
              <w:right w:val="nil"/>
            </w:tcBorders>
            <w:shd w:val="clear" w:color="auto" w:fill="auto"/>
            <w:noWrap/>
            <w:vAlign w:val="center"/>
            <w:hideMark/>
          </w:tcPr>
          <w:p w14:paraId="4F04BE0E" w14:textId="77777777" w:rsidR="00B2402D" w:rsidRPr="006D37EA" w:rsidRDefault="00B2402D" w:rsidP="00D2560E">
            <w:pPr>
              <w:spacing w:after="0" w:line="240" w:lineRule="auto"/>
              <w:jc w:val="left"/>
              <w:rPr>
                <w:rFonts w:eastAsia="Times New Roman" w:cs="Times New Roman"/>
                <w:sz w:val="18"/>
                <w:szCs w:val="18"/>
                <w:lang w:eastAsia="sk-SK"/>
              </w:rPr>
            </w:pPr>
          </w:p>
        </w:tc>
        <w:tc>
          <w:tcPr>
            <w:tcW w:w="615" w:type="pct"/>
            <w:tcBorders>
              <w:top w:val="nil"/>
              <w:left w:val="nil"/>
              <w:bottom w:val="nil"/>
              <w:right w:val="nil"/>
            </w:tcBorders>
            <w:shd w:val="clear" w:color="auto" w:fill="auto"/>
            <w:noWrap/>
            <w:vAlign w:val="center"/>
            <w:hideMark/>
          </w:tcPr>
          <w:p w14:paraId="03FBF8EE" w14:textId="77777777" w:rsidR="00B2402D" w:rsidRPr="006D37EA" w:rsidRDefault="00B2402D" w:rsidP="00D2560E">
            <w:pPr>
              <w:spacing w:after="0" w:line="240" w:lineRule="auto"/>
              <w:jc w:val="left"/>
              <w:rPr>
                <w:rFonts w:eastAsia="Times New Roman" w:cs="Times New Roman"/>
                <w:sz w:val="18"/>
                <w:szCs w:val="18"/>
                <w:lang w:eastAsia="sk-SK"/>
              </w:rPr>
            </w:pPr>
          </w:p>
        </w:tc>
        <w:tc>
          <w:tcPr>
            <w:tcW w:w="538" w:type="pct"/>
            <w:tcBorders>
              <w:top w:val="nil"/>
              <w:left w:val="nil"/>
              <w:bottom w:val="nil"/>
              <w:right w:val="nil"/>
            </w:tcBorders>
            <w:shd w:val="clear" w:color="auto" w:fill="auto"/>
            <w:noWrap/>
            <w:vAlign w:val="center"/>
            <w:hideMark/>
          </w:tcPr>
          <w:p w14:paraId="74896DC4" w14:textId="77777777" w:rsidR="00B2402D" w:rsidRPr="006D37EA" w:rsidRDefault="00B2402D" w:rsidP="00D2560E">
            <w:pPr>
              <w:spacing w:after="0" w:line="240" w:lineRule="auto"/>
              <w:jc w:val="left"/>
              <w:rPr>
                <w:rFonts w:eastAsia="Times New Roman" w:cs="Times New Roman"/>
                <w:sz w:val="18"/>
                <w:szCs w:val="18"/>
                <w:lang w:eastAsia="sk-SK"/>
              </w:rPr>
            </w:pPr>
          </w:p>
        </w:tc>
        <w:tc>
          <w:tcPr>
            <w:tcW w:w="537" w:type="pct"/>
            <w:tcBorders>
              <w:top w:val="nil"/>
              <w:left w:val="nil"/>
              <w:bottom w:val="nil"/>
              <w:right w:val="nil"/>
            </w:tcBorders>
            <w:shd w:val="clear" w:color="000000" w:fill="FFFFFF"/>
            <w:vAlign w:val="center"/>
            <w:hideMark/>
          </w:tcPr>
          <w:p w14:paraId="5744F7F4"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 </w:t>
            </w:r>
          </w:p>
        </w:tc>
        <w:tc>
          <w:tcPr>
            <w:tcW w:w="384" w:type="pct"/>
            <w:tcBorders>
              <w:top w:val="nil"/>
              <w:left w:val="nil"/>
              <w:bottom w:val="nil"/>
              <w:right w:val="nil"/>
            </w:tcBorders>
            <w:shd w:val="clear" w:color="000000" w:fill="FFFFFF"/>
            <w:vAlign w:val="center"/>
            <w:hideMark/>
          </w:tcPr>
          <w:p w14:paraId="0BE9404F"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 </w:t>
            </w:r>
          </w:p>
        </w:tc>
      </w:tr>
      <w:tr w:rsidR="00B2402D" w:rsidRPr="006D37EA" w14:paraId="34C0734D" w14:textId="77777777" w:rsidTr="00D2560E">
        <w:trPr>
          <w:trHeight w:val="288"/>
        </w:trPr>
        <w:tc>
          <w:tcPr>
            <w:tcW w:w="1696" w:type="pct"/>
            <w:tcBorders>
              <w:top w:val="nil"/>
              <w:left w:val="nil"/>
              <w:bottom w:val="nil"/>
              <w:right w:val="nil"/>
            </w:tcBorders>
            <w:shd w:val="clear" w:color="auto" w:fill="auto"/>
            <w:noWrap/>
            <w:vAlign w:val="center"/>
            <w:hideMark/>
          </w:tcPr>
          <w:p w14:paraId="64CBDE4E" w14:textId="77777777" w:rsidR="00B2402D" w:rsidRPr="006D37EA" w:rsidRDefault="00B2402D" w:rsidP="00D2560E">
            <w:pPr>
              <w:spacing w:after="0" w:line="240" w:lineRule="auto"/>
              <w:ind w:firstLineChars="100" w:firstLine="180"/>
              <w:jc w:val="left"/>
              <w:rPr>
                <w:rFonts w:eastAsia="Times New Roman" w:cs="Times New Roman"/>
                <w:i/>
                <w:iCs/>
                <w:color w:val="000000"/>
                <w:sz w:val="18"/>
                <w:szCs w:val="18"/>
                <w:lang w:eastAsia="sk-SK"/>
              </w:rPr>
            </w:pPr>
            <w:r w:rsidRPr="006D37EA">
              <w:rPr>
                <w:rFonts w:eastAsia="Times New Roman" w:cs="Times New Roman"/>
                <w:i/>
                <w:iCs/>
                <w:color w:val="000000"/>
                <w:sz w:val="18"/>
                <w:szCs w:val="18"/>
                <w:lang w:eastAsia="sk-SK"/>
              </w:rPr>
              <w:t>z minerálneho oleja</w:t>
            </w:r>
          </w:p>
        </w:tc>
        <w:tc>
          <w:tcPr>
            <w:tcW w:w="615" w:type="pct"/>
            <w:tcBorders>
              <w:top w:val="nil"/>
              <w:left w:val="nil"/>
              <w:bottom w:val="nil"/>
              <w:right w:val="nil"/>
            </w:tcBorders>
            <w:shd w:val="clear" w:color="auto" w:fill="auto"/>
            <w:noWrap/>
            <w:vAlign w:val="center"/>
            <w:hideMark/>
          </w:tcPr>
          <w:p w14:paraId="7C1C3797"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1 236 780</w:t>
            </w:r>
          </w:p>
        </w:tc>
        <w:tc>
          <w:tcPr>
            <w:tcW w:w="615" w:type="pct"/>
            <w:tcBorders>
              <w:top w:val="nil"/>
              <w:left w:val="nil"/>
              <w:bottom w:val="nil"/>
              <w:right w:val="nil"/>
            </w:tcBorders>
            <w:shd w:val="clear" w:color="auto" w:fill="auto"/>
            <w:noWrap/>
            <w:vAlign w:val="center"/>
            <w:hideMark/>
          </w:tcPr>
          <w:p w14:paraId="618D9337"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1 285 538</w:t>
            </w:r>
          </w:p>
        </w:tc>
        <w:tc>
          <w:tcPr>
            <w:tcW w:w="615" w:type="pct"/>
            <w:tcBorders>
              <w:top w:val="nil"/>
              <w:left w:val="nil"/>
              <w:bottom w:val="nil"/>
              <w:right w:val="nil"/>
            </w:tcBorders>
            <w:shd w:val="clear" w:color="auto" w:fill="auto"/>
            <w:noWrap/>
            <w:vAlign w:val="center"/>
            <w:hideMark/>
          </w:tcPr>
          <w:p w14:paraId="0F558C76"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1 292 229</w:t>
            </w:r>
          </w:p>
        </w:tc>
        <w:tc>
          <w:tcPr>
            <w:tcW w:w="538" w:type="pct"/>
            <w:tcBorders>
              <w:top w:val="nil"/>
              <w:left w:val="nil"/>
              <w:bottom w:val="nil"/>
              <w:right w:val="nil"/>
            </w:tcBorders>
            <w:shd w:val="clear" w:color="auto" w:fill="auto"/>
            <w:noWrap/>
            <w:vAlign w:val="center"/>
            <w:hideMark/>
          </w:tcPr>
          <w:p w14:paraId="5FFA386C"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1 317 484</w:t>
            </w:r>
          </w:p>
        </w:tc>
        <w:tc>
          <w:tcPr>
            <w:tcW w:w="537" w:type="pct"/>
            <w:tcBorders>
              <w:top w:val="nil"/>
              <w:left w:val="nil"/>
              <w:bottom w:val="nil"/>
              <w:right w:val="nil"/>
            </w:tcBorders>
            <w:shd w:val="clear" w:color="000000" w:fill="FFFFFF"/>
            <w:vAlign w:val="center"/>
            <w:hideMark/>
          </w:tcPr>
          <w:p w14:paraId="1D5371DC"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25 255</w:t>
            </w:r>
          </w:p>
        </w:tc>
        <w:tc>
          <w:tcPr>
            <w:tcW w:w="384" w:type="pct"/>
            <w:tcBorders>
              <w:top w:val="nil"/>
              <w:left w:val="nil"/>
              <w:bottom w:val="nil"/>
              <w:right w:val="nil"/>
            </w:tcBorders>
            <w:shd w:val="clear" w:color="000000" w:fill="FFFFFF"/>
            <w:vAlign w:val="center"/>
            <w:hideMark/>
          </w:tcPr>
          <w:p w14:paraId="2543CA9B"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2,0</w:t>
            </w:r>
          </w:p>
        </w:tc>
      </w:tr>
      <w:tr w:rsidR="00B2402D" w:rsidRPr="006D37EA" w14:paraId="0E310602" w14:textId="77777777" w:rsidTr="00D2560E">
        <w:trPr>
          <w:trHeight w:val="288"/>
        </w:trPr>
        <w:tc>
          <w:tcPr>
            <w:tcW w:w="1696" w:type="pct"/>
            <w:tcBorders>
              <w:top w:val="nil"/>
              <w:left w:val="nil"/>
              <w:bottom w:val="nil"/>
              <w:right w:val="nil"/>
            </w:tcBorders>
            <w:shd w:val="clear" w:color="auto" w:fill="auto"/>
            <w:noWrap/>
            <w:vAlign w:val="center"/>
            <w:hideMark/>
          </w:tcPr>
          <w:p w14:paraId="56142664" w14:textId="77777777" w:rsidR="00B2402D" w:rsidRPr="006D37EA" w:rsidRDefault="00B2402D" w:rsidP="00D2560E">
            <w:pPr>
              <w:spacing w:after="0" w:line="240" w:lineRule="auto"/>
              <w:ind w:firstLineChars="100" w:firstLine="180"/>
              <w:jc w:val="left"/>
              <w:rPr>
                <w:rFonts w:eastAsia="Times New Roman" w:cs="Times New Roman"/>
                <w:i/>
                <w:iCs/>
                <w:color w:val="000000"/>
                <w:sz w:val="18"/>
                <w:szCs w:val="18"/>
                <w:lang w:eastAsia="sk-SK"/>
              </w:rPr>
            </w:pPr>
            <w:r w:rsidRPr="006D37EA">
              <w:rPr>
                <w:rFonts w:eastAsia="Times New Roman" w:cs="Times New Roman"/>
                <w:i/>
                <w:iCs/>
                <w:color w:val="000000"/>
                <w:sz w:val="18"/>
                <w:szCs w:val="18"/>
                <w:lang w:eastAsia="sk-SK"/>
              </w:rPr>
              <w:t>z liehu</w:t>
            </w:r>
          </w:p>
        </w:tc>
        <w:tc>
          <w:tcPr>
            <w:tcW w:w="615" w:type="pct"/>
            <w:tcBorders>
              <w:top w:val="nil"/>
              <w:left w:val="nil"/>
              <w:bottom w:val="nil"/>
              <w:right w:val="nil"/>
            </w:tcBorders>
            <w:shd w:val="clear" w:color="auto" w:fill="auto"/>
            <w:noWrap/>
            <w:vAlign w:val="center"/>
            <w:hideMark/>
          </w:tcPr>
          <w:p w14:paraId="5E11A6DD"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214 776</w:t>
            </w:r>
          </w:p>
        </w:tc>
        <w:tc>
          <w:tcPr>
            <w:tcW w:w="615" w:type="pct"/>
            <w:tcBorders>
              <w:top w:val="nil"/>
              <w:left w:val="nil"/>
              <w:bottom w:val="nil"/>
              <w:right w:val="nil"/>
            </w:tcBorders>
            <w:shd w:val="clear" w:color="auto" w:fill="auto"/>
            <w:noWrap/>
            <w:vAlign w:val="center"/>
            <w:hideMark/>
          </w:tcPr>
          <w:p w14:paraId="663B52A3"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232 466</w:t>
            </w:r>
          </w:p>
        </w:tc>
        <w:tc>
          <w:tcPr>
            <w:tcW w:w="615" w:type="pct"/>
            <w:tcBorders>
              <w:top w:val="nil"/>
              <w:left w:val="nil"/>
              <w:bottom w:val="nil"/>
              <w:right w:val="nil"/>
            </w:tcBorders>
            <w:shd w:val="clear" w:color="auto" w:fill="auto"/>
            <w:noWrap/>
            <w:vAlign w:val="center"/>
            <w:hideMark/>
          </w:tcPr>
          <w:p w14:paraId="0CDE15B4"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216 699</w:t>
            </w:r>
          </w:p>
        </w:tc>
        <w:tc>
          <w:tcPr>
            <w:tcW w:w="538" w:type="pct"/>
            <w:tcBorders>
              <w:top w:val="nil"/>
              <w:left w:val="nil"/>
              <w:bottom w:val="nil"/>
              <w:right w:val="nil"/>
            </w:tcBorders>
            <w:shd w:val="clear" w:color="auto" w:fill="auto"/>
            <w:noWrap/>
            <w:vAlign w:val="center"/>
            <w:hideMark/>
          </w:tcPr>
          <w:p w14:paraId="3EF34FBD"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232 979</w:t>
            </w:r>
          </w:p>
        </w:tc>
        <w:tc>
          <w:tcPr>
            <w:tcW w:w="537" w:type="pct"/>
            <w:tcBorders>
              <w:top w:val="nil"/>
              <w:left w:val="nil"/>
              <w:bottom w:val="nil"/>
              <w:right w:val="nil"/>
            </w:tcBorders>
            <w:shd w:val="clear" w:color="000000" w:fill="FFFFFF"/>
            <w:vAlign w:val="center"/>
            <w:hideMark/>
          </w:tcPr>
          <w:p w14:paraId="1746EC17"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16 280</w:t>
            </w:r>
          </w:p>
        </w:tc>
        <w:tc>
          <w:tcPr>
            <w:tcW w:w="384" w:type="pct"/>
            <w:tcBorders>
              <w:top w:val="nil"/>
              <w:left w:val="nil"/>
              <w:bottom w:val="nil"/>
              <w:right w:val="nil"/>
            </w:tcBorders>
            <w:shd w:val="clear" w:color="000000" w:fill="FFFFFF"/>
            <w:vAlign w:val="center"/>
            <w:hideMark/>
          </w:tcPr>
          <w:p w14:paraId="16DBED73"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7,5</w:t>
            </w:r>
          </w:p>
        </w:tc>
      </w:tr>
      <w:tr w:rsidR="00B2402D" w:rsidRPr="006D37EA" w14:paraId="1C8DDF5F" w14:textId="77777777" w:rsidTr="00D2560E">
        <w:trPr>
          <w:trHeight w:val="288"/>
        </w:trPr>
        <w:tc>
          <w:tcPr>
            <w:tcW w:w="1696" w:type="pct"/>
            <w:tcBorders>
              <w:top w:val="nil"/>
              <w:left w:val="nil"/>
              <w:bottom w:val="nil"/>
              <w:right w:val="nil"/>
            </w:tcBorders>
            <w:shd w:val="clear" w:color="auto" w:fill="auto"/>
            <w:noWrap/>
            <w:vAlign w:val="center"/>
            <w:hideMark/>
          </w:tcPr>
          <w:p w14:paraId="09C03B2B" w14:textId="77777777" w:rsidR="00B2402D" w:rsidRPr="006D37EA" w:rsidRDefault="00B2402D" w:rsidP="00D2560E">
            <w:pPr>
              <w:spacing w:after="0" w:line="240" w:lineRule="auto"/>
              <w:ind w:firstLineChars="100" w:firstLine="180"/>
              <w:jc w:val="left"/>
              <w:rPr>
                <w:rFonts w:eastAsia="Times New Roman" w:cs="Times New Roman"/>
                <w:i/>
                <w:iCs/>
                <w:color w:val="000000"/>
                <w:sz w:val="18"/>
                <w:szCs w:val="18"/>
                <w:lang w:eastAsia="sk-SK"/>
              </w:rPr>
            </w:pPr>
            <w:r w:rsidRPr="006D37EA">
              <w:rPr>
                <w:rFonts w:eastAsia="Times New Roman" w:cs="Times New Roman"/>
                <w:i/>
                <w:iCs/>
                <w:color w:val="000000"/>
                <w:sz w:val="18"/>
                <w:szCs w:val="18"/>
                <w:lang w:eastAsia="sk-SK"/>
              </w:rPr>
              <w:t>z piva</w:t>
            </w:r>
          </w:p>
        </w:tc>
        <w:tc>
          <w:tcPr>
            <w:tcW w:w="615" w:type="pct"/>
            <w:tcBorders>
              <w:top w:val="nil"/>
              <w:left w:val="nil"/>
              <w:bottom w:val="nil"/>
              <w:right w:val="nil"/>
            </w:tcBorders>
            <w:shd w:val="clear" w:color="auto" w:fill="auto"/>
            <w:noWrap/>
            <w:vAlign w:val="center"/>
            <w:hideMark/>
          </w:tcPr>
          <w:p w14:paraId="2EAA9C31"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55 317</w:t>
            </w:r>
          </w:p>
        </w:tc>
        <w:tc>
          <w:tcPr>
            <w:tcW w:w="615" w:type="pct"/>
            <w:tcBorders>
              <w:top w:val="nil"/>
              <w:left w:val="nil"/>
              <w:bottom w:val="nil"/>
              <w:right w:val="nil"/>
            </w:tcBorders>
            <w:shd w:val="clear" w:color="auto" w:fill="auto"/>
            <w:noWrap/>
            <w:vAlign w:val="center"/>
            <w:hideMark/>
          </w:tcPr>
          <w:p w14:paraId="6236C6C9"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55 873</w:t>
            </w:r>
          </w:p>
        </w:tc>
        <w:tc>
          <w:tcPr>
            <w:tcW w:w="615" w:type="pct"/>
            <w:tcBorders>
              <w:top w:val="nil"/>
              <w:left w:val="nil"/>
              <w:bottom w:val="nil"/>
              <w:right w:val="nil"/>
            </w:tcBorders>
            <w:shd w:val="clear" w:color="auto" w:fill="auto"/>
            <w:noWrap/>
            <w:vAlign w:val="center"/>
            <w:hideMark/>
          </w:tcPr>
          <w:p w14:paraId="6A74F5B1"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54 633</w:t>
            </w:r>
          </w:p>
        </w:tc>
        <w:tc>
          <w:tcPr>
            <w:tcW w:w="538" w:type="pct"/>
            <w:tcBorders>
              <w:top w:val="nil"/>
              <w:left w:val="nil"/>
              <w:bottom w:val="nil"/>
              <w:right w:val="nil"/>
            </w:tcBorders>
            <w:shd w:val="clear" w:color="auto" w:fill="auto"/>
            <w:noWrap/>
            <w:vAlign w:val="center"/>
            <w:hideMark/>
          </w:tcPr>
          <w:p w14:paraId="24027DFD"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53 387</w:t>
            </w:r>
          </w:p>
        </w:tc>
        <w:tc>
          <w:tcPr>
            <w:tcW w:w="537" w:type="pct"/>
            <w:tcBorders>
              <w:top w:val="nil"/>
              <w:left w:val="nil"/>
              <w:bottom w:val="nil"/>
              <w:right w:val="nil"/>
            </w:tcBorders>
            <w:shd w:val="clear" w:color="000000" w:fill="FFFFFF"/>
            <w:vAlign w:val="center"/>
            <w:hideMark/>
          </w:tcPr>
          <w:p w14:paraId="0EA821F6"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-1 246</w:t>
            </w:r>
          </w:p>
        </w:tc>
        <w:tc>
          <w:tcPr>
            <w:tcW w:w="384" w:type="pct"/>
            <w:tcBorders>
              <w:top w:val="nil"/>
              <w:left w:val="nil"/>
              <w:bottom w:val="nil"/>
              <w:right w:val="nil"/>
            </w:tcBorders>
            <w:shd w:val="clear" w:color="000000" w:fill="FFFFFF"/>
            <w:vAlign w:val="center"/>
            <w:hideMark/>
          </w:tcPr>
          <w:p w14:paraId="632BA60B"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-2,3</w:t>
            </w:r>
          </w:p>
        </w:tc>
      </w:tr>
      <w:tr w:rsidR="00B2402D" w:rsidRPr="006D37EA" w14:paraId="54778371" w14:textId="77777777" w:rsidTr="00D2560E">
        <w:trPr>
          <w:trHeight w:val="288"/>
        </w:trPr>
        <w:tc>
          <w:tcPr>
            <w:tcW w:w="1696" w:type="pct"/>
            <w:tcBorders>
              <w:top w:val="nil"/>
              <w:left w:val="nil"/>
              <w:bottom w:val="nil"/>
              <w:right w:val="nil"/>
            </w:tcBorders>
            <w:shd w:val="clear" w:color="auto" w:fill="auto"/>
            <w:noWrap/>
            <w:vAlign w:val="center"/>
            <w:hideMark/>
          </w:tcPr>
          <w:p w14:paraId="09BEFE28" w14:textId="77777777" w:rsidR="00B2402D" w:rsidRPr="006D37EA" w:rsidRDefault="00B2402D" w:rsidP="00D2560E">
            <w:pPr>
              <w:spacing w:after="0" w:line="240" w:lineRule="auto"/>
              <w:ind w:firstLineChars="100" w:firstLine="180"/>
              <w:jc w:val="left"/>
              <w:rPr>
                <w:rFonts w:eastAsia="Times New Roman" w:cs="Times New Roman"/>
                <w:i/>
                <w:iCs/>
                <w:color w:val="000000"/>
                <w:sz w:val="18"/>
                <w:szCs w:val="18"/>
                <w:lang w:eastAsia="sk-SK"/>
              </w:rPr>
            </w:pPr>
            <w:r w:rsidRPr="006D37EA">
              <w:rPr>
                <w:rFonts w:eastAsia="Times New Roman" w:cs="Times New Roman"/>
                <w:i/>
                <w:iCs/>
                <w:color w:val="000000"/>
                <w:sz w:val="18"/>
                <w:szCs w:val="18"/>
                <w:lang w:eastAsia="sk-SK"/>
              </w:rPr>
              <w:t>z vína</w:t>
            </w:r>
          </w:p>
        </w:tc>
        <w:tc>
          <w:tcPr>
            <w:tcW w:w="615" w:type="pct"/>
            <w:tcBorders>
              <w:top w:val="nil"/>
              <w:left w:val="nil"/>
              <w:bottom w:val="nil"/>
              <w:right w:val="nil"/>
            </w:tcBorders>
            <w:shd w:val="clear" w:color="auto" w:fill="auto"/>
            <w:noWrap/>
            <w:vAlign w:val="center"/>
            <w:hideMark/>
          </w:tcPr>
          <w:p w14:paraId="7F28F24F"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5 146</w:t>
            </w:r>
          </w:p>
        </w:tc>
        <w:tc>
          <w:tcPr>
            <w:tcW w:w="615" w:type="pct"/>
            <w:tcBorders>
              <w:top w:val="nil"/>
              <w:left w:val="nil"/>
              <w:bottom w:val="nil"/>
              <w:right w:val="nil"/>
            </w:tcBorders>
            <w:shd w:val="clear" w:color="auto" w:fill="auto"/>
            <w:noWrap/>
            <w:vAlign w:val="center"/>
            <w:hideMark/>
          </w:tcPr>
          <w:p w14:paraId="60E4C03A"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5 013</w:t>
            </w:r>
          </w:p>
        </w:tc>
        <w:tc>
          <w:tcPr>
            <w:tcW w:w="615" w:type="pct"/>
            <w:tcBorders>
              <w:top w:val="nil"/>
              <w:left w:val="nil"/>
              <w:bottom w:val="nil"/>
              <w:right w:val="nil"/>
            </w:tcBorders>
            <w:shd w:val="clear" w:color="auto" w:fill="auto"/>
            <w:noWrap/>
            <w:vAlign w:val="center"/>
            <w:hideMark/>
          </w:tcPr>
          <w:p w14:paraId="42AF50E7"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5 179</w:t>
            </w:r>
          </w:p>
        </w:tc>
        <w:tc>
          <w:tcPr>
            <w:tcW w:w="538" w:type="pct"/>
            <w:tcBorders>
              <w:top w:val="nil"/>
              <w:left w:val="nil"/>
              <w:bottom w:val="nil"/>
              <w:right w:val="nil"/>
            </w:tcBorders>
            <w:shd w:val="clear" w:color="auto" w:fill="auto"/>
            <w:noWrap/>
            <w:vAlign w:val="center"/>
            <w:hideMark/>
          </w:tcPr>
          <w:p w14:paraId="5ABF93F8"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5 189</w:t>
            </w:r>
          </w:p>
        </w:tc>
        <w:tc>
          <w:tcPr>
            <w:tcW w:w="537" w:type="pct"/>
            <w:tcBorders>
              <w:top w:val="nil"/>
              <w:left w:val="nil"/>
              <w:bottom w:val="nil"/>
              <w:right w:val="nil"/>
            </w:tcBorders>
            <w:shd w:val="clear" w:color="000000" w:fill="FFFFFF"/>
            <w:vAlign w:val="center"/>
            <w:hideMark/>
          </w:tcPr>
          <w:p w14:paraId="029C7A13"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10</w:t>
            </w:r>
          </w:p>
        </w:tc>
        <w:tc>
          <w:tcPr>
            <w:tcW w:w="384" w:type="pct"/>
            <w:tcBorders>
              <w:top w:val="nil"/>
              <w:left w:val="nil"/>
              <w:bottom w:val="nil"/>
              <w:right w:val="nil"/>
            </w:tcBorders>
            <w:shd w:val="clear" w:color="000000" w:fill="FFFFFF"/>
            <w:vAlign w:val="center"/>
            <w:hideMark/>
          </w:tcPr>
          <w:p w14:paraId="4803CA5F"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0,2</w:t>
            </w:r>
          </w:p>
        </w:tc>
      </w:tr>
      <w:tr w:rsidR="00B2402D" w:rsidRPr="006D37EA" w14:paraId="31849E80" w14:textId="77777777" w:rsidTr="00D2560E">
        <w:trPr>
          <w:trHeight w:val="288"/>
        </w:trPr>
        <w:tc>
          <w:tcPr>
            <w:tcW w:w="1696" w:type="pct"/>
            <w:tcBorders>
              <w:top w:val="nil"/>
              <w:left w:val="nil"/>
              <w:bottom w:val="nil"/>
              <w:right w:val="nil"/>
            </w:tcBorders>
            <w:shd w:val="clear" w:color="auto" w:fill="auto"/>
            <w:noWrap/>
            <w:vAlign w:val="center"/>
            <w:hideMark/>
          </w:tcPr>
          <w:p w14:paraId="07FA6A3C" w14:textId="77777777" w:rsidR="00B2402D" w:rsidRPr="006D37EA" w:rsidRDefault="00B2402D" w:rsidP="00D2560E">
            <w:pPr>
              <w:spacing w:after="0" w:line="240" w:lineRule="auto"/>
              <w:ind w:firstLineChars="100" w:firstLine="180"/>
              <w:jc w:val="left"/>
              <w:rPr>
                <w:rFonts w:eastAsia="Times New Roman" w:cs="Times New Roman"/>
                <w:i/>
                <w:iCs/>
                <w:color w:val="000000"/>
                <w:sz w:val="18"/>
                <w:szCs w:val="18"/>
                <w:lang w:eastAsia="sk-SK"/>
              </w:rPr>
            </w:pPr>
            <w:r w:rsidRPr="006D37EA">
              <w:rPr>
                <w:rFonts w:eastAsia="Times New Roman" w:cs="Times New Roman"/>
                <w:i/>
                <w:iCs/>
                <w:color w:val="000000"/>
                <w:sz w:val="18"/>
                <w:szCs w:val="18"/>
                <w:lang w:eastAsia="sk-SK"/>
              </w:rPr>
              <w:t>z tabakových výrobkov</w:t>
            </w:r>
          </w:p>
        </w:tc>
        <w:tc>
          <w:tcPr>
            <w:tcW w:w="615" w:type="pct"/>
            <w:tcBorders>
              <w:top w:val="nil"/>
              <w:left w:val="nil"/>
              <w:bottom w:val="nil"/>
              <w:right w:val="nil"/>
            </w:tcBorders>
            <w:shd w:val="clear" w:color="auto" w:fill="auto"/>
            <w:noWrap/>
            <w:vAlign w:val="center"/>
            <w:hideMark/>
          </w:tcPr>
          <w:p w14:paraId="2CCA2DA8"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823 107</w:t>
            </w:r>
          </w:p>
        </w:tc>
        <w:tc>
          <w:tcPr>
            <w:tcW w:w="615" w:type="pct"/>
            <w:tcBorders>
              <w:top w:val="nil"/>
              <w:left w:val="nil"/>
              <w:bottom w:val="nil"/>
              <w:right w:val="nil"/>
            </w:tcBorders>
            <w:shd w:val="clear" w:color="auto" w:fill="auto"/>
            <w:noWrap/>
            <w:vAlign w:val="center"/>
            <w:hideMark/>
          </w:tcPr>
          <w:p w14:paraId="63463FCD"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909 087</w:t>
            </w:r>
          </w:p>
        </w:tc>
        <w:tc>
          <w:tcPr>
            <w:tcW w:w="615" w:type="pct"/>
            <w:tcBorders>
              <w:top w:val="nil"/>
              <w:left w:val="nil"/>
              <w:bottom w:val="nil"/>
              <w:right w:val="nil"/>
            </w:tcBorders>
            <w:shd w:val="clear" w:color="auto" w:fill="auto"/>
            <w:noWrap/>
            <w:vAlign w:val="center"/>
            <w:hideMark/>
          </w:tcPr>
          <w:p w14:paraId="190A770A"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938 474</w:t>
            </w:r>
          </w:p>
        </w:tc>
        <w:tc>
          <w:tcPr>
            <w:tcW w:w="538" w:type="pct"/>
            <w:tcBorders>
              <w:top w:val="nil"/>
              <w:left w:val="nil"/>
              <w:bottom w:val="nil"/>
              <w:right w:val="nil"/>
            </w:tcBorders>
            <w:shd w:val="clear" w:color="auto" w:fill="auto"/>
            <w:noWrap/>
            <w:vAlign w:val="center"/>
            <w:hideMark/>
          </w:tcPr>
          <w:p w14:paraId="41856CC3"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921 778</w:t>
            </w:r>
          </w:p>
        </w:tc>
        <w:tc>
          <w:tcPr>
            <w:tcW w:w="537" w:type="pct"/>
            <w:tcBorders>
              <w:top w:val="nil"/>
              <w:left w:val="nil"/>
              <w:bottom w:val="nil"/>
              <w:right w:val="nil"/>
            </w:tcBorders>
            <w:shd w:val="clear" w:color="000000" w:fill="FFFFFF"/>
            <w:vAlign w:val="center"/>
            <w:hideMark/>
          </w:tcPr>
          <w:p w14:paraId="36AA3C2C"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-16 696</w:t>
            </w:r>
          </w:p>
        </w:tc>
        <w:tc>
          <w:tcPr>
            <w:tcW w:w="384" w:type="pct"/>
            <w:tcBorders>
              <w:top w:val="nil"/>
              <w:left w:val="nil"/>
              <w:bottom w:val="nil"/>
              <w:right w:val="nil"/>
            </w:tcBorders>
            <w:shd w:val="clear" w:color="000000" w:fill="FFFFFF"/>
            <w:vAlign w:val="center"/>
            <w:hideMark/>
          </w:tcPr>
          <w:p w14:paraId="3BD33AD4"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-1,8</w:t>
            </w:r>
          </w:p>
        </w:tc>
      </w:tr>
      <w:tr w:rsidR="00B2402D" w:rsidRPr="006D37EA" w14:paraId="37F1D9C3" w14:textId="77777777" w:rsidTr="00D2560E">
        <w:trPr>
          <w:trHeight w:val="288"/>
        </w:trPr>
        <w:tc>
          <w:tcPr>
            <w:tcW w:w="1696" w:type="pct"/>
            <w:tcBorders>
              <w:top w:val="nil"/>
              <w:left w:val="nil"/>
              <w:bottom w:val="nil"/>
              <w:right w:val="nil"/>
            </w:tcBorders>
            <w:shd w:val="clear" w:color="auto" w:fill="auto"/>
            <w:noWrap/>
            <w:vAlign w:val="center"/>
            <w:hideMark/>
          </w:tcPr>
          <w:p w14:paraId="47C152EA" w14:textId="77777777" w:rsidR="00B2402D" w:rsidRPr="006D37EA" w:rsidRDefault="00B2402D" w:rsidP="00D2560E">
            <w:pPr>
              <w:spacing w:after="0" w:line="240" w:lineRule="auto"/>
              <w:ind w:firstLineChars="100" w:firstLine="180"/>
              <w:jc w:val="left"/>
              <w:rPr>
                <w:rFonts w:eastAsia="Times New Roman" w:cs="Times New Roman"/>
                <w:i/>
                <w:iCs/>
                <w:color w:val="000000"/>
                <w:sz w:val="18"/>
                <w:szCs w:val="18"/>
                <w:lang w:eastAsia="sk-SK"/>
              </w:rPr>
            </w:pPr>
            <w:r w:rsidRPr="006D37EA">
              <w:rPr>
                <w:rFonts w:eastAsia="Times New Roman" w:cs="Times New Roman"/>
                <w:i/>
                <w:iCs/>
                <w:color w:val="000000"/>
                <w:sz w:val="18"/>
                <w:szCs w:val="18"/>
                <w:lang w:eastAsia="sk-SK"/>
              </w:rPr>
              <w:t>z elektriny</w:t>
            </w:r>
          </w:p>
        </w:tc>
        <w:tc>
          <w:tcPr>
            <w:tcW w:w="615" w:type="pct"/>
            <w:tcBorders>
              <w:top w:val="nil"/>
              <w:left w:val="nil"/>
              <w:bottom w:val="nil"/>
              <w:right w:val="nil"/>
            </w:tcBorders>
            <w:shd w:val="clear" w:color="auto" w:fill="auto"/>
            <w:noWrap/>
            <w:vAlign w:val="center"/>
            <w:hideMark/>
          </w:tcPr>
          <w:p w14:paraId="5E96C09C"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10 058</w:t>
            </w:r>
          </w:p>
        </w:tc>
        <w:tc>
          <w:tcPr>
            <w:tcW w:w="615" w:type="pct"/>
            <w:tcBorders>
              <w:top w:val="nil"/>
              <w:left w:val="nil"/>
              <w:bottom w:val="nil"/>
              <w:right w:val="nil"/>
            </w:tcBorders>
            <w:shd w:val="clear" w:color="auto" w:fill="auto"/>
            <w:noWrap/>
            <w:vAlign w:val="center"/>
            <w:hideMark/>
          </w:tcPr>
          <w:p w14:paraId="58680633"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11 541</w:t>
            </w:r>
          </w:p>
        </w:tc>
        <w:tc>
          <w:tcPr>
            <w:tcW w:w="615" w:type="pct"/>
            <w:tcBorders>
              <w:top w:val="nil"/>
              <w:left w:val="nil"/>
              <w:bottom w:val="nil"/>
              <w:right w:val="nil"/>
            </w:tcBorders>
            <w:shd w:val="clear" w:color="auto" w:fill="auto"/>
            <w:noWrap/>
            <w:vAlign w:val="center"/>
            <w:hideMark/>
          </w:tcPr>
          <w:p w14:paraId="29C2B117"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10 877</w:t>
            </w:r>
          </w:p>
        </w:tc>
        <w:tc>
          <w:tcPr>
            <w:tcW w:w="538" w:type="pct"/>
            <w:tcBorders>
              <w:top w:val="nil"/>
              <w:left w:val="nil"/>
              <w:bottom w:val="nil"/>
              <w:right w:val="nil"/>
            </w:tcBorders>
            <w:shd w:val="clear" w:color="auto" w:fill="auto"/>
            <w:noWrap/>
            <w:vAlign w:val="center"/>
            <w:hideMark/>
          </w:tcPr>
          <w:p w14:paraId="2D107BAD"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13 107</w:t>
            </w:r>
          </w:p>
        </w:tc>
        <w:tc>
          <w:tcPr>
            <w:tcW w:w="537" w:type="pct"/>
            <w:tcBorders>
              <w:top w:val="nil"/>
              <w:left w:val="nil"/>
              <w:bottom w:val="nil"/>
              <w:right w:val="nil"/>
            </w:tcBorders>
            <w:shd w:val="clear" w:color="000000" w:fill="FFFFFF"/>
            <w:vAlign w:val="center"/>
            <w:hideMark/>
          </w:tcPr>
          <w:p w14:paraId="6C6557CA"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2 230</w:t>
            </w:r>
          </w:p>
        </w:tc>
        <w:tc>
          <w:tcPr>
            <w:tcW w:w="384" w:type="pct"/>
            <w:tcBorders>
              <w:top w:val="nil"/>
              <w:left w:val="nil"/>
              <w:bottom w:val="nil"/>
              <w:right w:val="nil"/>
            </w:tcBorders>
            <w:shd w:val="clear" w:color="000000" w:fill="FFFFFF"/>
            <w:vAlign w:val="center"/>
            <w:hideMark/>
          </w:tcPr>
          <w:p w14:paraId="06E5C637"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20,5</w:t>
            </w:r>
          </w:p>
        </w:tc>
      </w:tr>
      <w:tr w:rsidR="00B2402D" w:rsidRPr="006D37EA" w14:paraId="50CBCC5F" w14:textId="77777777" w:rsidTr="00D2560E">
        <w:trPr>
          <w:trHeight w:val="288"/>
        </w:trPr>
        <w:tc>
          <w:tcPr>
            <w:tcW w:w="1696" w:type="pct"/>
            <w:tcBorders>
              <w:top w:val="nil"/>
              <w:left w:val="nil"/>
              <w:bottom w:val="nil"/>
              <w:right w:val="nil"/>
            </w:tcBorders>
            <w:shd w:val="clear" w:color="auto" w:fill="auto"/>
            <w:noWrap/>
            <w:vAlign w:val="center"/>
            <w:hideMark/>
          </w:tcPr>
          <w:p w14:paraId="543BE701" w14:textId="77777777" w:rsidR="00B2402D" w:rsidRPr="006D37EA" w:rsidRDefault="00B2402D" w:rsidP="00D2560E">
            <w:pPr>
              <w:spacing w:after="0" w:line="240" w:lineRule="auto"/>
              <w:ind w:firstLineChars="100" w:firstLine="180"/>
              <w:jc w:val="left"/>
              <w:rPr>
                <w:rFonts w:eastAsia="Times New Roman" w:cs="Times New Roman"/>
                <w:i/>
                <w:iCs/>
                <w:color w:val="000000"/>
                <w:sz w:val="18"/>
                <w:szCs w:val="18"/>
                <w:lang w:eastAsia="sk-SK"/>
              </w:rPr>
            </w:pPr>
            <w:r w:rsidRPr="006D37EA">
              <w:rPr>
                <w:rFonts w:eastAsia="Times New Roman" w:cs="Times New Roman"/>
                <w:i/>
                <w:iCs/>
                <w:color w:val="000000"/>
                <w:sz w:val="18"/>
                <w:szCs w:val="18"/>
                <w:lang w:eastAsia="sk-SK"/>
              </w:rPr>
              <w:t>z uhlia</w:t>
            </w:r>
          </w:p>
        </w:tc>
        <w:tc>
          <w:tcPr>
            <w:tcW w:w="615" w:type="pct"/>
            <w:tcBorders>
              <w:top w:val="nil"/>
              <w:left w:val="nil"/>
              <w:bottom w:val="nil"/>
              <w:right w:val="nil"/>
            </w:tcBorders>
            <w:shd w:val="clear" w:color="auto" w:fill="auto"/>
            <w:noWrap/>
            <w:vAlign w:val="center"/>
            <w:hideMark/>
          </w:tcPr>
          <w:p w14:paraId="1919F10D"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271</w:t>
            </w:r>
          </w:p>
        </w:tc>
        <w:tc>
          <w:tcPr>
            <w:tcW w:w="615" w:type="pct"/>
            <w:tcBorders>
              <w:top w:val="nil"/>
              <w:left w:val="nil"/>
              <w:bottom w:val="nil"/>
              <w:right w:val="nil"/>
            </w:tcBorders>
            <w:shd w:val="clear" w:color="auto" w:fill="auto"/>
            <w:noWrap/>
            <w:vAlign w:val="center"/>
            <w:hideMark/>
          </w:tcPr>
          <w:p w14:paraId="1341317A"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264</w:t>
            </w:r>
          </w:p>
        </w:tc>
        <w:tc>
          <w:tcPr>
            <w:tcW w:w="615" w:type="pct"/>
            <w:tcBorders>
              <w:top w:val="nil"/>
              <w:left w:val="nil"/>
              <w:bottom w:val="nil"/>
              <w:right w:val="nil"/>
            </w:tcBorders>
            <w:shd w:val="clear" w:color="auto" w:fill="auto"/>
            <w:noWrap/>
            <w:vAlign w:val="center"/>
            <w:hideMark/>
          </w:tcPr>
          <w:p w14:paraId="4713E02C"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218</w:t>
            </w:r>
          </w:p>
        </w:tc>
        <w:tc>
          <w:tcPr>
            <w:tcW w:w="538" w:type="pct"/>
            <w:tcBorders>
              <w:top w:val="nil"/>
              <w:left w:val="nil"/>
              <w:bottom w:val="nil"/>
              <w:right w:val="nil"/>
            </w:tcBorders>
            <w:shd w:val="clear" w:color="auto" w:fill="auto"/>
            <w:noWrap/>
            <w:vAlign w:val="center"/>
            <w:hideMark/>
          </w:tcPr>
          <w:p w14:paraId="608BE36E"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201</w:t>
            </w:r>
          </w:p>
        </w:tc>
        <w:tc>
          <w:tcPr>
            <w:tcW w:w="537" w:type="pct"/>
            <w:tcBorders>
              <w:top w:val="nil"/>
              <w:left w:val="nil"/>
              <w:bottom w:val="nil"/>
              <w:right w:val="nil"/>
            </w:tcBorders>
            <w:shd w:val="clear" w:color="000000" w:fill="FFFFFF"/>
            <w:vAlign w:val="center"/>
            <w:hideMark/>
          </w:tcPr>
          <w:p w14:paraId="71A0DEEE"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-17</w:t>
            </w:r>
          </w:p>
        </w:tc>
        <w:tc>
          <w:tcPr>
            <w:tcW w:w="384" w:type="pct"/>
            <w:tcBorders>
              <w:top w:val="nil"/>
              <w:left w:val="nil"/>
              <w:bottom w:val="nil"/>
              <w:right w:val="nil"/>
            </w:tcBorders>
            <w:shd w:val="clear" w:color="000000" w:fill="FFFFFF"/>
            <w:vAlign w:val="center"/>
            <w:hideMark/>
          </w:tcPr>
          <w:p w14:paraId="439546D9"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-7,8</w:t>
            </w:r>
          </w:p>
        </w:tc>
      </w:tr>
      <w:tr w:rsidR="00B2402D" w:rsidRPr="006D37EA" w14:paraId="4D42E546" w14:textId="77777777" w:rsidTr="00D2560E">
        <w:trPr>
          <w:trHeight w:val="288"/>
        </w:trPr>
        <w:tc>
          <w:tcPr>
            <w:tcW w:w="1696" w:type="pct"/>
            <w:tcBorders>
              <w:top w:val="nil"/>
              <w:left w:val="nil"/>
              <w:bottom w:val="nil"/>
              <w:right w:val="nil"/>
            </w:tcBorders>
            <w:shd w:val="clear" w:color="auto" w:fill="auto"/>
            <w:noWrap/>
            <w:vAlign w:val="center"/>
            <w:hideMark/>
          </w:tcPr>
          <w:p w14:paraId="356C34AD" w14:textId="77777777" w:rsidR="00B2402D" w:rsidRPr="006D37EA" w:rsidRDefault="00B2402D" w:rsidP="00D2560E">
            <w:pPr>
              <w:spacing w:after="0" w:line="240" w:lineRule="auto"/>
              <w:ind w:firstLineChars="100" w:firstLine="180"/>
              <w:jc w:val="left"/>
              <w:rPr>
                <w:rFonts w:eastAsia="Times New Roman" w:cs="Times New Roman"/>
                <w:i/>
                <w:iCs/>
                <w:color w:val="000000"/>
                <w:sz w:val="18"/>
                <w:szCs w:val="18"/>
                <w:lang w:eastAsia="sk-SK"/>
              </w:rPr>
            </w:pPr>
            <w:r w:rsidRPr="006D37EA">
              <w:rPr>
                <w:rFonts w:eastAsia="Times New Roman" w:cs="Times New Roman"/>
                <w:i/>
                <w:iCs/>
                <w:color w:val="000000"/>
                <w:sz w:val="18"/>
                <w:szCs w:val="18"/>
                <w:lang w:eastAsia="sk-SK"/>
              </w:rPr>
              <w:t>zo zemného plynu</w:t>
            </w:r>
          </w:p>
        </w:tc>
        <w:tc>
          <w:tcPr>
            <w:tcW w:w="615" w:type="pct"/>
            <w:tcBorders>
              <w:top w:val="nil"/>
              <w:left w:val="nil"/>
              <w:bottom w:val="nil"/>
              <w:right w:val="nil"/>
            </w:tcBorders>
            <w:shd w:val="clear" w:color="auto" w:fill="auto"/>
            <w:noWrap/>
            <w:vAlign w:val="center"/>
            <w:hideMark/>
          </w:tcPr>
          <w:p w14:paraId="132D945C"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24 369</w:t>
            </w:r>
          </w:p>
        </w:tc>
        <w:tc>
          <w:tcPr>
            <w:tcW w:w="615" w:type="pct"/>
            <w:tcBorders>
              <w:top w:val="nil"/>
              <w:left w:val="nil"/>
              <w:bottom w:val="nil"/>
              <w:right w:val="nil"/>
            </w:tcBorders>
            <w:shd w:val="clear" w:color="auto" w:fill="auto"/>
            <w:noWrap/>
            <w:vAlign w:val="center"/>
            <w:hideMark/>
          </w:tcPr>
          <w:p w14:paraId="56A15A26"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24 739</w:t>
            </w:r>
          </w:p>
        </w:tc>
        <w:tc>
          <w:tcPr>
            <w:tcW w:w="615" w:type="pct"/>
            <w:tcBorders>
              <w:top w:val="nil"/>
              <w:left w:val="nil"/>
              <w:bottom w:val="nil"/>
              <w:right w:val="nil"/>
            </w:tcBorders>
            <w:shd w:val="clear" w:color="auto" w:fill="auto"/>
            <w:noWrap/>
            <w:vAlign w:val="center"/>
            <w:hideMark/>
          </w:tcPr>
          <w:p w14:paraId="070C3DA6"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25 007</w:t>
            </w:r>
          </w:p>
        </w:tc>
        <w:tc>
          <w:tcPr>
            <w:tcW w:w="538" w:type="pct"/>
            <w:tcBorders>
              <w:top w:val="nil"/>
              <w:left w:val="nil"/>
              <w:bottom w:val="nil"/>
              <w:right w:val="nil"/>
            </w:tcBorders>
            <w:shd w:val="clear" w:color="auto" w:fill="auto"/>
            <w:noWrap/>
            <w:vAlign w:val="center"/>
            <w:hideMark/>
          </w:tcPr>
          <w:p w14:paraId="7BA5B49C"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20 953</w:t>
            </w:r>
          </w:p>
        </w:tc>
        <w:tc>
          <w:tcPr>
            <w:tcW w:w="537" w:type="pct"/>
            <w:tcBorders>
              <w:top w:val="nil"/>
              <w:left w:val="nil"/>
              <w:bottom w:val="nil"/>
              <w:right w:val="nil"/>
            </w:tcBorders>
            <w:shd w:val="clear" w:color="000000" w:fill="FFFFFF"/>
            <w:vAlign w:val="center"/>
            <w:hideMark/>
          </w:tcPr>
          <w:p w14:paraId="1F0EC46D"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-4 054</w:t>
            </w:r>
          </w:p>
        </w:tc>
        <w:tc>
          <w:tcPr>
            <w:tcW w:w="384" w:type="pct"/>
            <w:tcBorders>
              <w:top w:val="nil"/>
              <w:left w:val="nil"/>
              <w:bottom w:val="nil"/>
              <w:right w:val="nil"/>
            </w:tcBorders>
            <w:shd w:val="clear" w:color="000000" w:fill="FFFFFF"/>
            <w:vAlign w:val="center"/>
            <w:hideMark/>
          </w:tcPr>
          <w:p w14:paraId="149257E7"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-16,2</w:t>
            </w:r>
          </w:p>
        </w:tc>
      </w:tr>
      <w:tr w:rsidR="00B2402D" w:rsidRPr="006D37EA" w14:paraId="5C4020E4" w14:textId="77777777" w:rsidTr="00D2560E">
        <w:trPr>
          <w:trHeight w:val="288"/>
        </w:trPr>
        <w:tc>
          <w:tcPr>
            <w:tcW w:w="1696" w:type="pct"/>
            <w:tcBorders>
              <w:top w:val="nil"/>
              <w:left w:val="nil"/>
              <w:bottom w:val="nil"/>
              <w:right w:val="nil"/>
            </w:tcBorders>
            <w:shd w:val="clear" w:color="auto" w:fill="auto"/>
            <w:noWrap/>
            <w:vAlign w:val="center"/>
            <w:hideMark/>
          </w:tcPr>
          <w:p w14:paraId="1A629CA7" w14:textId="77777777" w:rsidR="00B2402D" w:rsidRPr="006D37EA" w:rsidRDefault="00B2402D" w:rsidP="00D2560E">
            <w:pPr>
              <w:spacing w:after="0" w:line="240" w:lineRule="auto"/>
              <w:jc w:val="left"/>
              <w:rPr>
                <w:rFonts w:eastAsia="Times New Roman" w:cs="Times New Roman"/>
                <w:i/>
                <w:iCs/>
                <w:color w:val="000000"/>
                <w:sz w:val="18"/>
                <w:szCs w:val="18"/>
                <w:lang w:eastAsia="sk-SK"/>
              </w:rPr>
            </w:pPr>
            <w:r w:rsidRPr="006D37EA">
              <w:rPr>
                <w:rFonts w:eastAsia="Times New Roman" w:cs="Times New Roman"/>
                <w:i/>
                <w:iCs/>
                <w:color w:val="000000"/>
                <w:sz w:val="18"/>
                <w:szCs w:val="18"/>
                <w:lang w:eastAsia="sk-SK"/>
              </w:rPr>
              <w:t xml:space="preserve">     dane z používania. tovarov a z povolenia  na výkon činnosti</w:t>
            </w:r>
          </w:p>
        </w:tc>
        <w:tc>
          <w:tcPr>
            <w:tcW w:w="615" w:type="pct"/>
            <w:tcBorders>
              <w:top w:val="nil"/>
              <w:left w:val="nil"/>
              <w:bottom w:val="nil"/>
              <w:right w:val="nil"/>
            </w:tcBorders>
            <w:shd w:val="clear" w:color="auto" w:fill="auto"/>
            <w:noWrap/>
            <w:vAlign w:val="center"/>
            <w:hideMark/>
          </w:tcPr>
          <w:p w14:paraId="54206D90"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117 264</w:t>
            </w:r>
          </w:p>
        </w:tc>
        <w:tc>
          <w:tcPr>
            <w:tcW w:w="615" w:type="pct"/>
            <w:tcBorders>
              <w:top w:val="nil"/>
              <w:left w:val="nil"/>
              <w:bottom w:val="nil"/>
              <w:right w:val="nil"/>
            </w:tcBorders>
            <w:shd w:val="clear" w:color="auto" w:fill="auto"/>
            <w:noWrap/>
            <w:vAlign w:val="center"/>
            <w:hideMark/>
          </w:tcPr>
          <w:p w14:paraId="7B17FE4F"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132 565</w:t>
            </w:r>
          </w:p>
        </w:tc>
        <w:tc>
          <w:tcPr>
            <w:tcW w:w="615" w:type="pct"/>
            <w:tcBorders>
              <w:top w:val="nil"/>
              <w:left w:val="nil"/>
              <w:bottom w:val="nil"/>
              <w:right w:val="nil"/>
            </w:tcBorders>
            <w:shd w:val="clear" w:color="auto" w:fill="auto"/>
            <w:noWrap/>
            <w:vAlign w:val="center"/>
            <w:hideMark/>
          </w:tcPr>
          <w:p w14:paraId="62840419"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132 782</w:t>
            </w:r>
          </w:p>
        </w:tc>
        <w:tc>
          <w:tcPr>
            <w:tcW w:w="538" w:type="pct"/>
            <w:tcBorders>
              <w:top w:val="nil"/>
              <w:left w:val="nil"/>
              <w:bottom w:val="nil"/>
              <w:right w:val="nil"/>
            </w:tcBorders>
            <w:shd w:val="clear" w:color="auto" w:fill="auto"/>
            <w:noWrap/>
            <w:vAlign w:val="center"/>
            <w:hideMark/>
          </w:tcPr>
          <w:p w14:paraId="7D9E2665"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135 545</w:t>
            </w:r>
          </w:p>
        </w:tc>
        <w:tc>
          <w:tcPr>
            <w:tcW w:w="537" w:type="pct"/>
            <w:tcBorders>
              <w:top w:val="nil"/>
              <w:left w:val="nil"/>
              <w:bottom w:val="nil"/>
              <w:right w:val="nil"/>
            </w:tcBorders>
            <w:shd w:val="clear" w:color="000000" w:fill="FFFFFF"/>
            <w:vAlign w:val="center"/>
            <w:hideMark/>
          </w:tcPr>
          <w:p w14:paraId="3733DF70"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2 763</w:t>
            </w:r>
          </w:p>
        </w:tc>
        <w:tc>
          <w:tcPr>
            <w:tcW w:w="384" w:type="pct"/>
            <w:tcBorders>
              <w:top w:val="nil"/>
              <w:left w:val="nil"/>
              <w:bottom w:val="nil"/>
              <w:right w:val="nil"/>
            </w:tcBorders>
            <w:shd w:val="clear" w:color="000000" w:fill="FFFFFF"/>
            <w:vAlign w:val="center"/>
            <w:hideMark/>
          </w:tcPr>
          <w:p w14:paraId="5C0F9125"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2,1</w:t>
            </w:r>
          </w:p>
        </w:tc>
      </w:tr>
      <w:tr w:rsidR="00B2402D" w:rsidRPr="006D37EA" w14:paraId="11D4782D" w14:textId="77777777" w:rsidTr="00D2560E">
        <w:trPr>
          <w:trHeight w:val="288"/>
        </w:trPr>
        <w:tc>
          <w:tcPr>
            <w:tcW w:w="1696" w:type="pct"/>
            <w:tcBorders>
              <w:top w:val="nil"/>
              <w:left w:val="nil"/>
              <w:bottom w:val="nil"/>
              <w:right w:val="nil"/>
            </w:tcBorders>
            <w:shd w:val="clear" w:color="auto" w:fill="auto"/>
            <w:vAlign w:val="center"/>
            <w:hideMark/>
          </w:tcPr>
          <w:p w14:paraId="233AAC9D" w14:textId="77777777" w:rsidR="00B2402D" w:rsidRPr="006D37EA" w:rsidRDefault="00B2402D" w:rsidP="00D2560E">
            <w:pPr>
              <w:spacing w:after="0" w:line="240" w:lineRule="auto"/>
              <w:jc w:val="left"/>
              <w:rPr>
                <w:rFonts w:eastAsia="Times New Roman" w:cs="Times New Roman"/>
                <w:i/>
                <w:iCs/>
                <w:color w:val="000000"/>
                <w:sz w:val="18"/>
                <w:szCs w:val="18"/>
                <w:lang w:eastAsia="sk-SK"/>
              </w:rPr>
            </w:pPr>
            <w:r w:rsidRPr="006D37EA">
              <w:rPr>
                <w:rFonts w:eastAsia="Times New Roman" w:cs="Times New Roman"/>
                <w:i/>
                <w:iCs/>
                <w:color w:val="000000"/>
                <w:sz w:val="18"/>
                <w:szCs w:val="18"/>
                <w:lang w:eastAsia="sk-SK"/>
              </w:rPr>
              <w:t xml:space="preserve">     iné dane za tovary a služby</w:t>
            </w:r>
          </w:p>
        </w:tc>
        <w:tc>
          <w:tcPr>
            <w:tcW w:w="615" w:type="pct"/>
            <w:tcBorders>
              <w:top w:val="nil"/>
              <w:left w:val="nil"/>
              <w:bottom w:val="nil"/>
              <w:right w:val="nil"/>
            </w:tcBorders>
            <w:shd w:val="clear" w:color="auto" w:fill="auto"/>
            <w:noWrap/>
            <w:vAlign w:val="center"/>
            <w:hideMark/>
          </w:tcPr>
          <w:p w14:paraId="1CFCB816"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79 564</w:t>
            </w:r>
          </w:p>
        </w:tc>
        <w:tc>
          <w:tcPr>
            <w:tcW w:w="615" w:type="pct"/>
            <w:tcBorders>
              <w:top w:val="nil"/>
              <w:left w:val="nil"/>
              <w:bottom w:val="nil"/>
              <w:right w:val="nil"/>
            </w:tcBorders>
            <w:shd w:val="clear" w:color="auto" w:fill="auto"/>
            <w:noWrap/>
            <w:vAlign w:val="center"/>
            <w:hideMark/>
          </w:tcPr>
          <w:p w14:paraId="262EEE8C"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88 206</w:t>
            </w:r>
          </w:p>
        </w:tc>
        <w:tc>
          <w:tcPr>
            <w:tcW w:w="615" w:type="pct"/>
            <w:tcBorders>
              <w:top w:val="nil"/>
              <w:left w:val="nil"/>
              <w:bottom w:val="nil"/>
              <w:right w:val="nil"/>
            </w:tcBorders>
            <w:shd w:val="clear" w:color="auto" w:fill="auto"/>
            <w:noWrap/>
            <w:vAlign w:val="center"/>
            <w:hideMark/>
          </w:tcPr>
          <w:p w14:paraId="7182406E"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85 752</w:t>
            </w:r>
          </w:p>
        </w:tc>
        <w:tc>
          <w:tcPr>
            <w:tcW w:w="538" w:type="pct"/>
            <w:tcBorders>
              <w:top w:val="nil"/>
              <w:left w:val="nil"/>
              <w:bottom w:val="nil"/>
              <w:right w:val="nil"/>
            </w:tcBorders>
            <w:shd w:val="clear" w:color="auto" w:fill="auto"/>
            <w:noWrap/>
            <w:vAlign w:val="center"/>
            <w:hideMark/>
          </w:tcPr>
          <w:p w14:paraId="2CEEB86B"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100 527</w:t>
            </w:r>
          </w:p>
        </w:tc>
        <w:tc>
          <w:tcPr>
            <w:tcW w:w="537" w:type="pct"/>
            <w:tcBorders>
              <w:top w:val="nil"/>
              <w:left w:val="nil"/>
              <w:bottom w:val="nil"/>
              <w:right w:val="nil"/>
            </w:tcBorders>
            <w:shd w:val="clear" w:color="000000" w:fill="FFFFFF"/>
            <w:vAlign w:val="center"/>
            <w:hideMark/>
          </w:tcPr>
          <w:p w14:paraId="5D25AF78"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14 775</w:t>
            </w:r>
          </w:p>
        </w:tc>
        <w:tc>
          <w:tcPr>
            <w:tcW w:w="384" w:type="pct"/>
            <w:tcBorders>
              <w:top w:val="nil"/>
              <w:left w:val="nil"/>
              <w:bottom w:val="nil"/>
              <w:right w:val="nil"/>
            </w:tcBorders>
            <w:shd w:val="clear" w:color="000000" w:fill="FFFFFF"/>
            <w:vAlign w:val="center"/>
            <w:hideMark/>
          </w:tcPr>
          <w:p w14:paraId="09C97D31" w14:textId="77777777" w:rsidR="00B2402D" w:rsidRPr="006D37EA" w:rsidRDefault="00B2402D" w:rsidP="00D2560E">
            <w:pPr>
              <w:spacing w:after="0" w:line="240" w:lineRule="auto"/>
              <w:jc w:val="right"/>
              <w:rPr>
                <w:rFonts w:eastAsia="Times New Roman" w:cs="Times New Roman"/>
                <w:bCs/>
                <w:color w:val="000000"/>
                <w:sz w:val="18"/>
                <w:szCs w:val="18"/>
                <w:highlight w:val="yellow"/>
                <w:lang w:eastAsia="sk-SK"/>
              </w:rPr>
            </w:pPr>
            <w:r w:rsidRPr="006D37EA">
              <w:rPr>
                <w:rFonts w:eastAsia="Times New Roman" w:cs="Times New Roman"/>
                <w:bCs/>
                <w:color w:val="000000"/>
                <w:sz w:val="18"/>
                <w:szCs w:val="18"/>
                <w:lang w:eastAsia="sk-SK"/>
              </w:rPr>
              <w:t>17,2</w:t>
            </w:r>
          </w:p>
        </w:tc>
      </w:tr>
      <w:tr w:rsidR="00B2402D" w:rsidRPr="006D37EA" w14:paraId="1420E593" w14:textId="77777777" w:rsidTr="00D2560E">
        <w:trPr>
          <w:trHeight w:val="288"/>
        </w:trPr>
        <w:tc>
          <w:tcPr>
            <w:tcW w:w="1696" w:type="pct"/>
            <w:tcBorders>
              <w:top w:val="nil"/>
              <w:left w:val="nil"/>
              <w:bottom w:val="nil"/>
              <w:right w:val="nil"/>
            </w:tcBorders>
            <w:shd w:val="clear" w:color="auto" w:fill="auto"/>
            <w:noWrap/>
            <w:vAlign w:val="center"/>
            <w:hideMark/>
          </w:tcPr>
          <w:p w14:paraId="1F1312BE" w14:textId="77777777" w:rsidR="00B2402D" w:rsidRPr="006D37EA" w:rsidRDefault="00B2402D" w:rsidP="00D2560E">
            <w:pPr>
              <w:spacing w:after="0" w:line="240" w:lineRule="auto"/>
              <w:jc w:val="lef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Dane z príjmov a kapitálového majetku</w:t>
            </w:r>
          </w:p>
        </w:tc>
        <w:tc>
          <w:tcPr>
            <w:tcW w:w="615" w:type="pct"/>
            <w:tcBorders>
              <w:top w:val="nil"/>
              <w:left w:val="nil"/>
              <w:bottom w:val="nil"/>
              <w:right w:val="nil"/>
            </w:tcBorders>
            <w:shd w:val="clear" w:color="auto" w:fill="auto"/>
            <w:noWrap/>
            <w:vAlign w:val="center"/>
            <w:hideMark/>
          </w:tcPr>
          <w:p w14:paraId="39C2C5EF"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3 169 990</w:t>
            </w:r>
          </w:p>
        </w:tc>
        <w:tc>
          <w:tcPr>
            <w:tcW w:w="615" w:type="pct"/>
            <w:tcBorders>
              <w:top w:val="nil"/>
              <w:left w:val="nil"/>
              <w:bottom w:val="nil"/>
              <w:right w:val="nil"/>
            </w:tcBorders>
            <w:shd w:val="clear" w:color="000000" w:fill="FFFFFF"/>
            <w:noWrap/>
            <w:vAlign w:val="center"/>
            <w:hideMark/>
          </w:tcPr>
          <w:p w14:paraId="00304389" w14:textId="5D5E6B73" w:rsidR="00B2402D" w:rsidRPr="006D37EA" w:rsidRDefault="00B2402D" w:rsidP="000F7935">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4 </w:t>
            </w:r>
            <w:r w:rsidR="000F7935">
              <w:rPr>
                <w:rFonts w:eastAsia="Times New Roman" w:cs="Times New Roman"/>
                <w:b/>
                <w:bCs/>
                <w:color w:val="000000"/>
                <w:sz w:val="18"/>
                <w:szCs w:val="18"/>
                <w:lang w:eastAsia="sk-SK"/>
              </w:rPr>
              <w:t>114 180</w:t>
            </w:r>
          </w:p>
        </w:tc>
        <w:tc>
          <w:tcPr>
            <w:tcW w:w="615" w:type="pct"/>
            <w:tcBorders>
              <w:top w:val="nil"/>
              <w:left w:val="nil"/>
              <w:bottom w:val="nil"/>
              <w:right w:val="nil"/>
            </w:tcBorders>
            <w:shd w:val="clear" w:color="auto" w:fill="auto"/>
            <w:noWrap/>
            <w:vAlign w:val="center"/>
            <w:hideMark/>
          </w:tcPr>
          <w:p w14:paraId="569B8CD9" w14:textId="77777777" w:rsidR="00B2402D" w:rsidRPr="006D37EA" w:rsidRDefault="00B2402D" w:rsidP="00D2560E">
            <w:pPr>
              <w:spacing w:after="0" w:line="240" w:lineRule="auto"/>
              <w:jc w:val="right"/>
              <w:rPr>
                <w:rFonts w:eastAsia="Times New Roman" w:cs="Times New Roman"/>
                <w:b/>
                <w:bCs/>
                <w:color w:val="FF0000"/>
                <w:sz w:val="18"/>
                <w:szCs w:val="18"/>
                <w:lang w:eastAsia="sk-SK"/>
              </w:rPr>
            </w:pPr>
            <w:r w:rsidRPr="006D37EA">
              <w:rPr>
                <w:rFonts w:eastAsia="Times New Roman" w:cs="Times New Roman"/>
                <w:b/>
                <w:bCs/>
                <w:sz w:val="18"/>
                <w:szCs w:val="18"/>
                <w:lang w:eastAsia="sk-SK"/>
              </w:rPr>
              <w:t>3 961 651</w:t>
            </w:r>
          </w:p>
        </w:tc>
        <w:tc>
          <w:tcPr>
            <w:tcW w:w="538" w:type="pct"/>
            <w:tcBorders>
              <w:top w:val="nil"/>
              <w:left w:val="nil"/>
              <w:bottom w:val="nil"/>
              <w:right w:val="nil"/>
            </w:tcBorders>
            <w:shd w:val="clear" w:color="auto" w:fill="auto"/>
            <w:noWrap/>
            <w:vAlign w:val="center"/>
            <w:hideMark/>
          </w:tcPr>
          <w:p w14:paraId="287755E0" w14:textId="77777777" w:rsidR="00B2402D" w:rsidRPr="006D37EA" w:rsidRDefault="00B2402D" w:rsidP="00D2560E">
            <w:pPr>
              <w:spacing w:after="0" w:line="240" w:lineRule="auto"/>
              <w:jc w:val="right"/>
              <w:rPr>
                <w:rFonts w:eastAsia="Times New Roman" w:cs="Times New Roman"/>
                <w:b/>
                <w:bCs/>
                <w:color w:val="FF0000"/>
                <w:sz w:val="18"/>
                <w:szCs w:val="18"/>
                <w:lang w:eastAsia="sk-SK"/>
              </w:rPr>
            </w:pPr>
            <w:r w:rsidRPr="006D37EA">
              <w:rPr>
                <w:rFonts w:eastAsia="Times New Roman" w:cs="Times New Roman"/>
                <w:b/>
                <w:bCs/>
                <w:sz w:val="18"/>
                <w:szCs w:val="18"/>
                <w:lang w:eastAsia="sk-SK"/>
              </w:rPr>
              <w:t>4 338 758</w:t>
            </w:r>
          </w:p>
        </w:tc>
        <w:tc>
          <w:tcPr>
            <w:tcW w:w="537" w:type="pct"/>
            <w:tcBorders>
              <w:top w:val="nil"/>
              <w:left w:val="nil"/>
              <w:bottom w:val="nil"/>
              <w:right w:val="nil"/>
            </w:tcBorders>
            <w:shd w:val="clear" w:color="000000" w:fill="FFFFFF"/>
            <w:vAlign w:val="center"/>
            <w:hideMark/>
          </w:tcPr>
          <w:p w14:paraId="0526299A"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366 700</w:t>
            </w:r>
          </w:p>
        </w:tc>
        <w:tc>
          <w:tcPr>
            <w:tcW w:w="384" w:type="pct"/>
            <w:tcBorders>
              <w:top w:val="nil"/>
              <w:left w:val="nil"/>
              <w:bottom w:val="nil"/>
              <w:right w:val="nil"/>
            </w:tcBorders>
            <w:shd w:val="clear" w:color="000000" w:fill="FFFFFF"/>
            <w:vAlign w:val="center"/>
            <w:hideMark/>
          </w:tcPr>
          <w:p w14:paraId="2416A767"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9,5</w:t>
            </w:r>
          </w:p>
        </w:tc>
      </w:tr>
      <w:tr w:rsidR="00B2402D" w:rsidRPr="006D37EA" w14:paraId="26AE218F" w14:textId="77777777" w:rsidTr="00D2560E">
        <w:trPr>
          <w:trHeight w:val="288"/>
        </w:trPr>
        <w:tc>
          <w:tcPr>
            <w:tcW w:w="1696" w:type="pct"/>
            <w:tcBorders>
              <w:top w:val="nil"/>
              <w:left w:val="nil"/>
              <w:bottom w:val="nil"/>
              <w:right w:val="nil"/>
            </w:tcBorders>
            <w:shd w:val="clear" w:color="auto" w:fill="auto"/>
            <w:noWrap/>
            <w:vAlign w:val="center"/>
            <w:hideMark/>
          </w:tcPr>
          <w:p w14:paraId="4D13F2FF" w14:textId="77777777" w:rsidR="00B2402D" w:rsidRPr="006D37EA" w:rsidRDefault="00B2402D" w:rsidP="00D2560E">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v tom</w:t>
            </w:r>
            <w:r w:rsidRPr="006D37EA">
              <w:rPr>
                <w:rFonts w:eastAsia="Times New Roman" w:cs="Times New Roman"/>
                <w:i/>
                <w:iCs/>
                <w:color w:val="000000"/>
                <w:sz w:val="18"/>
                <w:szCs w:val="18"/>
                <w:lang w:eastAsia="sk-SK"/>
              </w:rPr>
              <w:t xml:space="preserve">: </w:t>
            </w:r>
          </w:p>
        </w:tc>
        <w:tc>
          <w:tcPr>
            <w:tcW w:w="615" w:type="pct"/>
            <w:tcBorders>
              <w:top w:val="nil"/>
              <w:left w:val="nil"/>
              <w:bottom w:val="nil"/>
              <w:right w:val="nil"/>
            </w:tcBorders>
            <w:shd w:val="clear" w:color="auto" w:fill="auto"/>
            <w:noWrap/>
            <w:vAlign w:val="center"/>
            <w:hideMark/>
          </w:tcPr>
          <w:p w14:paraId="115DFC21" w14:textId="77777777" w:rsidR="00B2402D" w:rsidRPr="006D37EA" w:rsidRDefault="00B2402D" w:rsidP="00D2560E">
            <w:pPr>
              <w:spacing w:after="0" w:line="240" w:lineRule="auto"/>
              <w:jc w:val="left"/>
              <w:rPr>
                <w:rFonts w:eastAsia="Times New Roman" w:cs="Times New Roman"/>
                <w:color w:val="000000"/>
                <w:sz w:val="18"/>
                <w:szCs w:val="18"/>
                <w:lang w:eastAsia="sk-SK"/>
              </w:rPr>
            </w:pPr>
          </w:p>
        </w:tc>
        <w:tc>
          <w:tcPr>
            <w:tcW w:w="615" w:type="pct"/>
            <w:tcBorders>
              <w:top w:val="nil"/>
              <w:left w:val="nil"/>
              <w:bottom w:val="nil"/>
              <w:right w:val="nil"/>
            </w:tcBorders>
            <w:shd w:val="clear" w:color="auto" w:fill="auto"/>
            <w:noWrap/>
            <w:vAlign w:val="center"/>
            <w:hideMark/>
          </w:tcPr>
          <w:p w14:paraId="5D9E2925" w14:textId="77777777" w:rsidR="00B2402D" w:rsidRPr="006D37EA" w:rsidRDefault="00B2402D" w:rsidP="00D2560E">
            <w:pPr>
              <w:spacing w:after="0" w:line="240" w:lineRule="auto"/>
              <w:jc w:val="left"/>
              <w:rPr>
                <w:rFonts w:eastAsia="Times New Roman" w:cs="Times New Roman"/>
                <w:sz w:val="18"/>
                <w:szCs w:val="18"/>
                <w:lang w:eastAsia="sk-SK"/>
              </w:rPr>
            </w:pPr>
          </w:p>
        </w:tc>
        <w:tc>
          <w:tcPr>
            <w:tcW w:w="615" w:type="pct"/>
            <w:tcBorders>
              <w:top w:val="nil"/>
              <w:left w:val="nil"/>
              <w:bottom w:val="nil"/>
              <w:right w:val="nil"/>
            </w:tcBorders>
            <w:shd w:val="clear" w:color="auto" w:fill="auto"/>
            <w:noWrap/>
            <w:vAlign w:val="center"/>
            <w:hideMark/>
          </w:tcPr>
          <w:p w14:paraId="179D6243" w14:textId="77777777" w:rsidR="00B2402D" w:rsidRPr="006D37EA" w:rsidRDefault="00B2402D" w:rsidP="00D2560E">
            <w:pPr>
              <w:spacing w:after="0" w:line="240" w:lineRule="auto"/>
              <w:jc w:val="left"/>
              <w:rPr>
                <w:rFonts w:eastAsia="Times New Roman" w:cs="Times New Roman"/>
                <w:sz w:val="18"/>
                <w:szCs w:val="18"/>
                <w:lang w:eastAsia="sk-SK"/>
              </w:rPr>
            </w:pPr>
          </w:p>
        </w:tc>
        <w:tc>
          <w:tcPr>
            <w:tcW w:w="538" w:type="pct"/>
            <w:tcBorders>
              <w:top w:val="nil"/>
              <w:left w:val="nil"/>
              <w:bottom w:val="nil"/>
              <w:right w:val="nil"/>
            </w:tcBorders>
            <w:shd w:val="clear" w:color="auto" w:fill="auto"/>
            <w:noWrap/>
            <w:vAlign w:val="center"/>
            <w:hideMark/>
          </w:tcPr>
          <w:p w14:paraId="0BCF5473" w14:textId="77777777" w:rsidR="00B2402D" w:rsidRPr="006D37EA" w:rsidRDefault="00B2402D" w:rsidP="00D2560E">
            <w:pPr>
              <w:spacing w:after="0" w:line="240" w:lineRule="auto"/>
              <w:jc w:val="left"/>
              <w:rPr>
                <w:rFonts w:eastAsia="Times New Roman" w:cs="Times New Roman"/>
                <w:sz w:val="18"/>
                <w:szCs w:val="18"/>
                <w:lang w:eastAsia="sk-SK"/>
              </w:rPr>
            </w:pPr>
          </w:p>
        </w:tc>
        <w:tc>
          <w:tcPr>
            <w:tcW w:w="537" w:type="pct"/>
            <w:tcBorders>
              <w:top w:val="nil"/>
              <w:left w:val="nil"/>
              <w:bottom w:val="nil"/>
              <w:right w:val="nil"/>
            </w:tcBorders>
            <w:shd w:val="clear" w:color="000000" w:fill="FFFFFF"/>
            <w:vAlign w:val="center"/>
            <w:hideMark/>
          </w:tcPr>
          <w:p w14:paraId="2BE7646B"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 </w:t>
            </w:r>
          </w:p>
        </w:tc>
        <w:tc>
          <w:tcPr>
            <w:tcW w:w="384" w:type="pct"/>
            <w:tcBorders>
              <w:top w:val="nil"/>
              <w:left w:val="nil"/>
              <w:bottom w:val="nil"/>
              <w:right w:val="nil"/>
            </w:tcBorders>
            <w:shd w:val="clear" w:color="000000" w:fill="FFFFFF"/>
            <w:vAlign w:val="center"/>
            <w:hideMark/>
          </w:tcPr>
          <w:p w14:paraId="67042FE4"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 </w:t>
            </w:r>
          </w:p>
        </w:tc>
      </w:tr>
      <w:tr w:rsidR="00B2402D" w:rsidRPr="006D37EA" w14:paraId="3C7D8B4E" w14:textId="77777777" w:rsidTr="00D2560E">
        <w:trPr>
          <w:trHeight w:val="288"/>
        </w:trPr>
        <w:tc>
          <w:tcPr>
            <w:tcW w:w="1696" w:type="pct"/>
            <w:tcBorders>
              <w:top w:val="nil"/>
              <w:left w:val="nil"/>
              <w:bottom w:val="nil"/>
              <w:right w:val="nil"/>
            </w:tcBorders>
            <w:shd w:val="clear" w:color="auto" w:fill="auto"/>
            <w:noWrap/>
            <w:vAlign w:val="center"/>
            <w:hideMark/>
          </w:tcPr>
          <w:p w14:paraId="014A3BBA" w14:textId="77777777" w:rsidR="00B2402D" w:rsidRPr="006D37EA" w:rsidRDefault="00B2402D" w:rsidP="00D2560E">
            <w:pPr>
              <w:spacing w:after="0" w:line="240" w:lineRule="auto"/>
              <w:jc w:val="left"/>
              <w:rPr>
                <w:rFonts w:eastAsia="Times New Roman" w:cs="Times New Roman"/>
                <w:i/>
                <w:iCs/>
                <w:color w:val="000000"/>
                <w:sz w:val="18"/>
                <w:szCs w:val="18"/>
                <w:lang w:eastAsia="sk-SK"/>
              </w:rPr>
            </w:pPr>
            <w:r w:rsidRPr="006D37EA">
              <w:rPr>
                <w:rFonts w:eastAsia="Times New Roman" w:cs="Times New Roman"/>
                <w:i/>
                <w:iCs/>
                <w:color w:val="000000"/>
                <w:sz w:val="18"/>
                <w:szCs w:val="18"/>
                <w:lang w:eastAsia="sk-SK"/>
              </w:rPr>
              <w:t xml:space="preserve">     daň z príjmov PO</w:t>
            </w:r>
          </w:p>
        </w:tc>
        <w:tc>
          <w:tcPr>
            <w:tcW w:w="615" w:type="pct"/>
            <w:tcBorders>
              <w:top w:val="nil"/>
              <w:left w:val="nil"/>
              <w:bottom w:val="nil"/>
              <w:right w:val="nil"/>
            </w:tcBorders>
            <w:shd w:val="clear" w:color="auto" w:fill="auto"/>
            <w:noWrap/>
            <w:vAlign w:val="center"/>
            <w:hideMark/>
          </w:tcPr>
          <w:p w14:paraId="17E1FAB5"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2 859 372</w:t>
            </w:r>
          </w:p>
        </w:tc>
        <w:tc>
          <w:tcPr>
            <w:tcW w:w="615" w:type="pct"/>
            <w:tcBorders>
              <w:top w:val="nil"/>
              <w:left w:val="nil"/>
              <w:bottom w:val="nil"/>
              <w:right w:val="nil"/>
            </w:tcBorders>
            <w:shd w:val="clear" w:color="auto" w:fill="auto"/>
            <w:noWrap/>
            <w:vAlign w:val="center"/>
            <w:hideMark/>
          </w:tcPr>
          <w:p w14:paraId="535BA4B5"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3 804 345</w:t>
            </w:r>
          </w:p>
        </w:tc>
        <w:tc>
          <w:tcPr>
            <w:tcW w:w="615" w:type="pct"/>
            <w:tcBorders>
              <w:top w:val="nil"/>
              <w:left w:val="nil"/>
              <w:bottom w:val="nil"/>
              <w:right w:val="nil"/>
            </w:tcBorders>
            <w:shd w:val="clear" w:color="auto" w:fill="auto"/>
            <w:noWrap/>
            <w:vAlign w:val="center"/>
            <w:hideMark/>
          </w:tcPr>
          <w:p w14:paraId="7DCA8682"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3 655 697</w:t>
            </w:r>
          </w:p>
        </w:tc>
        <w:tc>
          <w:tcPr>
            <w:tcW w:w="538" w:type="pct"/>
            <w:tcBorders>
              <w:top w:val="nil"/>
              <w:left w:val="nil"/>
              <w:bottom w:val="nil"/>
              <w:right w:val="nil"/>
            </w:tcBorders>
            <w:shd w:val="clear" w:color="auto" w:fill="auto"/>
            <w:noWrap/>
            <w:vAlign w:val="center"/>
            <w:hideMark/>
          </w:tcPr>
          <w:p w14:paraId="5D972E26"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3 906 421</w:t>
            </w:r>
          </w:p>
        </w:tc>
        <w:tc>
          <w:tcPr>
            <w:tcW w:w="537" w:type="pct"/>
            <w:tcBorders>
              <w:top w:val="nil"/>
              <w:left w:val="nil"/>
              <w:bottom w:val="nil"/>
              <w:right w:val="nil"/>
            </w:tcBorders>
            <w:shd w:val="clear" w:color="000000" w:fill="FFFFFF"/>
            <w:vAlign w:val="center"/>
            <w:hideMark/>
          </w:tcPr>
          <w:p w14:paraId="0BD24AA3"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250 724</w:t>
            </w:r>
          </w:p>
        </w:tc>
        <w:tc>
          <w:tcPr>
            <w:tcW w:w="384" w:type="pct"/>
            <w:tcBorders>
              <w:top w:val="nil"/>
              <w:left w:val="nil"/>
              <w:bottom w:val="nil"/>
              <w:right w:val="nil"/>
            </w:tcBorders>
            <w:shd w:val="clear" w:color="auto" w:fill="auto"/>
            <w:vAlign w:val="center"/>
            <w:hideMark/>
          </w:tcPr>
          <w:p w14:paraId="1D861919" w14:textId="77777777" w:rsidR="00B2402D" w:rsidRPr="006D37EA" w:rsidRDefault="00B2402D" w:rsidP="00D2560E">
            <w:pPr>
              <w:spacing w:after="0" w:line="240" w:lineRule="auto"/>
              <w:jc w:val="right"/>
              <w:rPr>
                <w:rFonts w:eastAsia="Times New Roman" w:cs="Times New Roman"/>
                <w:bCs/>
                <w:color w:val="000000"/>
                <w:sz w:val="18"/>
                <w:szCs w:val="18"/>
                <w:highlight w:val="yellow"/>
                <w:lang w:eastAsia="sk-SK"/>
              </w:rPr>
            </w:pPr>
            <w:r w:rsidRPr="006D37EA">
              <w:rPr>
                <w:rFonts w:eastAsia="Times New Roman" w:cs="Times New Roman"/>
                <w:bCs/>
                <w:color w:val="000000"/>
                <w:sz w:val="18"/>
                <w:szCs w:val="18"/>
                <w:lang w:eastAsia="sk-SK"/>
              </w:rPr>
              <w:t>6,9</w:t>
            </w:r>
          </w:p>
        </w:tc>
      </w:tr>
      <w:tr w:rsidR="00B2402D" w:rsidRPr="006D37EA" w14:paraId="010811C6" w14:textId="77777777" w:rsidTr="00D2560E">
        <w:trPr>
          <w:trHeight w:val="288"/>
        </w:trPr>
        <w:tc>
          <w:tcPr>
            <w:tcW w:w="1696" w:type="pct"/>
            <w:tcBorders>
              <w:top w:val="nil"/>
              <w:left w:val="nil"/>
              <w:bottom w:val="nil"/>
              <w:right w:val="nil"/>
            </w:tcBorders>
            <w:shd w:val="clear" w:color="auto" w:fill="auto"/>
            <w:noWrap/>
            <w:vAlign w:val="center"/>
            <w:hideMark/>
          </w:tcPr>
          <w:p w14:paraId="37560428" w14:textId="77777777" w:rsidR="00B2402D" w:rsidRPr="006D37EA" w:rsidRDefault="00B2402D" w:rsidP="00D2560E">
            <w:pPr>
              <w:spacing w:after="0" w:line="240" w:lineRule="auto"/>
              <w:jc w:val="left"/>
              <w:rPr>
                <w:rFonts w:eastAsia="Times New Roman" w:cs="Times New Roman"/>
                <w:i/>
                <w:iCs/>
                <w:color w:val="000000"/>
                <w:sz w:val="18"/>
                <w:szCs w:val="18"/>
                <w:lang w:eastAsia="sk-SK"/>
              </w:rPr>
            </w:pPr>
            <w:r w:rsidRPr="006D37EA">
              <w:rPr>
                <w:rFonts w:eastAsia="Times New Roman" w:cs="Times New Roman"/>
                <w:i/>
                <w:iCs/>
                <w:color w:val="000000"/>
                <w:sz w:val="18"/>
                <w:szCs w:val="18"/>
                <w:lang w:eastAsia="sk-SK"/>
              </w:rPr>
              <w:t xml:space="preserve">     daň z príjmov vyberaná zrážkou</w:t>
            </w:r>
          </w:p>
        </w:tc>
        <w:tc>
          <w:tcPr>
            <w:tcW w:w="615" w:type="pct"/>
            <w:tcBorders>
              <w:top w:val="nil"/>
              <w:left w:val="nil"/>
              <w:bottom w:val="nil"/>
              <w:right w:val="nil"/>
            </w:tcBorders>
            <w:shd w:val="clear" w:color="auto" w:fill="auto"/>
            <w:noWrap/>
            <w:vAlign w:val="center"/>
            <w:hideMark/>
          </w:tcPr>
          <w:p w14:paraId="79EA3DAE"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289 754</w:t>
            </w:r>
          </w:p>
        </w:tc>
        <w:tc>
          <w:tcPr>
            <w:tcW w:w="615" w:type="pct"/>
            <w:tcBorders>
              <w:top w:val="nil"/>
              <w:left w:val="nil"/>
              <w:bottom w:val="nil"/>
              <w:right w:val="nil"/>
            </w:tcBorders>
            <w:shd w:val="clear" w:color="auto" w:fill="auto"/>
            <w:noWrap/>
            <w:vAlign w:val="center"/>
            <w:hideMark/>
          </w:tcPr>
          <w:p w14:paraId="2A4D4388"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314 764</w:t>
            </w:r>
          </w:p>
        </w:tc>
        <w:tc>
          <w:tcPr>
            <w:tcW w:w="615" w:type="pct"/>
            <w:tcBorders>
              <w:top w:val="nil"/>
              <w:left w:val="nil"/>
              <w:bottom w:val="nil"/>
              <w:right w:val="nil"/>
            </w:tcBorders>
            <w:shd w:val="clear" w:color="auto" w:fill="auto"/>
            <w:noWrap/>
            <w:vAlign w:val="center"/>
            <w:hideMark/>
          </w:tcPr>
          <w:p w14:paraId="7124940A"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368 670</w:t>
            </w:r>
          </w:p>
        </w:tc>
        <w:tc>
          <w:tcPr>
            <w:tcW w:w="538" w:type="pct"/>
            <w:tcBorders>
              <w:top w:val="nil"/>
              <w:left w:val="nil"/>
              <w:bottom w:val="nil"/>
              <w:right w:val="nil"/>
            </w:tcBorders>
            <w:shd w:val="clear" w:color="auto" w:fill="auto"/>
            <w:noWrap/>
            <w:vAlign w:val="center"/>
            <w:hideMark/>
          </w:tcPr>
          <w:p w14:paraId="23504975"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430 574</w:t>
            </w:r>
          </w:p>
        </w:tc>
        <w:tc>
          <w:tcPr>
            <w:tcW w:w="537" w:type="pct"/>
            <w:tcBorders>
              <w:top w:val="nil"/>
              <w:left w:val="nil"/>
              <w:bottom w:val="nil"/>
              <w:right w:val="nil"/>
            </w:tcBorders>
            <w:shd w:val="clear" w:color="000000" w:fill="FFFFFF"/>
            <w:vAlign w:val="center"/>
            <w:hideMark/>
          </w:tcPr>
          <w:p w14:paraId="5A1ED0DD"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61 904</w:t>
            </w:r>
          </w:p>
        </w:tc>
        <w:tc>
          <w:tcPr>
            <w:tcW w:w="384" w:type="pct"/>
            <w:tcBorders>
              <w:top w:val="nil"/>
              <w:left w:val="nil"/>
              <w:bottom w:val="nil"/>
              <w:right w:val="nil"/>
            </w:tcBorders>
            <w:shd w:val="clear" w:color="auto" w:fill="auto"/>
            <w:vAlign w:val="center"/>
            <w:hideMark/>
          </w:tcPr>
          <w:p w14:paraId="6B3F9370" w14:textId="77777777" w:rsidR="00B2402D" w:rsidRPr="006D37EA" w:rsidRDefault="00B2402D" w:rsidP="00D2560E">
            <w:pPr>
              <w:spacing w:after="0" w:line="240" w:lineRule="auto"/>
              <w:jc w:val="right"/>
              <w:rPr>
                <w:rFonts w:eastAsia="Times New Roman" w:cs="Times New Roman"/>
                <w:bCs/>
                <w:color w:val="000000"/>
                <w:sz w:val="18"/>
                <w:szCs w:val="18"/>
                <w:highlight w:val="yellow"/>
                <w:lang w:eastAsia="sk-SK"/>
              </w:rPr>
            </w:pPr>
            <w:r w:rsidRPr="006D37EA">
              <w:rPr>
                <w:rFonts w:eastAsia="Times New Roman" w:cs="Times New Roman"/>
                <w:bCs/>
                <w:color w:val="000000"/>
                <w:sz w:val="18"/>
                <w:szCs w:val="18"/>
                <w:lang w:eastAsia="sk-SK"/>
              </w:rPr>
              <w:t>16,8</w:t>
            </w:r>
          </w:p>
        </w:tc>
      </w:tr>
      <w:tr w:rsidR="00B2402D" w:rsidRPr="006D37EA" w14:paraId="315BC337" w14:textId="77777777" w:rsidTr="00D2560E">
        <w:trPr>
          <w:trHeight w:val="288"/>
        </w:trPr>
        <w:tc>
          <w:tcPr>
            <w:tcW w:w="1696" w:type="pct"/>
            <w:tcBorders>
              <w:top w:val="nil"/>
              <w:left w:val="nil"/>
              <w:bottom w:val="nil"/>
              <w:right w:val="nil"/>
            </w:tcBorders>
            <w:shd w:val="clear" w:color="auto" w:fill="auto"/>
            <w:noWrap/>
            <w:vAlign w:val="center"/>
            <w:hideMark/>
          </w:tcPr>
          <w:p w14:paraId="2D9E8391" w14:textId="77777777" w:rsidR="00B2402D" w:rsidRPr="006D37EA" w:rsidRDefault="00B2402D" w:rsidP="00D2560E">
            <w:pPr>
              <w:spacing w:after="0" w:line="240" w:lineRule="auto"/>
              <w:jc w:val="left"/>
              <w:rPr>
                <w:rFonts w:eastAsia="Times New Roman" w:cs="Times New Roman"/>
                <w:i/>
                <w:iCs/>
                <w:color w:val="000000"/>
                <w:sz w:val="18"/>
                <w:szCs w:val="18"/>
                <w:lang w:eastAsia="sk-SK"/>
              </w:rPr>
            </w:pPr>
            <w:r w:rsidRPr="006D37EA">
              <w:rPr>
                <w:rFonts w:eastAsia="Times New Roman" w:cs="Times New Roman"/>
                <w:i/>
                <w:iCs/>
                <w:color w:val="000000"/>
                <w:sz w:val="18"/>
                <w:szCs w:val="18"/>
                <w:lang w:eastAsia="sk-SK"/>
              </w:rPr>
              <w:t xml:space="preserve">     daň z príjmov FO</w:t>
            </w:r>
          </w:p>
        </w:tc>
        <w:tc>
          <w:tcPr>
            <w:tcW w:w="615" w:type="pct"/>
            <w:tcBorders>
              <w:top w:val="nil"/>
              <w:left w:val="nil"/>
              <w:bottom w:val="nil"/>
              <w:right w:val="nil"/>
            </w:tcBorders>
            <w:shd w:val="clear" w:color="auto" w:fill="auto"/>
            <w:noWrap/>
            <w:vAlign w:val="center"/>
            <w:hideMark/>
          </w:tcPr>
          <w:p w14:paraId="352A12B7"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20 864</w:t>
            </w:r>
          </w:p>
        </w:tc>
        <w:tc>
          <w:tcPr>
            <w:tcW w:w="615" w:type="pct"/>
            <w:tcBorders>
              <w:top w:val="nil"/>
              <w:left w:val="nil"/>
              <w:bottom w:val="nil"/>
              <w:right w:val="nil"/>
            </w:tcBorders>
            <w:shd w:val="clear" w:color="000000" w:fill="FFFFFF"/>
            <w:noWrap/>
            <w:vAlign w:val="center"/>
            <w:hideMark/>
          </w:tcPr>
          <w:p w14:paraId="2A1CCEEF"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-4 929</w:t>
            </w:r>
          </w:p>
        </w:tc>
        <w:tc>
          <w:tcPr>
            <w:tcW w:w="615" w:type="pct"/>
            <w:tcBorders>
              <w:top w:val="nil"/>
              <w:left w:val="nil"/>
              <w:bottom w:val="nil"/>
              <w:right w:val="nil"/>
            </w:tcBorders>
            <w:shd w:val="clear" w:color="auto" w:fill="auto"/>
            <w:noWrap/>
            <w:vAlign w:val="center"/>
            <w:hideMark/>
          </w:tcPr>
          <w:p w14:paraId="2E3B7DDB"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-62 716</w:t>
            </w:r>
          </w:p>
        </w:tc>
        <w:tc>
          <w:tcPr>
            <w:tcW w:w="538" w:type="pct"/>
            <w:tcBorders>
              <w:top w:val="nil"/>
              <w:left w:val="nil"/>
              <w:bottom w:val="nil"/>
              <w:right w:val="nil"/>
            </w:tcBorders>
            <w:shd w:val="clear" w:color="000000" w:fill="FFFFFF"/>
            <w:noWrap/>
            <w:vAlign w:val="center"/>
            <w:hideMark/>
          </w:tcPr>
          <w:p w14:paraId="3B580048"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1 763</w:t>
            </w:r>
          </w:p>
        </w:tc>
        <w:tc>
          <w:tcPr>
            <w:tcW w:w="537" w:type="pct"/>
            <w:tcBorders>
              <w:top w:val="nil"/>
              <w:left w:val="nil"/>
              <w:bottom w:val="nil"/>
              <w:right w:val="nil"/>
            </w:tcBorders>
            <w:shd w:val="clear" w:color="000000" w:fill="FFFFFF"/>
            <w:vAlign w:val="center"/>
            <w:hideMark/>
          </w:tcPr>
          <w:p w14:paraId="3A0F9174" w14:textId="77777777" w:rsidR="00B2402D" w:rsidRPr="006D37EA" w:rsidRDefault="00B2402D" w:rsidP="00D2560E">
            <w:pPr>
              <w:spacing w:after="0" w:line="240" w:lineRule="auto"/>
              <w:jc w:val="right"/>
              <w:rPr>
                <w:rFonts w:eastAsia="Times New Roman" w:cs="Times New Roman"/>
                <w:bCs/>
                <w:color w:val="000000"/>
                <w:sz w:val="18"/>
                <w:szCs w:val="18"/>
                <w:lang w:eastAsia="sk-SK"/>
              </w:rPr>
            </w:pPr>
            <w:r w:rsidRPr="006D37EA">
              <w:rPr>
                <w:rFonts w:eastAsia="Times New Roman" w:cs="Times New Roman"/>
                <w:bCs/>
                <w:color w:val="000000"/>
                <w:sz w:val="18"/>
                <w:szCs w:val="18"/>
                <w:lang w:eastAsia="sk-SK"/>
              </w:rPr>
              <w:t>54 072</w:t>
            </w:r>
          </w:p>
        </w:tc>
        <w:tc>
          <w:tcPr>
            <w:tcW w:w="384" w:type="pct"/>
            <w:tcBorders>
              <w:top w:val="nil"/>
              <w:left w:val="nil"/>
              <w:bottom w:val="nil"/>
              <w:right w:val="nil"/>
            </w:tcBorders>
            <w:shd w:val="clear" w:color="000000" w:fill="FFFFFF"/>
            <w:vAlign w:val="center"/>
            <w:hideMark/>
          </w:tcPr>
          <w:p w14:paraId="024BCF49" w14:textId="77777777" w:rsidR="00B2402D" w:rsidRPr="006D37EA" w:rsidRDefault="00B2402D" w:rsidP="00D2560E">
            <w:pPr>
              <w:spacing w:after="0" w:line="240" w:lineRule="auto"/>
              <w:jc w:val="right"/>
              <w:rPr>
                <w:rFonts w:eastAsia="Times New Roman" w:cs="Times New Roman"/>
                <w:bCs/>
                <w:color w:val="000000"/>
                <w:sz w:val="18"/>
                <w:szCs w:val="18"/>
                <w:highlight w:val="yellow"/>
                <w:lang w:eastAsia="sk-SK"/>
              </w:rPr>
            </w:pPr>
            <w:r w:rsidRPr="006D37EA">
              <w:rPr>
                <w:rFonts w:eastAsia="Times New Roman" w:cs="Times New Roman"/>
                <w:bCs/>
                <w:color w:val="000000"/>
                <w:sz w:val="18"/>
                <w:szCs w:val="18"/>
                <w:lang w:eastAsia="sk-SK"/>
              </w:rPr>
              <w:t>-102,8</w:t>
            </w:r>
          </w:p>
        </w:tc>
      </w:tr>
      <w:tr w:rsidR="00B2402D" w:rsidRPr="006D37EA" w14:paraId="0FF09797" w14:textId="77777777" w:rsidTr="00D2560E">
        <w:trPr>
          <w:trHeight w:val="288"/>
        </w:trPr>
        <w:tc>
          <w:tcPr>
            <w:tcW w:w="1696" w:type="pct"/>
            <w:tcBorders>
              <w:top w:val="nil"/>
              <w:left w:val="nil"/>
              <w:bottom w:val="nil"/>
              <w:right w:val="nil"/>
            </w:tcBorders>
            <w:shd w:val="clear" w:color="auto" w:fill="auto"/>
            <w:vAlign w:val="center"/>
            <w:hideMark/>
          </w:tcPr>
          <w:p w14:paraId="285CE874" w14:textId="77777777" w:rsidR="00B2402D" w:rsidRPr="006D37EA" w:rsidRDefault="00B2402D" w:rsidP="00D2560E">
            <w:pPr>
              <w:spacing w:after="0" w:line="240" w:lineRule="auto"/>
              <w:jc w:val="lef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Dane z medzinárodného obchodu a transakcií</w:t>
            </w:r>
          </w:p>
        </w:tc>
        <w:tc>
          <w:tcPr>
            <w:tcW w:w="615" w:type="pct"/>
            <w:tcBorders>
              <w:top w:val="nil"/>
              <w:left w:val="nil"/>
              <w:bottom w:val="nil"/>
              <w:right w:val="nil"/>
            </w:tcBorders>
            <w:shd w:val="clear" w:color="auto" w:fill="auto"/>
            <w:noWrap/>
            <w:vAlign w:val="center"/>
            <w:hideMark/>
          </w:tcPr>
          <w:p w14:paraId="0F4E81F6"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28 735</w:t>
            </w:r>
          </w:p>
        </w:tc>
        <w:tc>
          <w:tcPr>
            <w:tcW w:w="615" w:type="pct"/>
            <w:tcBorders>
              <w:top w:val="nil"/>
              <w:left w:val="nil"/>
              <w:bottom w:val="nil"/>
              <w:right w:val="nil"/>
            </w:tcBorders>
            <w:shd w:val="clear" w:color="auto" w:fill="auto"/>
            <w:noWrap/>
            <w:vAlign w:val="center"/>
            <w:hideMark/>
          </w:tcPr>
          <w:p w14:paraId="51DC6959"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39 848</w:t>
            </w:r>
          </w:p>
        </w:tc>
        <w:tc>
          <w:tcPr>
            <w:tcW w:w="615" w:type="pct"/>
            <w:tcBorders>
              <w:top w:val="nil"/>
              <w:left w:val="nil"/>
              <w:bottom w:val="nil"/>
              <w:right w:val="nil"/>
            </w:tcBorders>
            <w:shd w:val="clear" w:color="auto" w:fill="auto"/>
            <w:noWrap/>
            <w:vAlign w:val="center"/>
            <w:hideMark/>
          </w:tcPr>
          <w:p w14:paraId="0FC250E7"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41 232</w:t>
            </w:r>
          </w:p>
        </w:tc>
        <w:tc>
          <w:tcPr>
            <w:tcW w:w="538" w:type="pct"/>
            <w:tcBorders>
              <w:top w:val="nil"/>
              <w:left w:val="nil"/>
              <w:bottom w:val="nil"/>
              <w:right w:val="nil"/>
            </w:tcBorders>
            <w:shd w:val="clear" w:color="auto" w:fill="auto"/>
            <w:noWrap/>
            <w:vAlign w:val="center"/>
            <w:hideMark/>
          </w:tcPr>
          <w:p w14:paraId="2CA67207"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37 917</w:t>
            </w:r>
          </w:p>
        </w:tc>
        <w:tc>
          <w:tcPr>
            <w:tcW w:w="537" w:type="pct"/>
            <w:tcBorders>
              <w:top w:val="nil"/>
              <w:left w:val="nil"/>
              <w:bottom w:val="nil"/>
              <w:right w:val="nil"/>
            </w:tcBorders>
            <w:shd w:val="clear" w:color="000000" w:fill="FFFFFF"/>
            <w:vAlign w:val="center"/>
            <w:hideMark/>
          </w:tcPr>
          <w:p w14:paraId="087154A8"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-3 315</w:t>
            </w:r>
          </w:p>
        </w:tc>
        <w:tc>
          <w:tcPr>
            <w:tcW w:w="384" w:type="pct"/>
            <w:tcBorders>
              <w:top w:val="nil"/>
              <w:left w:val="nil"/>
              <w:bottom w:val="nil"/>
              <w:right w:val="nil"/>
            </w:tcBorders>
            <w:shd w:val="clear" w:color="000000" w:fill="FFFFFF"/>
            <w:vAlign w:val="center"/>
            <w:hideMark/>
          </w:tcPr>
          <w:p w14:paraId="7EC969E6" w14:textId="77777777" w:rsidR="00B2402D" w:rsidRPr="006D37EA" w:rsidRDefault="00B2402D" w:rsidP="00D2560E">
            <w:pPr>
              <w:spacing w:after="0" w:line="240" w:lineRule="auto"/>
              <w:jc w:val="right"/>
              <w:rPr>
                <w:rFonts w:eastAsia="Times New Roman" w:cs="Times New Roman"/>
                <w:b/>
                <w:bCs/>
                <w:color w:val="000000"/>
                <w:sz w:val="18"/>
                <w:szCs w:val="18"/>
                <w:highlight w:val="yellow"/>
                <w:lang w:eastAsia="sk-SK"/>
              </w:rPr>
            </w:pPr>
            <w:r w:rsidRPr="006D37EA">
              <w:rPr>
                <w:rFonts w:eastAsia="Times New Roman" w:cs="Times New Roman"/>
                <w:b/>
                <w:bCs/>
                <w:color w:val="000000"/>
                <w:sz w:val="18"/>
                <w:szCs w:val="18"/>
                <w:lang w:eastAsia="sk-SK"/>
              </w:rPr>
              <w:t>-8,0</w:t>
            </w:r>
          </w:p>
        </w:tc>
      </w:tr>
      <w:tr w:rsidR="00B2402D" w:rsidRPr="006D37EA" w14:paraId="6FACA27A" w14:textId="77777777" w:rsidTr="00D2560E">
        <w:trPr>
          <w:trHeight w:val="288"/>
        </w:trPr>
        <w:tc>
          <w:tcPr>
            <w:tcW w:w="1696" w:type="pct"/>
            <w:tcBorders>
              <w:top w:val="nil"/>
              <w:left w:val="nil"/>
              <w:bottom w:val="nil"/>
              <w:right w:val="nil"/>
            </w:tcBorders>
            <w:shd w:val="clear" w:color="auto" w:fill="auto"/>
            <w:noWrap/>
            <w:vAlign w:val="center"/>
            <w:hideMark/>
          </w:tcPr>
          <w:p w14:paraId="1BF43939" w14:textId="77777777" w:rsidR="00B2402D" w:rsidRPr="006D37EA" w:rsidRDefault="00B2402D" w:rsidP="00D2560E">
            <w:pPr>
              <w:spacing w:after="0" w:line="240" w:lineRule="auto"/>
              <w:jc w:val="lef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Ostatné dane</w:t>
            </w:r>
          </w:p>
        </w:tc>
        <w:tc>
          <w:tcPr>
            <w:tcW w:w="615" w:type="pct"/>
            <w:tcBorders>
              <w:top w:val="nil"/>
              <w:left w:val="nil"/>
              <w:bottom w:val="nil"/>
              <w:right w:val="nil"/>
            </w:tcBorders>
            <w:shd w:val="clear" w:color="auto" w:fill="auto"/>
            <w:noWrap/>
            <w:vAlign w:val="center"/>
            <w:hideMark/>
          </w:tcPr>
          <w:p w14:paraId="0344107C"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11</w:t>
            </w:r>
          </w:p>
        </w:tc>
        <w:tc>
          <w:tcPr>
            <w:tcW w:w="615" w:type="pct"/>
            <w:tcBorders>
              <w:top w:val="nil"/>
              <w:left w:val="nil"/>
              <w:bottom w:val="nil"/>
              <w:right w:val="nil"/>
            </w:tcBorders>
            <w:shd w:val="clear" w:color="auto" w:fill="auto"/>
            <w:noWrap/>
            <w:vAlign w:val="center"/>
            <w:hideMark/>
          </w:tcPr>
          <w:p w14:paraId="6539112D"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9</w:t>
            </w:r>
          </w:p>
        </w:tc>
        <w:tc>
          <w:tcPr>
            <w:tcW w:w="615" w:type="pct"/>
            <w:tcBorders>
              <w:top w:val="nil"/>
              <w:left w:val="nil"/>
              <w:bottom w:val="nil"/>
              <w:right w:val="nil"/>
            </w:tcBorders>
            <w:shd w:val="clear" w:color="auto" w:fill="auto"/>
            <w:noWrap/>
            <w:vAlign w:val="center"/>
            <w:hideMark/>
          </w:tcPr>
          <w:p w14:paraId="5954EB07"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0</w:t>
            </w:r>
          </w:p>
        </w:tc>
        <w:tc>
          <w:tcPr>
            <w:tcW w:w="538" w:type="pct"/>
            <w:tcBorders>
              <w:top w:val="nil"/>
              <w:left w:val="nil"/>
              <w:bottom w:val="nil"/>
              <w:right w:val="nil"/>
            </w:tcBorders>
            <w:shd w:val="clear" w:color="auto" w:fill="auto"/>
            <w:noWrap/>
            <w:vAlign w:val="center"/>
            <w:hideMark/>
          </w:tcPr>
          <w:p w14:paraId="29C949CE" w14:textId="77777777" w:rsidR="00B2402D" w:rsidRPr="006D37EA" w:rsidRDefault="00B2402D" w:rsidP="00D2560E">
            <w:pPr>
              <w:spacing w:after="0" w:line="240" w:lineRule="auto"/>
              <w:jc w:val="right"/>
              <w:rPr>
                <w:rFonts w:eastAsia="Times New Roman" w:cs="Times New Roman"/>
                <w:b/>
                <w:bCs/>
                <w:color w:val="000000"/>
                <w:sz w:val="18"/>
                <w:szCs w:val="18"/>
                <w:highlight w:val="yellow"/>
                <w:lang w:eastAsia="sk-SK"/>
              </w:rPr>
            </w:pPr>
            <w:r w:rsidRPr="006D37EA">
              <w:rPr>
                <w:rFonts w:eastAsia="Times New Roman" w:cs="Times New Roman"/>
                <w:b/>
                <w:bCs/>
                <w:color w:val="000000"/>
                <w:sz w:val="18"/>
                <w:szCs w:val="18"/>
                <w:lang w:eastAsia="sk-SK"/>
              </w:rPr>
              <w:t>557 308</w:t>
            </w:r>
          </w:p>
        </w:tc>
        <w:tc>
          <w:tcPr>
            <w:tcW w:w="537" w:type="pct"/>
            <w:tcBorders>
              <w:top w:val="nil"/>
              <w:left w:val="nil"/>
              <w:bottom w:val="nil"/>
              <w:right w:val="nil"/>
            </w:tcBorders>
            <w:shd w:val="clear" w:color="000000" w:fill="FFFFFF"/>
            <w:vAlign w:val="center"/>
            <w:hideMark/>
          </w:tcPr>
          <w:p w14:paraId="2A212AA5"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557 308</w:t>
            </w:r>
          </w:p>
        </w:tc>
        <w:tc>
          <w:tcPr>
            <w:tcW w:w="384" w:type="pct"/>
            <w:tcBorders>
              <w:top w:val="nil"/>
              <w:left w:val="nil"/>
              <w:bottom w:val="nil"/>
              <w:right w:val="nil"/>
            </w:tcBorders>
            <w:shd w:val="clear" w:color="000000" w:fill="FFFFFF"/>
            <w:vAlign w:val="center"/>
            <w:hideMark/>
          </w:tcPr>
          <w:p w14:paraId="556DC85E" w14:textId="77777777" w:rsidR="00B2402D" w:rsidRPr="006D37EA" w:rsidRDefault="00B2402D" w:rsidP="00D2560E">
            <w:pPr>
              <w:spacing w:after="0" w:line="240" w:lineRule="auto"/>
              <w:jc w:val="right"/>
              <w:rPr>
                <w:rFonts w:eastAsia="Times New Roman" w:cs="Times New Roman"/>
                <w:b/>
                <w:bCs/>
                <w:color w:val="000000"/>
                <w:sz w:val="18"/>
                <w:szCs w:val="18"/>
                <w:highlight w:val="yellow"/>
                <w:lang w:eastAsia="sk-SK"/>
              </w:rPr>
            </w:pPr>
            <w:r w:rsidRPr="006D37EA">
              <w:rPr>
                <w:rFonts w:eastAsia="Times New Roman" w:cs="Times New Roman"/>
                <w:b/>
                <w:bCs/>
                <w:color w:val="000000"/>
                <w:sz w:val="18"/>
                <w:szCs w:val="18"/>
                <w:lang w:eastAsia="sk-SK"/>
              </w:rPr>
              <w:t>0,0</w:t>
            </w:r>
          </w:p>
        </w:tc>
      </w:tr>
      <w:tr w:rsidR="00B2402D" w:rsidRPr="006D37EA" w14:paraId="0CBFFE8C" w14:textId="77777777" w:rsidTr="00D2560E">
        <w:trPr>
          <w:trHeight w:val="300"/>
        </w:trPr>
        <w:tc>
          <w:tcPr>
            <w:tcW w:w="1696" w:type="pct"/>
            <w:tcBorders>
              <w:top w:val="nil"/>
              <w:left w:val="nil"/>
              <w:bottom w:val="nil"/>
              <w:right w:val="nil"/>
            </w:tcBorders>
            <w:shd w:val="clear" w:color="auto" w:fill="auto"/>
            <w:noWrap/>
            <w:vAlign w:val="center"/>
            <w:hideMark/>
          </w:tcPr>
          <w:p w14:paraId="4CE2047A" w14:textId="77777777" w:rsidR="00B2402D" w:rsidRPr="006D37EA" w:rsidRDefault="00B2402D" w:rsidP="00D2560E">
            <w:pPr>
              <w:spacing w:after="0" w:line="240" w:lineRule="auto"/>
              <w:jc w:val="lef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Sankcie uložené v daňovom konaní</w:t>
            </w:r>
          </w:p>
        </w:tc>
        <w:tc>
          <w:tcPr>
            <w:tcW w:w="615" w:type="pct"/>
            <w:tcBorders>
              <w:top w:val="nil"/>
              <w:left w:val="nil"/>
              <w:bottom w:val="nil"/>
              <w:right w:val="nil"/>
            </w:tcBorders>
            <w:shd w:val="clear" w:color="auto" w:fill="auto"/>
            <w:noWrap/>
            <w:vAlign w:val="center"/>
            <w:hideMark/>
          </w:tcPr>
          <w:p w14:paraId="15D2945D"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19 959</w:t>
            </w:r>
          </w:p>
        </w:tc>
        <w:tc>
          <w:tcPr>
            <w:tcW w:w="615" w:type="pct"/>
            <w:tcBorders>
              <w:top w:val="nil"/>
              <w:left w:val="nil"/>
              <w:bottom w:val="nil"/>
              <w:right w:val="nil"/>
            </w:tcBorders>
            <w:shd w:val="clear" w:color="000000" w:fill="FFFFFF"/>
            <w:noWrap/>
            <w:vAlign w:val="center"/>
            <w:hideMark/>
          </w:tcPr>
          <w:p w14:paraId="4A9277AB"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32 771</w:t>
            </w:r>
          </w:p>
        </w:tc>
        <w:tc>
          <w:tcPr>
            <w:tcW w:w="615" w:type="pct"/>
            <w:tcBorders>
              <w:top w:val="nil"/>
              <w:left w:val="nil"/>
              <w:bottom w:val="nil"/>
              <w:right w:val="nil"/>
            </w:tcBorders>
            <w:shd w:val="clear" w:color="auto" w:fill="auto"/>
            <w:noWrap/>
            <w:vAlign w:val="center"/>
            <w:hideMark/>
          </w:tcPr>
          <w:p w14:paraId="7005CAB0" w14:textId="77777777" w:rsidR="00B2402D" w:rsidRPr="006D37EA" w:rsidRDefault="00B2402D" w:rsidP="00D2560E">
            <w:pPr>
              <w:spacing w:after="0" w:line="240" w:lineRule="auto"/>
              <w:jc w:val="right"/>
              <w:rPr>
                <w:rFonts w:eastAsia="Times New Roman" w:cs="Times New Roman"/>
                <w:b/>
                <w:bCs/>
                <w:color w:val="FF0000"/>
                <w:sz w:val="18"/>
                <w:szCs w:val="18"/>
                <w:lang w:eastAsia="sk-SK"/>
              </w:rPr>
            </w:pPr>
            <w:r w:rsidRPr="006D37EA">
              <w:rPr>
                <w:rFonts w:eastAsia="Times New Roman" w:cs="Times New Roman"/>
                <w:b/>
                <w:bCs/>
                <w:sz w:val="18"/>
                <w:szCs w:val="18"/>
                <w:lang w:eastAsia="sk-SK"/>
              </w:rPr>
              <w:t>20 863</w:t>
            </w:r>
          </w:p>
        </w:tc>
        <w:tc>
          <w:tcPr>
            <w:tcW w:w="538" w:type="pct"/>
            <w:tcBorders>
              <w:top w:val="nil"/>
              <w:left w:val="nil"/>
              <w:bottom w:val="nil"/>
              <w:right w:val="nil"/>
            </w:tcBorders>
            <w:shd w:val="clear" w:color="auto" w:fill="auto"/>
            <w:noWrap/>
            <w:vAlign w:val="center"/>
            <w:hideMark/>
          </w:tcPr>
          <w:p w14:paraId="293DAD89" w14:textId="77777777" w:rsidR="00B2402D" w:rsidRPr="006D37EA" w:rsidRDefault="00B2402D" w:rsidP="00D2560E">
            <w:pPr>
              <w:spacing w:after="0" w:line="240" w:lineRule="auto"/>
              <w:jc w:val="right"/>
              <w:rPr>
                <w:rFonts w:eastAsia="Times New Roman" w:cs="Times New Roman"/>
                <w:b/>
                <w:bCs/>
                <w:color w:val="FF0000"/>
                <w:sz w:val="18"/>
                <w:szCs w:val="18"/>
                <w:lang w:eastAsia="sk-SK"/>
              </w:rPr>
            </w:pPr>
            <w:r w:rsidRPr="006D37EA">
              <w:rPr>
                <w:rFonts w:eastAsia="Times New Roman" w:cs="Times New Roman"/>
                <w:b/>
                <w:bCs/>
                <w:sz w:val="18"/>
                <w:szCs w:val="18"/>
                <w:lang w:eastAsia="sk-SK"/>
              </w:rPr>
              <w:t>56 779</w:t>
            </w:r>
          </w:p>
        </w:tc>
        <w:tc>
          <w:tcPr>
            <w:tcW w:w="537" w:type="pct"/>
            <w:tcBorders>
              <w:top w:val="nil"/>
              <w:left w:val="nil"/>
              <w:bottom w:val="nil"/>
              <w:right w:val="nil"/>
            </w:tcBorders>
            <w:shd w:val="clear" w:color="000000" w:fill="FFFFFF"/>
            <w:vAlign w:val="center"/>
            <w:hideMark/>
          </w:tcPr>
          <w:p w14:paraId="3E373451"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46 323</w:t>
            </w:r>
          </w:p>
        </w:tc>
        <w:tc>
          <w:tcPr>
            <w:tcW w:w="384" w:type="pct"/>
            <w:tcBorders>
              <w:top w:val="nil"/>
              <w:left w:val="nil"/>
              <w:bottom w:val="nil"/>
              <w:right w:val="nil"/>
            </w:tcBorders>
            <w:shd w:val="clear" w:color="000000" w:fill="FFFFFF"/>
            <w:vAlign w:val="center"/>
            <w:hideMark/>
          </w:tcPr>
          <w:p w14:paraId="66DECF34" w14:textId="77777777" w:rsidR="00B2402D" w:rsidRPr="006D37EA" w:rsidRDefault="00B2402D" w:rsidP="00D2560E">
            <w:pPr>
              <w:spacing w:after="0" w:line="240" w:lineRule="auto"/>
              <w:jc w:val="right"/>
              <w:rPr>
                <w:rFonts w:eastAsia="Times New Roman" w:cs="Times New Roman"/>
                <w:b/>
                <w:bCs/>
                <w:color w:val="000000"/>
                <w:sz w:val="18"/>
                <w:szCs w:val="18"/>
                <w:highlight w:val="yellow"/>
                <w:lang w:eastAsia="sk-SK"/>
              </w:rPr>
            </w:pPr>
            <w:r w:rsidRPr="006D37EA">
              <w:rPr>
                <w:rFonts w:eastAsia="Times New Roman" w:cs="Times New Roman"/>
                <w:b/>
                <w:bCs/>
                <w:color w:val="000000"/>
                <w:sz w:val="18"/>
                <w:szCs w:val="18"/>
                <w:lang w:eastAsia="sk-SK"/>
              </w:rPr>
              <w:t>172,2</w:t>
            </w:r>
          </w:p>
        </w:tc>
      </w:tr>
      <w:tr w:rsidR="00B2402D" w:rsidRPr="006D37EA" w14:paraId="41B33475" w14:textId="77777777" w:rsidTr="00D2560E">
        <w:trPr>
          <w:trHeight w:val="300"/>
        </w:trPr>
        <w:tc>
          <w:tcPr>
            <w:tcW w:w="1696" w:type="pct"/>
            <w:tcBorders>
              <w:top w:val="single" w:sz="8" w:space="0" w:color="auto"/>
              <w:left w:val="nil"/>
              <w:bottom w:val="single" w:sz="8" w:space="0" w:color="auto"/>
              <w:right w:val="nil"/>
            </w:tcBorders>
            <w:shd w:val="clear" w:color="000000" w:fill="FFFFFF"/>
            <w:noWrap/>
            <w:vAlign w:val="center"/>
            <w:hideMark/>
          </w:tcPr>
          <w:p w14:paraId="3C94EF9D" w14:textId="77777777" w:rsidR="00B2402D" w:rsidRPr="006D37EA" w:rsidRDefault="00B2402D" w:rsidP="00D2560E">
            <w:pPr>
              <w:spacing w:after="0" w:line="240" w:lineRule="auto"/>
              <w:jc w:val="lef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Spolu</w:t>
            </w:r>
          </w:p>
        </w:tc>
        <w:tc>
          <w:tcPr>
            <w:tcW w:w="615" w:type="pct"/>
            <w:tcBorders>
              <w:top w:val="single" w:sz="8" w:space="0" w:color="auto"/>
              <w:left w:val="nil"/>
              <w:bottom w:val="single" w:sz="8" w:space="0" w:color="auto"/>
              <w:right w:val="nil"/>
            </w:tcBorders>
            <w:shd w:val="clear" w:color="auto" w:fill="auto"/>
            <w:noWrap/>
            <w:vAlign w:val="center"/>
            <w:hideMark/>
          </w:tcPr>
          <w:p w14:paraId="38B94110"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13 546 039</w:t>
            </w:r>
          </w:p>
        </w:tc>
        <w:tc>
          <w:tcPr>
            <w:tcW w:w="615" w:type="pct"/>
            <w:tcBorders>
              <w:top w:val="single" w:sz="8" w:space="0" w:color="auto"/>
              <w:left w:val="nil"/>
              <w:bottom w:val="single" w:sz="8" w:space="0" w:color="auto"/>
              <w:right w:val="nil"/>
            </w:tcBorders>
            <w:shd w:val="clear" w:color="auto" w:fill="auto"/>
            <w:noWrap/>
            <w:vAlign w:val="center"/>
            <w:hideMark/>
          </w:tcPr>
          <w:p w14:paraId="3601D349"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15 517 036</w:t>
            </w:r>
          </w:p>
        </w:tc>
        <w:tc>
          <w:tcPr>
            <w:tcW w:w="615" w:type="pct"/>
            <w:tcBorders>
              <w:top w:val="single" w:sz="8" w:space="0" w:color="auto"/>
              <w:left w:val="nil"/>
              <w:bottom w:val="single" w:sz="8" w:space="0" w:color="auto"/>
              <w:right w:val="nil"/>
            </w:tcBorders>
            <w:shd w:val="clear" w:color="000000" w:fill="FFFFFF"/>
            <w:noWrap/>
            <w:vAlign w:val="center"/>
            <w:hideMark/>
          </w:tcPr>
          <w:p w14:paraId="7F137481"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16 795 409</w:t>
            </w:r>
          </w:p>
        </w:tc>
        <w:tc>
          <w:tcPr>
            <w:tcW w:w="538" w:type="pct"/>
            <w:tcBorders>
              <w:top w:val="single" w:sz="8" w:space="0" w:color="auto"/>
              <w:left w:val="nil"/>
              <w:bottom w:val="single" w:sz="8" w:space="0" w:color="auto"/>
              <w:right w:val="nil"/>
            </w:tcBorders>
            <w:shd w:val="clear" w:color="000000" w:fill="FFFFFF"/>
            <w:noWrap/>
            <w:vAlign w:val="center"/>
            <w:hideMark/>
          </w:tcPr>
          <w:p w14:paraId="286962AA"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17 440 976</w:t>
            </w:r>
          </w:p>
        </w:tc>
        <w:tc>
          <w:tcPr>
            <w:tcW w:w="537" w:type="pct"/>
            <w:tcBorders>
              <w:top w:val="single" w:sz="8" w:space="0" w:color="auto"/>
              <w:left w:val="nil"/>
              <w:bottom w:val="single" w:sz="8" w:space="0" w:color="auto"/>
              <w:right w:val="nil"/>
            </w:tcBorders>
            <w:shd w:val="clear" w:color="000000" w:fill="FFFFFF"/>
            <w:noWrap/>
            <w:vAlign w:val="center"/>
            <w:hideMark/>
          </w:tcPr>
          <w:p w14:paraId="6DFAD983"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645 567</w:t>
            </w:r>
          </w:p>
        </w:tc>
        <w:tc>
          <w:tcPr>
            <w:tcW w:w="384" w:type="pct"/>
            <w:tcBorders>
              <w:top w:val="single" w:sz="8" w:space="0" w:color="auto"/>
              <w:left w:val="nil"/>
              <w:bottom w:val="single" w:sz="8" w:space="0" w:color="auto"/>
              <w:right w:val="nil"/>
            </w:tcBorders>
            <w:shd w:val="clear" w:color="000000" w:fill="FFFFFF"/>
            <w:vAlign w:val="center"/>
            <w:hideMark/>
          </w:tcPr>
          <w:p w14:paraId="4B777AEA"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3,8 </w:t>
            </w:r>
          </w:p>
        </w:tc>
      </w:tr>
    </w:tbl>
    <w:p w14:paraId="12F030FE" w14:textId="77777777" w:rsidR="00B2402D" w:rsidRPr="006D37EA" w:rsidRDefault="00B2402D" w:rsidP="00B2402D">
      <w:pPr>
        <w:spacing w:line="240" w:lineRule="auto"/>
        <w:ind w:left="7650" w:firstLine="510"/>
        <w:rPr>
          <w:sz w:val="18"/>
          <w:szCs w:val="18"/>
        </w:rPr>
      </w:pPr>
      <w:r w:rsidRPr="006D37EA">
        <w:rPr>
          <w:sz w:val="18"/>
          <w:szCs w:val="18"/>
        </w:rPr>
        <w:t>Zdroj: MF SR</w:t>
      </w:r>
    </w:p>
    <w:p w14:paraId="23943480" w14:textId="7B8ACB82" w:rsidR="00B2402D" w:rsidRPr="00A37F0E" w:rsidRDefault="00B2402D" w:rsidP="00B2402D">
      <w:pPr>
        <w:spacing w:line="240" w:lineRule="auto"/>
        <w:rPr>
          <w:sz w:val="24"/>
          <w:szCs w:val="24"/>
        </w:rPr>
      </w:pPr>
      <w:r>
        <w:rPr>
          <w:sz w:val="24"/>
          <w:szCs w:val="24"/>
        </w:rPr>
        <w:t>Ako bolo uvedené v kapitole 2., rozpočet na rok 2023 neobsahoval viaceré legislatívne zmeny prijaté v parlamente do konca roka 2022, nakoľko p</w:t>
      </w:r>
      <w:r w:rsidRPr="00A37F0E">
        <w:rPr>
          <w:sz w:val="24"/>
          <w:szCs w:val="24"/>
        </w:rPr>
        <w:t xml:space="preserve">rognózy pre rozpočet na rok 2023 boli tvorené </w:t>
      </w:r>
      <w:r>
        <w:rPr>
          <w:sz w:val="24"/>
          <w:szCs w:val="24"/>
        </w:rPr>
        <w:t xml:space="preserve">ešte </w:t>
      </w:r>
      <w:r w:rsidRPr="00A37F0E">
        <w:rPr>
          <w:sz w:val="24"/>
          <w:szCs w:val="24"/>
        </w:rPr>
        <w:t xml:space="preserve">v septembri 2022. V nasledujúcej tabuľke je prehľad všetkých legislatívnych opatrení nezahrnutých v rozpočte, ale s vplyvom na </w:t>
      </w:r>
      <w:r w:rsidR="000C5FD2">
        <w:rPr>
          <w:sz w:val="24"/>
          <w:szCs w:val="24"/>
        </w:rPr>
        <w:t xml:space="preserve">hotovostný </w:t>
      </w:r>
      <w:r w:rsidRPr="00A37F0E">
        <w:rPr>
          <w:sz w:val="24"/>
          <w:szCs w:val="24"/>
        </w:rPr>
        <w:t>výnos v roku 2023.</w:t>
      </w:r>
    </w:p>
    <w:tbl>
      <w:tblPr>
        <w:tblW w:w="5000" w:type="pct"/>
        <w:tblCellMar>
          <w:left w:w="70" w:type="dxa"/>
          <w:right w:w="70" w:type="dxa"/>
        </w:tblCellMar>
        <w:tblLook w:val="04A0" w:firstRow="1" w:lastRow="0" w:firstColumn="1" w:lastColumn="0" w:noHBand="0" w:noVBand="1"/>
      </w:tblPr>
      <w:tblGrid>
        <w:gridCol w:w="8026"/>
        <w:gridCol w:w="1188"/>
      </w:tblGrid>
      <w:tr w:rsidR="00B2402D" w:rsidRPr="0087476A" w14:paraId="5A661187" w14:textId="77777777" w:rsidTr="00D2560E">
        <w:trPr>
          <w:trHeight w:val="290"/>
        </w:trPr>
        <w:tc>
          <w:tcPr>
            <w:tcW w:w="8786" w:type="dxa"/>
            <w:gridSpan w:val="2"/>
            <w:tcBorders>
              <w:top w:val="nil"/>
              <w:left w:val="nil"/>
              <w:bottom w:val="single" w:sz="4" w:space="0" w:color="auto"/>
              <w:right w:val="nil"/>
            </w:tcBorders>
            <w:shd w:val="clear" w:color="auto" w:fill="auto"/>
            <w:noWrap/>
            <w:vAlign w:val="bottom"/>
            <w:hideMark/>
          </w:tcPr>
          <w:p w14:paraId="07AEDD22" w14:textId="6FADAC98" w:rsidR="00B2402D" w:rsidRPr="00EF663E" w:rsidRDefault="00903AF4" w:rsidP="004A6E2F">
            <w:pPr>
              <w:spacing w:line="240" w:lineRule="auto"/>
              <w:rPr>
                <w:b/>
                <w:bCs/>
                <w:color w:val="000000"/>
                <w:sz w:val="16"/>
                <w:szCs w:val="16"/>
              </w:rPr>
            </w:pPr>
            <w:r>
              <w:rPr>
                <w:rFonts w:eastAsia="Times New Roman" w:cs="Times New Roman"/>
                <w:b/>
                <w:bCs/>
                <w:color w:val="5B9BD5"/>
                <w:sz w:val="20"/>
                <w:szCs w:val="20"/>
                <w:lang w:eastAsia="sk-SK"/>
              </w:rPr>
              <w:lastRenderedPageBreak/>
              <w:t>Tabuľka 2</w:t>
            </w:r>
            <w:r w:rsidR="004A6E2F">
              <w:rPr>
                <w:rFonts w:eastAsia="Times New Roman" w:cs="Times New Roman"/>
                <w:b/>
                <w:bCs/>
                <w:color w:val="5B9BD5"/>
                <w:sz w:val="20"/>
                <w:szCs w:val="20"/>
                <w:lang w:eastAsia="sk-SK"/>
              </w:rPr>
              <w:t>5</w:t>
            </w:r>
            <w:r>
              <w:rPr>
                <w:rFonts w:eastAsia="Times New Roman" w:cs="Times New Roman"/>
                <w:b/>
                <w:bCs/>
                <w:color w:val="5B9BD5"/>
                <w:sz w:val="20"/>
                <w:szCs w:val="20"/>
                <w:lang w:eastAsia="sk-SK"/>
              </w:rPr>
              <w:t xml:space="preserve"> – </w:t>
            </w:r>
            <w:r w:rsidR="00B2402D" w:rsidRPr="00A37F0E">
              <w:rPr>
                <w:rFonts w:eastAsia="Times New Roman" w:cs="Times New Roman"/>
                <w:b/>
                <w:bCs/>
                <w:color w:val="5B9BD5"/>
                <w:sz w:val="20"/>
                <w:szCs w:val="20"/>
                <w:lang w:eastAsia="sk-SK"/>
              </w:rPr>
              <w:t xml:space="preserve">Legislatívne zmeny nezapracované v rozpočte VS na roky 2023-2025 - vplyvy na príjmy </w:t>
            </w:r>
            <w:r w:rsidR="00B2402D">
              <w:rPr>
                <w:rFonts w:eastAsia="Times New Roman" w:cs="Times New Roman"/>
                <w:b/>
                <w:bCs/>
                <w:color w:val="5B9BD5"/>
                <w:sz w:val="20"/>
                <w:szCs w:val="20"/>
                <w:lang w:eastAsia="sk-SK"/>
              </w:rPr>
              <w:t>štátneho rozpočtu</w:t>
            </w:r>
            <w:r w:rsidR="00B2402D" w:rsidRPr="00A37F0E">
              <w:rPr>
                <w:rFonts w:eastAsia="Times New Roman" w:cs="Times New Roman"/>
                <w:b/>
                <w:bCs/>
                <w:color w:val="5B9BD5"/>
                <w:sz w:val="20"/>
                <w:szCs w:val="20"/>
                <w:lang w:eastAsia="sk-SK"/>
              </w:rPr>
              <w:t xml:space="preserve">  (cash, v tis. eur)</w:t>
            </w:r>
          </w:p>
        </w:tc>
      </w:tr>
      <w:tr w:rsidR="00B2402D" w:rsidRPr="0087476A" w14:paraId="640F7AD1" w14:textId="77777777" w:rsidTr="00D2560E">
        <w:trPr>
          <w:trHeight w:val="290"/>
        </w:trPr>
        <w:tc>
          <w:tcPr>
            <w:tcW w:w="7653" w:type="dxa"/>
            <w:tcBorders>
              <w:top w:val="nil"/>
              <w:left w:val="nil"/>
              <w:bottom w:val="nil"/>
              <w:right w:val="nil"/>
            </w:tcBorders>
            <w:shd w:val="clear" w:color="auto" w:fill="auto"/>
            <w:noWrap/>
            <w:vAlign w:val="bottom"/>
            <w:hideMark/>
          </w:tcPr>
          <w:p w14:paraId="18BB6061" w14:textId="77777777" w:rsidR="00B2402D" w:rsidRPr="006D37EA" w:rsidRDefault="00B2402D" w:rsidP="00D2560E">
            <w:pPr>
              <w:spacing w:after="0" w:line="240" w:lineRule="auto"/>
              <w:rPr>
                <w:color w:val="000000"/>
                <w:sz w:val="18"/>
                <w:szCs w:val="18"/>
              </w:rPr>
            </w:pPr>
            <w:r w:rsidRPr="006D37EA">
              <w:rPr>
                <w:color w:val="000000"/>
                <w:sz w:val="18"/>
                <w:szCs w:val="18"/>
              </w:rPr>
              <w:t>Zvýšenie sadzby SD z liehu o 30 %</w:t>
            </w:r>
          </w:p>
        </w:tc>
        <w:tc>
          <w:tcPr>
            <w:tcW w:w="1133" w:type="dxa"/>
            <w:tcBorders>
              <w:top w:val="nil"/>
              <w:left w:val="nil"/>
              <w:bottom w:val="nil"/>
              <w:right w:val="nil"/>
            </w:tcBorders>
            <w:shd w:val="clear" w:color="auto" w:fill="auto"/>
            <w:noWrap/>
            <w:vAlign w:val="bottom"/>
            <w:hideMark/>
          </w:tcPr>
          <w:p w14:paraId="676D3823" w14:textId="77777777" w:rsidR="00B2402D" w:rsidRPr="006D37EA" w:rsidRDefault="00B2402D" w:rsidP="00D2560E">
            <w:pPr>
              <w:spacing w:after="0" w:line="240" w:lineRule="auto"/>
              <w:jc w:val="right"/>
              <w:rPr>
                <w:color w:val="000000"/>
                <w:sz w:val="18"/>
                <w:szCs w:val="18"/>
              </w:rPr>
            </w:pPr>
            <w:r w:rsidRPr="006D37EA">
              <w:rPr>
                <w:color w:val="000000"/>
                <w:sz w:val="18"/>
                <w:szCs w:val="18"/>
              </w:rPr>
              <w:t>20 856</w:t>
            </w:r>
          </w:p>
        </w:tc>
      </w:tr>
      <w:tr w:rsidR="00B2402D" w:rsidRPr="0087476A" w14:paraId="0B4A4A28" w14:textId="77777777" w:rsidTr="00D2560E">
        <w:trPr>
          <w:trHeight w:val="290"/>
        </w:trPr>
        <w:tc>
          <w:tcPr>
            <w:tcW w:w="7653" w:type="dxa"/>
            <w:tcBorders>
              <w:top w:val="nil"/>
              <w:left w:val="nil"/>
              <w:bottom w:val="nil"/>
              <w:right w:val="nil"/>
            </w:tcBorders>
            <w:shd w:val="clear" w:color="auto" w:fill="auto"/>
            <w:noWrap/>
            <w:vAlign w:val="bottom"/>
            <w:hideMark/>
          </w:tcPr>
          <w:p w14:paraId="40E7978A" w14:textId="611E5E57" w:rsidR="00B2402D" w:rsidRPr="006D37EA" w:rsidRDefault="00B2402D" w:rsidP="00D2560E">
            <w:pPr>
              <w:spacing w:after="0" w:line="240" w:lineRule="auto"/>
              <w:rPr>
                <w:color w:val="000000"/>
                <w:sz w:val="18"/>
                <w:szCs w:val="18"/>
              </w:rPr>
            </w:pPr>
            <w:r w:rsidRPr="006D37EA">
              <w:rPr>
                <w:color w:val="000000"/>
                <w:sz w:val="18"/>
                <w:szCs w:val="18"/>
              </w:rPr>
              <w:t>Nájomné bývanie - DPH 5</w:t>
            </w:r>
            <w:r w:rsidR="004108FA">
              <w:rPr>
                <w:color w:val="000000"/>
                <w:sz w:val="18"/>
                <w:szCs w:val="18"/>
              </w:rPr>
              <w:t xml:space="preserve"> </w:t>
            </w:r>
            <w:r w:rsidRPr="006D37EA">
              <w:rPr>
                <w:color w:val="000000"/>
                <w:sz w:val="18"/>
                <w:szCs w:val="18"/>
              </w:rPr>
              <w:t>%</w:t>
            </w:r>
          </w:p>
        </w:tc>
        <w:tc>
          <w:tcPr>
            <w:tcW w:w="1133" w:type="dxa"/>
            <w:tcBorders>
              <w:top w:val="nil"/>
              <w:left w:val="nil"/>
              <w:bottom w:val="nil"/>
              <w:right w:val="nil"/>
            </w:tcBorders>
            <w:shd w:val="clear" w:color="auto" w:fill="auto"/>
            <w:noWrap/>
            <w:vAlign w:val="bottom"/>
            <w:hideMark/>
          </w:tcPr>
          <w:p w14:paraId="0FAD6D64" w14:textId="77777777" w:rsidR="00B2402D" w:rsidRPr="006D37EA" w:rsidRDefault="00B2402D" w:rsidP="00D2560E">
            <w:pPr>
              <w:spacing w:after="0" w:line="240" w:lineRule="auto"/>
              <w:jc w:val="right"/>
              <w:rPr>
                <w:color w:val="000000"/>
                <w:sz w:val="18"/>
                <w:szCs w:val="18"/>
              </w:rPr>
            </w:pPr>
            <w:r w:rsidRPr="006D37EA">
              <w:rPr>
                <w:color w:val="000000"/>
                <w:sz w:val="18"/>
                <w:szCs w:val="18"/>
              </w:rPr>
              <w:t>-9 187</w:t>
            </w:r>
          </w:p>
        </w:tc>
      </w:tr>
      <w:tr w:rsidR="00B2402D" w:rsidRPr="0087476A" w14:paraId="7CA93B45" w14:textId="77777777" w:rsidTr="00D2560E">
        <w:trPr>
          <w:trHeight w:val="290"/>
        </w:trPr>
        <w:tc>
          <w:tcPr>
            <w:tcW w:w="7653" w:type="dxa"/>
            <w:tcBorders>
              <w:top w:val="nil"/>
              <w:left w:val="nil"/>
              <w:bottom w:val="nil"/>
              <w:right w:val="nil"/>
            </w:tcBorders>
            <w:shd w:val="clear" w:color="auto" w:fill="auto"/>
            <w:noWrap/>
            <w:vAlign w:val="bottom"/>
            <w:hideMark/>
          </w:tcPr>
          <w:p w14:paraId="3C0B962E" w14:textId="24E87067" w:rsidR="00B2402D" w:rsidRPr="006D37EA" w:rsidRDefault="00B2402D" w:rsidP="00D2560E">
            <w:pPr>
              <w:spacing w:after="0" w:line="240" w:lineRule="auto"/>
              <w:rPr>
                <w:color w:val="000000"/>
                <w:sz w:val="18"/>
                <w:szCs w:val="18"/>
              </w:rPr>
            </w:pPr>
            <w:r w:rsidRPr="006D37EA">
              <w:rPr>
                <w:color w:val="000000"/>
                <w:sz w:val="18"/>
                <w:szCs w:val="18"/>
              </w:rPr>
              <w:t>Trvalé zníženie sadzby DPH na 10</w:t>
            </w:r>
            <w:r w:rsidR="004108FA">
              <w:rPr>
                <w:color w:val="000000"/>
                <w:sz w:val="18"/>
                <w:szCs w:val="18"/>
              </w:rPr>
              <w:t xml:space="preserve"> </w:t>
            </w:r>
            <w:r w:rsidRPr="006D37EA">
              <w:rPr>
                <w:color w:val="000000"/>
                <w:sz w:val="18"/>
                <w:szCs w:val="18"/>
              </w:rPr>
              <w:t xml:space="preserve">% na </w:t>
            </w:r>
            <w:proofErr w:type="spellStart"/>
            <w:r w:rsidRPr="006D37EA">
              <w:rPr>
                <w:color w:val="000000"/>
                <w:sz w:val="18"/>
                <w:szCs w:val="18"/>
              </w:rPr>
              <w:t>gastro</w:t>
            </w:r>
            <w:proofErr w:type="spellEnd"/>
            <w:r w:rsidRPr="006D37EA">
              <w:rPr>
                <w:color w:val="000000"/>
                <w:sz w:val="18"/>
                <w:szCs w:val="18"/>
              </w:rPr>
              <w:t xml:space="preserve">, vleky, </w:t>
            </w:r>
            <w:proofErr w:type="spellStart"/>
            <w:r w:rsidRPr="006D37EA">
              <w:rPr>
                <w:color w:val="000000"/>
                <w:sz w:val="18"/>
                <w:szCs w:val="18"/>
              </w:rPr>
              <w:t>aquaparky</w:t>
            </w:r>
            <w:proofErr w:type="spellEnd"/>
            <w:r w:rsidRPr="006D37EA">
              <w:rPr>
                <w:color w:val="000000"/>
                <w:sz w:val="18"/>
                <w:szCs w:val="18"/>
              </w:rPr>
              <w:t xml:space="preserve"> a športoviská</w:t>
            </w:r>
          </w:p>
        </w:tc>
        <w:tc>
          <w:tcPr>
            <w:tcW w:w="1133" w:type="dxa"/>
            <w:tcBorders>
              <w:top w:val="nil"/>
              <w:left w:val="nil"/>
              <w:bottom w:val="nil"/>
              <w:right w:val="nil"/>
            </w:tcBorders>
            <w:shd w:val="clear" w:color="auto" w:fill="auto"/>
            <w:noWrap/>
            <w:vAlign w:val="bottom"/>
            <w:hideMark/>
          </w:tcPr>
          <w:p w14:paraId="238D3EA6" w14:textId="77777777" w:rsidR="00B2402D" w:rsidRPr="006D37EA" w:rsidRDefault="00B2402D" w:rsidP="00D2560E">
            <w:pPr>
              <w:spacing w:after="0" w:line="240" w:lineRule="auto"/>
              <w:jc w:val="right"/>
              <w:rPr>
                <w:color w:val="000000"/>
                <w:sz w:val="18"/>
                <w:szCs w:val="18"/>
              </w:rPr>
            </w:pPr>
            <w:r w:rsidRPr="006D37EA">
              <w:rPr>
                <w:color w:val="000000"/>
                <w:sz w:val="18"/>
                <w:szCs w:val="18"/>
              </w:rPr>
              <w:t>-149 253</w:t>
            </w:r>
          </w:p>
        </w:tc>
      </w:tr>
      <w:tr w:rsidR="00B2402D" w:rsidRPr="0087476A" w14:paraId="43B9E704" w14:textId="77777777" w:rsidTr="00D2560E">
        <w:trPr>
          <w:trHeight w:val="290"/>
        </w:trPr>
        <w:tc>
          <w:tcPr>
            <w:tcW w:w="7653" w:type="dxa"/>
            <w:tcBorders>
              <w:top w:val="nil"/>
              <w:left w:val="nil"/>
              <w:bottom w:val="nil"/>
              <w:right w:val="nil"/>
            </w:tcBorders>
            <w:shd w:val="clear" w:color="auto" w:fill="auto"/>
            <w:noWrap/>
            <w:vAlign w:val="bottom"/>
            <w:hideMark/>
          </w:tcPr>
          <w:p w14:paraId="0353C586" w14:textId="77777777" w:rsidR="00B2402D" w:rsidRPr="006D37EA" w:rsidRDefault="00B2402D" w:rsidP="00D2560E">
            <w:pPr>
              <w:spacing w:after="0" w:line="240" w:lineRule="auto"/>
              <w:rPr>
                <w:color w:val="000000"/>
                <w:sz w:val="18"/>
                <w:szCs w:val="18"/>
              </w:rPr>
            </w:pPr>
            <w:r w:rsidRPr="006D37EA">
              <w:rPr>
                <w:color w:val="000000"/>
                <w:sz w:val="18"/>
                <w:szCs w:val="18"/>
              </w:rPr>
              <w:t>Oslobodenia cestovných nákladov lekárov na kongresy</w:t>
            </w:r>
          </w:p>
        </w:tc>
        <w:tc>
          <w:tcPr>
            <w:tcW w:w="1133" w:type="dxa"/>
            <w:tcBorders>
              <w:top w:val="nil"/>
              <w:left w:val="nil"/>
              <w:bottom w:val="nil"/>
              <w:right w:val="nil"/>
            </w:tcBorders>
            <w:shd w:val="clear" w:color="auto" w:fill="auto"/>
            <w:noWrap/>
            <w:vAlign w:val="bottom"/>
            <w:hideMark/>
          </w:tcPr>
          <w:p w14:paraId="3FCD581B" w14:textId="77777777" w:rsidR="00B2402D" w:rsidRPr="006D37EA" w:rsidRDefault="00B2402D" w:rsidP="00D2560E">
            <w:pPr>
              <w:spacing w:after="0" w:line="240" w:lineRule="auto"/>
              <w:jc w:val="right"/>
              <w:rPr>
                <w:color w:val="000000"/>
                <w:sz w:val="18"/>
                <w:szCs w:val="18"/>
              </w:rPr>
            </w:pPr>
            <w:r w:rsidRPr="006D37EA">
              <w:rPr>
                <w:color w:val="000000"/>
                <w:sz w:val="18"/>
                <w:szCs w:val="18"/>
              </w:rPr>
              <w:t>-1 000</w:t>
            </w:r>
          </w:p>
        </w:tc>
      </w:tr>
      <w:tr w:rsidR="00B2402D" w:rsidRPr="0087476A" w14:paraId="307E659F" w14:textId="77777777" w:rsidTr="00D2560E">
        <w:trPr>
          <w:trHeight w:val="290"/>
        </w:trPr>
        <w:tc>
          <w:tcPr>
            <w:tcW w:w="7653" w:type="dxa"/>
            <w:tcBorders>
              <w:top w:val="nil"/>
              <w:left w:val="nil"/>
              <w:bottom w:val="nil"/>
              <w:right w:val="nil"/>
            </w:tcBorders>
            <w:shd w:val="clear" w:color="auto" w:fill="auto"/>
            <w:noWrap/>
            <w:vAlign w:val="bottom"/>
            <w:hideMark/>
          </w:tcPr>
          <w:p w14:paraId="4DE061D0" w14:textId="77777777" w:rsidR="00B2402D" w:rsidRPr="006D37EA" w:rsidRDefault="00B2402D" w:rsidP="00D2560E">
            <w:pPr>
              <w:spacing w:after="0" w:line="240" w:lineRule="auto"/>
              <w:rPr>
                <w:color w:val="000000"/>
                <w:sz w:val="18"/>
                <w:szCs w:val="18"/>
              </w:rPr>
            </w:pPr>
            <w:r w:rsidRPr="006D37EA">
              <w:rPr>
                <w:color w:val="000000"/>
                <w:sz w:val="18"/>
                <w:szCs w:val="18"/>
              </w:rPr>
              <w:t>Zdanenie dlhopisov emitovaných domácimi emitentmi na zahraničných trhoch</w:t>
            </w:r>
          </w:p>
        </w:tc>
        <w:tc>
          <w:tcPr>
            <w:tcW w:w="1133" w:type="dxa"/>
            <w:tcBorders>
              <w:top w:val="nil"/>
              <w:left w:val="nil"/>
              <w:bottom w:val="nil"/>
              <w:right w:val="nil"/>
            </w:tcBorders>
            <w:shd w:val="clear" w:color="auto" w:fill="auto"/>
            <w:noWrap/>
            <w:vAlign w:val="bottom"/>
            <w:hideMark/>
          </w:tcPr>
          <w:p w14:paraId="34154ED7" w14:textId="77777777" w:rsidR="00B2402D" w:rsidRPr="006D37EA" w:rsidRDefault="00B2402D" w:rsidP="00D2560E">
            <w:pPr>
              <w:spacing w:after="0" w:line="240" w:lineRule="auto"/>
              <w:jc w:val="right"/>
              <w:rPr>
                <w:color w:val="000000"/>
                <w:sz w:val="18"/>
                <w:szCs w:val="18"/>
              </w:rPr>
            </w:pPr>
            <w:r w:rsidRPr="006D37EA">
              <w:rPr>
                <w:color w:val="000000"/>
                <w:sz w:val="18"/>
                <w:szCs w:val="18"/>
              </w:rPr>
              <w:t>3 711</w:t>
            </w:r>
          </w:p>
        </w:tc>
      </w:tr>
      <w:tr w:rsidR="00B2402D" w:rsidRPr="0087476A" w14:paraId="28129D31" w14:textId="77777777" w:rsidTr="00D2560E">
        <w:trPr>
          <w:trHeight w:val="290"/>
        </w:trPr>
        <w:tc>
          <w:tcPr>
            <w:tcW w:w="7653" w:type="dxa"/>
            <w:tcBorders>
              <w:top w:val="nil"/>
              <w:left w:val="nil"/>
              <w:bottom w:val="nil"/>
              <w:right w:val="nil"/>
            </w:tcBorders>
            <w:shd w:val="clear" w:color="auto" w:fill="auto"/>
            <w:noWrap/>
            <w:vAlign w:val="bottom"/>
            <w:hideMark/>
          </w:tcPr>
          <w:p w14:paraId="7C0D6497" w14:textId="4DD82B48" w:rsidR="00B2402D" w:rsidRPr="006D37EA" w:rsidRDefault="00B2402D" w:rsidP="00D2560E">
            <w:pPr>
              <w:spacing w:after="0" w:line="240" w:lineRule="auto"/>
              <w:rPr>
                <w:color w:val="000000"/>
                <w:sz w:val="18"/>
                <w:szCs w:val="18"/>
              </w:rPr>
            </w:pPr>
            <w:r w:rsidRPr="006D37EA">
              <w:rPr>
                <w:color w:val="000000"/>
                <w:sz w:val="18"/>
                <w:szCs w:val="18"/>
              </w:rPr>
              <w:t>Solidárny príspevok (55</w:t>
            </w:r>
            <w:r w:rsidR="004108FA">
              <w:rPr>
                <w:color w:val="000000"/>
                <w:sz w:val="18"/>
                <w:szCs w:val="18"/>
              </w:rPr>
              <w:t xml:space="preserve"> </w:t>
            </w:r>
            <w:r w:rsidRPr="006D37EA">
              <w:rPr>
                <w:color w:val="000000"/>
                <w:sz w:val="18"/>
                <w:szCs w:val="18"/>
              </w:rPr>
              <w:t>% za obdobie roku 2022) (čistý vplyv)</w:t>
            </w:r>
          </w:p>
        </w:tc>
        <w:tc>
          <w:tcPr>
            <w:tcW w:w="1133" w:type="dxa"/>
            <w:tcBorders>
              <w:top w:val="nil"/>
              <w:left w:val="nil"/>
              <w:bottom w:val="nil"/>
              <w:right w:val="nil"/>
            </w:tcBorders>
            <w:shd w:val="clear" w:color="auto" w:fill="auto"/>
            <w:noWrap/>
            <w:vAlign w:val="bottom"/>
            <w:hideMark/>
          </w:tcPr>
          <w:p w14:paraId="28D90146" w14:textId="77777777" w:rsidR="00B2402D" w:rsidRPr="006D37EA" w:rsidRDefault="00B2402D" w:rsidP="00D2560E">
            <w:pPr>
              <w:spacing w:after="0" w:line="240" w:lineRule="auto"/>
              <w:jc w:val="right"/>
              <w:rPr>
                <w:color w:val="000000"/>
                <w:sz w:val="18"/>
                <w:szCs w:val="18"/>
              </w:rPr>
            </w:pPr>
            <w:r w:rsidRPr="006D37EA">
              <w:rPr>
                <w:color w:val="000000"/>
                <w:sz w:val="18"/>
                <w:szCs w:val="18"/>
              </w:rPr>
              <w:t>410 545</w:t>
            </w:r>
          </w:p>
        </w:tc>
      </w:tr>
      <w:tr w:rsidR="00B2402D" w:rsidRPr="0087476A" w14:paraId="146F2A93" w14:textId="77777777" w:rsidTr="00D2560E">
        <w:trPr>
          <w:trHeight w:val="290"/>
        </w:trPr>
        <w:tc>
          <w:tcPr>
            <w:tcW w:w="7653" w:type="dxa"/>
            <w:tcBorders>
              <w:top w:val="nil"/>
              <w:left w:val="nil"/>
              <w:bottom w:val="nil"/>
              <w:right w:val="nil"/>
            </w:tcBorders>
            <w:shd w:val="clear" w:color="auto" w:fill="auto"/>
            <w:noWrap/>
            <w:vAlign w:val="bottom"/>
          </w:tcPr>
          <w:p w14:paraId="6D253491" w14:textId="77777777" w:rsidR="00B2402D" w:rsidRPr="006D37EA" w:rsidRDefault="00B2402D" w:rsidP="00D2560E">
            <w:pPr>
              <w:spacing w:after="0" w:line="240" w:lineRule="auto"/>
              <w:rPr>
                <w:color w:val="000000"/>
                <w:sz w:val="18"/>
                <w:szCs w:val="18"/>
              </w:rPr>
            </w:pPr>
            <w:r w:rsidRPr="006D37EA">
              <w:rPr>
                <w:color w:val="000000"/>
                <w:sz w:val="18"/>
                <w:szCs w:val="18"/>
              </w:rPr>
              <w:t>Príjem z odvodu z nadmerných príjmov - elektrárne (čistý vplyv)</w:t>
            </w:r>
          </w:p>
        </w:tc>
        <w:tc>
          <w:tcPr>
            <w:tcW w:w="1133" w:type="dxa"/>
            <w:tcBorders>
              <w:top w:val="nil"/>
              <w:left w:val="nil"/>
              <w:bottom w:val="nil"/>
              <w:right w:val="nil"/>
            </w:tcBorders>
            <w:shd w:val="clear" w:color="auto" w:fill="auto"/>
            <w:noWrap/>
            <w:vAlign w:val="bottom"/>
          </w:tcPr>
          <w:p w14:paraId="475EA1BA" w14:textId="77777777" w:rsidR="00B2402D" w:rsidRPr="006D37EA" w:rsidRDefault="00B2402D" w:rsidP="00D2560E">
            <w:pPr>
              <w:spacing w:after="0" w:line="240" w:lineRule="auto"/>
              <w:jc w:val="right"/>
              <w:rPr>
                <w:color w:val="000000"/>
                <w:sz w:val="18"/>
                <w:szCs w:val="18"/>
              </w:rPr>
            </w:pPr>
            <w:r w:rsidRPr="006D37EA">
              <w:rPr>
                <w:color w:val="000000"/>
                <w:sz w:val="18"/>
                <w:szCs w:val="18"/>
              </w:rPr>
              <w:t>37 624</w:t>
            </w:r>
          </w:p>
        </w:tc>
      </w:tr>
      <w:tr w:rsidR="00B2402D" w:rsidRPr="0087476A" w14:paraId="5A4CD39D" w14:textId="77777777" w:rsidTr="00D2560E">
        <w:trPr>
          <w:trHeight w:val="290"/>
        </w:trPr>
        <w:tc>
          <w:tcPr>
            <w:tcW w:w="7653" w:type="dxa"/>
            <w:tcBorders>
              <w:top w:val="nil"/>
              <w:left w:val="nil"/>
              <w:bottom w:val="nil"/>
              <w:right w:val="nil"/>
            </w:tcBorders>
            <w:shd w:val="clear" w:color="auto" w:fill="auto"/>
            <w:noWrap/>
            <w:vAlign w:val="bottom"/>
            <w:hideMark/>
          </w:tcPr>
          <w:p w14:paraId="07C10041" w14:textId="77777777" w:rsidR="00B2402D" w:rsidRPr="006D37EA" w:rsidRDefault="00B2402D" w:rsidP="00D2560E">
            <w:pPr>
              <w:spacing w:after="0" w:line="240" w:lineRule="auto"/>
              <w:rPr>
                <w:color w:val="000000"/>
                <w:sz w:val="18"/>
                <w:szCs w:val="18"/>
              </w:rPr>
            </w:pPr>
            <w:r w:rsidRPr="006D37EA">
              <w:rPr>
                <w:color w:val="000000"/>
                <w:sz w:val="18"/>
                <w:szCs w:val="18"/>
              </w:rPr>
              <w:t>Dočasné zvýšenie daňového bonusu na dieťa na 140 eur mesačne</w:t>
            </w:r>
          </w:p>
        </w:tc>
        <w:tc>
          <w:tcPr>
            <w:tcW w:w="1133" w:type="dxa"/>
            <w:tcBorders>
              <w:top w:val="nil"/>
              <w:left w:val="nil"/>
              <w:bottom w:val="nil"/>
              <w:right w:val="nil"/>
            </w:tcBorders>
            <w:shd w:val="clear" w:color="auto" w:fill="auto"/>
            <w:noWrap/>
            <w:vAlign w:val="bottom"/>
            <w:hideMark/>
          </w:tcPr>
          <w:p w14:paraId="12336F98" w14:textId="77777777" w:rsidR="00B2402D" w:rsidRPr="006D37EA" w:rsidRDefault="00B2402D" w:rsidP="00D2560E">
            <w:pPr>
              <w:spacing w:after="0" w:line="240" w:lineRule="auto"/>
              <w:jc w:val="right"/>
              <w:rPr>
                <w:color w:val="000000"/>
                <w:sz w:val="18"/>
                <w:szCs w:val="18"/>
              </w:rPr>
            </w:pPr>
            <w:r w:rsidRPr="006D37EA">
              <w:rPr>
                <w:color w:val="000000"/>
                <w:sz w:val="18"/>
                <w:szCs w:val="18"/>
              </w:rPr>
              <w:t>-20 809</w:t>
            </w:r>
          </w:p>
        </w:tc>
      </w:tr>
      <w:tr w:rsidR="00B2402D" w:rsidRPr="0087476A" w14:paraId="00A31019" w14:textId="77777777" w:rsidTr="00D2560E">
        <w:trPr>
          <w:trHeight w:val="290"/>
        </w:trPr>
        <w:tc>
          <w:tcPr>
            <w:tcW w:w="7653" w:type="dxa"/>
            <w:tcBorders>
              <w:top w:val="single" w:sz="4" w:space="0" w:color="auto"/>
              <w:left w:val="nil"/>
              <w:bottom w:val="single" w:sz="4" w:space="0" w:color="auto"/>
              <w:right w:val="nil"/>
            </w:tcBorders>
            <w:shd w:val="clear" w:color="auto" w:fill="auto"/>
            <w:noWrap/>
            <w:vAlign w:val="bottom"/>
            <w:hideMark/>
          </w:tcPr>
          <w:p w14:paraId="505F0D1E" w14:textId="77777777" w:rsidR="00B2402D" w:rsidRPr="006D37EA" w:rsidRDefault="00B2402D" w:rsidP="00D2560E">
            <w:pPr>
              <w:spacing w:after="0" w:line="240" w:lineRule="auto"/>
              <w:rPr>
                <w:b/>
                <w:bCs/>
                <w:color w:val="000000"/>
                <w:sz w:val="18"/>
                <w:szCs w:val="18"/>
              </w:rPr>
            </w:pPr>
            <w:r w:rsidRPr="006D37EA">
              <w:rPr>
                <w:b/>
                <w:bCs/>
                <w:color w:val="000000"/>
                <w:sz w:val="18"/>
                <w:szCs w:val="18"/>
              </w:rPr>
              <w:t>Vplyvy nezapracovanej legislatívy celkom</w:t>
            </w:r>
          </w:p>
        </w:tc>
        <w:tc>
          <w:tcPr>
            <w:tcW w:w="1133" w:type="dxa"/>
            <w:tcBorders>
              <w:top w:val="single" w:sz="4" w:space="0" w:color="auto"/>
              <w:left w:val="nil"/>
              <w:bottom w:val="single" w:sz="4" w:space="0" w:color="auto"/>
              <w:right w:val="nil"/>
            </w:tcBorders>
            <w:shd w:val="clear" w:color="auto" w:fill="auto"/>
            <w:noWrap/>
            <w:vAlign w:val="bottom"/>
            <w:hideMark/>
          </w:tcPr>
          <w:p w14:paraId="698724FE" w14:textId="77777777" w:rsidR="00B2402D" w:rsidRPr="006D37EA" w:rsidRDefault="00B2402D" w:rsidP="00D2560E">
            <w:pPr>
              <w:spacing w:after="0" w:line="240" w:lineRule="auto"/>
              <w:jc w:val="right"/>
              <w:rPr>
                <w:b/>
                <w:bCs/>
                <w:color w:val="000000"/>
                <w:sz w:val="18"/>
                <w:szCs w:val="18"/>
              </w:rPr>
            </w:pPr>
            <w:r w:rsidRPr="006D37EA">
              <w:rPr>
                <w:b/>
                <w:bCs/>
                <w:color w:val="000000"/>
                <w:sz w:val="18"/>
                <w:szCs w:val="18"/>
              </w:rPr>
              <w:t>292 487</w:t>
            </w:r>
          </w:p>
        </w:tc>
      </w:tr>
    </w:tbl>
    <w:p w14:paraId="0AAD512C" w14:textId="77777777" w:rsidR="00B2402D" w:rsidRDefault="00B2402D" w:rsidP="00B2402D">
      <w:pPr>
        <w:spacing w:line="240" w:lineRule="auto"/>
        <w:rPr>
          <w:sz w:val="24"/>
          <w:szCs w:val="24"/>
        </w:rPr>
      </w:pPr>
    </w:p>
    <w:p w14:paraId="360FC068" w14:textId="77777777" w:rsidR="00B2402D" w:rsidRPr="00970162" w:rsidRDefault="00B2402D" w:rsidP="00B2402D">
      <w:pPr>
        <w:spacing w:line="240" w:lineRule="auto"/>
        <w:rPr>
          <w:sz w:val="24"/>
          <w:szCs w:val="24"/>
        </w:rPr>
      </w:pPr>
      <w:r w:rsidRPr="0084585B">
        <w:rPr>
          <w:sz w:val="24"/>
          <w:szCs w:val="24"/>
        </w:rPr>
        <w:t>Tak ako v predchádzajúcich rokoch najvyšší podiel z daňových príjmov pripadá na dane za tovary a služby (71,4</w:t>
      </w:r>
      <w:r>
        <w:rPr>
          <w:sz w:val="24"/>
          <w:szCs w:val="24"/>
        </w:rPr>
        <w:t> </w:t>
      </w:r>
      <w:r w:rsidRPr="0084585B">
        <w:rPr>
          <w:sz w:val="24"/>
          <w:szCs w:val="24"/>
        </w:rPr>
        <w:t xml:space="preserve">%) a na dane z príjmov a kapitálového majetku </w:t>
      </w:r>
      <w:r w:rsidRPr="00970162">
        <w:rPr>
          <w:sz w:val="24"/>
          <w:szCs w:val="24"/>
        </w:rPr>
        <w:t>(24,9 %).</w:t>
      </w:r>
    </w:p>
    <w:p w14:paraId="15551656" w14:textId="77777777" w:rsidR="00B2402D" w:rsidRPr="006D74D3" w:rsidRDefault="00B2402D" w:rsidP="00B2402D">
      <w:pPr>
        <w:spacing w:line="240" w:lineRule="auto"/>
        <w:rPr>
          <w:b/>
          <w:sz w:val="24"/>
          <w:szCs w:val="24"/>
          <w:highlight w:val="yellow"/>
        </w:rPr>
      </w:pPr>
      <w:r w:rsidRPr="0095199C">
        <w:rPr>
          <w:b/>
          <w:sz w:val="24"/>
          <w:szCs w:val="24"/>
        </w:rPr>
        <w:t>Dane za tovary a služby</w:t>
      </w:r>
      <w:r w:rsidRPr="0095199C">
        <w:rPr>
          <w:sz w:val="24"/>
          <w:szCs w:val="24"/>
        </w:rPr>
        <w:t xml:space="preserve"> sa rozpočtovali vo výške 12 771 663 tis. eur. Skutočný výnos v objeme 12 450 214 tis. eur je oproti rozpočtu nižší o 321 449 tis.</w:t>
      </w:r>
      <w:r>
        <w:rPr>
          <w:sz w:val="24"/>
          <w:szCs w:val="24"/>
        </w:rPr>
        <w:t> </w:t>
      </w:r>
      <w:r w:rsidRPr="0095199C">
        <w:rPr>
          <w:sz w:val="24"/>
          <w:szCs w:val="24"/>
        </w:rPr>
        <w:t xml:space="preserve">eur, čo predstavuje plnenie rozpočtu na </w:t>
      </w:r>
      <w:r w:rsidRPr="004354C2">
        <w:rPr>
          <w:sz w:val="24"/>
          <w:szCs w:val="24"/>
        </w:rPr>
        <w:t xml:space="preserve">97,5 %. </w:t>
      </w:r>
      <w:r w:rsidRPr="006B1B35">
        <w:rPr>
          <w:sz w:val="24"/>
          <w:szCs w:val="24"/>
        </w:rPr>
        <w:t>V porovnaní s rokom 2022 však došlo k nárastu ich hotovostného výnosu o 1 119 986 tis. eur</w:t>
      </w:r>
      <w:r>
        <w:rPr>
          <w:sz w:val="24"/>
          <w:szCs w:val="24"/>
        </w:rPr>
        <w:t xml:space="preserve"> (nárast o 9,9 %). </w:t>
      </w:r>
    </w:p>
    <w:p w14:paraId="7C46940A" w14:textId="77777777" w:rsidR="00B2402D" w:rsidRPr="006D74D3" w:rsidRDefault="00B2402D" w:rsidP="00B2402D">
      <w:pPr>
        <w:spacing w:line="240" w:lineRule="auto"/>
        <w:rPr>
          <w:sz w:val="24"/>
          <w:szCs w:val="24"/>
          <w:highlight w:val="yellow"/>
        </w:rPr>
      </w:pPr>
      <w:r w:rsidRPr="009E6851">
        <w:rPr>
          <w:b/>
          <w:sz w:val="24"/>
          <w:szCs w:val="24"/>
        </w:rPr>
        <w:t>Daň z pridanej hodnoty</w:t>
      </w:r>
      <w:r w:rsidRPr="009E6851">
        <w:rPr>
          <w:sz w:val="24"/>
          <w:szCs w:val="24"/>
        </w:rPr>
        <w:t xml:space="preserve"> </w:t>
      </w:r>
      <w:r w:rsidRPr="005958B4">
        <w:rPr>
          <w:sz w:val="24"/>
          <w:szCs w:val="24"/>
        </w:rPr>
        <w:t>bola rozpočtovaná v sume 10 009</w:t>
      </w:r>
      <w:r>
        <w:rPr>
          <w:sz w:val="24"/>
          <w:szCs w:val="24"/>
        </w:rPr>
        <w:t> </w:t>
      </w:r>
      <w:r w:rsidRPr="005958B4">
        <w:rPr>
          <w:sz w:val="24"/>
          <w:szCs w:val="24"/>
        </w:rPr>
        <w:t>813</w:t>
      </w:r>
      <w:r>
        <w:rPr>
          <w:sz w:val="24"/>
          <w:szCs w:val="24"/>
        </w:rPr>
        <w:t> </w:t>
      </w:r>
      <w:r w:rsidRPr="005958B4">
        <w:rPr>
          <w:sz w:val="24"/>
          <w:szCs w:val="24"/>
        </w:rPr>
        <w:t>tis.</w:t>
      </w:r>
      <w:r>
        <w:rPr>
          <w:sz w:val="24"/>
          <w:szCs w:val="24"/>
        </w:rPr>
        <w:t> </w:t>
      </w:r>
      <w:r w:rsidRPr="005958B4">
        <w:rPr>
          <w:sz w:val="24"/>
          <w:szCs w:val="24"/>
        </w:rPr>
        <w:t xml:space="preserve">eur. Skutočný výnos vo výške 9 649 064 tis. eur predstavuje plnenie rozpočtu na úrovni </w:t>
      </w:r>
      <w:r w:rsidRPr="00F23E53">
        <w:rPr>
          <w:sz w:val="24"/>
          <w:szCs w:val="24"/>
        </w:rPr>
        <w:t>96,4</w:t>
      </w:r>
      <w:r>
        <w:rPr>
          <w:sz w:val="24"/>
          <w:szCs w:val="24"/>
        </w:rPr>
        <w:t> </w:t>
      </w:r>
      <w:r w:rsidRPr="00F23E53">
        <w:rPr>
          <w:sz w:val="24"/>
          <w:szCs w:val="24"/>
        </w:rPr>
        <w:t>%.</w:t>
      </w:r>
      <w:r>
        <w:rPr>
          <w:sz w:val="24"/>
          <w:szCs w:val="24"/>
        </w:rPr>
        <w:t xml:space="preserve"> </w:t>
      </w:r>
      <w:r w:rsidRPr="00BE4698">
        <w:rPr>
          <w:sz w:val="24"/>
          <w:szCs w:val="24"/>
        </w:rPr>
        <w:t xml:space="preserve">Za nižším výnosom je kombinácia legislatívnych opatrení prijímaných na konci roka 2022 (zavedenie zníženej sadzby 10 % pre </w:t>
      </w:r>
      <w:proofErr w:type="spellStart"/>
      <w:r w:rsidRPr="00BE4698">
        <w:rPr>
          <w:sz w:val="24"/>
          <w:szCs w:val="24"/>
        </w:rPr>
        <w:t>gastro</w:t>
      </w:r>
      <w:proofErr w:type="spellEnd"/>
      <w:r w:rsidRPr="00BE4698">
        <w:rPr>
          <w:sz w:val="24"/>
          <w:szCs w:val="24"/>
        </w:rPr>
        <w:t>, vleky a športoviská od 1. januára 2023) a nižšia úspešnosť výberu DPH (pokles efektívnej daňovej sadzby v porovnaní s predpokladmi pri tvorbe rozpočtu)</w:t>
      </w:r>
      <w:r>
        <w:rPr>
          <w:rStyle w:val="Odkaznapoznmkupodiarou"/>
          <w:sz w:val="24"/>
          <w:szCs w:val="24"/>
        </w:rPr>
        <w:footnoteReference w:id="25"/>
      </w:r>
      <w:r w:rsidRPr="00BE4698">
        <w:rPr>
          <w:sz w:val="24"/>
          <w:szCs w:val="24"/>
        </w:rPr>
        <w:t>.</w:t>
      </w:r>
    </w:p>
    <w:p w14:paraId="3AAA49AE" w14:textId="6AA0061D" w:rsidR="00B2402D" w:rsidRPr="00110F07" w:rsidRDefault="00B2402D" w:rsidP="00B2402D">
      <w:pPr>
        <w:spacing w:line="240" w:lineRule="auto"/>
        <w:rPr>
          <w:sz w:val="24"/>
          <w:szCs w:val="24"/>
        </w:rPr>
      </w:pPr>
      <w:r w:rsidRPr="00B017D2">
        <w:rPr>
          <w:b/>
          <w:sz w:val="24"/>
          <w:szCs w:val="24"/>
        </w:rPr>
        <w:t>Spotrebné dane</w:t>
      </w:r>
      <w:r w:rsidRPr="00B017D2">
        <w:rPr>
          <w:sz w:val="24"/>
          <w:szCs w:val="24"/>
        </w:rPr>
        <w:t xml:space="preserve"> sa rozpočtovali </w:t>
      </w:r>
      <w:r w:rsidRPr="007870E7">
        <w:rPr>
          <w:sz w:val="24"/>
          <w:szCs w:val="24"/>
        </w:rPr>
        <w:t>sumou 2 543 316 tis. eur. Skutočný výnos bol o 21 762 tis. eur vyšší a dosiahol sumu 2 565</w:t>
      </w:r>
      <w:r>
        <w:rPr>
          <w:sz w:val="24"/>
          <w:szCs w:val="24"/>
        </w:rPr>
        <w:t> </w:t>
      </w:r>
      <w:r w:rsidRPr="007870E7">
        <w:rPr>
          <w:sz w:val="24"/>
          <w:szCs w:val="24"/>
        </w:rPr>
        <w:t>078</w:t>
      </w:r>
      <w:r>
        <w:rPr>
          <w:sz w:val="24"/>
          <w:szCs w:val="24"/>
        </w:rPr>
        <w:t> </w:t>
      </w:r>
      <w:r w:rsidRPr="007870E7">
        <w:rPr>
          <w:sz w:val="24"/>
          <w:szCs w:val="24"/>
        </w:rPr>
        <w:t>tis.</w:t>
      </w:r>
      <w:r>
        <w:rPr>
          <w:sz w:val="24"/>
          <w:szCs w:val="24"/>
        </w:rPr>
        <w:t> </w:t>
      </w:r>
      <w:r w:rsidRPr="007870E7">
        <w:rPr>
          <w:sz w:val="24"/>
          <w:szCs w:val="24"/>
        </w:rPr>
        <w:t>eur</w:t>
      </w:r>
      <w:r w:rsidRPr="00605DA4">
        <w:rPr>
          <w:sz w:val="24"/>
          <w:szCs w:val="24"/>
        </w:rPr>
        <w:t xml:space="preserve">. </w:t>
      </w:r>
      <w:r>
        <w:rPr>
          <w:sz w:val="24"/>
          <w:szCs w:val="24"/>
        </w:rPr>
        <w:t>Medziročne výnos vzrástol o 40 </w:t>
      </w:r>
      <w:r w:rsidRPr="00BE4698">
        <w:rPr>
          <w:sz w:val="24"/>
          <w:szCs w:val="24"/>
        </w:rPr>
        <w:t>557</w:t>
      </w:r>
      <w:r>
        <w:rPr>
          <w:sz w:val="24"/>
          <w:szCs w:val="24"/>
        </w:rPr>
        <w:t> </w:t>
      </w:r>
      <w:r w:rsidRPr="00BE4698">
        <w:rPr>
          <w:sz w:val="24"/>
          <w:szCs w:val="24"/>
        </w:rPr>
        <w:t>tis.</w:t>
      </w:r>
      <w:r>
        <w:rPr>
          <w:sz w:val="24"/>
          <w:szCs w:val="24"/>
        </w:rPr>
        <w:t> </w:t>
      </w:r>
      <w:r w:rsidRPr="00BE4698">
        <w:rPr>
          <w:sz w:val="24"/>
          <w:szCs w:val="24"/>
        </w:rPr>
        <w:t>eur (1,6</w:t>
      </w:r>
      <w:r>
        <w:rPr>
          <w:sz w:val="24"/>
          <w:szCs w:val="24"/>
        </w:rPr>
        <w:t> </w:t>
      </w:r>
      <w:r w:rsidRPr="00BE4698">
        <w:rPr>
          <w:sz w:val="24"/>
          <w:szCs w:val="24"/>
        </w:rPr>
        <w:t xml:space="preserve">%). Rozdiely oproti rozpočtu sú minimálne. Rozpočtované výnosy sa nenaplnili pri spotrebných daniach z piva, z tabakových výrobkov, z uhlia a zo zemného plynu. Zo spotrebnej dane </w:t>
      </w:r>
      <w:r w:rsidR="00115076">
        <w:rPr>
          <w:sz w:val="24"/>
          <w:szCs w:val="24"/>
        </w:rPr>
        <w:t>z </w:t>
      </w:r>
      <w:r>
        <w:rPr>
          <w:sz w:val="24"/>
          <w:szCs w:val="24"/>
        </w:rPr>
        <w:t>minerálneho oleja prišlo o 25 </w:t>
      </w:r>
      <w:r w:rsidRPr="00BE4698">
        <w:rPr>
          <w:sz w:val="24"/>
          <w:szCs w:val="24"/>
        </w:rPr>
        <w:t>255</w:t>
      </w:r>
      <w:r>
        <w:rPr>
          <w:sz w:val="24"/>
          <w:szCs w:val="24"/>
        </w:rPr>
        <w:t> </w:t>
      </w:r>
      <w:r w:rsidRPr="00BE4698">
        <w:rPr>
          <w:sz w:val="24"/>
          <w:szCs w:val="24"/>
        </w:rPr>
        <w:t>tis.</w:t>
      </w:r>
      <w:r>
        <w:rPr>
          <w:sz w:val="24"/>
          <w:szCs w:val="24"/>
        </w:rPr>
        <w:t> </w:t>
      </w:r>
      <w:r w:rsidRPr="00BE4698">
        <w:rPr>
          <w:sz w:val="24"/>
          <w:szCs w:val="24"/>
        </w:rPr>
        <w:t>eur viac a z liehu o</w:t>
      </w:r>
      <w:r>
        <w:rPr>
          <w:sz w:val="24"/>
          <w:szCs w:val="24"/>
        </w:rPr>
        <w:t> </w:t>
      </w:r>
      <w:r w:rsidRPr="00BE4698">
        <w:rPr>
          <w:sz w:val="24"/>
          <w:szCs w:val="24"/>
        </w:rPr>
        <w:t>16</w:t>
      </w:r>
      <w:r>
        <w:rPr>
          <w:sz w:val="24"/>
          <w:szCs w:val="24"/>
        </w:rPr>
        <w:t> </w:t>
      </w:r>
      <w:r w:rsidRPr="00BE4698">
        <w:rPr>
          <w:sz w:val="24"/>
          <w:szCs w:val="24"/>
        </w:rPr>
        <w:t>280</w:t>
      </w:r>
      <w:r>
        <w:rPr>
          <w:sz w:val="24"/>
          <w:szCs w:val="24"/>
        </w:rPr>
        <w:t> </w:t>
      </w:r>
      <w:r w:rsidRPr="00BE4698">
        <w:rPr>
          <w:sz w:val="24"/>
          <w:szCs w:val="24"/>
        </w:rPr>
        <w:t>tis.</w:t>
      </w:r>
      <w:r>
        <w:rPr>
          <w:sz w:val="24"/>
          <w:szCs w:val="24"/>
        </w:rPr>
        <w:t> </w:t>
      </w:r>
      <w:r w:rsidRPr="00BE4698">
        <w:rPr>
          <w:sz w:val="24"/>
          <w:szCs w:val="24"/>
        </w:rPr>
        <w:t>eur viac. Pri minerálnych olejoch pomohlo vyššiemu výnosu lepšie makroekonomické prostredie, než sa čakalo pri tvorbe rozpočtu. Celkovo na všetky spotrebné dane vplýval lepší vývoj reálnej ekonomiky ako boli predpoklady v čase zostavovania rozpočtu. Výnos spotrebnej dane z liehu bol pozitívne ovplyvnený zvýšením sadzieb dane od 1. apríla 2023 (cca 21 mil. eur) a negatívne predzásobením z roku 2022 (cca 14 mil. eur). S touto legislatívnou zmenou sa v čase tvorby rozpočtu nepočítalo.</w:t>
      </w:r>
    </w:p>
    <w:p w14:paraId="31D97067" w14:textId="5AB727E5" w:rsidR="00B2402D" w:rsidRPr="001F23F9" w:rsidRDefault="00B2402D" w:rsidP="00B2402D">
      <w:pPr>
        <w:spacing w:line="240" w:lineRule="auto"/>
        <w:rPr>
          <w:sz w:val="24"/>
          <w:szCs w:val="24"/>
        </w:rPr>
      </w:pPr>
      <w:r w:rsidRPr="00D43CAC">
        <w:rPr>
          <w:b/>
          <w:sz w:val="24"/>
          <w:szCs w:val="24"/>
        </w:rPr>
        <w:t>Dane z používania tovarov a z povolenia na výkon činnosti</w:t>
      </w:r>
      <w:r w:rsidRPr="00D43CAC">
        <w:rPr>
          <w:sz w:val="24"/>
          <w:szCs w:val="24"/>
        </w:rPr>
        <w:t xml:space="preserve"> boli rozpočtované vo výške 132 782 tis. eur. V skutočnosti dosiahli výnos 135 545 tis. eur. </w:t>
      </w:r>
      <w:r w:rsidR="000C5FD2">
        <w:rPr>
          <w:sz w:val="24"/>
          <w:szCs w:val="24"/>
        </w:rPr>
        <w:t>Hlavnú časť týchto</w:t>
      </w:r>
      <w:r w:rsidRPr="00895615">
        <w:rPr>
          <w:sz w:val="24"/>
          <w:szCs w:val="24"/>
        </w:rPr>
        <w:t xml:space="preserve"> daní tvorí daň z motorových vozidiel, ktorá bola rozpočtovaná v sume 1</w:t>
      </w:r>
      <w:r>
        <w:rPr>
          <w:sz w:val="24"/>
          <w:szCs w:val="24"/>
        </w:rPr>
        <w:t>32 </w:t>
      </w:r>
      <w:r w:rsidRPr="00C65A46">
        <w:rPr>
          <w:sz w:val="24"/>
          <w:szCs w:val="24"/>
        </w:rPr>
        <w:t>700 tis. eur a skutočný výnos bol 135 464 tis. eur</w:t>
      </w:r>
      <w:r w:rsidRPr="001F23F9">
        <w:rPr>
          <w:sz w:val="24"/>
          <w:szCs w:val="24"/>
        </w:rPr>
        <w:t>. Súčasťou týchto daní je aj daň z úhrad za dobývací priestor (82 tis. eur).</w:t>
      </w:r>
    </w:p>
    <w:p w14:paraId="7DB9F13C" w14:textId="5E5A1FAD" w:rsidR="00B2402D" w:rsidRPr="00C65A46" w:rsidRDefault="00B2402D" w:rsidP="00B2402D">
      <w:pPr>
        <w:spacing w:line="240" w:lineRule="auto"/>
        <w:rPr>
          <w:sz w:val="24"/>
          <w:szCs w:val="24"/>
        </w:rPr>
      </w:pPr>
      <w:r w:rsidRPr="00C65A46">
        <w:rPr>
          <w:b/>
          <w:sz w:val="24"/>
          <w:szCs w:val="24"/>
        </w:rPr>
        <w:t>Iné dane za tovary a služby</w:t>
      </w:r>
      <w:r w:rsidRPr="00C65A46">
        <w:rPr>
          <w:sz w:val="24"/>
          <w:szCs w:val="24"/>
        </w:rPr>
        <w:t xml:space="preserve"> tvoria výnos dane z poistenia a výnos z odvodu časti poistného z odvetví neživotného poistenia</w:t>
      </w:r>
      <w:r w:rsidR="000C5FD2">
        <w:rPr>
          <w:rStyle w:val="Odkaznapoznmkupodiarou"/>
          <w:sz w:val="24"/>
          <w:szCs w:val="24"/>
        </w:rPr>
        <w:footnoteReference w:id="26"/>
      </w:r>
      <w:r w:rsidR="00C97D41">
        <w:rPr>
          <w:sz w:val="24"/>
          <w:szCs w:val="24"/>
        </w:rPr>
        <w:t>. Najvýznamnejší podiel predstavuje d</w:t>
      </w:r>
      <w:r w:rsidRPr="00C65A46">
        <w:rPr>
          <w:sz w:val="24"/>
          <w:szCs w:val="24"/>
        </w:rPr>
        <w:t>aň z</w:t>
      </w:r>
      <w:r w:rsidR="00C97D41">
        <w:rPr>
          <w:sz w:val="24"/>
          <w:szCs w:val="24"/>
        </w:rPr>
        <w:t> </w:t>
      </w:r>
      <w:r w:rsidRPr="00C65A46">
        <w:rPr>
          <w:sz w:val="24"/>
          <w:szCs w:val="24"/>
        </w:rPr>
        <w:t>poistenia</w:t>
      </w:r>
      <w:r w:rsidR="00C97D41">
        <w:rPr>
          <w:sz w:val="24"/>
          <w:szCs w:val="24"/>
        </w:rPr>
        <w:t>, ktorá</w:t>
      </w:r>
      <w:r w:rsidRPr="00C65A46">
        <w:rPr>
          <w:sz w:val="24"/>
          <w:szCs w:val="24"/>
        </w:rPr>
        <w:t xml:space="preserve"> bola rozpočtovaná v objeme 85</w:t>
      </w:r>
      <w:r>
        <w:rPr>
          <w:sz w:val="24"/>
          <w:szCs w:val="24"/>
        </w:rPr>
        <w:t> </w:t>
      </w:r>
      <w:r w:rsidRPr="00C65A46">
        <w:rPr>
          <w:sz w:val="24"/>
          <w:szCs w:val="24"/>
        </w:rPr>
        <w:t>752</w:t>
      </w:r>
      <w:r>
        <w:rPr>
          <w:sz w:val="24"/>
          <w:szCs w:val="24"/>
        </w:rPr>
        <w:t> tis. </w:t>
      </w:r>
      <w:r w:rsidRPr="00C65A46">
        <w:rPr>
          <w:sz w:val="24"/>
          <w:szCs w:val="24"/>
        </w:rPr>
        <w:t xml:space="preserve">eur. Skutočný výnos dane bol </w:t>
      </w:r>
      <w:r w:rsidR="00C97D41">
        <w:rPr>
          <w:sz w:val="24"/>
          <w:szCs w:val="24"/>
        </w:rPr>
        <w:t xml:space="preserve">však vyšší </w:t>
      </w:r>
      <w:r w:rsidRPr="00C65A46">
        <w:rPr>
          <w:sz w:val="24"/>
          <w:szCs w:val="24"/>
        </w:rPr>
        <w:t xml:space="preserve">o 13 876 tis. eur </w:t>
      </w:r>
      <w:r w:rsidR="000C5FD2">
        <w:rPr>
          <w:sz w:val="24"/>
          <w:szCs w:val="24"/>
        </w:rPr>
        <w:t>a dosiahol 99 628 tis. eur.</w:t>
      </w:r>
    </w:p>
    <w:p w14:paraId="6168987C" w14:textId="77777777" w:rsidR="00B2402D" w:rsidRPr="007E6A35" w:rsidRDefault="00B2402D" w:rsidP="00B2402D">
      <w:pPr>
        <w:spacing w:line="240" w:lineRule="auto"/>
        <w:rPr>
          <w:sz w:val="24"/>
          <w:szCs w:val="24"/>
        </w:rPr>
      </w:pPr>
      <w:r w:rsidRPr="004476F1">
        <w:rPr>
          <w:b/>
          <w:sz w:val="24"/>
          <w:szCs w:val="24"/>
        </w:rPr>
        <w:lastRenderedPageBreak/>
        <w:t>Dane z príjmov a kapitálového majetku</w:t>
      </w:r>
      <w:r w:rsidRPr="004476F1">
        <w:rPr>
          <w:sz w:val="24"/>
          <w:szCs w:val="24"/>
        </w:rPr>
        <w:t xml:space="preserve"> sa rozpočtovali sumou 3 961 651 tis. eur</w:t>
      </w:r>
      <w:r w:rsidRPr="00BC760D">
        <w:rPr>
          <w:sz w:val="24"/>
          <w:szCs w:val="24"/>
        </w:rPr>
        <w:t>. Skutočný výnos dosiahol 4 328 351 tis. eur</w:t>
      </w:r>
      <w:r w:rsidRPr="00D67BE4">
        <w:rPr>
          <w:sz w:val="24"/>
          <w:szCs w:val="24"/>
        </w:rPr>
        <w:t>, resp. 4 338 758 tis. eur po premietnutí 10 407 tis. eur zo sankcií</w:t>
      </w:r>
      <w:r w:rsidRPr="00D67BE4">
        <w:rPr>
          <w:rStyle w:val="Odkaznapoznmkupodiarou"/>
          <w:sz w:val="24"/>
          <w:szCs w:val="24"/>
        </w:rPr>
        <w:footnoteReference w:id="27"/>
      </w:r>
      <w:r w:rsidRPr="00D67BE4">
        <w:rPr>
          <w:sz w:val="24"/>
          <w:szCs w:val="24"/>
        </w:rPr>
        <w:t>. Op</w:t>
      </w:r>
      <w:r w:rsidRPr="007E6A35">
        <w:rPr>
          <w:sz w:val="24"/>
          <w:szCs w:val="24"/>
        </w:rPr>
        <w:t>roti rozpočtu tak boli vyššie o 366 700 tis. eur (resp. o 377 107 tis. eur).</w:t>
      </w:r>
    </w:p>
    <w:p w14:paraId="04AEB979" w14:textId="3A000A2B" w:rsidR="00B2402D" w:rsidRDefault="00B2402D" w:rsidP="00B2402D">
      <w:pPr>
        <w:spacing w:line="240" w:lineRule="auto"/>
        <w:rPr>
          <w:sz w:val="24"/>
          <w:szCs w:val="24"/>
        </w:rPr>
      </w:pPr>
      <w:r w:rsidRPr="007E6A35">
        <w:rPr>
          <w:sz w:val="24"/>
          <w:szCs w:val="24"/>
        </w:rPr>
        <w:t xml:space="preserve">Celkový výnos </w:t>
      </w:r>
      <w:r w:rsidRPr="007E6A35">
        <w:rPr>
          <w:b/>
          <w:bCs/>
          <w:sz w:val="24"/>
          <w:szCs w:val="24"/>
        </w:rPr>
        <w:t>dane z príjmov fyzických osôb</w:t>
      </w:r>
      <w:r w:rsidRPr="007E6A35">
        <w:rPr>
          <w:sz w:val="24"/>
          <w:szCs w:val="24"/>
        </w:rPr>
        <w:t xml:space="preserve"> sa rozpočtoval v sume </w:t>
      </w:r>
      <w:r>
        <w:rPr>
          <w:sz w:val="24"/>
          <w:szCs w:val="24"/>
        </w:rPr>
        <w:t>3 </w:t>
      </w:r>
      <w:r w:rsidRPr="000875A3">
        <w:rPr>
          <w:sz w:val="24"/>
          <w:szCs w:val="24"/>
        </w:rPr>
        <w:t>70</w:t>
      </w:r>
      <w:r>
        <w:rPr>
          <w:sz w:val="24"/>
          <w:szCs w:val="24"/>
        </w:rPr>
        <w:t>1 642 </w:t>
      </w:r>
      <w:r w:rsidRPr="000875A3">
        <w:rPr>
          <w:sz w:val="24"/>
          <w:szCs w:val="24"/>
        </w:rPr>
        <w:t>tis.</w:t>
      </w:r>
      <w:r>
        <w:rPr>
          <w:sz w:val="24"/>
          <w:szCs w:val="24"/>
        </w:rPr>
        <w:t> eur, z toho 3 708 262 tis. </w:t>
      </w:r>
      <w:r w:rsidRPr="007E6A35">
        <w:rPr>
          <w:sz w:val="24"/>
          <w:szCs w:val="24"/>
        </w:rPr>
        <w:t>eur tvorila daň z pr</w:t>
      </w:r>
      <w:r w:rsidR="00115076">
        <w:rPr>
          <w:sz w:val="24"/>
          <w:szCs w:val="24"/>
        </w:rPr>
        <w:t xml:space="preserve">íjmov zo závislej činnosti a </w:t>
      </w:r>
      <w:r>
        <w:rPr>
          <w:sz w:val="24"/>
          <w:szCs w:val="24"/>
        </w:rPr>
        <w:t>40 545 tis. eur daň z príjmov z podnikania, z </w:t>
      </w:r>
      <w:r w:rsidRPr="007E6A35">
        <w:rPr>
          <w:sz w:val="24"/>
          <w:szCs w:val="24"/>
        </w:rPr>
        <w:t>inej samo</w:t>
      </w:r>
      <w:r>
        <w:rPr>
          <w:sz w:val="24"/>
          <w:szCs w:val="24"/>
        </w:rPr>
        <w:t>statnej zárobkovej činnosti a</w:t>
      </w:r>
      <w:r w:rsidR="00115076">
        <w:rPr>
          <w:sz w:val="24"/>
          <w:szCs w:val="24"/>
        </w:rPr>
        <w:t xml:space="preserve"> </w:t>
      </w:r>
      <w:r>
        <w:rPr>
          <w:sz w:val="24"/>
          <w:szCs w:val="24"/>
        </w:rPr>
        <w:t>z </w:t>
      </w:r>
      <w:r w:rsidRPr="007E6A35">
        <w:rPr>
          <w:sz w:val="24"/>
          <w:szCs w:val="24"/>
        </w:rPr>
        <w:t>prenájmu. Prevod prostriedkov na osobitné účely podľa zákona č. 595/2003 Z. z., ktorý znižuje hotovostný výnos dane z príjmov fyzických osôb, bol odhadovaný v sume 47</w:t>
      </w:r>
      <w:r w:rsidR="00C65CD4">
        <w:rPr>
          <w:sz w:val="24"/>
          <w:szCs w:val="24"/>
        </w:rPr>
        <w:t> 074 </w:t>
      </w:r>
      <w:r w:rsidRPr="007E6A35">
        <w:rPr>
          <w:sz w:val="24"/>
          <w:szCs w:val="24"/>
        </w:rPr>
        <w:t>tis.</w:t>
      </w:r>
      <w:r w:rsidR="00903AF4">
        <w:rPr>
          <w:sz w:val="24"/>
          <w:szCs w:val="24"/>
        </w:rPr>
        <w:t> </w:t>
      </w:r>
      <w:r w:rsidRPr="007E6A35">
        <w:rPr>
          <w:sz w:val="24"/>
          <w:szCs w:val="24"/>
        </w:rPr>
        <w:t>eur.</w:t>
      </w:r>
    </w:p>
    <w:p w14:paraId="3E0E0410" w14:textId="77777777" w:rsidR="00B2402D" w:rsidRDefault="00B2402D" w:rsidP="00B2402D">
      <w:pPr>
        <w:spacing w:line="240" w:lineRule="auto"/>
        <w:rPr>
          <w:sz w:val="24"/>
          <w:szCs w:val="24"/>
          <w:highlight w:val="yellow"/>
        </w:rPr>
      </w:pPr>
      <w:r w:rsidRPr="007E6A35">
        <w:rPr>
          <w:sz w:val="24"/>
          <w:szCs w:val="24"/>
        </w:rPr>
        <w:t>Skutočný výnos dane z príjmov</w:t>
      </w:r>
      <w:r>
        <w:rPr>
          <w:sz w:val="24"/>
          <w:szCs w:val="24"/>
        </w:rPr>
        <w:t xml:space="preserve"> fyzických osôb dosiahol sumu 3 524 015 tis. </w:t>
      </w:r>
      <w:r w:rsidRPr="007E6A35">
        <w:rPr>
          <w:sz w:val="24"/>
          <w:szCs w:val="24"/>
        </w:rPr>
        <w:t>eur, čo je o</w:t>
      </w:r>
      <w:r>
        <w:rPr>
          <w:sz w:val="24"/>
          <w:szCs w:val="24"/>
        </w:rPr>
        <w:t> </w:t>
      </w:r>
      <w:r w:rsidRPr="007E6A35">
        <w:rPr>
          <w:sz w:val="24"/>
          <w:szCs w:val="24"/>
        </w:rPr>
        <w:t>177</w:t>
      </w:r>
      <w:r>
        <w:rPr>
          <w:sz w:val="24"/>
          <w:szCs w:val="24"/>
        </w:rPr>
        <w:t> 627 tis. </w:t>
      </w:r>
      <w:r w:rsidRPr="007E6A35">
        <w:rPr>
          <w:sz w:val="24"/>
          <w:szCs w:val="24"/>
        </w:rPr>
        <w:t>eur menej oproti rozpočtu. Výnos dane zo z</w:t>
      </w:r>
      <w:r>
        <w:rPr>
          <w:sz w:val="24"/>
          <w:szCs w:val="24"/>
        </w:rPr>
        <w:t>ávislej činnosti v objeme 3 538 359 tis. </w:t>
      </w:r>
      <w:r w:rsidRPr="007E6A35">
        <w:rPr>
          <w:sz w:val="24"/>
          <w:szCs w:val="24"/>
        </w:rPr>
        <w:t xml:space="preserve">eur bol </w:t>
      </w:r>
      <w:r>
        <w:rPr>
          <w:sz w:val="24"/>
          <w:szCs w:val="24"/>
        </w:rPr>
        <w:t>oproti rozpočtu nižší o 169 903 tis. eur a medziročne poklesol o 40 413 tis. </w:t>
      </w:r>
      <w:r w:rsidRPr="007E6A35">
        <w:rPr>
          <w:sz w:val="24"/>
          <w:szCs w:val="24"/>
        </w:rPr>
        <w:t>eur.</w:t>
      </w:r>
      <w:r>
        <w:rPr>
          <w:sz w:val="24"/>
          <w:szCs w:val="24"/>
        </w:rPr>
        <w:t xml:space="preserve"> </w:t>
      </w:r>
      <w:r w:rsidRPr="00CE0AFE">
        <w:rPr>
          <w:sz w:val="24"/>
          <w:szCs w:val="24"/>
        </w:rPr>
        <w:t>Skutočný výnos dan</w:t>
      </w:r>
      <w:r>
        <w:rPr>
          <w:sz w:val="24"/>
          <w:szCs w:val="24"/>
        </w:rPr>
        <w:t>e z podnikania v hodnote 33 621 tis. eur bol oproti rozpočtu nižší o </w:t>
      </w:r>
      <w:r w:rsidRPr="00CE0AFE">
        <w:rPr>
          <w:sz w:val="24"/>
          <w:szCs w:val="24"/>
        </w:rPr>
        <w:t>26</w:t>
      </w:r>
      <w:r>
        <w:rPr>
          <w:sz w:val="24"/>
          <w:szCs w:val="24"/>
        </w:rPr>
        <w:t> </w:t>
      </w:r>
      <w:r w:rsidRPr="00CE0AFE">
        <w:rPr>
          <w:sz w:val="24"/>
          <w:szCs w:val="24"/>
        </w:rPr>
        <w:t>308</w:t>
      </w:r>
      <w:r>
        <w:rPr>
          <w:sz w:val="24"/>
          <w:szCs w:val="24"/>
        </w:rPr>
        <w:t> tis. </w:t>
      </w:r>
      <w:r w:rsidRPr="00CE0AFE">
        <w:rPr>
          <w:sz w:val="24"/>
          <w:szCs w:val="24"/>
        </w:rPr>
        <w:t>eur a medziročne klesol o 5</w:t>
      </w:r>
      <w:r>
        <w:rPr>
          <w:sz w:val="24"/>
          <w:szCs w:val="24"/>
        </w:rPr>
        <w:t> </w:t>
      </w:r>
      <w:r w:rsidRPr="00CE0AFE">
        <w:rPr>
          <w:sz w:val="24"/>
          <w:szCs w:val="24"/>
        </w:rPr>
        <w:t>104</w:t>
      </w:r>
      <w:r>
        <w:rPr>
          <w:sz w:val="24"/>
          <w:szCs w:val="24"/>
        </w:rPr>
        <w:t> tis. </w:t>
      </w:r>
      <w:r w:rsidRPr="00CE0AFE">
        <w:rPr>
          <w:sz w:val="24"/>
          <w:szCs w:val="24"/>
        </w:rPr>
        <w:t>eur. Na osobitné účely sa previe</w:t>
      </w:r>
      <w:r>
        <w:rPr>
          <w:sz w:val="24"/>
          <w:szCs w:val="24"/>
        </w:rPr>
        <w:t>dli prostriedky vo výške 47 965 tis. </w:t>
      </w:r>
      <w:r w:rsidRPr="00CE0AFE">
        <w:rPr>
          <w:sz w:val="24"/>
          <w:szCs w:val="24"/>
        </w:rPr>
        <w:t>eur.</w:t>
      </w:r>
    </w:p>
    <w:p w14:paraId="3ABEC0FD" w14:textId="77777777" w:rsidR="00B2402D" w:rsidRPr="00901696" w:rsidRDefault="00B2402D" w:rsidP="00B2402D">
      <w:pPr>
        <w:spacing w:line="240" w:lineRule="auto"/>
        <w:rPr>
          <w:sz w:val="24"/>
          <w:szCs w:val="24"/>
        </w:rPr>
      </w:pPr>
      <w:r w:rsidRPr="00901696">
        <w:rPr>
          <w:sz w:val="24"/>
          <w:szCs w:val="24"/>
          <w:u w:val="single"/>
        </w:rPr>
        <w:t>Daň z príjmov fyzických osôb je podielovou daňou a celý výnos dane sa prerozdeľuje stanoveným mechanizmom medzi mestá a obce a vyššie územné celky</w:t>
      </w:r>
      <w:r w:rsidRPr="00901696">
        <w:rPr>
          <w:sz w:val="24"/>
          <w:szCs w:val="24"/>
        </w:rPr>
        <w:t>. Podiel miest a obcí na výnose je 70 %. Vyšším územným celkom pripadá zvyšných 30 % z výnosu. Na účte štátneho rozpočtu zostávajú priebežne len časti výnosu dane z dôvodu posunu medzi pripísaním dane na účet ŠR a jej prevedením na účty samosprávy.</w:t>
      </w:r>
    </w:p>
    <w:p w14:paraId="42FE8852" w14:textId="77777777" w:rsidR="00B2402D" w:rsidRPr="00CE0AFE" w:rsidRDefault="00B2402D" w:rsidP="00B2402D">
      <w:pPr>
        <w:spacing w:line="240" w:lineRule="auto"/>
        <w:rPr>
          <w:sz w:val="24"/>
          <w:szCs w:val="24"/>
        </w:rPr>
      </w:pPr>
      <w:r w:rsidRPr="00901696">
        <w:rPr>
          <w:b/>
          <w:sz w:val="24"/>
          <w:szCs w:val="24"/>
        </w:rPr>
        <w:t>Príjem štátneho rozpočtu z dane z príjmov fyzických osôb</w:t>
      </w:r>
      <w:r w:rsidRPr="00901696">
        <w:rPr>
          <w:sz w:val="24"/>
          <w:szCs w:val="24"/>
        </w:rPr>
        <w:t xml:space="preserve"> sa s ohľadom na uvedené pravidlá fiškálnej decentralizácie rozpočtoval sumou</w:t>
      </w:r>
      <w:r>
        <w:rPr>
          <w:sz w:val="24"/>
          <w:szCs w:val="24"/>
        </w:rPr>
        <w:t xml:space="preserve"> </w:t>
      </w:r>
      <w:r w:rsidRPr="00CE0AFE">
        <w:rPr>
          <w:sz w:val="24"/>
          <w:szCs w:val="24"/>
        </w:rPr>
        <w:t>-62</w:t>
      </w:r>
      <w:r>
        <w:rPr>
          <w:sz w:val="24"/>
          <w:szCs w:val="24"/>
        </w:rPr>
        <w:t> </w:t>
      </w:r>
      <w:r w:rsidRPr="00CE0AFE">
        <w:rPr>
          <w:sz w:val="24"/>
          <w:szCs w:val="24"/>
        </w:rPr>
        <w:t>716</w:t>
      </w:r>
      <w:r>
        <w:rPr>
          <w:sz w:val="24"/>
          <w:szCs w:val="24"/>
        </w:rPr>
        <w:t> tis. </w:t>
      </w:r>
      <w:r w:rsidRPr="00CE0AFE">
        <w:rPr>
          <w:sz w:val="24"/>
          <w:szCs w:val="24"/>
        </w:rPr>
        <w:t xml:space="preserve">eur. V skutočnosti je plnenie v sume </w:t>
      </w:r>
      <w:r>
        <w:rPr>
          <w:sz w:val="24"/>
          <w:szCs w:val="24"/>
        </w:rPr>
        <w:t xml:space="preserve">       </w:t>
      </w:r>
      <w:r w:rsidRPr="00CE0AFE">
        <w:rPr>
          <w:sz w:val="24"/>
          <w:szCs w:val="24"/>
        </w:rPr>
        <w:t>-8</w:t>
      </w:r>
      <w:r>
        <w:rPr>
          <w:sz w:val="24"/>
          <w:szCs w:val="24"/>
        </w:rPr>
        <w:t> </w:t>
      </w:r>
      <w:r w:rsidRPr="00CE0AFE">
        <w:rPr>
          <w:sz w:val="24"/>
          <w:szCs w:val="24"/>
        </w:rPr>
        <w:t>644</w:t>
      </w:r>
      <w:r>
        <w:rPr>
          <w:sz w:val="24"/>
          <w:szCs w:val="24"/>
        </w:rPr>
        <w:t> tis. </w:t>
      </w:r>
      <w:r w:rsidRPr="00CE0AFE">
        <w:rPr>
          <w:sz w:val="24"/>
          <w:szCs w:val="24"/>
        </w:rPr>
        <w:t>eur, resp. 1</w:t>
      </w:r>
      <w:r>
        <w:rPr>
          <w:sz w:val="24"/>
          <w:szCs w:val="24"/>
        </w:rPr>
        <w:t> </w:t>
      </w:r>
      <w:r w:rsidRPr="00CE0AFE">
        <w:rPr>
          <w:sz w:val="24"/>
          <w:szCs w:val="24"/>
        </w:rPr>
        <w:t>763</w:t>
      </w:r>
      <w:r>
        <w:rPr>
          <w:sz w:val="24"/>
          <w:szCs w:val="24"/>
        </w:rPr>
        <w:t> tis. </w:t>
      </w:r>
      <w:r w:rsidRPr="00CE0AFE">
        <w:rPr>
          <w:sz w:val="24"/>
          <w:szCs w:val="24"/>
        </w:rPr>
        <w:t>eur po presune časti sankcií.</w:t>
      </w:r>
    </w:p>
    <w:p w14:paraId="39C08689" w14:textId="4B2FF3C6" w:rsidR="00B2402D" w:rsidRDefault="00B2402D" w:rsidP="00B2402D">
      <w:pPr>
        <w:spacing w:line="240" w:lineRule="auto"/>
        <w:rPr>
          <w:sz w:val="24"/>
          <w:szCs w:val="24"/>
        </w:rPr>
      </w:pPr>
      <w:r w:rsidRPr="003C5ABA">
        <w:rPr>
          <w:b/>
          <w:sz w:val="24"/>
          <w:szCs w:val="24"/>
        </w:rPr>
        <w:t>Daň z príjmov právnických osôb</w:t>
      </w:r>
      <w:r>
        <w:rPr>
          <w:sz w:val="24"/>
          <w:szCs w:val="24"/>
          <w:u w:val="single"/>
        </w:rPr>
        <w:t xml:space="preserve"> </w:t>
      </w:r>
      <w:r w:rsidRPr="006C2C8C">
        <w:rPr>
          <w:sz w:val="24"/>
          <w:szCs w:val="24"/>
        </w:rPr>
        <w:t>sa rozpočtovala v sume 3</w:t>
      </w:r>
      <w:r>
        <w:rPr>
          <w:sz w:val="24"/>
          <w:szCs w:val="24"/>
        </w:rPr>
        <w:t> </w:t>
      </w:r>
      <w:r w:rsidRPr="006C2C8C">
        <w:rPr>
          <w:sz w:val="24"/>
          <w:szCs w:val="24"/>
        </w:rPr>
        <w:t>655</w:t>
      </w:r>
      <w:r>
        <w:rPr>
          <w:sz w:val="24"/>
          <w:szCs w:val="24"/>
        </w:rPr>
        <w:t> </w:t>
      </w:r>
      <w:r w:rsidRPr="006C2C8C">
        <w:rPr>
          <w:sz w:val="24"/>
          <w:szCs w:val="24"/>
        </w:rPr>
        <w:t>697</w:t>
      </w:r>
      <w:r>
        <w:rPr>
          <w:sz w:val="24"/>
          <w:szCs w:val="24"/>
        </w:rPr>
        <w:t> </w:t>
      </w:r>
      <w:r w:rsidRPr="006C2C8C">
        <w:rPr>
          <w:sz w:val="24"/>
          <w:szCs w:val="24"/>
        </w:rPr>
        <w:t>tis.</w:t>
      </w:r>
      <w:r>
        <w:rPr>
          <w:sz w:val="24"/>
          <w:szCs w:val="24"/>
        </w:rPr>
        <w:t> </w:t>
      </w:r>
      <w:r w:rsidRPr="006C2C8C">
        <w:rPr>
          <w:sz w:val="24"/>
          <w:szCs w:val="24"/>
        </w:rPr>
        <w:t>eur. Skutočný výnos dosiahol 3</w:t>
      </w:r>
      <w:r>
        <w:rPr>
          <w:sz w:val="24"/>
          <w:szCs w:val="24"/>
        </w:rPr>
        <w:t> </w:t>
      </w:r>
      <w:r w:rsidRPr="006C2C8C">
        <w:rPr>
          <w:sz w:val="24"/>
          <w:szCs w:val="24"/>
        </w:rPr>
        <w:t>906</w:t>
      </w:r>
      <w:r>
        <w:rPr>
          <w:sz w:val="24"/>
          <w:szCs w:val="24"/>
        </w:rPr>
        <w:t> </w:t>
      </w:r>
      <w:r w:rsidRPr="006C2C8C">
        <w:rPr>
          <w:sz w:val="24"/>
          <w:szCs w:val="24"/>
        </w:rPr>
        <w:t>421</w:t>
      </w:r>
      <w:r>
        <w:rPr>
          <w:sz w:val="24"/>
          <w:szCs w:val="24"/>
        </w:rPr>
        <w:t> </w:t>
      </w:r>
      <w:r w:rsidRPr="006C2C8C">
        <w:rPr>
          <w:sz w:val="24"/>
          <w:szCs w:val="24"/>
        </w:rPr>
        <w:t>tis.</w:t>
      </w:r>
      <w:r>
        <w:rPr>
          <w:sz w:val="24"/>
          <w:szCs w:val="24"/>
        </w:rPr>
        <w:t> </w:t>
      </w:r>
      <w:r w:rsidRPr="006C2C8C">
        <w:rPr>
          <w:sz w:val="24"/>
          <w:szCs w:val="24"/>
        </w:rPr>
        <w:t xml:space="preserve">eur, čo predstavuje plnenie rozpočtu na 106,9 %. Výnos </w:t>
      </w:r>
      <w:r>
        <w:rPr>
          <w:sz w:val="24"/>
          <w:szCs w:val="24"/>
        </w:rPr>
        <w:t>bol oproti rozpočtu vyšší o 250 </w:t>
      </w:r>
      <w:r w:rsidRPr="006C2C8C">
        <w:rPr>
          <w:sz w:val="24"/>
          <w:szCs w:val="24"/>
        </w:rPr>
        <w:t>724</w:t>
      </w:r>
      <w:r>
        <w:rPr>
          <w:sz w:val="24"/>
          <w:szCs w:val="24"/>
        </w:rPr>
        <w:t> </w:t>
      </w:r>
      <w:r w:rsidRPr="006C2C8C">
        <w:rPr>
          <w:sz w:val="24"/>
          <w:szCs w:val="24"/>
        </w:rPr>
        <w:t>tis.</w:t>
      </w:r>
      <w:r>
        <w:rPr>
          <w:sz w:val="24"/>
          <w:szCs w:val="24"/>
        </w:rPr>
        <w:t> </w:t>
      </w:r>
      <w:r w:rsidRPr="006C2C8C">
        <w:rPr>
          <w:sz w:val="24"/>
          <w:szCs w:val="24"/>
        </w:rPr>
        <w:t xml:space="preserve">eur. Za vyšším výnosom oproti rozpočtu je hlavne rekordný </w:t>
      </w:r>
      <w:r w:rsidRPr="00D63AAE">
        <w:rPr>
          <w:sz w:val="24"/>
          <w:szCs w:val="24"/>
        </w:rPr>
        <w:t>výnos z vyrovnania</w:t>
      </w:r>
      <w:r>
        <w:rPr>
          <w:sz w:val="24"/>
          <w:szCs w:val="24"/>
        </w:rPr>
        <w:t xml:space="preserve"> dane (resp. zúčtovania dane)</w:t>
      </w:r>
      <w:r w:rsidRPr="006C2C8C">
        <w:rPr>
          <w:sz w:val="24"/>
          <w:szCs w:val="24"/>
        </w:rPr>
        <w:t>, ktoré prekonal</w:t>
      </w:r>
      <w:r w:rsidR="003C5ABA">
        <w:rPr>
          <w:sz w:val="24"/>
          <w:szCs w:val="24"/>
        </w:rPr>
        <w:t>o</w:t>
      </w:r>
      <w:r w:rsidRPr="006C2C8C">
        <w:rPr>
          <w:sz w:val="24"/>
          <w:szCs w:val="24"/>
        </w:rPr>
        <w:t xml:space="preserve"> očakávania a dosiahlo úroveň 1</w:t>
      </w:r>
      <w:r>
        <w:rPr>
          <w:sz w:val="24"/>
          <w:szCs w:val="24"/>
        </w:rPr>
        <w:t> </w:t>
      </w:r>
      <w:r w:rsidRPr="006C2C8C">
        <w:rPr>
          <w:sz w:val="24"/>
          <w:szCs w:val="24"/>
        </w:rPr>
        <w:t>242</w:t>
      </w:r>
      <w:r>
        <w:rPr>
          <w:sz w:val="24"/>
          <w:szCs w:val="24"/>
        </w:rPr>
        <w:t> </w:t>
      </w:r>
      <w:r w:rsidRPr="006C2C8C">
        <w:rPr>
          <w:sz w:val="24"/>
          <w:szCs w:val="24"/>
        </w:rPr>
        <w:t>601</w:t>
      </w:r>
      <w:r>
        <w:rPr>
          <w:sz w:val="24"/>
          <w:szCs w:val="24"/>
        </w:rPr>
        <w:t> </w:t>
      </w:r>
      <w:r w:rsidRPr="006C2C8C">
        <w:rPr>
          <w:sz w:val="24"/>
          <w:szCs w:val="24"/>
        </w:rPr>
        <w:t>tis.</w:t>
      </w:r>
      <w:r>
        <w:rPr>
          <w:sz w:val="24"/>
          <w:szCs w:val="24"/>
        </w:rPr>
        <w:t> </w:t>
      </w:r>
      <w:r w:rsidRPr="006C2C8C">
        <w:rPr>
          <w:sz w:val="24"/>
          <w:szCs w:val="24"/>
        </w:rPr>
        <w:t>eur, čo je zmena oproti rozpočtu o</w:t>
      </w:r>
      <w:r>
        <w:rPr>
          <w:sz w:val="24"/>
          <w:szCs w:val="24"/>
        </w:rPr>
        <w:t> </w:t>
      </w:r>
      <w:r w:rsidRPr="006C2C8C">
        <w:rPr>
          <w:sz w:val="24"/>
          <w:szCs w:val="24"/>
        </w:rPr>
        <w:t>640</w:t>
      </w:r>
      <w:r>
        <w:rPr>
          <w:sz w:val="24"/>
          <w:szCs w:val="24"/>
        </w:rPr>
        <w:t> </w:t>
      </w:r>
      <w:r w:rsidRPr="006C2C8C">
        <w:rPr>
          <w:sz w:val="24"/>
          <w:szCs w:val="24"/>
        </w:rPr>
        <w:t>756</w:t>
      </w:r>
      <w:r>
        <w:rPr>
          <w:sz w:val="24"/>
          <w:szCs w:val="24"/>
        </w:rPr>
        <w:t> </w:t>
      </w:r>
      <w:r w:rsidRPr="006C2C8C">
        <w:rPr>
          <w:sz w:val="24"/>
          <w:szCs w:val="24"/>
        </w:rPr>
        <w:t>tis.</w:t>
      </w:r>
      <w:r>
        <w:rPr>
          <w:sz w:val="24"/>
          <w:szCs w:val="24"/>
        </w:rPr>
        <w:t> </w:t>
      </w:r>
      <w:r w:rsidRPr="006C2C8C">
        <w:rPr>
          <w:sz w:val="24"/>
          <w:szCs w:val="24"/>
        </w:rPr>
        <w:t>eur. Vysoké vyrovnanie bolo do určitej miery kompenzované nižšími preddavkami dane, ktoré boli nadhodnotené o</w:t>
      </w:r>
      <w:r>
        <w:rPr>
          <w:sz w:val="24"/>
          <w:szCs w:val="24"/>
        </w:rPr>
        <w:t> </w:t>
      </w:r>
      <w:r w:rsidRPr="006C2C8C">
        <w:rPr>
          <w:sz w:val="24"/>
          <w:szCs w:val="24"/>
        </w:rPr>
        <w:t>56</w:t>
      </w:r>
      <w:r>
        <w:rPr>
          <w:sz w:val="24"/>
          <w:szCs w:val="24"/>
        </w:rPr>
        <w:t> </w:t>
      </w:r>
      <w:r w:rsidRPr="006C2C8C">
        <w:rPr>
          <w:sz w:val="24"/>
          <w:szCs w:val="24"/>
        </w:rPr>
        <w:t>723</w:t>
      </w:r>
      <w:r>
        <w:rPr>
          <w:sz w:val="24"/>
          <w:szCs w:val="24"/>
        </w:rPr>
        <w:t> </w:t>
      </w:r>
      <w:r w:rsidRPr="006C2C8C">
        <w:rPr>
          <w:sz w:val="24"/>
          <w:szCs w:val="24"/>
        </w:rPr>
        <w:t>tis.</w:t>
      </w:r>
      <w:r>
        <w:rPr>
          <w:sz w:val="24"/>
          <w:szCs w:val="24"/>
        </w:rPr>
        <w:t> </w:t>
      </w:r>
      <w:r w:rsidRPr="006C2C8C">
        <w:rPr>
          <w:sz w:val="24"/>
          <w:szCs w:val="24"/>
        </w:rPr>
        <w:t>eur. Hotovostný výnos dane bol dodatočne znížený o prevod územným samosprávam v celkovej výške 325</w:t>
      </w:r>
      <w:r>
        <w:rPr>
          <w:sz w:val="24"/>
          <w:szCs w:val="24"/>
        </w:rPr>
        <w:t> </w:t>
      </w:r>
      <w:r w:rsidRPr="006C2C8C">
        <w:rPr>
          <w:sz w:val="24"/>
          <w:szCs w:val="24"/>
        </w:rPr>
        <w:t>798</w:t>
      </w:r>
      <w:r>
        <w:rPr>
          <w:sz w:val="24"/>
          <w:szCs w:val="24"/>
        </w:rPr>
        <w:t> </w:t>
      </w:r>
      <w:r w:rsidRPr="006C2C8C">
        <w:rPr>
          <w:sz w:val="24"/>
          <w:szCs w:val="24"/>
        </w:rPr>
        <w:t>tis.</w:t>
      </w:r>
      <w:r>
        <w:rPr>
          <w:sz w:val="24"/>
          <w:szCs w:val="24"/>
        </w:rPr>
        <w:t> </w:t>
      </w:r>
      <w:r w:rsidRPr="006C2C8C">
        <w:rPr>
          <w:sz w:val="24"/>
          <w:szCs w:val="24"/>
        </w:rPr>
        <w:t xml:space="preserve">eur, s ktorým sa pri tvorbe rozpočtu nepočítalo. Prevod bol ako kompenzácia </w:t>
      </w:r>
      <w:r w:rsidR="003C5ABA">
        <w:rPr>
          <w:sz w:val="24"/>
          <w:szCs w:val="24"/>
        </w:rPr>
        <w:t xml:space="preserve">výpadku dane z príjmov fyzických osôb v príjmoch samospráv </w:t>
      </w:r>
      <w:r w:rsidRPr="006C2C8C">
        <w:rPr>
          <w:sz w:val="24"/>
          <w:szCs w:val="24"/>
        </w:rPr>
        <w:t>z</w:t>
      </w:r>
      <w:r>
        <w:rPr>
          <w:sz w:val="24"/>
          <w:szCs w:val="24"/>
        </w:rPr>
        <w:t> </w:t>
      </w:r>
      <w:r w:rsidRPr="006C2C8C">
        <w:rPr>
          <w:sz w:val="24"/>
          <w:szCs w:val="24"/>
        </w:rPr>
        <w:t>dôvodu navýšenia daňovéh</w:t>
      </w:r>
      <w:r>
        <w:rPr>
          <w:sz w:val="24"/>
          <w:szCs w:val="24"/>
        </w:rPr>
        <w:t>o</w:t>
      </w:r>
      <w:r w:rsidRPr="006C2C8C">
        <w:rPr>
          <w:sz w:val="24"/>
          <w:szCs w:val="24"/>
        </w:rPr>
        <w:t xml:space="preserve"> bonusu na dieťa.</w:t>
      </w:r>
    </w:p>
    <w:p w14:paraId="29F5F9F5" w14:textId="7221C42E" w:rsidR="00B2402D" w:rsidRDefault="00B2402D" w:rsidP="00B2402D">
      <w:pPr>
        <w:spacing w:line="240" w:lineRule="auto"/>
        <w:rPr>
          <w:sz w:val="24"/>
          <w:szCs w:val="24"/>
        </w:rPr>
      </w:pPr>
      <w:r w:rsidRPr="006C2C8C">
        <w:rPr>
          <w:sz w:val="24"/>
          <w:szCs w:val="24"/>
        </w:rPr>
        <w:t>Medziročne daň z príjmov právnických osôb vzrástla o</w:t>
      </w:r>
      <w:r>
        <w:rPr>
          <w:sz w:val="24"/>
          <w:szCs w:val="24"/>
        </w:rPr>
        <w:t> </w:t>
      </w:r>
      <w:r w:rsidRPr="006C2C8C">
        <w:rPr>
          <w:sz w:val="24"/>
          <w:szCs w:val="24"/>
        </w:rPr>
        <w:t>102</w:t>
      </w:r>
      <w:r>
        <w:rPr>
          <w:sz w:val="24"/>
          <w:szCs w:val="24"/>
        </w:rPr>
        <w:t> </w:t>
      </w:r>
      <w:r w:rsidRPr="006C2C8C">
        <w:rPr>
          <w:sz w:val="24"/>
          <w:szCs w:val="24"/>
        </w:rPr>
        <w:t>076</w:t>
      </w:r>
      <w:r>
        <w:rPr>
          <w:sz w:val="24"/>
          <w:szCs w:val="24"/>
        </w:rPr>
        <w:t> </w:t>
      </w:r>
      <w:r w:rsidRPr="006C2C8C">
        <w:rPr>
          <w:sz w:val="24"/>
          <w:szCs w:val="24"/>
        </w:rPr>
        <w:t>tis.</w:t>
      </w:r>
      <w:r>
        <w:rPr>
          <w:sz w:val="24"/>
          <w:szCs w:val="24"/>
        </w:rPr>
        <w:t> </w:t>
      </w:r>
      <w:r w:rsidRPr="006C2C8C">
        <w:rPr>
          <w:sz w:val="24"/>
          <w:szCs w:val="24"/>
        </w:rPr>
        <w:t>eur. Zlepšil sa výnos na</w:t>
      </w:r>
      <w:r>
        <w:rPr>
          <w:sz w:val="24"/>
          <w:szCs w:val="24"/>
        </w:rPr>
        <w:t> </w:t>
      </w:r>
      <w:r w:rsidRPr="006C2C8C">
        <w:rPr>
          <w:sz w:val="24"/>
          <w:szCs w:val="24"/>
        </w:rPr>
        <w:t>strane preddavkov o</w:t>
      </w:r>
      <w:r>
        <w:rPr>
          <w:sz w:val="24"/>
          <w:szCs w:val="24"/>
        </w:rPr>
        <w:t> </w:t>
      </w:r>
      <w:r w:rsidRPr="006C2C8C">
        <w:rPr>
          <w:sz w:val="24"/>
          <w:szCs w:val="24"/>
        </w:rPr>
        <w:t>365</w:t>
      </w:r>
      <w:r>
        <w:rPr>
          <w:sz w:val="24"/>
          <w:szCs w:val="24"/>
        </w:rPr>
        <w:t> </w:t>
      </w:r>
      <w:r w:rsidRPr="006C2C8C">
        <w:rPr>
          <w:sz w:val="24"/>
          <w:szCs w:val="24"/>
        </w:rPr>
        <w:t>081</w:t>
      </w:r>
      <w:r>
        <w:rPr>
          <w:sz w:val="24"/>
          <w:szCs w:val="24"/>
        </w:rPr>
        <w:t> </w:t>
      </w:r>
      <w:r w:rsidRPr="006C2C8C">
        <w:rPr>
          <w:sz w:val="24"/>
          <w:szCs w:val="24"/>
        </w:rPr>
        <w:t>tis.</w:t>
      </w:r>
      <w:r>
        <w:rPr>
          <w:sz w:val="24"/>
          <w:szCs w:val="24"/>
        </w:rPr>
        <w:t> </w:t>
      </w:r>
      <w:r w:rsidRPr="006C2C8C">
        <w:rPr>
          <w:sz w:val="24"/>
          <w:szCs w:val="24"/>
        </w:rPr>
        <w:t>eur. Vyrovnanie dane po rekordných úrovniach v roku 2022 zopakovalo hodnotu nad 1</w:t>
      </w:r>
      <w:r>
        <w:rPr>
          <w:sz w:val="24"/>
          <w:szCs w:val="24"/>
        </w:rPr>
        <w:t> </w:t>
      </w:r>
      <w:r w:rsidRPr="006C2C8C">
        <w:rPr>
          <w:sz w:val="24"/>
          <w:szCs w:val="24"/>
        </w:rPr>
        <w:t>mld.</w:t>
      </w:r>
      <w:r>
        <w:rPr>
          <w:sz w:val="24"/>
          <w:szCs w:val="24"/>
        </w:rPr>
        <w:t> </w:t>
      </w:r>
      <w:r w:rsidRPr="006C2C8C">
        <w:rPr>
          <w:sz w:val="24"/>
          <w:szCs w:val="24"/>
        </w:rPr>
        <w:t>eur a bolo oproti roku 2022 vyššie o</w:t>
      </w:r>
      <w:r>
        <w:rPr>
          <w:sz w:val="24"/>
          <w:szCs w:val="24"/>
        </w:rPr>
        <w:t> </w:t>
      </w:r>
      <w:r w:rsidRPr="006C2C8C">
        <w:rPr>
          <w:sz w:val="24"/>
          <w:szCs w:val="24"/>
        </w:rPr>
        <w:t>69</w:t>
      </w:r>
      <w:r>
        <w:rPr>
          <w:sz w:val="24"/>
          <w:szCs w:val="24"/>
        </w:rPr>
        <w:t> </w:t>
      </w:r>
      <w:r w:rsidRPr="006C2C8C">
        <w:rPr>
          <w:sz w:val="24"/>
          <w:szCs w:val="24"/>
        </w:rPr>
        <w:t>218</w:t>
      </w:r>
      <w:r>
        <w:rPr>
          <w:sz w:val="24"/>
          <w:szCs w:val="24"/>
        </w:rPr>
        <w:t> </w:t>
      </w:r>
      <w:r w:rsidRPr="006C2C8C">
        <w:rPr>
          <w:sz w:val="24"/>
          <w:szCs w:val="24"/>
        </w:rPr>
        <w:t>tis.</w:t>
      </w:r>
      <w:r>
        <w:rPr>
          <w:sz w:val="24"/>
          <w:szCs w:val="24"/>
        </w:rPr>
        <w:t> </w:t>
      </w:r>
      <w:r w:rsidRPr="006C2C8C">
        <w:rPr>
          <w:sz w:val="24"/>
          <w:szCs w:val="24"/>
        </w:rPr>
        <w:t xml:space="preserve">eur. Zotrvanie vyrovnania na </w:t>
      </w:r>
      <w:r w:rsidRPr="0045039C">
        <w:rPr>
          <w:sz w:val="24"/>
          <w:szCs w:val="24"/>
        </w:rPr>
        <w:t>vysokých úrovniach</w:t>
      </w:r>
      <w:r w:rsidRPr="006C2C8C">
        <w:rPr>
          <w:sz w:val="24"/>
          <w:szCs w:val="24"/>
        </w:rPr>
        <w:t xml:space="preserve"> bolo spôsobené ziskovosťou podnikov v roku 2022, ktorá sa držala na </w:t>
      </w:r>
      <w:r>
        <w:rPr>
          <w:sz w:val="24"/>
          <w:szCs w:val="24"/>
        </w:rPr>
        <w:t>stabilnej hladine</w:t>
      </w:r>
      <w:r w:rsidRPr="006C2C8C">
        <w:rPr>
          <w:sz w:val="24"/>
          <w:szCs w:val="24"/>
        </w:rPr>
        <w:t xml:space="preserve"> a medziročne rástla o 11 %. Za vysokými vyrovnaniami bola aj nízka úroveň preddavkov, ktoré akruálne zodpovedali vyrovnaniu dane. Napriek tomu, že rástli medziročne</w:t>
      </w:r>
      <w:r>
        <w:rPr>
          <w:sz w:val="24"/>
          <w:szCs w:val="24"/>
        </w:rPr>
        <w:t xml:space="preserve"> o 13 </w:t>
      </w:r>
      <w:r w:rsidRPr="006C2C8C">
        <w:rPr>
          <w:sz w:val="24"/>
          <w:szCs w:val="24"/>
        </w:rPr>
        <w:t xml:space="preserve">%, stále boli na úrovni preddavkov v roku 2019, kedy bol aj celkový výnos dane nižší. Nižšia úroveň preddavkov tak mohla súvisieť aj s </w:t>
      </w:r>
      <w:proofErr w:type="spellStart"/>
      <w:r>
        <w:rPr>
          <w:sz w:val="24"/>
          <w:szCs w:val="24"/>
        </w:rPr>
        <w:t>cashovým</w:t>
      </w:r>
      <w:proofErr w:type="spellEnd"/>
      <w:r>
        <w:rPr>
          <w:sz w:val="24"/>
          <w:szCs w:val="24"/>
        </w:rPr>
        <w:t xml:space="preserve"> </w:t>
      </w:r>
      <w:proofErr w:type="spellStart"/>
      <w:r>
        <w:rPr>
          <w:sz w:val="24"/>
          <w:szCs w:val="24"/>
        </w:rPr>
        <w:t>managmentom</w:t>
      </w:r>
      <w:proofErr w:type="spellEnd"/>
      <w:r>
        <w:rPr>
          <w:sz w:val="24"/>
          <w:szCs w:val="24"/>
        </w:rPr>
        <w:t xml:space="preserve"> podnikov v </w:t>
      </w:r>
      <w:r w:rsidRPr="006C2C8C">
        <w:rPr>
          <w:sz w:val="24"/>
          <w:szCs w:val="24"/>
        </w:rPr>
        <w:t>roku 2022, teda tesne po pandémii. Dôležitou časťou hotovostného výnosu DPPO v roku 2023 bol podiel dane, ktorý bol prevedený samosprávam v objeme 325</w:t>
      </w:r>
      <w:r>
        <w:rPr>
          <w:sz w:val="24"/>
          <w:szCs w:val="24"/>
        </w:rPr>
        <w:t> </w:t>
      </w:r>
      <w:r w:rsidRPr="006C2C8C">
        <w:rPr>
          <w:sz w:val="24"/>
          <w:szCs w:val="24"/>
        </w:rPr>
        <w:t>798</w:t>
      </w:r>
      <w:r>
        <w:rPr>
          <w:sz w:val="24"/>
          <w:szCs w:val="24"/>
        </w:rPr>
        <w:t> </w:t>
      </w:r>
      <w:r w:rsidRPr="006C2C8C">
        <w:rPr>
          <w:sz w:val="24"/>
          <w:szCs w:val="24"/>
        </w:rPr>
        <w:t>tis.</w:t>
      </w:r>
      <w:r>
        <w:rPr>
          <w:sz w:val="24"/>
          <w:szCs w:val="24"/>
        </w:rPr>
        <w:t> </w:t>
      </w:r>
      <w:r w:rsidRPr="006C2C8C">
        <w:rPr>
          <w:sz w:val="24"/>
          <w:szCs w:val="24"/>
        </w:rPr>
        <w:t>eur</w:t>
      </w:r>
      <w:r>
        <w:rPr>
          <w:sz w:val="24"/>
          <w:szCs w:val="24"/>
        </w:rPr>
        <w:t xml:space="preserve"> a</w:t>
      </w:r>
      <w:r w:rsidRPr="006C2C8C">
        <w:rPr>
          <w:sz w:val="24"/>
          <w:szCs w:val="24"/>
        </w:rPr>
        <w:t xml:space="preserve"> kt</w:t>
      </w:r>
      <w:r w:rsidR="00010F86">
        <w:rPr>
          <w:sz w:val="24"/>
          <w:szCs w:val="24"/>
        </w:rPr>
        <w:t>orý nebol prítomný v roku 2022.</w:t>
      </w:r>
    </w:p>
    <w:p w14:paraId="5C82EAB8" w14:textId="0E5B9F44" w:rsidR="00B2402D" w:rsidRPr="006C2C8C" w:rsidRDefault="00B2402D" w:rsidP="00B2402D">
      <w:pPr>
        <w:spacing w:line="240" w:lineRule="auto"/>
        <w:rPr>
          <w:sz w:val="24"/>
          <w:szCs w:val="24"/>
        </w:rPr>
      </w:pPr>
      <w:r w:rsidRPr="006C2C8C">
        <w:rPr>
          <w:sz w:val="24"/>
          <w:szCs w:val="24"/>
        </w:rPr>
        <w:lastRenderedPageBreak/>
        <w:t>Rovnako ako pri fyzických osobách, aj právnick</w:t>
      </w:r>
      <w:r>
        <w:rPr>
          <w:sz w:val="24"/>
          <w:szCs w:val="24"/>
        </w:rPr>
        <w:t>é osoby majú možnosť poukázať 2 % (v špecifických prípadoch len 1 </w:t>
      </w:r>
      <w:r w:rsidRPr="006C2C8C">
        <w:rPr>
          <w:sz w:val="24"/>
          <w:szCs w:val="24"/>
        </w:rPr>
        <w:t>%) z odvedenej dane na verejnoprospešný účel. To znižuje hotovostný výnos dane. V rozpočte sa uvažovalo o prevode vo výške 42</w:t>
      </w:r>
      <w:r>
        <w:rPr>
          <w:sz w:val="24"/>
          <w:szCs w:val="24"/>
        </w:rPr>
        <w:t> </w:t>
      </w:r>
      <w:r w:rsidRPr="006C2C8C">
        <w:rPr>
          <w:sz w:val="24"/>
          <w:szCs w:val="24"/>
        </w:rPr>
        <w:t>212</w:t>
      </w:r>
      <w:r>
        <w:rPr>
          <w:sz w:val="24"/>
          <w:szCs w:val="24"/>
        </w:rPr>
        <w:t> </w:t>
      </w:r>
      <w:r w:rsidRPr="006C2C8C">
        <w:rPr>
          <w:sz w:val="24"/>
          <w:szCs w:val="24"/>
        </w:rPr>
        <w:t>tis</w:t>
      </w:r>
      <w:r w:rsidR="00512DAF">
        <w:rPr>
          <w:sz w:val="24"/>
          <w:szCs w:val="24"/>
        </w:rPr>
        <w:t>.</w:t>
      </w:r>
      <w:r>
        <w:rPr>
          <w:sz w:val="24"/>
          <w:szCs w:val="24"/>
        </w:rPr>
        <w:t> </w:t>
      </w:r>
      <w:r w:rsidR="00512DAF">
        <w:rPr>
          <w:sz w:val="24"/>
          <w:szCs w:val="24"/>
        </w:rPr>
        <w:t>eur, v </w:t>
      </w:r>
      <w:r w:rsidRPr="006C2C8C">
        <w:rPr>
          <w:sz w:val="24"/>
          <w:szCs w:val="24"/>
        </w:rPr>
        <w:t>skutočnosti sa previedlo 52</w:t>
      </w:r>
      <w:r>
        <w:rPr>
          <w:sz w:val="24"/>
          <w:szCs w:val="24"/>
        </w:rPr>
        <w:t> </w:t>
      </w:r>
      <w:r w:rsidRPr="006C2C8C">
        <w:rPr>
          <w:sz w:val="24"/>
          <w:szCs w:val="24"/>
        </w:rPr>
        <w:t>905</w:t>
      </w:r>
      <w:r>
        <w:rPr>
          <w:sz w:val="24"/>
          <w:szCs w:val="24"/>
        </w:rPr>
        <w:t> </w:t>
      </w:r>
      <w:r w:rsidRPr="006C2C8C">
        <w:rPr>
          <w:sz w:val="24"/>
          <w:szCs w:val="24"/>
        </w:rPr>
        <w:t>tis.</w:t>
      </w:r>
      <w:r>
        <w:rPr>
          <w:sz w:val="24"/>
          <w:szCs w:val="24"/>
        </w:rPr>
        <w:t> </w:t>
      </w:r>
      <w:r w:rsidRPr="006C2C8C">
        <w:rPr>
          <w:sz w:val="24"/>
          <w:szCs w:val="24"/>
        </w:rPr>
        <w:t>eur.</w:t>
      </w:r>
    </w:p>
    <w:tbl>
      <w:tblPr>
        <w:tblW w:w="5000" w:type="pct"/>
        <w:tblCellMar>
          <w:left w:w="70" w:type="dxa"/>
          <w:right w:w="70" w:type="dxa"/>
        </w:tblCellMar>
        <w:tblLook w:val="04A0" w:firstRow="1" w:lastRow="0" w:firstColumn="1" w:lastColumn="0" w:noHBand="0" w:noVBand="1"/>
      </w:tblPr>
      <w:tblGrid>
        <w:gridCol w:w="6198"/>
        <w:gridCol w:w="842"/>
        <w:gridCol w:w="1040"/>
        <w:gridCol w:w="1134"/>
      </w:tblGrid>
      <w:tr w:rsidR="00B2402D" w:rsidRPr="00312C76" w14:paraId="486BAF6B" w14:textId="77777777" w:rsidTr="00D2560E">
        <w:trPr>
          <w:trHeight w:val="288"/>
        </w:trPr>
        <w:tc>
          <w:tcPr>
            <w:tcW w:w="8080" w:type="dxa"/>
            <w:gridSpan w:val="3"/>
            <w:tcBorders>
              <w:top w:val="nil"/>
              <w:left w:val="nil"/>
              <w:bottom w:val="single" w:sz="4" w:space="0" w:color="auto"/>
              <w:right w:val="nil"/>
            </w:tcBorders>
            <w:shd w:val="clear" w:color="auto" w:fill="auto"/>
            <w:noWrap/>
            <w:vAlign w:val="center"/>
            <w:hideMark/>
          </w:tcPr>
          <w:p w14:paraId="25736FF5" w14:textId="37A2615B" w:rsidR="00B2402D" w:rsidRPr="00312C76" w:rsidRDefault="00B2402D" w:rsidP="004A6E2F">
            <w:pPr>
              <w:spacing w:line="240" w:lineRule="auto"/>
              <w:jc w:val="left"/>
              <w:rPr>
                <w:rFonts w:eastAsia="Times New Roman" w:cs="Times New Roman"/>
                <w:b/>
                <w:bCs/>
                <w:color w:val="2F75B5"/>
                <w:sz w:val="20"/>
                <w:szCs w:val="20"/>
                <w:lang w:eastAsia="sk-SK"/>
              </w:rPr>
            </w:pPr>
            <w:r w:rsidRPr="00312C76">
              <w:rPr>
                <w:rFonts w:eastAsia="Times New Roman" w:cs="Times New Roman"/>
                <w:b/>
                <w:bCs/>
                <w:color w:val="5B9BD5" w:themeColor="accent1"/>
                <w:sz w:val="20"/>
                <w:szCs w:val="20"/>
                <w:lang w:eastAsia="sk-SK"/>
              </w:rPr>
              <w:t>Tabuľka 2</w:t>
            </w:r>
            <w:r w:rsidR="004A6E2F">
              <w:rPr>
                <w:rFonts w:eastAsia="Times New Roman" w:cs="Times New Roman"/>
                <w:b/>
                <w:bCs/>
                <w:color w:val="5B9BD5" w:themeColor="accent1"/>
                <w:sz w:val="20"/>
                <w:szCs w:val="20"/>
                <w:lang w:eastAsia="sk-SK"/>
              </w:rPr>
              <w:t>6</w:t>
            </w:r>
            <w:r w:rsidRPr="00312C76">
              <w:rPr>
                <w:rFonts w:eastAsia="Times New Roman" w:cs="Times New Roman"/>
                <w:b/>
                <w:bCs/>
                <w:color w:val="5B9BD5" w:themeColor="accent1"/>
                <w:sz w:val="20"/>
                <w:szCs w:val="20"/>
                <w:lang w:eastAsia="sk-SK"/>
              </w:rPr>
              <w:t xml:space="preserve"> - Prevod podielu dane na osobitný účel</w:t>
            </w:r>
          </w:p>
        </w:tc>
        <w:tc>
          <w:tcPr>
            <w:tcW w:w="1134" w:type="dxa"/>
            <w:tcBorders>
              <w:top w:val="nil"/>
              <w:left w:val="nil"/>
              <w:bottom w:val="single" w:sz="4" w:space="0" w:color="auto"/>
              <w:right w:val="nil"/>
            </w:tcBorders>
            <w:shd w:val="clear" w:color="auto" w:fill="auto"/>
            <w:noWrap/>
            <w:vAlign w:val="center"/>
            <w:hideMark/>
          </w:tcPr>
          <w:p w14:paraId="589ADF0C" w14:textId="77777777" w:rsidR="00B2402D" w:rsidRPr="00312C76" w:rsidRDefault="00B2402D" w:rsidP="00D2560E">
            <w:pPr>
              <w:spacing w:after="0" w:line="240" w:lineRule="auto"/>
              <w:jc w:val="left"/>
              <w:rPr>
                <w:rFonts w:eastAsia="Times New Roman" w:cs="Times New Roman"/>
                <w:b/>
                <w:bCs/>
                <w:color w:val="2F75B5"/>
                <w:sz w:val="20"/>
                <w:szCs w:val="20"/>
                <w:lang w:eastAsia="sk-SK"/>
              </w:rPr>
            </w:pPr>
            <w:r w:rsidRPr="00312C76">
              <w:rPr>
                <w:rFonts w:eastAsia="Times New Roman" w:cs="Times New Roman"/>
                <w:b/>
                <w:bCs/>
                <w:color w:val="2F75B5"/>
                <w:sz w:val="20"/>
                <w:szCs w:val="20"/>
                <w:lang w:eastAsia="sk-SK"/>
              </w:rPr>
              <w:t> </w:t>
            </w:r>
          </w:p>
        </w:tc>
      </w:tr>
      <w:tr w:rsidR="00B2402D" w:rsidRPr="006D37EA" w14:paraId="661ABE74" w14:textId="77777777" w:rsidTr="00D2560E">
        <w:trPr>
          <w:trHeight w:val="288"/>
        </w:trPr>
        <w:tc>
          <w:tcPr>
            <w:tcW w:w="6198" w:type="dxa"/>
            <w:tcBorders>
              <w:left w:val="nil"/>
              <w:bottom w:val="single" w:sz="4" w:space="0" w:color="auto"/>
              <w:right w:val="nil"/>
            </w:tcBorders>
            <w:shd w:val="clear" w:color="auto" w:fill="auto"/>
            <w:noWrap/>
            <w:vAlign w:val="center"/>
            <w:hideMark/>
          </w:tcPr>
          <w:p w14:paraId="66357077" w14:textId="77777777" w:rsidR="00B2402D" w:rsidRPr="006D37EA" w:rsidRDefault="00B2402D" w:rsidP="00D2560E">
            <w:pPr>
              <w:spacing w:after="0" w:line="240" w:lineRule="auto"/>
              <w:jc w:val="lef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v tis. eur</w:t>
            </w:r>
          </w:p>
        </w:tc>
        <w:tc>
          <w:tcPr>
            <w:tcW w:w="842" w:type="dxa"/>
            <w:tcBorders>
              <w:top w:val="nil"/>
              <w:left w:val="nil"/>
              <w:bottom w:val="single" w:sz="4" w:space="0" w:color="auto"/>
              <w:right w:val="nil"/>
            </w:tcBorders>
            <w:shd w:val="clear" w:color="auto" w:fill="auto"/>
            <w:noWrap/>
            <w:vAlign w:val="center"/>
            <w:hideMark/>
          </w:tcPr>
          <w:p w14:paraId="2B2861D8"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2021 S</w:t>
            </w:r>
          </w:p>
        </w:tc>
        <w:tc>
          <w:tcPr>
            <w:tcW w:w="1040" w:type="dxa"/>
            <w:tcBorders>
              <w:top w:val="nil"/>
              <w:left w:val="nil"/>
              <w:bottom w:val="single" w:sz="4" w:space="0" w:color="auto"/>
              <w:right w:val="nil"/>
            </w:tcBorders>
            <w:shd w:val="clear" w:color="auto" w:fill="auto"/>
            <w:noWrap/>
            <w:vAlign w:val="center"/>
            <w:hideMark/>
          </w:tcPr>
          <w:p w14:paraId="473E626D"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2022 S</w:t>
            </w:r>
          </w:p>
        </w:tc>
        <w:tc>
          <w:tcPr>
            <w:tcW w:w="1134" w:type="dxa"/>
            <w:tcBorders>
              <w:top w:val="nil"/>
              <w:left w:val="nil"/>
              <w:bottom w:val="single" w:sz="4" w:space="0" w:color="auto"/>
              <w:right w:val="nil"/>
            </w:tcBorders>
            <w:shd w:val="clear" w:color="auto" w:fill="auto"/>
            <w:noWrap/>
            <w:vAlign w:val="center"/>
            <w:hideMark/>
          </w:tcPr>
          <w:p w14:paraId="3F52C9F6"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2023 S</w:t>
            </w:r>
          </w:p>
        </w:tc>
      </w:tr>
      <w:tr w:rsidR="00B2402D" w:rsidRPr="006D37EA" w14:paraId="6354F543" w14:textId="77777777" w:rsidTr="00D2560E">
        <w:trPr>
          <w:trHeight w:val="288"/>
        </w:trPr>
        <w:tc>
          <w:tcPr>
            <w:tcW w:w="6198" w:type="dxa"/>
            <w:tcBorders>
              <w:top w:val="nil"/>
              <w:left w:val="nil"/>
              <w:right w:val="nil"/>
            </w:tcBorders>
            <w:shd w:val="clear" w:color="auto" w:fill="auto"/>
            <w:noWrap/>
            <w:vAlign w:val="center"/>
            <w:hideMark/>
          </w:tcPr>
          <w:p w14:paraId="2B094B0C" w14:textId="77777777" w:rsidR="00B2402D" w:rsidRPr="006D37EA" w:rsidRDefault="00B2402D" w:rsidP="00D2560E">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Prevod podielu dane z príjmov FO na osobitný účel</w:t>
            </w:r>
          </w:p>
        </w:tc>
        <w:tc>
          <w:tcPr>
            <w:tcW w:w="842" w:type="dxa"/>
            <w:tcBorders>
              <w:top w:val="nil"/>
              <w:left w:val="nil"/>
              <w:right w:val="nil"/>
            </w:tcBorders>
            <w:shd w:val="clear" w:color="auto" w:fill="auto"/>
            <w:noWrap/>
            <w:vAlign w:val="center"/>
            <w:hideMark/>
          </w:tcPr>
          <w:p w14:paraId="1E90DC36"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49 850</w:t>
            </w:r>
          </w:p>
        </w:tc>
        <w:tc>
          <w:tcPr>
            <w:tcW w:w="1040" w:type="dxa"/>
            <w:tcBorders>
              <w:top w:val="nil"/>
              <w:left w:val="nil"/>
              <w:right w:val="nil"/>
            </w:tcBorders>
            <w:shd w:val="clear" w:color="auto" w:fill="auto"/>
            <w:noWrap/>
            <w:vAlign w:val="center"/>
            <w:hideMark/>
          </w:tcPr>
          <w:p w14:paraId="365CB6B8"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42 860</w:t>
            </w:r>
          </w:p>
        </w:tc>
        <w:tc>
          <w:tcPr>
            <w:tcW w:w="1134" w:type="dxa"/>
            <w:tcBorders>
              <w:top w:val="nil"/>
              <w:left w:val="nil"/>
              <w:right w:val="nil"/>
            </w:tcBorders>
            <w:shd w:val="clear" w:color="auto" w:fill="auto"/>
            <w:noWrap/>
            <w:vAlign w:val="center"/>
            <w:hideMark/>
          </w:tcPr>
          <w:p w14:paraId="1DDA860A"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sz w:val="18"/>
                <w:szCs w:val="18"/>
              </w:rPr>
              <w:t>47 965</w:t>
            </w:r>
          </w:p>
        </w:tc>
      </w:tr>
      <w:tr w:rsidR="00B2402D" w:rsidRPr="006D37EA" w14:paraId="58BD39C2" w14:textId="77777777" w:rsidTr="00D2560E">
        <w:trPr>
          <w:trHeight w:val="300"/>
        </w:trPr>
        <w:tc>
          <w:tcPr>
            <w:tcW w:w="6198" w:type="dxa"/>
            <w:tcBorders>
              <w:top w:val="nil"/>
              <w:left w:val="nil"/>
              <w:bottom w:val="single" w:sz="4" w:space="0" w:color="auto"/>
              <w:right w:val="nil"/>
            </w:tcBorders>
            <w:shd w:val="clear" w:color="auto" w:fill="auto"/>
            <w:noWrap/>
            <w:vAlign w:val="center"/>
            <w:hideMark/>
          </w:tcPr>
          <w:p w14:paraId="4D51FE0E" w14:textId="77777777" w:rsidR="00B2402D" w:rsidRPr="006D37EA" w:rsidRDefault="00B2402D" w:rsidP="00D2560E">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Prevod podielu dane z príjmov PO na osobitný účel</w:t>
            </w:r>
          </w:p>
        </w:tc>
        <w:tc>
          <w:tcPr>
            <w:tcW w:w="842" w:type="dxa"/>
            <w:tcBorders>
              <w:top w:val="nil"/>
              <w:left w:val="nil"/>
              <w:bottom w:val="single" w:sz="4" w:space="0" w:color="auto"/>
              <w:right w:val="nil"/>
            </w:tcBorders>
            <w:shd w:val="clear" w:color="auto" w:fill="auto"/>
            <w:noWrap/>
            <w:vAlign w:val="center"/>
            <w:hideMark/>
          </w:tcPr>
          <w:p w14:paraId="5D8C3C72"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37 341</w:t>
            </w:r>
          </w:p>
        </w:tc>
        <w:tc>
          <w:tcPr>
            <w:tcW w:w="1040" w:type="dxa"/>
            <w:tcBorders>
              <w:top w:val="nil"/>
              <w:left w:val="nil"/>
              <w:bottom w:val="single" w:sz="4" w:space="0" w:color="auto"/>
              <w:right w:val="nil"/>
            </w:tcBorders>
            <w:shd w:val="clear" w:color="auto" w:fill="auto"/>
            <w:noWrap/>
            <w:vAlign w:val="center"/>
            <w:hideMark/>
          </w:tcPr>
          <w:p w14:paraId="67F7C7B0"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45 133</w:t>
            </w:r>
          </w:p>
        </w:tc>
        <w:tc>
          <w:tcPr>
            <w:tcW w:w="1134" w:type="dxa"/>
            <w:tcBorders>
              <w:top w:val="nil"/>
              <w:left w:val="nil"/>
              <w:bottom w:val="single" w:sz="4" w:space="0" w:color="auto"/>
              <w:right w:val="nil"/>
            </w:tcBorders>
            <w:shd w:val="clear" w:color="auto" w:fill="auto"/>
            <w:noWrap/>
            <w:vAlign w:val="center"/>
            <w:hideMark/>
          </w:tcPr>
          <w:p w14:paraId="27B4A8D2" w14:textId="77777777" w:rsidR="00B2402D" w:rsidRPr="006D37EA" w:rsidRDefault="00B2402D" w:rsidP="00D2560E">
            <w:pPr>
              <w:spacing w:after="0" w:line="240" w:lineRule="auto"/>
              <w:jc w:val="right"/>
              <w:rPr>
                <w:rFonts w:eastAsia="Times New Roman" w:cs="Times New Roman"/>
                <w:color w:val="000000"/>
                <w:sz w:val="18"/>
                <w:szCs w:val="18"/>
                <w:lang w:eastAsia="sk-SK"/>
              </w:rPr>
            </w:pPr>
            <w:r w:rsidRPr="006D37EA">
              <w:rPr>
                <w:sz w:val="18"/>
                <w:szCs w:val="18"/>
              </w:rPr>
              <w:t>52 905</w:t>
            </w:r>
          </w:p>
        </w:tc>
      </w:tr>
      <w:tr w:rsidR="00B2402D" w:rsidRPr="006D37EA" w14:paraId="77FC23DC" w14:textId="77777777" w:rsidTr="00D2560E">
        <w:trPr>
          <w:trHeight w:val="300"/>
        </w:trPr>
        <w:tc>
          <w:tcPr>
            <w:tcW w:w="6198" w:type="dxa"/>
            <w:tcBorders>
              <w:top w:val="single" w:sz="4" w:space="0" w:color="auto"/>
              <w:left w:val="nil"/>
              <w:bottom w:val="single" w:sz="4" w:space="0" w:color="auto"/>
              <w:right w:val="nil"/>
            </w:tcBorders>
            <w:shd w:val="clear" w:color="auto" w:fill="auto"/>
            <w:noWrap/>
            <w:vAlign w:val="center"/>
            <w:hideMark/>
          </w:tcPr>
          <w:p w14:paraId="6E5DAD87" w14:textId="77777777" w:rsidR="00B2402D" w:rsidRPr="006D37EA" w:rsidRDefault="00B2402D" w:rsidP="00D2560E">
            <w:pPr>
              <w:spacing w:after="0" w:line="240" w:lineRule="auto"/>
              <w:jc w:val="lef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Spolu</w:t>
            </w:r>
          </w:p>
        </w:tc>
        <w:tc>
          <w:tcPr>
            <w:tcW w:w="842" w:type="dxa"/>
            <w:tcBorders>
              <w:top w:val="single" w:sz="4" w:space="0" w:color="auto"/>
              <w:left w:val="nil"/>
              <w:bottom w:val="single" w:sz="4" w:space="0" w:color="auto"/>
              <w:right w:val="nil"/>
            </w:tcBorders>
            <w:shd w:val="clear" w:color="auto" w:fill="auto"/>
            <w:noWrap/>
            <w:vAlign w:val="center"/>
            <w:hideMark/>
          </w:tcPr>
          <w:p w14:paraId="1AD6FD05"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87 191</w:t>
            </w:r>
          </w:p>
        </w:tc>
        <w:tc>
          <w:tcPr>
            <w:tcW w:w="1040" w:type="dxa"/>
            <w:tcBorders>
              <w:top w:val="single" w:sz="4" w:space="0" w:color="auto"/>
              <w:left w:val="nil"/>
              <w:bottom w:val="single" w:sz="4" w:space="0" w:color="auto"/>
              <w:right w:val="nil"/>
            </w:tcBorders>
            <w:shd w:val="clear" w:color="auto" w:fill="auto"/>
            <w:noWrap/>
            <w:vAlign w:val="center"/>
            <w:hideMark/>
          </w:tcPr>
          <w:p w14:paraId="44B56EB9"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87 993</w:t>
            </w:r>
          </w:p>
        </w:tc>
        <w:tc>
          <w:tcPr>
            <w:tcW w:w="1134" w:type="dxa"/>
            <w:tcBorders>
              <w:top w:val="single" w:sz="4" w:space="0" w:color="auto"/>
              <w:left w:val="nil"/>
              <w:bottom w:val="single" w:sz="4" w:space="0" w:color="auto"/>
              <w:right w:val="nil"/>
            </w:tcBorders>
            <w:shd w:val="clear" w:color="auto" w:fill="auto"/>
            <w:noWrap/>
            <w:vAlign w:val="center"/>
            <w:hideMark/>
          </w:tcPr>
          <w:p w14:paraId="7F659B1A" w14:textId="77777777" w:rsidR="00B2402D" w:rsidRPr="006D37EA" w:rsidRDefault="00B2402D" w:rsidP="00D2560E">
            <w:pPr>
              <w:spacing w:after="0" w:line="240" w:lineRule="auto"/>
              <w:jc w:val="right"/>
              <w:rPr>
                <w:rFonts w:eastAsia="Times New Roman" w:cs="Times New Roman"/>
                <w:b/>
                <w:bCs/>
                <w:color w:val="000000"/>
                <w:sz w:val="18"/>
                <w:szCs w:val="18"/>
                <w:lang w:eastAsia="sk-SK"/>
              </w:rPr>
            </w:pPr>
            <w:r w:rsidRPr="006D37EA">
              <w:rPr>
                <w:b/>
                <w:bCs/>
                <w:sz w:val="18"/>
                <w:szCs w:val="18"/>
              </w:rPr>
              <w:t>100 870</w:t>
            </w:r>
          </w:p>
        </w:tc>
      </w:tr>
    </w:tbl>
    <w:p w14:paraId="1EF8B306" w14:textId="51986353" w:rsidR="00B2402D" w:rsidRPr="006D37EA" w:rsidRDefault="00B2402D" w:rsidP="00B2402D">
      <w:pPr>
        <w:spacing w:line="240" w:lineRule="auto"/>
        <w:rPr>
          <w:sz w:val="18"/>
          <w:szCs w:val="18"/>
        </w:rPr>
      </w:pPr>
      <w:r w:rsidRPr="006D37EA">
        <w:rPr>
          <w:sz w:val="18"/>
          <w:szCs w:val="18"/>
        </w:rPr>
        <w:tab/>
      </w:r>
      <w:r w:rsidRPr="006D37EA">
        <w:rPr>
          <w:sz w:val="18"/>
          <w:szCs w:val="18"/>
        </w:rPr>
        <w:tab/>
      </w:r>
      <w:r w:rsidRPr="006D37EA">
        <w:rPr>
          <w:sz w:val="18"/>
          <w:szCs w:val="18"/>
        </w:rPr>
        <w:tab/>
      </w:r>
      <w:r w:rsidRPr="006D37EA">
        <w:rPr>
          <w:sz w:val="18"/>
          <w:szCs w:val="18"/>
        </w:rPr>
        <w:tab/>
      </w:r>
      <w:r w:rsidRPr="006D37EA">
        <w:rPr>
          <w:sz w:val="18"/>
          <w:szCs w:val="18"/>
        </w:rPr>
        <w:tab/>
      </w:r>
      <w:r w:rsidRPr="006D37EA">
        <w:rPr>
          <w:sz w:val="18"/>
          <w:szCs w:val="18"/>
        </w:rPr>
        <w:tab/>
      </w:r>
      <w:r w:rsidRPr="006D37EA">
        <w:rPr>
          <w:sz w:val="18"/>
          <w:szCs w:val="18"/>
        </w:rPr>
        <w:tab/>
      </w:r>
      <w:r w:rsidRPr="006D37EA">
        <w:rPr>
          <w:sz w:val="18"/>
          <w:szCs w:val="18"/>
        </w:rPr>
        <w:tab/>
      </w:r>
      <w:r w:rsidRPr="006D37EA">
        <w:rPr>
          <w:sz w:val="18"/>
          <w:szCs w:val="18"/>
        </w:rPr>
        <w:tab/>
      </w:r>
      <w:r w:rsidRPr="006D37EA">
        <w:rPr>
          <w:sz w:val="18"/>
          <w:szCs w:val="18"/>
        </w:rPr>
        <w:tab/>
      </w:r>
      <w:r w:rsidRPr="006D37EA">
        <w:rPr>
          <w:sz w:val="18"/>
          <w:szCs w:val="18"/>
        </w:rPr>
        <w:tab/>
      </w:r>
      <w:r w:rsidRPr="006D37EA">
        <w:rPr>
          <w:sz w:val="18"/>
          <w:szCs w:val="18"/>
        </w:rPr>
        <w:tab/>
      </w:r>
      <w:r w:rsidRPr="006D37EA">
        <w:rPr>
          <w:sz w:val="18"/>
          <w:szCs w:val="18"/>
        </w:rPr>
        <w:tab/>
      </w:r>
      <w:r w:rsidRPr="006D37EA">
        <w:rPr>
          <w:sz w:val="18"/>
          <w:szCs w:val="18"/>
        </w:rPr>
        <w:tab/>
      </w:r>
      <w:r w:rsidRPr="006D37EA">
        <w:rPr>
          <w:sz w:val="18"/>
          <w:szCs w:val="18"/>
        </w:rPr>
        <w:tab/>
      </w:r>
      <w:r w:rsidR="006D37EA">
        <w:rPr>
          <w:sz w:val="18"/>
          <w:szCs w:val="18"/>
        </w:rPr>
        <w:tab/>
      </w:r>
      <w:r w:rsidRPr="006D37EA">
        <w:rPr>
          <w:sz w:val="18"/>
          <w:szCs w:val="18"/>
        </w:rPr>
        <w:t>Zdroj: MF SR</w:t>
      </w:r>
    </w:p>
    <w:p w14:paraId="45F8A9A6" w14:textId="77777777" w:rsidR="00B2402D" w:rsidRPr="00312C76" w:rsidRDefault="00B2402D" w:rsidP="00B2402D">
      <w:pPr>
        <w:spacing w:line="240" w:lineRule="auto"/>
        <w:rPr>
          <w:bCs/>
          <w:sz w:val="24"/>
          <w:szCs w:val="24"/>
          <w:highlight w:val="yellow"/>
        </w:rPr>
      </w:pPr>
      <w:r w:rsidRPr="00312C76">
        <w:rPr>
          <w:b/>
          <w:sz w:val="24"/>
          <w:szCs w:val="24"/>
        </w:rPr>
        <w:t xml:space="preserve">Daň z príjmov vyberaná zrážkou </w:t>
      </w:r>
      <w:r w:rsidRPr="00312C76">
        <w:rPr>
          <w:bCs/>
          <w:sz w:val="24"/>
          <w:szCs w:val="24"/>
        </w:rPr>
        <w:t>sa rozpočtovala sumou 368</w:t>
      </w:r>
      <w:r>
        <w:rPr>
          <w:bCs/>
          <w:sz w:val="24"/>
          <w:szCs w:val="24"/>
        </w:rPr>
        <w:t> </w:t>
      </w:r>
      <w:r w:rsidRPr="00312C76">
        <w:rPr>
          <w:bCs/>
          <w:sz w:val="24"/>
          <w:szCs w:val="24"/>
        </w:rPr>
        <w:t>670</w:t>
      </w:r>
      <w:r>
        <w:rPr>
          <w:bCs/>
          <w:sz w:val="24"/>
          <w:szCs w:val="24"/>
        </w:rPr>
        <w:t> </w:t>
      </w:r>
      <w:r w:rsidRPr="00312C76">
        <w:rPr>
          <w:bCs/>
          <w:sz w:val="24"/>
          <w:szCs w:val="24"/>
        </w:rPr>
        <w:t>tis.</w:t>
      </w:r>
      <w:r>
        <w:rPr>
          <w:bCs/>
          <w:sz w:val="24"/>
          <w:szCs w:val="24"/>
        </w:rPr>
        <w:t> eur, v skutočnosti bola o </w:t>
      </w:r>
      <w:r w:rsidRPr="00312C76">
        <w:rPr>
          <w:bCs/>
          <w:sz w:val="24"/>
          <w:szCs w:val="24"/>
        </w:rPr>
        <w:t>61</w:t>
      </w:r>
      <w:r>
        <w:rPr>
          <w:bCs/>
          <w:sz w:val="24"/>
          <w:szCs w:val="24"/>
        </w:rPr>
        <w:t> </w:t>
      </w:r>
      <w:r w:rsidRPr="00312C76">
        <w:rPr>
          <w:bCs/>
          <w:sz w:val="24"/>
          <w:szCs w:val="24"/>
        </w:rPr>
        <w:t>904</w:t>
      </w:r>
      <w:r>
        <w:rPr>
          <w:bCs/>
          <w:sz w:val="24"/>
          <w:szCs w:val="24"/>
        </w:rPr>
        <w:t> </w:t>
      </w:r>
      <w:r w:rsidRPr="00312C76">
        <w:rPr>
          <w:bCs/>
          <w:sz w:val="24"/>
          <w:szCs w:val="24"/>
        </w:rPr>
        <w:t>tis.</w:t>
      </w:r>
      <w:r>
        <w:rPr>
          <w:bCs/>
          <w:sz w:val="24"/>
          <w:szCs w:val="24"/>
        </w:rPr>
        <w:t> </w:t>
      </w:r>
      <w:r w:rsidRPr="00312C76">
        <w:rPr>
          <w:bCs/>
          <w:sz w:val="24"/>
          <w:szCs w:val="24"/>
        </w:rPr>
        <w:t>eur vyššia. Približne polovica vyššieho výnosu je z dôvodu nárastu úrokovej miery, čo sa premietlo do vyšších výnosov zo zdanenia úrokov z vkladov. Výrazne vyššie boli aj príjmy z</w:t>
      </w:r>
      <w:r>
        <w:rPr>
          <w:bCs/>
          <w:sz w:val="24"/>
          <w:szCs w:val="24"/>
        </w:rPr>
        <w:t> </w:t>
      </w:r>
      <w:r w:rsidRPr="00312C76">
        <w:rPr>
          <w:bCs/>
          <w:sz w:val="24"/>
          <w:szCs w:val="24"/>
        </w:rPr>
        <w:t>licenčných a iných poplatkov.</w:t>
      </w:r>
    </w:p>
    <w:p w14:paraId="6F910F2E" w14:textId="77777777" w:rsidR="00B2402D" w:rsidRPr="00312C76" w:rsidRDefault="00B2402D" w:rsidP="00B2402D">
      <w:pPr>
        <w:spacing w:line="240" w:lineRule="auto"/>
        <w:rPr>
          <w:sz w:val="24"/>
          <w:szCs w:val="24"/>
        </w:rPr>
      </w:pPr>
      <w:r w:rsidRPr="00312C76">
        <w:rPr>
          <w:b/>
          <w:sz w:val="24"/>
          <w:szCs w:val="24"/>
        </w:rPr>
        <w:t>Výnos daní z medzinárodného obchodu a transakcií</w:t>
      </w:r>
      <w:r w:rsidRPr="00312C76">
        <w:rPr>
          <w:sz w:val="24"/>
          <w:szCs w:val="24"/>
        </w:rPr>
        <w:t xml:space="preserve"> sa rozpočtoval v celkovej výške 41 232 tis. eur. V skutočnosti bol o 3 315 tis.</w:t>
      </w:r>
      <w:r>
        <w:rPr>
          <w:sz w:val="24"/>
          <w:szCs w:val="24"/>
        </w:rPr>
        <w:t> </w:t>
      </w:r>
      <w:r w:rsidRPr="00312C76">
        <w:rPr>
          <w:sz w:val="24"/>
          <w:szCs w:val="24"/>
        </w:rPr>
        <w:t>eur nižší, vo výške 39 717 tis.</w:t>
      </w:r>
      <w:r>
        <w:rPr>
          <w:sz w:val="24"/>
          <w:szCs w:val="24"/>
        </w:rPr>
        <w:t> </w:t>
      </w:r>
      <w:r w:rsidRPr="00312C76">
        <w:rPr>
          <w:sz w:val="24"/>
          <w:szCs w:val="24"/>
        </w:rPr>
        <w:t>eur. Medziročne poklesol o 4,8</w:t>
      </w:r>
      <w:r>
        <w:rPr>
          <w:sz w:val="24"/>
          <w:szCs w:val="24"/>
        </w:rPr>
        <w:t> %.</w:t>
      </w:r>
    </w:p>
    <w:p w14:paraId="2B005BA9" w14:textId="41F7C30D" w:rsidR="00B2402D" w:rsidRPr="00312C76" w:rsidRDefault="00B2402D" w:rsidP="00B2402D">
      <w:pPr>
        <w:spacing w:line="240" w:lineRule="auto"/>
        <w:rPr>
          <w:sz w:val="24"/>
          <w:szCs w:val="24"/>
          <w:highlight w:val="yellow"/>
        </w:rPr>
      </w:pPr>
      <w:r w:rsidRPr="00312C76">
        <w:rPr>
          <w:sz w:val="24"/>
          <w:szCs w:val="24"/>
        </w:rPr>
        <w:t>Najväčšiu časť na daniach z medzinárodného obchodu a tran</w:t>
      </w:r>
      <w:r>
        <w:rPr>
          <w:sz w:val="24"/>
          <w:szCs w:val="24"/>
        </w:rPr>
        <w:t>sakcií tvorí výnos z podielu na </w:t>
      </w:r>
      <w:r w:rsidRPr="00312C76">
        <w:rPr>
          <w:sz w:val="24"/>
          <w:szCs w:val="24"/>
        </w:rPr>
        <w:t>vy</w:t>
      </w:r>
      <w:r>
        <w:rPr>
          <w:sz w:val="24"/>
          <w:szCs w:val="24"/>
        </w:rPr>
        <w:t>bratých prostriedkoch. Je to 25</w:t>
      </w:r>
      <w:r w:rsidRPr="00312C76">
        <w:rPr>
          <w:sz w:val="24"/>
          <w:szCs w:val="24"/>
        </w:rPr>
        <w:t>% -</w:t>
      </w:r>
      <w:proofErr w:type="spellStart"/>
      <w:r w:rsidRPr="00312C76">
        <w:rPr>
          <w:sz w:val="24"/>
          <w:szCs w:val="24"/>
        </w:rPr>
        <w:t>ný</w:t>
      </w:r>
      <w:proofErr w:type="spellEnd"/>
      <w:r w:rsidRPr="00312C76">
        <w:rPr>
          <w:sz w:val="24"/>
          <w:szCs w:val="24"/>
        </w:rPr>
        <w:t xml:space="preserve"> podiel z vybratého cla z tovaru dovezeného z</w:t>
      </w:r>
      <w:r>
        <w:rPr>
          <w:sz w:val="24"/>
          <w:szCs w:val="24"/>
        </w:rPr>
        <w:t> </w:t>
      </w:r>
      <w:r w:rsidRPr="00312C76">
        <w:rPr>
          <w:sz w:val="24"/>
          <w:szCs w:val="24"/>
        </w:rPr>
        <w:t>tretích krajín, ktorý si Slovensko ponecháva ako kompenzáciu nákladov spojených s výberom cla. Nižšie pr</w:t>
      </w:r>
      <w:r w:rsidR="00010F86">
        <w:rPr>
          <w:sz w:val="24"/>
          <w:szCs w:val="24"/>
        </w:rPr>
        <w:t xml:space="preserve">íjmy sú z dôvodu poklesu dovozu </w:t>
      </w:r>
      <w:r w:rsidRPr="00312C76">
        <w:rPr>
          <w:sz w:val="24"/>
          <w:szCs w:val="24"/>
        </w:rPr>
        <w:t>z tretích krajín.</w:t>
      </w:r>
    </w:p>
    <w:p w14:paraId="47C9374A" w14:textId="3D0B2E2A" w:rsidR="00B2402D" w:rsidRPr="00312C76" w:rsidRDefault="00B2402D" w:rsidP="00B2402D">
      <w:pPr>
        <w:spacing w:line="240" w:lineRule="auto"/>
        <w:rPr>
          <w:bCs/>
          <w:sz w:val="24"/>
          <w:szCs w:val="24"/>
        </w:rPr>
      </w:pPr>
      <w:r w:rsidRPr="00312C76">
        <w:rPr>
          <w:bCs/>
          <w:sz w:val="24"/>
          <w:szCs w:val="24"/>
        </w:rPr>
        <w:t xml:space="preserve">V čase tvorby rozpočtu </w:t>
      </w:r>
      <w:r w:rsidR="00010F86">
        <w:rPr>
          <w:bCs/>
          <w:sz w:val="24"/>
          <w:szCs w:val="24"/>
        </w:rPr>
        <w:t xml:space="preserve">na úrovni vlády SR </w:t>
      </w:r>
      <w:r w:rsidRPr="00312C76">
        <w:rPr>
          <w:bCs/>
          <w:sz w:val="24"/>
          <w:szCs w:val="24"/>
        </w:rPr>
        <w:t xml:space="preserve">sa nepredpokladali žiadne ďalšie daňové príjmy. Avšak </w:t>
      </w:r>
      <w:r w:rsidR="00010F86">
        <w:rPr>
          <w:bCs/>
          <w:sz w:val="24"/>
          <w:szCs w:val="24"/>
        </w:rPr>
        <w:t xml:space="preserve">na základe legislatívy prijatej parlamentom </w:t>
      </w:r>
      <w:r>
        <w:rPr>
          <w:bCs/>
          <w:sz w:val="24"/>
          <w:szCs w:val="24"/>
        </w:rPr>
        <w:t xml:space="preserve">sa zaviedli dve nové dane, </w:t>
      </w:r>
      <w:r w:rsidRPr="00312C76">
        <w:rPr>
          <w:b/>
          <w:sz w:val="24"/>
          <w:szCs w:val="24"/>
        </w:rPr>
        <w:t>príjem z odvodu z nadmerných príjmov elektrární</w:t>
      </w:r>
      <w:r w:rsidRPr="00312C76">
        <w:rPr>
          <w:bCs/>
          <w:sz w:val="24"/>
          <w:szCs w:val="24"/>
        </w:rPr>
        <w:t xml:space="preserve"> (ako súčasť položky osobitný odvod z podnikania v regulovaných odvetviach) a </w:t>
      </w:r>
      <w:r w:rsidRPr="00312C76">
        <w:rPr>
          <w:b/>
          <w:sz w:val="24"/>
          <w:szCs w:val="24"/>
        </w:rPr>
        <w:t>solidárny príspevok z činností v odvetviach ropy, zemného plynu, uhlia a rafinérií</w:t>
      </w:r>
      <w:r>
        <w:rPr>
          <w:bCs/>
          <w:sz w:val="24"/>
          <w:szCs w:val="24"/>
        </w:rPr>
        <w:t xml:space="preserve">. Zdanenie </w:t>
      </w:r>
      <w:proofErr w:type="spellStart"/>
      <w:r>
        <w:rPr>
          <w:bCs/>
          <w:sz w:val="24"/>
          <w:szCs w:val="24"/>
        </w:rPr>
        <w:t>nadziskov</w:t>
      </w:r>
      <w:proofErr w:type="spellEnd"/>
      <w:r>
        <w:rPr>
          <w:bCs/>
          <w:sz w:val="24"/>
          <w:szCs w:val="24"/>
        </w:rPr>
        <w:t xml:space="preserve"> elektrární</w:t>
      </w:r>
      <w:r w:rsidRPr="00312C76">
        <w:rPr>
          <w:bCs/>
          <w:sz w:val="24"/>
          <w:szCs w:val="24"/>
        </w:rPr>
        <w:t xml:space="preserve"> prinieslo do rozpočtu 37</w:t>
      </w:r>
      <w:r>
        <w:rPr>
          <w:bCs/>
          <w:sz w:val="24"/>
          <w:szCs w:val="24"/>
        </w:rPr>
        <w:t> 624 </w:t>
      </w:r>
      <w:r w:rsidRPr="00312C76">
        <w:rPr>
          <w:bCs/>
          <w:sz w:val="24"/>
          <w:szCs w:val="24"/>
        </w:rPr>
        <w:t>tis.</w:t>
      </w:r>
      <w:r>
        <w:rPr>
          <w:bCs/>
          <w:sz w:val="24"/>
          <w:szCs w:val="24"/>
        </w:rPr>
        <w:t> </w:t>
      </w:r>
      <w:r w:rsidRPr="00312C76">
        <w:rPr>
          <w:bCs/>
          <w:sz w:val="24"/>
          <w:szCs w:val="24"/>
        </w:rPr>
        <w:t>eur a solidárny príspevok zvýšil príjmy štátu o</w:t>
      </w:r>
      <w:r>
        <w:rPr>
          <w:bCs/>
          <w:sz w:val="24"/>
          <w:szCs w:val="24"/>
        </w:rPr>
        <w:t> </w:t>
      </w:r>
      <w:r w:rsidRPr="00312C76">
        <w:rPr>
          <w:bCs/>
          <w:sz w:val="24"/>
          <w:szCs w:val="24"/>
        </w:rPr>
        <w:t>519</w:t>
      </w:r>
      <w:r>
        <w:rPr>
          <w:bCs/>
          <w:sz w:val="24"/>
          <w:szCs w:val="24"/>
        </w:rPr>
        <w:t> </w:t>
      </w:r>
      <w:r w:rsidRPr="00312C76">
        <w:rPr>
          <w:bCs/>
          <w:sz w:val="24"/>
          <w:szCs w:val="24"/>
        </w:rPr>
        <w:t>677</w:t>
      </w:r>
      <w:r>
        <w:rPr>
          <w:bCs/>
          <w:sz w:val="24"/>
          <w:szCs w:val="24"/>
        </w:rPr>
        <w:t> </w:t>
      </w:r>
      <w:r w:rsidRPr="00312C76">
        <w:rPr>
          <w:bCs/>
          <w:sz w:val="24"/>
          <w:szCs w:val="24"/>
        </w:rPr>
        <w:t>tis.</w:t>
      </w:r>
      <w:r>
        <w:rPr>
          <w:bCs/>
          <w:sz w:val="24"/>
          <w:szCs w:val="24"/>
        </w:rPr>
        <w:t> </w:t>
      </w:r>
      <w:r w:rsidRPr="00312C76">
        <w:rPr>
          <w:bCs/>
          <w:sz w:val="24"/>
          <w:szCs w:val="24"/>
        </w:rPr>
        <w:t>eur.</w:t>
      </w:r>
    </w:p>
    <w:p w14:paraId="0D5AE402" w14:textId="77777777" w:rsidR="00B2402D" w:rsidRDefault="00B2402D" w:rsidP="00B2402D">
      <w:pPr>
        <w:spacing w:line="240" w:lineRule="auto"/>
        <w:rPr>
          <w:bCs/>
          <w:sz w:val="24"/>
          <w:szCs w:val="24"/>
        </w:rPr>
      </w:pPr>
      <w:r w:rsidRPr="00312C76">
        <w:rPr>
          <w:b/>
          <w:sz w:val="24"/>
          <w:szCs w:val="24"/>
        </w:rPr>
        <w:t xml:space="preserve">Sankcie uložené v daňovom konaní a sankcie súvisiace </w:t>
      </w:r>
      <w:r w:rsidRPr="001F572A">
        <w:rPr>
          <w:b/>
          <w:sz w:val="24"/>
          <w:szCs w:val="24"/>
        </w:rPr>
        <w:t xml:space="preserve">s úhradou dane </w:t>
      </w:r>
      <w:r>
        <w:rPr>
          <w:bCs/>
          <w:sz w:val="24"/>
          <w:szCs w:val="24"/>
        </w:rPr>
        <w:t>sa rozpočtovali v </w:t>
      </w:r>
      <w:r w:rsidRPr="001F572A">
        <w:rPr>
          <w:bCs/>
          <w:sz w:val="24"/>
          <w:szCs w:val="24"/>
        </w:rPr>
        <w:t>sume 20</w:t>
      </w:r>
      <w:r>
        <w:rPr>
          <w:bCs/>
          <w:sz w:val="24"/>
          <w:szCs w:val="24"/>
        </w:rPr>
        <w:t> </w:t>
      </w:r>
      <w:r w:rsidRPr="001F572A">
        <w:rPr>
          <w:bCs/>
          <w:sz w:val="24"/>
          <w:szCs w:val="24"/>
        </w:rPr>
        <w:t>863</w:t>
      </w:r>
      <w:r>
        <w:rPr>
          <w:bCs/>
          <w:sz w:val="24"/>
          <w:szCs w:val="24"/>
        </w:rPr>
        <w:t> </w:t>
      </w:r>
      <w:r w:rsidRPr="001F572A">
        <w:rPr>
          <w:bCs/>
          <w:sz w:val="24"/>
          <w:szCs w:val="24"/>
        </w:rPr>
        <w:t>tis.</w:t>
      </w:r>
      <w:r>
        <w:rPr>
          <w:bCs/>
          <w:sz w:val="24"/>
          <w:szCs w:val="24"/>
        </w:rPr>
        <w:t> </w:t>
      </w:r>
      <w:r w:rsidRPr="001F572A">
        <w:rPr>
          <w:bCs/>
          <w:sz w:val="24"/>
          <w:szCs w:val="24"/>
        </w:rPr>
        <w:t>eur. Ich skutočný objem dosiahol ku koncu roka 2023 sumu 67</w:t>
      </w:r>
      <w:r>
        <w:rPr>
          <w:bCs/>
          <w:sz w:val="24"/>
          <w:szCs w:val="24"/>
        </w:rPr>
        <w:t> </w:t>
      </w:r>
      <w:r w:rsidRPr="001F572A">
        <w:rPr>
          <w:bCs/>
          <w:sz w:val="24"/>
          <w:szCs w:val="24"/>
        </w:rPr>
        <w:t>186</w:t>
      </w:r>
      <w:r>
        <w:rPr>
          <w:bCs/>
          <w:sz w:val="24"/>
          <w:szCs w:val="24"/>
        </w:rPr>
        <w:t> </w:t>
      </w:r>
      <w:r w:rsidRPr="001F572A">
        <w:rPr>
          <w:bCs/>
          <w:sz w:val="24"/>
          <w:szCs w:val="24"/>
        </w:rPr>
        <w:t>tis.</w:t>
      </w:r>
      <w:r>
        <w:rPr>
          <w:bCs/>
          <w:sz w:val="24"/>
          <w:szCs w:val="24"/>
        </w:rPr>
        <w:t> </w:t>
      </w:r>
      <w:r w:rsidRPr="001F572A">
        <w:rPr>
          <w:bCs/>
          <w:sz w:val="24"/>
          <w:szCs w:val="24"/>
        </w:rPr>
        <w:t>eur</w:t>
      </w:r>
      <w:r>
        <w:rPr>
          <w:bCs/>
          <w:sz w:val="24"/>
          <w:szCs w:val="24"/>
        </w:rPr>
        <w:t>, resp.</w:t>
      </w:r>
      <w:r w:rsidRPr="001F572A">
        <w:rPr>
          <w:bCs/>
          <w:sz w:val="24"/>
          <w:szCs w:val="24"/>
        </w:rPr>
        <w:t xml:space="preserve"> 56</w:t>
      </w:r>
      <w:r>
        <w:rPr>
          <w:bCs/>
          <w:sz w:val="24"/>
          <w:szCs w:val="24"/>
        </w:rPr>
        <w:t> </w:t>
      </w:r>
      <w:r w:rsidRPr="001F572A">
        <w:rPr>
          <w:bCs/>
          <w:sz w:val="24"/>
          <w:szCs w:val="24"/>
        </w:rPr>
        <w:t>779</w:t>
      </w:r>
      <w:r>
        <w:rPr>
          <w:bCs/>
          <w:sz w:val="24"/>
          <w:szCs w:val="24"/>
        </w:rPr>
        <w:t> </w:t>
      </w:r>
      <w:r w:rsidRPr="001F572A">
        <w:rPr>
          <w:bCs/>
          <w:sz w:val="24"/>
          <w:szCs w:val="24"/>
        </w:rPr>
        <w:t>tis.</w:t>
      </w:r>
      <w:r>
        <w:rPr>
          <w:bCs/>
          <w:sz w:val="24"/>
          <w:szCs w:val="24"/>
        </w:rPr>
        <w:t> </w:t>
      </w:r>
      <w:r w:rsidRPr="001F572A">
        <w:rPr>
          <w:bCs/>
          <w:sz w:val="24"/>
          <w:szCs w:val="24"/>
        </w:rPr>
        <w:t>eur (po premietnutí sankcií samosprávam). Najvýraznejší nárast je pri DPPO, kde sa očakávali príjmy vo výške 8</w:t>
      </w:r>
      <w:r>
        <w:rPr>
          <w:bCs/>
          <w:sz w:val="24"/>
          <w:szCs w:val="24"/>
        </w:rPr>
        <w:t> </w:t>
      </w:r>
      <w:r w:rsidRPr="001F572A">
        <w:rPr>
          <w:bCs/>
          <w:sz w:val="24"/>
          <w:szCs w:val="24"/>
        </w:rPr>
        <w:t>884</w:t>
      </w:r>
      <w:r>
        <w:rPr>
          <w:bCs/>
          <w:sz w:val="24"/>
          <w:szCs w:val="24"/>
        </w:rPr>
        <w:t> </w:t>
      </w:r>
      <w:r w:rsidRPr="001F572A">
        <w:rPr>
          <w:bCs/>
          <w:sz w:val="24"/>
          <w:szCs w:val="24"/>
        </w:rPr>
        <w:t>tis.</w:t>
      </w:r>
      <w:r>
        <w:rPr>
          <w:bCs/>
          <w:sz w:val="24"/>
          <w:szCs w:val="24"/>
        </w:rPr>
        <w:t> </w:t>
      </w:r>
      <w:r w:rsidRPr="001F572A">
        <w:rPr>
          <w:bCs/>
          <w:sz w:val="24"/>
          <w:szCs w:val="24"/>
        </w:rPr>
        <w:t>eur a skutočný výnos bol o</w:t>
      </w:r>
      <w:r>
        <w:rPr>
          <w:bCs/>
          <w:sz w:val="24"/>
          <w:szCs w:val="24"/>
        </w:rPr>
        <w:t> </w:t>
      </w:r>
      <w:r w:rsidRPr="001F572A">
        <w:rPr>
          <w:bCs/>
          <w:sz w:val="24"/>
          <w:szCs w:val="24"/>
        </w:rPr>
        <w:t>22</w:t>
      </w:r>
      <w:r>
        <w:rPr>
          <w:bCs/>
          <w:sz w:val="24"/>
          <w:szCs w:val="24"/>
        </w:rPr>
        <w:t> </w:t>
      </w:r>
      <w:r w:rsidRPr="001F572A">
        <w:rPr>
          <w:bCs/>
          <w:sz w:val="24"/>
          <w:szCs w:val="24"/>
        </w:rPr>
        <w:t>034</w:t>
      </w:r>
      <w:r>
        <w:rPr>
          <w:bCs/>
          <w:sz w:val="24"/>
          <w:szCs w:val="24"/>
        </w:rPr>
        <w:t> tis. eur vyšší v </w:t>
      </w:r>
      <w:r w:rsidRPr="001F572A">
        <w:rPr>
          <w:bCs/>
          <w:sz w:val="24"/>
          <w:szCs w:val="24"/>
        </w:rPr>
        <w:t>sume 30</w:t>
      </w:r>
      <w:r>
        <w:rPr>
          <w:bCs/>
          <w:sz w:val="24"/>
          <w:szCs w:val="24"/>
        </w:rPr>
        <w:t> </w:t>
      </w:r>
      <w:r w:rsidRPr="001F572A">
        <w:rPr>
          <w:bCs/>
          <w:sz w:val="24"/>
          <w:szCs w:val="24"/>
        </w:rPr>
        <w:t>578</w:t>
      </w:r>
      <w:r>
        <w:rPr>
          <w:bCs/>
          <w:sz w:val="24"/>
          <w:szCs w:val="24"/>
        </w:rPr>
        <w:t> </w:t>
      </w:r>
      <w:r w:rsidRPr="001F572A">
        <w:rPr>
          <w:bCs/>
          <w:sz w:val="24"/>
          <w:szCs w:val="24"/>
        </w:rPr>
        <w:t>tis.</w:t>
      </w:r>
      <w:r>
        <w:rPr>
          <w:bCs/>
          <w:sz w:val="24"/>
          <w:szCs w:val="24"/>
        </w:rPr>
        <w:t xml:space="preserve"> eur. </w:t>
      </w:r>
      <w:r w:rsidRPr="001F572A">
        <w:rPr>
          <w:bCs/>
          <w:sz w:val="24"/>
          <w:szCs w:val="24"/>
        </w:rPr>
        <w:t>Pri DPH boli sankcie oproti rozpočtu vyššie o</w:t>
      </w:r>
      <w:r>
        <w:rPr>
          <w:bCs/>
          <w:sz w:val="24"/>
          <w:szCs w:val="24"/>
        </w:rPr>
        <w:t> </w:t>
      </w:r>
      <w:r w:rsidRPr="001F572A">
        <w:rPr>
          <w:bCs/>
          <w:sz w:val="24"/>
          <w:szCs w:val="24"/>
        </w:rPr>
        <w:t>7</w:t>
      </w:r>
      <w:r>
        <w:rPr>
          <w:bCs/>
          <w:sz w:val="24"/>
          <w:szCs w:val="24"/>
        </w:rPr>
        <w:t> </w:t>
      </w:r>
      <w:r w:rsidRPr="001F572A">
        <w:rPr>
          <w:bCs/>
          <w:sz w:val="24"/>
          <w:szCs w:val="24"/>
        </w:rPr>
        <w:t>556</w:t>
      </w:r>
      <w:r>
        <w:rPr>
          <w:bCs/>
          <w:sz w:val="24"/>
          <w:szCs w:val="24"/>
        </w:rPr>
        <w:t> </w:t>
      </w:r>
      <w:r w:rsidRPr="001F572A">
        <w:rPr>
          <w:bCs/>
          <w:sz w:val="24"/>
          <w:szCs w:val="24"/>
        </w:rPr>
        <w:t>tis.</w:t>
      </w:r>
      <w:r>
        <w:rPr>
          <w:bCs/>
          <w:sz w:val="24"/>
          <w:szCs w:val="24"/>
        </w:rPr>
        <w:t> </w:t>
      </w:r>
      <w:r w:rsidRPr="001F572A">
        <w:rPr>
          <w:bCs/>
          <w:sz w:val="24"/>
          <w:szCs w:val="24"/>
        </w:rPr>
        <w:t xml:space="preserve">eur. </w:t>
      </w:r>
    </w:p>
    <w:p w14:paraId="72E9D732" w14:textId="77777777" w:rsidR="00B2402D" w:rsidRPr="008F31B8" w:rsidRDefault="00B2402D" w:rsidP="00B2402D">
      <w:pPr>
        <w:spacing w:line="240" w:lineRule="auto"/>
        <w:rPr>
          <w:bCs/>
          <w:sz w:val="24"/>
          <w:szCs w:val="24"/>
        </w:rPr>
      </w:pPr>
      <w:r w:rsidRPr="00520785">
        <w:rPr>
          <w:bCs/>
          <w:sz w:val="24"/>
          <w:szCs w:val="24"/>
        </w:rPr>
        <w:t>Finančné orgány v sledovanom roku 2023 na žiadosť daňového subjektu povolili úľavu na dani alebo odpustili daňov</w:t>
      </w:r>
      <w:r>
        <w:rPr>
          <w:bCs/>
          <w:sz w:val="24"/>
          <w:szCs w:val="24"/>
        </w:rPr>
        <w:t>ý nedoplatok na dani v zmysle § </w:t>
      </w:r>
      <w:r w:rsidRPr="00520785">
        <w:rPr>
          <w:bCs/>
          <w:sz w:val="24"/>
          <w:szCs w:val="24"/>
        </w:rPr>
        <w:t>70</w:t>
      </w:r>
      <w:r>
        <w:rPr>
          <w:rStyle w:val="Odkaznapoznmkupodiarou"/>
          <w:bCs/>
          <w:sz w:val="24"/>
          <w:szCs w:val="24"/>
        </w:rPr>
        <w:footnoteReference w:id="28"/>
      </w:r>
      <w:r w:rsidRPr="00520785">
        <w:rPr>
          <w:bCs/>
          <w:sz w:val="24"/>
          <w:szCs w:val="24"/>
        </w:rPr>
        <w:t xml:space="preserve"> daňového poriadku v 1 prípade vo</w:t>
      </w:r>
      <w:r>
        <w:rPr>
          <w:bCs/>
          <w:sz w:val="24"/>
          <w:szCs w:val="24"/>
        </w:rPr>
        <w:t> </w:t>
      </w:r>
      <w:r w:rsidRPr="00520785">
        <w:rPr>
          <w:bCs/>
          <w:sz w:val="24"/>
          <w:szCs w:val="24"/>
        </w:rPr>
        <w:t>výške 299 eur. Úľavy zo sankcie aleb</w:t>
      </w:r>
      <w:r>
        <w:rPr>
          <w:bCs/>
          <w:sz w:val="24"/>
          <w:szCs w:val="24"/>
        </w:rPr>
        <w:t>o odpustenie sankcie v zmysle § </w:t>
      </w:r>
      <w:r w:rsidRPr="00520785">
        <w:rPr>
          <w:bCs/>
          <w:sz w:val="24"/>
          <w:szCs w:val="24"/>
        </w:rPr>
        <w:t>157</w:t>
      </w:r>
      <w:r>
        <w:rPr>
          <w:rStyle w:val="Odkaznapoznmkupodiarou"/>
          <w:bCs/>
          <w:sz w:val="24"/>
          <w:szCs w:val="24"/>
        </w:rPr>
        <w:footnoteReference w:id="29"/>
      </w:r>
      <w:r w:rsidRPr="00520785">
        <w:rPr>
          <w:bCs/>
          <w:sz w:val="24"/>
          <w:szCs w:val="24"/>
        </w:rPr>
        <w:t xml:space="preserve"> daňového poriadku boli povolené daňovými úradmi v 470 prípadoch v celkovej výške </w:t>
      </w:r>
      <w:r>
        <w:rPr>
          <w:bCs/>
          <w:sz w:val="24"/>
          <w:szCs w:val="24"/>
        </w:rPr>
        <w:t>264 tis.</w:t>
      </w:r>
      <w:r w:rsidRPr="00520785">
        <w:rPr>
          <w:bCs/>
          <w:sz w:val="24"/>
          <w:szCs w:val="24"/>
        </w:rPr>
        <w:t> eur. Colné úrady nepovolili žiadny prípad úľavy zo sankcie alebo odpustenie sankcie.</w:t>
      </w:r>
    </w:p>
    <w:p w14:paraId="31D71B20" w14:textId="77777777" w:rsidR="004A6E2F" w:rsidRDefault="004A6E2F">
      <w:r>
        <w:br w:type="page"/>
      </w:r>
    </w:p>
    <w:tbl>
      <w:tblPr>
        <w:tblW w:w="8859" w:type="dxa"/>
        <w:tblCellMar>
          <w:left w:w="70" w:type="dxa"/>
          <w:right w:w="70" w:type="dxa"/>
        </w:tblCellMar>
        <w:tblLook w:val="04A0" w:firstRow="1" w:lastRow="0" w:firstColumn="1" w:lastColumn="0" w:noHBand="0" w:noVBand="1"/>
      </w:tblPr>
      <w:tblGrid>
        <w:gridCol w:w="2420"/>
        <w:gridCol w:w="960"/>
        <w:gridCol w:w="1880"/>
        <w:gridCol w:w="1119"/>
        <w:gridCol w:w="2480"/>
      </w:tblGrid>
      <w:tr w:rsidR="00B2402D" w:rsidRPr="006D74D3" w14:paraId="42E3197A" w14:textId="77777777" w:rsidTr="00D2560E">
        <w:trPr>
          <w:trHeight w:val="456"/>
        </w:trPr>
        <w:tc>
          <w:tcPr>
            <w:tcW w:w="8859" w:type="dxa"/>
            <w:gridSpan w:val="5"/>
            <w:tcBorders>
              <w:top w:val="nil"/>
              <w:left w:val="nil"/>
              <w:bottom w:val="single" w:sz="4" w:space="0" w:color="auto"/>
              <w:right w:val="nil"/>
            </w:tcBorders>
            <w:shd w:val="clear" w:color="auto" w:fill="auto"/>
            <w:noWrap/>
            <w:vAlign w:val="center"/>
            <w:hideMark/>
          </w:tcPr>
          <w:p w14:paraId="0FF19B65" w14:textId="275FC66D" w:rsidR="00B2402D" w:rsidRPr="00A3565B" w:rsidRDefault="00B2402D" w:rsidP="004A6E2F">
            <w:pPr>
              <w:spacing w:line="240" w:lineRule="auto"/>
              <w:jc w:val="left"/>
              <w:rPr>
                <w:rFonts w:eastAsia="Times New Roman" w:cs="Times New Roman"/>
                <w:b/>
                <w:bCs/>
                <w:color w:val="5B9BD5" w:themeColor="accent1"/>
                <w:sz w:val="20"/>
                <w:szCs w:val="20"/>
                <w:lang w:eastAsia="sk-SK"/>
              </w:rPr>
            </w:pPr>
            <w:r w:rsidRPr="00A3565B">
              <w:rPr>
                <w:rFonts w:eastAsia="Times New Roman" w:cs="Times New Roman"/>
                <w:b/>
                <w:bCs/>
                <w:color w:val="5B9BD5" w:themeColor="accent1"/>
                <w:sz w:val="20"/>
                <w:szCs w:val="20"/>
                <w:lang w:eastAsia="sk-SK"/>
              </w:rPr>
              <w:lastRenderedPageBreak/>
              <w:t>Tabuľka 2</w:t>
            </w:r>
            <w:r w:rsidR="004A6E2F">
              <w:rPr>
                <w:rFonts w:eastAsia="Times New Roman" w:cs="Times New Roman"/>
                <w:b/>
                <w:bCs/>
                <w:color w:val="5B9BD5" w:themeColor="accent1"/>
                <w:sz w:val="20"/>
                <w:szCs w:val="20"/>
                <w:lang w:eastAsia="sk-SK"/>
              </w:rPr>
              <w:t>7</w:t>
            </w:r>
            <w:r w:rsidRPr="00A3565B">
              <w:rPr>
                <w:rFonts w:eastAsia="Times New Roman" w:cs="Times New Roman"/>
                <w:b/>
                <w:bCs/>
                <w:color w:val="5B9BD5" w:themeColor="accent1"/>
                <w:sz w:val="20"/>
                <w:szCs w:val="20"/>
                <w:lang w:eastAsia="sk-SK"/>
              </w:rPr>
              <w:t xml:space="preserve"> - Povolené úľavy na dani / odpustenie daňového nedoplatku na dani / úľavy zo sankcie / odpustenie sankcie </w:t>
            </w:r>
            <w:r>
              <w:rPr>
                <w:rFonts w:eastAsia="Times New Roman" w:cs="Times New Roman"/>
                <w:b/>
                <w:bCs/>
                <w:color w:val="5B9BD5" w:themeColor="accent1"/>
                <w:sz w:val="20"/>
                <w:szCs w:val="20"/>
                <w:lang w:eastAsia="sk-SK"/>
              </w:rPr>
              <w:t>v roku 2023</w:t>
            </w:r>
          </w:p>
        </w:tc>
      </w:tr>
      <w:tr w:rsidR="00B2402D" w:rsidRPr="006D37EA" w14:paraId="5896B63D" w14:textId="77777777" w:rsidTr="00795D97">
        <w:trPr>
          <w:trHeight w:val="448"/>
        </w:trPr>
        <w:tc>
          <w:tcPr>
            <w:tcW w:w="2420" w:type="dxa"/>
            <w:vMerge w:val="restart"/>
            <w:tcBorders>
              <w:top w:val="single" w:sz="4" w:space="0" w:color="auto"/>
              <w:left w:val="nil"/>
              <w:bottom w:val="nil"/>
              <w:right w:val="nil"/>
            </w:tcBorders>
            <w:shd w:val="clear" w:color="auto" w:fill="auto"/>
            <w:vAlign w:val="center"/>
            <w:hideMark/>
          </w:tcPr>
          <w:p w14:paraId="1D554878" w14:textId="77777777" w:rsidR="00B2402D" w:rsidRPr="006D37EA" w:rsidRDefault="00B2402D" w:rsidP="00D2560E">
            <w:pPr>
              <w:spacing w:after="0" w:line="240" w:lineRule="auto"/>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Finančný orgán</w:t>
            </w:r>
          </w:p>
        </w:tc>
        <w:tc>
          <w:tcPr>
            <w:tcW w:w="2840" w:type="dxa"/>
            <w:gridSpan w:val="2"/>
            <w:tcBorders>
              <w:top w:val="single" w:sz="4" w:space="0" w:color="auto"/>
              <w:left w:val="nil"/>
              <w:bottom w:val="nil"/>
              <w:right w:val="nil"/>
            </w:tcBorders>
            <w:shd w:val="clear" w:color="auto" w:fill="auto"/>
            <w:hideMark/>
          </w:tcPr>
          <w:p w14:paraId="6BC9F3B1"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Úľavy na dani alebo odpustenie daňového nedoplatku na dani</w:t>
            </w:r>
          </w:p>
        </w:tc>
        <w:tc>
          <w:tcPr>
            <w:tcW w:w="3599" w:type="dxa"/>
            <w:gridSpan w:val="2"/>
            <w:tcBorders>
              <w:top w:val="single" w:sz="4" w:space="0" w:color="auto"/>
              <w:left w:val="nil"/>
              <w:bottom w:val="nil"/>
              <w:right w:val="nil"/>
            </w:tcBorders>
            <w:shd w:val="clear" w:color="auto" w:fill="auto"/>
            <w:hideMark/>
          </w:tcPr>
          <w:p w14:paraId="3D96ADCF"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Úľavy zo sankcie alebo odpustenie sankcie</w:t>
            </w:r>
          </w:p>
        </w:tc>
      </w:tr>
      <w:tr w:rsidR="00B2402D" w:rsidRPr="006D37EA" w14:paraId="53531DAA" w14:textId="77777777" w:rsidTr="00301321">
        <w:trPr>
          <w:trHeight w:val="60"/>
        </w:trPr>
        <w:tc>
          <w:tcPr>
            <w:tcW w:w="2420" w:type="dxa"/>
            <w:vMerge/>
            <w:tcBorders>
              <w:top w:val="single" w:sz="4" w:space="0" w:color="auto"/>
              <w:left w:val="nil"/>
              <w:bottom w:val="nil"/>
              <w:right w:val="nil"/>
            </w:tcBorders>
            <w:vAlign w:val="center"/>
            <w:hideMark/>
          </w:tcPr>
          <w:p w14:paraId="28DA2C69" w14:textId="77777777" w:rsidR="00B2402D" w:rsidRPr="006D37EA" w:rsidRDefault="00B2402D" w:rsidP="00D2560E">
            <w:pPr>
              <w:spacing w:after="0" w:line="240" w:lineRule="auto"/>
              <w:jc w:val="left"/>
              <w:rPr>
                <w:rFonts w:eastAsia="Times New Roman" w:cs="Times New Roman"/>
                <w:b/>
                <w:bCs/>
                <w:color w:val="000000"/>
                <w:sz w:val="18"/>
                <w:szCs w:val="18"/>
                <w:lang w:eastAsia="sk-SK"/>
              </w:rPr>
            </w:pPr>
          </w:p>
        </w:tc>
        <w:tc>
          <w:tcPr>
            <w:tcW w:w="960" w:type="dxa"/>
            <w:tcBorders>
              <w:top w:val="nil"/>
              <w:left w:val="nil"/>
              <w:bottom w:val="nil"/>
              <w:right w:val="nil"/>
            </w:tcBorders>
            <w:shd w:val="clear" w:color="auto" w:fill="auto"/>
            <w:vAlign w:val="center"/>
            <w:hideMark/>
          </w:tcPr>
          <w:p w14:paraId="54E68159" w14:textId="77777777" w:rsidR="00B2402D" w:rsidRPr="006D37EA" w:rsidRDefault="00B2402D" w:rsidP="00D2560E">
            <w:pPr>
              <w:spacing w:after="0" w:line="240" w:lineRule="auto"/>
              <w:jc w:val="lef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počet</w:t>
            </w:r>
          </w:p>
        </w:tc>
        <w:tc>
          <w:tcPr>
            <w:tcW w:w="1880" w:type="dxa"/>
            <w:tcBorders>
              <w:top w:val="nil"/>
              <w:left w:val="nil"/>
              <w:bottom w:val="nil"/>
              <w:right w:val="nil"/>
            </w:tcBorders>
            <w:shd w:val="clear" w:color="auto" w:fill="auto"/>
            <w:vAlign w:val="center"/>
            <w:hideMark/>
          </w:tcPr>
          <w:p w14:paraId="29FD1EEE"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 xml:space="preserve">suma </w:t>
            </w:r>
          </w:p>
        </w:tc>
        <w:tc>
          <w:tcPr>
            <w:tcW w:w="1119" w:type="dxa"/>
            <w:tcBorders>
              <w:top w:val="nil"/>
              <w:left w:val="nil"/>
              <w:bottom w:val="nil"/>
              <w:right w:val="nil"/>
            </w:tcBorders>
            <w:shd w:val="clear" w:color="auto" w:fill="auto"/>
            <w:vAlign w:val="center"/>
            <w:hideMark/>
          </w:tcPr>
          <w:p w14:paraId="6E986401"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počet</w:t>
            </w:r>
          </w:p>
        </w:tc>
        <w:tc>
          <w:tcPr>
            <w:tcW w:w="2480" w:type="dxa"/>
            <w:tcBorders>
              <w:top w:val="nil"/>
              <w:left w:val="nil"/>
              <w:bottom w:val="nil"/>
              <w:right w:val="nil"/>
            </w:tcBorders>
            <w:shd w:val="clear" w:color="auto" w:fill="auto"/>
            <w:vAlign w:val="center"/>
            <w:hideMark/>
          </w:tcPr>
          <w:p w14:paraId="67416881"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 xml:space="preserve">suma </w:t>
            </w:r>
          </w:p>
        </w:tc>
      </w:tr>
      <w:tr w:rsidR="00B2402D" w:rsidRPr="006D37EA" w14:paraId="5509B024" w14:textId="77777777" w:rsidTr="00301321">
        <w:trPr>
          <w:trHeight w:val="259"/>
        </w:trPr>
        <w:tc>
          <w:tcPr>
            <w:tcW w:w="2420" w:type="dxa"/>
            <w:tcBorders>
              <w:top w:val="nil"/>
              <w:left w:val="nil"/>
              <w:bottom w:val="single" w:sz="4" w:space="0" w:color="auto"/>
              <w:right w:val="nil"/>
            </w:tcBorders>
            <w:shd w:val="clear" w:color="auto" w:fill="auto"/>
            <w:vAlign w:val="center"/>
            <w:hideMark/>
          </w:tcPr>
          <w:p w14:paraId="36A5E5D0" w14:textId="77777777" w:rsidR="00B2402D" w:rsidRPr="006D37EA" w:rsidRDefault="00B2402D" w:rsidP="00D2560E">
            <w:pPr>
              <w:spacing w:after="0" w:line="240" w:lineRule="auto"/>
              <w:rPr>
                <w:rFonts w:eastAsia="Times New Roman" w:cs="Times New Roman"/>
                <w:b/>
                <w:bCs/>
                <w:color w:val="000000"/>
                <w:sz w:val="18"/>
                <w:szCs w:val="18"/>
                <w:lang w:eastAsia="sk-SK"/>
              </w:rPr>
            </w:pPr>
          </w:p>
        </w:tc>
        <w:tc>
          <w:tcPr>
            <w:tcW w:w="960" w:type="dxa"/>
            <w:tcBorders>
              <w:top w:val="nil"/>
              <w:left w:val="nil"/>
              <w:bottom w:val="single" w:sz="4" w:space="0" w:color="auto"/>
              <w:right w:val="nil"/>
            </w:tcBorders>
            <w:shd w:val="clear" w:color="auto" w:fill="auto"/>
            <w:vAlign w:val="center"/>
            <w:hideMark/>
          </w:tcPr>
          <w:p w14:paraId="156E3B5A" w14:textId="77777777" w:rsidR="00B2402D" w:rsidRPr="006D37EA" w:rsidRDefault="00B2402D" w:rsidP="00D2560E">
            <w:pPr>
              <w:spacing w:after="0" w:line="240" w:lineRule="auto"/>
              <w:jc w:val="lef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 </w:t>
            </w:r>
          </w:p>
        </w:tc>
        <w:tc>
          <w:tcPr>
            <w:tcW w:w="1880" w:type="dxa"/>
            <w:tcBorders>
              <w:top w:val="nil"/>
              <w:left w:val="nil"/>
              <w:bottom w:val="single" w:sz="4" w:space="0" w:color="auto"/>
              <w:right w:val="nil"/>
            </w:tcBorders>
            <w:shd w:val="clear" w:color="auto" w:fill="auto"/>
            <w:vAlign w:val="center"/>
            <w:hideMark/>
          </w:tcPr>
          <w:p w14:paraId="40E7968E" w14:textId="52041545"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 (v tis.</w:t>
            </w:r>
            <w:r w:rsidR="004108FA">
              <w:rPr>
                <w:rFonts w:eastAsia="Times New Roman" w:cs="Times New Roman"/>
                <w:b/>
                <w:bCs/>
                <w:color w:val="000000"/>
                <w:sz w:val="18"/>
                <w:szCs w:val="18"/>
                <w:lang w:eastAsia="sk-SK"/>
              </w:rPr>
              <w:t xml:space="preserve"> </w:t>
            </w:r>
            <w:r w:rsidRPr="006D37EA">
              <w:rPr>
                <w:rFonts w:eastAsia="Times New Roman" w:cs="Times New Roman"/>
                <w:b/>
                <w:bCs/>
                <w:color w:val="000000"/>
                <w:sz w:val="18"/>
                <w:szCs w:val="18"/>
                <w:lang w:eastAsia="sk-SK"/>
              </w:rPr>
              <w:t>eur)</w:t>
            </w:r>
          </w:p>
        </w:tc>
        <w:tc>
          <w:tcPr>
            <w:tcW w:w="1119" w:type="dxa"/>
            <w:tcBorders>
              <w:top w:val="nil"/>
              <w:left w:val="nil"/>
              <w:bottom w:val="single" w:sz="4" w:space="0" w:color="auto"/>
              <w:right w:val="nil"/>
            </w:tcBorders>
            <w:shd w:val="clear" w:color="auto" w:fill="auto"/>
            <w:vAlign w:val="center"/>
            <w:hideMark/>
          </w:tcPr>
          <w:p w14:paraId="0F879B88"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 </w:t>
            </w:r>
          </w:p>
        </w:tc>
        <w:tc>
          <w:tcPr>
            <w:tcW w:w="2480" w:type="dxa"/>
            <w:tcBorders>
              <w:top w:val="nil"/>
              <w:left w:val="nil"/>
              <w:bottom w:val="single" w:sz="4" w:space="0" w:color="auto"/>
              <w:right w:val="nil"/>
            </w:tcBorders>
            <w:shd w:val="clear" w:color="auto" w:fill="auto"/>
            <w:vAlign w:val="center"/>
            <w:hideMark/>
          </w:tcPr>
          <w:p w14:paraId="606670FE" w14:textId="253CC42D"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(v tis.</w:t>
            </w:r>
            <w:r w:rsidR="006D37EA">
              <w:rPr>
                <w:rFonts w:eastAsia="Times New Roman" w:cs="Times New Roman"/>
                <w:b/>
                <w:bCs/>
                <w:color w:val="000000"/>
                <w:sz w:val="18"/>
                <w:szCs w:val="18"/>
                <w:lang w:eastAsia="sk-SK"/>
              </w:rPr>
              <w:t xml:space="preserve"> </w:t>
            </w:r>
            <w:r w:rsidRPr="006D37EA">
              <w:rPr>
                <w:rFonts w:eastAsia="Times New Roman" w:cs="Times New Roman"/>
                <w:b/>
                <w:bCs/>
                <w:color w:val="000000"/>
                <w:sz w:val="18"/>
                <w:szCs w:val="18"/>
                <w:lang w:eastAsia="sk-SK"/>
              </w:rPr>
              <w:t>eur) </w:t>
            </w:r>
          </w:p>
        </w:tc>
      </w:tr>
      <w:tr w:rsidR="00B2402D" w:rsidRPr="006D37EA" w14:paraId="512CA2B1" w14:textId="77777777" w:rsidTr="00D2560E">
        <w:trPr>
          <w:trHeight w:val="288"/>
        </w:trPr>
        <w:tc>
          <w:tcPr>
            <w:tcW w:w="2420" w:type="dxa"/>
            <w:tcBorders>
              <w:top w:val="nil"/>
              <w:left w:val="nil"/>
              <w:bottom w:val="nil"/>
              <w:right w:val="nil"/>
            </w:tcBorders>
            <w:shd w:val="clear" w:color="auto" w:fill="auto"/>
            <w:vAlign w:val="center"/>
            <w:hideMark/>
          </w:tcPr>
          <w:p w14:paraId="6FB7362F" w14:textId="77777777" w:rsidR="00B2402D" w:rsidRPr="006D37EA" w:rsidRDefault="00B2402D" w:rsidP="00D2560E">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Daňové úrady</w:t>
            </w:r>
          </w:p>
        </w:tc>
        <w:tc>
          <w:tcPr>
            <w:tcW w:w="960" w:type="dxa"/>
            <w:tcBorders>
              <w:top w:val="nil"/>
              <w:left w:val="nil"/>
              <w:bottom w:val="nil"/>
              <w:right w:val="nil"/>
            </w:tcBorders>
            <w:shd w:val="clear" w:color="auto" w:fill="auto"/>
            <w:vAlign w:val="center"/>
            <w:hideMark/>
          </w:tcPr>
          <w:p w14:paraId="62A6927F" w14:textId="77777777" w:rsidR="00B2402D" w:rsidRPr="006D37EA" w:rsidRDefault="00B2402D" w:rsidP="00281D43">
            <w:pPr>
              <w:spacing w:after="0" w:line="240" w:lineRule="auto"/>
              <w:jc w:val="center"/>
              <w:rPr>
                <w:rFonts w:eastAsia="Times New Roman" w:cs="Times New Roman"/>
                <w:color w:val="000000"/>
                <w:sz w:val="18"/>
                <w:szCs w:val="18"/>
                <w:lang w:eastAsia="sk-SK"/>
              </w:rPr>
            </w:pPr>
            <w:r w:rsidRPr="006D37EA">
              <w:rPr>
                <w:rFonts w:eastAsia="Times New Roman" w:cs="Times New Roman"/>
                <w:color w:val="000000"/>
                <w:sz w:val="18"/>
                <w:szCs w:val="18"/>
                <w:lang w:eastAsia="sk-SK"/>
              </w:rPr>
              <w:t>1</w:t>
            </w:r>
          </w:p>
        </w:tc>
        <w:tc>
          <w:tcPr>
            <w:tcW w:w="1880" w:type="dxa"/>
            <w:tcBorders>
              <w:top w:val="nil"/>
              <w:left w:val="nil"/>
              <w:bottom w:val="nil"/>
              <w:right w:val="nil"/>
            </w:tcBorders>
            <w:shd w:val="clear" w:color="auto" w:fill="auto"/>
            <w:vAlign w:val="center"/>
            <w:hideMark/>
          </w:tcPr>
          <w:p w14:paraId="2B4F01DB" w14:textId="77777777" w:rsidR="00B2402D" w:rsidRPr="006D37EA" w:rsidRDefault="00B2402D" w:rsidP="00281D43">
            <w:pPr>
              <w:spacing w:after="0" w:line="240" w:lineRule="auto"/>
              <w:jc w:val="center"/>
              <w:rPr>
                <w:rFonts w:eastAsia="Times New Roman" w:cs="Times New Roman"/>
                <w:color w:val="000000"/>
                <w:sz w:val="18"/>
                <w:szCs w:val="18"/>
                <w:lang w:eastAsia="sk-SK"/>
              </w:rPr>
            </w:pPr>
            <w:r w:rsidRPr="006D37EA">
              <w:rPr>
                <w:rFonts w:eastAsia="Times New Roman" w:cs="Times New Roman"/>
                <w:color w:val="000000"/>
                <w:sz w:val="18"/>
                <w:szCs w:val="18"/>
                <w:lang w:eastAsia="sk-SK"/>
              </w:rPr>
              <w:t>0,30</w:t>
            </w:r>
          </w:p>
        </w:tc>
        <w:tc>
          <w:tcPr>
            <w:tcW w:w="1119" w:type="dxa"/>
            <w:tcBorders>
              <w:top w:val="nil"/>
              <w:left w:val="nil"/>
              <w:bottom w:val="nil"/>
              <w:right w:val="nil"/>
            </w:tcBorders>
            <w:shd w:val="clear" w:color="auto" w:fill="auto"/>
            <w:vAlign w:val="center"/>
            <w:hideMark/>
          </w:tcPr>
          <w:p w14:paraId="110701BB" w14:textId="77777777" w:rsidR="00B2402D" w:rsidRPr="006D37EA" w:rsidRDefault="00B2402D" w:rsidP="00281D43">
            <w:pPr>
              <w:spacing w:after="0" w:line="240" w:lineRule="auto"/>
              <w:jc w:val="center"/>
              <w:rPr>
                <w:rFonts w:eastAsia="Times New Roman" w:cs="Times New Roman"/>
                <w:color w:val="000000"/>
                <w:sz w:val="18"/>
                <w:szCs w:val="18"/>
                <w:lang w:eastAsia="sk-SK"/>
              </w:rPr>
            </w:pPr>
            <w:r w:rsidRPr="006D37EA">
              <w:rPr>
                <w:rFonts w:eastAsia="Times New Roman" w:cs="Times New Roman"/>
                <w:color w:val="000000"/>
                <w:sz w:val="18"/>
                <w:szCs w:val="18"/>
                <w:lang w:eastAsia="sk-SK"/>
              </w:rPr>
              <w:t>470</w:t>
            </w:r>
          </w:p>
        </w:tc>
        <w:tc>
          <w:tcPr>
            <w:tcW w:w="2480" w:type="dxa"/>
            <w:tcBorders>
              <w:top w:val="nil"/>
              <w:left w:val="nil"/>
              <w:bottom w:val="nil"/>
              <w:right w:val="nil"/>
            </w:tcBorders>
            <w:shd w:val="clear" w:color="auto" w:fill="auto"/>
            <w:vAlign w:val="center"/>
            <w:hideMark/>
          </w:tcPr>
          <w:p w14:paraId="54DA2E3C" w14:textId="77777777" w:rsidR="00B2402D" w:rsidRPr="006D37EA" w:rsidRDefault="00B2402D" w:rsidP="00281D43">
            <w:pPr>
              <w:spacing w:after="0" w:line="240" w:lineRule="auto"/>
              <w:jc w:val="center"/>
              <w:rPr>
                <w:rFonts w:eastAsia="Times New Roman" w:cs="Times New Roman"/>
                <w:color w:val="000000"/>
                <w:sz w:val="18"/>
                <w:szCs w:val="18"/>
                <w:lang w:eastAsia="sk-SK"/>
              </w:rPr>
            </w:pPr>
            <w:r w:rsidRPr="006D37EA">
              <w:rPr>
                <w:rFonts w:eastAsia="Times New Roman" w:cs="Times New Roman"/>
                <w:color w:val="000000"/>
                <w:sz w:val="18"/>
                <w:szCs w:val="18"/>
                <w:lang w:eastAsia="sk-SK"/>
              </w:rPr>
              <w:t>263,94</w:t>
            </w:r>
          </w:p>
        </w:tc>
      </w:tr>
      <w:tr w:rsidR="00B2402D" w:rsidRPr="006D37EA" w14:paraId="5FB73890" w14:textId="77777777" w:rsidTr="00D2560E">
        <w:trPr>
          <w:trHeight w:val="288"/>
        </w:trPr>
        <w:tc>
          <w:tcPr>
            <w:tcW w:w="2420" w:type="dxa"/>
            <w:tcBorders>
              <w:top w:val="nil"/>
              <w:left w:val="nil"/>
              <w:bottom w:val="nil"/>
              <w:right w:val="nil"/>
            </w:tcBorders>
            <w:shd w:val="clear" w:color="auto" w:fill="auto"/>
            <w:vAlign w:val="center"/>
            <w:hideMark/>
          </w:tcPr>
          <w:p w14:paraId="386A338C" w14:textId="77777777" w:rsidR="00B2402D" w:rsidRPr="006D37EA" w:rsidRDefault="00B2402D" w:rsidP="00D2560E">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 xml:space="preserve">Colné úrady /* </w:t>
            </w:r>
          </w:p>
        </w:tc>
        <w:tc>
          <w:tcPr>
            <w:tcW w:w="960" w:type="dxa"/>
            <w:tcBorders>
              <w:top w:val="nil"/>
              <w:left w:val="nil"/>
              <w:bottom w:val="nil"/>
              <w:right w:val="nil"/>
            </w:tcBorders>
            <w:shd w:val="clear" w:color="auto" w:fill="auto"/>
            <w:vAlign w:val="center"/>
            <w:hideMark/>
          </w:tcPr>
          <w:p w14:paraId="5D485421" w14:textId="39655875" w:rsidR="00B2402D" w:rsidRPr="006D37EA" w:rsidRDefault="00281D43" w:rsidP="00281D43">
            <w:pPr>
              <w:spacing w:after="0" w:line="240" w:lineRule="auto"/>
              <w:jc w:val="center"/>
              <w:rPr>
                <w:rFonts w:eastAsia="Times New Roman" w:cs="Times New Roman"/>
                <w:color w:val="000000"/>
                <w:sz w:val="18"/>
                <w:szCs w:val="18"/>
                <w:lang w:eastAsia="sk-SK"/>
              </w:rPr>
            </w:pPr>
            <w:r>
              <w:rPr>
                <w:rFonts w:eastAsia="Times New Roman" w:cs="Times New Roman"/>
                <w:color w:val="000000"/>
                <w:sz w:val="18"/>
                <w:szCs w:val="18"/>
                <w:lang w:eastAsia="sk-SK"/>
              </w:rPr>
              <w:t xml:space="preserve">  </w:t>
            </w:r>
            <w:r w:rsidR="00B2402D" w:rsidRPr="006D37EA">
              <w:rPr>
                <w:rFonts w:eastAsia="Times New Roman" w:cs="Times New Roman"/>
                <w:color w:val="000000"/>
                <w:sz w:val="18"/>
                <w:szCs w:val="18"/>
                <w:lang w:eastAsia="sk-SK"/>
              </w:rPr>
              <w:t>x*</w:t>
            </w:r>
          </w:p>
        </w:tc>
        <w:tc>
          <w:tcPr>
            <w:tcW w:w="1880" w:type="dxa"/>
            <w:tcBorders>
              <w:top w:val="nil"/>
              <w:left w:val="nil"/>
              <w:bottom w:val="nil"/>
              <w:right w:val="nil"/>
            </w:tcBorders>
            <w:shd w:val="clear" w:color="auto" w:fill="auto"/>
            <w:vAlign w:val="center"/>
            <w:hideMark/>
          </w:tcPr>
          <w:p w14:paraId="3AD060C3" w14:textId="6D5657B1" w:rsidR="00B2402D" w:rsidRPr="006D37EA" w:rsidRDefault="00281D43" w:rsidP="00281D43">
            <w:pPr>
              <w:spacing w:after="0" w:line="240" w:lineRule="auto"/>
              <w:jc w:val="center"/>
              <w:rPr>
                <w:rFonts w:eastAsia="Times New Roman" w:cs="Times New Roman"/>
                <w:color w:val="000000"/>
                <w:sz w:val="18"/>
                <w:szCs w:val="18"/>
                <w:lang w:eastAsia="sk-SK"/>
              </w:rPr>
            </w:pPr>
            <w:r>
              <w:rPr>
                <w:rFonts w:eastAsia="Times New Roman" w:cs="Times New Roman"/>
                <w:color w:val="000000"/>
                <w:sz w:val="18"/>
                <w:szCs w:val="18"/>
                <w:lang w:eastAsia="sk-SK"/>
              </w:rPr>
              <w:t xml:space="preserve">  </w:t>
            </w:r>
            <w:r w:rsidR="00B2402D" w:rsidRPr="006D37EA">
              <w:rPr>
                <w:rFonts w:eastAsia="Times New Roman" w:cs="Times New Roman"/>
                <w:color w:val="000000"/>
                <w:sz w:val="18"/>
                <w:szCs w:val="18"/>
                <w:lang w:eastAsia="sk-SK"/>
              </w:rPr>
              <w:t>x*</w:t>
            </w:r>
          </w:p>
        </w:tc>
        <w:tc>
          <w:tcPr>
            <w:tcW w:w="1119" w:type="dxa"/>
            <w:tcBorders>
              <w:top w:val="nil"/>
              <w:left w:val="nil"/>
              <w:bottom w:val="nil"/>
              <w:right w:val="nil"/>
            </w:tcBorders>
            <w:shd w:val="clear" w:color="auto" w:fill="auto"/>
            <w:vAlign w:val="center"/>
            <w:hideMark/>
          </w:tcPr>
          <w:p w14:paraId="671CEC75" w14:textId="77777777" w:rsidR="00B2402D" w:rsidRPr="006D37EA" w:rsidRDefault="00B2402D" w:rsidP="00281D43">
            <w:pPr>
              <w:spacing w:after="0" w:line="240" w:lineRule="auto"/>
              <w:jc w:val="center"/>
              <w:rPr>
                <w:rFonts w:eastAsia="Times New Roman" w:cs="Times New Roman"/>
                <w:color w:val="000000"/>
                <w:sz w:val="18"/>
                <w:szCs w:val="18"/>
                <w:lang w:eastAsia="sk-SK"/>
              </w:rPr>
            </w:pPr>
            <w:r w:rsidRPr="006D37EA">
              <w:rPr>
                <w:rFonts w:eastAsia="Times New Roman" w:cs="Times New Roman"/>
                <w:color w:val="000000"/>
                <w:sz w:val="18"/>
                <w:szCs w:val="18"/>
                <w:lang w:eastAsia="sk-SK"/>
              </w:rPr>
              <w:t>x</w:t>
            </w:r>
          </w:p>
        </w:tc>
        <w:tc>
          <w:tcPr>
            <w:tcW w:w="2480" w:type="dxa"/>
            <w:tcBorders>
              <w:top w:val="nil"/>
              <w:left w:val="nil"/>
              <w:bottom w:val="nil"/>
              <w:right w:val="nil"/>
            </w:tcBorders>
            <w:shd w:val="clear" w:color="auto" w:fill="auto"/>
            <w:vAlign w:val="center"/>
            <w:hideMark/>
          </w:tcPr>
          <w:p w14:paraId="5BA8399E" w14:textId="77777777" w:rsidR="00B2402D" w:rsidRPr="006D37EA" w:rsidRDefault="00B2402D" w:rsidP="00281D43">
            <w:pPr>
              <w:spacing w:after="0" w:line="240" w:lineRule="auto"/>
              <w:jc w:val="center"/>
              <w:rPr>
                <w:rFonts w:eastAsia="Times New Roman" w:cs="Times New Roman"/>
                <w:color w:val="000000"/>
                <w:sz w:val="18"/>
                <w:szCs w:val="18"/>
                <w:lang w:eastAsia="sk-SK"/>
              </w:rPr>
            </w:pPr>
            <w:r w:rsidRPr="006D37EA">
              <w:rPr>
                <w:rFonts w:eastAsia="Times New Roman" w:cs="Times New Roman"/>
                <w:color w:val="000000"/>
                <w:sz w:val="18"/>
                <w:szCs w:val="18"/>
                <w:lang w:eastAsia="sk-SK"/>
              </w:rPr>
              <w:t>x</w:t>
            </w:r>
          </w:p>
        </w:tc>
      </w:tr>
      <w:tr w:rsidR="00B2402D" w:rsidRPr="006D37EA" w14:paraId="3E61B2A2" w14:textId="77777777" w:rsidTr="00D2560E">
        <w:trPr>
          <w:trHeight w:val="288"/>
        </w:trPr>
        <w:tc>
          <w:tcPr>
            <w:tcW w:w="2420" w:type="dxa"/>
            <w:tcBorders>
              <w:top w:val="nil"/>
              <w:left w:val="nil"/>
              <w:bottom w:val="nil"/>
              <w:right w:val="nil"/>
            </w:tcBorders>
            <w:shd w:val="clear" w:color="auto" w:fill="auto"/>
            <w:vAlign w:val="center"/>
            <w:hideMark/>
          </w:tcPr>
          <w:p w14:paraId="1301E82C" w14:textId="77777777" w:rsidR="00B2402D" w:rsidRPr="006D37EA" w:rsidRDefault="00B2402D" w:rsidP="00D2560E">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FR SR</w:t>
            </w:r>
          </w:p>
        </w:tc>
        <w:tc>
          <w:tcPr>
            <w:tcW w:w="960" w:type="dxa"/>
            <w:tcBorders>
              <w:top w:val="nil"/>
              <w:left w:val="nil"/>
              <w:bottom w:val="nil"/>
              <w:right w:val="nil"/>
            </w:tcBorders>
            <w:shd w:val="clear" w:color="auto" w:fill="auto"/>
            <w:vAlign w:val="center"/>
            <w:hideMark/>
          </w:tcPr>
          <w:p w14:paraId="4B349D20" w14:textId="77777777" w:rsidR="00B2402D" w:rsidRPr="006D37EA" w:rsidRDefault="00B2402D" w:rsidP="00281D43">
            <w:pPr>
              <w:spacing w:after="0" w:line="240" w:lineRule="auto"/>
              <w:jc w:val="center"/>
              <w:rPr>
                <w:rFonts w:eastAsia="Times New Roman" w:cs="Times New Roman"/>
                <w:color w:val="000000"/>
                <w:sz w:val="18"/>
                <w:szCs w:val="18"/>
                <w:lang w:eastAsia="sk-SK"/>
              </w:rPr>
            </w:pPr>
            <w:r w:rsidRPr="006D37EA">
              <w:rPr>
                <w:rFonts w:eastAsia="Times New Roman" w:cs="Times New Roman"/>
                <w:color w:val="000000"/>
                <w:sz w:val="18"/>
                <w:szCs w:val="18"/>
                <w:lang w:eastAsia="sk-SK"/>
              </w:rPr>
              <w:t>x</w:t>
            </w:r>
          </w:p>
        </w:tc>
        <w:tc>
          <w:tcPr>
            <w:tcW w:w="1880" w:type="dxa"/>
            <w:tcBorders>
              <w:top w:val="nil"/>
              <w:left w:val="nil"/>
              <w:bottom w:val="nil"/>
              <w:right w:val="nil"/>
            </w:tcBorders>
            <w:shd w:val="clear" w:color="auto" w:fill="auto"/>
            <w:vAlign w:val="center"/>
            <w:hideMark/>
          </w:tcPr>
          <w:p w14:paraId="3C7CB6DB" w14:textId="77777777" w:rsidR="00B2402D" w:rsidRPr="006D37EA" w:rsidRDefault="00B2402D" w:rsidP="00281D43">
            <w:pPr>
              <w:spacing w:after="0" w:line="240" w:lineRule="auto"/>
              <w:jc w:val="center"/>
              <w:rPr>
                <w:rFonts w:eastAsia="Times New Roman" w:cs="Times New Roman"/>
                <w:color w:val="000000"/>
                <w:sz w:val="18"/>
                <w:szCs w:val="18"/>
                <w:lang w:eastAsia="sk-SK"/>
              </w:rPr>
            </w:pPr>
            <w:r w:rsidRPr="006D37EA">
              <w:rPr>
                <w:rFonts w:eastAsia="Times New Roman" w:cs="Times New Roman"/>
                <w:color w:val="000000"/>
                <w:sz w:val="18"/>
                <w:szCs w:val="18"/>
                <w:lang w:eastAsia="sk-SK"/>
              </w:rPr>
              <w:t>x</w:t>
            </w:r>
          </w:p>
        </w:tc>
        <w:tc>
          <w:tcPr>
            <w:tcW w:w="1119" w:type="dxa"/>
            <w:tcBorders>
              <w:top w:val="nil"/>
              <w:left w:val="nil"/>
              <w:bottom w:val="nil"/>
              <w:right w:val="nil"/>
            </w:tcBorders>
            <w:shd w:val="clear" w:color="auto" w:fill="auto"/>
            <w:vAlign w:val="center"/>
            <w:hideMark/>
          </w:tcPr>
          <w:p w14:paraId="177FCE6C" w14:textId="77777777" w:rsidR="00B2402D" w:rsidRPr="006D37EA" w:rsidRDefault="00B2402D" w:rsidP="00281D43">
            <w:pPr>
              <w:spacing w:after="0" w:line="240" w:lineRule="auto"/>
              <w:jc w:val="center"/>
              <w:rPr>
                <w:rFonts w:eastAsia="Times New Roman" w:cs="Times New Roman"/>
                <w:color w:val="000000"/>
                <w:sz w:val="18"/>
                <w:szCs w:val="18"/>
                <w:lang w:eastAsia="sk-SK"/>
              </w:rPr>
            </w:pPr>
            <w:r w:rsidRPr="006D37EA">
              <w:rPr>
                <w:rFonts w:eastAsia="Times New Roman" w:cs="Times New Roman"/>
                <w:color w:val="000000"/>
                <w:sz w:val="18"/>
                <w:szCs w:val="18"/>
                <w:lang w:eastAsia="sk-SK"/>
              </w:rPr>
              <w:t>x</w:t>
            </w:r>
          </w:p>
        </w:tc>
        <w:tc>
          <w:tcPr>
            <w:tcW w:w="2480" w:type="dxa"/>
            <w:tcBorders>
              <w:top w:val="nil"/>
              <w:left w:val="nil"/>
              <w:bottom w:val="nil"/>
              <w:right w:val="nil"/>
            </w:tcBorders>
            <w:shd w:val="clear" w:color="auto" w:fill="auto"/>
            <w:vAlign w:val="center"/>
            <w:hideMark/>
          </w:tcPr>
          <w:p w14:paraId="1D1EB710" w14:textId="77777777" w:rsidR="00B2402D" w:rsidRPr="006D37EA" w:rsidRDefault="00B2402D" w:rsidP="00281D43">
            <w:pPr>
              <w:spacing w:after="0" w:line="240" w:lineRule="auto"/>
              <w:jc w:val="center"/>
              <w:rPr>
                <w:rFonts w:eastAsia="Times New Roman" w:cs="Times New Roman"/>
                <w:color w:val="000000"/>
                <w:sz w:val="18"/>
                <w:szCs w:val="18"/>
                <w:lang w:eastAsia="sk-SK"/>
              </w:rPr>
            </w:pPr>
            <w:r w:rsidRPr="006D37EA">
              <w:rPr>
                <w:rFonts w:eastAsia="Times New Roman" w:cs="Times New Roman"/>
                <w:color w:val="000000"/>
                <w:sz w:val="18"/>
                <w:szCs w:val="18"/>
                <w:lang w:eastAsia="sk-SK"/>
              </w:rPr>
              <w:t>x</w:t>
            </w:r>
          </w:p>
        </w:tc>
      </w:tr>
      <w:tr w:rsidR="00B2402D" w:rsidRPr="006D37EA" w14:paraId="461CA21A" w14:textId="77777777" w:rsidTr="00D2560E">
        <w:trPr>
          <w:trHeight w:val="288"/>
        </w:trPr>
        <w:tc>
          <w:tcPr>
            <w:tcW w:w="2420" w:type="dxa"/>
            <w:tcBorders>
              <w:top w:val="single" w:sz="4" w:space="0" w:color="auto"/>
              <w:left w:val="nil"/>
              <w:bottom w:val="single" w:sz="4" w:space="0" w:color="auto"/>
              <w:right w:val="nil"/>
            </w:tcBorders>
            <w:shd w:val="clear" w:color="auto" w:fill="auto"/>
            <w:vAlign w:val="center"/>
            <w:hideMark/>
          </w:tcPr>
          <w:p w14:paraId="450ED82D" w14:textId="77777777" w:rsidR="00B2402D" w:rsidRPr="006D37EA" w:rsidRDefault="00B2402D" w:rsidP="00D2560E">
            <w:pPr>
              <w:spacing w:after="0" w:line="240" w:lineRule="auto"/>
              <w:jc w:val="lef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Spolu</w:t>
            </w:r>
          </w:p>
        </w:tc>
        <w:tc>
          <w:tcPr>
            <w:tcW w:w="960" w:type="dxa"/>
            <w:tcBorders>
              <w:top w:val="single" w:sz="4" w:space="0" w:color="auto"/>
              <w:left w:val="nil"/>
              <w:bottom w:val="single" w:sz="4" w:space="0" w:color="auto"/>
              <w:right w:val="nil"/>
            </w:tcBorders>
            <w:shd w:val="clear" w:color="auto" w:fill="auto"/>
            <w:vAlign w:val="center"/>
            <w:hideMark/>
          </w:tcPr>
          <w:p w14:paraId="658822B1"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1</w:t>
            </w:r>
          </w:p>
        </w:tc>
        <w:tc>
          <w:tcPr>
            <w:tcW w:w="1880" w:type="dxa"/>
            <w:tcBorders>
              <w:top w:val="single" w:sz="4" w:space="0" w:color="auto"/>
              <w:left w:val="nil"/>
              <w:bottom w:val="single" w:sz="4" w:space="0" w:color="auto"/>
              <w:right w:val="nil"/>
            </w:tcBorders>
            <w:shd w:val="clear" w:color="auto" w:fill="auto"/>
            <w:vAlign w:val="center"/>
            <w:hideMark/>
          </w:tcPr>
          <w:p w14:paraId="32A7D32B"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0,30</w:t>
            </w:r>
          </w:p>
        </w:tc>
        <w:tc>
          <w:tcPr>
            <w:tcW w:w="1119" w:type="dxa"/>
            <w:tcBorders>
              <w:top w:val="single" w:sz="4" w:space="0" w:color="auto"/>
              <w:left w:val="nil"/>
              <w:bottom w:val="single" w:sz="4" w:space="0" w:color="auto"/>
              <w:right w:val="nil"/>
            </w:tcBorders>
            <w:shd w:val="clear" w:color="auto" w:fill="auto"/>
            <w:vAlign w:val="center"/>
            <w:hideMark/>
          </w:tcPr>
          <w:p w14:paraId="6B5CDD8E"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470</w:t>
            </w:r>
          </w:p>
        </w:tc>
        <w:tc>
          <w:tcPr>
            <w:tcW w:w="2480" w:type="dxa"/>
            <w:tcBorders>
              <w:top w:val="single" w:sz="4" w:space="0" w:color="auto"/>
              <w:left w:val="nil"/>
              <w:bottom w:val="single" w:sz="4" w:space="0" w:color="auto"/>
              <w:right w:val="nil"/>
            </w:tcBorders>
            <w:shd w:val="clear" w:color="auto" w:fill="auto"/>
            <w:vAlign w:val="center"/>
            <w:hideMark/>
          </w:tcPr>
          <w:p w14:paraId="64AC6E9E" w14:textId="77777777" w:rsidR="00B2402D" w:rsidRPr="006D37EA" w:rsidRDefault="00B2402D" w:rsidP="00D2560E">
            <w:pPr>
              <w:spacing w:after="0" w:line="240" w:lineRule="auto"/>
              <w:jc w:val="center"/>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263,94</w:t>
            </w:r>
          </w:p>
        </w:tc>
      </w:tr>
    </w:tbl>
    <w:p w14:paraId="53839F34" w14:textId="77777777" w:rsidR="00B2402D" w:rsidRPr="006D37EA" w:rsidRDefault="00B2402D" w:rsidP="00B2402D">
      <w:pPr>
        <w:spacing w:line="240" w:lineRule="auto"/>
        <w:rPr>
          <w:b/>
          <w:i/>
          <w:sz w:val="18"/>
          <w:szCs w:val="18"/>
        </w:rPr>
      </w:pPr>
      <w:r w:rsidRPr="006D37EA">
        <w:rPr>
          <w:sz w:val="18"/>
          <w:szCs w:val="18"/>
          <w:lang w:eastAsia="sk-SK"/>
        </w:rPr>
        <w:t>*Colné úrady neposkytujú úľavy a odpustenie DN na dani v zmysle § 70 daňového poriadku                Zdroj: ISFS-SD, CÚ</w:t>
      </w:r>
    </w:p>
    <w:p w14:paraId="2505C7B1" w14:textId="060A91E2" w:rsidR="00B2402D" w:rsidRDefault="00B2402D" w:rsidP="00B2402D">
      <w:pPr>
        <w:spacing w:after="240" w:line="240" w:lineRule="auto"/>
        <w:rPr>
          <w:b/>
          <w:i/>
        </w:rPr>
      </w:pPr>
      <w:r w:rsidRPr="00423EB3">
        <w:rPr>
          <w:b/>
          <w:i/>
        </w:rPr>
        <w:t>Podrobné údaje o plnení daňových príjmov štátneho rozpočtu v roku 2023 sú uvedené v tab. č. 2 tabuľkovej prílohy štátneho záverečného účtu.</w:t>
      </w:r>
    </w:p>
    <w:p w14:paraId="739D3CBC" w14:textId="3C76D4BD" w:rsidR="008254BE" w:rsidRDefault="008254BE" w:rsidP="001205D5">
      <w:pPr>
        <w:pStyle w:val="Nadpis3"/>
      </w:pPr>
      <w:bookmarkStart w:id="41" w:name="_Toc6415643"/>
      <w:bookmarkStart w:id="42" w:name="_Toc164846941"/>
      <w:r w:rsidRPr="001205D5">
        <w:t>Nedaňové</w:t>
      </w:r>
      <w:r>
        <w:t xml:space="preserve"> príjmy</w:t>
      </w:r>
      <w:bookmarkEnd w:id="41"/>
      <w:bookmarkEnd w:id="42"/>
    </w:p>
    <w:p w14:paraId="288411EC" w14:textId="77777777" w:rsidR="00A57E96" w:rsidRDefault="00A57E96" w:rsidP="00A57E96">
      <w:pPr>
        <w:spacing w:line="240" w:lineRule="auto"/>
        <w:rPr>
          <w:color w:val="FF0000"/>
          <w:sz w:val="24"/>
          <w:szCs w:val="24"/>
        </w:rPr>
      </w:pPr>
      <w:r w:rsidRPr="00822E82">
        <w:rPr>
          <w:color w:val="000000" w:themeColor="text1"/>
          <w:sz w:val="24"/>
          <w:szCs w:val="24"/>
        </w:rPr>
        <w:t xml:space="preserve">Nedaňové príjmy do štátneho rozpočtu plynú najmä vo forme dividend, poplatkov, kapitálových príjmov z predaja dlhodobého hmotného majetku a úrokov z poskytnutých výpomocí. </w:t>
      </w:r>
      <w:r w:rsidRPr="0026203D">
        <w:rPr>
          <w:b/>
          <w:color w:val="000000" w:themeColor="text1"/>
          <w:sz w:val="24"/>
          <w:szCs w:val="24"/>
        </w:rPr>
        <w:t>V roku 2023 dosiahli tieto príjmy sumu 1 738 326 tis. eur, čo predstavuje 7,3 % z celkovo dosiahnutých príjmov štátneho rozpočtu.</w:t>
      </w:r>
      <w:r w:rsidRPr="0026203D">
        <w:rPr>
          <w:color w:val="000000" w:themeColor="text1"/>
          <w:sz w:val="24"/>
          <w:szCs w:val="24"/>
        </w:rPr>
        <w:t xml:space="preserve"> </w:t>
      </w:r>
      <w:r w:rsidRPr="00B74F1A">
        <w:rPr>
          <w:color w:val="000000" w:themeColor="text1"/>
          <w:sz w:val="24"/>
          <w:szCs w:val="24"/>
        </w:rPr>
        <w:t xml:space="preserve">Skutočné plnenie nedaňových príjmov predstavovalo len 81,6 % rozpočtovanej hodnoty, ale za </w:t>
      </w:r>
      <w:r>
        <w:rPr>
          <w:color w:val="000000" w:themeColor="text1"/>
          <w:sz w:val="24"/>
          <w:szCs w:val="24"/>
        </w:rPr>
        <w:t>ostatné</w:t>
      </w:r>
      <w:r w:rsidRPr="00B74F1A">
        <w:rPr>
          <w:color w:val="000000" w:themeColor="text1"/>
          <w:sz w:val="24"/>
          <w:szCs w:val="24"/>
        </w:rPr>
        <w:t xml:space="preserve"> tri sledované roky dosiahli tieto príjmy najvyšší výnos. </w:t>
      </w:r>
      <w:r w:rsidRPr="004C22C7">
        <w:rPr>
          <w:color w:val="000000" w:themeColor="text1"/>
          <w:sz w:val="24"/>
          <w:szCs w:val="24"/>
        </w:rPr>
        <w:t>V porovnaní s rokom 2022 sa celková vyinkasovaná suma zvýšila až o 453 237 tis. eur,</w:t>
      </w:r>
      <w:r w:rsidRPr="001D1FDC">
        <w:rPr>
          <w:color w:val="FF0000"/>
          <w:sz w:val="24"/>
          <w:szCs w:val="24"/>
        </w:rPr>
        <w:t xml:space="preserve"> </w:t>
      </w:r>
      <w:r w:rsidRPr="00BF0D90">
        <w:rPr>
          <w:color w:val="000000" w:themeColor="text1"/>
          <w:sz w:val="24"/>
          <w:szCs w:val="24"/>
        </w:rPr>
        <w:t>a to najmä z dôvodu vyšších príjmov z dividend o 281 843 tis. eur</w:t>
      </w:r>
      <w:r>
        <w:rPr>
          <w:color w:val="000000" w:themeColor="text1"/>
          <w:sz w:val="24"/>
          <w:szCs w:val="24"/>
        </w:rPr>
        <w:t xml:space="preserve"> a vyšších príjmov z úrokov z tuzemských a zahraničných úverov o 111 741 tis. eur</w:t>
      </w:r>
      <w:r w:rsidRPr="00BF0D90">
        <w:rPr>
          <w:color w:val="000000" w:themeColor="text1"/>
          <w:sz w:val="24"/>
          <w:szCs w:val="24"/>
        </w:rPr>
        <w:t xml:space="preserve">. </w:t>
      </w:r>
    </w:p>
    <w:tbl>
      <w:tblPr>
        <w:tblW w:w="9440" w:type="dxa"/>
        <w:tblCellMar>
          <w:left w:w="70" w:type="dxa"/>
          <w:right w:w="70" w:type="dxa"/>
        </w:tblCellMar>
        <w:tblLook w:val="04A0" w:firstRow="1" w:lastRow="0" w:firstColumn="1" w:lastColumn="0" w:noHBand="0" w:noVBand="1"/>
      </w:tblPr>
      <w:tblGrid>
        <w:gridCol w:w="4480"/>
        <w:gridCol w:w="880"/>
        <w:gridCol w:w="880"/>
        <w:gridCol w:w="860"/>
        <w:gridCol w:w="880"/>
        <w:gridCol w:w="820"/>
        <w:gridCol w:w="640"/>
      </w:tblGrid>
      <w:tr w:rsidR="00A57E96" w:rsidRPr="00822E82" w14:paraId="16F49E6E" w14:textId="77777777" w:rsidTr="00385988">
        <w:trPr>
          <w:trHeight w:val="330"/>
        </w:trPr>
        <w:tc>
          <w:tcPr>
            <w:tcW w:w="4480" w:type="dxa"/>
            <w:tcBorders>
              <w:top w:val="nil"/>
              <w:left w:val="nil"/>
              <w:bottom w:val="single" w:sz="8" w:space="0" w:color="auto"/>
              <w:right w:val="nil"/>
            </w:tcBorders>
            <w:shd w:val="clear" w:color="auto" w:fill="auto"/>
            <w:noWrap/>
            <w:vAlign w:val="center"/>
            <w:hideMark/>
          </w:tcPr>
          <w:p w14:paraId="6DB04F24" w14:textId="556F7E15" w:rsidR="00A57E96" w:rsidRPr="00822E82" w:rsidRDefault="00A57E96" w:rsidP="00281D43">
            <w:pPr>
              <w:spacing w:line="240" w:lineRule="auto"/>
              <w:jc w:val="left"/>
              <w:rPr>
                <w:rFonts w:eastAsia="Times New Roman" w:cs="Times New Roman"/>
                <w:b/>
                <w:bCs/>
                <w:color w:val="5B9BD5"/>
                <w:sz w:val="20"/>
                <w:szCs w:val="20"/>
                <w:lang w:eastAsia="sk-SK"/>
              </w:rPr>
            </w:pPr>
            <w:r w:rsidRPr="00385988">
              <w:rPr>
                <w:rFonts w:eastAsia="Times New Roman" w:cs="Times New Roman"/>
                <w:b/>
                <w:bCs/>
                <w:color w:val="5B9BD5" w:themeColor="accent1"/>
                <w:sz w:val="20"/>
                <w:szCs w:val="20"/>
                <w:lang w:eastAsia="sk-SK"/>
              </w:rPr>
              <w:t>Tabuľka 2</w:t>
            </w:r>
            <w:r w:rsidR="004A6E2F">
              <w:rPr>
                <w:rFonts w:eastAsia="Times New Roman" w:cs="Times New Roman"/>
                <w:b/>
                <w:bCs/>
                <w:color w:val="5B9BD5" w:themeColor="accent1"/>
                <w:sz w:val="20"/>
                <w:szCs w:val="20"/>
                <w:lang w:eastAsia="sk-SK"/>
              </w:rPr>
              <w:t>8</w:t>
            </w:r>
            <w:r w:rsidRPr="00385988">
              <w:rPr>
                <w:rFonts w:eastAsia="Times New Roman" w:cs="Times New Roman"/>
                <w:b/>
                <w:bCs/>
                <w:color w:val="5B9BD5" w:themeColor="accent1"/>
                <w:sz w:val="20"/>
                <w:szCs w:val="20"/>
                <w:lang w:eastAsia="sk-SK"/>
              </w:rPr>
              <w:t xml:space="preserve"> - Nedaňové príjmy štátneho rozpočtu </w:t>
            </w:r>
          </w:p>
        </w:tc>
        <w:tc>
          <w:tcPr>
            <w:tcW w:w="1760" w:type="dxa"/>
            <w:gridSpan w:val="2"/>
            <w:tcBorders>
              <w:top w:val="nil"/>
              <w:left w:val="nil"/>
              <w:bottom w:val="single" w:sz="8" w:space="0" w:color="auto"/>
              <w:right w:val="nil"/>
            </w:tcBorders>
            <w:shd w:val="clear" w:color="auto" w:fill="auto"/>
            <w:vAlign w:val="center"/>
            <w:hideMark/>
          </w:tcPr>
          <w:p w14:paraId="1FD91210" w14:textId="77777777" w:rsidR="00A57E96" w:rsidRPr="00822E82" w:rsidRDefault="00A57E96" w:rsidP="00B768D9">
            <w:pPr>
              <w:spacing w:after="0" w:line="240" w:lineRule="auto"/>
              <w:jc w:val="center"/>
              <w:rPr>
                <w:rFonts w:eastAsia="Times New Roman" w:cs="Times New Roman"/>
                <w:b/>
                <w:bCs/>
                <w:color w:val="000000"/>
                <w:sz w:val="18"/>
                <w:szCs w:val="18"/>
                <w:lang w:eastAsia="sk-SK"/>
              </w:rPr>
            </w:pPr>
            <w:r w:rsidRPr="00822E82">
              <w:rPr>
                <w:rFonts w:eastAsia="Times New Roman" w:cs="Times New Roman"/>
                <w:b/>
                <w:bCs/>
                <w:color w:val="000000"/>
                <w:sz w:val="18"/>
                <w:szCs w:val="18"/>
                <w:lang w:eastAsia="sk-SK"/>
              </w:rPr>
              <w:t> </w:t>
            </w:r>
          </w:p>
        </w:tc>
        <w:tc>
          <w:tcPr>
            <w:tcW w:w="860" w:type="dxa"/>
            <w:tcBorders>
              <w:top w:val="nil"/>
              <w:left w:val="nil"/>
              <w:bottom w:val="single" w:sz="8" w:space="0" w:color="auto"/>
              <w:right w:val="nil"/>
            </w:tcBorders>
            <w:shd w:val="clear" w:color="auto" w:fill="auto"/>
            <w:vAlign w:val="center"/>
            <w:hideMark/>
          </w:tcPr>
          <w:p w14:paraId="6596BE8F" w14:textId="77777777" w:rsidR="00A57E96" w:rsidRPr="00822E82" w:rsidRDefault="00A57E96" w:rsidP="00B768D9">
            <w:pPr>
              <w:spacing w:after="0" w:line="240" w:lineRule="auto"/>
              <w:jc w:val="center"/>
              <w:rPr>
                <w:rFonts w:eastAsia="Times New Roman" w:cs="Times New Roman"/>
                <w:b/>
                <w:bCs/>
                <w:color w:val="000000"/>
                <w:sz w:val="18"/>
                <w:szCs w:val="18"/>
                <w:lang w:eastAsia="sk-SK"/>
              </w:rPr>
            </w:pPr>
            <w:r w:rsidRPr="00822E82">
              <w:rPr>
                <w:rFonts w:eastAsia="Times New Roman" w:cs="Times New Roman"/>
                <w:b/>
                <w:bCs/>
                <w:color w:val="000000"/>
                <w:sz w:val="18"/>
                <w:szCs w:val="18"/>
                <w:lang w:eastAsia="sk-SK"/>
              </w:rPr>
              <w:t> </w:t>
            </w:r>
          </w:p>
        </w:tc>
        <w:tc>
          <w:tcPr>
            <w:tcW w:w="880" w:type="dxa"/>
            <w:tcBorders>
              <w:top w:val="nil"/>
              <w:left w:val="nil"/>
              <w:bottom w:val="single" w:sz="8" w:space="0" w:color="auto"/>
              <w:right w:val="nil"/>
            </w:tcBorders>
            <w:shd w:val="clear" w:color="auto" w:fill="auto"/>
            <w:vAlign w:val="center"/>
            <w:hideMark/>
          </w:tcPr>
          <w:p w14:paraId="6319707A" w14:textId="77777777" w:rsidR="00A57E96" w:rsidRPr="00822E82" w:rsidRDefault="00A57E96" w:rsidP="00B768D9">
            <w:pPr>
              <w:spacing w:after="0" w:line="240" w:lineRule="auto"/>
              <w:jc w:val="center"/>
              <w:rPr>
                <w:rFonts w:eastAsia="Times New Roman" w:cs="Times New Roman"/>
                <w:b/>
                <w:bCs/>
                <w:color w:val="000000"/>
                <w:sz w:val="18"/>
                <w:szCs w:val="18"/>
                <w:lang w:eastAsia="sk-SK"/>
              </w:rPr>
            </w:pPr>
            <w:r w:rsidRPr="00822E82">
              <w:rPr>
                <w:rFonts w:eastAsia="Times New Roman" w:cs="Times New Roman"/>
                <w:b/>
                <w:bCs/>
                <w:color w:val="000000"/>
                <w:sz w:val="18"/>
                <w:szCs w:val="18"/>
                <w:lang w:eastAsia="sk-SK"/>
              </w:rPr>
              <w:t> </w:t>
            </w:r>
          </w:p>
        </w:tc>
        <w:tc>
          <w:tcPr>
            <w:tcW w:w="820" w:type="dxa"/>
            <w:tcBorders>
              <w:top w:val="nil"/>
              <w:left w:val="nil"/>
              <w:bottom w:val="single" w:sz="8" w:space="0" w:color="auto"/>
              <w:right w:val="nil"/>
            </w:tcBorders>
            <w:shd w:val="clear" w:color="auto" w:fill="auto"/>
            <w:noWrap/>
            <w:vAlign w:val="center"/>
            <w:hideMark/>
          </w:tcPr>
          <w:p w14:paraId="61FCF42D" w14:textId="77777777" w:rsidR="00A57E96" w:rsidRPr="00822E82" w:rsidRDefault="00A57E96" w:rsidP="00B768D9">
            <w:pPr>
              <w:spacing w:after="0" w:line="240" w:lineRule="auto"/>
              <w:jc w:val="left"/>
              <w:rPr>
                <w:rFonts w:ascii="Arial Narrow" w:eastAsia="Times New Roman" w:hAnsi="Arial Narrow" w:cs="Times New Roman"/>
                <w:color w:val="000000"/>
                <w:lang w:eastAsia="sk-SK"/>
              </w:rPr>
            </w:pPr>
            <w:r w:rsidRPr="00822E82">
              <w:rPr>
                <w:rFonts w:ascii="Arial Narrow" w:eastAsia="Times New Roman" w:hAnsi="Arial Narrow" w:cs="Times New Roman"/>
                <w:color w:val="000000"/>
                <w:lang w:eastAsia="sk-SK"/>
              </w:rPr>
              <w:t> </w:t>
            </w:r>
          </w:p>
        </w:tc>
        <w:tc>
          <w:tcPr>
            <w:tcW w:w="640" w:type="dxa"/>
            <w:tcBorders>
              <w:top w:val="nil"/>
              <w:left w:val="nil"/>
              <w:bottom w:val="single" w:sz="8" w:space="0" w:color="auto"/>
              <w:right w:val="nil"/>
            </w:tcBorders>
            <w:shd w:val="clear" w:color="auto" w:fill="auto"/>
            <w:noWrap/>
            <w:vAlign w:val="center"/>
            <w:hideMark/>
          </w:tcPr>
          <w:p w14:paraId="403045DA" w14:textId="77777777" w:rsidR="00A57E96" w:rsidRPr="00822E82" w:rsidRDefault="00A57E96" w:rsidP="00B768D9">
            <w:pPr>
              <w:spacing w:after="0" w:line="240" w:lineRule="auto"/>
              <w:jc w:val="left"/>
              <w:rPr>
                <w:rFonts w:ascii="Arial Narrow" w:eastAsia="Times New Roman" w:hAnsi="Arial Narrow" w:cs="Times New Roman"/>
                <w:color w:val="000000"/>
                <w:lang w:eastAsia="sk-SK"/>
              </w:rPr>
            </w:pPr>
            <w:r w:rsidRPr="00822E82">
              <w:rPr>
                <w:rFonts w:ascii="Arial Narrow" w:eastAsia="Times New Roman" w:hAnsi="Arial Narrow" w:cs="Times New Roman"/>
                <w:color w:val="000000"/>
                <w:lang w:eastAsia="sk-SK"/>
              </w:rPr>
              <w:t> </w:t>
            </w:r>
          </w:p>
        </w:tc>
      </w:tr>
      <w:tr w:rsidR="00A57E96" w:rsidRPr="00822E82" w14:paraId="253A4171" w14:textId="77777777" w:rsidTr="00B768D9">
        <w:trPr>
          <w:trHeight w:val="330"/>
        </w:trPr>
        <w:tc>
          <w:tcPr>
            <w:tcW w:w="4480" w:type="dxa"/>
            <w:tcBorders>
              <w:top w:val="nil"/>
              <w:left w:val="nil"/>
              <w:bottom w:val="nil"/>
              <w:right w:val="nil"/>
            </w:tcBorders>
            <w:shd w:val="clear" w:color="auto" w:fill="auto"/>
            <w:vAlign w:val="center"/>
            <w:hideMark/>
          </w:tcPr>
          <w:p w14:paraId="416E9A75" w14:textId="77777777" w:rsidR="00A57E96" w:rsidRPr="00822E82" w:rsidRDefault="00A57E96" w:rsidP="00B768D9">
            <w:pPr>
              <w:spacing w:after="0" w:line="240" w:lineRule="auto"/>
              <w:jc w:val="left"/>
              <w:rPr>
                <w:rFonts w:eastAsia="Times New Roman" w:cs="Times New Roman"/>
                <w:b/>
                <w:bCs/>
                <w:color w:val="000000"/>
                <w:sz w:val="18"/>
                <w:szCs w:val="18"/>
                <w:lang w:eastAsia="sk-SK"/>
              </w:rPr>
            </w:pPr>
            <w:r w:rsidRPr="00822E82">
              <w:rPr>
                <w:rFonts w:eastAsia="Times New Roman" w:cs="Times New Roman"/>
                <w:b/>
                <w:bCs/>
                <w:color w:val="000000"/>
                <w:sz w:val="18"/>
                <w:szCs w:val="18"/>
                <w:lang w:eastAsia="sk-SK"/>
              </w:rPr>
              <w:t xml:space="preserve"> v tis. eur</w:t>
            </w:r>
          </w:p>
        </w:tc>
        <w:tc>
          <w:tcPr>
            <w:tcW w:w="880" w:type="dxa"/>
            <w:tcBorders>
              <w:top w:val="nil"/>
              <w:left w:val="nil"/>
              <w:bottom w:val="nil"/>
              <w:right w:val="nil"/>
            </w:tcBorders>
            <w:shd w:val="clear" w:color="auto" w:fill="auto"/>
            <w:vAlign w:val="center"/>
            <w:hideMark/>
          </w:tcPr>
          <w:p w14:paraId="4B2852B2" w14:textId="77777777" w:rsidR="00A57E96" w:rsidRPr="00822E82" w:rsidRDefault="00A57E96" w:rsidP="00B768D9">
            <w:pPr>
              <w:spacing w:after="0" w:line="240" w:lineRule="auto"/>
              <w:jc w:val="center"/>
              <w:rPr>
                <w:rFonts w:eastAsia="Times New Roman" w:cs="Times New Roman"/>
                <w:b/>
                <w:bCs/>
                <w:color w:val="000000"/>
                <w:sz w:val="18"/>
                <w:szCs w:val="18"/>
                <w:lang w:eastAsia="sk-SK"/>
              </w:rPr>
            </w:pPr>
            <w:r w:rsidRPr="00822E82">
              <w:rPr>
                <w:rFonts w:eastAsia="Times New Roman" w:cs="Times New Roman"/>
                <w:b/>
                <w:bCs/>
                <w:color w:val="000000"/>
                <w:sz w:val="18"/>
                <w:szCs w:val="18"/>
                <w:lang w:eastAsia="sk-SK"/>
              </w:rPr>
              <w:t>2021 S</w:t>
            </w:r>
          </w:p>
        </w:tc>
        <w:tc>
          <w:tcPr>
            <w:tcW w:w="880" w:type="dxa"/>
            <w:tcBorders>
              <w:top w:val="nil"/>
              <w:left w:val="nil"/>
              <w:bottom w:val="nil"/>
              <w:right w:val="nil"/>
            </w:tcBorders>
            <w:shd w:val="clear" w:color="auto" w:fill="auto"/>
            <w:vAlign w:val="center"/>
            <w:hideMark/>
          </w:tcPr>
          <w:p w14:paraId="64F9487C" w14:textId="77777777" w:rsidR="00A57E96" w:rsidRPr="00822E82" w:rsidRDefault="00A57E96" w:rsidP="00B768D9">
            <w:pPr>
              <w:spacing w:after="0" w:line="240" w:lineRule="auto"/>
              <w:jc w:val="center"/>
              <w:rPr>
                <w:rFonts w:eastAsia="Times New Roman" w:cs="Times New Roman"/>
                <w:b/>
                <w:bCs/>
                <w:color w:val="000000"/>
                <w:sz w:val="18"/>
                <w:szCs w:val="18"/>
                <w:lang w:eastAsia="sk-SK"/>
              </w:rPr>
            </w:pPr>
            <w:r w:rsidRPr="00822E82">
              <w:rPr>
                <w:rFonts w:eastAsia="Times New Roman" w:cs="Times New Roman"/>
                <w:b/>
                <w:bCs/>
                <w:color w:val="000000"/>
                <w:sz w:val="18"/>
                <w:szCs w:val="18"/>
                <w:lang w:eastAsia="sk-SK"/>
              </w:rPr>
              <w:t>2022 S</w:t>
            </w:r>
          </w:p>
        </w:tc>
        <w:tc>
          <w:tcPr>
            <w:tcW w:w="860" w:type="dxa"/>
            <w:tcBorders>
              <w:top w:val="nil"/>
              <w:left w:val="nil"/>
              <w:bottom w:val="nil"/>
              <w:right w:val="nil"/>
            </w:tcBorders>
            <w:shd w:val="clear" w:color="auto" w:fill="auto"/>
            <w:vAlign w:val="center"/>
            <w:hideMark/>
          </w:tcPr>
          <w:p w14:paraId="4A5EA45F" w14:textId="77777777" w:rsidR="00A57E96" w:rsidRPr="00822E82" w:rsidRDefault="00A57E96" w:rsidP="00B768D9">
            <w:pPr>
              <w:spacing w:after="0" w:line="240" w:lineRule="auto"/>
              <w:jc w:val="center"/>
              <w:rPr>
                <w:rFonts w:eastAsia="Times New Roman" w:cs="Times New Roman"/>
                <w:b/>
                <w:bCs/>
                <w:color w:val="000000"/>
                <w:sz w:val="18"/>
                <w:szCs w:val="18"/>
                <w:lang w:eastAsia="sk-SK"/>
              </w:rPr>
            </w:pPr>
            <w:r w:rsidRPr="00822E82">
              <w:rPr>
                <w:rFonts w:eastAsia="Times New Roman" w:cs="Times New Roman"/>
                <w:b/>
                <w:bCs/>
                <w:color w:val="000000"/>
                <w:sz w:val="18"/>
                <w:szCs w:val="18"/>
                <w:lang w:eastAsia="sk-SK"/>
              </w:rPr>
              <w:t>2023 R</w:t>
            </w:r>
          </w:p>
        </w:tc>
        <w:tc>
          <w:tcPr>
            <w:tcW w:w="880" w:type="dxa"/>
            <w:tcBorders>
              <w:top w:val="nil"/>
              <w:left w:val="nil"/>
              <w:bottom w:val="nil"/>
              <w:right w:val="nil"/>
            </w:tcBorders>
            <w:shd w:val="clear" w:color="auto" w:fill="auto"/>
            <w:vAlign w:val="center"/>
            <w:hideMark/>
          </w:tcPr>
          <w:p w14:paraId="2BD4BCDC" w14:textId="77777777" w:rsidR="00A57E96" w:rsidRPr="00822E82" w:rsidRDefault="00A57E96" w:rsidP="00B768D9">
            <w:pPr>
              <w:spacing w:after="0" w:line="240" w:lineRule="auto"/>
              <w:jc w:val="center"/>
              <w:rPr>
                <w:rFonts w:eastAsia="Times New Roman" w:cs="Times New Roman"/>
                <w:b/>
                <w:bCs/>
                <w:color w:val="000000"/>
                <w:sz w:val="18"/>
                <w:szCs w:val="18"/>
                <w:lang w:eastAsia="sk-SK"/>
              </w:rPr>
            </w:pPr>
            <w:r w:rsidRPr="00822E82">
              <w:rPr>
                <w:rFonts w:eastAsia="Times New Roman" w:cs="Times New Roman"/>
                <w:b/>
                <w:bCs/>
                <w:color w:val="000000"/>
                <w:sz w:val="18"/>
                <w:szCs w:val="18"/>
                <w:lang w:eastAsia="sk-SK"/>
              </w:rPr>
              <w:t>2023 S</w:t>
            </w:r>
          </w:p>
        </w:tc>
        <w:tc>
          <w:tcPr>
            <w:tcW w:w="820" w:type="dxa"/>
            <w:tcBorders>
              <w:top w:val="nil"/>
              <w:left w:val="nil"/>
              <w:bottom w:val="nil"/>
              <w:right w:val="nil"/>
            </w:tcBorders>
            <w:shd w:val="clear" w:color="auto" w:fill="auto"/>
            <w:vAlign w:val="center"/>
            <w:hideMark/>
          </w:tcPr>
          <w:p w14:paraId="1B5E106D" w14:textId="77777777" w:rsidR="00A57E96" w:rsidRPr="00822E82" w:rsidRDefault="00A57E96" w:rsidP="00B768D9">
            <w:pPr>
              <w:spacing w:after="0" w:line="240" w:lineRule="auto"/>
              <w:jc w:val="center"/>
              <w:rPr>
                <w:rFonts w:eastAsia="Times New Roman" w:cs="Times New Roman"/>
                <w:b/>
                <w:bCs/>
                <w:color w:val="000000"/>
                <w:sz w:val="18"/>
                <w:szCs w:val="18"/>
                <w:lang w:eastAsia="sk-SK"/>
              </w:rPr>
            </w:pPr>
            <w:r w:rsidRPr="00822E82">
              <w:rPr>
                <w:rFonts w:eastAsia="Times New Roman" w:cs="Times New Roman"/>
                <w:b/>
                <w:bCs/>
                <w:color w:val="000000"/>
                <w:sz w:val="18"/>
                <w:szCs w:val="18"/>
                <w:lang w:eastAsia="sk-SK"/>
              </w:rPr>
              <w:t xml:space="preserve">Rozdiel </w:t>
            </w:r>
          </w:p>
        </w:tc>
        <w:tc>
          <w:tcPr>
            <w:tcW w:w="640" w:type="dxa"/>
            <w:tcBorders>
              <w:top w:val="nil"/>
              <w:left w:val="nil"/>
              <w:bottom w:val="nil"/>
              <w:right w:val="nil"/>
            </w:tcBorders>
            <w:shd w:val="clear" w:color="auto" w:fill="auto"/>
            <w:vAlign w:val="center"/>
            <w:hideMark/>
          </w:tcPr>
          <w:p w14:paraId="02A8EA89" w14:textId="77777777" w:rsidR="00A57E96" w:rsidRPr="00822E82" w:rsidRDefault="00A57E96" w:rsidP="00B768D9">
            <w:pPr>
              <w:spacing w:after="0" w:line="240" w:lineRule="auto"/>
              <w:jc w:val="center"/>
              <w:rPr>
                <w:rFonts w:eastAsia="Times New Roman" w:cs="Times New Roman"/>
                <w:b/>
                <w:bCs/>
                <w:color w:val="000000"/>
                <w:sz w:val="18"/>
                <w:szCs w:val="18"/>
                <w:lang w:eastAsia="sk-SK"/>
              </w:rPr>
            </w:pPr>
            <w:r w:rsidRPr="00822E82">
              <w:rPr>
                <w:rFonts w:eastAsia="Times New Roman" w:cs="Times New Roman"/>
                <w:b/>
                <w:bCs/>
                <w:color w:val="000000"/>
                <w:sz w:val="18"/>
                <w:szCs w:val="18"/>
                <w:lang w:eastAsia="sk-SK"/>
              </w:rPr>
              <w:t>v %</w:t>
            </w:r>
          </w:p>
        </w:tc>
      </w:tr>
      <w:tr w:rsidR="00A57E96" w:rsidRPr="00822E82" w14:paraId="55742524" w14:textId="77777777" w:rsidTr="00B768D9">
        <w:trPr>
          <w:trHeight w:val="345"/>
        </w:trPr>
        <w:tc>
          <w:tcPr>
            <w:tcW w:w="4480" w:type="dxa"/>
            <w:tcBorders>
              <w:top w:val="nil"/>
              <w:left w:val="nil"/>
              <w:bottom w:val="single" w:sz="8" w:space="0" w:color="auto"/>
              <w:right w:val="nil"/>
            </w:tcBorders>
            <w:shd w:val="clear" w:color="auto" w:fill="auto"/>
            <w:vAlign w:val="center"/>
            <w:hideMark/>
          </w:tcPr>
          <w:p w14:paraId="46ED6452" w14:textId="77777777" w:rsidR="00A57E96" w:rsidRPr="00822E82" w:rsidRDefault="00A57E96" w:rsidP="00B768D9">
            <w:pPr>
              <w:spacing w:after="0" w:line="240" w:lineRule="auto"/>
              <w:jc w:val="left"/>
              <w:rPr>
                <w:rFonts w:eastAsia="Times New Roman" w:cs="Times New Roman"/>
                <w:b/>
                <w:bCs/>
                <w:color w:val="FFFFFF"/>
                <w:sz w:val="18"/>
                <w:szCs w:val="18"/>
                <w:lang w:eastAsia="sk-SK"/>
              </w:rPr>
            </w:pPr>
            <w:r w:rsidRPr="00822E82">
              <w:rPr>
                <w:rFonts w:eastAsia="Times New Roman" w:cs="Times New Roman"/>
                <w:b/>
                <w:bCs/>
                <w:color w:val="FFFFFF"/>
                <w:sz w:val="18"/>
                <w:szCs w:val="18"/>
                <w:lang w:eastAsia="sk-SK"/>
              </w:rPr>
              <w:t> </w:t>
            </w:r>
          </w:p>
        </w:tc>
        <w:tc>
          <w:tcPr>
            <w:tcW w:w="880" w:type="dxa"/>
            <w:tcBorders>
              <w:top w:val="nil"/>
              <w:left w:val="nil"/>
              <w:bottom w:val="single" w:sz="8" w:space="0" w:color="auto"/>
              <w:right w:val="nil"/>
            </w:tcBorders>
            <w:shd w:val="clear" w:color="auto" w:fill="auto"/>
            <w:vAlign w:val="center"/>
            <w:hideMark/>
          </w:tcPr>
          <w:p w14:paraId="1C2E6739" w14:textId="77777777" w:rsidR="00A57E96" w:rsidRPr="00822E82" w:rsidRDefault="00A57E96" w:rsidP="00B768D9">
            <w:pPr>
              <w:spacing w:after="0" w:line="240" w:lineRule="auto"/>
              <w:jc w:val="center"/>
              <w:rPr>
                <w:rFonts w:eastAsia="Times New Roman" w:cs="Times New Roman"/>
                <w:b/>
                <w:bCs/>
                <w:sz w:val="18"/>
                <w:szCs w:val="18"/>
                <w:lang w:eastAsia="sk-SK"/>
              </w:rPr>
            </w:pPr>
            <w:r w:rsidRPr="00822E82">
              <w:rPr>
                <w:rFonts w:eastAsia="Times New Roman" w:cs="Times New Roman"/>
                <w:b/>
                <w:bCs/>
                <w:sz w:val="18"/>
                <w:szCs w:val="18"/>
                <w:lang w:eastAsia="sk-SK"/>
              </w:rPr>
              <w:t>1</w:t>
            </w:r>
          </w:p>
        </w:tc>
        <w:tc>
          <w:tcPr>
            <w:tcW w:w="880" w:type="dxa"/>
            <w:tcBorders>
              <w:top w:val="nil"/>
              <w:left w:val="nil"/>
              <w:bottom w:val="single" w:sz="8" w:space="0" w:color="auto"/>
              <w:right w:val="nil"/>
            </w:tcBorders>
            <w:shd w:val="clear" w:color="auto" w:fill="auto"/>
            <w:vAlign w:val="center"/>
            <w:hideMark/>
          </w:tcPr>
          <w:p w14:paraId="3B3AA97C" w14:textId="77777777" w:rsidR="00A57E96" w:rsidRPr="00822E82" w:rsidRDefault="00A57E96" w:rsidP="00B768D9">
            <w:pPr>
              <w:spacing w:after="0" w:line="240" w:lineRule="auto"/>
              <w:jc w:val="center"/>
              <w:rPr>
                <w:rFonts w:eastAsia="Times New Roman" w:cs="Times New Roman"/>
                <w:b/>
                <w:bCs/>
                <w:sz w:val="18"/>
                <w:szCs w:val="18"/>
                <w:lang w:eastAsia="sk-SK"/>
              </w:rPr>
            </w:pPr>
            <w:r w:rsidRPr="00822E82">
              <w:rPr>
                <w:rFonts w:eastAsia="Times New Roman" w:cs="Times New Roman"/>
                <w:b/>
                <w:bCs/>
                <w:sz w:val="18"/>
                <w:szCs w:val="18"/>
                <w:lang w:eastAsia="sk-SK"/>
              </w:rPr>
              <w:t>2</w:t>
            </w:r>
          </w:p>
        </w:tc>
        <w:tc>
          <w:tcPr>
            <w:tcW w:w="860" w:type="dxa"/>
            <w:tcBorders>
              <w:top w:val="nil"/>
              <w:left w:val="nil"/>
              <w:bottom w:val="single" w:sz="8" w:space="0" w:color="auto"/>
              <w:right w:val="nil"/>
            </w:tcBorders>
            <w:shd w:val="clear" w:color="auto" w:fill="auto"/>
            <w:vAlign w:val="center"/>
            <w:hideMark/>
          </w:tcPr>
          <w:p w14:paraId="5484C13A" w14:textId="77777777" w:rsidR="00A57E96" w:rsidRPr="00822E82" w:rsidRDefault="00A57E96" w:rsidP="00B768D9">
            <w:pPr>
              <w:spacing w:after="0" w:line="240" w:lineRule="auto"/>
              <w:jc w:val="center"/>
              <w:rPr>
                <w:rFonts w:eastAsia="Times New Roman" w:cs="Times New Roman"/>
                <w:b/>
                <w:bCs/>
                <w:sz w:val="18"/>
                <w:szCs w:val="18"/>
                <w:lang w:eastAsia="sk-SK"/>
              </w:rPr>
            </w:pPr>
            <w:r w:rsidRPr="00822E82">
              <w:rPr>
                <w:rFonts w:eastAsia="Times New Roman" w:cs="Times New Roman"/>
                <w:b/>
                <w:bCs/>
                <w:sz w:val="18"/>
                <w:szCs w:val="18"/>
                <w:lang w:eastAsia="sk-SK"/>
              </w:rPr>
              <w:t>3</w:t>
            </w:r>
          </w:p>
        </w:tc>
        <w:tc>
          <w:tcPr>
            <w:tcW w:w="880" w:type="dxa"/>
            <w:tcBorders>
              <w:top w:val="nil"/>
              <w:left w:val="nil"/>
              <w:bottom w:val="single" w:sz="8" w:space="0" w:color="auto"/>
              <w:right w:val="nil"/>
            </w:tcBorders>
            <w:shd w:val="clear" w:color="auto" w:fill="auto"/>
            <w:vAlign w:val="center"/>
            <w:hideMark/>
          </w:tcPr>
          <w:p w14:paraId="03F5BD58" w14:textId="77777777" w:rsidR="00A57E96" w:rsidRPr="00822E82" w:rsidRDefault="00A57E96" w:rsidP="00B768D9">
            <w:pPr>
              <w:spacing w:after="0" w:line="240" w:lineRule="auto"/>
              <w:jc w:val="center"/>
              <w:rPr>
                <w:rFonts w:eastAsia="Times New Roman" w:cs="Times New Roman"/>
                <w:b/>
                <w:bCs/>
                <w:sz w:val="18"/>
                <w:szCs w:val="18"/>
                <w:lang w:eastAsia="sk-SK"/>
              </w:rPr>
            </w:pPr>
            <w:r w:rsidRPr="00822E82">
              <w:rPr>
                <w:rFonts w:eastAsia="Times New Roman" w:cs="Times New Roman"/>
                <w:b/>
                <w:bCs/>
                <w:sz w:val="18"/>
                <w:szCs w:val="18"/>
                <w:lang w:eastAsia="sk-SK"/>
              </w:rPr>
              <w:t>4</w:t>
            </w:r>
          </w:p>
        </w:tc>
        <w:tc>
          <w:tcPr>
            <w:tcW w:w="820" w:type="dxa"/>
            <w:tcBorders>
              <w:top w:val="nil"/>
              <w:left w:val="nil"/>
              <w:bottom w:val="single" w:sz="8" w:space="0" w:color="auto"/>
              <w:right w:val="nil"/>
            </w:tcBorders>
            <w:shd w:val="clear" w:color="auto" w:fill="auto"/>
            <w:vAlign w:val="center"/>
            <w:hideMark/>
          </w:tcPr>
          <w:p w14:paraId="056D8255" w14:textId="77777777" w:rsidR="00A57E96" w:rsidRPr="00822E82" w:rsidRDefault="00A57E96" w:rsidP="00B768D9">
            <w:pPr>
              <w:spacing w:after="0" w:line="240" w:lineRule="auto"/>
              <w:jc w:val="center"/>
              <w:rPr>
                <w:rFonts w:eastAsia="Times New Roman" w:cs="Times New Roman"/>
                <w:b/>
                <w:bCs/>
                <w:sz w:val="18"/>
                <w:szCs w:val="18"/>
                <w:lang w:eastAsia="sk-SK"/>
              </w:rPr>
            </w:pPr>
            <w:r w:rsidRPr="00822E82">
              <w:rPr>
                <w:rFonts w:eastAsia="Times New Roman" w:cs="Times New Roman"/>
                <w:b/>
                <w:bCs/>
                <w:sz w:val="18"/>
                <w:szCs w:val="18"/>
                <w:lang w:eastAsia="sk-SK"/>
              </w:rPr>
              <w:t>5=4-3</w:t>
            </w:r>
          </w:p>
        </w:tc>
        <w:tc>
          <w:tcPr>
            <w:tcW w:w="640" w:type="dxa"/>
            <w:tcBorders>
              <w:top w:val="nil"/>
              <w:left w:val="nil"/>
              <w:bottom w:val="single" w:sz="8" w:space="0" w:color="auto"/>
              <w:right w:val="nil"/>
            </w:tcBorders>
            <w:shd w:val="clear" w:color="auto" w:fill="auto"/>
            <w:vAlign w:val="center"/>
            <w:hideMark/>
          </w:tcPr>
          <w:p w14:paraId="552DB48B" w14:textId="77777777" w:rsidR="00A57E96" w:rsidRPr="00822E82" w:rsidRDefault="00A57E96" w:rsidP="00B768D9">
            <w:pPr>
              <w:spacing w:after="0" w:line="240" w:lineRule="auto"/>
              <w:jc w:val="center"/>
              <w:rPr>
                <w:rFonts w:eastAsia="Times New Roman" w:cs="Times New Roman"/>
                <w:b/>
                <w:bCs/>
                <w:sz w:val="18"/>
                <w:szCs w:val="18"/>
                <w:lang w:eastAsia="sk-SK"/>
              </w:rPr>
            </w:pPr>
            <w:r w:rsidRPr="00822E82">
              <w:rPr>
                <w:rFonts w:eastAsia="Times New Roman" w:cs="Times New Roman"/>
                <w:b/>
                <w:bCs/>
                <w:sz w:val="18"/>
                <w:szCs w:val="18"/>
                <w:lang w:eastAsia="sk-SK"/>
              </w:rPr>
              <w:t>6=4-3</w:t>
            </w:r>
          </w:p>
        </w:tc>
      </w:tr>
      <w:tr w:rsidR="00A57E96" w:rsidRPr="00822E82" w14:paraId="487E2BC4" w14:textId="77777777" w:rsidTr="00B768D9">
        <w:trPr>
          <w:trHeight w:val="330"/>
        </w:trPr>
        <w:tc>
          <w:tcPr>
            <w:tcW w:w="4480" w:type="dxa"/>
            <w:tcBorders>
              <w:top w:val="nil"/>
              <w:left w:val="nil"/>
              <w:bottom w:val="nil"/>
              <w:right w:val="nil"/>
            </w:tcBorders>
            <w:shd w:val="clear" w:color="000000" w:fill="FFFFFF"/>
            <w:noWrap/>
            <w:vAlign w:val="bottom"/>
            <w:hideMark/>
          </w:tcPr>
          <w:p w14:paraId="63C1BE74" w14:textId="77777777" w:rsidR="00A57E96" w:rsidRPr="00822E82" w:rsidRDefault="00A57E96" w:rsidP="00B768D9">
            <w:pPr>
              <w:spacing w:after="0" w:line="240" w:lineRule="auto"/>
              <w:jc w:val="left"/>
              <w:rPr>
                <w:rFonts w:eastAsia="Times New Roman" w:cs="Times New Roman"/>
                <w:color w:val="000000"/>
                <w:sz w:val="18"/>
                <w:szCs w:val="18"/>
                <w:lang w:eastAsia="sk-SK"/>
              </w:rPr>
            </w:pPr>
            <w:r w:rsidRPr="00822E82">
              <w:rPr>
                <w:rFonts w:eastAsia="Times New Roman" w:cs="Times New Roman"/>
                <w:color w:val="000000"/>
                <w:sz w:val="18"/>
                <w:szCs w:val="18"/>
                <w:lang w:eastAsia="sk-SK"/>
              </w:rPr>
              <w:t>Príjmy z podnikania a z vlastníctva majetku</w:t>
            </w:r>
          </w:p>
        </w:tc>
        <w:tc>
          <w:tcPr>
            <w:tcW w:w="880" w:type="dxa"/>
            <w:tcBorders>
              <w:top w:val="nil"/>
              <w:left w:val="nil"/>
              <w:bottom w:val="nil"/>
              <w:right w:val="nil"/>
            </w:tcBorders>
            <w:shd w:val="clear" w:color="auto" w:fill="auto"/>
            <w:noWrap/>
            <w:vAlign w:val="center"/>
            <w:hideMark/>
          </w:tcPr>
          <w:p w14:paraId="1AB442F5"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486 011</w:t>
            </w:r>
          </w:p>
        </w:tc>
        <w:tc>
          <w:tcPr>
            <w:tcW w:w="880" w:type="dxa"/>
            <w:tcBorders>
              <w:top w:val="nil"/>
              <w:left w:val="nil"/>
              <w:bottom w:val="nil"/>
              <w:right w:val="nil"/>
            </w:tcBorders>
            <w:shd w:val="clear" w:color="auto" w:fill="auto"/>
            <w:noWrap/>
            <w:vAlign w:val="center"/>
            <w:hideMark/>
          </w:tcPr>
          <w:p w14:paraId="10796A2D"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168 026</w:t>
            </w:r>
          </w:p>
        </w:tc>
        <w:tc>
          <w:tcPr>
            <w:tcW w:w="860" w:type="dxa"/>
            <w:tcBorders>
              <w:top w:val="nil"/>
              <w:left w:val="nil"/>
              <w:bottom w:val="nil"/>
              <w:right w:val="nil"/>
            </w:tcBorders>
            <w:shd w:val="clear" w:color="000000" w:fill="FFFFFF"/>
            <w:noWrap/>
            <w:vAlign w:val="center"/>
            <w:hideMark/>
          </w:tcPr>
          <w:p w14:paraId="1CEB0A87"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544 797</w:t>
            </w:r>
          </w:p>
        </w:tc>
        <w:tc>
          <w:tcPr>
            <w:tcW w:w="880" w:type="dxa"/>
            <w:tcBorders>
              <w:top w:val="nil"/>
              <w:left w:val="nil"/>
              <w:bottom w:val="nil"/>
              <w:right w:val="nil"/>
            </w:tcBorders>
            <w:shd w:val="clear" w:color="auto" w:fill="auto"/>
            <w:noWrap/>
            <w:vAlign w:val="center"/>
            <w:hideMark/>
          </w:tcPr>
          <w:p w14:paraId="7FFFB023"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600 308</w:t>
            </w:r>
          </w:p>
        </w:tc>
        <w:tc>
          <w:tcPr>
            <w:tcW w:w="820" w:type="dxa"/>
            <w:tcBorders>
              <w:top w:val="nil"/>
              <w:left w:val="nil"/>
              <w:bottom w:val="nil"/>
              <w:right w:val="nil"/>
            </w:tcBorders>
            <w:shd w:val="clear" w:color="000000" w:fill="FFFFFF"/>
            <w:vAlign w:val="center"/>
            <w:hideMark/>
          </w:tcPr>
          <w:p w14:paraId="0F15196B"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55 511</w:t>
            </w:r>
          </w:p>
        </w:tc>
        <w:tc>
          <w:tcPr>
            <w:tcW w:w="640" w:type="dxa"/>
            <w:tcBorders>
              <w:top w:val="nil"/>
              <w:left w:val="nil"/>
              <w:bottom w:val="nil"/>
              <w:right w:val="nil"/>
            </w:tcBorders>
            <w:shd w:val="clear" w:color="000000" w:fill="FFFFFF"/>
            <w:vAlign w:val="center"/>
            <w:hideMark/>
          </w:tcPr>
          <w:p w14:paraId="377CC429"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10,2</w:t>
            </w:r>
          </w:p>
        </w:tc>
      </w:tr>
      <w:tr w:rsidR="00A57E96" w:rsidRPr="00822E82" w14:paraId="114649C3" w14:textId="77777777" w:rsidTr="00B768D9">
        <w:trPr>
          <w:trHeight w:val="330"/>
        </w:trPr>
        <w:tc>
          <w:tcPr>
            <w:tcW w:w="4480" w:type="dxa"/>
            <w:tcBorders>
              <w:top w:val="nil"/>
              <w:left w:val="nil"/>
              <w:bottom w:val="nil"/>
              <w:right w:val="nil"/>
            </w:tcBorders>
            <w:shd w:val="clear" w:color="000000" w:fill="FFFFFF"/>
            <w:noWrap/>
            <w:vAlign w:val="bottom"/>
            <w:hideMark/>
          </w:tcPr>
          <w:p w14:paraId="2B61D3FF" w14:textId="77777777" w:rsidR="00A57E96" w:rsidRPr="00822E82" w:rsidRDefault="00A57E96" w:rsidP="00B768D9">
            <w:pPr>
              <w:spacing w:after="0" w:line="240" w:lineRule="auto"/>
              <w:jc w:val="left"/>
              <w:rPr>
                <w:rFonts w:eastAsia="Times New Roman" w:cs="Times New Roman"/>
                <w:color w:val="000000"/>
                <w:sz w:val="18"/>
                <w:szCs w:val="18"/>
                <w:lang w:eastAsia="sk-SK"/>
              </w:rPr>
            </w:pPr>
            <w:r w:rsidRPr="00822E82">
              <w:rPr>
                <w:rFonts w:eastAsia="Times New Roman" w:cs="Times New Roman"/>
                <w:color w:val="000000"/>
                <w:sz w:val="18"/>
                <w:szCs w:val="18"/>
                <w:lang w:eastAsia="sk-SK"/>
              </w:rPr>
              <w:t xml:space="preserve">   v tom: dividendy</w:t>
            </w:r>
          </w:p>
        </w:tc>
        <w:tc>
          <w:tcPr>
            <w:tcW w:w="880" w:type="dxa"/>
            <w:tcBorders>
              <w:top w:val="nil"/>
              <w:left w:val="nil"/>
              <w:bottom w:val="nil"/>
              <w:right w:val="nil"/>
            </w:tcBorders>
            <w:shd w:val="clear" w:color="auto" w:fill="auto"/>
            <w:noWrap/>
            <w:vAlign w:val="center"/>
            <w:hideMark/>
          </w:tcPr>
          <w:p w14:paraId="630EB6A6"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480 226</w:t>
            </w:r>
          </w:p>
        </w:tc>
        <w:tc>
          <w:tcPr>
            <w:tcW w:w="880" w:type="dxa"/>
            <w:tcBorders>
              <w:top w:val="nil"/>
              <w:left w:val="nil"/>
              <w:bottom w:val="nil"/>
              <w:right w:val="nil"/>
            </w:tcBorders>
            <w:shd w:val="clear" w:color="auto" w:fill="auto"/>
            <w:noWrap/>
            <w:vAlign w:val="center"/>
            <w:hideMark/>
          </w:tcPr>
          <w:p w14:paraId="4681F66A"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160 519</w:t>
            </w:r>
          </w:p>
        </w:tc>
        <w:tc>
          <w:tcPr>
            <w:tcW w:w="860" w:type="dxa"/>
            <w:tcBorders>
              <w:top w:val="nil"/>
              <w:left w:val="nil"/>
              <w:bottom w:val="nil"/>
              <w:right w:val="nil"/>
            </w:tcBorders>
            <w:shd w:val="clear" w:color="000000" w:fill="FFFFFF"/>
            <w:noWrap/>
            <w:vAlign w:val="center"/>
            <w:hideMark/>
          </w:tcPr>
          <w:p w14:paraId="02D720DF"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388 993</w:t>
            </w:r>
          </w:p>
        </w:tc>
        <w:tc>
          <w:tcPr>
            <w:tcW w:w="880" w:type="dxa"/>
            <w:tcBorders>
              <w:top w:val="nil"/>
              <w:left w:val="nil"/>
              <w:bottom w:val="nil"/>
              <w:right w:val="nil"/>
            </w:tcBorders>
            <w:shd w:val="clear" w:color="auto" w:fill="auto"/>
            <w:noWrap/>
            <w:vAlign w:val="center"/>
            <w:hideMark/>
          </w:tcPr>
          <w:p w14:paraId="1214AEC1"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442 362</w:t>
            </w:r>
          </w:p>
        </w:tc>
        <w:tc>
          <w:tcPr>
            <w:tcW w:w="820" w:type="dxa"/>
            <w:tcBorders>
              <w:top w:val="nil"/>
              <w:left w:val="nil"/>
              <w:bottom w:val="nil"/>
              <w:right w:val="nil"/>
            </w:tcBorders>
            <w:shd w:val="clear" w:color="000000" w:fill="FFFFFF"/>
            <w:vAlign w:val="center"/>
            <w:hideMark/>
          </w:tcPr>
          <w:p w14:paraId="3E80EE3E"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53 369</w:t>
            </w:r>
          </w:p>
        </w:tc>
        <w:tc>
          <w:tcPr>
            <w:tcW w:w="640" w:type="dxa"/>
            <w:tcBorders>
              <w:top w:val="nil"/>
              <w:left w:val="nil"/>
              <w:bottom w:val="nil"/>
              <w:right w:val="nil"/>
            </w:tcBorders>
            <w:shd w:val="clear" w:color="000000" w:fill="FFFFFF"/>
            <w:vAlign w:val="center"/>
            <w:hideMark/>
          </w:tcPr>
          <w:p w14:paraId="73409FFB"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13,7</w:t>
            </w:r>
          </w:p>
        </w:tc>
      </w:tr>
      <w:tr w:rsidR="00A57E96" w:rsidRPr="00822E82" w14:paraId="398480AA" w14:textId="77777777" w:rsidTr="00B768D9">
        <w:trPr>
          <w:trHeight w:val="330"/>
        </w:trPr>
        <w:tc>
          <w:tcPr>
            <w:tcW w:w="4480" w:type="dxa"/>
            <w:tcBorders>
              <w:top w:val="nil"/>
              <w:left w:val="nil"/>
              <w:bottom w:val="nil"/>
              <w:right w:val="nil"/>
            </w:tcBorders>
            <w:shd w:val="clear" w:color="000000" w:fill="FFFFFF"/>
            <w:noWrap/>
            <w:vAlign w:val="bottom"/>
            <w:hideMark/>
          </w:tcPr>
          <w:p w14:paraId="50886EC4" w14:textId="160E2BEE" w:rsidR="00A57E96" w:rsidRPr="00822E82" w:rsidRDefault="00A57E96" w:rsidP="00C65CD4">
            <w:pPr>
              <w:spacing w:after="0" w:line="240" w:lineRule="auto"/>
              <w:jc w:val="left"/>
              <w:rPr>
                <w:rFonts w:eastAsia="Times New Roman" w:cs="Times New Roman"/>
                <w:color w:val="000000"/>
                <w:sz w:val="18"/>
                <w:szCs w:val="18"/>
                <w:lang w:eastAsia="sk-SK"/>
              </w:rPr>
            </w:pPr>
            <w:r w:rsidRPr="00822E82">
              <w:rPr>
                <w:rFonts w:eastAsia="Times New Roman" w:cs="Times New Roman"/>
                <w:color w:val="000000"/>
                <w:sz w:val="18"/>
                <w:szCs w:val="18"/>
                <w:lang w:eastAsia="sk-SK"/>
              </w:rPr>
              <w:t>Administrat</w:t>
            </w:r>
            <w:r w:rsidR="00C65CD4">
              <w:rPr>
                <w:rFonts w:eastAsia="Times New Roman" w:cs="Times New Roman"/>
                <w:color w:val="000000"/>
                <w:sz w:val="18"/>
                <w:szCs w:val="18"/>
                <w:lang w:eastAsia="sk-SK"/>
              </w:rPr>
              <w:t>ívne</w:t>
            </w:r>
            <w:r w:rsidRPr="00822E82">
              <w:rPr>
                <w:rFonts w:eastAsia="Times New Roman" w:cs="Times New Roman"/>
                <w:color w:val="000000"/>
                <w:sz w:val="18"/>
                <w:szCs w:val="18"/>
                <w:lang w:eastAsia="sk-SK"/>
              </w:rPr>
              <w:t xml:space="preserve"> poplatky a iné poplatky a platby</w:t>
            </w:r>
          </w:p>
        </w:tc>
        <w:tc>
          <w:tcPr>
            <w:tcW w:w="880" w:type="dxa"/>
            <w:tcBorders>
              <w:top w:val="nil"/>
              <w:left w:val="nil"/>
              <w:bottom w:val="nil"/>
              <w:right w:val="nil"/>
            </w:tcBorders>
            <w:shd w:val="clear" w:color="auto" w:fill="auto"/>
            <w:noWrap/>
            <w:vAlign w:val="center"/>
            <w:hideMark/>
          </w:tcPr>
          <w:p w14:paraId="1D0E467F"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354 593</w:t>
            </w:r>
          </w:p>
        </w:tc>
        <w:tc>
          <w:tcPr>
            <w:tcW w:w="880" w:type="dxa"/>
            <w:tcBorders>
              <w:top w:val="nil"/>
              <w:left w:val="nil"/>
              <w:bottom w:val="nil"/>
              <w:right w:val="nil"/>
            </w:tcBorders>
            <w:shd w:val="clear" w:color="auto" w:fill="auto"/>
            <w:noWrap/>
            <w:vAlign w:val="center"/>
            <w:hideMark/>
          </w:tcPr>
          <w:p w14:paraId="47B34230"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400 937</w:t>
            </w:r>
          </w:p>
        </w:tc>
        <w:tc>
          <w:tcPr>
            <w:tcW w:w="860" w:type="dxa"/>
            <w:tcBorders>
              <w:top w:val="nil"/>
              <w:left w:val="nil"/>
              <w:bottom w:val="nil"/>
              <w:right w:val="nil"/>
            </w:tcBorders>
            <w:shd w:val="clear" w:color="000000" w:fill="FFFFFF"/>
            <w:noWrap/>
            <w:vAlign w:val="center"/>
            <w:hideMark/>
          </w:tcPr>
          <w:p w14:paraId="42FF134A"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354 134</w:t>
            </w:r>
          </w:p>
        </w:tc>
        <w:tc>
          <w:tcPr>
            <w:tcW w:w="880" w:type="dxa"/>
            <w:tcBorders>
              <w:top w:val="nil"/>
              <w:left w:val="nil"/>
              <w:bottom w:val="nil"/>
              <w:right w:val="nil"/>
            </w:tcBorders>
            <w:shd w:val="clear" w:color="auto" w:fill="auto"/>
            <w:noWrap/>
            <w:vAlign w:val="center"/>
            <w:hideMark/>
          </w:tcPr>
          <w:p w14:paraId="4E93CE48"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366 045</w:t>
            </w:r>
          </w:p>
        </w:tc>
        <w:tc>
          <w:tcPr>
            <w:tcW w:w="820" w:type="dxa"/>
            <w:tcBorders>
              <w:top w:val="nil"/>
              <w:left w:val="nil"/>
              <w:bottom w:val="nil"/>
              <w:right w:val="nil"/>
            </w:tcBorders>
            <w:shd w:val="clear" w:color="000000" w:fill="FFFFFF"/>
            <w:vAlign w:val="center"/>
            <w:hideMark/>
          </w:tcPr>
          <w:p w14:paraId="175D762D"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11 911</w:t>
            </w:r>
          </w:p>
        </w:tc>
        <w:tc>
          <w:tcPr>
            <w:tcW w:w="640" w:type="dxa"/>
            <w:tcBorders>
              <w:top w:val="nil"/>
              <w:left w:val="nil"/>
              <w:bottom w:val="nil"/>
              <w:right w:val="nil"/>
            </w:tcBorders>
            <w:shd w:val="clear" w:color="000000" w:fill="FFFFFF"/>
            <w:vAlign w:val="center"/>
            <w:hideMark/>
          </w:tcPr>
          <w:p w14:paraId="778B63E7"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3,4</w:t>
            </w:r>
          </w:p>
        </w:tc>
      </w:tr>
      <w:tr w:rsidR="00A57E96" w:rsidRPr="00822E82" w14:paraId="1A5A6A01" w14:textId="77777777" w:rsidTr="00B768D9">
        <w:trPr>
          <w:trHeight w:val="330"/>
        </w:trPr>
        <w:tc>
          <w:tcPr>
            <w:tcW w:w="4480" w:type="dxa"/>
            <w:tcBorders>
              <w:top w:val="nil"/>
              <w:left w:val="nil"/>
              <w:bottom w:val="nil"/>
              <w:right w:val="nil"/>
            </w:tcBorders>
            <w:shd w:val="clear" w:color="000000" w:fill="FFFFFF"/>
            <w:noWrap/>
            <w:vAlign w:val="bottom"/>
            <w:hideMark/>
          </w:tcPr>
          <w:p w14:paraId="2B48DB64" w14:textId="77777777" w:rsidR="00A57E96" w:rsidRPr="00822E82" w:rsidRDefault="00A57E96" w:rsidP="00B768D9">
            <w:pPr>
              <w:spacing w:after="0" w:line="240" w:lineRule="auto"/>
              <w:jc w:val="left"/>
              <w:rPr>
                <w:rFonts w:eastAsia="Times New Roman" w:cs="Times New Roman"/>
                <w:color w:val="000000"/>
                <w:sz w:val="18"/>
                <w:szCs w:val="18"/>
                <w:lang w:eastAsia="sk-SK"/>
              </w:rPr>
            </w:pPr>
            <w:r w:rsidRPr="00822E82">
              <w:rPr>
                <w:rFonts w:eastAsia="Times New Roman" w:cs="Times New Roman"/>
                <w:color w:val="000000"/>
                <w:sz w:val="18"/>
                <w:szCs w:val="18"/>
                <w:lang w:eastAsia="sk-SK"/>
              </w:rPr>
              <w:t xml:space="preserve">   v tom: ostatné poplatky</w:t>
            </w:r>
          </w:p>
        </w:tc>
        <w:tc>
          <w:tcPr>
            <w:tcW w:w="880" w:type="dxa"/>
            <w:tcBorders>
              <w:top w:val="nil"/>
              <w:left w:val="nil"/>
              <w:bottom w:val="nil"/>
              <w:right w:val="nil"/>
            </w:tcBorders>
            <w:shd w:val="clear" w:color="auto" w:fill="auto"/>
            <w:noWrap/>
            <w:vAlign w:val="center"/>
            <w:hideMark/>
          </w:tcPr>
          <w:p w14:paraId="251558CE"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188 592</w:t>
            </w:r>
          </w:p>
        </w:tc>
        <w:tc>
          <w:tcPr>
            <w:tcW w:w="880" w:type="dxa"/>
            <w:tcBorders>
              <w:top w:val="nil"/>
              <w:left w:val="nil"/>
              <w:bottom w:val="nil"/>
              <w:right w:val="nil"/>
            </w:tcBorders>
            <w:shd w:val="clear" w:color="auto" w:fill="auto"/>
            <w:noWrap/>
            <w:vAlign w:val="center"/>
            <w:hideMark/>
          </w:tcPr>
          <w:p w14:paraId="3EFCA9A2"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206 689</w:t>
            </w:r>
          </w:p>
        </w:tc>
        <w:tc>
          <w:tcPr>
            <w:tcW w:w="860" w:type="dxa"/>
            <w:tcBorders>
              <w:top w:val="nil"/>
              <w:left w:val="nil"/>
              <w:bottom w:val="nil"/>
              <w:right w:val="nil"/>
            </w:tcBorders>
            <w:shd w:val="clear" w:color="000000" w:fill="FFFFFF"/>
            <w:noWrap/>
            <w:vAlign w:val="center"/>
            <w:hideMark/>
          </w:tcPr>
          <w:p w14:paraId="7E047AAC"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202 401</w:t>
            </w:r>
          </w:p>
        </w:tc>
        <w:tc>
          <w:tcPr>
            <w:tcW w:w="880" w:type="dxa"/>
            <w:tcBorders>
              <w:top w:val="nil"/>
              <w:left w:val="nil"/>
              <w:bottom w:val="nil"/>
              <w:right w:val="nil"/>
            </w:tcBorders>
            <w:shd w:val="clear" w:color="auto" w:fill="auto"/>
            <w:noWrap/>
            <w:vAlign w:val="center"/>
            <w:hideMark/>
          </w:tcPr>
          <w:p w14:paraId="0CE31BFD"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192 415</w:t>
            </w:r>
          </w:p>
        </w:tc>
        <w:tc>
          <w:tcPr>
            <w:tcW w:w="820" w:type="dxa"/>
            <w:tcBorders>
              <w:top w:val="nil"/>
              <w:left w:val="nil"/>
              <w:bottom w:val="nil"/>
              <w:right w:val="nil"/>
            </w:tcBorders>
            <w:shd w:val="clear" w:color="000000" w:fill="FFFFFF"/>
            <w:vAlign w:val="center"/>
            <w:hideMark/>
          </w:tcPr>
          <w:p w14:paraId="7FB563FE"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-9 986</w:t>
            </w:r>
          </w:p>
        </w:tc>
        <w:tc>
          <w:tcPr>
            <w:tcW w:w="640" w:type="dxa"/>
            <w:tcBorders>
              <w:top w:val="nil"/>
              <w:left w:val="nil"/>
              <w:bottom w:val="nil"/>
              <w:right w:val="nil"/>
            </w:tcBorders>
            <w:shd w:val="clear" w:color="000000" w:fill="FFFFFF"/>
            <w:vAlign w:val="center"/>
            <w:hideMark/>
          </w:tcPr>
          <w:p w14:paraId="6CC9F21E"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-4,9</w:t>
            </w:r>
          </w:p>
        </w:tc>
      </w:tr>
      <w:tr w:rsidR="00A57E96" w:rsidRPr="00822E82" w14:paraId="574FAA2A" w14:textId="77777777" w:rsidTr="00B768D9">
        <w:trPr>
          <w:trHeight w:val="330"/>
        </w:trPr>
        <w:tc>
          <w:tcPr>
            <w:tcW w:w="4480" w:type="dxa"/>
            <w:tcBorders>
              <w:top w:val="nil"/>
              <w:left w:val="nil"/>
              <w:bottom w:val="nil"/>
              <w:right w:val="nil"/>
            </w:tcBorders>
            <w:shd w:val="clear" w:color="000000" w:fill="FFFFFF"/>
            <w:noWrap/>
            <w:vAlign w:val="bottom"/>
            <w:hideMark/>
          </w:tcPr>
          <w:p w14:paraId="19A15AA5" w14:textId="77777777" w:rsidR="00A57E96" w:rsidRPr="00822E82" w:rsidRDefault="00A57E96" w:rsidP="00B768D9">
            <w:pPr>
              <w:spacing w:after="0" w:line="240" w:lineRule="auto"/>
              <w:jc w:val="left"/>
              <w:rPr>
                <w:rFonts w:eastAsia="Times New Roman" w:cs="Times New Roman"/>
                <w:color w:val="000000"/>
                <w:sz w:val="18"/>
                <w:szCs w:val="18"/>
                <w:lang w:eastAsia="sk-SK"/>
              </w:rPr>
            </w:pPr>
            <w:r w:rsidRPr="00822E82">
              <w:rPr>
                <w:rFonts w:eastAsia="Times New Roman" w:cs="Times New Roman"/>
                <w:color w:val="000000"/>
                <w:sz w:val="18"/>
                <w:szCs w:val="18"/>
                <w:lang w:eastAsia="sk-SK"/>
              </w:rPr>
              <w:t xml:space="preserve">               pokuty, penále a iné sankcie </w:t>
            </w:r>
          </w:p>
        </w:tc>
        <w:tc>
          <w:tcPr>
            <w:tcW w:w="880" w:type="dxa"/>
            <w:tcBorders>
              <w:top w:val="nil"/>
              <w:left w:val="nil"/>
              <w:bottom w:val="nil"/>
              <w:right w:val="nil"/>
            </w:tcBorders>
            <w:shd w:val="clear" w:color="auto" w:fill="auto"/>
            <w:noWrap/>
            <w:vAlign w:val="center"/>
            <w:hideMark/>
          </w:tcPr>
          <w:p w14:paraId="5E1F1AD8"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56 444</w:t>
            </w:r>
          </w:p>
        </w:tc>
        <w:tc>
          <w:tcPr>
            <w:tcW w:w="880" w:type="dxa"/>
            <w:tcBorders>
              <w:top w:val="nil"/>
              <w:left w:val="nil"/>
              <w:bottom w:val="nil"/>
              <w:right w:val="nil"/>
            </w:tcBorders>
            <w:shd w:val="clear" w:color="auto" w:fill="auto"/>
            <w:noWrap/>
            <w:vAlign w:val="center"/>
            <w:hideMark/>
          </w:tcPr>
          <w:p w14:paraId="6A55C56E"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68 713</w:t>
            </w:r>
          </w:p>
        </w:tc>
        <w:tc>
          <w:tcPr>
            <w:tcW w:w="860" w:type="dxa"/>
            <w:tcBorders>
              <w:top w:val="nil"/>
              <w:left w:val="nil"/>
              <w:bottom w:val="nil"/>
              <w:right w:val="nil"/>
            </w:tcBorders>
            <w:shd w:val="clear" w:color="000000" w:fill="FFFFFF"/>
            <w:noWrap/>
            <w:vAlign w:val="center"/>
            <w:hideMark/>
          </w:tcPr>
          <w:p w14:paraId="7783FB8D"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57 981</w:t>
            </w:r>
          </w:p>
        </w:tc>
        <w:tc>
          <w:tcPr>
            <w:tcW w:w="880" w:type="dxa"/>
            <w:tcBorders>
              <w:top w:val="nil"/>
              <w:left w:val="nil"/>
              <w:bottom w:val="nil"/>
              <w:right w:val="nil"/>
            </w:tcBorders>
            <w:shd w:val="clear" w:color="auto" w:fill="auto"/>
            <w:noWrap/>
            <w:vAlign w:val="center"/>
            <w:hideMark/>
          </w:tcPr>
          <w:p w14:paraId="1D565453"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79 058</w:t>
            </w:r>
          </w:p>
        </w:tc>
        <w:tc>
          <w:tcPr>
            <w:tcW w:w="820" w:type="dxa"/>
            <w:tcBorders>
              <w:top w:val="nil"/>
              <w:left w:val="nil"/>
              <w:bottom w:val="nil"/>
              <w:right w:val="nil"/>
            </w:tcBorders>
            <w:shd w:val="clear" w:color="000000" w:fill="FFFFFF"/>
            <w:vAlign w:val="center"/>
            <w:hideMark/>
          </w:tcPr>
          <w:p w14:paraId="13EDB09F"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21 077</w:t>
            </w:r>
          </w:p>
        </w:tc>
        <w:tc>
          <w:tcPr>
            <w:tcW w:w="640" w:type="dxa"/>
            <w:tcBorders>
              <w:top w:val="nil"/>
              <w:left w:val="nil"/>
              <w:bottom w:val="nil"/>
              <w:right w:val="nil"/>
            </w:tcBorders>
            <w:shd w:val="clear" w:color="000000" w:fill="FFFFFF"/>
            <w:vAlign w:val="center"/>
            <w:hideMark/>
          </w:tcPr>
          <w:p w14:paraId="209D8DA5"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36,4</w:t>
            </w:r>
          </w:p>
        </w:tc>
      </w:tr>
      <w:tr w:rsidR="00A57E96" w:rsidRPr="00822E82" w14:paraId="2B264659" w14:textId="77777777" w:rsidTr="00B768D9">
        <w:trPr>
          <w:trHeight w:val="330"/>
        </w:trPr>
        <w:tc>
          <w:tcPr>
            <w:tcW w:w="4480" w:type="dxa"/>
            <w:tcBorders>
              <w:top w:val="nil"/>
              <w:left w:val="nil"/>
              <w:bottom w:val="nil"/>
              <w:right w:val="nil"/>
            </w:tcBorders>
            <w:shd w:val="clear" w:color="000000" w:fill="FFFFFF"/>
            <w:noWrap/>
            <w:vAlign w:val="bottom"/>
            <w:hideMark/>
          </w:tcPr>
          <w:p w14:paraId="263FE214" w14:textId="5553E272" w:rsidR="00A57E96" w:rsidRPr="00822E82" w:rsidRDefault="00A57E96" w:rsidP="00B768D9">
            <w:pPr>
              <w:spacing w:after="0" w:line="240" w:lineRule="auto"/>
              <w:jc w:val="left"/>
              <w:rPr>
                <w:rFonts w:eastAsia="Times New Roman" w:cs="Times New Roman"/>
                <w:color w:val="000000"/>
                <w:sz w:val="18"/>
                <w:szCs w:val="18"/>
                <w:lang w:eastAsia="sk-SK"/>
              </w:rPr>
            </w:pPr>
            <w:r w:rsidRPr="00822E82">
              <w:rPr>
                <w:rFonts w:eastAsia="Times New Roman" w:cs="Times New Roman"/>
                <w:color w:val="000000"/>
                <w:sz w:val="18"/>
                <w:szCs w:val="18"/>
                <w:lang w:eastAsia="sk-SK"/>
              </w:rPr>
              <w:t xml:space="preserve">     </w:t>
            </w:r>
            <w:r w:rsidR="00C65CD4">
              <w:rPr>
                <w:rFonts w:eastAsia="Times New Roman" w:cs="Times New Roman"/>
                <w:color w:val="000000"/>
                <w:sz w:val="18"/>
                <w:szCs w:val="18"/>
                <w:lang w:eastAsia="sk-SK"/>
              </w:rPr>
              <w:t xml:space="preserve">          poplatky a platby z </w:t>
            </w:r>
            <w:proofErr w:type="spellStart"/>
            <w:r w:rsidR="00C65CD4">
              <w:rPr>
                <w:rFonts w:eastAsia="Times New Roman" w:cs="Times New Roman"/>
                <w:color w:val="000000"/>
                <w:sz w:val="18"/>
                <w:szCs w:val="18"/>
                <w:lang w:eastAsia="sk-SK"/>
              </w:rPr>
              <w:t>ne</w:t>
            </w:r>
            <w:r w:rsidRPr="00822E82">
              <w:rPr>
                <w:rFonts w:eastAsia="Times New Roman" w:cs="Times New Roman"/>
                <w:color w:val="000000"/>
                <w:sz w:val="18"/>
                <w:szCs w:val="18"/>
                <w:lang w:eastAsia="sk-SK"/>
              </w:rPr>
              <w:t>pr</w:t>
            </w:r>
            <w:proofErr w:type="spellEnd"/>
            <w:r w:rsidRPr="00822E82">
              <w:rPr>
                <w:rFonts w:eastAsia="Times New Roman" w:cs="Times New Roman"/>
                <w:color w:val="000000"/>
                <w:sz w:val="18"/>
                <w:szCs w:val="18"/>
                <w:lang w:eastAsia="sk-SK"/>
              </w:rPr>
              <w:t>. a náhod. predaja</w:t>
            </w:r>
          </w:p>
        </w:tc>
        <w:tc>
          <w:tcPr>
            <w:tcW w:w="880" w:type="dxa"/>
            <w:tcBorders>
              <w:top w:val="nil"/>
              <w:left w:val="nil"/>
              <w:bottom w:val="nil"/>
              <w:right w:val="nil"/>
            </w:tcBorders>
            <w:shd w:val="clear" w:color="auto" w:fill="auto"/>
            <w:noWrap/>
            <w:vAlign w:val="center"/>
            <w:hideMark/>
          </w:tcPr>
          <w:p w14:paraId="7BD0E46A"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78 947</w:t>
            </w:r>
          </w:p>
        </w:tc>
        <w:tc>
          <w:tcPr>
            <w:tcW w:w="880" w:type="dxa"/>
            <w:tcBorders>
              <w:top w:val="nil"/>
              <w:left w:val="nil"/>
              <w:bottom w:val="nil"/>
              <w:right w:val="nil"/>
            </w:tcBorders>
            <w:shd w:val="clear" w:color="auto" w:fill="auto"/>
            <w:noWrap/>
            <w:vAlign w:val="center"/>
            <w:hideMark/>
          </w:tcPr>
          <w:p w14:paraId="17D7BDD5"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94 410</w:t>
            </w:r>
          </w:p>
        </w:tc>
        <w:tc>
          <w:tcPr>
            <w:tcW w:w="860" w:type="dxa"/>
            <w:tcBorders>
              <w:top w:val="nil"/>
              <w:left w:val="nil"/>
              <w:bottom w:val="nil"/>
              <w:right w:val="nil"/>
            </w:tcBorders>
            <w:shd w:val="clear" w:color="000000" w:fill="FFFFFF"/>
            <w:noWrap/>
            <w:vAlign w:val="center"/>
            <w:hideMark/>
          </w:tcPr>
          <w:p w14:paraId="4A9A49A7"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61 118</w:t>
            </w:r>
          </w:p>
        </w:tc>
        <w:tc>
          <w:tcPr>
            <w:tcW w:w="880" w:type="dxa"/>
            <w:tcBorders>
              <w:top w:val="nil"/>
              <w:left w:val="nil"/>
              <w:bottom w:val="nil"/>
              <w:right w:val="nil"/>
            </w:tcBorders>
            <w:shd w:val="clear" w:color="auto" w:fill="auto"/>
            <w:noWrap/>
            <w:vAlign w:val="center"/>
            <w:hideMark/>
          </w:tcPr>
          <w:p w14:paraId="1C086B21"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63 232</w:t>
            </w:r>
          </w:p>
        </w:tc>
        <w:tc>
          <w:tcPr>
            <w:tcW w:w="820" w:type="dxa"/>
            <w:tcBorders>
              <w:top w:val="nil"/>
              <w:left w:val="nil"/>
              <w:bottom w:val="nil"/>
              <w:right w:val="nil"/>
            </w:tcBorders>
            <w:shd w:val="clear" w:color="000000" w:fill="FFFFFF"/>
            <w:vAlign w:val="center"/>
            <w:hideMark/>
          </w:tcPr>
          <w:p w14:paraId="0A029434"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2 114</w:t>
            </w:r>
          </w:p>
        </w:tc>
        <w:tc>
          <w:tcPr>
            <w:tcW w:w="640" w:type="dxa"/>
            <w:tcBorders>
              <w:top w:val="nil"/>
              <w:left w:val="nil"/>
              <w:bottom w:val="nil"/>
              <w:right w:val="nil"/>
            </w:tcBorders>
            <w:shd w:val="clear" w:color="000000" w:fill="FFFFFF"/>
            <w:vAlign w:val="center"/>
            <w:hideMark/>
          </w:tcPr>
          <w:p w14:paraId="1FFC3FBF"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3,5</w:t>
            </w:r>
          </w:p>
        </w:tc>
      </w:tr>
      <w:tr w:rsidR="00A57E96" w:rsidRPr="00822E82" w14:paraId="0395DAD8" w14:textId="77777777" w:rsidTr="00B768D9">
        <w:trPr>
          <w:trHeight w:val="330"/>
        </w:trPr>
        <w:tc>
          <w:tcPr>
            <w:tcW w:w="4480" w:type="dxa"/>
            <w:tcBorders>
              <w:top w:val="nil"/>
              <w:left w:val="nil"/>
              <w:bottom w:val="nil"/>
              <w:right w:val="nil"/>
            </w:tcBorders>
            <w:shd w:val="clear" w:color="000000" w:fill="FFFFFF"/>
            <w:noWrap/>
            <w:vAlign w:val="bottom"/>
            <w:hideMark/>
          </w:tcPr>
          <w:p w14:paraId="76659481" w14:textId="77777777" w:rsidR="00A57E96" w:rsidRPr="00822E82" w:rsidRDefault="00A57E96" w:rsidP="00B768D9">
            <w:pPr>
              <w:spacing w:after="0" w:line="240" w:lineRule="auto"/>
              <w:jc w:val="left"/>
              <w:rPr>
                <w:rFonts w:eastAsia="Times New Roman" w:cs="Times New Roman"/>
                <w:color w:val="000000"/>
                <w:sz w:val="18"/>
                <w:szCs w:val="18"/>
                <w:lang w:eastAsia="sk-SK"/>
              </w:rPr>
            </w:pPr>
            <w:r w:rsidRPr="00822E82">
              <w:rPr>
                <w:rFonts w:eastAsia="Times New Roman" w:cs="Times New Roman"/>
                <w:color w:val="000000"/>
                <w:sz w:val="18"/>
                <w:szCs w:val="18"/>
                <w:lang w:eastAsia="sk-SK"/>
              </w:rPr>
              <w:t>Kapitálové príjmy</w:t>
            </w:r>
          </w:p>
        </w:tc>
        <w:tc>
          <w:tcPr>
            <w:tcW w:w="880" w:type="dxa"/>
            <w:tcBorders>
              <w:top w:val="nil"/>
              <w:left w:val="nil"/>
              <w:bottom w:val="nil"/>
              <w:right w:val="nil"/>
            </w:tcBorders>
            <w:shd w:val="clear" w:color="auto" w:fill="auto"/>
            <w:noWrap/>
            <w:vAlign w:val="center"/>
            <w:hideMark/>
          </w:tcPr>
          <w:p w14:paraId="31FF0057"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13 703</w:t>
            </w:r>
          </w:p>
        </w:tc>
        <w:tc>
          <w:tcPr>
            <w:tcW w:w="880" w:type="dxa"/>
            <w:tcBorders>
              <w:top w:val="nil"/>
              <w:left w:val="nil"/>
              <w:bottom w:val="nil"/>
              <w:right w:val="nil"/>
            </w:tcBorders>
            <w:shd w:val="clear" w:color="auto" w:fill="auto"/>
            <w:noWrap/>
            <w:vAlign w:val="center"/>
            <w:hideMark/>
          </w:tcPr>
          <w:p w14:paraId="1EBCDD9A"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11 460</w:t>
            </w:r>
          </w:p>
        </w:tc>
        <w:tc>
          <w:tcPr>
            <w:tcW w:w="860" w:type="dxa"/>
            <w:tcBorders>
              <w:top w:val="nil"/>
              <w:left w:val="nil"/>
              <w:bottom w:val="nil"/>
              <w:right w:val="nil"/>
            </w:tcBorders>
            <w:shd w:val="clear" w:color="000000" w:fill="FFFFFF"/>
            <w:noWrap/>
            <w:vAlign w:val="center"/>
            <w:hideMark/>
          </w:tcPr>
          <w:p w14:paraId="4E8E282C"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27 270</w:t>
            </w:r>
          </w:p>
        </w:tc>
        <w:tc>
          <w:tcPr>
            <w:tcW w:w="880" w:type="dxa"/>
            <w:tcBorders>
              <w:top w:val="nil"/>
              <w:left w:val="nil"/>
              <w:bottom w:val="nil"/>
              <w:right w:val="nil"/>
            </w:tcBorders>
            <w:shd w:val="clear" w:color="auto" w:fill="auto"/>
            <w:noWrap/>
            <w:vAlign w:val="center"/>
            <w:hideMark/>
          </w:tcPr>
          <w:p w14:paraId="3EA807E9"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16 685</w:t>
            </w:r>
          </w:p>
        </w:tc>
        <w:tc>
          <w:tcPr>
            <w:tcW w:w="820" w:type="dxa"/>
            <w:tcBorders>
              <w:top w:val="nil"/>
              <w:left w:val="nil"/>
              <w:bottom w:val="nil"/>
              <w:right w:val="nil"/>
            </w:tcBorders>
            <w:shd w:val="clear" w:color="000000" w:fill="FFFFFF"/>
            <w:vAlign w:val="center"/>
            <w:hideMark/>
          </w:tcPr>
          <w:p w14:paraId="4F444D03"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-10 585</w:t>
            </w:r>
          </w:p>
        </w:tc>
        <w:tc>
          <w:tcPr>
            <w:tcW w:w="640" w:type="dxa"/>
            <w:tcBorders>
              <w:top w:val="nil"/>
              <w:left w:val="nil"/>
              <w:bottom w:val="nil"/>
              <w:right w:val="nil"/>
            </w:tcBorders>
            <w:shd w:val="clear" w:color="000000" w:fill="FFFFFF"/>
            <w:vAlign w:val="center"/>
            <w:hideMark/>
          </w:tcPr>
          <w:p w14:paraId="0A4B3DFD"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-38,8</w:t>
            </w:r>
          </w:p>
        </w:tc>
      </w:tr>
      <w:tr w:rsidR="00A57E96" w:rsidRPr="00822E82" w14:paraId="7F1C1F91" w14:textId="77777777" w:rsidTr="00B768D9">
        <w:trPr>
          <w:trHeight w:val="330"/>
        </w:trPr>
        <w:tc>
          <w:tcPr>
            <w:tcW w:w="4480" w:type="dxa"/>
            <w:tcBorders>
              <w:top w:val="nil"/>
              <w:left w:val="nil"/>
              <w:bottom w:val="nil"/>
              <w:right w:val="nil"/>
            </w:tcBorders>
            <w:shd w:val="clear" w:color="000000" w:fill="FFFFFF"/>
            <w:vAlign w:val="bottom"/>
            <w:hideMark/>
          </w:tcPr>
          <w:p w14:paraId="26F95255" w14:textId="5EB5BE04" w:rsidR="00A57E96" w:rsidRPr="00822E82" w:rsidRDefault="00A57E96" w:rsidP="00040B78">
            <w:pPr>
              <w:spacing w:after="0" w:line="240" w:lineRule="auto"/>
              <w:jc w:val="left"/>
              <w:rPr>
                <w:rFonts w:eastAsia="Times New Roman" w:cs="Times New Roman"/>
                <w:color w:val="000000"/>
                <w:sz w:val="18"/>
                <w:szCs w:val="18"/>
                <w:lang w:eastAsia="sk-SK"/>
              </w:rPr>
            </w:pPr>
            <w:r w:rsidRPr="00822E82">
              <w:rPr>
                <w:rFonts w:eastAsia="Times New Roman" w:cs="Times New Roman"/>
                <w:color w:val="000000"/>
                <w:sz w:val="18"/>
                <w:szCs w:val="18"/>
                <w:lang w:eastAsia="sk-SK"/>
              </w:rPr>
              <w:t xml:space="preserve">Úroky z tuzemských </w:t>
            </w:r>
            <w:r w:rsidR="00C65CD4">
              <w:rPr>
                <w:rFonts w:eastAsia="Times New Roman" w:cs="Times New Roman"/>
                <w:color w:val="000000"/>
                <w:sz w:val="18"/>
                <w:szCs w:val="18"/>
                <w:lang w:eastAsia="sk-SK"/>
              </w:rPr>
              <w:t xml:space="preserve">a zahraničných úverov, pôžičiek </w:t>
            </w:r>
            <w:r w:rsidRPr="00822E82">
              <w:rPr>
                <w:rFonts w:eastAsia="Times New Roman" w:cs="Times New Roman"/>
                <w:color w:val="000000"/>
                <w:sz w:val="18"/>
                <w:szCs w:val="18"/>
                <w:lang w:eastAsia="sk-SK"/>
              </w:rPr>
              <w:t>NFV</w:t>
            </w:r>
          </w:p>
        </w:tc>
        <w:tc>
          <w:tcPr>
            <w:tcW w:w="880" w:type="dxa"/>
            <w:tcBorders>
              <w:top w:val="nil"/>
              <w:left w:val="nil"/>
              <w:bottom w:val="nil"/>
              <w:right w:val="nil"/>
            </w:tcBorders>
            <w:shd w:val="clear" w:color="auto" w:fill="auto"/>
            <w:noWrap/>
            <w:vAlign w:val="center"/>
            <w:hideMark/>
          </w:tcPr>
          <w:p w14:paraId="45D853C1"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7 055</w:t>
            </w:r>
          </w:p>
        </w:tc>
        <w:tc>
          <w:tcPr>
            <w:tcW w:w="880" w:type="dxa"/>
            <w:tcBorders>
              <w:top w:val="nil"/>
              <w:left w:val="nil"/>
              <w:bottom w:val="nil"/>
              <w:right w:val="nil"/>
            </w:tcBorders>
            <w:shd w:val="clear" w:color="auto" w:fill="auto"/>
            <w:noWrap/>
            <w:vAlign w:val="center"/>
            <w:hideMark/>
          </w:tcPr>
          <w:p w14:paraId="1711FAE4"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9 996</w:t>
            </w:r>
          </w:p>
        </w:tc>
        <w:tc>
          <w:tcPr>
            <w:tcW w:w="860" w:type="dxa"/>
            <w:tcBorders>
              <w:top w:val="nil"/>
              <w:left w:val="nil"/>
              <w:bottom w:val="nil"/>
              <w:right w:val="nil"/>
            </w:tcBorders>
            <w:shd w:val="clear" w:color="000000" w:fill="FFFFFF"/>
            <w:noWrap/>
            <w:vAlign w:val="center"/>
            <w:hideMark/>
          </w:tcPr>
          <w:p w14:paraId="27D2C642"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24 497</w:t>
            </w:r>
          </w:p>
        </w:tc>
        <w:tc>
          <w:tcPr>
            <w:tcW w:w="880" w:type="dxa"/>
            <w:tcBorders>
              <w:top w:val="nil"/>
              <w:left w:val="nil"/>
              <w:bottom w:val="nil"/>
              <w:right w:val="nil"/>
            </w:tcBorders>
            <w:shd w:val="clear" w:color="auto" w:fill="auto"/>
            <w:noWrap/>
            <w:vAlign w:val="center"/>
            <w:hideMark/>
          </w:tcPr>
          <w:p w14:paraId="5C0CAC1D"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121 737</w:t>
            </w:r>
          </w:p>
        </w:tc>
        <w:tc>
          <w:tcPr>
            <w:tcW w:w="820" w:type="dxa"/>
            <w:tcBorders>
              <w:top w:val="nil"/>
              <w:left w:val="nil"/>
              <w:bottom w:val="nil"/>
              <w:right w:val="nil"/>
            </w:tcBorders>
            <w:shd w:val="clear" w:color="000000" w:fill="FFFFFF"/>
            <w:vAlign w:val="center"/>
            <w:hideMark/>
          </w:tcPr>
          <w:p w14:paraId="6D33C214"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97 240</w:t>
            </w:r>
          </w:p>
        </w:tc>
        <w:tc>
          <w:tcPr>
            <w:tcW w:w="640" w:type="dxa"/>
            <w:tcBorders>
              <w:top w:val="nil"/>
              <w:left w:val="nil"/>
              <w:bottom w:val="nil"/>
              <w:right w:val="nil"/>
            </w:tcBorders>
            <w:shd w:val="clear" w:color="000000" w:fill="FFFFFF"/>
            <w:vAlign w:val="center"/>
            <w:hideMark/>
          </w:tcPr>
          <w:p w14:paraId="75A96888"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396,9</w:t>
            </w:r>
          </w:p>
        </w:tc>
      </w:tr>
      <w:tr w:rsidR="00A57E96" w:rsidRPr="00822E82" w14:paraId="4B02F69C" w14:textId="77777777" w:rsidTr="00B768D9">
        <w:trPr>
          <w:trHeight w:val="330"/>
        </w:trPr>
        <w:tc>
          <w:tcPr>
            <w:tcW w:w="4480" w:type="dxa"/>
            <w:tcBorders>
              <w:top w:val="nil"/>
              <w:left w:val="nil"/>
              <w:bottom w:val="nil"/>
              <w:right w:val="nil"/>
            </w:tcBorders>
            <w:shd w:val="clear" w:color="000000" w:fill="FFFFFF"/>
            <w:noWrap/>
            <w:vAlign w:val="bottom"/>
            <w:hideMark/>
          </w:tcPr>
          <w:p w14:paraId="74F3E8BF" w14:textId="77777777" w:rsidR="00A57E96" w:rsidRPr="00822E82" w:rsidRDefault="00A57E96" w:rsidP="00B768D9">
            <w:pPr>
              <w:spacing w:after="0" w:line="240" w:lineRule="auto"/>
              <w:jc w:val="left"/>
              <w:rPr>
                <w:rFonts w:eastAsia="Times New Roman" w:cs="Times New Roman"/>
                <w:color w:val="000000"/>
                <w:sz w:val="18"/>
                <w:szCs w:val="18"/>
                <w:lang w:eastAsia="sk-SK"/>
              </w:rPr>
            </w:pPr>
            <w:r w:rsidRPr="00822E82">
              <w:rPr>
                <w:rFonts w:eastAsia="Times New Roman" w:cs="Times New Roman"/>
                <w:color w:val="000000"/>
                <w:sz w:val="18"/>
                <w:szCs w:val="18"/>
                <w:lang w:eastAsia="sk-SK"/>
              </w:rPr>
              <w:t>Iné nedaňové príjmy</w:t>
            </w:r>
          </w:p>
        </w:tc>
        <w:tc>
          <w:tcPr>
            <w:tcW w:w="880" w:type="dxa"/>
            <w:tcBorders>
              <w:top w:val="nil"/>
              <w:left w:val="nil"/>
              <w:bottom w:val="nil"/>
              <w:right w:val="nil"/>
            </w:tcBorders>
            <w:shd w:val="clear" w:color="auto" w:fill="auto"/>
            <w:noWrap/>
            <w:vAlign w:val="center"/>
            <w:hideMark/>
          </w:tcPr>
          <w:p w14:paraId="4C34D6F4"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476 958</w:t>
            </w:r>
          </w:p>
        </w:tc>
        <w:tc>
          <w:tcPr>
            <w:tcW w:w="880" w:type="dxa"/>
            <w:tcBorders>
              <w:top w:val="nil"/>
              <w:left w:val="nil"/>
              <w:bottom w:val="nil"/>
              <w:right w:val="nil"/>
            </w:tcBorders>
            <w:shd w:val="clear" w:color="auto" w:fill="auto"/>
            <w:noWrap/>
            <w:vAlign w:val="center"/>
            <w:hideMark/>
          </w:tcPr>
          <w:p w14:paraId="22273A51"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694 670</w:t>
            </w:r>
          </w:p>
        </w:tc>
        <w:tc>
          <w:tcPr>
            <w:tcW w:w="860" w:type="dxa"/>
            <w:tcBorders>
              <w:top w:val="nil"/>
              <w:left w:val="nil"/>
              <w:bottom w:val="nil"/>
              <w:right w:val="nil"/>
            </w:tcBorders>
            <w:shd w:val="clear" w:color="000000" w:fill="FFFFFF"/>
            <w:noWrap/>
            <w:vAlign w:val="center"/>
            <w:hideMark/>
          </w:tcPr>
          <w:p w14:paraId="55F4E993"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1 179 040</w:t>
            </w:r>
          </w:p>
        </w:tc>
        <w:tc>
          <w:tcPr>
            <w:tcW w:w="880" w:type="dxa"/>
            <w:tcBorders>
              <w:top w:val="nil"/>
              <w:left w:val="nil"/>
              <w:bottom w:val="nil"/>
              <w:right w:val="nil"/>
            </w:tcBorders>
            <w:shd w:val="clear" w:color="auto" w:fill="auto"/>
            <w:noWrap/>
            <w:vAlign w:val="center"/>
            <w:hideMark/>
          </w:tcPr>
          <w:p w14:paraId="2FB1966D"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633 551</w:t>
            </w:r>
          </w:p>
        </w:tc>
        <w:tc>
          <w:tcPr>
            <w:tcW w:w="820" w:type="dxa"/>
            <w:tcBorders>
              <w:top w:val="nil"/>
              <w:left w:val="nil"/>
              <w:bottom w:val="nil"/>
              <w:right w:val="nil"/>
            </w:tcBorders>
            <w:shd w:val="clear" w:color="000000" w:fill="FFFFFF"/>
            <w:vAlign w:val="center"/>
            <w:hideMark/>
          </w:tcPr>
          <w:p w14:paraId="4AE4AE43"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-545 489</w:t>
            </w:r>
          </w:p>
        </w:tc>
        <w:tc>
          <w:tcPr>
            <w:tcW w:w="640" w:type="dxa"/>
            <w:tcBorders>
              <w:top w:val="nil"/>
              <w:left w:val="nil"/>
              <w:bottom w:val="nil"/>
              <w:right w:val="nil"/>
            </w:tcBorders>
            <w:shd w:val="clear" w:color="000000" w:fill="FFFFFF"/>
            <w:vAlign w:val="center"/>
            <w:hideMark/>
          </w:tcPr>
          <w:p w14:paraId="41FE11F0"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-46,3</w:t>
            </w:r>
          </w:p>
        </w:tc>
      </w:tr>
      <w:tr w:rsidR="00A57E96" w:rsidRPr="00822E82" w14:paraId="65684814" w14:textId="77777777" w:rsidTr="00B768D9">
        <w:trPr>
          <w:trHeight w:val="330"/>
        </w:trPr>
        <w:tc>
          <w:tcPr>
            <w:tcW w:w="4480" w:type="dxa"/>
            <w:tcBorders>
              <w:top w:val="nil"/>
              <w:left w:val="nil"/>
              <w:bottom w:val="nil"/>
              <w:right w:val="nil"/>
            </w:tcBorders>
            <w:shd w:val="clear" w:color="000000" w:fill="FFFFFF"/>
            <w:noWrap/>
            <w:vAlign w:val="bottom"/>
            <w:hideMark/>
          </w:tcPr>
          <w:p w14:paraId="4BBB9105" w14:textId="77777777" w:rsidR="00A57E96" w:rsidRPr="00822E82" w:rsidRDefault="00A57E96" w:rsidP="00B768D9">
            <w:pPr>
              <w:spacing w:after="0" w:line="240" w:lineRule="auto"/>
              <w:jc w:val="left"/>
              <w:rPr>
                <w:rFonts w:eastAsia="Times New Roman" w:cs="Times New Roman"/>
                <w:color w:val="000000"/>
                <w:sz w:val="18"/>
                <w:szCs w:val="18"/>
                <w:lang w:eastAsia="sk-SK"/>
              </w:rPr>
            </w:pPr>
            <w:r w:rsidRPr="00822E82">
              <w:rPr>
                <w:rFonts w:eastAsia="Times New Roman" w:cs="Times New Roman"/>
                <w:color w:val="000000"/>
                <w:sz w:val="18"/>
                <w:szCs w:val="18"/>
                <w:lang w:eastAsia="sk-SK"/>
              </w:rPr>
              <w:t xml:space="preserve">   v tom: odvod z hazardných hier</w:t>
            </w:r>
          </w:p>
        </w:tc>
        <w:tc>
          <w:tcPr>
            <w:tcW w:w="880" w:type="dxa"/>
            <w:tcBorders>
              <w:top w:val="nil"/>
              <w:left w:val="nil"/>
              <w:bottom w:val="nil"/>
              <w:right w:val="nil"/>
            </w:tcBorders>
            <w:shd w:val="clear" w:color="auto" w:fill="auto"/>
            <w:noWrap/>
            <w:vAlign w:val="center"/>
            <w:hideMark/>
          </w:tcPr>
          <w:p w14:paraId="75B73831"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220 131</w:t>
            </w:r>
          </w:p>
        </w:tc>
        <w:tc>
          <w:tcPr>
            <w:tcW w:w="880" w:type="dxa"/>
            <w:tcBorders>
              <w:top w:val="nil"/>
              <w:left w:val="nil"/>
              <w:bottom w:val="nil"/>
              <w:right w:val="nil"/>
            </w:tcBorders>
            <w:shd w:val="clear" w:color="auto" w:fill="auto"/>
            <w:noWrap/>
            <w:vAlign w:val="center"/>
            <w:hideMark/>
          </w:tcPr>
          <w:p w14:paraId="10F3A5AB"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251 889</w:t>
            </w:r>
          </w:p>
        </w:tc>
        <w:tc>
          <w:tcPr>
            <w:tcW w:w="860" w:type="dxa"/>
            <w:tcBorders>
              <w:top w:val="nil"/>
              <w:left w:val="nil"/>
              <w:bottom w:val="nil"/>
              <w:right w:val="nil"/>
            </w:tcBorders>
            <w:shd w:val="clear" w:color="000000" w:fill="FFFFFF"/>
            <w:noWrap/>
            <w:vAlign w:val="center"/>
            <w:hideMark/>
          </w:tcPr>
          <w:p w14:paraId="6E2739F4"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253 478</w:t>
            </w:r>
          </w:p>
        </w:tc>
        <w:tc>
          <w:tcPr>
            <w:tcW w:w="880" w:type="dxa"/>
            <w:tcBorders>
              <w:top w:val="nil"/>
              <w:left w:val="nil"/>
              <w:bottom w:val="nil"/>
              <w:right w:val="nil"/>
            </w:tcBorders>
            <w:shd w:val="clear" w:color="auto" w:fill="auto"/>
            <w:noWrap/>
            <w:vAlign w:val="center"/>
            <w:hideMark/>
          </w:tcPr>
          <w:p w14:paraId="71E7459E"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301 443</w:t>
            </w:r>
          </w:p>
        </w:tc>
        <w:tc>
          <w:tcPr>
            <w:tcW w:w="820" w:type="dxa"/>
            <w:tcBorders>
              <w:top w:val="nil"/>
              <w:left w:val="nil"/>
              <w:bottom w:val="nil"/>
              <w:right w:val="nil"/>
            </w:tcBorders>
            <w:shd w:val="clear" w:color="000000" w:fill="FFFFFF"/>
            <w:vAlign w:val="center"/>
            <w:hideMark/>
          </w:tcPr>
          <w:p w14:paraId="5066A187"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47 965</w:t>
            </w:r>
          </w:p>
        </w:tc>
        <w:tc>
          <w:tcPr>
            <w:tcW w:w="640" w:type="dxa"/>
            <w:tcBorders>
              <w:top w:val="nil"/>
              <w:left w:val="nil"/>
              <w:bottom w:val="nil"/>
              <w:right w:val="nil"/>
            </w:tcBorders>
            <w:shd w:val="clear" w:color="000000" w:fill="FFFFFF"/>
            <w:vAlign w:val="center"/>
            <w:hideMark/>
          </w:tcPr>
          <w:p w14:paraId="0C4F9DE0"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18,9</w:t>
            </w:r>
          </w:p>
        </w:tc>
      </w:tr>
      <w:tr w:rsidR="00A57E96" w:rsidRPr="00822E82" w14:paraId="4772F5FC" w14:textId="77777777" w:rsidTr="00B768D9">
        <w:trPr>
          <w:trHeight w:val="330"/>
        </w:trPr>
        <w:tc>
          <w:tcPr>
            <w:tcW w:w="4480" w:type="dxa"/>
            <w:tcBorders>
              <w:top w:val="nil"/>
              <w:left w:val="nil"/>
              <w:bottom w:val="nil"/>
              <w:right w:val="nil"/>
            </w:tcBorders>
            <w:shd w:val="clear" w:color="000000" w:fill="FFFFFF"/>
            <w:noWrap/>
            <w:vAlign w:val="bottom"/>
            <w:hideMark/>
          </w:tcPr>
          <w:p w14:paraId="6CA21FD3" w14:textId="77777777" w:rsidR="00A57E96" w:rsidRPr="00822E82" w:rsidRDefault="00A57E96" w:rsidP="00B768D9">
            <w:pPr>
              <w:spacing w:after="0" w:line="240" w:lineRule="auto"/>
              <w:jc w:val="left"/>
              <w:rPr>
                <w:rFonts w:eastAsia="Times New Roman" w:cs="Times New Roman"/>
                <w:color w:val="000000"/>
                <w:sz w:val="18"/>
                <w:szCs w:val="18"/>
                <w:lang w:eastAsia="sk-SK"/>
              </w:rPr>
            </w:pPr>
            <w:r w:rsidRPr="00822E82">
              <w:rPr>
                <w:rFonts w:eastAsia="Times New Roman" w:cs="Times New Roman"/>
                <w:color w:val="000000"/>
                <w:sz w:val="18"/>
                <w:szCs w:val="18"/>
                <w:lang w:eastAsia="sk-SK"/>
              </w:rPr>
              <w:t xml:space="preserve">               ostatné príjmy - iné</w:t>
            </w:r>
          </w:p>
        </w:tc>
        <w:tc>
          <w:tcPr>
            <w:tcW w:w="880" w:type="dxa"/>
            <w:tcBorders>
              <w:top w:val="nil"/>
              <w:left w:val="nil"/>
              <w:bottom w:val="nil"/>
              <w:right w:val="nil"/>
            </w:tcBorders>
            <w:shd w:val="clear" w:color="auto" w:fill="auto"/>
            <w:noWrap/>
            <w:vAlign w:val="center"/>
            <w:hideMark/>
          </w:tcPr>
          <w:p w14:paraId="22ABC575"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98 581</w:t>
            </w:r>
          </w:p>
        </w:tc>
        <w:tc>
          <w:tcPr>
            <w:tcW w:w="880" w:type="dxa"/>
            <w:tcBorders>
              <w:top w:val="nil"/>
              <w:left w:val="nil"/>
              <w:bottom w:val="nil"/>
              <w:right w:val="nil"/>
            </w:tcBorders>
            <w:shd w:val="clear" w:color="auto" w:fill="auto"/>
            <w:noWrap/>
            <w:vAlign w:val="center"/>
            <w:hideMark/>
          </w:tcPr>
          <w:p w14:paraId="32C2F13F"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157 146</w:t>
            </w:r>
          </w:p>
        </w:tc>
        <w:tc>
          <w:tcPr>
            <w:tcW w:w="860" w:type="dxa"/>
            <w:tcBorders>
              <w:top w:val="nil"/>
              <w:left w:val="nil"/>
              <w:bottom w:val="nil"/>
              <w:right w:val="nil"/>
            </w:tcBorders>
            <w:shd w:val="clear" w:color="000000" w:fill="FFFFFF"/>
            <w:noWrap/>
            <w:vAlign w:val="center"/>
            <w:hideMark/>
          </w:tcPr>
          <w:p w14:paraId="7BADCC42"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869 776</w:t>
            </w:r>
          </w:p>
        </w:tc>
        <w:tc>
          <w:tcPr>
            <w:tcW w:w="880" w:type="dxa"/>
            <w:tcBorders>
              <w:top w:val="nil"/>
              <w:left w:val="nil"/>
              <w:bottom w:val="nil"/>
              <w:right w:val="nil"/>
            </w:tcBorders>
            <w:shd w:val="clear" w:color="auto" w:fill="auto"/>
            <w:noWrap/>
            <w:vAlign w:val="center"/>
            <w:hideMark/>
          </w:tcPr>
          <w:p w14:paraId="55820007"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146 655</w:t>
            </w:r>
          </w:p>
        </w:tc>
        <w:tc>
          <w:tcPr>
            <w:tcW w:w="820" w:type="dxa"/>
            <w:tcBorders>
              <w:top w:val="nil"/>
              <w:left w:val="nil"/>
              <w:bottom w:val="nil"/>
              <w:right w:val="nil"/>
            </w:tcBorders>
            <w:shd w:val="clear" w:color="000000" w:fill="FFFFFF"/>
            <w:vAlign w:val="center"/>
            <w:hideMark/>
          </w:tcPr>
          <w:p w14:paraId="7747F6B7"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-723 121</w:t>
            </w:r>
          </w:p>
        </w:tc>
        <w:tc>
          <w:tcPr>
            <w:tcW w:w="640" w:type="dxa"/>
            <w:tcBorders>
              <w:top w:val="nil"/>
              <w:left w:val="nil"/>
              <w:bottom w:val="nil"/>
              <w:right w:val="nil"/>
            </w:tcBorders>
            <w:shd w:val="clear" w:color="000000" w:fill="FFFFFF"/>
            <w:vAlign w:val="center"/>
            <w:hideMark/>
          </w:tcPr>
          <w:p w14:paraId="1ED0B315" w14:textId="77777777" w:rsidR="00A57E96" w:rsidRPr="00822E82" w:rsidRDefault="00A57E96" w:rsidP="00B768D9">
            <w:pPr>
              <w:spacing w:after="0" w:line="240" w:lineRule="auto"/>
              <w:jc w:val="right"/>
              <w:rPr>
                <w:rFonts w:eastAsia="Times New Roman" w:cs="Times New Roman"/>
                <w:color w:val="000000"/>
                <w:sz w:val="18"/>
                <w:szCs w:val="18"/>
                <w:lang w:eastAsia="sk-SK"/>
              </w:rPr>
            </w:pPr>
            <w:r w:rsidRPr="00822E82">
              <w:rPr>
                <w:rFonts w:eastAsia="Times New Roman" w:cs="Times New Roman"/>
                <w:color w:val="000000"/>
                <w:sz w:val="18"/>
                <w:szCs w:val="18"/>
                <w:lang w:eastAsia="sk-SK"/>
              </w:rPr>
              <w:t>-83,1</w:t>
            </w:r>
          </w:p>
        </w:tc>
      </w:tr>
      <w:tr w:rsidR="00A57E96" w:rsidRPr="00822E82" w14:paraId="42B99A5F" w14:textId="77777777" w:rsidTr="00B768D9">
        <w:trPr>
          <w:trHeight w:val="345"/>
        </w:trPr>
        <w:tc>
          <w:tcPr>
            <w:tcW w:w="4480" w:type="dxa"/>
            <w:tcBorders>
              <w:top w:val="single" w:sz="4" w:space="0" w:color="auto"/>
              <w:left w:val="nil"/>
              <w:bottom w:val="single" w:sz="8" w:space="0" w:color="auto"/>
              <w:right w:val="nil"/>
            </w:tcBorders>
            <w:shd w:val="clear" w:color="000000" w:fill="FFFFFF"/>
            <w:noWrap/>
            <w:vAlign w:val="bottom"/>
            <w:hideMark/>
          </w:tcPr>
          <w:p w14:paraId="205397B8" w14:textId="77777777" w:rsidR="00A57E96" w:rsidRPr="00822E82" w:rsidRDefault="00A57E96" w:rsidP="00B768D9">
            <w:pPr>
              <w:spacing w:after="0" w:line="240" w:lineRule="auto"/>
              <w:jc w:val="left"/>
              <w:rPr>
                <w:rFonts w:eastAsia="Times New Roman" w:cs="Times New Roman"/>
                <w:b/>
                <w:bCs/>
                <w:color w:val="000000"/>
                <w:sz w:val="18"/>
                <w:szCs w:val="18"/>
                <w:lang w:eastAsia="sk-SK"/>
              </w:rPr>
            </w:pPr>
            <w:r w:rsidRPr="00822E82">
              <w:rPr>
                <w:rFonts w:eastAsia="Times New Roman" w:cs="Times New Roman"/>
                <w:b/>
                <w:bCs/>
                <w:color w:val="000000"/>
                <w:sz w:val="18"/>
                <w:szCs w:val="18"/>
                <w:lang w:eastAsia="sk-SK"/>
              </w:rPr>
              <w:t>Spolu</w:t>
            </w:r>
          </w:p>
        </w:tc>
        <w:tc>
          <w:tcPr>
            <w:tcW w:w="880" w:type="dxa"/>
            <w:tcBorders>
              <w:top w:val="single" w:sz="4" w:space="0" w:color="auto"/>
              <w:left w:val="nil"/>
              <w:bottom w:val="single" w:sz="8" w:space="0" w:color="auto"/>
              <w:right w:val="nil"/>
            </w:tcBorders>
            <w:shd w:val="clear" w:color="000000" w:fill="FFFFFF"/>
            <w:noWrap/>
            <w:vAlign w:val="center"/>
            <w:hideMark/>
          </w:tcPr>
          <w:p w14:paraId="41F03926" w14:textId="77777777" w:rsidR="00A57E96" w:rsidRPr="00822E82" w:rsidRDefault="00A57E96" w:rsidP="00B768D9">
            <w:pPr>
              <w:spacing w:after="0" w:line="240" w:lineRule="auto"/>
              <w:jc w:val="right"/>
              <w:rPr>
                <w:rFonts w:eastAsia="Times New Roman" w:cs="Times New Roman"/>
                <w:b/>
                <w:bCs/>
                <w:color w:val="000000"/>
                <w:sz w:val="18"/>
                <w:szCs w:val="18"/>
                <w:lang w:eastAsia="sk-SK"/>
              </w:rPr>
            </w:pPr>
            <w:r w:rsidRPr="00822E82">
              <w:rPr>
                <w:rFonts w:eastAsia="Times New Roman" w:cs="Times New Roman"/>
                <w:b/>
                <w:bCs/>
                <w:color w:val="000000"/>
                <w:sz w:val="18"/>
                <w:szCs w:val="18"/>
                <w:lang w:eastAsia="sk-SK"/>
              </w:rPr>
              <w:t>1 338 320</w:t>
            </w:r>
          </w:p>
        </w:tc>
        <w:tc>
          <w:tcPr>
            <w:tcW w:w="880" w:type="dxa"/>
            <w:tcBorders>
              <w:top w:val="single" w:sz="4" w:space="0" w:color="auto"/>
              <w:left w:val="nil"/>
              <w:bottom w:val="single" w:sz="8" w:space="0" w:color="auto"/>
              <w:right w:val="nil"/>
            </w:tcBorders>
            <w:shd w:val="clear" w:color="000000" w:fill="FFFFFF"/>
            <w:noWrap/>
            <w:vAlign w:val="center"/>
            <w:hideMark/>
          </w:tcPr>
          <w:p w14:paraId="37CD2F56" w14:textId="77777777" w:rsidR="00A57E96" w:rsidRPr="00822E82" w:rsidRDefault="00A57E96" w:rsidP="00B768D9">
            <w:pPr>
              <w:spacing w:after="0" w:line="240" w:lineRule="auto"/>
              <w:jc w:val="right"/>
              <w:rPr>
                <w:rFonts w:eastAsia="Times New Roman" w:cs="Times New Roman"/>
                <w:b/>
                <w:bCs/>
                <w:color w:val="000000"/>
                <w:sz w:val="18"/>
                <w:szCs w:val="18"/>
                <w:lang w:eastAsia="sk-SK"/>
              </w:rPr>
            </w:pPr>
            <w:r w:rsidRPr="00822E82">
              <w:rPr>
                <w:rFonts w:eastAsia="Times New Roman" w:cs="Times New Roman"/>
                <w:b/>
                <w:bCs/>
                <w:color w:val="000000"/>
                <w:sz w:val="18"/>
                <w:szCs w:val="18"/>
                <w:lang w:eastAsia="sk-SK"/>
              </w:rPr>
              <w:t>1 285 089</w:t>
            </w:r>
          </w:p>
        </w:tc>
        <w:tc>
          <w:tcPr>
            <w:tcW w:w="860" w:type="dxa"/>
            <w:tcBorders>
              <w:top w:val="single" w:sz="4" w:space="0" w:color="auto"/>
              <w:left w:val="nil"/>
              <w:bottom w:val="single" w:sz="8" w:space="0" w:color="auto"/>
              <w:right w:val="nil"/>
            </w:tcBorders>
            <w:shd w:val="clear" w:color="000000" w:fill="FFFFFF"/>
            <w:noWrap/>
            <w:vAlign w:val="center"/>
            <w:hideMark/>
          </w:tcPr>
          <w:p w14:paraId="559DC97D" w14:textId="77777777" w:rsidR="00A57E96" w:rsidRPr="00822E82" w:rsidRDefault="00A57E96" w:rsidP="00B768D9">
            <w:pPr>
              <w:spacing w:after="0" w:line="240" w:lineRule="auto"/>
              <w:jc w:val="right"/>
              <w:rPr>
                <w:rFonts w:eastAsia="Times New Roman" w:cs="Times New Roman"/>
                <w:b/>
                <w:bCs/>
                <w:color w:val="000000"/>
                <w:sz w:val="18"/>
                <w:szCs w:val="18"/>
                <w:lang w:eastAsia="sk-SK"/>
              </w:rPr>
            </w:pPr>
            <w:r w:rsidRPr="00822E82">
              <w:rPr>
                <w:rFonts w:eastAsia="Times New Roman" w:cs="Times New Roman"/>
                <w:b/>
                <w:bCs/>
                <w:color w:val="000000"/>
                <w:sz w:val="18"/>
                <w:szCs w:val="18"/>
                <w:lang w:eastAsia="sk-SK"/>
              </w:rPr>
              <w:t>2 129 738</w:t>
            </w:r>
          </w:p>
        </w:tc>
        <w:tc>
          <w:tcPr>
            <w:tcW w:w="880" w:type="dxa"/>
            <w:tcBorders>
              <w:top w:val="single" w:sz="4" w:space="0" w:color="auto"/>
              <w:left w:val="nil"/>
              <w:bottom w:val="single" w:sz="8" w:space="0" w:color="auto"/>
              <w:right w:val="nil"/>
            </w:tcBorders>
            <w:shd w:val="clear" w:color="auto" w:fill="auto"/>
            <w:noWrap/>
            <w:vAlign w:val="center"/>
            <w:hideMark/>
          </w:tcPr>
          <w:p w14:paraId="214792AF" w14:textId="77777777" w:rsidR="00A57E96" w:rsidRPr="00822E82" w:rsidRDefault="00A57E96" w:rsidP="00B768D9">
            <w:pPr>
              <w:spacing w:after="0" w:line="240" w:lineRule="auto"/>
              <w:jc w:val="right"/>
              <w:rPr>
                <w:rFonts w:eastAsia="Times New Roman" w:cs="Times New Roman"/>
                <w:b/>
                <w:bCs/>
                <w:color w:val="000000"/>
                <w:sz w:val="18"/>
                <w:szCs w:val="18"/>
                <w:lang w:eastAsia="sk-SK"/>
              </w:rPr>
            </w:pPr>
            <w:r w:rsidRPr="00822E82">
              <w:rPr>
                <w:rFonts w:eastAsia="Times New Roman" w:cs="Times New Roman"/>
                <w:b/>
                <w:bCs/>
                <w:color w:val="000000"/>
                <w:sz w:val="18"/>
                <w:szCs w:val="18"/>
                <w:lang w:eastAsia="sk-SK"/>
              </w:rPr>
              <w:t>1 738 326</w:t>
            </w:r>
          </w:p>
        </w:tc>
        <w:tc>
          <w:tcPr>
            <w:tcW w:w="820" w:type="dxa"/>
            <w:tcBorders>
              <w:top w:val="single" w:sz="4" w:space="0" w:color="auto"/>
              <w:left w:val="nil"/>
              <w:bottom w:val="single" w:sz="8" w:space="0" w:color="auto"/>
              <w:right w:val="nil"/>
            </w:tcBorders>
            <w:shd w:val="clear" w:color="000000" w:fill="FFFFFF"/>
            <w:noWrap/>
            <w:vAlign w:val="center"/>
            <w:hideMark/>
          </w:tcPr>
          <w:p w14:paraId="51D307FC" w14:textId="77777777" w:rsidR="00A57E96" w:rsidRPr="00822E82" w:rsidRDefault="00A57E96" w:rsidP="00B768D9">
            <w:pPr>
              <w:spacing w:after="0" w:line="240" w:lineRule="auto"/>
              <w:jc w:val="right"/>
              <w:rPr>
                <w:rFonts w:eastAsia="Times New Roman" w:cs="Times New Roman"/>
                <w:b/>
                <w:bCs/>
                <w:color w:val="000000"/>
                <w:sz w:val="18"/>
                <w:szCs w:val="18"/>
                <w:lang w:eastAsia="sk-SK"/>
              </w:rPr>
            </w:pPr>
            <w:r w:rsidRPr="00822E82">
              <w:rPr>
                <w:rFonts w:eastAsia="Times New Roman" w:cs="Times New Roman"/>
                <w:b/>
                <w:bCs/>
                <w:color w:val="000000"/>
                <w:sz w:val="18"/>
                <w:szCs w:val="18"/>
                <w:lang w:eastAsia="sk-SK"/>
              </w:rPr>
              <w:t>-391 412</w:t>
            </w:r>
          </w:p>
        </w:tc>
        <w:tc>
          <w:tcPr>
            <w:tcW w:w="640" w:type="dxa"/>
            <w:tcBorders>
              <w:top w:val="single" w:sz="4" w:space="0" w:color="auto"/>
              <w:left w:val="nil"/>
              <w:bottom w:val="single" w:sz="8" w:space="0" w:color="auto"/>
              <w:right w:val="nil"/>
            </w:tcBorders>
            <w:shd w:val="clear" w:color="000000" w:fill="FFFFFF"/>
            <w:noWrap/>
            <w:vAlign w:val="center"/>
            <w:hideMark/>
          </w:tcPr>
          <w:p w14:paraId="27E6222B" w14:textId="77777777" w:rsidR="00A57E96" w:rsidRPr="00822E82" w:rsidRDefault="00A57E96" w:rsidP="00B768D9">
            <w:pPr>
              <w:spacing w:after="0" w:line="240" w:lineRule="auto"/>
              <w:jc w:val="right"/>
              <w:rPr>
                <w:rFonts w:eastAsia="Times New Roman" w:cs="Times New Roman"/>
                <w:b/>
                <w:bCs/>
                <w:color w:val="000000"/>
                <w:sz w:val="18"/>
                <w:szCs w:val="18"/>
                <w:lang w:eastAsia="sk-SK"/>
              </w:rPr>
            </w:pPr>
            <w:r w:rsidRPr="00822E82">
              <w:rPr>
                <w:rFonts w:eastAsia="Times New Roman" w:cs="Times New Roman"/>
                <w:b/>
                <w:bCs/>
                <w:color w:val="000000"/>
                <w:sz w:val="18"/>
                <w:szCs w:val="18"/>
                <w:lang w:eastAsia="sk-SK"/>
              </w:rPr>
              <w:t>-18,4</w:t>
            </w:r>
          </w:p>
        </w:tc>
      </w:tr>
    </w:tbl>
    <w:p w14:paraId="656404AD" w14:textId="60C98486" w:rsidR="00A57E96" w:rsidRPr="00F16AE0" w:rsidRDefault="00A57E96" w:rsidP="00903AF4">
      <w:pPr>
        <w:ind w:left="7080" w:firstLine="708"/>
        <w:jc w:val="right"/>
        <w:rPr>
          <w:rFonts w:eastAsia="Times New Roman" w:cs="Times New Roman"/>
          <w:color w:val="000000"/>
          <w:sz w:val="18"/>
          <w:szCs w:val="18"/>
          <w:lang w:eastAsia="sk-SK"/>
        </w:rPr>
      </w:pPr>
      <w:r w:rsidRPr="00F16AE0">
        <w:rPr>
          <w:rFonts w:eastAsia="Times New Roman" w:cs="Times New Roman"/>
          <w:color w:val="000000"/>
          <w:sz w:val="18"/>
          <w:szCs w:val="18"/>
          <w:lang w:eastAsia="sk-SK"/>
        </w:rPr>
        <w:t>Zdroj: MF SR</w:t>
      </w:r>
    </w:p>
    <w:p w14:paraId="49145CB4" w14:textId="77777777" w:rsidR="00A57E96" w:rsidRDefault="00A57E96" w:rsidP="00A57E96">
      <w:pPr>
        <w:tabs>
          <w:tab w:val="left" w:pos="284"/>
        </w:tabs>
        <w:spacing w:line="240" w:lineRule="auto"/>
        <w:rPr>
          <w:color w:val="000000" w:themeColor="text1"/>
          <w:sz w:val="24"/>
          <w:szCs w:val="24"/>
        </w:rPr>
      </w:pPr>
      <w:r w:rsidRPr="0041550E">
        <w:rPr>
          <w:b/>
          <w:color w:val="000000" w:themeColor="text1"/>
          <w:sz w:val="24"/>
          <w:szCs w:val="24"/>
        </w:rPr>
        <w:t>Príjmy z podnikania a z vlastníctva majetku</w:t>
      </w:r>
      <w:r w:rsidRPr="0041550E">
        <w:rPr>
          <w:color w:val="000000" w:themeColor="text1"/>
          <w:sz w:val="24"/>
          <w:szCs w:val="24"/>
        </w:rPr>
        <w:t xml:space="preserve"> </w:t>
      </w:r>
      <w:r>
        <w:rPr>
          <w:color w:val="000000" w:themeColor="text1"/>
          <w:sz w:val="24"/>
          <w:szCs w:val="24"/>
        </w:rPr>
        <w:t>boli svojou výškou jednou z</w:t>
      </w:r>
      <w:r w:rsidRPr="0041550E">
        <w:rPr>
          <w:color w:val="000000" w:themeColor="text1"/>
          <w:sz w:val="24"/>
          <w:szCs w:val="24"/>
        </w:rPr>
        <w:t xml:space="preserve"> najdôležitejš</w:t>
      </w:r>
      <w:r>
        <w:rPr>
          <w:color w:val="000000" w:themeColor="text1"/>
          <w:sz w:val="24"/>
          <w:szCs w:val="24"/>
        </w:rPr>
        <w:t>ích</w:t>
      </w:r>
      <w:r w:rsidRPr="0041550E">
        <w:rPr>
          <w:color w:val="000000" w:themeColor="text1"/>
          <w:sz w:val="24"/>
          <w:szCs w:val="24"/>
        </w:rPr>
        <w:t xml:space="preserve"> čas</w:t>
      </w:r>
      <w:r>
        <w:rPr>
          <w:color w:val="000000" w:themeColor="text1"/>
          <w:sz w:val="24"/>
          <w:szCs w:val="24"/>
        </w:rPr>
        <w:t>tí</w:t>
      </w:r>
      <w:r w:rsidRPr="0041550E">
        <w:rPr>
          <w:color w:val="000000" w:themeColor="text1"/>
          <w:sz w:val="24"/>
          <w:szCs w:val="24"/>
        </w:rPr>
        <w:t xml:space="preserve"> nedaňových príjmov. Z tejto sumy najpodstatnejšiu časť tvori</w:t>
      </w:r>
      <w:r>
        <w:rPr>
          <w:color w:val="000000" w:themeColor="text1"/>
          <w:sz w:val="24"/>
          <w:szCs w:val="24"/>
        </w:rPr>
        <w:t>li</w:t>
      </w:r>
      <w:r w:rsidRPr="0041550E">
        <w:rPr>
          <w:color w:val="000000" w:themeColor="text1"/>
          <w:sz w:val="24"/>
          <w:szCs w:val="24"/>
        </w:rPr>
        <w:t xml:space="preserve"> </w:t>
      </w:r>
      <w:r w:rsidRPr="0041550E">
        <w:rPr>
          <w:b/>
          <w:i/>
          <w:color w:val="000000" w:themeColor="text1"/>
          <w:sz w:val="24"/>
          <w:szCs w:val="24"/>
        </w:rPr>
        <w:t>prijaté dividendy</w:t>
      </w:r>
      <w:r w:rsidRPr="0041550E">
        <w:rPr>
          <w:b/>
          <w:color w:val="000000" w:themeColor="text1"/>
          <w:sz w:val="24"/>
          <w:szCs w:val="24"/>
        </w:rPr>
        <w:t xml:space="preserve"> </w:t>
      </w:r>
      <w:r w:rsidRPr="0041550E">
        <w:rPr>
          <w:color w:val="000000" w:themeColor="text1"/>
          <w:sz w:val="24"/>
          <w:szCs w:val="24"/>
        </w:rPr>
        <w:t>z obchodných spoločností štátu, ktoré vyinkasovali vybrané kapitoly štátneho rozpočtu reálne v roku 202</w:t>
      </w:r>
      <w:r>
        <w:rPr>
          <w:color w:val="000000" w:themeColor="text1"/>
          <w:sz w:val="24"/>
          <w:szCs w:val="24"/>
        </w:rPr>
        <w:t>3</w:t>
      </w:r>
      <w:r w:rsidRPr="0041550E">
        <w:rPr>
          <w:color w:val="000000" w:themeColor="text1"/>
          <w:sz w:val="24"/>
          <w:szCs w:val="24"/>
        </w:rPr>
        <w:t xml:space="preserve"> (najčastejšie rozdelené z výsledkov hospodárenia predchádzajúcich období). </w:t>
      </w:r>
    </w:p>
    <w:p w14:paraId="59AFD4DC" w14:textId="77777777" w:rsidR="00A86470" w:rsidRDefault="00A86470">
      <w:r>
        <w:br w:type="page"/>
      </w:r>
    </w:p>
    <w:tbl>
      <w:tblPr>
        <w:tblW w:w="9356" w:type="dxa"/>
        <w:tblCellMar>
          <w:left w:w="70" w:type="dxa"/>
          <w:right w:w="70" w:type="dxa"/>
        </w:tblCellMar>
        <w:tblLook w:val="04A0" w:firstRow="1" w:lastRow="0" w:firstColumn="1" w:lastColumn="0" w:noHBand="0" w:noVBand="1"/>
      </w:tblPr>
      <w:tblGrid>
        <w:gridCol w:w="3686"/>
        <w:gridCol w:w="992"/>
        <w:gridCol w:w="992"/>
        <w:gridCol w:w="851"/>
        <w:gridCol w:w="992"/>
        <w:gridCol w:w="992"/>
        <w:gridCol w:w="851"/>
      </w:tblGrid>
      <w:tr w:rsidR="00A57E96" w:rsidRPr="00796335" w14:paraId="1F455D57" w14:textId="77777777" w:rsidTr="00385988">
        <w:trPr>
          <w:trHeight w:val="345"/>
        </w:trPr>
        <w:tc>
          <w:tcPr>
            <w:tcW w:w="5670" w:type="dxa"/>
            <w:gridSpan w:val="3"/>
            <w:tcBorders>
              <w:top w:val="nil"/>
              <w:left w:val="nil"/>
              <w:bottom w:val="single" w:sz="8" w:space="0" w:color="auto"/>
              <w:right w:val="nil"/>
            </w:tcBorders>
            <w:shd w:val="clear" w:color="auto" w:fill="auto"/>
            <w:noWrap/>
            <w:vAlign w:val="center"/>
            <w:hideMark/>
          </w:tcPr>
          <w:p w14:paraId="2D3548E6" w14:textId="3B1F4203" w:rsidR="00A57E96" w:rsidRPr="00C65CD4" w:rsidRDefault="00A57E96" w:rsidP="004A6E2F">
            <w:pPr>
              <w:spacing w:after="0" w:line="240" w:lineRule="auto"/>
              <w:jc w:val="left"/>
              <w:rPr>
                <w:rFonts w:eastAsia="Times New Roman" w:cs="Times New Roman"/>
                <w:b/>
                <w:bCs/>
                <w:color w:val="5B9BD5"/>
                <w:sz w:val="20"/>
                <w:szCs w:val="20"/>
                <w:lang w:eastAsia="sk-SK"/>
              </w:rPr>
            </w:pPr>
            <w:r w:rsidRPr="00C65CD4">
              <w:rPr>
                <w:rFonts w:eastAsia="Times New Roman" w:cs="Times New Roman"/>
                <w:b/>
                <w:bCs/>
                <w:color w:val="5B9BD5"/>
                <w:sz w:val="20"/>
                <w:szCs w:val="20"/>
                <w:lang w:eastAsia="sk-SK"/>
              </w:rPr>
              <w:lastRenderedPageBreak/>
              <w:t xml:space="preserve">Tabuľka </w:t>
            </w:r>
            <w:r w:rsidR="004A6E2F">
              <w:rPr>
                <w:rFonts w:eastAsia="Times New Roman" w:cs="Times New Roman"/>
                <w:b/>
                <w:bCs/>
                <w:color w:val="5B9BD5"/>
                <w:sz w:val="20"/>
                <w:szCs w:val="20"/>
                <w:lang w:eastAsia="sk-SK"/>
              </w:rPr>
              <w:t>29</w:t>
            </w:r>
            <w:r w:rsidRPr="00C65CD4">
              <w:rPr>
                <w:rFonts w:eastAsia="Times New Roman" w:cs="Times New Roman"/>
                <w:b/>
                <w:bCs/>
                <w:color w:val="5B9BD5"/>
                <w:sz w:val="20"/>
                <w:szCs w:val="20"/>
                <w:lang w:eastAsia="sk-SK"/>
              </w:rPr>
              <w:t xml:space="preserve"> - Hotovostné dividendy podľa kapitol ŠR</w:t>
            </w:r>
          </w:p>
        </w:tc>
        <w:tc>
          <w:tcPr>
            <w:tcW w:w="851" w:type="dxa"/>
            <w:tcBorders>
              <w:top w:val="nil"/>
              <w:left w:val="nil"/>
              <w:bottom w:val="single" w:sz="8" w:space="0" w:color="auto"/>
              <w:right w:val="nil"/>
            </w:tcBorders>
            <w:shd w:val="clear" w:color="auto" w:fill="auto"/>
            <w:vAlign w:val="center"/>
            <w:hideMark/>
          </w:tcPr>
          <w:p w14:paraId="703A5B6B" w14:textId="77777777" w:rsidR="00A57E96" w:rsidRPr="00796335" w:rsidRDefault="00A57E96" w:rsidP="00385988">
            <w:pPr>
              <w:spacing w:after="0" w:line="240" w:lineRule="auto"/>
              <w:jc w:val="left"/>
              <w:rPr>
                <w:rFonts w:eastAsia="Times New Roman" w:cs="Times New Roman"/>
                <w:b/>
                <w:bCs/>
                <w:color w:val="000000"/>
                <w:sz w:val="18"/>
                <w:szCs w:val="18"/>
                <w:lang w:eastAsia="sk-SK"/>
              </w:rPr>
            </w:pPr>
            <w:r w:rsidRPr="00796335">
              <w:rPr>
                <w:rFonts w:eastAsia="Times New Roman" w:cs="Times New Roman"/>
                <w:b/>
                <w:bCs/>
                <w:color w:val="000000"/>
                <w:sz w:val="18"/>
                <w:szCs w:val="18"/>
                <w:lang w:eastAsia="sk-SK"/>
              </w:rPr>
              <w:t> </w:t>
            </w:r>
          </w:p>
        </w:tc>
        <w:tc>
          <w:tcPr>
            <w:tcW w:w="992" w:type="dxa"/>
            <w:tcBorders>
              <w:top w:val="nil"/>
              <w:left w:val="nil"/>
              <w:bottom w:val="single" w:sz="8" w:space="0" w:color="auto"/>
              <w:right w:val="nil"/>
            </w:tcBorders>
            <w:shd w:val="clear" w:color="auto" w:fill="auto"/>
            <w:vAlign w:val="center"/>
            <w:hideMark/>
          </w:tcPr>
          <w:p w14:paraId="09D21D19" w14:textId="77777777" w:rsidR="00A57E96" w:rsidRPr="00796335" w:rsidRDefault="00A57E96" w:rsidP="00385988">
            <w:pPr>
              <w:spacing w:after="0" w:line="240" w:lineRule="auto"/>
              <w:jc w:val="left"/>
              <w:rPr>
                <w:rFonts w:eastAsia="Times New Roman" w:cs="Times New Roman"/>
                <w:b/>
                <w:bCs/>
                <w:color w:val="000000"/>
                <w:sz w:val="18"/>
                <w:szCs w:val="18"/>
                <w:lang w:eastAsia="sk-SK"/>
              </w:rPr>
            </w:pPr>
            <w:r w:rsidRPr="00796335">
              <w:rPr>
                <w:rFonts w:eastAsia="Times New Roman" w:cs="Times New Roman"/>
                <w:b/>
                <w:bCs/>
                <w:color w:val="000000"/>
                <w:sz w:val="18"/>
                <w:szCs w:val="18"/>
                <w:lang w:eastAsia="sk-SK"/>
              </w:rPr>
              <w:t> </w:t>
            </w:r>
          </w:p>
        </w:tc>
        <w:tc>
          <w:tcPr>
            <w:tcW w:w="992" w:type="dxa"/>
            <w:tcBorders>
              <w:top w:val="nil"/>
              <w:left w:val="nil"/>
              <w:bottom w:val="single" w:sz="8" w:space="0" w:color="auto"/>
              <w:right w:val="nil"/>
            </w:tcBorders>
            <w:shd w:val="clear" w:color="auto" w:fill="auto"/>
            <w:noWrap/>
            <w:vAlign w:val="center"/>
            <w:hideMark/>
          </w:tcPr>
          <w:p w14:paraId="5CB2FA0F" w14:textId="77777777" w:rsidR="00A57E96" w:rsidRPr="00796335" w:rsidRDefault="00A57E96" w:rsidP="00385988">
            <w:pPr>
              <w:spacing w:after="0" w:line="240" w:lineRule="auto"/>
              <w:jc w:val="left"/>
              <w:rPr>
                <w:rFonts w:eastAsia="Times New Roman" w:cs="Times New Roman"/>
                <w:color w:val="000000"/>
                <w:sz w:val="18"/>
                <w:szCs w:val="18"/>
                <w:lang w:eastAsia="sk-SK"/>
              </w:rPr>
            </w:pPr>
            <w:r w:rsidRPr="00796335">
              <w:rPr>
                <w:rFonts w:eastAsia="Times New Roman" w:cs="Times New Roman"/>
                <w:color w:val="000000"/>
                <w:sz w:val="18"/>
                <w:szCs w:val="18"/>
                <w:lang w:eastAsia="sk-SK"/>
              </w:rPr>
              <w:t> </w:t>
            </w:r>
          </w:p>
        </w:tc>
        <w:tc>
          <w:tcPr>
            <w:tcW w:w="851" w:type="dxa"/>
            <w:tcBorders>
              <w:top w:val="nil"/>
              <w:left w:val="nil"/>
              <w:bottom w:val="single" w:sz="8" w:space="0" w:color="auto"/>
              <w:right w:val="nil"/>
            </w:tcBorders>
            <w:shd w:val="clear" w:color="auto" w:fill="auto"/>
            <w:noWrap/>
            <w:vAlign w:val="center"/>
            <w:hideMark/>
          </w:tcPr>
          <w:p w14:paraId="592FF135" w14:textId="77777777" w:rsidR="00A57E96" w:rsidRPr="00796335" w:rsidRDefault="00A57E96" w:rsidP="00385988">
            <w:pPr>
              <w:spacing w:after="0" w:line="240" w:lineRule="auto"/>
              <w:jc w:val="left"/>
              <w:rPr>
                <w:rFonts w:eastAsia="Times New Roman" w:cs="Times New Roman"/>
                <w:color w:val="000000"/>
                <w:sz w:val="18"/>
                <w:szCs w:val="18"/>
                <w:lang w:eastAsia="sk-SK"/>
              </w:rPr>
            </w:pPr>
            <w:r w:rsidRPr="00796335">
              <w:rPr>
                <w:rFonts w:eastAsia="Times New Roman" w:cs="Times New Roman"/>
                <w:color w:val="000000"/>
                <w:sz w:val="18"/>
                <w:szCs w:val="18"/>
                <w:lang w:eastAsia="sk-SK"/>
              </w:rPr>
              <w:t> </w:t>
            </w:r>
          </w:p>
        </w:tc>
      </w:tr>
      <w:tr w:rsidR="00A57E96" w:rsidRPr="00796335" w14:paraId="59FBFBA4" w14:textId="77777777" w:rsidTr="00385988">
        <w:trPr>
          <w:trHeight w:val="330"/>
        </w:trPr>
        <w:tc>
          <w:tcPr>
            <w:tcW w:w="3686" w:type="dxa"/>
            <w:tcBorders>
              <w:top w:val="nil"/>
              <w:left w:val="nil"/>
              <w:bottom w:val="nil"/>
              <w:right w:val="nil"/>
            </w:tcBorders>
            <w:shd w:val="clear" w:color="auto" w:fill="auto"/>
            <w:vAlign w:val="center"/>
            <w:hideMark/>
          </w:tcPr>
          <w:p w14:paraId="431A9957" w14:textId="6A455840" w:rsidR="00A57E96" w:rsidRPr="00796335" w:rsidRDefault="00A57E96" w:rsidP="00B768D9">
            <w:pPr>
              <w:spacing w:after="0" w:line="240" w:lineRule="auto"/>
              <w:jc w:val="left"/>
              <w:rPr>
                <w:rFonts w:eastAsia="Times New Roman" w:cs="Times New Roman"/>
                <w:b/>
                <w:bCs/>
                <w:color w:val="000000"/>
                <w:sz w:val="18"/>
                <w:szCs w:val="18"/>
                <w:lang w:eastAsia="sk-SK"/>
              </w:rPr>
            </w:pPr>
            <w:r w:rsidRPr="00796335">
              <w:rPr>
                <w:rFonts w:eastAsia="Times New Roman" w:cs="Times New Roman"/>
                <w:b/>
                <w:bCs/>
                <w:color w:val="000000"/>
                <w:sz w:val="18"/>
                <w:szCs w:val="18"/>
                <w:lang w:eastAsia="sk-SK"/>
              </w:rPr>
              <w:t>v tis. eur</w:t>
            </w:r>
          </w:p>
        </w:tc>
        <w:tc>
          <w:tcPr>
            <w:tcW w:w="992" w:type="dxa"/>
            <w:tcBorders>
              <w:top w:val="nil"/>
              <w:left w:val="nil"/>
              <w:bottom w:val="nil"/>
              <w:right w:val="nil"/>
            </w:tcBorders>
            <w:shd w:val="clear" w:color="auto" w:fill="auto"/>
            <w:vAlign w:val="center"/>
            <w:hideMark/>
          </w:tcPr>
          <w:p w14:paraId="6E796410" w14:textId="77777777" w:rsidR="00A57E96" w:rsidRPr="00796335" w:rsidRDefault="00A57E96" w:rsidP="00B768D9">
            <w:pPr>
              <w:spacing w:after="0" w:line="240" w:lineRule="auto"/>
              <w:jc w:val="center"/>
              <w:rPr>
                <w:rFonts w:eastAsia="Times New Roman" w:cs="Times New Roman"/>
                <w:b/>
                <w:bCs/>
                <w:color w:val="000000"/>
                <w:sz w:val="18"/>
                <w:szCs w:val="18"/>
                <w:lang w:eastAsia="sk-SK"/>
              </w:rPr>
            </w:pPr>
            <w:r w:rsidRPr="00796335">
              <w:rPr>
                <w:rFonts w:eastAsia="Times New Roman" w:cs="Times New Roman"/>
                <w:b/>
                <w:bCs/>
                <w:color w:val="000000"/>
                <w:sz w:val="18"/>
                <w:szCs w:val="18"/>
                <w:lang w:eastAsia="sk-SK"/>
              </w:rPr>
              <w:t>2021 S</w:t>
            </w:r>
          </w:p>
        </w:tc>
        <w:tc>
          <w:tcPr>
            <w:tcW w:w="992" w:type="dxa"/>
            <w:tcBorders>
              <w:top w:val="nil"/>
              <w:left w:val="nil"/>
              <w:bottom w:val="nil"/>
              <w:right w:val="nil"/>
            </w:tcBorders>
            <w:shd w:val="clear" w:color="auto" w:fill="auto"/>
            <w:vAlign w:val="center"/>
            <w:hideMark/>
          </w:tcPr>
          <w:p w14:paraId="4200A243" w14:textId="77777777" w:rsidR="00A57E96" w:rsidRPr="00796335" w:rsidRDefault="00A57E96" w:rsidP="00B768D9">
            <w:pPr>
              <w:spacing w:after="0" w:line="240" w:lineRule="auto"/>
              <w:jc w:val="center"/>
              <w:rPr>
                <w:rFonts w:eastAsia="Times New Roman" w:cs="Times New Roman"/>
                <w:b/>
                <w:bCs/>
                <w:color w:val="000000"/>
                <w:sz w:val="18"/>
                <w:szCs w:val="18"/>
                <w:lang w:eastAsia="sk-SK"/>
              </w:rPr>
            </w:pPr>
            <w:r w:rsidRPr="00796335">
              <w:rPr>
                <w:rFonts w:eastAsia="Times New Roman" w:cs="Times New Roman"/>
                <w:b/>
                <w:bCs/>
                <w:color w:val="000000"/>
                <w:sz w:val="18"/>
                <w:szCs w:val="18"/>
                <w:lang w:eastAsia="sk-SK"/>
              </w:rPr>
              <w:t>2022 S</w:t>
            </w:r>
          </w:p>
        </w:tc>
        <w:tc>
          <w:tcPr>
            <w:tcW w:w="851" w:type="dxa"/>
            <w:tcBorders>
              <w:top w:val="nil"/>
              <w:left w:val="nil"/>
              <w:bottom w:val="nil"/>
              <w:right w:val="nil"/>
            </w:tcBorders>
            <w:shd w:val="clear" w:color="auto" w:fill="auto"/>
            <w:vAlign w:val="center"/>
            <w:hideMark/>
          </w:tcPr>
          <w:p w14:paraId="2D5DC646" w14:textId="77777777" w:rsidR="00A57E96" w:rsidRPr="00796335" w:rsidRDefault="00A57E96" w:rsidP="00B768D9">
            <w:pPr>
              <w:spacing w:after="0" w:line="240" w:lineRule="auto"/>
              <w:jc w:val="center"/>
              <w:rPr>
                <w:rFonts w:eastAsia="Times New Roman" w:cs="Times New Roman"/>
                <w:b/>
                <w:bCs/>
                <w:color w:val="000000"/>
                <w:sz w:val="18"/>
                <w:szCs w:val="18"/>
                <w:lang w:eastAsia="sk-SK"/>
              </w:rPr>
            </w:pPr>
            <w:r w:rsidRPr="00796335">
              <w:rPr>
                <w:rFonts w:eastAsia="Times New Roman" w:cs="Times New Roman"/>
                <w:b/>
                <w:bCs/>
                <w:color w:val="000000"/>
                <w:sz w:val="18"/>
                <w:szCs w:val="18"/>
                <w:lang w:eastAsia="sk-SK"/>
              </w:rPr>
              <w:t>2023 R</w:t>
            </w:r>
          </w:p>
        </w:tc>
        <w:tc>
          <w:tcPr>
            <w:tcW w:w="992" w:type="dxa"/>
            <w:tcBorders>
              <w:top w:val="nil"/>
              <w:left w:val="nil"/>
              <w:bottom w:val="nil"/>
              <w:right w:val="nil"/>
            </w:tcBorders>
            <w:shd w:val="clear" w:color="auto" w:fill="auto"/>
            <w:vAlign w:val="center"/>
            <w:hideMark/>
          </w:tcPr>
          <w:p w14:paraId="018C2E6B" w14:textId="77777777" w:rsidR="00A57E96" w:rsidRPr="00796335" w:rsidRDefault="00A57E96" w:rsidP="00B768D9">
            <w:pPr>
              <w:spacing w:after="0" w:line="240" w:lineRule="auto"/>
              <w:jc w:val="center"/>
              <w:rPr>
                <w:rFonts w:eastAsia="Times New Roman" w:cs="Times New Roman"/>
                <w:b/>
                <w:bCs/>
                <w:color w:val="000000"/>
                <w:sz w:val="18"/>
                <w:szCs w:val="18"/>
                <w:lang w:eastAsia="sk-SK"/>
              </w:rPr>
            </w:pPr>
            <w:r w:rsidRPr="00796335">
              <w:rPr>
                <w:rFonts w:eastAsia="Times New Roman" w:cs="Times New Roman"/>
                <w:b/>
                <w:bCs/>
                <w:color w:val="000000"/>
                <w:sz w:val="18"/>
                <w:szCs w:val="18"/>
                <w:lang w:eastAsia="sk-SK"/>
              </w:rPr>
              <w:t>2023 S</w:t>
            </w:r>
          </w:p>
        </w:tc>
        <w:tc>
          <w:tcPr>
            <w:tcW w:w="992" w:type="dxa"/>
            <w:tcBorders>
              <w:top w:val="nil"/>
              <w:left w:val="nil"/>
              <w:bottom w:val="nil"/>
              <w:right w:val="nil"/>
            </w:tcBorders>
            <w:shd w:val="clear" w:color="auto" w:fill="auto"/>
            <w:vAlign w:val="center"/>
            <w:hideMark/>
          </w:tcPr>
          <w:p w14:paraId="79DD812E" w14:textId="77777777" w:rsidR="00A57E96" w:rsidRPr="00796335" w:rsidRDefault="00A57E96" w:rsidP="00B768D9">
            <w:pPr>
              <w:spacing w:after="0" w:line="240" w:lineRule="auto"/>
              <w:jc w:val="center"/>
              <w:rPr>
                <w:rFonts w:eastAsia="Times New Roman" w:cs="Times New Roman"/>
                <w:b/>
                <w:bCs/>
                <w:color w:val="000000"/>
                <w:sz w:val="18"/>
                <w:szCs w:val="18"/>
                <w:lang w:eastAsia="sk-SK"/>
              </w:rPr>
            </w:pPr>
            <w:r w:rsidRPr="00796335">
              <w:rPr>
                <w:rFonts w:eastAsia="Times New Roman" w:cs="Times New Roman"/>
                <w:b/>
                <w:bCs/>
                <w:color w:val="000000"/>
                <w:sz w:val="18"/>
                <w:szCs w:val="18"/>
                <w:lang w:eastAsia="sk-SK"/>
              </w:rPr>
              <w:t xml:space="preserve">Rozdiel </w:t>
            </w:r>
          </w:p>
        </w:tc>
        <w:tc>
          <w:tcPr>
            <w:tcW w:w="851" w:type="dxa"/>
            <w:tcBorders>
              <w:top w:val="nil"/>
              <w:left w:val="nil"/>
              <w:bottom w:val="nil"/>
              <w:right w:val="nil"/>
            </w:tcBorders>
            <w:shd w:val="clear" w:color="auto" w:fill="auto"/>
            <w:vAlign w:val="center"/>
            <w:hideMark/>
          </w:tcPr>
          <w:p w14:paraId="41B1B866" w14:textId="77777777" w:rsidR="00A57E96" w:rsidRPr="00796335" w:rsidRDefault="00A57E96" w:rsidP="00B768D9">
            <w:pPr>
              <w:spacing w:after="0" w:line="240" w:lineRule="auto"/>
              <w:jc w:val="center"/>
              <w:rPr>
                <w:rFonts w:eastAsia="Times New Roman" w:cs="Times New Roman"/>
                <w:b/>
                <w:bCs/>
                <w:color w:val="000000"/>
                <w:sz w:val="18"/>
                <w:szCs w:val="18"/>
                <w:lang w:eastAsia="sk-SK"/>
              </w:rPr>
            </w:pPr>
            <w:r w:rsidRPr="00796335">
              <w:rPr>
                <w:rFonts w:eastAsia="Times New Roman" w:cs="Times New Roman"/>
                <w:b/>
                <w:bCs/>
                <w:color w:val="000000"/>
                <w:sz w:val="18"/>
                <w:szCs w:val="18"/>
                <w:lang w:eastAsia="sk-SK"/>
              </w:rPr>
              <w:t>v %</w:t>
            </w:r>
          </w:p>
        </w:tc>
      </w:tr>
      <w:tr w:rsidR="00A57E96" w:rsidRPr="00796335" w14:paraId="1A26E776" w14:textId="77777777" w:rsidTr="00385988">
        <w:trPr>
          <w:trHeight w:val="345"/>
        </w:trPr>
        <w:tc>
          <w:tcPr>
            <w:tcW w:w="3686" w:type="dxa"/>
            <w:tcBorders>
              <w:top w:val="nil"/>
              <w:left w:val="nil"/>
              <w:bottom w:val="single" w:sz="8" w:space="0" w:color="auto"/>
              <w:right w:val="nil"/>
            </w:tcBorders>
            <w:shd w:val="clear" w:color="auto" w:fill="auto"/>
            <w:vAlign w:val="center"/>
            <w:hideMark/>
          </w:tcPr>
          <w:p w14:paraId="32F1B392" w14:textId="77777777" w:rsidR="00A57E96" w:rsidRPr="00796335" w:rsidRDefault="00A57E96" w:rsidP="00B768D9">
            <w:pPr>
              <w:spacing w:after="0" w:line="240" w:lineRule="auto"/>
              <w:jc w:val="left"/>
              <w:rPr>
                <w:rFonts w:eastAsia="Times New Roman" w:cs="Times New Roman"/>
                <w:b/>
                <w:bCs/>
                <w:color w:val="FFFFFF"/>
                <w:sz w:val="18"/>
                <w:szCs w:val="18"/>
                <w:lang w:eastAsia="sk-SK"/>
              </w:rPr>
            </w:pPr>
            <w:r w:rsidRPr="00796335">
              <w:rPr>
                <w:rFonts w:eastAsia="Times New Roman" w:cs="Times New Roman"/>
                <w:b/>
                <w:bCs/>
                <w:color w:val="FFFFFF"/>
                <w:sz w:val="18"/>
                <w:szCs w:val="18"/>
                <w:lang w:eastAsia="sk-SK"/>
              </w:rPr>
              <w:t> </w:t>
            </w:r>
          </w:p>
        </w:tc>
        <w:tc>
          <w:tcPr>
            <w:tcW w:w="992" w:type="dxa"/>
            <w:tcBorders>
              <w:top w:val="nil"/>
              <w:left w:val="nil"/>
              <w:bottom w:val="single" w:sz="8" w:space="0" w:color="auto"/>
              <w:right w:val="nil"/>
            </w:tcBorders>
            <w:shd w:val="clear" w:color="auto" w:fill="auto"/>
            <w:vAlign w:val="center"/>
            <w:hideMark/>
          </w:tcPr>
          <w:p w14:paraId="7D82BE94" w14:textId="77777777" w:rsidR="00A57E96" w:rsidRPr="00796335" w:rsidRDefault="00A57E96" w:rsidP="00B768D9">
            <w:pPr>
              <w:spacing w:after="0" w:line="240" w:lineRule="auto"/>
              <w:jc w:val="center"/>
              <w:rPr>
                <w:rFonts w:eastAsia="Times New Roman" w:cs="Times New Roman"/>
                <w:b/>
                <w:bCs/>
                <w:sz w:val="18"/>
                <w:szCs w:val="18"/>
                <w:lang w:eastAsia="sk-SK"/>
              </w:rPr>
            </w:pPr>
            <w:r w:rsidRPr="00796335">
              <w:rPr>
                <w:rFonts w:eastAsia="Times New Roman" w:cs="Times New Roman"/>
                <w:b/>
                <w:bCs/>
                <w:sz w:val="18"/>
                <w:szCs w:val="18"/>
                <w:lang w:eastAsia="sk-SK"/>
              </w:rPr>
              <w:t>1</w:t>
            </w:r>
          </w:p>
        </w:tc>
        <w:tc>
          <w:tcPr>
            <w:tcW w:w="992" w:type="dxa"/>
            <w:tcBorders>
              <w:top w:val="nil"/>
              <w:left w:val="nil"/>
              <w:bottom w:val="single" w:sz="8" w:space="0" w:color="auto"/>
              <w:right w:val="nil"/>
            </w:tcBorders>
            <w:shd w:val="clear" w:color="auto" w:fill="auto"/>
            <w:vAlign w:val="center"/>
            <w:hideMark/>
          </w:tcPr>
          <w:p w14:paraId="1BD62C1A" w14:textId="77777777" w:rsidR="00A57E96" w:rsidRPr="00796335" w:rsidRDefault="00A57E96" w:rsidP="00B768D9">
            <w:pPr>
              <w:spacing w:after="0" w:line="240" w:lineRule="auto"/>
              <w:jc w:val="center"/>
              <w:rPr>
                <w:rFonts w:eastAsia="Times New Roman" w:cs="Times New Roman"/>
                <w:b/>
                <w:bCs/>
                <w:sz w:val="18"/>
                <w:szCs w:val="18"/>
                <w:lang w:eastAsia="sk-SK"/>
              </w:rPr>
            </w:pPr>
            <w:r w:rsidRPr="00796335">
              <w:rPr>
                <w:rFonts w:eastAsia="Times New Roman" w:cs="Times New Roman"/>
                <w:b/>
                <w:bCs/>
                <w:sz w:val="18"/>
                <w:szCs w:val="18"/>
                <w:lang w:eastAsia="sk-SK"/>
              </w:rPr>
              <w:t>2</w:t>
            </w:r>
          </w:p>
        </w:tc>
        <w:tc>
          <w:tcPr>
            <w:tcW w:w="851" w:type="dxa"/>
            <w:tcBorders>
              <w:top w:val="nil"/>
              <w:left w:val="nil"/>
              <w:bottom w:val="single" w:sz="8" w:space="0" w:color="auto"/>
              <w:right w:val="nil"/>
            </w:tcBorders>
            <w:shd w:val="clear" w:color="auto" w:fill="auto"/>
            <w:vAlign w:val="center"/>
            <w:hideMark/>
          </w:tcPr>
          <w:p w14:paraId="0266B080" w14:textId="77777777" w:rsidR="00A57E96" w:rsidRPr="00796335" w:rsidRDefault="00A57E96" w:rsidP="00B768D9">
            <w:pPr>
              <w:spacing w:after="0" w:line="240" w:lineRule="auto"/>
              <w:jc w:val="center"/>
              <w:rPr>
                <w:rFonts w:eastAsia="Times New Roman" w:cs="Times New Roman"/>
                <w:b/>
                <w:bCs/>
                <w:sz w:val="18"/>
                <w:szCs w:val="18"/>
                <w:lang w:eastAsia="sk-SK"/>
              </w:rPr>
            </w:pPr>
            <w:r w:rsidRPr="00796335">
              <w:rPr>
                <w:rFonts w:eastAsia="Times New Roman" w:cs="Times New Roman"/>
                <w:b/>
                <w:bCs/>
                <w:sz w:val="18"/>
                <w:szCs w:val="18"/>
                <w:lang w:eastAsia="sk-SK"/>
              </w:rPr>
              <w:t>3</w:t>
            </w:r>
          </w:p>
        </w:tc>
        <w:tc>
          <w:tcPr>
            <w:tcW w:w="992" w:type="dxa"/>
            <w:tcBorders>
              <w:top w:val="nil"/>
              <w:left w:val="nil"/>
              <w:bottom w:val="single" w:sz="8" w:space="0" w:color="auto"/>
              <w:right w:val="nil"/>
            </w:tcBorders>
            <w:shd w:val="clear" w:color="auto" w:fill="auto"/>
            <w:vAlign w:val="center"/>
            <w:hideMark/>
          </w:tcPr>
          <w:p w14:paraId="388DC3D1" w14:textId="77777777" w:rsidR="00A57E96" w:rsidRPr="00796335" w:rsidRDefault="00A57E96" w:rsidP="00B768D9">
            <w:pPr>
              <w:spacing w:after="0" w:line="240" w:lineRule="auto"/>
              <w:jc w:val="center"/>
              <w:rPr>
                <w:rFonts w:eastAsia="Times New Roman" w:cs="Times New Roman"/>
                <w:b/>
                <w:bCs/>
                <w:sz w:val="18"/>
                <w:szCs w:val="18"/>
                <w:lang w:eastAsia="sk-SK"/>
              </w:rPr>
            </w:pPr>
            <w:r w:rsidRPr="00796335">
              <w:rPr>
                <w:rFonts w:eastAsia="Times New Roman" w:cs="Times New Roman"/>
                <w:b/>
                <w:bCs/>
                <w:sz w:val="18"/>
                <w:szCs w:val="18"/>
                <w:lang w:eastAsia="sk-SK"/>
              </w:rPr>
              <w:t>4</w:t>
            </w:r>
          </w:p>
        </w:tc>
        <w:tc>
          <w:tcPr>
            <w:tcW w:w="992" w:type="dxa"/>
            <w:tcBorders>
              <w:top w:val="nil"/>
              <w:left w:val="nil"/>
              <w:bottom w:val="single" w:sz="8" w:space="0" w:color="auto"/>
              <w:right w:val="nil"/>
            </w:tcBorders>
            <w:shd w:val="clear" w:color="auto" w:fill="auto"/>
            <w:vAlign w:val="center"/>
            <w:hideMark/>
          </w:tcPr>
          <w:p w14:paraId="319DEDF0" w14:textId="77777777" w:rsidR="00A57E96" w:rsidRPr="00796335" w:rsidRDefault="00A57E96" w:rsidP="00B768D9">
            <w:pPr>
              <w:spacing w:after="0" w:line="240" w:lineRule="auto"/>
              <w:jc w:val="center"/>
              <w:rPr>
                <w:rFonts w:eastAsia="Times New Roman" w:cs="Times New Roman"/>
                <w:b/>
                <w:bCs/>
                <w:sz w:val="18"/>
                <w:szCs w:val="18"/>
                <w:lang w:eastAsia="sk-SK"/>
              </w:rPr>
            </w:pPr>
            <w:r w:rsidRPr="00796335">
              <w:rPr>
                <w:rFonts w:eastAsia="Times New Roman" w:cs="Times New Roman"/>
                <w:b/>
                <w:bCs/>
                <w:sz w:val="18"/>
                <w:szCs w:val="18"/>
                <w:lang w:eastAsia="sk-SK"/>
              </w:rPr>
              <w:t>5=4-3</w:t>
            </w:r>
          </w:p>
        </w:tc>
        <w:tc>
          <w:tcPr>
            <w:tcW w:w="851" w:type="dxa"/>
            <w:tcBorders>
              <w:top w:val="nil"/>
              <w:left w:val="nil"/>
              <w:bottom w:val="single" w:sz="8" w:space="0" w:color="auto"/>
              <w:right w:val="nil"/>
            </w:tcBorders>
            <w:shd w:val="clear" w:color="auto" w:fill="auto"/>
            <w:vAlign w:val="center"/>
            <w:hideMark/>
          </w:tcPr>
          <w:p w14:paraId="12BDE5D5" w14:textId="77777777" w:rsidR="00A57E96" w:rsidRPr="00796335" w:rsidRDefault="00A57E96" w:rsidP="00B768D9">
            <w:pPr>
              <w:spacing w:after="0" w:line="240" w:lineRule="auto"/>
              <w:jc w:val="center"/>
              <w:rPr>
                <w:rFonts w:eastAsia="Times New Roman" w:cs="Times New Roman"/>
                <w:b/>
                <w:bCs/>
                <w:sz w:val="18"/>
                <w:szCs w:val="18"/>
                <w:lang w:eastAsia="sk-SK"/>
              </w:rPr>
            </w:pPr>
            <w:r w:rsidRPr="00796335">
              <w:rPr>
                <w:rFonts w:eastAsia="Times New Roman" w:cs="Times New Roman"/>
                <w:b/>
                <w:bCs/>
                <w:sz w:val="18"/>
                <w:szCs w:val="18"/>
                <w:lang w:eastAsia="sk-SK"/>
              </w:rPr>
              <w:t>6=4-3</w:t>
            </w:r>
          </w:p>
        </w:tc>
      </w:tr>
      <w:tr w:rsidR="00A57E96" w:rsidRPr="006D37EA" w14:paraId="62460778" w14:textId="77777777" w:rsidTr="00385988">
        <w:trPr>
          <w:trHeight w:val="330"/>
        </w:trPr>
        <w:tc>
          <w:tcPr>
            <w:tcW w:w="3686" w:type="dxa"/>
            <w:tcBorders>
              <w:top w:val="nil"/>
              <w:left w:val="nil"/>
              <w:bottom w:val="nil"/>
              <w:right w:val="nil"/>
            </w:tcBorders>
            <w:shd w:val="clear" w:color="000000" w:fill="FFFFFF"/>
            <w:noWrap/>
            <w:vAlign w:val="bottom"/>
            <w:hideMark/>
          </w:tcPr>
          <w:p w14:paraId="618A4D7E" w14:textId="4C1CE5C3" w:rsidR="00A57E96" w:rsidRPr="006D37EA" w:rsidRDefault="00796335" w:rsidP="006D37EA">
            <w:pPr>
              <w:spacing w:after="0" w:line="240" w:lineRule="auto"/>
              <w:jc w:val="lef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 xml:space="preserve">Ministerstvo </w:t>
            </w:r>
            <w:proofErr w:type="spellStart"/>
            <w:r w:rsidRPr="006D37EA">
              <w:rPr>
                <w:rFonts w:eastAsia="Times New Roman" w:cs="Times New Roman"/>
                <w:b/>
                <w:bCs/>
                <w:color w:val="000000"/>
                <w:sz w:val="18"/>
                <w:szCs w:val="18"/>
                <w:lang w:eastAsia="sk-SK"/>
              </w:rPr>
              <w:t>zahr</w:t>
            </w:r>
            <w:r w:rsidR="00A57E96" w:rsidRPr="006D37EA">
              <w:rPr>
                <w:rFonts w:eastAsia="Times New Roman" w:cs="Times New Roman"/>
                <w:b/>
                <w:bCs/>
                <w:color w:val="000000"/>
                <w:sz w:val="18"/>
                <w:szCs w:val="18"/>
                <w:lang w:eastAsia="sk-SK"/>
              </w:rPr>
              <w:t>.vecí</w:t>
            </w:r>
            <w:proofErr w:type="spellEnd"/>
            <w:r w:rsidR="00A57E96" w:rsidRPr="006D37EA">
              <w:rPr>
                <w:rFonts w:eastAsia="Times New Roman" w:cs="Times New Roman"/>
                <w:b/>
                <w:bCs/>
                <w:color w:val="000000"/>
                <w:sz w:val="18"/>
                <w:szCs w:val="18"/>
                <w:lang w:eastAsia="sk-SK"/>
              </w:rPr>
              <w:t xml:space="preserve"> a európ. záležitostí SR</w:t>
            </w:r>
          </w:p>
        </w:tc>
        <w:tc>
          <w:tcPr>
            <w:tcW w:w="992" w:type="dxa"/>
            <w:tcBorders>
              <w:top w:val="nil"/>
              <w:left w:val="nil"/>
              <w:bottom w:val="nil"/>
              <w:right w:val="nil"/>
            </w:tcBorders>
            <w:shd w:val="clear" w:color="000000" w:fill="FFFFFF"/>
            <w:noWrap/>
            <w:vAlign w:val="center"/>
            <w:hideMark/>
          </w:tcPr>
          <w:p w14:paraId="11CBBA63"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250</w:t>
            </w:r>
          </w:p>
        </w:tc>
        <w:tc>
          <w:tcPr>
            <w:tcW w:w="992" w:type="dxa"/>
            <w:tcBorders>
              <w:top w:val="nil"/>
              <w:left w:val="nil"/>
              <w:bottom w:val="nil"/>
              <w:right w:val="nil"/>
            </w:tcBorders>
            <w:shd w:val="clear" w:color="000000" w:fill="FFFFFF"/>
            <w:noWrap/>
            <w:vAlign w:val="center"/>
            <w:hideMark/>
          </w:tcPr>
          <w:p w14:paraId="4FBA12C0"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240</w:t>
            </w:r>
          </w:p>
        </w:tc>
        <w:tc>
          <w:tcPr>
            <w:tcW w:w="851" w:type="dxa"/>
            <w:tcBorders>
              <w:top w:val="nil"/>
              <w:left w:val="nil"/>
              <w:bottom w:val="nil"/>
              <w:right w:val="nil"/>
            </w:tcBorders>
            <w:shd w:val="clear" w:color="auto" w:fill="auto"/>
            <w:noWrap/>
            <w:vAlign w:val="center"/>
            <w:hideMark/>
          </w:tcPr>
          <w:p w14:paraId="306E1EBA"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260</w:t>
            </w:r>
          </w:p>
        </w:tc>
        <w:tc>
          <w:tcPr>
            <w:tcW w:w="992" w:type="dxa"/>
            <w:tcBorders>
              <w:top w:val="nil"/>
              <w:left w:val="nil"/>
              <w:bottom w:val="nil"/>
              <w:right w:val="nil"/>
            </w:tcBorders>
            <w:shd w:val="clear" w:color="auto" w:fill="auto"/>
            <w:noWrap/>
            <w:vAlign w:val="center"/>
            <w:hideMark/>
          </w:tcPr>
          <w:p w14:paraId="0B9D8A48"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260</w:t>
            </w:r>
          </w:p>
        </w:tc>
        <w:tc>
          <w:tcPr>
            <w:tcW w:w="992" w:type="dxa"/>
            <w:tcBorders>
              <w:top w:val="nil"/>
              <w:left w:val="nil"/>
              <w:bottom w:val="nil"/>
              <w:right w:val="nil"/>
            </w:tcBorders>
            <w:shd w:val="clear" w:color="000000" w:fill="FFFFFF"/>
            <w:vAlign w:val="center"/>
            <w:hideMark/>
          </w:tcPr>
          <w:p w14:paraId="35CEB54A"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c>
          <w:tcPr>
            <w:tcW w:w="851" w:type="dxa"/>
            <w:tcBorders>
              <w:top w:val="nil"/>
              <w:left w:val="nil"/>
              <w:bottom w:val="nil"/>
              <w:right w:val="nil"/>
            </w:tcBorders>
            <w:shd w:val="clear" w:color="000000" w:fill="FFFFFF"/>
            <w:vAlign w:val="center"/>
            <w:hideMark/>
          </w:tcPr>
          <w:p w14:paraId="560D9626" w14:textId="2D46FF2B" w:rsidR="00A57E96" w:rsidRPr="006D37EA" w:rsidRDefault="00293850"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r>
      <w:tr w:rsidR="00A57E96" w:rsidRPr="006D37EA" w14:paraId="6711050E" w14:textId="77777777" w:rsidTr="00385988">
        <w:trPr>
          <w:trHeight w:val="330"/>
        </w:trPr>
        <w:tc>
          <w:tcPr>
            <w:tcW w:w="3686" w:type="dxa"/>
            <w:tcBorders>
              <w:top w:val="nil"/>
              <w:left w:val="nil"/>
              <w:bottom w:val="nil"/>
              <w:right w:val="nil"/>
            </w:tcBorders>
            <w:shd w:val="clear" w:color="000000" w:fill="FFFFFF"/>
            <w:noWrap/>
            <w:vAlign w:val="bottom"/>
            <w:hideMark/>
          </w:tcPr>
          <w:p w14:paraId="3399745D" w14:textId="1988C996" w:rsidR="00A57E96" w:rsidRPr="006D37EA" w:rsidRDefault="00A57E96" w:rsidP="006D37EA">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 xml:space="preserve">   Správa služieb diplomatického zboru, </w:t>
            </w:r>
            <w:proofErr w:type="spellStart"/>
            <w:r w:rsidRPr="006D37EA">
              <w:rPr>
                <w:rFonts w:eastAsia="Times New Roman" w:cs="Times New Roman"/>
                <w:color w:val="000000"/>
                <w:sz w:val="18"/>
                <w:szCs w:val="18"/>
                <w:lang w:eastAsia="sk-SK"/>
              </w:rPr>
              <w:t>a.s</w:t>
            </w:r>
            <w:proofErr w:type="spellEnd"/>
            <w:r w:rsidRPr="006D37EA">
              <w:rPr>
                <w:rFonts w:eastAsia="Times New Roman" w:cs="Times New Roman"/>
                <w:color w:val="000000"/>
                <w:sz w:val="18"/>
                <w:szCs w:val="18"/>
                <w:lang w:eastAsia="sk-SK"/>
              </w:rPr>
              <w:t>.</w:t>
            </w:r>
          </w:p>
        </w:tc>
        <w:tc>
          <w:tcPr>
            <w:tcW w:w="992" w:type="dxa"/>
            <w:tcBorders>
              <w:top w:val="nil"/>
              <w:left w:val="nil"/>
              <w:bottom w:val="nil"/>
              <w:right w:val="nil"/>
            </w:tcBorders>
            <w:shd w:val="clear" w:color="000000" w:fill="FFFFFF"/>
            <w:noWrap/>
            <w:vAlign w:val="center"/>
            <w:hideMark/>
          </w:tcPr>
          <w:p w14:paraId="2111F199"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250</w:t>
            </w:r>
          </w:p>
        </w:tc>
        <w:tc>
          <w:tcPr>
            <w:tcW w:w="992" w:type="dxa"/>
            <w:tcBorders>
              <w:top w:val="nil"/>
              <w:left w:val="nil"/>
              <w:bottom w:val="nil"/>
              <w:right w:val="nil"/>
            </w:tcBorders>
            <w:shd w:val="clear" w:color="000000" w:fill="FFFFFF"/>
            <w:noWrap/>
            <w:vAlign w:val="center"/>
            <w:hideMark/>
          </w:tcPr>
          <w:p w14:paraId="486E3DF1"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240</w:t>
            </w:r>
          </w:p>
        </w:tc>
        <w:tc>
          <w:tcPr>
            <w:tcW w:w="851" w:type="dxa"/>
            <w:tcBorders>
              <w:top w:val="nil"/>
              <w:left w:val="nil"/>
              <w:bottom w:val="nil"/>
              <w:right w:val="nil"/>
            </w:tcBorders>
            <w:shd w:val="clear" w:color="000000" w:fill="FFFFFF"/>
            <w:noWrap/>
            <w:vAlign w:val="center"/>
            <w:hideMark/>
          </w:tcPr>
          <w:p w14:paraId="484B2BB4"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260</w:t>
            </w:r>
          </w:p>
        </w:tc>
        <w:tc>
          <w:tcPr>
            <w:tcW w:w="992" w:type="dxa"/>
            <w:tcBorders>
              <w:top w:val="nil"/>
              <w:left w:val="nil"/>
              <w:bottom w:val="nil"/>
              <w:right w:val="nil"/>
            </w:tcBorders>
            <w:shd w:val="clear" w:color="auto" w:fill="auto"/>
            <w:noWrap/>
            <w:vAlign w:val="center"/>
            <w:hideMark/>
          </w:tcPr>
          <w:p w14:paraId="06D87A7A"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260</w:t>
            </w:r>
          </w:p>
        </w:tc>
        <w:tc>
          <w:tcPr>
            <w:tcW w:w="992" w:type="dxa"/>
            <w:tcBorders>
              <w:top w:val="nil"/>
              <w:left w:val="nil"/>
              <w:bottom w:val="nil"/>
              <w:right w:val="nil"/>
            </w:tcBorders>
            <w:shd w:val="clear" w:color="000000" w:fill="FFFFFF"/>
            <w:vAlign w:val="center"/>
            <w:hideMark/>
          </w:tcPr>
          <w:p w14:paraId="39DF44E1"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c>
          <w:tcPr>
            <w:tcW w:w="851" w:type="dxa"/>
            <w:tcBorders>
              <w:top w:val="nil"/>
              <w:left w:val="nil"/>
              <w:bottom w:val="nil"/>
              <w:right w:val="nil"/>
            </w:tcBorders>
            <w:shd w:val="clear" w:color="000000" w:fill="FFFFFF"/>
            <w:vAlign w:val="center"/>
            <w:hideMark/>
          </w:tcPr>
          <w:p w14:paraId="45624C2C" w14:textId="6ACCE831" w:rsidR="00A57E96" w:rsidRPr="006D37EA" w:rsidRDefault="00293850"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r>
      <w:tr w:rsidR="00A57E96" w:rsidRPr="006D37EA" w14:paraId="62ED182E" w14:textId="77777777" w:rsidTr="00385988">
        <w:trPr>
          <w:trHeight w:val="330"/>
        </w:trPr>
        <w:tc>
          <w:tcPr>
            <w:tcW w:w="3686" w:type="dxa"/>
            <w:tcBorders>
              <w:top w:val="nil"/>
              <w:left w:val="nil"/>
              <w:bottom w:val="nil"/>
              <w:right w:val="nil"/>
            </w:tcBorders>
            <w:shd w:val="clear" w:color="000000" w:fill="FFFFFF"/>
            <w:noWrap/>
            <w:vAlign w:val="bottom"/>
            <w:hideMark/>
          </w:tcPr>
          <w:p w14:paraId="12FBD875" w14:textId="77777777" w:rsidR="00A57E96" w:rsidRPr="006D37EA" w:rsidRDefault="00A57E96" w:rsidP="006D37EA">
            <w:pPr>
              <w:spacing w:after="0" w:line="240" w:lineRule="auto"/>
              <w:jc w:val="lef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Ministerstvo financií SR</w:t>
            </w:r>
          </w:p>
        </w:tc>
        <w:tc>
          <w:tcPr>
            <w:tcW w:w="992" w:type="dxa"/>
            <w:tcBorders>
              <w:top w:val="nil"/>
              <w:left w:val="nil"/>
              <w:bottom w:val="nil"/>
              <w:right w:val="nil"/>
            </w:tcBorders>
            <w:shd w:val="clear" w:color="000000" w:fill="FFFFFF"/>
            <w:noWrap/>
            <w:vAlign w:val="center"/>
            <w:hideMark/>
          </w:tcPr>
          <w:p w14:paraId="62ABC955"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32 410</w:t>
            </w:r>
          </w:p>
        </w:tc>
        <w:tc>
          <w:tcPr>
            <w:tcW w:w="992" w:type="dxa"/>
            <w:tcBorders>
              <w:top w:val="nil"/>
              <w:left w:val="nil"/>
              <w:bottom w:val="nil"/>
              <w:right w:val="nil"/>
            </w:tcBorders>
            <w:shd w:val="clear" w:color="000000" w:fill="FFFFFF"/>
            <w:noWrap/>
            <w:vAlign w:val="center"/>
            <w:hideMark/>
          </w:tcPr>
          <w:p w14:paraId="7357B0FF"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7 000</w:t>
            </w:r>
          </w:p>
        </w:tc>
        <w:tc>
          <w:tcPr>
            <w:tcW w:w="851" w:type="dxa"/>
            <w:tcBorders>
              <w:top w:val="nil"/>
              <w:left w:val="nil"/>
              <w:bottom w:val="nil"/>
              <w:right w:val="nil"/>
            </w:tcBorders>
            <w:shd w:val="clear" w:color="000000" w:fill="FFFFFF"/>
            <w:noWrap/>
            <w:vAlign w:val="center"/>
            <w:hideMark/>
          </w:tcPr>
          <w:p w14:paraId="062E0ECA"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65 457</w:t>
            </w:r>
          </w:p>
        </w:tc>
        <w:tc>
          <w:tcPr>
            <w:tcW w:w="992" w:type="dxa"/>
            <w:tcBorders>
              <w:top w:val="nil"/>
              <w:left w:val="nil"/>
              <w:bottom w:val="nil"/>
              <w:right w:val="nil"/>
            </w:tcBorders>
            <w:shd w:val="clear" w:color="auto" w:fill="auto"/>
            <w:noWrap/>
            <w:vAlign w:val="center"/>
            <w:hideMark/>
          </w:tcPr>
          <w:p w14:paraId="2FFA2171"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133 012</w:t>
            </w:r>
          </w:p>
        </w:tc>
        <w:tc>
          <w:tcPr>
            <w:tcW w:w="992" w:type="dxa"/>
            <w:tcBorders>
              <w:top w:val="nil"/>
              <w:left w:val="nil"/>
              <w:bottom w:val="nil"/>
              <w:right w:val="nil"/>
            </w:tcBorders>
            <w:shd w:val="clear" w:color="000000" w:fill="FFFFFF"/>
            <w:vAlign w:val="center"/>
            <w:hideMark/>
          </w:tcPr>
          <w:p w14:paraId="29E1BF86"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67 555</w:t>
            </w:r>
          </w:p>
        </w:tc>
        <w:tc>
          <w:tcPr>
            <w:tcW w:w="851" w:type="dxa"/>
            <w:tcBorders>
              <w:top w:val="nil"/>
              <w:left w:val="nil"/>
              <w:bottom w:val="nil"/>
              <w:right w:val="nil"/>
            </w:tcBorders>
            <w:shd w:val="clear" w:color="000000" w:fill="FFFFFF"/>
            <w:vAlign w:val="center"/>
            <w:hideMark/>
          </w:tcPr>
          <w:p w14:paraId="547D387E"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103,2</w:t>
            </w:r>
          </w:p>
        </w:tc>
      </w:tr>
      <w:tr w:rsidR="00A57E96" w:rsidRPr="006D37EA" w14:paraId="506E1392" w14:textId="77777777" w:rsidTr="00385988">
        <w:trPr>
          <w:trHeight w:val="330"/>
        </w:trPr>
        <w:tc>
          <w:tcPr>
            <w:tcW w:w="3686" w:type="dxa"/>
            <w:tcBorders>
              <w:top w:val="nil"/>
              <w:left w:val="nil"/>
              <w:bottom w:val="nil"/>
              <w:right w:val="nil"/>
            </w:tcBorders>
            <w:shd w:val="clear" w:color="000000" w:fill="FFFFFF"/>
            <w:noWrap/>
            <w:vAlign w:val="bottom"/>
            <w:hideMark/>
          </w:tcPr>
          <w:p w14:paraId="3CC597D2" w14:textId="705EE903" w:rsidR="00A57E96" w:rsidRPr="006D37EA" w:rsidRDefault="00A57E96" w:rsidP="006D37EA">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 xml:space="preserve">   Tipos, národná lotériová spoločnosť, </w:t>
            </w:r>
            <w:proofErr w:type="spellStart"/>
            <w:r w:rsidRPr="006D37EA">
              <w:rPr>
                <w:rFonts w:eastAsia="Times New Roman" w:cs="Times New Roman"/>
                <w:color w:val="000000"/>
                <w:sz w:val="18"/>
                <w:szCs w:val="18"/>
                <w:lang w:eastAsia="sk-SK"/>
              </w:rPr>
              <w:t>a.s</w:t>
            </w:r>
            <w:proofErr w:type="spellEnd"/>
            <w:r w:rsidRPr="006D37EA">
              <w:rPr>
                <w:rFonts w:eastAsia="Times New Roman" w:cs="Times New Roman"/>
                <w:color w:val="000000"/>
                <w:sz w:val="18"/>
                <w:szCs w:val="18"/>
                <w:lang w:eastAsia="sk-SK"/>
              </w:rPr>
              <w:t xml:space="preserve">. </w:t>
            </w:r>
          </w:p>
        </w:tc>
        <w:tc>
          <w:tcPr>
            <w:tcW w:w="992" w:type="dxa"/>
            <w:tcBorders>
              <w:top w:val="nil"/>
              <w:left w:val="nil"/>
              <w:bottom w:val="nil"/>
              <w:right w:val="nil"/>
            </w:tcBorders>
            <w:shd w:val="clear" w:color="000000" w:fill="FFFFFF"/>
            <w:noWrap/>
            <w:vAlign w:val="center"/>
            <w:hideMark/>
          </w:tcPr>
          <w:p w14:paraId="035E177A"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2 500</w:t>
            </w:r>
          </w:p>
        </w:tc>
        <w:tc>
          <w:tcPr>
            <w:tcW w:w="992" w:type="dxa"/>
            <w:tcBorders>
              <w:top w:val="nil"/>
              <w:left w:val="nil"/>
              <w:bottom w:val="nil"/>
              <w:right w:val="nil"/>
            </w:tcBorders>
            <w:shd w:val="clear" w:color="auto" w:fill="auto"/>
            <w:noWrap/>
            <w:vAlign w:val="center"/>
            <w:hideMark/>
          </w:tcPr>
          <w:p w14:paraId="4BB76209"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5 000</w:t>
            </w:r>
          </w:p>
        </w:tc>
        <w:tc>
          <w:tcPr>
            <w:tcW w:w="851" w:type="dxa"/>
            <w:tcBorders>
              <w:top w:val="nil"/>
              <w:left w:val="nil"/>
              <w:bottom w:val="nil"/>
              <w:right w:val="nil"/>
            </w:tcBorders>
            <w:shd w:val="clear" w:color="000000" w:fill="FFFFFF"/>
            <w:noWrap/>
            <w:vAlign w:val="center"/>
            <w:hideMark/>
          </w:tcPr>
          <w:p w14:paraId="5538CE62"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2 500</w:t>
            </w:r>
          </w:p>
        </w:tc>
        <w:tc>
          <w:tcPr>
            <w:tcW w:w="992" w:type="dxa"/>
            <w:tcBorders>
              <w:top w:val="nil"/>
              <w:left w:val="nil"/>
              <w:bottom w:val="nil"/>
              <w:right w:val="nil"/>
            </w:tcBorders>
            <w:shd w:val="clear" w:color="auto" w:fill="auto"/>
            <w:noWrap/>
            <w:vAlign w:val="center"/>
            <w:hideMark/>
          </w:tcPr>
          <w:p w14:paraId="7F525AA4"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50 000</w:t>
            </w:r>
          </w:p>
        </w:tc>
        <w:tc>
          <w:tcPr>
            <w:tcW w:w="992" w:type="dxa"/>
            <w:tcBorders>
              <w:top w:val="nil"/>
              <w:left w:val="nil"/>
              <w:bottom w:val="nil"/>
              <w:right w:val="nil"/>
            </w:tcBorders>
            <w:shd w:val="clear" w:color="000000" w:fill="FFFFFF"/>
            <w:vAlign w:val="center"/>
            <w:hideMark/>
          </w:tcPr>
          <w:p w14:paraId="156C4C01"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47 500</w:t>
            </w:r>
          </w:p>
        </w:tc>
        <w:tc>
          <w:tcPr>
            <w:tcW w:w="851" w:type="dxa"/>
            <w:tcBorders>
              <w:top w:val="nil"/>
              <w:left w:val="nil"/>
              <w:bottom w:val="nil"/>
              <w:right w:val="nil"/>
            </w:tcBorders>
            <w:shd w:val="clear" w:color="000000" w:fill="FFFFFF"/>
            <w:vAlign w:val="center"/>
            <w:hideMark/>
          </w:tcPr>
          <w:p w14:paraId="76AC70BE"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1 900,0</w:t>
            </w:r>
          </w:p>
        </w:tc>
      </w:tr>
      <w:tr w:rsidR="00A57E96" w:rsidRPr="006D37EA" w14:paraId="6685902C" w14:textId="77777777" w:rsidTr="00385988">
        <w:trPr>
          <w:trHeight w:val="330"/>
        </w:trPr>
        <w:tc>
          <w:tcPr>
            <w:tcW w:w="3686" w:type="dxa"/>
            <w:tcBorders>
              <w:top w:val="nil"/>
              <w:left w:val="nil"/>
              <w:bottom w:val="nil"/>
              <w:right w:val="nil"/>
            </w:tcBorders>
            <w:shd w:val="clear" w:color="000000" w:fill="FFFFFF"/>
            <w:noWrap/>
            <w:vAlign w:val="bottom"/>
            <w:hideMark/>
          </w:tcPr>
          <w:p w14:paraId="29F1AD45" w14:textId="14D3DF36" w:rsidR="00A57E96" w:rsidRPr="006D37EA" w:rsidRDefault="00A57E96" w:rsidP="006D37EA">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 xml:space="preserve">   Slovenská konsolidačná, </w:t>
            </w:r>
            <w:proofErr w:type="spellStart"/>
            <w:r w:rsidRPr="006D37EA">
              <w:rPr>
                <w:rFonts w:eastAsia="Times New Roman" w:cs="Times New Roman"/>
                <w:color w:val="000000"/>
                <w:sz w:val="18"/>
                <w:szCs w:val="18"/>
                <w:lang w:eastAsia="sk-SK"/>
              </w:rPr>
              <w:t>a.s</w:t>
            </w:r>
            <w:proofErr w:type="spellEnd"/>
            <w:r w:rsidRPr="006D37EA">
              <w:rPr>
                <w:rFonts w:eastAsia="Times New Roman" w:cs="Times New Roman"/>
                <w:color w:val="000000"/>
                <w:sz w:val="18"/>
                <w:szCs w:val="18"/>
                <w:lang w:eastAsia="sk-SK"/>
              </w:rPr>
              <w:t>. Bratislava</w:t>
            </w:r>
          </w:p>
        </w:tc>
        <w:tc>
          <w:tcPr>
            <w:tcW w:w="992" w:type="dxa"/>
            <w:tcBorders>
              <w:top w:val="nil"/>
              <w:left w:val="nil"/>
              <w:bottom w:val="nil"/>
              <w:right w:val="nil"/>
            </w:tcBorders>
            <w:shd w:val="clear" w:color="000000" w:fill="FFFFFF"/>
            <w:noWrap/>
            <w:vAlign w:val="center"/>
            <w:hideMark/>
          </w:tcPr>
          <w:p w14:paraId="3790F2C1"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575</w:t>
            </w:r>
          </w:p>
        </w:tc>
        <w:tc>
          <w:tcPr>
            <w:tcW w:w="992" w:type="dxa"/>
            <w:tcBorders>
              <w:top w:val="nil"/>
              <w:left w:val="nil"/>
              <w:bottom w:val="nil"/>
              <w:right w:val="nil"/>
            </w:tcBorders>
            <w:shd w:val="clear" w:color="auto" w:fill="auto"/>
            <w:noWrap/>
            <w:vAlign w:val="center"/>
            <w:hideMark/>
          </w:tcPr>
          <w:p w14:paraId="4EBDA2EA"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2 000</w:t>
            </w:r>
          </w:p>
        </w:tc>
        <w:tc>
          <w:tcPr>
            <w:tcW w:w="851" w:type="dxa"/>
            <w:tcBorders>
              <w:top w:val="nil"/>
              <w:left w:val="nil"/>
              <w:bottom w:val="nil"/>
              <w:right w:val="nil"/>
            </w:tcBorders>
            <w:shd w:val="clear" w:color="000000" w:fill="FFFFFF"/>
            <w:noWrap/>
            <w:vAlign w:val="center"/>
            <w:hideMark/>
          </w:tcPr>
          <w:p w14:paraId="5C1FCBD0"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85</w:t>
            </w:r>
          </w:p>
        </w:tc>
        <w:tc>
          <w:tcPr>
            <w:tcW w:w="992" w:type="dxa"/>
            <w:tcBorders>
              <w:top w:val="nil"/>
              <w:left w:val="nil"/>
              <w:bottom w:val="nil"/>
              <w:right w:val="nil"/>
            </w:tcBorders>
            <w:shd w:val="clear" w:color="auto" w:fill="auto"/>
            <w:noWrap/>
            <w:vAlign w:val="center"/>
            <w:hideMark/>
          </w:tcPr>
          <w:p w14:paraId="4ADADE7A"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3 274</w:t>
            </w:r>
          </w:p>
        </w:tc>
        <w:tc>
          <w:tcPr>
            <w:tcW w:w="992" w:type="dxa"/>
            <w:tcBorders>
              <w:top w:val="nil"/>
              <w:left w:val="nil"/>
              <w:bottom w:val="nil"/>
              <w:right w:val="nil"/>
            </w:tcBorders>
            <w:shd w:val="clear" w:color="000000" w:fill="FFFFFF"/>
            <w:vAlign w:val="center"/>
            <w:hideMark/>
          </w:tcPr>
          <w:p w14:paraId="4995C816"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3 189</w:t>
            </w:r>
          </w:p>
        </w:tc>
        <w:tc>
          <w:tcPr>
            <w:tcW w:w="851" w:type="dxa"/>
            <w:tcBorders>
              <w:top w:val="nil"/>
              <w:left w:val="nil"/>
              <w:bottom w:val="nil"/>
              <w:right w:val="nil"/>
            </w:tcBorders>
            <w:shd w:val="clear" w:color="000000" w:fill="FFFFFF"/>
            <w:vAlign w:val="center"/>
            <w:hideMark/>
          </w:tcPr>
          <w:p w14:paraId="1229BEB3"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3 751,8</w:t>
            </w:r>
          </w:p>
        </w:tc>
      </w:tr>
      <w:tr w:rsidR="00A57E96" w:rsidRPr="006D37EA" w14:paraId="383BB564" w14:textId="77777777" w:rsidTr="00385988">
        <w:trPr>
          <w:trHeight w:val="330"/>
        </w:trPr>
        <w:tc>
          <w:tcPr>
            <w:tcW w:w="3686" w:type="dxa"/>
            <w:tcBorders>
              <w:top w:val="nil"/>
              <w:left w:val="nil"/>
              <w:bottom w:val="nil"/>
              <w:right w:val="nil"/>
            </w:tcBorders>
            <w:shd w:val="clear" w:color="000000" w:fill="FFFFFF"/>
            <w:noWrap/>
            <w:vAlign w:val="bottom"/>
            <w:hideMark/>
          </w:tcPr>
          <w:p w14:paraId="2CF8DC33" w14:textId="563FDC90" w:rsidR="00A57E96" w:rsidRPr="006D37EA" w:rsidRDefault="00A57E96" w:rsidP="006D37EA">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 xml:space="preserve">   Slovenská elektrizačná prenosová sústava, </w:t>
            </w:r>
            <w:proofErr w:type="spellStart"/>
            <w:r w:rsidRPr="006D37EA">
              <w:rPr>
                <w:rFonts w:eastAsia="Times New Roman" w:cs="Times New Roman"/>
                <w:color w:val="000000"/>
                <w:sz w:val="18"/>
                <w:szCs w:val="18"/>
                <w:lang w:eastAsia="sk-SK"/>
              </w:rPr>
              <w:t>a.s</w:t>
            </w:r>
            <w:proofErr w:type="spellEnd"/>
            <w:r w:rsidRPr="006D37EA">
              <w:rPr>
                <w:rFonts w:eastAsia="Times New Roman" w:cs="Times New Roman"/>
                <w:color w:val="000000"/>
                <w:sz w:val="18"/>
                <w:szCs w:val="18"/>
                <w:lang w:eastAsia="sk-SK"/>
              </w:rPr>
              <w:t>.</w:t>
            </w:r>
          </w:p>
        </w:tc>
        <w:tc>
          <w:tcPr>
            <w:tcW w:w="992" w:type="dxa"/>
            <w:tcBorders>
              <w:top w:val="nil"/>
              <w:left w:val="nil"/>
              <w:bottom w:val="nil"/>
              <w:right w:val="nil"/>
            </w:tcBorders>
            <w:shd w:val="clear" w:color="000000" w:fill="FFFFFF"/>
            <w:noWrap/>
            <w:vAlign w:val="center"/>
            <w:hideMark/>
          </w:tcPr>
          <w:p w14:paraId="62245FCD"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29 335</w:t>
            </w:r>
          </w:p>
        </w:tc>
        <w:tc>
          <w:tcPr>
            <w:tcW w:w="992" w:type="dxa"/>
            <w:tcBorders>
              <w:top w:val="nil"/>
              <w:left w:val="nil"/>
              <w:bottom w:val="nil"/>
              <w:right w:val="nil"/>
            </w:tcBorders>
            <w:shd w:val="clear" w:color="auto" w:fill="auto"/>
            <w:noWrap/>
            <w:vAlign w:val="center"/>
            <w:hideMark/>
          </w:tcPr>
          <w:p w14:paraId="287C1C0F"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c>
          <w:tcPr>
            <w:tcW w:w="851" w:type="dxa"/>
            <w:tcBorders>
              <w:top w:val="nil"/>
              <w:left w:val="nil"/>
              <w:bottom w:val="nil"/>
              <w:right w:val="nil"/>
            </w:tcBorders>
            <w:shd w:val="clear" w:color="000000" w:fill="FFFFFF"/>
            <w:noWrap/>
            <w:vAlign w:val="center"/>
            <w:hideMark/>
          </w:tcPr>
          <w:p w14:paraId="3C4D2418"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62 872</w:t>
            </w:r>
          </w:p>
        </w:tc>
        <w:tc>
          <w:tcPr>
            <w:tcW w:w="992" w:type="dxa"/>
            <w:tcBorders>
              <w:top w:val="nil"/>
              <w:left w:val="nil"/>
              <w:bottom w:val="nil"/>
              <w:right w:val="nil"/>
            </w:tcBorders>
            <w:shd w:val="clear" w:color="auto" w:fill="auto"/>
            <w:noWrap/>
            <w:vAlign w:val="center"/>
            <w:hideMark/>
          </w:tcPr>
          <w:p w14:paraId="766E92D8"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79 338</w:t>
            </w:r>
          </w:p>
        </w:tc>
        <w:tc>
          <w:tcPr>
            <w:tcW w:w="992" w:type="dxa"/>
            <w:tcBorders>
              <w:top w:val="nil"/>
              <w:left w:val="nil"/>
              <w:bottom w:val="nil"/>
              <w:right w:val="nil"/>
            </w:tcBorders>
            <w:shd w:val="clear" w:color="000000" w:fill="FFFFFF"/>
            <w:vAlign w:val="center"/>
            <w:hideMark/>
          </w:tcPr>
          <w:p w14:paraId="0B04586A"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16 466</w:t>
            </w:r>
          </w:p>
        </w:tc>
        <w:tc>
          <w:tcPr>
            <w:tcW w:w="851" w:type="dxa"/>
            <w:tcBorders>
              <w:top w:val="nil"/>
              <w:left w:val="nil"/>
              <w:bottom w:val="nil"/>
              <w:right w:val="nil"/>
            </w:tcBorders>
            <w:shd w:val="clear" w:color="000000" w:fill="FFFFFF"/>
            <w:vAlign w:val="center"/>
            <w:hideMark/>
          </w:tcPr>
          <w:p w14:paraId="40C09C5F"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26,2</w:t>
            </w:r>
          </w:p>
        </w:tc>
      </w:tr>
      <w:tr w:rsidR="00A57E96" w:rsidRPr="006D37EA" w14:paraId="3B911C4D" w14:textId="77777777" w:rsidTr="00385988">
        <w:trPr>
          <w:trHeight w:val="330"/>
        </w:trPr>
        <w:tc>
          <w:tcPr>
            <w:tcW w:w="3686" w:type="dxa"/>
            <w:tcBorders>
              <w:top w:val="nil"/>
              <w:left w:val="nil"/>
              <w:bottom w:val="nil"/>
              <w:right w:val="nil"/>
            </w:tcBorders>
            <w:shd w:val="clear" w:color="000000" w:fill="FFFFFF"/>
            <w:noWrap/>
            <w:vAlign w:val="bottom"/>
            <w:hideMark/>
          </w:tcPr>
          <w:p w14:paraId="65AA7EBD" w14:textId="12909D2C" w:rsidR="00A57E96" w:rsidRPr="006D37EA" w:rsidRDefault="00A57E96" w:rsidP="006D37EA">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 xml:space="preserve">   Slovenská záručná a rozvojová banka</w:t>
            </w:r>
          </w:p>
        </w:tc>
        <w:tc>
          <w:tcPr>
            <w:tcW w:w="992" w:type="dxa"/>
            <w:tcBorders>
              <w:top w:val="nil"/>
              <w:left w:val="nil"/>
              <w:bottom w:val="nil"/>
              <w:right w:val="nil"/>
            </w:tcBorders>
            <w:shd w:val="clear" w:color="000000" w:fill="FFFFFF"/>
            <w:noWrap/>
            <w:vAlign w:val="center"/>
            <w:hideMark/>
          </w:tcPr>
          <w:p w14:paraId="58CD0874"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4CCA2447"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c>
          <w:tcPr>
            <w:tcW w:w="851" w:type="dxa"/>
            <w:tcBorders>
              <w:top w:val="nil"/>
              <w:left w:val="nil"/>
              <w:bottom w:val="nil"/>
              <w:right w:val="nil"/>
            </w:tcBorders>
            <w:shd w:val="clear" w:color="000000" w:fill="FFFFFF"/>
            <w:noWrap/>
            <w:vAlign w:val="center"/>
            <w:hideMark/>
          </w:tcPr>
          <w:p w14:paraId="01DEA558"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5579C382"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400</w:t>
            </w:r>
          </w:p>
        </w:tc>
        <w:tc>
          <w:tcPr>
            <w:tcW w:w="992" w:type="dxa"/>
            <w:tcBorders>
              <w:top w:val="nil"/>
              <w:left w:val="nil"/>
              <w:bottom w:val="nil"/>
              <w:right w:val="nil"/>
            </w:tcBorders>
            <w:shd w:val="clear" w:color="000000" w:fill="FFFFFF"/>
            <w:vAlign w:val="center"/>
            <w:hideMark/>
          </w:tcPr>
          <w:p w14:paraId="3B4E4851"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400</w:t>
            </w:r>
          </w:p>
        </w:tc>
        <w:tc>
          <w:tcPr>
            <w:tcW w:w="851" w:type="dxa"/>
            <w:tcBorders>
              <w:top w:val="nil"/>
              <w:left w:val="nil"/>
              <w:bottom w:val="nil"/>
              <w:right w:val="nil"/>
            </w:tcBorders>
            <w:shd w:val="clear" w:color="000000" w:fill="FFFFFF"/>
            <w:vAlign w:val="center"/>
            <w:hideMark/>
          </w:tcPr>
          <w:p w14:paraId="45392018" w14:textId="60BC86DD" w:rsidR="00A57E96" w:rsidRPr="006D37EA" w:rsidRDefault="00293850"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r>
      <w:tr w:rsidR="00A57E96" w:rsidRPr="006D37EA" w14:paraId="1C8B308D" w14:textId="77777777" w:rsidTr="00385988">
        <w:trPr>
          <w:trHeight w:val="330"/>
        </w:trPr>
        <w:tc>
          <w:tcPr>
            <w:tcW w:w="3686" w:type="dxa"/>
            <w:tcBorders>
              <w:top w:val="nil"/>
              <w:left w:val="nil"/>
              <w:bottom w:val="nil"/>
              <w:right w:val="nil"/>
            </w:tcBorders>
            <w:shd w:val="clear" w:color="000000" w:fill="FFFFFF"/>
            <w:noWrap/>
            <w:vAlign w:val="bottom"/>
            <w:hideMark/>
          </w:tcPr>
          <w:p w14:paraId="48F778CF" w14:textId="77777777" w:rsidR="00A57E96" w:rsidRPr="006D37EA" w:rsidRDefault="00A57E96" w:rsidP="006D37EA">
            <w:pPr>
              <w:spacing w:after="0" w:line="240" w:lineRule="auto"/>
              <w:jc w:val="lef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Ministerstvo hospodárstva SR</w:t>
            </w:r>
          </w:p>
        </w:tc>
        <w:tc>
          <w:tcPr>
            <w:tcW w:w="992" w:type="dxa"/>
            <w:tcBorders>
              <w:top w:val="nil"/>
              <w:left w:val="nil"/>
              <w:bottom w:val="nil"/>
              <w:right w:val="nil"/>
            </w:tcBorders>
            <w:shd w:val="clear" w:color="000000" w:fill="FFFFFF"/>
            <w:noWrap/>
            <w:vAlign w:val="center"/>
            <w:hideMark/>
          </w:tcPr>
          <w:p w14:paraId="58E277F0"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5 000</w:t>
            </w:r>
          </w:p>
        </w:tc>
        <w:tc>
          <w:tcPr>
            <w:tcW w:w="992" w:type="dxa"/>
            <w:tcBorders>
              <w:top w:val="nil"/>
              <w:left w:val="nil"/>
              <w:bottom w:val="nil"/>
              <w:right w:val="nil"/>
            </w:tcBorders>
            <w:shd w:val="clear" w:color="000000" w:fill="FFFFFF"/>
            <w:noWrap/>
            <w:vAlign w:val="center"/>
            <w:hideMark/>
          </w:tcPr>
          <w:p w14:paraId="03200AC2"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4 500</w:t>
            </w:r>
          </w:p>
        </w:tc>
        <w:tc>
          <w:tcPr>
            <w:tcW w:w="851" w:type="dxa"/>
            <w:tcBorders>
              <w:top w:val="nil"/>
              <w:left w:val="nil"/>
              <w:bottom w:val="nil"/>
              <w:right w:val="nil"/>
            </w:tcBorders>
            <w:shd w:val="clear" w:color="auto" w:fill="auto"/>
            <w:noWrap/>
            <w:vAlign w:val="center"/>
            <w:hideMark/>
          </w:tcPr>
          <w:p w14:paraId="7F495C69"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4 500</w:t>
            </w:r>
          </w:p>
        </w:tc>
        <w:tc>
          <w:tcPr>
            <w:tcW w:w="992" w:type="dxa"/>
            <w:tcBorders>
              <w:top w:val="nil"/>
              <w:left w:val="nil"/>
              <w:bottom w:val="nil"/>
              <w:right w:val="nil"/>
            </w:tcBorders>
            <w:shd w:val="clear" w:color="auto" w:fill="auto"/>
            <w:noWrap/>
            <w:vAlign w:val="center"/>
            <w:hideMark/>
          </w:tcPr>
          <w:p w14:paraId="3C6B213B"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1 990</w:t>
            </w:r>
          </w:p>
        </w:tc>
        <w:tc>
          <w:tcPr>
            <w:tcW w:w="992" w:type="dxa"/>
            <w:tcBorders>
              <w:top w:val="nil"/>
              <w:left w:val="nil"/>
              <w:bottom w:val="nil"/>
              <w:right w:val="nil"/>
            </w:tcBorders>
            <w:shd w:val="clear" w:color="000000" w:fill="FFFFFF"/>
            <w:vAlign w:val="center"/>
            <w:hideMark/>
          </w:tcPr>
          <w:p w14:paraId="74E6B35D"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-2 510</w:t>
            </w:r>
          </w:p>
        </w:tc>
        <w:tc>
          <w:tcPr>
            <w:tcW w:w="851" w:type="dxa"/>
            <w:tcBorders>
              <w:top w:val="nil"/>
              <w:left w:val="nil"/>
              <w:bottom w:val="nil"/>
              <w:right w:val="nil"/>
            </w:tcBorders>
            <w:shd w:val="clear" w:color="000000" w:fill="FFFFFF"/>
            <w:vAlign w:val="center"/>
            <w:hideMark/>
          </w:tcPr>
          <w:p w14:paraId="517BFC4F"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-55,8</w:t>
            </w:r>
          </w:p>
        </w:tc>
      </w:tr>
      <w:tr w:rsidR="00A57E96" w:rsidRPr="006D37EA" w14:paraId="67ECB781" w14:textId="77777777" w:rsidTr="00385988">
        <w:trPr>
          <w:trHeight w:val="330"/>
        </w:trPr>
        <w:tc>
          <w:tcPr>
            <w:tcW w:w="3686" w:type="dxa"/>
            <w:tcBorders>
              <w:top w:val="nil"/>
              <w:left w:val="nil"/>
              <w:bottom w:val="nil"/>
              <w:right w:val="nil"/>
            </w:tcBorders>
            <w:shd w:val="clear" w:color="000000" w:fill="FFFFFF"/>
            <w:noWrap/>
            <w:vAlign w:val="bottom"/>
            <w:hideMark/>
          </w:tcPr>
          <w:p w14:paraId="22D26080" w14:textId="656E6D28" w:rsidR="00A57E96" w:rsidRPr="006D37EA" w:rsidRDefault="00A57E96" w:rsidP="006D37EA">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 xml:space="preserve">   JAVYS, </w:t>
            </w:r>
            <w:proofErr w:type="spellStart"/>
            <w:r w:rsidRPr="006D37EA">
              <w:rPr>
                <w:rFonts w:eastAsia="Times New Roman" w:cs="Times New Roman"/>
                <w:color w:val="000000"/>
                <w:sz w:val="18"/>
                <w:szCs w:val="18"/>
                <w:lang w:eastAsia="sk-SK"/>
              </w:rPr>
              <w:t>a.s</w:t>
            </w:r>
            <w:proofErr w:type="spellEnd"/>
            <w:r w:rsidRPr="006D37EA">
              <w:rPr>
                <w:rFonts w:eastAsia="Times New Roman" w:cs="Times New Roman"/>
                <w:color w:val="000000"/>
                <w:sz w:val="18"/>
                <w:szCs w:val="18"/>
                <w:lang w:eastAsia="sk-SK"/>
              </w:rPr>
              <w:t>.</w:t>
            </w:r>
          </w:p>
        </w:tc>
        <w:tc>
          <w:tcPr>
            <w:tcW w:w="992" w:type="dxa"/>
            <w:tcBorders>
              <w:top w:val="nil"/>
              <w:left w:val="nil"/>
              <w:bottom w:val="nil"/>
              <w:right w:val="nil"/>
            </w:tcBorders>
            <w:shd w:val="clear" w:color="000000" w:fill="FFFFFF"/>
            <w:noWrap/>
            <w:vAlign w:val="center"/>
            <w:hideMark/>
          </w:tcPr>
          <w:p w14:paraId="7BCCC8B7"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3 000</w:t>
            </w:r>
          </w:p>
        </w:tc>
        <w:tc>
          <w:tcPr>
            <w:tcW w:w="992" w:type="dxa"/>
            <w:tcBorders>
              <w:top w:val="nil"/>
              <w:left w:val="nil"/>
              <w:bottom w:val="nil"/>
              <w:right w:val="nil"/>
            </w:tcBorders>
            <w:shd w:val="clear" w:color="000000" w:fill="FFFFFF"/>
            <w:noWrap/>
            <w:vAlign w:val="center"/>
            <w:hideMark/>
          </w:tcPr>
          <w:p w14:paraId="7A3D19D9"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3 000</w:t>
            </w:r>
          </w:p>
        </w:tc>
        <w:tc>
          <w:tcPr>
            <w:tcW w:w="851" w:type="dxa"/>
            <w:tcBorders>
              <w:top w:val="nil"/>
              <w:left w:val="nil"/>
              <w:bottom w:val="nil"/>
              <w:right w:val="nil"/>
            </w:tcBorders>
            <w:shd w:val="clear" w:color="000000" w:fill="FFFFFF"/>
            <w:noWrap/>
            <w:vAlign w:val="center"/>
            <w:hideMark/>
          </w:tcPr>
          <w:p w14:paraId="1515A653"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3 000</w:t>
            </w:r>
          </w:p>
        </w:tc>
        <w:tc>
          <w:tcPr>
            <w:tcW w:w="992" w:type="dxa"/>
            <w:tcBorders>
              <w:top w:val="nil"/>
              <w:left w:val="nil"/>
              <w:bottom w:val="nil"/>
              <w:right w:val="nil"/>
            </w:tcBorders>
            <w:shd w:val="clear" w:color="auto" w:fill="auto"/>
            <w:noWrap/>
            <w:vAlign w:val="center"/>
            <w:hideMark/>
          </w:tcPr>
          <w:p w14:paraId="7A9A87CE"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490</w:t>
            </w:r>
          </w:p>
        </w:tc>
        <w:tc>
          <w:tcPr>
            <w:tcW w:w="992" w:type="dxa"/>
            <w:tcBorders>
              <w:top w:val="nil"/>
              <w:left w:val="nil"/>
              <w:bottom w:val="nil"/>
              <w:right w:val="nil"/>
            </w:tcBorders>
            <w:shd w:val="clear" w:color="000000" w:fill="FFFFFF"/>
            <w:vAlign w:val="center"/>
            <w:hideMark/>
          </w:tcPr>
          <w:p w14:paraId="1558D8E2"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-2 510</w:t>
            </w:r>
          </w:p>
        </w:tc>
        <w:tc>
          <w:tcPr>
            <w:tcW w:w="851" w:type="dxa"/>
            <w:tcBorders>
              <w:top w:val="nil"/>
              <w:left w:val="nil"/>
              <w:bottom w:val="nil"/>
              <w:right w:val="nil"/>
            </w:tcBorders>
            <w:shd w:val="clear" w:color="000000" w:fill="FFFFFF"/>
            <w:vAlign w:val="center"/>
            <w:hideMark/>
          </w:tcPr>
          <w:p w14:paraId="0C851113"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-83,7</w:t>
            </w:r>
          </w:p>
        </w:tc>
      </w:tr>
      <w:tr w:rsidR="00A57E96" w:rsidRPr="006D37EA" w14:paraId="56FBC17B" w14:textId="77777777" w:rsidTr="00385988">
        <w:trPr>
          <w:trHeight w:val="330"/>
        </w:trPr>
        <w:tc>
          <w:tcPr>
            <w:tcW w:w="3686" w:type="dxa"/>
            <w:tcBorders>
              <w:top w:val="nil"/>
              <w:left w:val="nil"/>
              <w:bottom w:val="nil"/>
              <w:right w:val="nil"/>
            </w:tcBorders>
            <w:shd w:val="clear" w:color="000000" w:fill="FFFFFF"/>
            <w:noWrap/>
            <w:vAlign w:val="bottom"/>
            <w:hideMark/>
          </w:tcPr>
          <w:p w14:paraId="7F48B324" w14:textId="1F292214" w:rsidR="00A57E96" w:rsidRPr="006D37EA" w:rsidRDefault="00A57E96" w:rsidP="006D37EA">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 xml:space="preserve">   Transpetrol, </w:t>
            </w:r>
            <w:proofErr w:type="spellStart"/>
            <w:r w:rsidRPr="006D37EA">
              <w:rPr>
                <w:rFonts w:eastAsia="Times New Roman" w:cs="Times New Roman"/>
                <w:color w:val="000000"/>
                <w:sz w:val="18"/>
                <w:szCs w:val="18"/>
                <w:lang w:eastAsia="sk-SK"/>
              </w:rPr>
              <w:t>a.s</w:t>
            </w:r>
            <w:proofErr w:type="spellEnd"/>
            <w:r w:rsidRPr="006D37EA">
              <w:rPr>
                <w:rFonts w:eastAsia="Times New Roman" w:cs="Times New Roman"/>
                <w:color w:val="000000"/>
                <w:sz w:val="18"/>
                <w:szCs w:val="18"/>
                <w:lang w:eastAsia="sk-SK"/>
              </w:rPr>
              <w:t>.</w:t>
            </w:r>
          </w:p>
        </w:tc>
        <w:tc>
          <w:tcPr>
            <w:tcW w:w="992" w:type="dxa"/>
            <w:tcBorders>
              <w:top w:val="nil"/>
              <w:left w:val="nil"/>
              <w:bottom w:val="nil"/>
              <w:right w:val="nil"/>
            </w:tcBorders>
            <w:shd w:val="clear" w:color="000000" w:fill="FFFFFF"/>
            <w:noWrap/>
            <w:vAlign w:val="center"/>
            <w:hideMark/>
          </w:tcPr>
          <w:p w14:paraId="230D5FC5"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2 000</w:t>
            </w:r>
          </w:p>
        </w:tc>
        <w:tc>
          <w:tcPr>
            <w:tcW w:w="992" w:type="dxa"/>
            <w:tcBorders>
              <w:top w:val="nil"/>
              <w:left w:val="nil"/>
              <w:bottom w:val="nil"/>
              <w:right w:val="nil"/>
            </w:tcBorders>
            <w:shd w:val="clear" w:color="000000" w:fill="FFFFFF"/>
            <w:noWrap/>
            <w:vAlign w:val="center"/>
            <w:hideMark/>
          </w:tcPr>
          <w:p w14:paraId="531FCD6D"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1 500</w:t>
            </w:r>
          </w:p>
        </w:tc>
        <w:tc>
          <w:tcPr>
            <w:tcW w:w="851" w:type="dxa"/>
            <w:tcBorders>
              <w:top w:val="nil"/>
              <w:left w:val="nil"/>
              <w:bottom w:val="nil"/>
              <w:right w:val="nil"/>
            </w:tcBorders>
            <w:shd w:val="clear" w:color="000000" w:fill="FFFFFF"/>
            <w:noWrap/>
            <w:vAlign w:val="center"/>
            <w:hideMark/>
          </w:tcPr>
          <w:p w14:paraId="0618A5AB"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1 500</w:t>
            </w:r>
          </w:p>
        </w:tc>
        <w:tc>
          <w:tcPr>
            <w:tcW w:w="992" w:type="dxa"/>
            <w:tcBorders>
              <w:top w:val="nil"/>
              <w:left w:val="nil"/>
              <w:bottom w:val="nil"/>
              <w:right w:val="nil"/>
            </w:tcBorders>
            <w:shd w:val="clear" w:color="auto" w:fill="auto"/>
            <w:noWrap/>
            <w:vAlign w:val="center"/>
            <w:hideMark/>
          </w:tcPr>
          <w:p w14:paraId="7A984724"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1 500</w:t>
            </w:r>
          </w:p>
        </w:tc>
        <w:tc>
          <w:tcPr>
            <w:tcW w:w="992" w:type="dxa"/>
            <w:tcBorders>
              <w:top w:val="nil"/>
              <w:left w:val="nil"/>
              <w:bottom w:val="nil"/>
              <w:right w:val="nil"/>
            </w:tcBorders>
            <w:shd w:val="clear" w:color="000000" w:fill="FFFFFF"/>
            <w:vAlign w:val="center"/>
            <w:hideMark/>
          </w:tcPr>
          <w:p w14:paraId="3EEE2EDB"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c>
          <w:tcPr>
            <w:tcW w:w="851" w:type="dxa"/>
            <w:tcBorders>
              <w:top w:val="nil"/>
              <w:left w:val="nil"/>
              <w:bottom w:val="nil"/>
              <w:right w:val="nil"/>
            </w:tcBorders>
            <w:shd w:val="clear" w:color="000000" w:fill="FFFFFF"/>
            <w:vAlign w:val="center"/>
            <w:hideMark/>
          </w:tcPr>
          <w:p w14:paraId="52886E49" w14:textId="0407F047" w:rsidR="00A57E96" w:rsidRPr="006D37EA" w:rsidRDefault="00293850"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r>
      <w:tr w:rsidR="00A57E96" w:rsidRPr="006D37EA" w14:paraId="7E19D53F" w14:textId="77777777" w:rsidTr="00385988">
        <w:trPr>
          <w:trHeight w:val="330"/>
        </w:trPr>
        <w:tc>
          <w:tcPr>
            <w:tcW w:w="3686" w:type="dxa"/>
            <w:tcBorders>
              <w:top w:val="nil"/>
              <w:left w:val="nil"/>
              <w:bottom w:val="nil"/>
              <w:right w:val="nil"/>
            </w:tcBorders>
            <w:shd w:val="clear" w:color="000000" w:fill="FFFFFF"/>
            <w:noWrap/>
            <w:vAlign w:val="bottom"/>
            <w:hideMark/>
          </w:tcPr>
          <w:p w14:paraId="133A7928" w14:textId="77777777" w:rsidR="00A57E96" w:rsidRPr="006D37EA" w:rsidRDefault="00A57E96" w:rsidP="006D37EA">
            <w:pPr>
              <w:spacing w:after="0" w:line="240" w:lineRule="auto"/>
              <w:jc w:val="lef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Ministerstvo dopravy SR</w:t>
            </w:r>
          </w:p>
        </w:tc>
        <w:tc>
          <w:tcPr>
            <w:tcW w:w="992" w:type="dxa"/>
            <w:tcBorders>
              <w:top w:val="nil"/>
              <w:left w:val="nil"/>
              <w:bottom w:val="nil"/>
              <w:right w:val="nil"/>
            </w:tcBorders>
            <w:shd w:val="clear" w:color="000000" w:fill="FFFFFF"/>
            <w:noWrap/>
            <w:vAlign w:val="center"/>
            <w:hideMark/>
          </w:tcPr>
          <w:p w14:paraId="4546B578"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0</w:t>
            </w:r>
          </w:p>
        </w:tc>
        <w:tc>
          <w:tcPr>
            <w:tcW w:w="992" w:type="dxa"/>
            <w:tcBorders>
              <w:top w:val="nil"/>
              <w:left w:val="nil"/>
              <w:bottom w:val="nil"/>
              <w:right w:val="nil"/>
            </w:tcBorders>
            <w:shd w:val="clear" w:color="000000" w:fill="FFFFFF"/>
            <w:noWrap/>
            <w:vAlign w:val="center"/>
            <w:hideMark/>
          </w:tcPr>
          <w:p w14:paraId="44AC9070"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0</w:t>
            </w:r>
          </w:p>
        </w:tc>
        <w:tc>
          <w:tcPr>
            <w:tcW w:w="851" w:type="dxa"/>
            <w:tcBorders>
              <w:top w:val="nil"/>
              <w:left w:val="nil"/>
              <w:bottom w:val="nil"/>
              <w:right w:val="nil"/>
            </w:tcBorders>
            <w:shd w:val="clear" w:color="000000" w:fill="FFFFFF"/>
            <w:noWrap/>
            <w:vAlign w:val="center"/>
            <w:hideMark/>
          </w:tcPr>
          <w:p w14:paraId="2B2DFC58"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1E3685C7"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406</w:t>
            </w:r>
          </w:p>
        </w:tc>
        <w:tc>
          <w:tcPr>
            <w:tcW w:w="992" w:type="dxa"/>
            <w:tcBorders>
              <w:top w:val="nil"/>
              <w:left w:val="nil"/>
              <w:bottom w:val="nil"/>
              <w:right w:val="nil"/>
            </w:tcBorders>
            <w:shd w:val="clear" w:color="000000" w:fill="FFFFFF"/>
            <w:vAlign w:val="center"/>
            <w:hideMark/>
          </w:tcPr>
          <w:p w14:paraId="2CB6D38C"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406</w:t>
            </w:r>
          </w:p>
        </w:tc>
        <w:tc>
          <w:tcPr>
            <w:tcW w:w="851" w:type="dxa"/>
            <w:tcBorders>
              <w:top w:val="nil"/>
              <w:left w:val="nil"/>
              <w:bottom w:val="nil"/>
              <w:right w:val="nil"/>
            </w:tcBorders>
            <w:shd w:val="clear" w:color="000000" w:fill="FFFFFF"/>
            <w:vAlign w:val="center"/>
            <w:hideMark/>
          </w:tcPr>
          <w:p w14:paraId="7CDE7ACC" w14:textId="0200BB8F" w:rsidR="00A57E96" w:rsidRPr="006D37EA" w:rsidRDefault="00293850"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r>
      <w:tr w:rsidR="00A57E96" w:rsidRPr="006D37EA" w14:paraId="150A8760" w14:textId="77777777" w:rsidTr="00385988">
        <w:trPr>
          <w:trHeight w:val="330"/>
        </w:trPr>
        <w:tc>
          <w:tcPr>
            <w:tcW w:w="3686" w:type="dxa"/>
            <w:tcBorders>
              <w:top w:val="nil"/>
              <w:left w:val="nil"/>
              <w:bottom w:val="nil"/>
              <w:right w:val="nil"/>
            </w:tcBorders>
            <w:shd w:val="clear" w:color="000000" w:fill="FFFFFF"/>
            <w:vAlign w:val="bottom"/>
            <w:hideMark/>
          </w:tcPr>
          <w:p w14:paraId="4016DCE1" w14:textId="1E352D2A" w:rsidR="00A57E96" w:rsidRPr="006D37EA" w:rsidRDefault="00796335" w:rsidP="006D37EA">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 xml:space="preserve">   </w:t>
            </w:r>
            <w:r w:rsidR="00A57E96" w:rsidRPr="006D37EA">
              <w:rPr>
                <w:rFonts w:eastAsia="Times New Roman" w:cs="Times New Roman"/>
                <w:color w:val="000000"/>
                <w:sz w:val="18"/>
                <w:szCs w:val="18"/>
                <w:lang w:eastAsia="sk-SK"/>
              </w:rPr>
              <w:t xml:space="preserve">Letisko Košice - </w:t>
            </w:r>
            <w:proofErr w:type="spellStart"/>
            <w:r w:rsidR="00A57E96" w:rsidRPr="006D37EA">
              <w:rPr>
                <w:rFonts w:eastAsia="Times New Roman" w:cs="Times New Roman"/>
                <w:color w:val="000000"/>
                <w:sz w:val="18"/>
                <w:szCs w:val="18"/>
                <w:lang w:eastAsia="sk-SK"/>
              </w:rPr>
              <w:t>Airport</w:t>
            </w:r>
            <w:proofErr w:type="spellEnd"/>
            <w:r w:rsidR="00A57E96" w:rsidRPr="006D37EA">
              <w:rPr>
                <w:rFonts w:eastAsia="Times New Roman" w:cs="Times New Roman"/>
                <w:color w:val="000000"/>
                <w:sz w:val="18"/>
                <w:szCs w:val="18"/>
                <w:lang w:eastAsia="sk-SK"/>
              </w:rPr>
              <w:t xml:space="preserve"> Košice, </w:t>
            </w:r>
            <w:proofErr w:type="spellStart"/>
            <w:r w:rsidR="00A57E96" w:rsidRPr="006D37EA">
              <w:rPr>
                <w:rFonts w:eastAsia="Times New Roman" w:cs="Times New Roman"/>
                <w:color w:val="000000"/>
                <w:sz w:val="18"/>
                <w:szCs w:val="18"/>
                <w:lang w:eastAsia="sk-SK"/>
              </w:rPr>
              <w:t>a.s</w:t>
            </w:r>
            <w:proofErr w:type="spellEnd"/>
            <w:r w:rsidR="00A57E96" w:rsidRPr="006D37EA">
              <w:rPr>
                <w:rFonts w:eastAsia="Times New Roman" w:cs="Times New Roman"/>
                <w:color w:val="000000"/>
                <w:sz w:val="18"/>
                <w:szCs w:val="18"/>
                <w:lang w:eastAsia="sk-SK"/>
              </w:rPr>
              <w:t>.</w:t>
            </w:r>
          </w:p>
        </w:tc>
        <w:tc>
          <w:tcPr>
            <w:tcW w:w="992" w:type="dxa"/>
            <w:tcBorders>
              <w:top w:val="nil"/>
              <w:left w:val="nil"/>
              <w:bottom w:val="nil"/>
              <w:right w:val="nil"/>
            </w:tcBorders>
            <w:shd w:val="clear" w:color="000000" w:fill="FFFFFF"/>
            <w:noWrap/>
            <w:vAlign w:val="center"/>
            <w:hideMark/>
          </w:tcPr>
          <w:p w14:paraId="48247B7B"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3AA1EC0F"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c>
          <w:tcPr>
            <w:tcW w:w="851" w:type="dxa"/>
            <w:tcBorders>
              <w:top w:val="nil"/>
              <w:left w:val="nil"/>
              <w:bottom w:val="nil"/>
              <w:right w:val="nil"/>
            </w:tcBorders>
            <w:shd w:val="clear" w:color="000000" w:fill="FFFFFF"/>
            <w:noWrap/>
            <w:vAlign w:val="center"/>
            <w:hideMark/>
          </w:tcPr>
          <w:p w14:paraId="70E9D523"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55A289D0"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346</w:t>
            </w:r>
          </w:p>
        </w:tc>
        <w:tc>
          <w:tcPr>
            <w:tcW w:w="992" w:type="dxa"/>
            <w:tcBorders>
              <w:top w:val="nil"/>
              <w:left w:val="nil"/>
              <w:bottom w:val="nil"/>
              <w:right w:val="nil"/>
            </w:tcBorders>
            <w:shd w:val="clear" w:color="000000" w:fill="FFFFFF"/>
            <w:vAlign w:val="center"/>
            <w:hideMark/>
          </w:tcPr>
          <w:p w14:paraId="578DD231"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346</w:t>
            </w:r>
          </w:p>
        </w:tc>
        <w:tc>
          <w:tcPr>
            <w:tcW w:w="851" w:type="dxa"/>
            <w:tcBorders>
              <w:top w:val="nil"/>
              <w:left w:val="nil"/>
              <w:bottom w:val="nil"/>
              <w:right w:val="nil"/>
            </w:tcBorders>
            <w:shd w:val="clear" w:color="000000" w:fill="FFFFFF"/>
            <w:vAlign w:val="center"/>
            <w:hideMark/>
          </w:tcPr>
          <w:p w14:paraId="76C595A3" w14:textId="28785DDF" w:rsidR="00A57E96" w:rsidRPr="006D37EA" w:rsidRDefault="00293850"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r>
      <w:tr w:rsidR="00A57E96" w:rsidRPr="006D37EA" w14:paraId="1D410C46" w14:textId="77777777" w:rsidTr="00385988">
        <w:trPr>
          <w:trHeight w:val="330"/>
        </w:trPr>
        <w:tc>
          <w:tcPr>
            <w:tcW w:w="3686" w:type="dxa"/>
            <w:tcBorders>
              <w:top w:val="nil"/>
              <w:left w:val="nil"/>
              <w:bottom w:val="nil"/>
              <w:right w:val="nil"/>
            </w:tcBorders>
            <w:shd w:val="clear" w:color="000000" w:fill="FFFFFF"/>
            <w:vAlign w:val="bottom"/>
            <w:hideMark/>
          </w:tcPr>
          <w:p w14:paraId="4FF83CC6" w14:textId="4F017C5F" w:rsidR="00A57E96" w:rsidRPr="006D37EA" w:rsidRDefault="00A57E96" w:rsidP="006D37EA">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 xml:space="preserve">   Letisko Sliač, </w:t>
            </w:r>
            <w:proofErr w:type="spellStart"/>
            <w:r w:rsidRPr="006D37EA">
              <w:rPr>
                <w:rFonts w:eastAsia="Times New Roman" w:cs="Times New Roman"/>
                <w:color w:val="000000"/>
                <w:sz w:val="18"/>
                <w:szCs w:val="18"/>
                <w:lang w:eastAsia="sk-SK"/>
              </w:rPr>
              <w:t>a.s</w:t>
            </w:r>
            <w:proofErr w:type="spellEnd"/>
            <w:r w:rsidRPr="006D37EA">
              <w:rPr>
                <w:rFonts w:eastAsia="Times New Roman" w:cs="Times New Roman"/>
                <w:color w:val="000000"/>
                <w:sz w:val="18"/>
                <w:szCs w:val="18"/>
                <w:lang w:eastAsia="sk-SK"/>
              </w:rPr>
              <w:t>.</w:t>
            </w:r>
          </w:p>
        </w:tc>
        <w:tc>
          <w:tcPr>
            <w:tcW w:w="992" w:type="dxa"/>
            <w:tcBorders>
              <w:top w:val="nil"/>
              <w:left w:val="nil"/>
              <w:bottom w:val="nil"/>
              <w:right w:val="nil"/>
            </w:tcBorders>
            <w:shd w:val="clear" w:color="000000" w:fill="FFFFFF"/>
            <w:noWrap/>
            <w:vAlign w:val="center"/>
            <w:hideMark/>
          </w:tcPr>
          <w:p w14:paraId="01405C0A"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1D179286"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c>
          <w:tcPr>
            <w:tcW w:w="851" w:type="dxa"/>
            <w:tcBorders>
              <w:top w:val="nil"/>
              <w:left w:val="nil"/>
              <w:bottom w:val="nil"/>
              <w:right w:val="nil"/>
            </w:tcBorders>
            <w:shd w:val="clear" w:color="000000" w:fill="FFFFFF"/>
            <w:noWrap/>
            <w:vAlign w:val="center"/>
            <w:hideMark/>
          </w:tcPr>
          <w:p w14:paraId="2C5CDC93"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0186B3BC"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c>
          <w:tcPr>
            <w:tcW w:w="992" w:type="dxa"/>
            <w:tcBorders>
              <w:top w:val="nil"/>
              <w:left w:val="nil"/>
              <w:bottom w:val="nil"/>
              <w:right w:val="nil"/>
            </w:tcBorders>
            <w:shd w:val="clear" w:color="000000" w:fill="FFFFFF"/>
            <w:vAlign w:val="center"/>
            <w:hideMark/>
          </w:tcPr>
          <w:p w14:paraId="27A9D13C"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c>
          <w:tcPr>
            <w:tcW w:w="851" w:type="dxa"/>
            <w:tcBorders>
              <w:top w:val="nil"/>
              <w:left w:val="nil"/>
              <w:bottom w:val="nil"/>
              <w:right w:val="nil"/>
            </w:tcBorders>
            <w:shd w:val="clear" w:color="000000" w:fill="FFFFFF"/>
            <w:vAlign w:val="center"/>
            <w:hideMark/>
          </w:tcPr>
          <w:p w14:paraId="38CCA0C9" w14:textId="59E033AF" w:rsidR="00A57E96" w:rsidRPr="006D37EA" w:rsidRDefault="00293850"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r>
      <w:tr w:rsidR="00A57E96" w:rsidRPr="006D37EA" w14:paraId="0C7D189F" w14:textId="77777777" w:rsidTr="00385988">
        <w:trPr>
          <w:trHeight w:val="330"/>
        </w:trPr>
        <w:tc>
          <w:tcPr>
            <w:tcW w:w="3686" w:type="dxa"/>
            <w:tcBorders>
              <w:top w:val="nil"/>
              <w:left w:val="nil"/>
              <w:bottom w:val="nil"/>
              <w:right w:val="nil"/>
            </w:tcBorders>
            <w:shd w:val="clear" w:color="000000" w:fill="FFFFFF"/>
            <w:vAlign w:val="bottom"/>
            <w:hideMark/>
          </w:tcPr>
          <w:p w14:paraId="63809752" w14:textId="366E2CFF" w:rsidR="00A57E96" w:rsidRPr="006D37EA" w:rsidRDefault="00A57E96" w:rsidP="006D37EA">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 xml:space="preserve">   365.bank, </w:t>
            </w:r>
            <w:proofErr w:type="spellStart"/>
            <w:r w:rsidRPr="006D37EA">
              <w:rPr>
                <w:rFonts w:eastAsia="Times New Roman" w:cs="Times New Roman"/>
                <w:color w:val="000000"/>
                <w:sz w:val="18"/>
                <w:szCs w:val="18"/>
                <w:lang w:eastAsia="sk-SK"/>
              </w:rPr>
              <w:t>a.s</w:t>
            </w:r>
            <w:proofErr w:type="spellEnd"/>
            <w:r w:rsidRPr="006D37EA">
              <w:rPr>
                <w:rFonts w:eastAsia="Times New Roman" w:cs="Times New Roman"/>
                <w:color w:val="000000"/>
                <w:sz w:val="18"/>
                <w:szCs w:val="18"/>
                <w:lang w:eastAsia="sk-SK"/>
              </w:rPr>
              <w:t>.</w:t>
            </w:r>
          </w:p>
        </w:tc>
        <w:tc>
          <w:tcPr>
            <w:tcW w:w="992" w:type="dxa"/>
            <w:tcBorders>
              <w:top w:val="nil"/>
              <w:left w:val="nil"/>
              <w:bottom w:val="nil"/>
              <w:right w:val="nil"/>
            </w:tcBorders>
            <w:shd w:val="clear" w:color="000000" w:fill="FFFFFF"/>
            <w:noWrap/>
            <w:vAlign w:val="center"/>
            <w:hideMark/>
          </w:tcPr>
          <w:p w14:paraId="5739FFFA"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671DF5D5"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c>
          <w:tcPr>
            <w:tcW w:w="851" w:type="dxa"/>
            <w:tcBorders>
              <w:top w:val="nil"/>
              <w:left w:val="nil"/>
              <w:bottom w:val="nil"/>
              <w:right w:val="nil"/>
            </w:tcBorders>
            <w:shd w:val="clear" w:color="000000" w:fill="FFFFFF"/>
            <w:noWrap/>
            <w:vAlign w:val="center"/>
            <w:hideMark/>
          </w:tcPr>
          <w:p w14:paraId="036CC852"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7F4DA064"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60</w:t>
            </w:r>
          </w:p>
        </w:tc>
        <w:tc>
          <w:tcPr>
            <w:tcW w:w="992" w:type="dxa"/>
            <w:tcBorders>
              <w:top w:val="nil"/>
              <w:left w:val="nil"/>
              <w:bottom w:val="nil"/>
              <w:right w:val="nil"/>
            </w:tcBorders>
            <w:shd w:val="clear" w:color="000000" w:fill="FFFFFF"/>
            <w:vAlign w:val="center"/>
            <w:hideMark/>
          </w:tcPr>
          <w:p w14:paraId="600F1BC8"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60</w:t>
            </w:r>
          </w:p>
        </w:tc>
        <w:tc>
          <w:tcPr>
            <w:tcW w:w="851" w:type="dxa"/>
            <w:tcBorders>
              <w:top w:val="nil"/>
              <w:left w:val="nil"/>
              <w:bottom w:val="nil"/>
              <w:right w:val="nil"/>
            </w:tcBorders>
            <w:shd w:val="clear" w:color="000000" w:fill="FFFFFF"/>
            <w:vAlign w:val="center"/>
            <w:hideMark/>
          </w:tcPr>
          <w:p w14:paraId="3EA9A072" w14:textId="6ABE0FEF" w:rsidR="00A57E96" w:rsidRPr="006D37EA" w:rsidRDefault="00293850"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r>
      <w:tr w:rsidR="00A57E96" w:rsidRPr="006D37EA" w14:paraId="67E3CC5A" w14:textId="77777777" w:rsidTr="00385988">
        <w:trPr>
          <w:trHeight w:val="330"/>
        </w:trPr>
        <w:tc>
          <w:tcPr>
            <w:tcW w:w="3686" w:type="dxa"/>
            <w:tcBorders>
              <w:top w:val="nil"/>
              <w:left w:val="nil"/>
              <w:bottom w:val="nil"/>
              <w:right w:val="nil"/>
            </w:tcBorders>
            <w:shd w:val="clear" w:color="000000" w:fill="FFFFFF"/>
            <w:vAlign w:val="bottom"/>
            <w:hideMark/>
          </w:tcPr>
          <w:p w14:paraId="3626521F" w14:textId="77777777" w:rsidR="00A57E96" w:rsidRPr="006D37EA" w:rsidRDefault="00A57E96" w:rsidP="006D37EA">
            <w:pPr>
              <w:spacing w:after="0" w:line="240" w:lineRule="auto"/>
              <w:jc w:val="lef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Správa štátnych hmotných rezerv SR</w:t>
            </w:r>
          </w:p>
        </w:tc>
        <w:tc>
          <w:tcPr>
            <w:tcW w:w="992" w:type="dxa"/>
            <w:tcBorders>
              <w:top w:val="nil"/>
              <w:left w:val="nil"/>
              <w:bottom w:val="nil"/>
              <w:right w:val="nil"/>
            </w:tcBorders>
            <w:shd w:val="clear" w:color="000000" w:fill="FFFFFF"/>
            <w:noWrap/>
            <w:vAlign w:val="center"/>
            <w:hideMark/>
          </w:tcPr>
          <w:p w14:paraId="7729383D"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121</w:t>
            </w:r>
          </w:p>
        </w:tc>
        <w:tc>
          <w:tcPr>
            <w:tcW w:w="992" w:type="dxa"/>
            <w:tcBorders>
              <w:top w:val="nil"/>
              <w:left w:val="nil"/>
              <w:bottom w:val="nil"/>
              <w:right w:val="nil"/>
            </w:tcBorders>
            <w:shd w:val="clear" w:color="auto" w:fill="auto"/>
            <w:noWrap/>
            <w:vAlign w:val="center"/>
            <w:hideMark/>
          </w:tcPr>
          <w:p w14:paraId="035F7938"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93</w:t>
            </w:r>
          </w:p>
        </w:tc>
        <w:tc>
          <w:tcPr>
            <w:tcW w:w="851" w:type="dxa"/>
            <w:tcBorders>
              <w:top w:val="nil"/>
              <w:left w:val="nil"/>
              <w:bottom w:val="nil"/>
              <w:right w:val="nil"/>
            </w:tcBorders>
            <w:shd w:val="clear" w:color="000000" w:fill="FFFFFF"/>
            <w:noWrap/>
            <w:vAlign w:val="center"/>
            <w:hideMark/>
          </w:tcPr>
          <w:p w14:paraId="00BA12F8"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7D765B5A"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109</w:t>
            </w:r>
          </w:p>
        </w:tc>
        <w:tc>
          <w:tcPr>
            <w:tcW w:w="992" w:type="dxa"/>
            <w:tcBorders>
              <w:top w:val="nil"/>
              <w:left w:val="nil"/>
              <w:bottom w:val="nil"/>
              <w:right w:val="nil"/>
            </w:tcBorders>
            <w:shd w:val="clear" w:color="000000" w:fill="FFFFFF"/>
            <w:vAlign w:val="center"/>
            <w:hideMark/>
          </w:tcPr>
          <w:p w14:paraId="409B92CB"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109</w:t>
            </w:r>
          </w:p>
        </w:tc>
        <w:tc>
          <w:tcPr>
            <w:tcW w:w="851" w:type="dxa"/>
            <w:tcBorders>
              <w:top w:val="nil"/>
              <w:left w:val="nil"/>
              <w:bottom w:val="nil"/>
              <w:right w:val="nil"/>
            </w:tcBorders>
            <w:shd w:val="clear" w:color="000000" w:fill="FFFFFF"/>
            <w:vAlign w:val="center"/>
            <w:hideMark/>
          </w:tcPr>
          <w:p w14:paraId="2B5B47F2" w14:textId="094DF28D" w:rsidR="00A57E96" w:rsidRPr="006D37EA" w:rsidRDefault="00293850"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r>
      <w:tr w:rsidR="00A57E96" w:rsidRPr="006D37EA" w14:paraId="4959883E" w14:textId="77777777" w:rsidTr="00385988">
        <w:trPr>
          <w:trHeight w:val="330"/>
        </w:trPr>
        <w:tc>
          <w:tcPr>
            <w:tcW w:w="3686" w:type="dxa"/>
            <w:tcBorders>
              <w:top w:val="nil"/>
              <w:left w:val="nil"/>
              <w:bottom w:val="nil"/>
              <w:right w:val="nil"/>
            </w:tcBorders>
            <w:shd w:val="clear" w:color="000000" w:fill="FFFFFF"/>
            <w:vAlign w:val="bottom"/>
            <w:hideMark/>
          </w:tcPr>
          <w:p w14:paraId="292396CD" w14:textId="77777777" w:rsidR="00A57E96" w:rsidRPr="006D37EA" w:rsidRDefault="00A57E96" w:rsidP="006D37EA">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 xml:space="preserve">   Spoločnosť pre skladovanie </w:t>
            </w:r>
            <w:proofErr w:type="spellStart"/>
            <w:r w:rsidRPr="006D37EA">
              <w:rPr>
                <w:rFonts w:eastAsia="Times New Roman" w:cs="Times New Roman"/>
                <w:color w:val="000000"/>
                <w:sz w:val="18"/>
                <w:szCs w:val="18"/>
                <w:lang w:eastAsia="sk-SK"/>
              </w:rPr>
              <w:t>a.s</w:t>
            </w:r>
            <w:proofErr w:type="spellEnd"/>
            <w:r w:rsidRPr="006D37EA">
              <w:rPr>
                <w:rFonts w:eastAsia="Times New Roman" w:cs="Times New Roman"/>
                <w:color w:val="000000"/>
                <w:sz w:val="18"/>
                <w:szCs w:val="18"/>
                <w:lang w:eastAsia="sk-SK"/>
              </w:rPr>
              <w:t>.</w:t>
            </w:r>
          </w:p>
        </w:tc>
        <w:tc>
          <w:tcPr>
            <w:tcW w:w="992" w:type="dxa"/>
            <w:tcBorders>
              <w:top w:val="nil"/>
              <w:left w:val="nil"/>
              <w:bottom w:val="nil"/>
              <w:right w:val="nil"/>
            </w:tcBorders>
            <w:shd w:val="clear" w:color="000000" w:fill="FFFFFF"/>
            <w:noWrap/>
            <w:vAlign w:val="center"/>
            <w:hideMark/>
          </w:tcPr>
          <w:p w14:paraId="555D04D9"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121</w:t>
            </w:r>
          </w:p>
        </w:tc>
        <w:tc>
          <w:tcPr>
            <w:tcW w:w="992" w:type="dxa"/>
            <w:tcBorders>
              <w:top w:val="nil"/>
              <w:left w:val="nil"/>
              <w:bottom w:val="nil"/>
              <w:right w:val="nil"/>
            </w:tcBorders>
            <w:shd w:val="clear" w:color="auto" w:fill="auto"/>
            <w:noWrap/>
            <w:vAlign w:val="center"/>
            <w:hideMark/>
          </w:tcPr>
          <w:p w14:paraId="6C8FD285"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93</w:t>
            </w:r>
          </w:p>
        </w:tc>
        <w:tc>
          <w:tcPr>
            <w:tcW w:w="851" w:type="dxa"/>
            <w:tcBorders>
              <w:top w:val="nil"/>
              <w:left w:val="nil"/>
              <w:bottom w:val="nil"/>
              <w:right w:val="nil"/>
            </w:tcBorders>
            <w:shd w:val="clear" w:color="000000" w:fill="FFFFFF"/>
            <w:noWrap/>
            <w:vAlign w:val="center"/>
            <w:hideMark/>
          </w:tcPr>
          <w:p w14:paraId="648C226A"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6F111E23"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109</w:t>
            </w:r>
          </w:p>
        </w:tc>
        <w:tc>
          <w:tcPr>
            <w:tcW w:w="992" w:type="dxa"/>
            <w:tcBorders>
              <w:top w:val="nil"/>
              <w:left w:val="nil"/>
              <w:bottom w:val="nil"/>
              <w:right w:val="nil"/>
            </w:tcBorders>
            <w:shd w:val="clear" w:color="000000" w:fill="FFFFFF"/>
            <w:vAlign w:val="center"/>
            <w:hideMark/>
          </w:tcPr>
          <w:p w14:paraId="7EBE188D"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109</w:t>
            </w:r>
          </w:p>
        </w:tc>
        <w:tc>
          <w:tcPr>
            <w:tcW w:w="851" w:type="dxa"/>
            <w:tcBorders>
              <w:top w:val="nil"/>
              <w:left w:val="nil"/>
              <w:bottom w:val="nil"/>
              <w:right w:val="nil"/>
            </w:tcBorders>
            <w:shd w:val="clear" w:color="000000" w:fill="FFFFFF"/>
            <w:vAlign w:val="center"/>
            <w:hideMark/>
          </w:tcPr>
          <w:p w14:paraId="5DC0D288" w14:textId="62E0B50B" w:rsidR="00A57E96" w:rsidRPr="006D37EA" w:rsidRDefault="00293850"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r>
      <w:tr w:rsidR="00A57E96" w:rsidRPr="006D37EA" w14:paraId="5D7BF129" w14:textId="77777777" w:rsidTr="00385988">
        <w:trPr>
          <w:trHeight w:val="330"/>
        </w:trPr>
        <w:tc>
          <w:tcPr>
            <w:tcW w:w="3686" w:type="dxa"/>
            <w:tcBorders>
              <w:top w:val="nil"/>
              <w:left w:val="nil"/>
              <w:bottom w:val="nil"/>
              <w:right w:val="nil"/>
            </w:tcBorders>
            <w:shd w:val="clear" w:color="000000" w:fill="FFFFFF"/>
            <w:vAlign w:val="bottom"/>
            <w:hideMark/>
          </w:tcPr>
          <w:p w14:paraId="0ACC8E64" w14:textId="77777777" w:rsidR="00A57E96" w:rsidRPr="006D37EA" w:rsidRDefault="00A57E96" w:rsidP="006D37EA">
            <w:pPr>
              <w:spacing w:after="0" w:line="240" w:lineRule="auto"/>
              <w:jc w:val="lef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Všeobecná pokladničná správa*</w:t>
            </w:r>
          </w:p>
        </w:tc>
        <w:tc>
          <w:tcPr>
            <w:tcW w:w="992" w:type="dxa"/>
            <w:tcBorders>
              <w:top w:val="nil"/>
              <w:left w:val="nil"/>
              <w:bottom w:val="nil"/>
              <w:right w:val="nil"/>
            </w:tcBorders>
            <w:shd w:val="clear" w:color="000000" w:fill="FFFFFF"/>
            <w:noWrap/>
            <w:vAlign w:val="center"/>
            <w:hideMark/>
          </w:tcPr>
          <w:p w14:paraId="647F39F7"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442 445</w:t>
            </w:r>
          </w:p>
        </w:tc>
        <w:tc>
          <w:tcPr>
            <w:tcW w:w="992" w:type="dxa"/>
            <w:tcBorders>
              <w:top w:val="nil"/>
              <w:left w:val="nil"/>
              <w:bottom w:val="nil"/>
              <w:right w:val="nil"/>
            </w:tcBorders>
            <w:shd w:val="clear" w:color="000000" w:fill="FFFFFF"/>
            <w:noWrap/>
            <w:vAlign w:val="center"/>
            <w:hideMark/>
          </w:tcPr>
          <w:p w14:paraId="7FDF95F0"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148 686</w:t>
            </w:r>
          </w:p>
        </w:tc>
        <w:tc>
          <w:tcPr>
            <w:tcW w:w="851" w:type="dxa"/>
            <w:tcBorders>
              <w:top w:val="nil"/>
              <w:left w:val="nil"/>
              <w:bottom w:val="nil"/>
              <w:right w:val="nil"/>
            </w:tcBorders>
            <w:shd w:val="clear" w:color="auto" w:fill="auto"/>
            <w:noWrap/>
            <w:vAlign w:val="center"/>
            <w:hideMark/>
          </w:tcPr>
          <w:p w14:paraId="3F8816E4"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318 776</w:t>
            </w:r>
          </w:p>
        </w:tc>
        <w:tc>
          <w:tcPr>
            <w:tcW w:w="992" w:type="dxa"/>
            <w:tcBorders>
              <w:top w:val="nil"/>
              <w:left w:val="nil"/>
              <w:bottom w:val="nil"/>
              <w:right w:val="nil"/>
            </w:tcBorders>
            <w:shd w:val="clear" w:color="auto" w:fill="auto"/>
            <w:noWrap/>
            <w:vAlign w:val="center"/>
            <w:hideMark/>
          </w:tcPr>
          <w:p w14:paraId="62E308A9"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306 585</w:t>
            </w:r>
          </w:p>
        </w:tc>
        <w:tc>
          <w:tcPr>
            <w:tcW w:w="992" w:type="dxa"/>
            <w:tcBorders>
              <w:top w:val="nil"/>
              <w:left w:val="nil"/>
              <w:bottom w:val="nil"/>
              <w:right w:val="nil"/>
            </w:tcBorders>
            <w:shd w:val="clear" w:color="000000" w:fill="FFFFFF"/>
            <w:vAlign w:val="center"/>
            <w:hideMark/>
          </w:tcPr>
          <w:p w14:paraId="3AD02173"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-12 191</w:t>
            </w:r>
          </w:p>
        </w:tc>
        <w:tc>
          <w:tcPr>
            <w:tcW w:w="851" w:type="dxa"/>
            <w:tcBorders>
              <w:top w:val="nil"/>
              <w:left w:val="nil"/>
              <w:bottom w:val="nil"/>
              <w:right w:val="nil"/>
            </w:tcBorders>
            <w:shd w:val="clear" w:color="000000" w:fill="FFFFFF"/>
            <w:vAlign w:val="center"/>
            <w:hideMark/>
          </w:tcPr>
          <w:p w14:paraId="5D9FFB63"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-3,8</w:t>
            </w:r>
          </w:p>
        </w:tc>
      </w:tr>
      <w:tr w:rsidR="00A57E96" w:rsidRPr="006D37EA" w14:paraId="0CE2FDA2" w14:textId="77777777" w:rsidTr="00385988">
        <w:trPr>
          <w:trHeight w:val="330"/>
        </w:trPr>
        <w:tc>
          <w:tcPr>
            <w:tcW w:w="3686" w:type="dxa"/>
            <w:tcBorders>
              <w:top w:val="nil"/>
              <w:left w:val="nil"/>
              <w:bottom w:val="nil"/>
              <w:right w:val="nil"/>
            </w:tcBorders>
            <w:shd w:val="clear" w:color="000000" w:fill="FFFFFF"/>
            <w:noWrap/>
            <w:vAlign w:val="bottom"/>
            <w:hideMark/>
          </w:tcPr>
          <w:p w14:paraId="76DF96D2" w14:textId="77777777" w:rsidR="00A57E96" w:rsidRPr="006D37EA" w:rsidRDefault="00A57E96" w:rsidP="006D37EA">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 xml:space="preserve">   Slovenský plynárenský priemysel, </w:t>
            </w:r>
            <w:proofErr w:type="spellStart"/>
            <w:r w:rsidRPr="006D37EA">
              <w:rPr>
                <w:rFonts w:eastAsia="Times New Roman" w:cs="Times New Roman"/>
                <w:color w:val="000000"/>
                <w:sz w:val="18"/>
                <w:szCs w:val="18"/>
                <w:lang w:eastAsia="sk-SK"/>
              </w:rPr>
              <w:t>a.s</w:t>
            </w:r>
            <w:proofErr w:type="spellEnd"/>
            <w:r w:rsidRPr="006D37EA">
              <w:rPr>
                <w:rFonts w:eastAsia="Times New Roman" w:cs="Times New Roman"/>
                <w:color w:val="000000"/>
                <w:sz w:val="18"/>
                <w:szCs w:val="18"/>
                <w:lang w:eastAsia="sk-SK"/>
              </w:rPr>
              <w:t>.</w:t>
            </w:r>
          </w:p>
        </w:tc>
        <w:tc>
          <w:tcPr>
            <w:tcW w:w="992" w:type="dxa"/>
            <w:tcBorders>
              <w:top w:val="nil"/>
              <w:left w:val="nil"/>
              <w:bottom w:val="nil"/>
              <w:right w:val="nil"/>
            </w:tcBorders>
            <w:shd w:val="clear" w:color="000000" w:fill="FFFFFF"/>
            <w:noWrap/>
            <w:vAlign w:val="center"/>
            <w:hideMark/>
          </w:tcPr>
          <w:p w14:paraId="7AA9E9D3"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250 000</w:t>
            </w:r>
          </w:p>
        </w:tc>
        <w:tc>
          <w:tcPr>
            <w:tcW w:w="992" w:type="dxa"/>
            <w:tcBorders>
              <w:top w:val="nil"/>
              <w:left w:val="nil"/>
              <w:bottom w:val="nil"/>
              <w:right w:val="nil"/>
            </w:tcBorders>
            <w:shd w:val="clear" w:color="auto" w:fill="auto"/>
            <w:noWrap/>
            <w:vAlign w:val="center"/>
            <w:hideMark/>
          </w:tcPr>
          <w:p w14:paraId="637C4773"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w:t>
            </w:r>
          </w:p>
        </w:tc>
        <w:tc>
          <w:tcPr>
            <w:tcW w:w="851" w:type="dxa"/>
            <w:tcBorders>
              <w:top w:val="nil"/>
              <w:left w:val="nil"/>
              <w:bottom w:val="nil"/>
              <w:right w:val="nil"/>
            </w:tcBorders>
            <w:shd w:val="clear" w:color="000000" w:fill="FFFFFF"/>
            <w:noWrap/>
            <w:vAlign w:val="center"/>
            <w:hideMark/>
          </w:tcPr>
          <w:p w14:paraId="31CDF419"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156 285</w:t>
            </w:r>
          </w:p>
        </w:tc>
        <w:tc>
          <w:tcPr>
            <w:tcW w:w="992" w:type="dxa"/>
            <w:tcBorders>
              <w:top w:val="nil"/>
              <w:left w:val="nil"/>
              <w:bottom w:val="nil"/>
              <w:right w:val="nil"/>
            </w:tcBorders>
            <w:shd w:val="clear" w:color="auto" w:fill="auto"/>
            <w:noWrap/>
            <w:vAlign w:val="center"/>
            <w:hideMark/>
          </w:tcPr>
          <w:p w14:paraId="451A3D72"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220 000</w:t>
            </w:r>
          </w:p>
        </w:tc>
        <w:tc>
          <w:tcPr>
            <w:tcW w:w="992" w:type="dxa"/>
            <w:tcBorders>
              <w:top w:val="nil"/>
              <w:left w:val="nil"/>
              <w:bottom w:val="nil"/>
              <w:right w:val="nil"/>
            </w:tcBorders>
            <w:shd w:val="clear" w:color="000000" w:fill="FFFFFF"/>
            <w:vAlign w:val="center"/>
            <w:hideMark/>
          </w:tcPr>
          <w:p w14:paraId="1AB41A81"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63 715</w:t>
            </w:r>
          </w:p>
        </w:tc>
        <w:tc>
          <w:tcPr>
            <w:tcW w:w="851" w:type="dxa"/>
            <w:tcBorders>
              <w:top w:val="nil"/>
              <w:left w:val="nil"/>
              <w:bottom w:val="nil"/>
              <w:right w:val="nil"/>
            </w:tcBorders>
            <w:shd w:val="clear" w:color="000000" w:fill="FFFFFF"/>
            <w:vAlign w:val="center"/>
            <w:hideMark/>
          </w:tcPr>
          <w:p w14:paraId="0A698369"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40,8</w:t>
            </w:r>
          </w:p>
        </w:tc>
      </w:tr>
      <w:tr w:rsidR="00A57E96" w:rsidRPr="006D37EA" w14:paraId="6FD00B7A" w14:textId="77777777" w:rsidTr="00385988">
        <w:trPr>
          <w:trHeight w:val="330"/>
        </w:trPr>
        <w:tc>
          <w:tcPr>
            <w:tcW w:w="3686" w:type="dxa"/>
            <w:tcBorders>
              <w:top w:val="nil"/>
              <w:left w:val="nil"/>
              <w:bottom w:val="nil"/>
              <w:right w:val="nil"/>
            </w:tcBorders>
            <w:shd w:val="clear" w:color="000000" w:fill="FFFFFF"/>
            <w:noWrap/>
            <w:vAlign w:val="bottom"/>
            <w:hideMark/>
          </w:tcPr>
          <w:p w14:paraId="7B28E2F3" w14:textId="3B4F4845" w:rsidR="00A57E96" w:rsidRPr="006D37EA" w:rsidRDefault="00A57E96" w:rsidP="006D37EA">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 xml:space="preserve">   Západoslovenská energetika, </w:t>
            </w:r>
            <w:proofErr w:type="spellStart"/>
            <w:r w:rsidR="00837EB9">
              <w:rPr>
                <w:rFonts w:eastAsia="Times New Roman" w:cs="Times New Roman"/>
                <w:color w:val="000000"/>
                <w:sz w:val="18"/>
                <w:szCs w:val="18"/>
                <w:lang w:eastAsia="sk-SK"/>
              </w:rPr>
              <w:t>a.s</w:t>
            </w:r>
            <w:proofErr w:type="spellEnd"/>
            <w:r w:rsidR="00837EB9">
              <w:rPr>
                <w:rFonts w:eastAsia="Times New Roman" w:cs="Times New Roman"/>
                <w:color w:val="000000"/>
                <w:sz w:val="18"/>
                <w:szCs w:val="18"/>
                <w:lang w:eastAsia="sk-SK"/>
              </w:rPr>
              <w:t>.</w:t>
            </w:r>
          </w:p>
        </w:tc>
        <w:tc>
          <w:tcPr>
            <w:tcW w:w="992" w:type="dxa"/>
            <w:tcBorders>
              <w:top w:val="nil"/>
              <w:left w:val="nil"/>
              <w:bottom w:val="nil"/>
              <w:right w:val="nil"/>
            </w:tcBorders>
            <w:shd w:val="clear" w:color="000000" w:fill="FFFFFF"/>
            <w:noWrap/>
            <w:vAlign w:val="center"/>
            <w:hideMark/>
          </w:tcPr>
          <w:p w14:paraId="6A977FD5"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45 697</w:t>
            </w:r>
          </w:p>
        </w:tc>
        <w:tc>
          <w:tcPr>
            <w:tcW w:w="992" w:type="dxa"/>
            <w:tcBorders>
              <w:top w:val="nil"/>
              <w:left w:val="nil"/>
              <w:bottom w:val="nil"/>
              <w:right w:val="nil"/>
            </w:tcBorders>
            <w:shd w:val="clear" w:color="auto" w:fill="auto"/>
            <w:noWrap/>
            <w:vAlign w:val="center"/>
            <w:hideMark/>
          </w:tcPr>
          <w:p w14:paraId="510FFC73"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44 839</w:t>
            </w:r>
          </w:p>
        </w:tc>
        <w:tc>
          <w:tcPr>
            <w:tcW w:w="851" w:type="dxa"/>
            <w:tcBorders>
              <w:top w:val="nil"/>
              <w:left w:val="nil"/>
              <w:bottom w:val="nil"/>
              <w:right w:val="nil"/>
            </w:tcBorders>
            <w:shd w:val="clear" w:color="000000" w:fill="FFFFFF"/>
            <w:noWrap/>
            <w:vAlign w:val="center"/>
            <w:hideMark/>
          </w:tcPr>
          <w:p w14:paraId="6D549B18"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36 693</w:t>
            </w:r>
          </w:p>
        </w:tc>
        <w:tc>
          <w:tcPr>
            <w:tcW w:w="992" w:type="dxa"/>
            <w:tcBorders>
              <w:top w:val="nil"/>
              <w:left w:val="nil"/>
              <w:bottom w:val="nil"/>
              <w:right w:val="nil"/>
            </w:tcBorders>
            <w:shd w:val="clear" w:color="auto" w:fill="auto"/>
            <w:vAlign w:val="center"/>
            <w:hideMark/>
          </w:tcPr>
          <w:p w14:paraId="61CEE752"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37 091</w:t>
            </w:r>
          </w:p>
        </w:tc>
        <w:tc>
          <w:tcPr>
            <w:tcW w:w="992" w:type="dxa"/>
            <w:tcBorders>
              <w:top w:val="nil"/>
              <w:left w:val="nil"/>
              <w:bottom w:val="nil"/>
              <w:right w:val="nil"/>
            </w:tcBorders>
            <w:shd w:val="clear" w:color="000000" w:fill="FFFFFF"/>
            <w:vAlign w:val="center"/>
            <w:hideMark/>
          </w:tcPr>
          <w:p w14:paraId="598D1B84"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398</w:t>
            </w:r>
          </w:p>
        </w:tc>
        <w:tc>
          <w:tcPr>
            <w:tcW w:w="851" w:type="dxa"/>
            <w:tcBorders>
              <w:top w:val="nil"/>
              <w:left w:val="nil"/>
              <w:bottom w:val="nil"/>
              <w:right w:val="nil"/>
            </w:tcBorders>
            <w:shd w:val="clear" w:color="000000" w:fill="FFFFFF"/>
            <w:vAlign w:val="center"/>
            <w:hideMark/>
          </w:tcPr>
          <w:p w14:paraId="156571EB"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1,1</w:t>
            </w:r>
          </w:p>
        </w:tc>
      </w:tr>
      <w:tr w:rsidR="00A57E96" w:rsidRPr="006D37EA" w14:paraId="1978EAEE" w14:textId="77777777" w:rsidTr="00385988">
        <w:trPr>
          <w:trHeight w:val="330"/>
        </w:trPr>
        <w:tc>
          <w:tcPr>
            <w:tcW w:w="3686" w:type="dxa"/>
            <w:tcBorders>
              <w:top w:val="nil"/>
              <w:left w:val="nil"/>
              <w:bottom w:val="nil"/>
              <w:right w:val="nil"/>
            </w:tcBorders>
            <w:shd w:val="clear" w:color="000000" w:fill="FFFFFF"/>
            <w:noWrap/>
            <w:vAlign w:val="bottom"/>
            <w:hideMark/>
          </w:tcPr>
          <w:p w14:paraId="1B552FA0" w14:textId="77777777" w:rsidR="00A57E96" w:rsidRPr="006D37EA" w:rsidRDefault="00A57E96" w:rsidP="006D37EA">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 xml:space="preserve">   Stredoslovenská energetika, a s.</w:t>
            </w:r>
          </w:p>
        </w:tc>
        <w:tc>
          <w:tcPr>
            <w:tcW w:w="992" w:type="dxa"/>
            <w:tcBorders>
              <w:top w:val="nil"/>
              <w:left w:val="nil"/>
              <w:bottom w:val="nil"/>
              <w:right w:val="nil"/>
            </w:tcBorders>
            <w:shd w:val="clear" w:color="000000" w:fill="FFFFFF"/>
            <w:noWrap/>
            <w:vAlign w:val="center"/>
            <w:hideMark/>
          </w:tcPr>
          <w:p w14:paraId="2E10BA9C"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113 071</w:t>
            </w:r>
          </w:p>
        </w:tc>
        <w:tc>
          <w:tcPr>
            <w:tcW w:w="992" w:type="dxa"/>
            <w:tcBorders>
              <w:top w:val="nil"/>
              <w:left w:val="nil"/>
              <w:bottom w:val="nil"/>
              <w:right w:val="nil"/>
            </w:tcBorders>
            <w:shd w:val="clear" w:color="auto" w:fill="auto"/>
            <w:noWrap/>
            <w:vAlign w:val="center"/>
            <w:hideMark/>
          </w:tcPr>
          <w:p w14:paraId="52D3AFF6"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74 777</w:t>
            </w:r>
          </w:p>
        </w:tc>
        <w:tc>
          <w:tcPr>
            <w:tcW w:w="851" w:type="dxa"/>
            <w:tcBorders>
              <w:top w:val="nil"/>
              <w:left w:val="nil"/>
              <w:bottom w:val="nil"/>
              <w:right w:val="nil"/>
            </w:tcBorders>
            <w:shd w:val="clear" w:color="000000" w:fill="FFFFFF"/>
            <w:noWrap/>
            <w:vAlign w:val="center"/>
            <w:hideMark/>
          </w:tcPr>
          <w:p w14:paraId="1E12608A"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115 113</w:t>
            </w:r>
          </w:p>
        </w:tc>
        <w:tc>
          <w:tcPr>
            <w:tcW w:w="992" w:type="dxa"/>
            <w:tcBorders>
              <w:top w:val="nil"/>
              <w:left w:val="nil"/>
              <w:bottom w:val="nil"/>
              <w:right w:val="nil"/>
            </w:tcBorders>
            <w:shd w:val="clear" w:color="auto" w:fill="auto"/>
            <w:vAlign w:val="center"/>
            <w:hideMark/>
          </w:tcPr>
          <w:p w14:paraId="420E3E63"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38 784</w:t>
            </w:r>
          </w:p>
        </w:tc>
        <w:tc>
          <w:tcPr>
            <w:tcW w:w="992" w:type="dxa"/>
            <w:tcBorders>
              <w:top w:val="nil"/>
              <w:left w:val="nil"/>
              <w:bottom w:val="nil"/>
              <w:right w:val="nil"/>
            </w:tcBorders>
            <w:shd w:val="clear" w:color="000000" w:fill="FFFFFF"/>
            <w:vAlign w:val="center"/>
            <w:hideMark/>
          </w:tcPr>
          <w:p w14:paraId="377C34E8"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-76 329</w:t>
            </w:r>
          </w:p>
        </w:tc>
        <w:tc>
          <w:tcPr>
            <w:tcW w:w="851" w:type="dxa"/>
            <w:tcBorders>
              <w:top w:val="nil"/>
              <w:left w:val="nil"/>
              <w:bottom w:val="nil"/>
              <w:right w:val="nil"/>
            </w:tcBorders>
            <w:shd w:val="clear" w:color="000000" w:fill="FFFFFF"/>
            <w:vAlign w:val="center"/>
            <w:hideMark/>
          </w:tcPr>
          <w:p w14:paraId="33067310"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-66,3</w:t>
            </w:r>
          </w:p>
        </w:tc>
      </w:tr>
      <w:tr w:rsidR="00A57E96" w:rsidRPr="006D37EA" w14:paraId="66DC0A75" w14:textId="77777777" w:rsidTr="00385988">
        <w:trPr>
          <w:trHeight w:val="330"/>
        </w:trPr>
        <w:tc>
          <w:tcPr>
            <w:tcW w:w="3686" w:type="dxa"/>
            <w:tcBorders>
              <w:top w:val="nil"/>
              <w:left w:val="nil"/>
              <w:bottom w:val="nil"/>
              <w:right w:val="nil"/>
            </w:tcBorders>
            <w:shd w:val="clear" w:color="000000" w:fill="FFFFFF"/>
            <w:noWrap/>
            <w:vAlign w:val="bottom"/>
            <w:hideMark/>
          </w:tcPr>
          <w:p w14:paraId="4ED97631" w14:textId="77777777" w:rsidR="00A57E96" w:rsidRPr="006D37EA" w:rsidRDefault="00A57E96" w:rsidP="006D37EA">
            <w:pPr>
              <w:spacing w:after="0" w:line="240" w:lineRule="auto"/>
              <w:jc w:val="left"/>
              <w:rPr>
                <w:rFonts w:eastAsia="Times New Roman" w:cs="Times New Roman"/>
                <w:color w:val="000000"/>
                <w:sz w:val="18"/>
                <w:szCs w:val="18"/>
                <w:lang w:eastAsia="sk-SK"/>
              </w:rPr>
            </w:pPr>
            <w:r w:rsidRPr="006D37EA">
              <w:rPr>
                <w:rFonts w:eastAsia="Times New Roman" w:cs="Times New Roman"/>
                <w:color w:val="000000"/>
                <w:sz w:val="18"/>
                <w:szCs w:val="18"/>
                <w:lang w:eastAsia="sk-SK"/>
              </w:rPr>
              <w:t xml:space="preserve">   Východoslovenská energetika HOLDING, </w:t>
            </w:r>
            <w:proofErr w:type="spellStart"/>
            <w:r w:rsidRPr="006D37EA">
              <w:rPr>
                <w:rFonts w:eastAsia="Times New Roman" w:cs="Times New Roman"/>
                <w:color w:val="000000"/>
                <w:sz w:val="18"/>
                <w:szCs w:val="18"/>
                <w:lang w:eastAsia="sk-SK"/>
              </w:rPr>
              <w:t>a.s</w:t>
            </w:r>
            <w:proofErr w:type="spellEnd"/>
            <w:r w:rsidRPr="006D37EA">
              <w:rPr>
                <w:rFonts w:eastAsia="Times New Roman" w:cs="Times New Roman"/>
                <w:color w:val="000000"/>
                <w:sz w:val="18"/>
                <w:szCs w:val="18"/>
                <w:lang w:eastAsia="sk-SK"/>
              </w:rPr>
              <w:t>.</w:t>
            </w:r>
          </w:p>
        </w:tc>
        <w:tc>
          <w:tcPr>
            <w:tcW w:w="992" w:type="dxa"/>
            <w:tcBorders>
              <w:top w:val="nil"/>
              <w:left w:val="nil"/>
              <w:bottom w:val="nil"/>
              <w:right w:val="nil"/>
            </w:tcBorders>
            <w:shd w:val="clear" w:color="000000" w:fill="FFFFFF"/>
            <w:noWrap/>
            <w:vAlign w:val="center"/>
            <w:hideMark/>
          </w:tcPr>
          <w:p w14:paraId="07980574"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33 677</w:t>
            </w:r>
          </w:p>
        </w:tc>
        <w:tc>
          <w:tcPr>
            <w:tcW w:w="992" w:type="dxa"/>
            <w:tcBorders>
              <w:top w:val="nil"/>
              <w:left w:val="nil"/>
              <w:bottom w:val="nil"/>
              <w:right w:val="nil"/>
            </w:tcBorders>
            <w:shd w:val="clear" w:color="auto" w:fill="auto"/>
            <w:noWrap/>
            <w:vAlign w:val="center"/>
            <w:hideMark/>
          </w:tcPr>
          <w:p w14:paraId="6E15E9D6"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29 070</w:t>
            </w:r>
          </w:p>
        </w:tc>
        <w:tc>
          <w:tcPr>
            <w:tcW w:w="851" w:type="dxa"/>
            <w:tcBorders>
              <w:top w:val="nil"/>
              <w:left w:val="nil"/>
              <w:bottom w:val="nil"/>
              <w:right w:val="nil"/>
            </w:tcBorders>
            <w:shd w:val="clear" w:color="000000" w:fill="FFFFFF"/>
            <w:noWrap/>
            <w:vAlign w:val="center"/>
            <w:hideMark/>
          </w:tcPr>
          <w:p w14:paraId="59B8A782"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10 685</w:t>
            </w:r>
          </w:p>
        </w:tc>
        <w:tc>
          <w:tcPr>
            <w:tcW w:w="992" w:type="dxa"/>
            <w:tcBorders>
              <w:top w:val="nil"/>
              <w:left w:val="nil"/>
              <w:bottom w:val="single" w:sz="4" w:space="0" w:color="auto"/>
              <w:right w:val="nil"/>
            </w:tcBorders>
            <w:shd w:val="clear" w:color="auto" w:fill="auto"/>
            <w:vAlign w:val="center"/>
            <w:hideMark/>
          </w:tcPr>
          <w:p w14:paraId="1BFF0E4E"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10 710</w:t>
            </w:r>
          </w:p>
        </w:tc>
        <w:tc>
          <w:tcPr>
            <w:tcW w:w="992" w:type="dxa"/>
            <w:tcBorders>
              <w:top w:val="nil"/>
              <w:left w:val="nil"/>
              <w:bottom w:val="nil"/>
              <w:right w:val="nil"/>
            </w:tcBorders>
            <w:shd w:val="clear" w:color="000000" w:fill="FFFFFF"/>
            <w:vAlign w:val="center"/>
            <w:hideMark/>
          </w:tcPr>
          <w:p w14:paraId="22D48547"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25</w:t>
            </w:r>
          </w:p>
        </w:tc>
        <w:tc>
          <w:tcPr>
            <w:tcW w:w="851" w:type="dxa"/>
            <w:tcBorders>
              <w:top w:val="nil"/>
              <w:left w:val="nil"/>
              <w:bottom w:val="nil"/>
              <w:right w:val="nil"/>
            </w:tcBorders>
            <w:shd w:val="clear" w:color="000000" w:fill="FFFFFF"/>
            <w:vAlign w:val="center"/>
            <w:hideMark/>
          </w:tcPr>
          <w:p w14:paraId="4E09BE72"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0,2</w:t>
            </w:r>
          </w:p>
        </w:tc>
      </w:tr>
      <w:tr w:rsidR="00A57E96" w:rsidRPr="006D37EA" w14:paraId="4699E317" w14:textId="77777777" w:rsidTr="00385988">
        <w:trPr>
          <w:trHeight w:val="345"/>
        </w:trPr>
        <w:tc>
          <w:tcPr>
            <w:tcW w:w="3686" w:type="dxa"/>
            <w:tcBorders>
              <w:top w:val="single" w:sz="4" w:space="0" w:color="auto"/>
              <w:left w:val="nil"/>
              <w:bottom w:val="single" w:sz="8" w:space="0" w:color="auto"/>
              <w:right w:val="nil"/>
            </w:tcBorders>
            <w:shd w:val="clear" w:color="000000" w:fill="FFFFFF"/>
            <w:noWrap/>
            <w:vAlign w:val="bottom"/>
            <w:hideMark/>
          </w:tcPr>
          <w:p w14:paraId="228A0BB0" w14:textId="77777777" w:rsidR="00A57E96" w:rsidRPr="006D37EA" w:rsidRDefault="00A57E96" w:rsidP="006D37EA">
            <w:pPr>
              <w:spacing w:after="0" w:line="240" w:lineRule="auto"/>
              <w:jc w:val="lef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Spolu</w:t>
            </w:r>
          </w:p>
        </w:tc>
        <w:tc>
          <w:tcPr>
            <w:tcW w:w="992" w:type="dxa"/>
            <w:tcBorders>
              <w:top w:val="single" w:sz="4" w:space="0" w:color="auto"/>
              <w:left w:val="nil"/>
              <w:bottom w:val="single" w:sz="8" w:space="0" w:color="auto"/>
              <w:right w:val="nil"/>
            </w:tcBorders>
            <w:shd w:val="clear" w:color="000000" w:fill="FFFFFF"/>
            <w:noWrap/>
            <w:vAlign w:val="center"/>
            <w:hideMark/>
          </w:tcPr>
          <w:p w14:paraId="24EF28F8"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480 226</w:t>
            </w:r>
          </w:p>
        </w:tc>
        <w:tc>
          <w:tcPr>
            <w:tcW w:w="992" w:type="dxa"/>
            <w:tcBorders>
              <w:top w:val="single" w:sz="4" w:space="0" w:color="auto"/>
              <w:left w:val="nil"/>
              <w:bottom w:val="single" w:sz="8" w:space="0" w:color="auto"/>
              <w:right w:val="nil"/>
            </w:tcBorders>
            <w:shd w:val="clear" w:color="000000" w:fill="FFFFFF"/>
            <w:noWrap/>
            <w:vAlign w:val="center"/>
            <w:hideMark/>
          </w:tcPr>
          <w:p w14:paraId="06037742"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160 519</w:t>
            </w:r>
          </w:p>
        </w:tc>
        <w:tc>
          <w:tcPr>
            <w:tcW w:w="851" w:type="dxa"/>
            <w:tcBorders>
              <w:top w:val="single" w:sz="4" w:space="0" w:color="auto"/>
              <w:left w:val="nil"/>
              <w:bottom w:val="single" w:sz="8" w:space="0" w:color="auto"/>
              <w:right w:val="nil"/>
            </w:tcBorders>
            <w:shd w:val="clear" w:color="000000" w:fill="FFFFFF"/>
            <w:noWrap/>
            <w:vAlign w:val="center"/>
            <w:hideMark/>
          </w:tcPr>
          <w:p w14:paraId="4E02C531"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388 993</w:t>
            </w:r>
          </w:p>
        </w:tc>
        <w:tc>
          <w:tcPr>
            <w:tcW w:w="992" w:type="dxa"/>
            <w:tcBorders>
              <w:top w:val="nil"/>
              <w:left w:val="nil"/>
              <w:bottom w:val="single" w:sz="8" w:space="0" w:color="auto"/>
              <w:right w:val="nil"/>
            </w:tcBorders>
            <w:shd w:val="clear" w:color="000000" w:fill="FFFFFF"/>
            <w:noWrap/>
            <w:vAlign w:val="center"/>
            <w:hideMark/>
          </w:tcPr>
          <w:p w14:paraId="5B53B4B4"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442 362</w:t>
            </w:r>
          </w:p>
        </w:tc>
        <w:tc>
          <w:tcPr>
            <w:tcW w:w="992" w:type="dxa"/>
            <w:tcBorders>
              <w:top w:val="single" w:sz="4" w:space="0" w:color="auto"/>
              <w:left w:val="nil"/>
              <w:bottom w:val="single" w:sz="8" w:space="0" w:color="auto"/>
              <w:right w:val="nil"/>
            </w:tcBorders>
            <w:shd w:val="clear" w:color="000000" w:fill="FFFFFF"/>
            <w:noWrap/>
            <w:vAlign w:val="center"/>
            <w:hideMark/>
          </w:tcPr>
          <w:p w14:paraId="3548374E"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53 369</w:t>
            </w:r>
          </w:p>
        </w:tc>
        <w:tc>
          <w:tcPr>
            <w:tcW w:w="851" w:type="dxa"/>
            <w:tcBorders>
              <w:top w:val="single" w:sz="4" w:space="0" w:color="auto"/>
              <w:left w:val="nil"/>
              <w:bottom w:val="single" w:sz="8" w:space="0" w:color="auto"/>
              <w:right w:val="nil"/>
            </w:tcBorders>
            <w:shd w:val="clear" w:color="000000" w:fill="FFFFFF"/>
            <w:noWrap/>
            <w:vAlign w:val="center"/>
            <w:hideMark/>
          </w:tcPr>
          <w:p w14:paraId="2E7E83FA" w14:textId="77777777" w:rsidR="00A57E96" w:rsidRPr="006D37EA" w:rsidRDefault="00A57E96" w:rsidP="006D37EA">
            <w:pPr>
              <w:spacing w:after="0" w:line="240" w:lineRule="auto"/>
              <w:jc w:val="right"/>
              <w:rPr>
                <w:rFonts w:eastAsia="Times New Roman" w:cs="Times New Roman"/>
                <w:b/>
                <w:bCs/>
                <w:color w:val="000000"/>
                <w:sz w:val="18"/>
                <w:szCs w:val="18"/>
                <w:lang w:eastAsia="sk-SK"/>
              </w:rPr>
            </w:pPr>
            <w:r w:rsidRPr="006D37EA">
              <w:rPr>
                <w:rFonts w:eastAsia="Times New Roman" w:cs="Times New Roman"/>
                <w:b/>
                <w:bCs/>
                <w:color w:val="000000"/>
                <w:sz w:val="18"/>
                <w:szCs w:val="18"/>
                <w:lang w:eastAsia="sk-SK"/>
              </w:rPr>
              <w:t>13,7</w:t>
            </w:r>
          </w:p>
        </w:tc>
      </w:tr>
      <w:tr w:rsidR="00A57E96" w:rsidRPr="006D37EA" w14:paraId="0746AD89" w14:textId="77777777" w:rsidTr="00385988">
        <w:trPr>
          <w:trHeight w:val="495"/>
        </w:trPr>
        <w:tc>
          <w:tcPr>
            <w:tcW w:w="7513" w:type="dxa"/>
            <w:gridSpan w:val="5"/>
            <w:tcBorders>
              <w:top w:val="single" w:sz="8" w:space="0" w:color="auto"/>
              <w:left w:val="nil"/>
              <w:bottom w:val="nil"/>
              <w:right w:val="nil"/>
            </w:tcBorders>
            <w:shd w:val="clear" w:color="auto" w:fill="auto"/>
            <w:noWrap/>
            <w:vAlign w:val="center"/>
            <w:hideMark/>
          </w:tcPr>
          <w:p w14:paraId="18A9B7F5" w14:textId="77777777" w:rsidR="00A57E96" w:rsidRPr="006D37EA" w:rsidRDefault="00A57E96" w:rsidP="006D37EA">
            <w:pPr>
              <w:spacing w:after="0" w:line="240" w:lineRule="auto"/>
              <w:rPr>
                <w:rFonts w:eastAsia="Times New Roman" w:cs="Times New Roman"/>
                <w:color w:val="000000"/>
                <w:sz w:val="18"/>
                <w:szCs w:val="18"/>
                <w:lang w:eastAsia="sk-SK"/>
              </w:rPr>
            </w:pPr>
            <w:r w:rsidRPr="006D37EA">
              <w:rPr>
                <w:rFonts w:eastAsia="Times New Roman" w:cs="Times New Roman"/>
                <w:color w:val="000000"/>
                <w:sz w:val="18"/>
                <w:szCs w:val="18"/>
                <w:lang w:eastAsia="sk-SK"/>
              </w:rPr>
              <w:t xml:space="preserve">*Podiely daných spoločností sú účtovne evidované pod MH SR. Dividendy plynú na osobitné účty Všeobecnej pokladničnej správy obdobne ako tomu bolo počas existencie zrušeného FNM SR. </w:t>
            </w:r>
          </w:p>
        </w:tc>
        <w:tc>
          <w:tcPr>
            <w:tcW w:w="1843" w:type="dxa"/>
            <w:gridSpan w:val="2"/>
            <w:tcBorders>
              <w:top w:val="single" w:sz="8" w:space="0" w:color="auto"/>
              <w:left w:val="nil"/>
              <w:bottom w:val="nil"/>
              <w:right w:val="nil"/>
            </w:tcBorders>
            <w:shd w:val="clear" w:color="auto" w:fill="auto"/>
            <w:noWrap/>
            <w:hideMark/>
          </w:tcPr>
          <w:p w14:paraId="4202FA3C" w14:textId="77777777" w:rsidR="00A57E96" w:rsidRPr="006D37EA" w:rsidRDefault="00A57E96" w:rsidP="006D37EA">
            <w:pPr>
              <w:spacing w:after="0" w:line="240" w:lineRule="auto"/>
              <w:jc w:val="right"/>
              <w:rPr>
                <w:rFonts w:eastAsia="Times New Roman" w:cs="Times New Roman"/>
                <w:color w:val="000000"/>
                <w:sz w:val="18"/>
                <w:szCs w:val="18"/>
                <w:lang w:eastAsia="sk-SK"/>
              </w:rPr>
            </w:pPr>
            <w:r w:rsidRPr="006D37EA">
              <w:rPr>
                <w:rFonts w:eastAsia="Times New Roman" w:cs="Times New Roman"/>
                <w:color w:val="000000"/>
                <w:sz w:val="18"/>
                <w:szCs w:val="18"/>
                <w:lang w:eastAsia="sk-SK"/>
              </w:rPr>
              <w:t>Zdroj: MF SR</w:t>
            </w:r>
          </w:p>
        </w:tc>
      </w:tr>
    </w:tbl>
    <w:p w14:paraId="5D77972B" w14:textId="741C5136" w:rsidR="00A57E96" w:rsidRPr="00FE4277" w:rsidRDefault="00A57E96" w:rsidP="00A57E96">
      <w:pPr>
        <w:spacing w:before="120" w:line="240" w:lineRule="auto"/>
        <w:rPr>
          <w:rFonts w:cs="Times New Roman"/>
          <w:color w:val="000000" w:themeColor="text1"/>
          <w:sz w:val="24"/>
          <w:szCs w:val="24"/>
        </w:rPr>
      </w:pPr>
      <w:r w:rsidRPr="009A0573">
        <w:rPr>
          <w:color w:val="000000" w:themeColor="text1"/>
          <w:sz w:val="24"/>
          <w:szCs w:val="24"/>
        </w:rPr>
        <w:t>Celková výška prijatých dividend v roku 2023 bola v sume 442 362 tis. eur.</w:t>
      </w:r>
      <w:r w:rsidRPr="001F0656">
        <w:rPr>
          <w:color w:val="FF0000"/>
          <w:sz w:val="24"/>
          <w:szCs w:val="24"/>
        </w:rPr>
        <w:t xml:space="preserve"> </w:t>
      </w:r>
      <w:r w:rsidRPr="00751572">
        <w:rPr>
          <w:color w:val="000000" w:themeColor="text1"/>
          <w:sz w:val="24"/>
          <w:szCs w:val="24"/>
        </w:rPr>
        <w:t>Oproti schválenému rozpočtu v objeme 388 993</w:t>
      </w:r>
      <w:r>
        <w:rPr>
          <w:color w:val="000000" w:themeColor="text1"/>
          <w:sz w:val="24"/>
          <w:szCs w:val="24"/>
        </w:rPr>
        <w:t xml:space="preserve"> tis. eur ide o </w:t>
      </w:r>
      <w:r w:rsidRPr="00751572">
        <w:rPr>
          <w:color w:val="000000" w:themeColor="text1"/>
          <w:sz w:val="24"/>
          <w:szCs w:val="24"/>
        </w:rPr>
        <w:t xml:space="preserve">nárast príjmov v sume 53 369 tis. eur. </w:t>
      </w:r>
      <w:r w:rsidRPr="00FE4277">
        <w:rPr>
          <w:rFonts w:cs="Times New Roman"/>
          <w:color w:val="000000" w:themeColor="text1"/>
          <w:sz w:val="24"/>
          <w:szCs w:val="24"/>
        </w:rPr>
        <w:t xml:space="preserve">Výška skutočne dosiahnutých príjmov z dividend </w:t>
      </w:r>
      <w:r>
        <w:rPr>
          <w:rFonts w:cs="Times New Roman"/>
          <w:color w:val="000000" w:themeColor="text1"/>
          <w:sz w:val="24"/>
          <w:szCs w:val="24"/>
        </w:rPr>
        <w:t>závisí</w:t>
      </w:r>
      <w:r w:rsidRPr="00FE4277">
        <w:rPr>
          <w:rFonts w:cs="Times New Roman"/>
          <w:color w:val="000000" w:themeColor="text1"/>
          <w:sz w:val="24"/>
          <w:szCs w:val="24"/>
        </w:rPr>
        <w:t xml:space="preserve"> od dosiahnutého hospodárskeho výsl</w:t>
      </w:r>
      <w:r>
        <w:rPr>
          <w:rFonts w:cs="Times New Roman"/>
          <w:color w:val="000000" w:themeColor="text1"/>
          <w:sz w:val="24"/>
          <w:szCs w:val="24"/>
        </w:rPr>
        <w:t>edku za predchádzajúci rok a od </w:t>
      </w:r>
      <w:r w:rsidRPr="00FE4277">
        <w:rPr>
          <w:rFonts w:cs="Times New Roman"/>
          <w:color w:val="000000" w:themeColor="text1"/>
          <w:sz w:val="24"/>
          <w:szCs w:val="24"/>
        </w:rPr>
        <w:t xml:space="preserve">rozhodnutia </w:t>
      </w:r>
      <w:r>
        <w:rPr>
          <w:rFonts w:cs="Times New Roman"/>
          <w:color w:val="000000" w:themeColor="text1"/>
          <w:sz w:val="24"/>
          <w:szCs w:val="24"/>
        </w:rPr>
        <w:t xml:space="preserve">akcionárov. </w:t>
      </w:r>
      <w:r w:rsidRPr="00D6783F">
        <w:rPr>
          <w:color w:val="000000" w:themeColor="text1"/>
          <w:sz w:val="24"/>
          <w:szCs w:val="24"/>
        </w:rPr>
        <w:t>N</w:t>
      </w:r>
      <w:r>
        <w:rPr>
          <w:color w:val="000000" w:themeColor="text1"/>
          <w:sz w:val="24"/>
          <w:szCs w:val="24"/>
        </w:rPr>
        <w:t>ajvyšší príjem z dividend bol v </w:t>
      </w:r>
      <w:r w:rsidRPr="00D6783F">
        <w:rPr>
          <w:color w:val="000000" w:themeColor="text1"/>
          <w:sz w:val="24"/>
          <w:szCs w:val="24"/>
        </w:rPr>
        <w:t xml:space="preserve">kapitole </w:t>
      </w:r>
      <w:r w:rsidRPr="00D6783F">
        <w:rPr>
          <w:color w:val="000000" w:themeColor="text1"/>
          <w:sz w:val="24"/>
          <w:szCs w:val="24"/>
          <w:u w:val="single"/>
        </w:rPr>
        <w:t>Všeobecná pokladničná správa</w:t>
      </w:r>
      <w:r w:rsidRPr="00D6783F">
        <w:rPr>
          <w:color w:val="000000" w:themeColor="text1"/>
          <w:sz w:val="24"/>
          <w:szCs w:val="24"/>
        </w:rPr>
        <w:t xml:space="preserve"> v sume 306 585 tis. eur, do rozpočtu ktorej patria dividendy od Slovenského plynárenského priemyslu, </w:t>
      </w:r>
      <w:proofErr w:type="spellStart"/>
      <w:r w:rsidR="00837EB9">
        <w:rPr>
          <w:color w:val="000000" w:themeColor="text1"/>
          <w:sz w:val="24"/>
          <w:szCs w:val="24"/>
        </w:rPr>
        <w:t>a.s</w:t>
      </w:r>
      <w:proofErr w:type="spellEnd"/>
      <w:r w:rsidR="00837EB9">
        <w:rPr>
          <w:color w:val="000000" w:themeColor="text1"/>
          <w:sz w:val="24"/>
          <w:szCs w:val="24"/>
        </w:rPr>
        <w:t>.</w:t>
      </w:r>
      <w:r w:rsidRPr="00D6783F">
        <w:rPr>
          <w:color w:val="000000" w:themeColor="text1"/>
          <w:sz w:val="24"/>
          <w:szCs w:val="24"/>
        </w:rPr>
        <w:t xml:space="preserve"> a jednotli</w:t>
      </w:r>
      <w:r>
        <w:rPr>
          <w:color w:val="000000" w:themeColor="text1"/>
          <w:sz w:val="24"/>
          <w:szCs w:val="24"/>
        </w:rPr>
        <w:t xml:space="preserve">vých energetických spoločností. </w:t>
      </w:r>
      <w:r w:rsidRPr="00115218">
        <w:rPr>
          <w:color w:val="000000" w:themeColor="text1"/>
          <w:sz w:val="24"/>
          <w:szCs w:val="24"/>
        </w:rPr>
        <w:t xml:space="preserve">U Slovenského plynárenského priemyslu, </w:t>
      </w:r>
      <w:proofErr w:type="spellStart"/>
      <w:r w:rsidR="00837EB9">
        <w:rPr>
          <w:color w:val="000000" w:themeColor="text1"/>
          <w:sz w:val="24"/>
          <w:szCs w:val="24"/>
        </w:rPr>
        <w:t>a.s</w:t>
      </w:r>
      <w:proofErr w:type="spellEnd"/>
      <w:r w:rsidR="00837EB9">
        <w:rPr>
          <w:color w:val="000000" w:themeColor="text1"/>
          <w:sz w:val="24"/>
          <w:szCs w:val="24"/>
        </w:rPr>
        <w:t>.</w:t>
      </w:r>
      <w:r w:rsidRPr="00115218">
        <w:rPr>
          <w:color w:val="000000" w:themeColor="text1"/>
          <w:sz w:val="24"/>
          <w:szCs w:val="24"/>
        </w:rPr>
        <w:t xml:space="preserve"> prišlo k posunu splatnosti výplaty dividend</w:t>
      </w:r>
      <w:r>
        <w:rPr>
          <w:color w:val="000000" w:themeColor="text1"/>
          <w:sz w:val="24"/>
          <w:szCs w:val="24"/>
        </w:rPr>
        <w:t xml:space="preserve"> v sume 220 000 tis. </w:t>
      </w:r>
      <w:r w:rsidRPr="00115218">
        <w:rPr>
          <w:color w:val="000000" w:themeColor="text1"/>
          <w:sz w:val="24"/>
          <w:szCs w:val="24"/>
        </w:rPr>
        <w:t>eur za rok 2022 z 31.</w:t>
      </w:r>
      <w:r w:rsidRPr="00115218">
        <w:rPr>
          <w:color w:val="000000" w:themeColor="text1"/>
        </w:rPr>
        <w:t> </w:t>
      </w:r>
      <w:r w:rsidR="00612838">
        <w:rPr>
          <w:color w:val="000000" w:themeColor="text1"/>
          <w:sz w:val="24"/>
          <w:szCs w:val="24"/>
        </w:rPr>
        <w:t xml:space="preserve">12. 2022 na 31. 03. 2023. </w:t>
      </w:r>
      <w:r w:rsidR="00612838" w:rsidRPr="00612838">
        <w:rPr>
          <w:color w:val="000000" w:themeColor="text1"/>
          <w:sz w:val="24"/>
          <w:szCs w:val="24"/>
        </w:rPr>
        <w:t xml:space="preserve">Tieto dividendy boli v metodike ESA zaznamenané do roku 2022, nakoľko o nich bolo v danom roku rozhodnuté, hoci hotovostne boli pripísané v roku 2023. </w:t>
      </w:r>
      <w:r w:rsidRPr="00385567">
        <w:rPr>
          <w:color w:val="000000" w:themeColor="text1"/>
          <w:sz w:val="24"/>
          <w:szCs w:val="24"/>
        </w:rPr>
        <w:t>Ministerstvo financií SR získalo dividendy v sume 133 012 tis. eur, čo predstavuje nárast oproti schválenému rozpočtu o 67 555 tis. eur</w:t>
      </w:r>
      <w:r>
        <w:rPr>
          <w:color w:val="000000" w:themeColor="text1"/>
          <w:sz w:val="24"/>
          <w:szCs w:val="24"/>
        </w:rPr>
        <w:t xml:space="preserve"> (v </w:t>
      </w:r>
      <w:r w:rsidRPr="00385567">
        <w:rPr>
          <w:color w:val="000000" w:themeColor="text1"/>
          <w:sz w:val="24"/>
          <w:szCs w:val="24"/>
        </w:rPr>
        <w:t xml:space="preserve">tom Tipos, </w:t>
      </w:r>
      <w:proofErr w:type="spellStart"/>
      <w:r w:rsidRPr="00385567">
        <w:rPr>
          <w:color w:val="000000" w:themeColor="text1"/>
          <w:sz w:val="24"/>
          <w:szCs w:val="24"/>
        </w:rPr>
        <w:t>a.s</w:t>
      </w:r>
      <w:proofErr w:type="spellEnd"/>
      <w:r w:rsidRPr="00385567">
        <w:rPr>
          <w:color w:val="000000" w:themeColor="text1"/>
          <w:sz w:val="24"/>
          <w:szCs w:val="24"/>
        </w:rPr>
        <w:t xml:space="preserve">. 47 500 tis. eur a Slovenská elektrizačná prenosová sústava, </w:t>
      </w:r>
      <w:proofErr w:type="spellStart"/>
      <w:r w:rsidRPr="00385567">
        <w:rPr>
          <w:color w:val="000000" w:themeColor="text1"/>
          <w:sz w:val="24"/>
          <w:szCs w:val="24"/>
        </w:rPr>
        <w:t>a.s</w:t>
      </w:r>
      <w:proofErr w:type="spellEnd"/>
      <w:r w:rsidRPr="00385567">
        <w:rPr>
          <w:color w:val="000000" w:themeColor="text1"/>
          <w:sz w:val="24"/>
          <w:szCs w:val="24"/>
        </w:rPr>
        <w:t>. 16 466 tis. eur).</w:t>
      </w:r>
      <w:r>
        <w:rPr>
          <w:color w:val="FF0000"/>
          <w:sz w:val="24"/>
          <w:szCs w:val="24"/>
        </w:rPr>
        <w:t xml:space="preserve"> </w:t>
      </w:r>
      <w:r w:rsidRPr="00ED52A3">
        <w:rPr>
          <w:color w:val="000000" w:themeColor="text1"/>
          <w:sz w:val="24"/>
          <w:szCs w:val="24"/>
        </w:rPr>
        <w:t>Ostatné príjmy z dividend boli v kapitolách Ministerstva hospodárstva SR, Ministerstva zahraničných vecí a európskych záležitostí SR a Správy štátnych hmotných rezerv SR. Ich objem bol však menej významný.</w:t>
      </w:r>
    </w:p>
    <w:p w14:paraId="4FEF2E54" w14:textId="77777777" w:rsidR="00A57E96" w:rsidRPr="003160A8" w:rsidRDefault="00A57E96" w:rsidP="00A57E96">
      <w:pPr>
        <w:tabs>
          <w:tab w:val="left" w:pos="284"/>
        </w:tabs>
        <w:spacing w:line="240" w:lineRule="auto"/>
        <w:rPr>
          <w:color w:val="000000" w:themeColor="text1"/>
          <w:sz w:val="24"/>
          <w:szCs w:val="24"/>
        </w:rPr>
      </w:pPr>
      <w:r w:rsidRPr="005F7F62">
        <w:rPr>
          <w:b/>
          <w:i/>
          <w:color w:val="000000" w:themeColor="text1"/>
          <w:sz w:val="24"/>
          <w:szCs w:val="24"/>
        </w:rPr>
        <w:t>Príjmy z vlastníctva</w:t>
      </w:r>
      <w:r w:rsidRPr="005F7F62">
        <w:rPr>
          <w:color w:val="000000" w:themeColor="text1"/>
          <w:sz w:val="24"/>
          <w:szCs w:val="24"/>
        </w:rPr>
        <w:t xml:space="preserve"> dosiahli 7 666 tis. eur, z toho najviac</w:t>
      </w:r>
      <w:r w:rsidRPr="001F0656">
        <w:rPr>
          <w:color w:val="FF0000"/>
          <w:sz w:val="24"/>
          <w:szCs w:val="24"/>
        </w:rPr>
        <w:t xml:space="preserve"> </w:t>
      </w:r>
      <w:r w:rsidRPr="00B92EAC">
        <w:rPr>
          <w:color w:val="000000" w:themeColor="text1"/>
          <w:sz w:val="24"/>
          <w:szCs w:val="24"/>
        </w:rPr>
        <w:t>v rozpočte Ministerstva spravodlivosti SR 1 433 tis. eur</w:t>
      </w:r>
      <w:r>
        <w:rPr>
          <w:color w:val="000000" w:themeColor="text1"/>
          <w:sz w:val="24"/>
          <w:szCs w:val="24"/>
        </w:rPr>
        <w:t xml:space="preserve"> a</w:t>
      </w:r>
      <w:r w:rsidRPr="00B92EAC">
        <w:rPr>
          <w:color w:val="000000" w:themeColor="text1"/>
          <w:sz w:val="24"/>
          <w:szCs w:val="24"/>
        </w:rPr>
        <w:t xml:space="preserve"> </w:t>
      </w:r>
      <w:r w:rsidRPr="009258A8">
        <w:rPr>
          <w:color w:val="000000" w:themeColor="text1"/>
          <w:sz w:val="24"/>
          <w:szCs w:val="24"/>
        </w:rPr>
        <w:t>Ministerstva vnútra SR 1 058 tis. eur</w:t>
      </w:r>
      <w:r>
        <w:rPr>
          <w:color w:val="000000" w:themeColor="text1"/>
          <w:sz w:val="24"/>
          <w:szCs w:val="24"/>
        </w:rPr>
        <w:t>.</w:t>
      </w:r>
      <w:r>
        <w:rPr>
          <w:color w:val="FF0000"/>
          <w:sz w:val="24"/>
          <w:szCs w:val="24"/>
        </w:rPr>
        <w:t xml:space="preserve"> </w:t>
      </w:r>
      <w:r w:rsidRPr="003160A8">
        <w:rPr>
          <w:color w:val="000000" w:themeColor="text1"/>
          <w:sz w:val="24"/>
          <w:szCs w:val="24"/>
        </w:rPr>
        <w:t xml:space="preserve">Z celkovej sumy tvorili najviac príjmy </w:t>
      </w:r>
      <w:r w:rsidRPr="003160A8">
        <w:rPr>
          <w:color w:val="000000" w:themeColor="text1"/>
          <w:sz w:val="24"/>
          <w:szCs w:val="24"/>
        </w:rPr>
        <w:lastRenderedPageBreak/>
        <w:t>z prenájmu budov a priestorov 6 258 tis. eur, príjmy z prenajatých pozemkov 786</w:t>
      </w:r>
      <w:r>
        <w:rPr>
          <w:color w:val="000000" w:themeColor="text1"/>
          <w:sz w:val="24"/>
          <w:szCs w:val="24"/>
        </w:rPr>
        <w:t> tis. </w:t>
      </w:r>
      <w:r w:rsidRPr="003160A8">
        <w:rPr>
          <w:color w:val="000000" w:themeColor="text1"/>
          <w:sz w:val="24"/>
          <w:szCs w:val="24"/>
        </w:rPr>
        <w:t>eur a príjmy z úhrad za využívanie prírodných liečivých zdrojov 537 tis. eur.</w:t>
      </w:r>
    </w:p>
    <w:p w14:paraId="25D120F6" w14:textId="33530380" w:rsidR="00A57E96" w:rsidRPr="001F0656" w:rsidRDefault="00A57E96" w:rsidP="00A57E96">
      <w:pPr>
        <w:tabs>
          <w:tab w:val="left" w:pos="284"/>
        </w:tabs>
        <w:spacing w:line="240" w:lineRule="auto"/>
        <w:rPr>
          <w:color w:val="FF0000"/>
          <w:sz w:val="24"/>
          <w:szCs w:val="24"/>
        </w:rPr>
      </w:pPr>
      <w:r w:rsidRPr="0068210B">
        <w:rPr>
          <w:b/>
          <w:i/>
          <w:color w:val="000000" w:themeColor="text1"/>
          <w:sz w:val="24"/>
          <w:szCs w:val="24"/>
        </w:rPr>
        <w:t>Iné príjmy z podnikania</w:t>
      </w:r>
      <w:r w:rsidRPr="0068210B">
        <w:rPr>
          <w:color w:val="000000" w:themeColor="text1"/>
          <w:sz w:val="24"/>
          <w:szCs w:val="24"/>
        </w:rPr>
        <w:t xml:space="preserve"> dosiahli sumu 150 280 tis. eur, z toho najviac Ministerstvo životného prostredia SR získalo 150 000 tis. eur od Vodohospodárskej výstavby, š. p., kde 100 000 tis. eur bol osobitný odvod zo zisku za rok 2022 a 5</w:t>
      </w:r>
      <w:r>
        <w:rPr>
          <w:color w:val="000000" w:themeColor="text1"/>
          <w:sz w:val="24"/>
          <w:szCs w:val="24"/>
        </w:rPr>
        <w:t>0 000 tis. eur bol preddavok na </w:t>
      </w:r>
      <w:r w:rsidRPr="0068210B">
        <w:rPr>
          <w:color w:val="000000" w:themeColor="text1"/>
          <w:sz w:val="24"/>
          <w:szCs w:val="24"/>
        </w:rPr>
        <w:t>osobitný odvod zo zisku za rok 2023</w:t>
      </w:r>
      <w:r w:rsidR="00566F5A">
        <w:rPr>
          <w:color w:val="000000" w:themeColor="text1"/>
          <w:sz w:val="24"/>
          <w:szCs w:val="24"/>
        </w:rPr>
        <w:t xml:space="preserve"> v zmysle bodu C.12 Uznesenia vlády SR č.636/2022 k návrhu rozpočtu verejnej správy na roky 2023 až 2025</w:t>
      </w:r>
      <w:r w:rsidRPr="0068210B">
        <w:rPr>
          <w:color w:val="000000" w:themeColor="text1"/>
          <w:sz w:val="24"/>
          <w:szCs w:val="24"/>
        </w:rPr>
        <w:t xml:space="preserve">. </w:t>
      </w:r>
    </w:p>
    <w:p w14:paraId="62EA4C0A" w14:textId="77777777" w:rsidR="00A57E96" w:rsidRDefault="00A57E96" w:rsidP="00A57E96">
      <w:pPr>
        <w:tabs>
          <w:tab w:val="left" w:pos="284"/>
        </w:tabs>
        <w:spacing w:line="240" w:lineRule="auto"/>
        <w:rPr>
          <w:color w:val="FF0000"/>
          <w:sz w:val="24"/>
          <w:szCs w:val="24"/>
        </w:rPr>
      </w:pPr>
      <w:r w:rsidRPr="009642AF">
        <w:rPr>
          <w:b/>
          <w:color w:val="000000" w:themeColor="text1"/>
          <w:sz w:val="24"/>
          <w:szCs w:val="24"/>
        </w:rPr>
        <w:t>Príjem z administratívnych poplatkov a iných poplatkov a platieb</w:t>
      </w:r>
      <w:r w:rsidRPr="009642AF">
        <w:rPr>
          <w:color w:val="000000" w:themeColor="text1"/>
          <w:sz w:val="24"/>
          <w:szCs w:val="24"/>
        </w:rPr>
        <w:t xml:space="preserve"> závisí od počtu jednotlivých konaní v priebehu roka.</w:t>
      </w:r>
      <w:r w:rsidRPr="001F0656">
        <w:rPr>
          <w:color w:val="FF0000"/>
          <w:sz w:val="24"/>
          <w:szCs w:val="24"/>
        </w:rPr>
        <w:t xml:space="preserve"> </w:t>
      </w:r>
      <w:r w:rsidRPr="00BB6E05">
        <w:rPr>
          <w:color w:val="000000" w:themeColor="text1"/>
          <w:sz w:val="24"/>
          <w:szCs w:val="24"/>
        </w:rPr>
        <w:t>Skutočné plnenie</w:t>
      </w:r>
      <w:r>
        <w:rPr>
          <w:color w:val="000000" w:themeColor="text1"/>
          <w:sz w:val="24"/>
          <w:szCs w:val="24"/>
        </w:rPr>
        <w:t xml:space="preserve"> k 31. 12. 2023 dosiahlo sumu</w:t>
      </w:r>
      <w:r w:rsidRPr="00BB6E05">
        <w:rPr>
          <w:color w:val="000000" w:themeColor="text1"/>
          <w:sz w:val="24"/>
          <w:szCs w:val="24"/>
        </w:rPr>
        <w:t xml:space="preserve"> 366 045 tis. eur</w:t>
      </w:r>
      <w:r>
        <w:rPr>
          <w:color w:val="000000" w:themeColor="text1"/>
          <w:sz w:val="24"/>
          <w:szCs w:val="24"/>
        </w:rPr>
        <w:t>, čo bolo oproti schválenému rozpočtu o 11 911 tis. eur viac.</w:t>
      </w:r>
    </w:p>
    <w:tbl>
      <w:tblPr>
        <w:tblW w:w="9160" w:type="dxa"/>
        <w:tblCellMar>
          <w:left w:w="70" w:type="dxa"/>
          <w:right w:w="70" w:type="dxa"/>
        </w:tblCellMar>
        <w:tblLook w:val="04A0" w:firstRow="1" w:lastRow="0" w:firstColumn="1" w:lastColumn="0" w:noHBand="0" w:noVBand="1"/>
      </w:tblPr>
      <w:tblGrid>
        <w:gridCol w:w="4120"/>
        <w:gridCol w:w="820"/>
        <w:gridCol w:w="880"/>
        <w:gridCol w:w="820"/>
        <w:gridCol w:w="960"/>
        <w:gridCol w:w="800"/>
        <w:gridCol w:w="760"/>
      </w:tblGrid>
      <w:tr w:rsidR="00A57E96" w:rsidRPr="006F19FB" w14:paraId="483E7A10" w14:textId="77777777" w:rsidTr="00B768D9">
        <w:trPr>
          <w:trHeight w:val="345"/>
        </w:trPr>
        <w:tc>
          <w:tcPr>
            <w:tcW w:w="8400" w:type="dxa"/>
            <w:gridSpan w:val="6"/>
            <w:tcBorders>
              <w:top w:val="nil"/>
              <w:left w:val="nil"/>
              <w:bottom w:val="single" w:sz="8" w:space="0" w:color="auto"/>
              <w:right w:val="nil"/>
            </w:tcBorders>
            <w:shd w:val="clear" w:color="auto" w:fill="auto"/>
            <w:vAlign w:val="center"/>
            <w:hideMark/>
          </w:tcPr>
          <w:p w14:paraId="6CC484C7" w14:textId="10794116" w:rsidR="00A57E96" w:rsidRPr="009B3D56" w:rsidRDefault="00A57E96" w:rsidP="004A6E2F">
            <w:pPr>
              <w:spacing w:after="0" w:line="240" w:lineRule="auto"/>
              <w:jc w:val="left"/>
              <w:rPr>
                <w:rFonts w:eastAsia="Times New Roman" w:cs="Times New Roman"/>
                <w:b/>
                <w:bCs/>
                <w:color w:val="4F81BD"/>
                <w:sz w:val="20"/>
                <w:szCs w:val="20"/>
                <w:lang w:eastAsia="sk-SK"/>
              </w:rPr>
            </w:pPr>
            <w:r w:rsidRPr="009B3D56">
              <w:rPr>
                <w:rFonts w:eastAsia="Times New Roman" w:cs="Times New Roman"/>
                <w:b/>
                <w:bCs/>
                <w:color w:val="4F81BD"/>
                <w:sz w:val="20"/>
                <w:szCs w:val="20"/>
                <w:lang w:eastAsia="sk-SK"/>
              </w:rPr>
              <w:t xml:space="preserve">Tabuľka </w:t>
            </w:r>
            <w:r w:rsidR="00512DAF" w:rsidRPr="009B3D56">
              <w:rPr>
                <w:rFonts w:eastAsia="Times New Roman" w:cs="Times New Roman"/>
                <w:b/>
                <w:bCs/>
                <w:color w:val="4F81BD"/>
                <w:sz w:val="20"/>
                <w:szCs w:val="20"/>
                <w:lang w:eastAsia="sk-SK"/>
              </w:rPr>
              <w:t>3</w:t>
            </w:r>
            <w:r w:rsidR="004A6E2F">
              <w:rPr>
                <w:rFonts w:eastAsia="Times New Roman" w:cs="Times New Roman"/>
                <w:b/>
                <w:bCs/>
                <w:color w:val="4F81BD"/>
                <w:sz w:val="20"/>
                <w:szCs w:val="20"/>
                <w:lang w:eastAsia="sk-SK"/>
              </w:rPr>
              <w:t>0</w:t>
            </w:r>
            <w:r w:rsidRPr="009B3D56">
              <w:rPr>
                <w:rFonts w:eastAsia="Times New Roman" w:cs="Times New Roman"/>
                <w:b/>
                <w:bCs/>
                <w:color w:val="4F81BD"/>
                <w:sz w:val="20"/>
                <w:szCs w:val="20"/>
                <w:lang w:eastAsia="sk-SK"/>
              </w:rPr>
              <w:t xml:space="preserve"> - Administratívne poplatky a iné poplatky a</w:t>
            </w:r>
            <w:r w:rsidR="009C7AF8" w:rsidRPr="009B3D56">
              <w:rPr>
                <w:rFonts w:eastAsia="Times New Roman" w:cs="Times New Roman"/>
                <w:b/>
                <w:bCs/>
                <w:color w:val="4F81BD"/>
                <w:sz w:val="20"/>
                <w:szCs w:val="20"/>
                <w:lang w:eastAsia="sk-SK"/>
              </w:rPr>
              <w:t> </w:t>
            </w:r>
            <w:r w:rsidRPr="009B3D56">
              <w:rPr>
                <w:rFonts w:eastAsia="Times New Roman" w:cs="Times New Roman"/>
                <w:b/>
                <w:bCs/>
                <w:color w:val="4F81BD"/>
                <w:sz w:val="20"/>
                <w:szCs w:val="20"/>
                <w:lang w:eastAsia="sk-SK"/>
              </w:rPr>
              <w:t>platby</w:t>
            </w:r>
          </w:p>
        </w:tc>
        <w:tc>
          <w:tcPr>
            <w:tcW w:w="760" w:type="dxa"/>
            <w:tcBorders>
              <w:top w:val="nil"/>
              <w:left w:val="nil"/>
              <w:bottom w:val="single" w:sz="8" w:space="0" w:color="auto"/>
              <w:right w:val="nil"/>
            </w:tcBorders>
            <w:shd w:val="clear" w:color="auto" w:fill="auto"/>
            <w:noWrap/>
            <w:vAlign w:val="bottom"/>
            <w:hideMark/>
          </w:tcPr>
          <w:p w14:paraId="4A26A96C" w14:textId="77777777" w:rsidR="00A57E96" w:rsidRPr="006F19FB" w:rsidRDefault="00A57E96" w:rsidP="00B768D9">
            <w:pPr>
              <w:spacing w:after="0" w:line="240" w:lineRule="auto"/>
              <w:jc w:val="right"/>
              <w:rPr>
                <w:rFonts w:eastAsia="Times New Roman" w:cs="Times New Roman"/>
                <w:b/>
                <w:bCs/>
                <w:color w:val="FFFFFF"/>
                <w:sz w:val="18"/>
                <w:szCs w:val="18"/>
                <w:lang w:eastAsia="sk-SK"/>
              </w:rPr>
            </w:pPr>
            <w:r w:rsidRPr="006F19FB">
              <w:rPr>
                <w:rFonts w:eastAsia="Times New Roman" w:cs="Times New Roman"/>
                <w:b/>
                <w:bCs/>
                <w:color w:val="FFFFFF"/>
                <w:sz w:val="18"/>
                <w:szCs w:val="18"/>
                <w:lang w:eastAsia="sk-SK"/>
              </w:rPr>
              <w:t>v tis. eur</w:t>
            </w:r>
          </w:p>
        </w:tc>
      </w:tr>
      <w:tr w:rsidR="00A57E96" w:rsidRPr="006F19FB" w14:paraId="326859AE" w14:textId="77777777" w:rsidTr="00B768D9">
        <w:trPr>
          <w:trHeight w:val="330"/>
        </w:trPr>
        <w:tc>
          <w:tcPr>
            <w:tcW w:w="4120" w:type="dxa"/>
            <w:tcBorders>
              <w:top w:val="nil"/>
              <w:left w:val="nil"/>
              <w:bottom w:val="nil"/>
              <w:right w:val="nil"/>
            </w:tcBorders>
            <w:shd w:val="clear" w:color="auto" w:fill="auto"/>
            <w:vAlign w:val="center"/>
            <w:hideMark/>
          </w:tcPr>
          <w:p w14:paraId="1FDD8BE2" w14:textId="6C2B1BFC" w:rsidR="00A57E96" w:rsidRPr="006F19FB" w:rsidRDefault="00A57E96" w:rsidP="00B768D9">
            <w:pPr>
              <w:spacing w:after="0" w:line="240" w:lineRule="auto"/>
              <w:jc w:val="left"/>
              <w:rPr>
                <w:rFonts w:eastAsia="Times New Roman" w:cs="Times New Roman"/>
                <w:b/>
                <w:bCs/>
                <w:color w:val="000000"/>
                <w:sz w:val="18"/>
                <w:szCs w:val="18"/>
                <w:lang w:eastAsia="sk-SK"/>
              </w:rPr>
            </w:pPr>
            <w:r w:rsidRPr="006F19FB">
              <w:rPr>
                <w:rFonts w:eastAsia="Times New Roman" w:cs="Times New Roman"/>
                <w:b/>
                <w:bCs/>
                <w:color w:val="000000"/>
                <w:sz w:val="18"/>
                <w:szCs w:val="18"/>
                <w:lang w:eastAsia="sk-SK"/>
              </w:rPr>
              <w:t>v tis. eur</w:t>
            </w:r>
          </w:p>
        </w:tc>
        <w:tc>
          <w:tcPr>
            <w:tcW w:w="820" w:type="dxa"/>
            <w:tcBorders>
              <w:top w:val="nil"/>
              <w:left w:val="nil"/>
              <w:bottom w:val="nil"/>
              <w:right w:val="nil"/>
            </w:tcBorders>
            <w:shd w:val="clear" w:color="auto" w:fill="auto"/>
            <w:vAlign w:val="center"/>
            <w:hideMark/>
          </w:tcPr>
          <w:p w14:paraId="114C2F4D" w14:textId="77777777" w:rsidR="00A57E96" w:rsidRPr="006F19FB" w:rsidRDefault="00A57E96" w:rsidP="00B768D9">
            <w:pPr>
              <w:spacing w:after="0" w:line="240" w:lineRule="auto"/>
              <w:jc w:val="center"/>
              <w:rPr>
                <w:rFonts w:eastAsia="Times New Roman" w:cs="Times New Roman"/>
                <w:b/>
                <w:bCs/>
                <w:sz w:val="18"/>
                <w:szCs w:val="18"/>
                <w:lang w:eastAsia="sk-SK"/>
              </w:rPr>
            </w:pPr>
            <w:r w:rsidRPr="006F19FB">
              <w:rPr>
                <w:rFonts w:eastAsia="Times New Roman" w:cs="Times New Roman"/>
                <w:b/>
                <w:bCs/>
                <w:sz w:val="18"/>
                <w:szCs w:val="18"/>
                <w:lang w:eastAsia="sk-SK"/>
              </w:rPr>
              <w:t>2021 S</w:t>
            </w:r>
          </w:p>
        </w:tc>
        <w:tc>
          <w:tcPr>
            <w:tcW w:w="880" w:type="dxa"/>
            <w:tcBorders>
              <w:top w:val="nil"/>
              <w:left w:val="nil"/>
              <w:bottom w:val="nil"/>
              <w:right w:val="nil"/>
            </w:tcBorders>
            <w:shd w:val="clear" w:color="auto" w:fill="auto"/>
            <w:vAlign w:val="center"/>
            <w:hideMark/>
          </w:tcPr>
          <w:p w14:paraId="32BF5A6A" w14:textId="77777777" w:rsidR="00A57E96" w:rsidRPr="006F19FB" w:rsidRDefault="00A57E96" w:rsidP="00B768D9">
            <w:pPr>
              <w:spacing w:after="0" w:line="240" w:lineRule="auto"/>
              <w:jc w:val="center"/>
              <w:rPr>
                <w:rFonts w:eastAsia="Times New Roman" w:cs="Times New Roman"/>
                <w:b/>
                <w:bCs/>
                <w:sz w:val="18"/>
                <w:szCs w:val="18"/>
                <w:lang w:eastAsia="sk-SK"/>
              </w:rPr>
            </w:pPr>
            <w:r w:rsidRPr="006F19FB">
              <w:rPr>
                <w:rFonts w:eastAsia="Times New Roman" w:cs="Times New Roman"/>
                <w:b/>
                <w:bCs/>
                <w:sz w:val="18"/>
                <w:szCs w:val="18"/>
                <w:lang w:eastAsia="sk-SK"/>
              </w:rPr>
              <w:t>2022 S</w:t>
            </w:r>
          </w:p>
        </w:tc>
        <w:tc>
          <w:tcPr>
            <w:tcW w:w="820" w:type="dxa"/>
            <w:tcBorders>
              <w:top w:val="nil"/>
              <w:left w:val="nil"/>
              <w:bottom w:val="nil"/>
              <w:right w:val="nil"/>
            </w:tcBorders>
            <w:shd w:val="clear" w:color="auto" w:fill="auto"/>
            <w:vAlign w:val="center"/>
            <w:hideMark/>
          </w:tcPr>
          <w:p w14:paraId="71FC6C3F" w14:textId="77777777" w:rsidR="00A57E96" w:rsidRPr="006F19FB" w:rsidRDefault="00A57E96" w:rsidP="00B768D9">
            <w:pPr>
              <w:spacing w:after="0" w:line="240" w:lineRule="auto"/>
              <w:jc w:val="center"/>
              <w:rPr>
                <w:rFonts w:eastAsia="Times New Roman" w:cs="Times New Roman"/>
                <w:b/>
                <w:bCs/>
                <w:color w:val="000000"/>
                <w:sz w:val="18"/>
                <w:szCs w:val="18"/>
                <w:lang w:eastAsia="sk-SK"/>
              </w:rPr>
            </w:pPr>
            <w:r w:rsidRPr="006F19FB">
              <w:rPr>
                <w:rFonts w:eastAsia="Times New Roman" w:cs="Times New Roman"/>
                <w:b/>
                <w:bCs/>
                <w:color w:val="000000"/>
                <w:sz w:val="18"/>
                <w:szCs w:val="18"/>
                <w:lang w:eastAsia="sk-SK"/>
              </w:rPr>
              <w:t>2023 R</w:t>
            </w:r>
          </w:p>
        </w:tc>
        <w:tc>
          <w:tcPr>
            <w:tcW w:w="960" w:type="dxa"/>
            <w:tcBorders>
              <w:top w:val="nil"/>
              <w:left w:val="nil"/>
              <w:bottom w:val="nil"/>
              <w:right w:val="nil"/>
            </w:tcBorders>
            <w:shd w:val="clear" w:color="auto" w:fill="auto"/>
            <w:vAlign w:val="center"/>
            <w:hideMark/>
          </w:tcPr>
          <w:p w14:paraId="7BD1A19F" w14:textId="77777777" w:rsidR="00A57E96" w:rsidRPr="006F19FB" w:rsidRDefault="00A57E96" w:rsidP="00B768D9">
            <w:pPr>
              <w:spacing w:after="0" w:line="240" w:lineRule="auto"/>
              <w:jc w:val="center"/>
              <w:rPr>
                <w:rFonts w:eastAsia="Times New Roman" w:cs="Times New Roman"/>
                <w:b/>
                <w:bCs/>
                <w:color w:val="000000"/>
                <w:sz w:val="18"/>
                <w:szCs w:val="18"/>
                <w:lang w:eastAsia="sk-SK"/>
              </w:rPr>
            </w:pPr>
            <w:r w:rsidRPr="006F19FB">
              <w:rPr>
                <w:rFonts w:eastAsia="Times New Roman" w:cs="Times New Roman"/>
                <w:b/>
                <w:bCs/>
                <w:color w:val="000000"/>
                <w:sz w:val="18"/>
                <w:szCs w:val="18"/>
                <w:lang w:eastAsia="sk-SK"/>
              </w:rPr>
              <w:t>2023 S</w:t>
            </w:r>
          </w:p>
        </w:tc>
        <w:tc>
          <w:tcPr>
            <w:tcW w:w="800" w:type="dxa"/>
            <w:tcBorders>
              <w:top w:val="nil"/>
              <w:left w:val="nil"/>
              <w:bottom w:val="nil"/>
              <w:right w:val="nil"/>
            </w:tcBorders>
            <w:shd w:val="clear" w:color="auto" w:fill="auto"/>
            <w:vAlign w:val="center"/>
            <w:hideMark/>
          </w:tcPr>
          <w:p w14:paraId="343250F7" w14:textId="77777777" w:rsidR="00A57E96" w:rsidRPr="006F19FB" w:rsidRDefault="00A57E96" w:rsidP="00B768D9">
            <w:pPr>
              <w:spacing w:after="0" w:line="240" w:lineRule="auto"/>
              <w:jc w:val="center"/>
              <w:rPr>
                <w:rFonts w:eastAsia="Times New Roman" w:cs="Times New Roman"/>
                <w:b/>
                <w:bCs/>
                <w:color w:val="000000"/>
                <w:sz w:val="18"/>
                <w:szCs w:val="18"/>
                <w:lang w:eastAsia="sk-SK"/>
              </w:rPr>
            </w:pPr>
            <w:r w:rsidRPr="006F19FB">
              <w:rPr>
                <w:rFonts w:eastAsia="Times New Roman" w:cs="Times New Roman"/>
                <w:b/>
                <w:bCs/>
                <w:color w:val="000000"/>
                <w:sz w:val="18"/>
                <w:szCs w:val="18"/>
                <w:lang w:eastAsia="sk-SK"/>
              </w:rPr>
              <w:t>Rozdiel</w:t>
            </w:r>
          </w:p>
        </w:tc>
        <w:tc>
          <w:tcPr>
            <w:tcW w:w="760" w:type="dxa"/>
            <w:tcBorders>
              <w:top w:val="nil"/>
              <w:left w:val="nil"/>
              <w:bottom w:val="nil"/>
              <w:right w:val="nil"/>
            </w:tcBorders>
            <w:shd w:val="clear" w:color="auto" w:fill="auto"/>
            <w:vAlign w:val="center"/>
            <w:hideMark/>
          </w:tcPr>
          <w:p w14:paraId="0958E57B" w14:textId="77777777" w:rsidR="00A57E96" w:rsidRPr="006F19FB" w:rsidRDefault="00A57E96" w:rsidP="00B768D9">
            <w:pPr>
              <w:spacing w:after="0" w:line="240" w:lineRule="auto"/>
              <w:jc w:val="center"/>
              <w:rPr>
                <w:rFonts w:eastAsia="Times New Roman" w:cs="Times New Roman"/>
                <w:b/>
                <w:bCs/>
                <w:color w:val="000000"/>
                <w:sz w:val="18"/>
                <w:szCs w:val="18"/>
                <w:lang w:eastAsia="sk-SK"/>
              </w:rPr>
            </w:pPr>
            <w:r w:rsidRPr="006F19FB">
              <w:rPr>
                <w:rFonts w:eastAsia="Times New Roman" w:cs="Times New Roman"/>
                <w:b/>
                <w:bCs/>
                <w:color w:val="000000"/>
                <w:sz w:val="18"/>
                <w:szCs w:val="18"/>
                <w:lang w:eastAsia="sk-SK"/>
              </w:rPr>
              <w:t>v %</w:t>
            </w:r>
          </w:p>
        </w:tc>
      </w:tr>
      <w:tr w:rsidR="00A57E96" w:rsidRPr="006F19FB" w14:paraId="4FA4C19F" w14:textId="77777777" w:rsidTr="00B768D9">
        <w:trPr>
          <w:trHeight w:val="345"/>
        </w:trPr>
        <w:tc>
          <w:tcPr>
            <w:tcW w:w="4120" w:type="dxa"/>
            <w:tcBorders>
              <w:top w:val="nil"/>
              <w:left w:val="nil"/>
              <w:bottom w:val="single" w:sz="8" w:space="0" w:color="auto"/>
              <w:right w:val="nil"/>
            </w:tcBorders>
            <w:shd w:val="clear" w:color="auto" w:fill="auto"/>
            <w:vAlign w:val="center"/>
            <w:hideMark/>
          </w:tcPr>
          <w:p w14:paraId="68453250" w14:textId="77777777" w:rsidR="00A57E96" w:rsidRPr="006F19FB" w:rsidRDefault="00A57E96" w:rsidP="00B768D9">
            <w:pPr>
              <w:spacing w:after="0" w:line="240" w:lineRule="auto"/>
              <w:jc w:val="left"/>
              <w:rPr>
                <w:rFonts w:eastAsia="Times New Roman" w:cs="Times New Roman"/>
                <w:b/>
                <w:bCs/>
                <w:color w:val="FFFFFF"/>
                <w:sz w:val="18"/>
                <w:szCs w:val="18"/>
                <w:lang w:eastAsia="sk-SK"/>
              </w:rPr>
            </w:pPr>
            <w:r w:rsidRPr="006F19FB">
              <w:rPr>
                <w:rFonts w:eastAsia="Times New Roman" w:cs="Times New Roman"/>
                <w:b/>
                <w:bCs/>
                <w:color w:val="FFFFFF"/>
                <w:sz w:val="18"/>
                <w:szCs w:val="18"/>
                <w:lang w:eastAsia="sk-SK"/>
              </w:rPr>
              <w:t> </w:t>
            </w:r>
          </w:p>
        </w:tc>
        <w:tc>
          <w:tcPr>
            <w:tcW w:w="820" w:type="dxa"/>
            <w:tcBorders>
              <w:top w:val="nil"/>
              <w:left w:val="nil"/>
              <w:bottom w:val="single" w:sz="8" w:space="0" w:color="auto"/>
              <w:right w:val="nil"/>
            </w:tcBorders>
            <w:shd w:val="clear" w:color="auto" w:fill="auto"/>
            <w:vAlign w:val="center"/>
            <w:hideMark/>
          </w:tcPr>
          <w:p w14:paraId="41A8198E" w14:textId="77777777" w:rsidR="00A57E96" w:rsidRPr="006F19FB" w:rsidRDefault="00A57E96" w:rsidP="00B768D9">
            <w:pPr>
              <w:spacing w:after="0" w:line="240" w:lineRule="auto"/>
              <w:jc w:val="center"/>
              <w:rPr>
                <w:rFonts w:eastAsia="Times New Roman" w:cs="Times New Roman"/>
                <w:b/>
                <w:bCs/>
                <w:color w:val="000000"/>
                <w:sz w:val="18"/>
                <w:szCs w:val="18"/>
                <w:lang w:eastAsia="sk-SK"/>
              </w:rPr>
            </w:pPr>
            <w:r w:rsidRPr="006F19FB">
              <w:rPr>
                <w:rFonts w:eastAsia="Times New Roman" w:cs="Times New Roman"/>
                <w:b/>
                <w:bCs/>
                <w:color w:val="000000"/>
                <w:sz w:val="18"/>
                <w:szCs w:val="18"/>
                <w:lang w:eastAsia="sk-SK"/>
              </w:rPr>
              <w:t>1</w:t>
            </w:r>
          </w:p>
        </w:tc>
        <w:tc>
          <w:tcPr>
            <w:tcW w:w="880" w:type="dxa"/>
            <w:tcBorders>
              <w:top w:val="nil"/>
              <w:left w:val="nil"/>
              <w:bottom w:val="single" w:sz="8" w:space="0" w:color="auto"/>
              <w:right w:val="nil"/>
            </w:tcBorders>
            <w:shd w:val="clear" w:color="auto" w:fill="auto"/>
            <w:vAlign w:val="center"/>
            <w:hideMark/>
          </w:tcPr>
          <w:p w14:paraId="68E9250A" w14:textId="77777777" w:rsidR="00A57E96" w:rsidRPr="006F19FB" w:rsidRDefault="00A57E96" w:rsidP="00B768D9">
            <w:pPr>
              <w:spacing w:after="0" w:line="240" w:lineRule="auto"/>
              <w:jc w:val="center"/>
              <w:rPr>
                <w:rFonts w:eastAsia="Times New Roman" w:cs="Times New Roman"/>
                <w:b/>
                <w:bCs/>
                <w:color w:val="000000"/>
                <w:sz w:val="18"/>
                <w:szCs w:val="18"/>
                <w:lang w:eastAsia="sk-SK"/>
              </w:rPr>
            </w:pPr>
            <w:r w:rsidRPr="006F19FB">
              <w:rPr>
                <w:rFonts w:eastAsia="Times New Roman" w:cs="Times New Roman"/>
                <w:b/>
                <w:bCs/>
                <w:color w:val="000000"/>
                <w:sz w:val="18"/>
                <w:szCs w:val="18"/>
                <w:lang w:eastAsia="sk-SK"/>
              </w:rPr>
              <w:t>2</w:t>
            </w:r>
          </w:p>
        </w:tc>
        <w:tc>
          <w:tcPr>
            <w:tcW w:w="820" w:type="dxa"/>
            <w:tcBorders>
              <w:top w:val="nil"/>
              <w:left w:val="nil"/>
              <w:bottom w:val="single" w:sz="8" w:space="0" w:color="auto"/>
              <w:right w:val="nil"/>
            </w:tcBorders>
            <w:shd w:val="clear" w:color="auto" w:fill="auto"/>
            <w:vAlign w:val="center"/>
            <w:hideMark/>
          </w:tcPr>
          <w:p w14:paraId="533EE346" w14:textId="77777777" w:rsidR="00A57E96" w:rsidRPr="006F19FB" w:rsidRDefault="00A57E96" w:rsidP="00B768D9">
            <w:pPr>
              <w:spacing w:after="0" w:line="240" w:lineRule="auto"/>
              <w:jc w:val="center"/>
              <w:rPr>
                <w:rFonts w:eastAsia="Times New Roman" w:cs="Times New Roman"/>
                <w:b/>
                <w:bCs/>
                <w:sz w:val="18"/>
                <w:szCs w:val="18"/>
                <w:lang w:eastAsia="sk-SK"/>
              </w:rPr>
            </w:pPr>
            <w:r w:rsidRPr="006F19FB">
              <w:rPr>
                <w:rFonts w:eastAsia="Times New Roman" w:cs="Times New Roman"/>
                <w:b/>
                <w:bCs/>
                <w:sz w:val="18"/>
                <w:szCs w:val="18"/>
                <w:lang w:eastAsia="sk-SK"/>
              </w:rPr>
              <w:t>3</w:t>
            </w:r>
          </w:p>
        </w:tc>
        <w:tc>
          <w:tcPr>
            <w:tcW w:w="960" w:type="dxa"/>
            <w:tcBorders>
              <w:top w:val="nil"/>
              <w:left w:val="nil"/>
              <w:bottom w:val="single" w:sz="8" w:space="0" w:color="auto"/>
              <w:right w:val="nil"/>
            </w:tcBorders>
            <w:shd w:val="clear" w:color="auto" w:fill="auto"/>
            <w:vAlign w:val="center"/>
            <w:hideMark/>
          </w:tcPr>
          <w:p w14:paraId="2EA1CAD3" w14:textId="77777777" w:rsidR="00A57E96" w:rsidRPr="006F19FB" w:rsidRDefault="00A57E96" w:rsidP="00B768D9">
            <w:pPr>
              <w:spacing w:after="0" w:line="240" w:lineRule="auto"/>
              <w:jc w:val="center"/>
              <w:rPr>
                <w:rFonts w:eastAsia="Times New Roman" w:cs="Times New Roman"/>
                <w:b/>
                <w:bCs/>
                <w:sz w:val="18"/>
                <w:szCs w:val="18"/>
                <w:lang w:eastAsia="sk-SK"/>
              </w:rPr>
            </w:pPr>
            <w:r w:rsidRPr="006F19FB">
              <w:rPr>
                <w:rFonts w:eastAsia="Times New Roman" w:cs="Times New Roman"/>
                <w:b/>
                <w:bCs/>
                <w:sz w:val="18"/>
                <w:szCs w:val="18"/>
                <w:lang w:eastAsia="sk-SK"/>
              </w:rPr>
              <w:t>4</w:t>
            </w:r>
          </w:p>
        </w:tc>
        <w:tc>
          <w:tcPr>
            <w:tcW w:w="800" w:type="dxa"/>
            <w:tcBorders>
              <w:top w:val="nil"/>
              <w:left w:val="nil"/>
              <w:bottom w:val="single" w:sz="8" w:space="0" w:color="auto"/>
              <w:right w:val="nil"/>
            </w:tcBorders>
            <w:shd w:val="clear" w:color="auto" w:fill="auto"/>
            <w:vAlign w:val="center"/>
            <w:hideMark/>
          </w:tcPr>
          <w:p w14:paraId="0FEEC4B1" w14:textId="77777777" w:rsidR="00A57E96" w:rsidRPr="006F19FB" w:rsidRDefault="00A57E96" w:rsidP="00B768D9">
            <w:pPr>
              <w:spacing w:after="0" w:line="240" w:lineRule="auto"/>
              <w:jc w:val="center"/>
              <w:rPr>
                <w:rFonts w:eastAsia="Times New Roman" w:cs="Times New Roman"/>
                <w:b/>
                <w:bCs/>
                <w:sz w:val="18"/>
                <w:szCs w:val="18"/>
                <w:lang w:eastAsia="sk-SK"/>
              </w:rPr>
            </w:pPr>
            <w:r w:rsidRPr="006F19FB">
              <w:rPr>
                <w:rFonts w:eastAsia="Times New Roman" w:cs="Times New Roman"/>
                <w:b/>
                <w:bCs/>
                <w:sz w:val="18"/>
                <w:szCs w:val="18"/>
                <w:lang w:eastAsia="sk-SK"/>
              </w:rPr>
              <w:t>5=4-3</w:t>
            </w:r>
          </w:p>
        </w:tc>
        <w:tc>
          <w:tcPr>
            <w:tcW w:w="760" w:type="dxa"/>
            <w:tcBorders>
              <w:top w:val="nil"/>
              <w:left w:val="nil"/>
              <w:bottom w:val="single" w:sz="8" w:space="0" w:color="auto"/>
              <w:right w:val="nil"/>
            </w:tcBorders>
            <w:shd w:val="clear" w:color="auto" w:fill="auto"/>
            <w:vAlign w:val="center"/>
            <w:hideMark/>
          </w:tcPr>
          <w:p w14:paraId="55FC6B14" w14:textId="77777777" w:rsidR="00A57E96" w:rsidRPr="006F19FB" w:rsidRDefault="00A57E96" w:rsidP="00B768D9">
            <w:pPr>
              <w:spacing w:after="0" w:line="240" w:lineRule="auto"/>
              <w:jc w:val="center"/>
              <w:rPr>
                <w:rFonts w:eastAsia="Times New Roman" w:cs="Times New Roman"/>
                <w:b/>
                <w:bCs/>
                <w:sz w:val="18"/>
                <w:szCs w:val="18"/>
                <w:lang w:eastAsia="sk-SK"/>
              </w:rPr>
            </w:pPr>
            <w:r w:rsidRPr="006F19FB">
              <w:rPr>
                <w:rFonts w:eastAsia="Times New Roman" w:cs="Times New Roman"/>
                <w:b/>
                <w:bCs/>
                <w:sz w:val="18"/>
                <w:szCs w:val="18"/>
                <w:lang w:eastAsia="sk-SK"/>
              </w:rPr>
              <w:t>6=4-3</w:t>
            </w:r>
          </w:p>
        </w:tc>
      </w:tr>
      <w:tr w:rsidR="00A57E96" w:rsidRPr="006F19FB" w14:paraId="5C7255BB" w14:textId="77777777" w:rsidTr="00B768D9">
        <w:trPr>
          <w:trHeight w:val="330"/>
        </w:trPr>
        <w:tc>
          <w:tcPr>
            <w:tcW w:w="4120" w:type="dxa"/>
            <w:tcBorders>
              <w:top w:val="nil"/>
              <w:left w:val="nil"/>
              <w:bottom w:val="nil"/>
              <w:right w:val="nil"/>
            </w:tcBorders>
            <w:shd w:val="clear" w:color="000000" w:fill="FFFFFF"/>
            <w:noWrap/>
            <w:vAlign w:val="center"/>
            <w:hideMark/>
          </w:tcPr>
          <w:p w14:paraId="7EA4C50D" w14:textId="77777777" w:rsidR="00A57E96" w:rsidRPr="006F19FB" w:rsidRDefault="00A57E96" w:rsidP="00B768D9">
            <w:pPr>
              <w:spacing w:after="0" w:line="240" w:lineRule="auto"/>
              <w:jc w:val="left"/>
              <w:rPr>
                <w:rFonts w:eastAsia="Times New Roman" w:cs="Times New Roman"/>
                <w:color w:val="000000"/>
                <w:sz w:val="18"/>
                <w:szCs w:val="18"/>
                <w:lang w:eastAsia="sk-SK"/>
              </w:rPr>
            </w:pPr>
            <w:r w:rsidRPr="006F19FB">
              <w:rPr>
                <w:rFonts w:eastAsia="Times New Roman" w:cs="Times New Roman"/>
                <w:color w:val="000000"/>
                <w:sz w:val="18"/>
                <w:szCs w:val="18"/>
                <w:lang w:eastAsia="sk-SK"/>
              </w:rPr>
              <w:t>Administratívne poplatky</w:t>
            </w:r>
          </w:p>
        </w:tc>
        <w:tc>
          <w:tcPr>
            <w:tcW w:w="820" w:type="dxa"/>
            <w:tcBorders>
              <w:top w:val="nil"/>
              <w:left w:val="nil"/>
              <w:bottom w:val="nil"/>
              <w:right w:val="nil"/>
            </w:tcBorders>
            <w:shd w:val="clear" w:color="auto" w:fill="auto"/>
            <w:noWrap/>
            <w:vAlign w:val="center"/>
            <w:hideMark/>
          </w:tcPr>
          <w:p w14:paraId="12289131"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219 202</w:t>
            </w:r>
          </w:p>
        </w:tc>
        <w:tc>
          <w:tcPr>
            <w:tcW w:w="880" w:type="dxa"/>
            <w:tcBorders>
              <w:top w:val="nil"/>
              <w:left w:val="nil"/>
              <w:bottom w:val="nil"/>
              <w:right w:val="nil"/>
            </w:tcBorders>
            <w:shd w:val="clear" w:color="auto" w:fill="auto"/>
            <w:noWrap/>
            <w:vAlign w:val="center"/>
            <w:hideMark/>
          </w:tcPr>
          <w:p w14:paraId="3956B5E1"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237 814</w:t>
            </w:r>
          </w:p>
        </w:tc>
        <w:tc>
          <w:tcPr>
            <w:tcW w:w="820" w:type="dxa"/>
            <w:tcBorders>
              <w:top w:val="nil"/>
              <w:left w:val="nil"/>
              <w:bottom w:val="nil"/>
              <w:right w:val="nil"/>
            </w:tcBorders>
            <w:shd w:val="clear" w:color="000000" w:fill="FFFFFF"/>
            <w:noWrap/>
            <w:vAlign w:val="center"/>
            <w:hideMark/>
          </w:tcPr>
          <w:p w14:paraId="4E8C519A"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235 035</w:t>
            </w:r>
          </w:p>
        </w:tc>
        <w:tc>
          <w:tcPr>
            <w:tcW w:w="960" w:type="dxa"/>
            <w:tcBorders>
              <w:top w:val="nil"/>
              <w:left w:val="nil"/>
              <w:bottom w:val="nil"/>
              <w:right w:val="nil"/>
            </w:tcBorders>
            <w:shd w:val="clear" w:color="auto" w:fill="auto"/>
            <w:noWrap/>
            <w:vAlign w:val="center"/>
            <w:hideMark/>
          </w:tcPr>
          <w:p w14:paraId="78236B1E"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223 755</w:t>
            </w:r>
          </w:p>
        </w:tc>
        <w:tc>
          <w:tcPr>
            <w:tcW w:w="800" w:type="dxa"/>
            <w:tcBorders>
              <w:top w:val="nil"/>
              <w:left w:val="nil"/>
              <w:bottom w:val="nil"/>
              <w:right w:val="nil"/>
            </w:tcBorders>
            <w:shd w:val="clear" w:color="000000" w:fill="FFFFFF"/>
            <w:noWrap/>
            <w:vAlign w:val="center"/>
            <w:hideMark/>
          </w:tcPr>
          <w:p w14:paraId="01D14681"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-11 280</w:t>
            </w:r>
          </w:p>
        </w:tc>
        <w:tc>
          <w:tcPr>
            <w:tcW w:w="760" w:type="dxa"/>
            <w:tcBorders>
              <w:top w:val="nil"/>
              <w:left w:val="nil"/>
              <w:bottom w:val="nil"/>
              <w:right w:val="nil"/>
            </w:tcBorders>
            <w:shd w:val="clear" w:color="000000" w:fill="FFFFFF"/>
            <w:vAlign w:val="center"/>
            <w:hideMark/>
          </w:tcPr>
          <w:p w14:paraId="548A65DB"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-4,8</w:t>
            </w:r>
          </w:p>
        </w:tc>
      </w:tr>
      <w:tr w:rsidR="00A57E96" w:rsidRPr="006F19FB" w14:paraId="22251AB3" w14:textId="77777777" w:rsidTr="00B768D9">
        <w:trPr>
          <w:trHeight w:val="330"/>
        </w:trPr>
        <w:tc>
          <w:tcPr>
            <w:tcW w:w="4120" w:type="dxa"/>
            <w:tcBorders>
              <w:top w:val="nil"/>
              <w:left w:val="nil"/>
              <w:bottom w:val="nil"/>
              <w:right w:val="nil"/>
            </w:tcBorders>
            <w:shd w:val="clear" w:color="000000" w:fill="FFFFFF"/>
            <w:noWrap/>
            <w:vAlign w:val="center"/>
            <w:hideMark/>
          </w:tcPr>
          <w:p w14:paraId="294FC93E" w14:textId="77777777" w:rsidR="00A57E96" w:rsidRPr="006F19FB" w:rsidRDefault="00A57E96" w:rsidP="00B768D9">
            <w:pPr>
              <w:spacing w:after="0" w:line="240" w:lineRule="auto"/>
              <w:jc w:val="left"/>
              <w:rPr>
                <w:rFonts w:eastAsia="Times New Roman" w:cs="Times New Roman"/>
                <w:color w:val="000000"/>
                <w:sz w:val="18"/>
                <w:szCs w:val="18"/>
                <w:lang w:eastAsia="sk-SK"/>
              </w:rPr>
            </w:pPr>
            <w:r w:rsidRPr="006F19FB">
              <w:rPr>
                <w:rFonts w:eastAsia="Times New Roman" w:cs="Times New Roman"/>
                <w:color w:val="000000"/>
                <w:sz w:val="18"/>
                <w:szCs w:val="18"/>
                <w:lang w:eastAsia="sk-SK"/>
              </w:rPr>
              <w:t xml:space="preserve">     z toho: súdne poplatky</w:t>
            </w:r>
          </w:p>
        </w:tc>
        <w:tc>
          <w:tcPr>
            <w:tcW w:w="820" w:type="dxa"/>
            <w:tcBorders>
              <w:top w:val="nil"/>
              <w:left w:val="nil"/>
              <w:bottom w:val="nil"/>
              <w:right w:val="nil"/>
            </w:tcBorders>
            <w:shd w:val="clear" w:color="auto" w:fill="auto"/>
            <w:noWrap/>
            <w:vAlign w:val="center"/>
            <w:hideMark/>
          </w:tcPr>
          <w:p w14:paraId="74E80EFC"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29 918</w:t>
            </w:r>
          </w:p>
        </w:tc>
        <w:tc>
          <w:tcPr>
            <w:tcW w:w="880" w:type="dxa"/>
            <w:tcBorders>
              <w:top w:val="nil"/>
              <w:left w:val="nil"/>
              <w:bottom w:val="nil"/>
              <w:right w:val="nil"/>
            </w:tcBorders>
            <w:shd w:val="clear" w:color="auto" w:fill="auto"/>
            <w:noWrap/>
            <w:vAlign w:val="center"/>
            <w:hideMark/>
          </w:tcPr>
          <w:p w14:paraId="0593D3FC"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30 276</w:t>
            </w:r>
          </w:p>
        </w:tc>
        <w:tc>
          <w:tcPr>
            <w:tcW w:w="820" w:type="dxa"/>
            <w:tcBorders>
              <w:top w:val="nil"/>
              <w:left w:val="nil"/>
              <w:bottom w:val="nil"/>
              <w:right w:val="nil"/>
            </w:tcBorders>
            <w:shd w:val="clear" w:color="000000" w:fill="FFFFFF"/>
            <w:noWrap/>
            <w:vAlign w:val="center"/>
            <w:hideMark/>
          </w:tcPr>
          <w:p w14:paraId="13381688"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32 004</w:t>
            </w:r>
          </w:p>
        </w:tc>
        <w:tc>
          <w:tcPr>
            <w:tcW w:w="960" w:type="dxa"/>
            <w:tcBorders>
              <w:top w:val="nil"/>
              <w:left w:val="nil"/>
              <w:bottom w:val="nil"/>
              <w:right w:val="nil"/>
            </w:tcBorders>
            <w:shd w:val="clear" w:color="auto" w:fill="auto"/>
            <w:noWrap/>
            <w:vAlign w:val="center"/>
            <w:hideMark/>
          </w:tcPr>
          <w:p w14:paraId="69C52AC8"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30 518</w:t>
            </w:r>
          </w:p>
        </w:tc>
        <w:tc>
          <w:tcPr>
            <w:tcW w:w="800" w:type="dxa"/>
            <w:tcBorders>
              <w:top w:val="nil"/>
              <w:left w:val="nil"/>
              <w:bottom w:val="nil"/>
              <w:right w:val="nil"/>
            </w:tcBorders>
            <w:shd w:val="clear" w:color="000000" w:fill="FFFFFF"/>
            <w:noWrap/>
            <w:vAlign w:val="center"/>
            <w:hideMark/>
          </w:tcPr>
          <w:p w14:paraId="4C073085"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-1 486</w:t>
            </w:r>
          </w:p>
        </w:tc>
        <w:tc>
          <w:tcPr>
            <w:tcW w:w="760" w:type="dxa"/>
            <w:tcBorders>
              <w:top w:val="nil"/>
              <w:left w:val="nil"/>
              <w:bottom w:val="nil"/>
              <w:right w:val="nil"/>
            </w:tcBorders>
            <w:shd w:val="clear" w:color="000000" w:fill="FFFFFF"/>
            <w:vAlign w:val="center"/>
            <w:hideMark/>
          </w:tcPr>
          <w:p w14:paraId="4ADD2D71"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-4,6</w:t>
            </w:r>
          </w:p>
        </w:tc>
      </w:tr>
      <w:tr w:rsidR="00A57E96" w:rsidRPr="006F19FB" w14:paraId="7D6B4838" w14:textId="77777777" w:rsidTr="00B768D9">
        <w:trPr>
          <w:trHeight w:val="330"/>
        </w:trPr>
        <w:tc>
          <w:tcPr>
            <w:tcW w:w="4120" w:type="dxa"/>
            <w:tcBorders>
              <w:top w:val="nil"/>
              <w:left w:val="nil"/>
              <w:bottom w:val="nil"/>
              <w:right w:val="nil"/>
            </w:tcBorders>
            <w:shd w:val="clear" w:color="000000" w:fill="FFFFFF"/>
            <w:noWrap/>
            <w:vAlign w:val="center"/>
            <w:hideMark/>
          </w:tcPr>
          <w:p w14:paraId="047E05EB" w14:textId="77777777" w:rsidR="00A57E96" w:rsidRPr="006F19FB" w:rsidRDefault="00A57E96" w:rsidP="00B768D9">
            <w:pPr>
              <w:spacing w:after="0" w:line="240" w:lineRule="auto"/>
              <w:jc w:val="left"/>
              <w:rPr>
                <w:rFonts w:eastAsia="Times New Roman" w:cs="Times New Roman"/>
                <w:color w:val="000000"/>
                <w:sz w:val="18"/>
                <w:szCs w:val="18"/>
                <w:lang w:eastAsia="sk-SK"/>
              </w:rPr>
            </w:pPr>
            <w:r w:rsidRPr="006F19FB">
              <w:rPr>
                <w:rFonts w:eastAsia="Times New Roman" w:cs="Times New Roman"/>
                <w:color w:val="000000"/>
                <w:sz w:val="18"/>
                <w:szCs w:val="18"/>
                <w:lang w:eastAsia="sk-SK"/>
              </w:rPr>
              <w:t>Pokuty, penále a iné sankcie</w:t>
            </w:r>
          </w:p>
        </w:tc>
        <w:tc>
          <w:tcPr>
            <w:tcW w:w="820" w:type="dxa"/>
            <w:tcBorders>
              <w:top w:val="nil"/>
              <w:left w:val="nil"/>
              <w:bottom w:val="nil"/>
              <w:right w:val="nil"/>
            </w:tcBorders>
            <w:shd w:val="clear" w:color="auto" w:fill="auto"/>
            <w:noWrap/>
            <w:vAlign w:val="center"/>
            <w:hideMark/>
          </w:tcPr>
          <w:p w14:paraId="71B5C762"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56 444</w:t>
            </w:r>
          </w:p>
        </w:tc>
        <w:tc>
          <w:tcPr>
            <w:tcW w:w="880" w:type="dxa"/>
            <w:tcBorders>
              <w:top w:val="nil"/>
              <w:left w:val="nil"/>
              <w:bottom w:val="nil"/>
              <w:right w:val="nil"/>
            </w:tcBorders>
            <w:shd w:val="clear" w:color="auto" w:fill="auto"/>
            <w:noWrap/>
            <w:vAlign w:val="center"/>
            <w:hideMark/>
          </w:tcPr>
          <w:p w14:paraId="65AEF196"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68 713</w:t>
            </w:r>
          </w:p>
        </w:tc>
        <w:tc>
          <w:tcPr>
            <w:tcW w:w="820" w:type="dxa"/>
            <w:tcBorders>
              <w:top w:val="nil"/>
              <w:left w:val="nil"/>
              <w:bottom w:val="nil"/>
              <w:right w:val="nil"/>
            </w:tcBorders>
            <w:shd w:val="clear" w:color="000000" w:fill="FFFFFF"/>
            <w:noWrap/>
            <w:vAlign w:val="center"/>
            <w:hideMark/>
          </w:tcPr>
          <w:p w14:paraId="0376F26B"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57 981</w:t>
            </w:r>
          </w:p>
        </w:tc>
        <w:tc>
          <w:tcPr>
            <w:tcW w:w="960" w:type="dxa"/>
            <w:tcBorders>
              <w:top w:val="nil"/>
              <w:left w:val="nil"/>
              <w:bottom w:val="nil"/>
              <w:right w:val="nil"/>
            </w:tcBorders>
            <w:shd w:val="clear" w:color="auto" w:fill="auto"/>
            <w:noWrap/>
            <w:vAlign w:val="center"/>
            <w:hideMark/>
          </w:tcPr>
          <w:p w14:paraId="053EAE12"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79 058</w:t>
            </w:r>
          </w:p>
        </w:tc>
        <w:tc>
          <w:tcPr>
            <w:tcW w:w="800" w:type="dxa"/>
            <w:tcBorders>
              <w:top w:val="nil"/>
              <w:left w:val="nil"/>
              <w:bottom w:val="nil"/>
              <w:right w:val="nil"/>
            </w:tcBorders>
            <w:shd w:val="clear" w:color="000000" w:fill="FFFFFF"/>
            <w:vAlign w:val="center"/>
            <w:hideMark/>
          </w:tcPr>
          <w:p w14:paraId="50A888AF"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21 077</w:t>
            </w:r>
          </w:p>
        </w:tc>
        <w:tc>
          <w:tcPr>
            <w:tcW w:w="760" w:type="dxa"/>
            <w:tcBorders>
              <w:top w:val="nil"/>
              <w:left w:val="nil"/>
              <w:bottom w:val="nil"/>
              <w:right w:val="nil"/>
            </w:tcBorders>
            <w:shd w:val="clear" w:color="000000" w:fill="FFFFFF"/>
            <w:vAlign w:val="center"/>
            <w:hideMark/>
          </w:tcPr>
          <w:p w14:paraId="6C90787D"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36,4</w:t>
            </w:r>
          </w:p>
        </w:tc>
      </w:tr>
      <w:tr w:rsidR="00A57E96" w:rsidRPr="006F19FB" w14:paraId="40A7CDF8" w14:textId="77777777" w:rsidTr="00B768D9">
        <w:trPr>
          <w:trHeight w:val="330"/>
        </w:trPr>
        <w:tc>
          <w:tcPr>
            <w:tcW w:w="4120" w:type="dxa"/>
            <w:tcBorders>
              <w:top w:val="nil"/>
              <w:left w:val="nil"/>
              <w:bottom w:val="nil"/>
              <w:right w:val="nil"/>
            </w:tcBorders>
            <w:shd w:val="clear" w:color="000000" w:fill="FFFFFF"/>
            <w:noWrap/>
            <w:vAlign w:val="center"/>
            <w:hideMark/>
          </w:tcPr>
          <w:p w14:paraId="17BE9371" w14:textId="77777777" w:rsidR="00A57E96" w:rsidRPr="006F19FB" w:rsidRDefault="00A57E96" w:rsidP="00B768D9">
            <w:pPr>
              <w:spacing w:after="0" w:line="240" w:lineRule="auto"/>
              <w:jc w:val="left"/>
              <w:rPr>
                <w:rFonts w:eastAsia="Times New Roman" w:cs="Times New Roman"/>
                <w:color w:val="000000"/>
                <w:sz w:val="18"/>
                <w:szCs w:val="18"/>
                <w:lang w:eastAsia="sk-SK"/>
              </w:rPr>
            </w:pPr>
            <w:r w:rsidRPr="006F19FB">
              <w:rPr>
                <w:rFonts w:eastAsia="Times New Roman" w:cs="Times New Roman"/>
                <w:color w:val="000000"/>
                <w:sz w:val="18"/>
                <w:szCs w:val="18"/>
                <w:lang w:eastAsia="sk-SK"/>
              </w:rPr>
              <w:t>Poplatky a platby z nepriemyselného a náhod. predaja</w:t>
            </w:r>
          </w:p>
        </w:tc>
        <w:tc>
          <w:tcPr>
            <w:tcW w:w="820" w:type="dxa"/>
            <w:tcBorders>
              <w:top w:val="nil"/>
              <w:left w:val="nil"/>
              <w:bottom w:val="nil"/>
              <w:right w:val="nil"/>
            </w:tcBorders>
            <w:shd w:val="clear" w:color="auto" w:fill="auto"/>
            <w:noWrap/>
            <w:vAlign w:val="center"/>
            <w:hideMark/>
          </w:tcPr>
          <w:p w14:paraId="052B1CB6"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78 947</w:t>
            </w:r>
          </w:p>
        </w:tc>
        <w:tc>
          <w:tcPr>
            <w:tcW w:w="880" w:type="dxa"/>
            <w:tcBorders>
              <w:top w:val="nil"/>
              <w:left w:val="nil"/>
              <w:bottom w:val="nil"/>
              <w:right w:val="nil"/>
            </w:tcBorders>
            <w:shd w:val="clear" w:color="auto" w:fill="auto"/>
            <w:noWrap/>
            <w:vAlign w:val="center"/>
            <w:hideMark/>
          </w:tcPr>
          <w:p w14:paraId="61F9309B"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94 410</w:t>
            </w:r>
          </w:p>
        </w:tc>
        <w:tc>
          <w:tcPr>
            <w:tcW w:w="820" w:type="dxa"/>
            <w:tcBorders>
              <w:top w:val="nil"/>
              <w:left w:val="nil"/>
              <w:bottom w:val="nil"/>
              <w:right w:val="nil"/>
            </w:tcBorders>
            <w:shd w:val="clear" w:color="000000" w:fill="FFFFFF"/>
            <w:noWrap/>
            <w:vAlign w:val="center"/>
            <w:hideMark/>
          </w:tcPr>
          <w:p w14:paraId="2FCA96E2"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61 118</w:t>
            </w:r>
          </w:p>
        </w:tc>
        <w:tc>
          <w:tcPr>
            <w:tcW w:w="960" w:type="dxa"/>
            <w:tcBorders>
              <w:top w:val="nil"/>
              <w:left w:val="nil"/>
              <w:bottom w:val="nil"/>
              <w:right w:val="nil"/>
            </w:tcBorders>
            <w:shd w:val="clear" w:color="auto" w:fill="auto"/>
            <w:noWrap/>
            <w:vAlign w:val="center"/>
            <w:hideMark/>
          </w:tcPr>
          <w:p w14:paraId="0A0B1726"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63 232</w:t>
            </w:r>
          </w:p>
        </w:tc>
        <w:tc>
          <w:tcPr>
            <w:tcW w:w="800" w:type="dxa"/>
            <w:tcBorders>
              <w:top w:val="nil"/>
              <w:left w:val="nil"/>
              <w:bottom w:val="nil"/>
              <w:right w:val="nil"/>
            </w:tcBorders>
            <w:shd w:val="clear" w:color="000000" w:fill="FFFFFF"/>
            <w:vAlign w:val="center"/>
            <w:hideMark/>
          </w:tcPr>
          <w:p w14:paraId="6683C560"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2 114</w:t>
            </w:r>
          </w:p>
        </w:tc>
        <w:tc>
          <w:tcPr>
            <w:tcW w:w="760" w:type="dxa"/>
            <w:tcBorders>
              <w:top w:val="nil"/>
              <w:left w:val="nil"/>
              <w:bottom w:val="nil"/>
              <w:right w:val="nil"/>
            </w:tcBorders>
            <w:shd w:val="clear" w:color="000000" w:fill="FFFFFF"/>
            <w:vAlign w:val="center"/>
            <w:hideMark/>
          </w:tcPr>
          <w:p w14:paraId="6837D308" w14:textId="77777777" w:rsidR="00A57E96" w:rsidRPr="006F19FB" w:rsidRDefault="00A57E96" w:rsidP="00B768D9">
            <w:pPr>
              <w:spacing w:after="0" w:line="240" w:lineRule="auto"/>
              <w:jc w:val="right"/>
              <w:rPr>
                <w:rFonts w:eastAsia="Times New Roman" w:cs="Times New Roman"/>
                <w:color w:val="000000"/>
                <w:sz w:val="18"/>
                <w:szCs w:val="18"/>
                <w:lang w:eastAsia="sk-SK"/>
              </w:rPr>
            </w:pPr>
            <w:r w:rsidRPr="006F19FB">
              <w:rPr>
                <w:rFonts w:eastAsia="Times New Roman" w:cs="Times New Roman"/>
                <w:color w:val="000000"/>
                <w:sz w:val="18"/>
                <w:szCs w:val="18"/>
                <w:lang w:eastAsia="sk-SK"/>
              </w:rPr>
              <w:t>3,5</w:t>
            </w:r>
          </w:p>
        </w:tc>
      </w:tr>
      <w:tr w:rsidR="00A57E96" w:rsidRPr="006F19FB" w14:paraId="56A41387" w14:textId="77777777" w:rsidTr="00B768D9">
        <w:trPr>
          <w:trHeight w:val="345"/>
        </w:trPr>
        <w:tc>
          <w:tcPr>
            <w:tcW w:w="4120" w:type="dxa"/>
            <w:tcBorders>
              <w:top w:val="single" w:sz="4" w:space="0" w:color="auto"/>
              <w:left w:val="nil"/>
              <w:bottom w:val="single" w:sz="8" w:space="0" w:color="auto"/>
              <w:right w:val="nil"/>
            </w:tcBorders>
            <w:shd w:val="clear" w:color="000000" w:fill="FFFFFF"/>
            <w:noWrap/>
            <w:vAlign w:val="center"/>
            <w:hideMark/>
          </w:tcPr>
          <w:p w14:paraId="00958ACC" w14:textId="77777777" w:rsidR="00A57E96" w:rsidRPr="006F19FB" w:rsidRDefault="00A57E96" w:rsidP="00B768D9">
            <w:pPr>
              <w:spacing w:after="0" w:line="240" w:lineRule="auto"/>
              <w:jc w:val="left"/>
              <w:rPr>
                <w:rFonts w:eastAsia="Times New Roman" w:cs="Times New Roman"/>
                <w:b/>
                <w:bCs/>
                <w:color w:val="000000"/>
                <w:sz w:val="18"/>
                <w:szCs w:val="18"/>
                <w:lang w:eastAsia="sk-SK"/>
              </w:rPr>
            </w:pPr>
            <w:r w:rsidRPr="006F19FB">
              <w:rPr>
                <w:rFonts w:eastAsia="Times New Roman" w:cs="Times New Roman"/>
                <w:b/>
                <w:bCs/>
                <w:color w:val="000000"/>
                <w:sz w:val="18"/>
                <w:szCs w:val="18"/>
                <w:lang w:eastAsia="sk-SK"/>
              </w:rPr>
              <w:t>Spolu</w:t>
            </w:r>
          </w:p>
        </w:tc>
        <w:tc>
          <w:tcPr>
            <w:tcW w:w="820" w:type="dxa"/>
            <w:tcBorders>
              <w:top w:val="single" w:sz="4" w:space="0" w:color="auto"/>
              <w:left w:val="nil"/>
              <w:bottom w:val="single" w:sz="8" w:space="0" w:color="auto"/>
              <w:right w:val="nil"/>
            </w:tcBorders>
            <w:shd w:val="clear" w:color="000000" w:fill="FFFFFF"/>
            <w:noWrap/>
            <w:vAlign w:val="center"/>
            <w:hideMark/>
          </w:tcPr>
          <w:p w14:paraId="03FA7693" w14:textId="77777777" w:rsidR="00A57E96" w:rsidRPr="006F19FB" w:rsidRDefault="00A57E96" w:rsidP="00B768D9">
            <w:pPr>
              <w:spacing w:after="0" w:line="240" w:lineRule="auto"/>
              <w:jc w:val="right"/>
              <w:rPr>
                <w:rFonts w:eastAsia="Times New Roman" w:cs="Times New Roman"/>
                <w:b/>
                <w:bCs/>
                <w:color w:val="000000"/>
                <w:sz w:val="18"/>
                <w:szCs w:val="18"/>
                <w:lang w:eastAsia="sk-SK"/>
              </w:rPr>
            </w:pPr>
            <w:r w:rsidRPr="006F19FB">
              <w:rPr>
                <w:rFonts w:eastAsia="Times New Roman" w:cs="Times New Roman"/>
                <w:b/>
                <w:bCs/>
                <w:color w:val="000000"/>
                <w:sz w:val="18"/>
                <w:szCs w:val="18"/>
                <w:lang w:eastAsia="sk-SK"/>
              </w:rPr>
              <w:t>354 593</w:t>
            </w:r>
          </w:p>
        </w:tc>
        <w:tc>
          <w:tcPr>
            <w:tcW w:w="880" w:type="dxa"/>
            <w:tcBorders>
              <w:top w:val="single" w:sz="4" w:space="0" w:color="auto"/>
              <w:left w:val="nil"/>
              <w:bottom w:val="single" w:sz="8" w:space="0" w:color="auto"/>
              <w:right w:val="nil"/>
            </w:tcBorders>
            <w:shd w:val="clear" w:color="000000" w:fill="FFFFFF"/>
            <w:noWrap/>
            <w:vAlign w:val="center"/>
            <w:hideMark/>
          </w:tcPr>
          <w:p w14:paraId="3AA39D4D" w14:textId="77777777" w:rsidR="00A57E96" w:rsidRPr="006F19FB" w:rsidRDefault="00A57E96" w:rsidP="00B768D9">
            <w:pPr>
              <w:spacing w:after="0" w:line="240" w:lineRule="auto"/>
              <w:jc w:val="right"/>
              <w:rPr>
                <w:rFonts w:eastAsia="Times New Roman" w:cs="Times New Roman"/>
                <w:b/>
                <w:bCs/>
                <w:color w:val="000000"/>
                <w:sz w:val="18"/>
                <w:szCs w:val="18"/>
                <w:lang w:eastAsia="sk-SK"/>
              </w:rPr>
            </w:pPr>
            <w:r w:rsidRPr="006F19FB">
              <w:rPr>
                <w:rFonts w:eastAsia="Times New Roman" w:cs="Times New Roman"/>
                <w:b/>
                <w:bCs/>
                <w:color w:val="000000"/>
                <w:sz w:val="18"/>
                <w:szCs w:val="18"/>
                <w:lang w:eastAsia="sk-SK"/>
              </w:rPr>
              <w:t>400 937</w:t>
            </w:r>
          </w:p>
        </w:tc>
        <w:tc>
          <w:tcPr>
            <w:tcW w:w="820" w:type="dxa"/>
            <w:tcBorders>
              <w:top w:val="single" w:sz="4" w:space="0" w:color="auto"/>
              <w:left w:val="nil"/>
              <w:bottom w:val="single" w:sz="8" w:space="0" w:color="auto"/>
              <w:right w:val="nil"/>
            </w:tcBorders>
            <w:shd w:val="clear" w:color="000000" w:fill="FFFFFF"/>
            <w:noWrap/>
            <w:vAlign w:val="center"/>
            <w:hideMark/>
          </w:tcPr>
          <w:p w14:paraId="31D66547" w14:textId="77777777" w:rsidR="00A57E96" w:rsidRPr="006F19FB" w:rsidRDefault="00A57E96" w:rsidP="00B768D9">
            <w:pPr>
              <w:spacing w:after="0" w:line="240" w:lineRule="auto"/>
              <w:jc w:val="right"/>
              <w:rPr>
                <w:rFonts w:eastAsia="Times New Roman" w:cs="Times New Roman"/>
                <w:b/>
                <w:bCs/>
                <w:color w:val="000000"/>
                <w:sz w:val="18"/>
                <w:szCs w:val="18"/>
                <w:lang w:eastAsia="sk-SK"/>
              </w:rPr>
            </w:pPr>
            <w:r w:rsidRPr="006F19FB">
              <w:rPr>
                <w:rFonts w:eastAsia="Times New Roman" w:cs="Times New Roman"/>
                <w:b/>
                <w:bCs/>
                <w:color w:val="000000"/>
                <w:sz w:val="18"/>
                <w:szCs w:val="18"/>
                <w:lang w:eastAsia="sk-SK"/>
              </w:rPr>
              <w:t>354 134</w:t>
            </w:r>
          </w:p>
        </w:tc>
        <w:tc>
          <w:tcPr>
            <w:tcW w:w="960" w:type="dxa"/>
            <w:tcBorders>
              <w:top w:val="single" w:sz="4" w:space="0" w:color="auto"/>
              <w:left w:val="nil"/>
              <w:bottom w:val="single" w:sz="8" w:space="0" w:color="auto"/>
              <w:right w:val="nil"/>
            </w:tcBorders>
            <w:shd w:val="clear" w:color="auto" w:fill="auto"/>
            <w:noWrap/>
            <w:vAlign w:val="center"/>
            <w:hideMark/>
          </w:tcPr>
          <w:p w14:paraId="08F82844" w14:textId="77777777" w:rsidR="00A57E96" w:rsidRPr="006F19FB" w:rsidRDefault="00A57E96" w:rsidP="00B768D9">
            <w:pPr>
              <w:spacing w:after="0" w:line="240" w:lineRule="auto"/>
              <w:jc w:val="right"/>
              <w:rPr>
                <w:rFonts w:eastAsia="Times New Roman" w:cs="Times New Roman"/>
                <w:b/>
                <w:bCs/>
                <w:color w:val="000000"/>
                <w:sz w:val="18"/>
                <w:szCs w:val="18"/>
                <w:lang w:eastAsia="sk-SK"/>
              </w:rPr>
            </w:pPr>
            <w:r w:rsidRPr="006F19FB">
              <w:rPr>
                <w:rFonts w:eastAsia="Times New Roman" w:cs="Times New Roman"/>
                <w:b/>
                <w:bCs/>
                <w:color w:val="000000"/>
                <w:sz w:val="18"/>
                <w:szCs w:val="18"/>
                <w:lang w:eastAsia="sk-SK"/>
              </w:rPr>
              <w:t>366 045</w:t>
            </w:r>
          </w:p>
        </w:tc>
        <w:tc>
          <w:tcPr>
            <w:tcW w:w="800" w:type="dxa"/>
            <w:tcBorders>
              <w:top w:val="single" w:sz="4" w:space="0" w:color="auto"/>
              <w:left w:val="nil"/>
              <w:bottom w:val="single" w:sz="8" w:space="0" w:color="auto"/>
              <w:right w:val="nil"/>
            </w:tcBorders>
            <w:shd w:val="clear" w:color="000000" w:fill="FFFFFF"/>
            <w:noWrap/>
            <w:vAlign w:val="center"/>
            <w:hideMark/>
          </w:tcPr>
          <w:p w14:paraId="332D7984" w14:textId="77777777" w:rsidR="00A57E96" w:rsidRPr="006F19FB" w:rsidRDefault="00A57E96" w:rsidP="00B768D9">
            <w:pPr>
              <w:spacing w:after="0" w:line="240" w:lineRule="auto"/>
              <w:jc w:val="right"/>
              <w:rPr>
                <w:rFonts w:eastAsia="Times New Roman" w:cs="Times New Roman"/>
                <w:b/>
                <w:bCs/>
                <w:color w:val="000000"/>
                <w:sz w:val="18"/>
                <w:szCs w:val="18"/>
                <w:lang w:eastAsia="sk-SK"/>
              </w:rPr>
            </w:pPr>
            <w:r w:rsidRPr="006F19FB">
              <w:rPr>
                <w:rFonts w:eastAsia="Times New Roman" w:cs="Times New Roman"/>
                <w:b/>
                <w:bCs/>
                <w:color w:val="000000"/>
                <w:sz w:val="18"/>
                <w:szCs w:val="18"/>
                <w:lang w:eastAsia="sk-SK"/>
              </w:rPr>
              <w:t>11 911</w:t>
            </w:r>
          </w:p>
        </w:tc>
        <w:tc>
          <w:tcPr>
            <w:tcW w:w="760" w:type="dxa"/>
            <w:tcBorders>
              <w:top w:val="single" w:sz="4" w:space="0" w:color="auto"/>
              <w:left w:val="nil"/>
              <w:bottom w:val="single" w:sz="8" w:space="0" w:color="auto"/>
              <w:right w:val="nil"/>
            </w:tcBorders>
            <w:shd w:val="clear" w:color="000000" w:fill="FFFFFF"/>
            <w:noWrap/>
            <w:vAlign w:val="center"/>
            <w:hideMark/>
          </w:tcPr>
          <w:p w14:paraId="729B9B5C" w14:textId="77777777" w:rsidR="00A57E96" w:rsidRPr="006F19FB" w:rsidRDefault="00A57E96" w:rsidP="00B768D9">
            <w:pPr>
              <w:spacing w:after="0" w:line="240" w:lineRule="auto"/>
              <w:jc w:val="right"/>
              <w:rPr>
                <w:rFonts w:eastAsia="Times New Roman" w:cs="Times New Roman"/>
                <w:b/>
                <w:bCs/>
                <w:color w:val="000000"/>
                <w:sz w:val="18"/>
                <w:szCs w:val="18"/>
                <w:lang w:eastAsia="sk-SK"/>
              </w:rPr>
            </w:pPr>
            <w:r w:rsidRPr="006F19FB">
              <w:rPr>
                <w:rFonts w:eastAsia="Times New Roman" w:cs="Times New Roman"/>
                <w:b/>
                <w:bCs/>
                <w:color w:val="000000"/>
                <w:sz w:val="18"/>
                <w:szCs w:val="18"/>
                <w:lang w:eastAsia="sk-SK"/>
              </w:rPr>
              <w:t>3,4</w:t>
            </w:r>
          </w:p>
        </w:tc>
      </w:tr>
    </w:tbl>
    <w:p w14:paraId="6F8E0CAA" w14:textId="484E19B3" w:rsidR="00A57E96" w:rsidRPr="006F19FB" w:rsidRDefault="00A57E96" w:rsidP="00F16AE0">
      <w:pPr>
        <w:tabs>
          <w:tab w:val="left" w:pos="284"/>
        </w:tabs>
        <w:spacing w:line="240" w:lineRule="auto"/>
        <w:jc w:val="right"/>
        <w:rPr>
          <w:color w:val="FF0000"/>
          <w:sz w:val="24"/>
          <w:szCs w:val="24"/>
        </w:rPr>
      </w:pPr>
      <w:r>
        <w:tab/>
      </w:r>
      <w:r>
        <w:tab/>
      </w:r>
      <w:r>
        <w:tab/>
      </w:r>
      <w:r>
        <w:tab/>
      </w:r>
      <w:r>
        <w:tab/>
      </w:r>
      <w:r>
        <w:tab/>
      </w:r>
      <w:r>
        <w:tab/>
      </w:r>
      <w:r>
        <w:tab/>
      </w:r>
      <w:r>
        <w:tab/>
      </w:r>
      <w:r>
        <w:tab/>
      </w:r>
      <w:r>
        <w:tab/>
      </w:r>
      <w:r>
        <w:rPr>
          <w:rFonts w:eastAsia="Times New Roman" w:cs="Times New Roman"/>
          <w:color w:val="000000"/>
          <w:sz w:val="20"/>
          <w:szCs w:val="20"/>
          <w:lang w:eastAsia="sk-SK"/>
        </w:rPr>
        <w:t>Zdroj: MF SR</w:t>
      </w:r>
    </w:p>
    <w:p w14:paraId="3788C1CE" w14:textId="3FC146A4" w:rsidR="00A57E96" w:rsidRPr="00F43435" w:rsidRDefault="00A57E96" w:rsidP="00A57E96">
      <w:pPr>
        <w:tabs>
          <w:tab w:val="left" w:pos="284"/>
        </w:tabs>
        <w:spacing w:line="240" w:lineRule="auto"/>
        <w:rPr>
          <w:color w:val="000000" w:themeColor="text1"/>
          <w:sz w:val="24"/>
          <w:szCs w:val="24"/>
        </w:rPr>
      </w:pPr>
      <w:r w:rsidRPr="00DD02A9">
        <w:rPr>
          <w:color w:val="000000" w:themeColor="text1"/>
          <w:sz w:val="24"/>
          <w:szCs w:val="24"/>
        </w:rPr>
        <w:t xml:space="preserve">V rámci tejto kategórie dosiahli najvyšší príjem </w:t>
      </w:r>
      <w:r w:rsidRPr="00DD02A9">
        <w:rPr>
          <w:b/>
          <w:i/>
          <w:color w:val="000000" w:themeColor="text1"/>
          <w:sz w:val="24"/>
          <w:szCs w:val="24"/>
        </w:rPr>
        <w:t>ostatné administratívne poplatky</w:t>
      </w:r>
      <w:r w:rsidRPr="00DD02A9">
        <w:rPr>
          <w:color w:val="000000" w:themeColor="text1"/>
          <w:sz w:val="24"/>
          <w:szCs w:val="24"/>
        </w:rPr>
        <w:t xml:space="preserve">, a to čiastku 192 415 tis. eur, z toho rozhodujúca suma 177 985 tis. eur plynula do rozpočtu kapitoly Všeobecná pokladničná správa, </w:t>
      </w:r>
      <w:r w:rsidRPr="00F43435">
        <w:rPr>
          <w:color w:val="000000" w:themeColor="text1"/>
          <w:sz w:val="24"/>
          <w:szCs w:val="24"/>
        </w:rPr>
        <w:t xml:space="preserve">z ktorej 163 162 tis. eur tvorili správne poplatky platené prostredníctvom systému e-Kolok a prostredníctvom integrovaných obslužných miest. </w:t>
      </w:r>
      <w:r>
        <w:rPr>
          <w:color w:val="000000" w:themeColor="text1"/>
          <w:sz w:val="24"/>
          <w:szCs w:val="24"/>
        </w:rPr>
        <w:t>Všeobecná pokladničná správa zároveň na tejto podpoložke dosiahla najvyšší výpadok príjmov v rámci celkových administratívnych poplatkov, a to 10 015 tis</w:t>
      </w:r>
      <w:r w:rsidR="00130DE8">
        <w:rPr>
          <w:color w:val="000000" w:themeColor="text1"/>
          <w:sz w:val="24"/>
          <w:szCs w:val="24"/>
        </w:rPr>
        <w:t>. eur z dôvodu že výšku týchto príjmov nie je možné dopredu odhadnúť nakoľko závis</w:t>
      </w:r>
      <w:r w:rsidR="005D50E0">
        <w:rPr>
          <w:color w:val="000000" w:themeColor="text1"/>
          <w:sz w:val="24"/>
          <w:szCs w:val="24"/>
        </w:rPr>
        <w:t>í</w:t>
      </w:r>
      <w:r w:rsidR="00130DE8">
        <w:rPr>
          <w:color w:val="000000" w:themeColor="text1"/>
          <w:sz w:val="24"/>
          <w:szCs w:val="24"/>
        </w:rPr>
        <w:t xml:space="preserve"> od počtu jednotlivých aktov konania v priebehu roka.</w:t>
      </w:r>
    </w:p>
    <w:p w14:paraId="147FD2FB" w14:textId="77777777" w:rsidR="00A57E96" w:rsidRPr="00A80AD9" w:rsidRDefault="00A57E96" w:rsidP="00A57E96">
      <w:pPr>
        <w:tabs>
          <w:tab w:val="left" w:pos="284"/>
        </w:tabs>
        <w:spacing w:line="240" w:lineRule="auto"/>
        <w:rPr>
          <w:rFonts w:cs="Times New Roman"/>
          <w:color w:val="000000" w:themeColor="text1"/>
          <w:sz w:val="24"/>
          <w:szCs w:val="24"/>
        </w:rPr>
      </w:pPr>
      <w:r w:rsidRPr="00A80AD9">
        <w:rPr>
          <w:b/>
          <w:i/>
          <w:color w:val="000000" w:themeColor="text1"/>
          <w:sz w:val="24"/>
          <w:szCs w:val="24"/>
        </w:rPr>
        <w:t>Súdne poplatky</w:t>
      </w:r>
      <w:r w:rsidRPr="00A80AD9">
        <w:rPr>
          <w:color w:val="000000" w:themeColor="text1"/>
          <w:sz w:val="24"/>
          <w:szCs w:val="24"/>
        </w:rPr>
        <w:t xml:space="preserve"> dosiahli skutočné plnenie vo výške 30 518 tis. eur a takmer v celej výške (30 508 tis. eur) boli príjmom kapitoly Všeobecná pokladničná správa. </w:t>
      </w:r>
      <w:r w:rsidRPr="00A80AD9">
        <w:rPr>
          <w:rFonts w:cs="Times New Roman"/>
          <w:color w:val="000000" w:themeColor="text1"/>
          <w:sz w:val="24"/>
          <w:szCs w:val="24"/>
        </w:rPr>
        <w:t xml:space="preserve">V roku 2023 sa takmer všetky súdne poplatky platili prostredníctvom systému e-Kolok, tak ako aj všetky ostatné administratívne poplatky. </w:t>
      </w:r>
    </w:p>
    <w:p w14:paraId="373EBC82" w14:textId="1FE5E535" w:rsidR="008376A4" w:rsidRPr="008376A4" w:rsidRDefault="00A57E96" w:rsidP="008376A4">
      <w:pPr>
        <w:spacing w:line="240" w:lineRule="auto"/>
        <w:rPr>
          <w:color w:val="000000" w:themeColor="text1"/>
          <w:sz w:val="24"/>
          <w:szCs w:val="24"/>
        </w:rPr>
      </w:pPr>
      <w:r w:rsidRPr="008F0247">
        <w:rPr>
          <w:b/>
          <w:i/>
          <w:color w:val="000000" w:themeColor="text1"/>
          <w:sz w:val="24"/>
          <w:szCs w:val="24"/>
        </w:rPr>
        <w:t xml:space="preserve">Pokuty, penále a iné sankcie </w:t>
      </w:r>
      <w:r w:rsidRPr="008F0247">
        <w:rPr>
          <w:color w:val="000000" w:themeColor="text1"/>
          <w:sz w:val="24"/>
          <w:szCs w:val="24"/>
        </w:rPr>
        <w:t xml:space="preserve">dosiahli sumu 79 058 tis. eur a sú vyrubované zo strany štátnych úradov najmä v súvislosti s porušením daňových, colných, cenových a ostatných predpisov. </w:t>
      </w:r>
      <w:r w:rsidRPr="00610AA2">
        <w:rPr>
          <w:color w:val="000000" w:themeColor="text1"/>
          <w:sz w:val="24"/>
          <w:szCs w:val="24"/>
        </w:rPr>
        <w:t xml:space="preserve">Najväčší podiel tvorila kapitola </w:t>
      </w:r>
      <w:r w:rsidRPr="00610AA2">
        <w:rPr>
          <w:color w:val="000000" w:themeColor="text1"/>
          <w:sz w:val="24"/>
          <w:szCs w:val="24"/>
          <w:u w:val="single"/>
        </w:rPr>
        <w:t xml:space="preserve">Ministerstva vnútra SR </w:t>
      </w:r>
      <w:r w:rsidRPr="00610AA2">
        <w:rPr>
          <w:color w:val="000000" w:themeColor="text1"/>
          <w:sz w:val="24"/>
          <w:szCs w:val="24"/>
        </w:rPr>
        <w:t xml:space="preserve">(57 623 tis. eur), </w:t>
      </w:r>
      <w:r w:rsidRPr="00AD7564">
        <w:rPr>
          <w:color w:val="000000" w:themeColor="text1"/>
          <w:sz w:val="24"/>
          <w:szCs w:val="24"/>
        </w:rPr>
        <w:t>kde išlo najmä</w:t>
      </w:r>
      <w:r w:rsidR="003D1DD3">
        <w:rPr>
          <w:color w:val="000000" w:themeColor="text1"/>
          <w:sz w:val="24"/>
          <w:szCs w:val="24"/>
        </w:rPr>
        <w:t xml:space="preserve"> o </w:t>
      </w:r>
      <w:r w:rsidRPr="00AD7564">
        <w:rPr>
          <w:color w:val="000000" w:themeColor="text1"/>
          <w:sz w:val="24"/>
          <w:szCs w:val="24"/>
        </w:rPr>
        <w:t xml:space="preserve">zaplatené alebo vymožené pokuty, ktoré uložili útvary Policajného zboru, okresné úrady, v nižšej miere útvary Hasičského a záchranného zboru a útvary Ministerstva vnútra SR (pokuty v blokovom konaní alebo uložené rozhodnutím 29 269 tis. eur, </w:t>
      </w:r>
      <w:r w:rsidRPr="003C65D3">
        <w:rPr>
          <w:color w:val="000000" w:themeColor="text1"/>
          <w:sz w:val="24"/>
          <w:szCs w:val="24"/>
        </w:rPr>
        <w:t>pokuty za použitie vymedzených úsekov ciest bez úhrady – diaľničná známka 20 584 tis. eur, pokuty za nevykonanie emisnej a technickej kontroly na vozidle 5 274 tis. eur a ďalšie).</w:t>
      </w:r>
      <w:r>
        <w:rPr>
          <w:color w:val="000000" w:themeColor="text1"/>
          <w:sz w:val="24"/>
          <w:szCs w:val="24"/>
        </w:rPr>
        <w:t xml:space="preserve"> Kapitola na tejto položke dosiahla prekročenie schváleného rozpočtu o 14 529 tis. eur, čo je najvyššia suma v rámci celých administratívnych poplatkov.</w:t>
      </w:r>
      <w:r w:rsidR="008376A4">
        <w:rPr>
          <w:color w:val="000000" w:themeColor="text1"/>
          <w:sz w:val="24"/>
          <w:szCs w:val="24"/>
        </w:rPr>
        <w:t xml:space="preserve"> Dôvodom bol </w:t>
      </w:r>
      <w:r w:rsidR="002C02FB">
        <w:rPr>
          <w:color w:val="000000" w:themeColor="text1"/>
          <w:sz w:val="24"/>
          <w:szCs w:val="24"/>
        </w:rPr>
        <w:t>vyšší</w:t>
      </w:r>
      <w:r w:rsidR="008376A4">
        <w:rPr>
          <w:color w:val="000000" w:themeColor="text1"/>
          <w:sz w:val="24"/>
          <w:szCs w:val="24"/>
        </w:rPr>
        <w:t xml:space="preserve"> výber pokút, najmä </w:t>
      </w:r>
      <w:r w:rsidR="008376A4" w:rsidRPr="008376A4">
        <w:rPr>
          <w:color w:val="000000" w:themeColor="text1"/>
          <w:sz w:val="24"/>
          <w:szCs w:val="24"/>
        </w:rPr>
        <w:t>nárast pri pokutách z objektívnej zodpovednosti - di</w:t>
      </w:r>
      <w:r w:rsidR="003D16A9">
        <w:rPr>
          <w:color w:val="000000" w:themeColor="text1"/>
          <w:sz w:val="24"/>
          <w:szCs w:val="24"/>
        </w:rPr>
        <w:t>aľničné známky predstavoval 5,5 mil. </w:t>
      </w:r>
      <w:r w:rsidR="008376A4" w:rsidRPr="008376A4">
        <w:rPr>
          <w:color w:val="000000" w:themeColor="text1"/>
          <w:sz w:val="24"/>
          <w:szCs w:val="24"/>
        </w:rPr>
        <w:t xml:space="preserve">eur a pri pokutách z objektívnej zodpovednosti – emisná a technická kontrola </w:t>
      </w:r>
      <w:r w:rsidR="003D16A9">
        <w:rPr>
          <w:color w:val="000000" w:themeColor="text1"/>
          <w:sz w:val="24"/>
          <w:szCs w:val="24"/>
        </w:rPr>
        <w:t>nárast o 2 mil. </w:t>
      </w:r>
      <w:r w:rsidR="008376A4" w:rsidRPr="008376A4">
        <w:rPr>
          <w:color w:val="000000" w:themeColor="text1"/>
          <w:sz w:val="24"/>
          <w:szCs w:val="24"/>
        </w:rPr>
        <w:t xml:space="preserve">eur. </w:t>
      </w:r>
    </w:p>
    <w:p w14:paraId="1A2026A5" w14:textId="77777777" w:rsidR="00A57E96" w:rsidRPr="003C7BEB" w:rsidRDefault="00A57E96" w:rsidP="00A57E96">
      <w:pPr>
        <w:spacing w:line="240" w:lineRule="auto"/>
        <w:rPr>
          <w:color w:val="000000" w:themeColor="text1"/>
          <w:sz w:val="24"/>
          <w:szCs w:val="24"/>
        </w:rPr>
      </w:pPr>
      <w:r w:rsidRPr="003C7BEB">
        <w:rPr>
          <w:color w:val="000000" w:themeColor="text1"/>
          <w:sz w:val="24"/>
          <w:szCs w:val="24"/>
          <w:u w:val="single"/>
        </w:rPr>
        <w:t>Ministerstvo práce, sociálnych vecí a rodiny SR</w:t>
      </w:r>
      <w:r w:rsidRPr="003C7BEB">
        <w:rPr>
          <w:color w:val="000000" w:themeColor="text1"/>
          <w:sz w:val="24"/>
          <w:szCs w:val="24"/>
        </w:rPr>
        <w:t xml:space="preserve"> prijalo za porušenie predpisov sumu 5 921 tis. eur vo forme blokových pokút a pokút za porušovanie pracovnoprávnych predpisov a </w:t>
      </w:r>
      <w:r w:rsidRPr="003C7BEB">
        <w:rPr>
          <w:color w:val="000000" w:themeColor="text1"/>
          <w:sz w:val="24"/>
          <w:szCs w:val="24"/>
        </w:rPr>
        <w:lastRenderedPageBreak/>
        <w:t>predpisov na zaistenie bezpečnosti a ochrany zdravia pri práci (ukladané najmä inšpektorátmi práce) a odvodov za neplnenie povinného podielu zamestnávania občanov so zdravotným postihnutím podľa § 65 zákona č. 5/2004 Z. z. o službách zamestnanosti.</w:t>
      </w:r>
    </w:p>
    <w:p w14:paraId="5E7748AE" w14:textId="77777777" w:rsidR="00A57E96" w:rsidRPr="008C327B" w:rsidRDefault="00A57E96" w:rsidP="00A57E96">
      <w:pPr>
        <w:spacing w:line="240" w:lineRule="auto"/>
        <w:rPr>
          <w:color w:val="000000" w:themeColor="text1"/>
          <w:sz w:val="24"/>
          <w:szCs w:val="24"/>
        </w:rPr>
      </w:pPr>
      <w:r w:rsidRPr="00C52054">
        <w:rPr>
          <w:color w:val="000000" w:themeColor="text1"/>
          <w:sz w:val="24"/>
          <w:szCs w:val="24"/>
          <w:u w:val="single"/>
        </w:rPr>
        <w:t>Ministerstvo pôdohospodárstva a rozvoja vidieka SR</w:t>
      </w:r>
      <w:r w:rsidRPr="00C52054">
        <w:rPr>
          <w:color w:val="000000" w:themeColor="text1"/>
          <w:sz w:val="24"/>
          <w:szCs w:val="24"/>
        </w:rPr>
        <w:t xml:space="preserve"> získalo príjmy za porušenie predpisov v celkovej výške 2 962 tis. eur.</w:t>
      </w:r>
      <w:r w:rsidRPr="001F0656">
        <w:rPr>
          <w:color w:val="FF0000"/>
          <w:sz w:val="24"/>
          <w:szCs w:val="24"/>
        </w:rPr>
        <w:t xml:space="preserve"> </w:t>
      </w:r>
      <w:r w:rsidRPr="0046470C">
        <w:rPr>
          <w:color w:val="000000" w:themeColor="text1"/>
          <w:sz w:val="24"/>
          <w:szCs w:val="24"/>
        </w:rPr>
        <w:t xml:space="preserve">Najväčší objem príjmov dosiahla Štátna veterinárna a potravinová správa SR z pokút, ktoré boli uložené prevádzkovateľom v obchodných sieťach (2 672 tis. eur). </w:t>
      </w:r>
      <w:r w:rsidRPr="008C327B">
        <w:rPr>
          <w:sz w:val="24"/>
          <w:szCs w:val="24"/>
        </w:rPr>
        <w:t>Ostatné príjmy na uvedenej podpoložke tvoria príjmy z pokút Ústredného kontrolného a skúšobného ústavu poľnohospodárskeho</w:t>
      </w:r>
      <w:r>
        <w:rPr>
          <w:sz w:val="24"/>
          <w:szCs w:val="24"/>
        </w:rPr>
        <w:t xml:space="preserve">, Plemenárskej inšpekcie SR </w:t>
      </w:r>
      <w:r w:rsidRPr="008C327B">
        <w:rPr>
          <w:sz w:val="24"/>
          <w:szCs w:val="24"/>
        </w:rPr>
        <w:t>a Slovenskej lesnícko-drevárskej inšpekcie.</w:t>
      </w:r>
    </w:p>
    <w:p w14:paraId="212C12A8" w14:textId="77777777" w:rsidR="00A57E96" w:rsidRPr="006C1E28" w:rsidRDefault="00A57E96" w:rsidP="00A57E96">
      <w:pPr>
        <w:spacing w:line="240" w:lineRule="auto"/>
        <w:rPr>
          <w:color w:val="000000" w:themeColor="text1"/>
          <w:sz w:val="24"/>
          <w:szCs w:val="24"/>
        </w:rPr>
      </w:pPr>
      <w:r w:rsidRPr="006C1E28">
        <w:rPr>
          <w:color w:val="000000" w:themeColor="text1"/>
          <w:sz w:val="24"/>
          <w:szCs w:val="24"/>
        </w:rPr>
        <w:t>Významnejšie sumy</w:t>
      </w:r>
      <w:r>
        <w:rPr>
          <w:color w:val="000000" w:themeColor="text1"/>
          <w:sz w:val="24"/>
          <w:szCs w:val="24"/>
        </w:rPr>
        <w:t xml:space="preserve"> ešte vykázali kapitoly Všeobecná pokladničná správa 2 016 tis. eur, Úrad pre verejné obstarávanie 1 982 tis. eur a Ministerstvo hospodárstva SR 1 659 tis. eur.</w:t>
      </w:r>
    </w:p>
    <w:p w14:paraId="32D46989" w14:textId="77777777" w:rsidR="00A57E96" w:rsidRPr="000B3A1C" w:rsidRDefault="00A57E96" w:rsidP="00A57E96">
      <w:pPr>
        <w:spacing w:line="240" w:lineRule="auto"/>
        <w:rPr>
          <w:rFonts w:cs="Times New Roman"/>
          <w:color w:val="000000" w:themeColor="text1"/>
          <w:sz w:val="24"/>
          <w:szCs w:val="24"/>
        </w:rPr>
      </w:pPr>
      <w:r w:rsidRPr="00C33FB8">
        <w:rPr>
          <w:b/>
          <w:i/>
          <w:color w:val="000000" w:themeColor="text1"/>
          <w:sz w:val="24"/>
          <w:szCs w:val="24"/>
        </w:rPr>
        <w:t>Poplatky a platby z nepriemyselného a náhodného predaja</w:t>
      </w:r>
      <w:r w:rsidRPr="00C33FB8">
        <w:rPr>
          <w:color w:val="000000" w:themeColor="text1"/>
          <w:sz w:val="24"/>
          <w:szCs w:val="24"/>
        </w:rPr>
        <w:t xml:space="preserve"> prijali kapitoly v celkovej čiastke 63 232 tis. eur, </w:t>
      </w:r>
      <w:r w:rsidRPr="002F58F1">
        <w:rPr>
          <w:color w:val="000000" w:themeColor="text1"/>
          <w:sz w:val="24"/>
          <w:szCs w:val="24"/>
        </w:rPr>
        <w:t>z toho takmer v celej výške za predaj výrobkov, tovarov a služieb (60 692</w:t>
      </w:r>
      <w:r>
        <w:rPr>
          <w:color w:val="000000" w:themeColor="text1"/>
          <w:sz w:val="24"/>
          <w:szCs w:val="24"/>
        </w:rPr>
        <w:t xml:space="preserve"> tis. eur). </w:t>
      </w:r>
      <w:r w:rsidRPr="00852618">
        <w:rPr>
          <w:color w:val="000000" w:themeColor="text1"/>
          <w:sz w:val="24"/>
          <w:szCs w:val="24"/>
        </w:rPr>
        <w:t xml:space="preserve">Najvyššiu čiastku získalo </w:t>
      </w:r>
      <w:r w:rsidRPr="007C5B8E">
        <w:rPr>
          <w:color w:val="000000" w:themeColor="text1"/>
          <w:sz w:val="24"/>
          <w:szCs w:val="24"/>
          <w:u w:val="single"/>
        </w:rPr>
        <w:t>Ministerstvo spravodlivosti SR</w:t>
      </w:r>
      <w:r>
        <w:rPr>
          <w:color w:val="000000" w:themeColor="text1"/>
          <w:sz w:val="24"/>
          <w:szCs w:val="24"/>
          <w:u w:val="single"/>
        </w:rPr>
        <w:t>,</w:t>
      </w:r>
      <w:r w:rsidRPr="007C5B8E">
        <w:rPr>
          <w:color w:val="000000" w:themeColor="text1"/>
          <w:sz w:val="24"/>
          <w:szCs w:val="24"/>
        </w:rPr>
        <w:t xml:space="preserve"> </w:t>
      </w:r>
      <w:r>
        <w:rPr>
          <w:color w:val="000000" w:themeColor="text1"/>
          <w:sz w:val="24"/>
          <w:szCs w:val="24"/>
        </w:rPr>
        <w:t>a to</w:t>
      </w:r>
      <w:r w:rsidRPr="007C5B8E">
        <w:rPr>
          <w:color w:val="000000" w:themeColor="text1"/>
          <w:sz w:val="24"/>
          <w:szCs w:val="24"/>
        </w:rPr>
        <w:t xml:space="preserve"> 22 219 tis. eur. </w:t>
      </w:r>
      <w:r w:rsidRPr="0006493C">
        <w:rPr>
          <w:color w:val="000000" w:themeColor="text1"/>
          <w:sz w:val="24"/>
          <w:szCs w:val="24"/>
        </w:rPr>
        <w:t xml:space="preserve">Išlo o </w:t>
      </w:r>
      <w:r w:rsidRPr="0006493C">
        <w:rPr>
          <w:rFonts w:cs="Times New Roman"/>
          <w:color w:val="000000" w:themeColor="text1"/>
          <w:sz w:val="24"/>
          <w:szCs w:val="24"/>
        </w:rPr>
        <w:t>príjmy Zboru väzenskej a justičnej stráže z vedľajšieho hospodárstva – drevovýroba, kovovýroba, krajčírske práce, pomocné práce, upratovanie</w:t>
      </w:r>
      <w:r>
        <w:rPr>
          <w:rFonts w:cs="Times New Roman"/>
          <w:color w:val="000000" w:themeColor="text1"/>
          <w:sz w:val="24"/>
          <w:szCs w:val="24"/>
        </w:rPr>
        <w:t xml:space="preserve"> a čistenie, montážne práce pre </w:t>
      </w:r>
      <w:r w:rsidRPr="0006493C">
        <w:rPr>
          <w:rFonts w:cs="Times New Roman"/>
          <w:color w:val="000000" w:themeColor="text1"/>
          <w:sz w:val="24"/>
          <w:szCs w:val="24"/>
        </w:rPr>
        <w:t>automobilový priemysel ako aj poľnohospodárske práce a</w:t>
      </w:r>
      <w:r>
        <w:rPr>
          <w:rFonts w:cs="Times New Roman"/>
          <w:color w:val="000000" w:themeColor="text1"/>
          <w:sz w:val="24"/>
          <w:szCs w:val="24"/>
        </w:rPr>
        <w:t> </w:t>
      </w:r>
      <w:r w:rsidRPr="0006493C">
        <w:rPr>
          <w:rFonts w:cs="Times New Roman"/>
          <w:color w:val="000000" w:themeColor="text1"/>
          <w:sz w:val="24"/>
          <w:szCs w:val="24"/>
        </w:rPr>
        <w:t>výroba</w:t>
      </w:r>
      <w:r w:rsidRPr="00323555">
        <w:rPr>
          <w:rFonts w:cs="Times New Roman"/>
          <w:color w:val="000000" w:themeColor="text1"/>
          <w:sz w:val="24"/>
          <w:szCs w:val="24"/>
        </w:rPr>
        <w:t>.</w:t>
      </w:r>
      <w:r w:rsidRPr="001F0656">
        <w:rPr>
          <w:rFonts w:cs="Times New Roman"/>
          <w:color w:val="FF0000"/>
          <w:sz w:val="24"/>
          <w:szCs w:val="24"/>
        </w:rPr>
        <w:t xml:space="preserve"> </w:t>
      </w:r>
      <w:r>
        <w:rPr>
          <w:rFonts w:cs="Times New Roman"/>
          <w:color w:val="000000" w:themeColor="text1"/>
          <w:sz w:val="24"/>
          <w:szCs w:val="24"/>
        </w:rPr>
        <w:t>Ďalšie príjmy plynuli za </w:t>
      </w:r>
      <w:r w:rsidRPr="00323555">
        <w:rPr>
          <w:rFonts w:cs="Times New Roman"/>
          <w:color w:val="000000" w:themeColor="text1"/>
          <w:sz w:val="24"/>
          <w:szCs w:val="24"/>
        </w:rPr>
        <w:t>zdravotnícke výkony Nemocnice pre o</w:t>
      </w:r>
      <w:r>
        <w:rPr>
          <w:rFonts w:cs="Times New Roman"/>
          <w:color w:val="000000" w:themeColor="text1"/>
          <w:sz w:val="24"/>
          <w:szCs w:val="24"/>
        </w:rPr>
        <w:t xml:space="preserve">bvinených a odsúdených Trenčín, </w:t>
      </w:r>
      <w:r w:rsidRPr="000B3A1C">
        <w:rPr>
          <w:rFonts w:cs="Times New Roman"/>
          <w:color w:val="000000" w:themeColor="text1"/>
          <w:sz w:val="24"/>
          <w:szCs w:val="24"/>
        </w:rPr>
        <w:t>z rehabilitačných a rekreačných služieb, predaja tovarov v bufete ústavov. V civilnej časti kapitoly príjmy vznikali najmä pri výkone súdnictva za poskytnuté právne služby a z prevádzkovej činnosti.</w:t>
      </w:r>
    </w:p>
    <w:p w14:paraId="19E17095" w14:textId="3C43DFBC" w:rsidR="00A57E96" w:rsidRPr="006E7988" w:rsidRDefault="00A57E96" w:rsidP="00A57E96">
      <w:pPr>
        <w:spacing w:line="240" w:lineRule="auto"/>
        <w:rPr>
          <w:color w:val="000000" w:themeColor="text1"/>
          <w:sz w:val="24"/>
          <w:szCs w:val="24"/>
        </w:rPr>
      </w:pPr>
      <w:r w:rsidRPr="00852618">
        <w:rPr>
          <w:color w:val="000000" w:themeColor="text1"/>
          <w:sz w:val="24"/>
          <w:szCs w:val="24"/>
          <w:u w:val="single"/>
        </w:rPr>
        <w:t>Ministerstvo dopravy SR</w:t>
      </w:r>
      <w:r>
        <w:rPr>
          <w:color w:val="000000" w:themeColor="text1"/>
          <w:sz w:val="24"/>
          <w:szCs w:val="24"/>
        </w:rPr>
        <w:t xml:space="preserve"> dosiahlo príjmy v sume </w:t>
      </w:r>
      <w:r w:rsidRPr="00852618">
        <w:rPr>
          <w:color w:val="000000" w:themeColor="text1"/>
          <w:sz w:val="24"/>
          <w:szCs w:val="24"/>
        </w:rPr>
        <w:t xml:space="preserve">20 667 tis. eur, </w:t>
      </w:r>
      <w:r w:rsidRPr="00601959">
        <w:rPr>
          <w:color w:val="000000" w:themeColor="text1"/>
          <w:sz w:val="24"/>
          <w:szCs w:val="24"/>
        </w:rPr>
        <w:t>čo bolo o 4 192 tis. eur menej oproti schválenému rozpočtu</w:t>
      </w:r>
      <w:r>
        <w:rPr>
          <w:color w:val="000000" w:themeColor="text1"/>
          <w:sz w:val="24"/>
          <w:szCs w:val="24"/>
        </w:rPr>
        <w:t xml:space="preserve">. </w:t>
      </w:r>
      <w:r w:rsidRPr="008769DA">
        <w:rPr>
          <w:color w:val="000000" w:themeColor="text1"/>
          <w:sz w:val="24"/>
          <w:szCs w:val="24"/>
        </w:rPr>
        <w:t xml:space="preserve">K nižšiemu plneniu príjmov </w:t>
      </w:r>
      <w:r>
        <w:rPr>
          <w:color w:val="000000" w:themeColor="text1"/>
          <w:sz w:val="24"/>
          <w:szCs w:val="24"/>
        </w:rPr>
        <w:t>prišlo najmä z dôvodu, že Úrad pre </w:t>
      </w:r>
      <w:r w:rsidRPr="008769DA">
        <w:rPr>
          <w:color w:val="000000" w:themeColor="text1"/>
          <w:sz w:val="24"/>
          <w:szCs w:val="24"/>
        </w:rPr>
        <w:t>reguláciu elektronických komunikácii a poštových služieb mal v roku 2023 zrealizovať výberové konanie na vydanie individuálnych povolení na používanie frekvencií z frekvenčného pásma 900 MHz a 2100 MHz formou elektronickej aukcie, pričom jeho začatie bolo plánované na IV. kvartál roku 2023. Posunom realizácie aukcie do roku</w:t>
      </w:r>
      <w:r>
        <w:rPr>
          <w:color w:val="000000" w:themeColor="text1"/>
          <w:sz w:val="24"/>
          <w:szCs w:val="24"/>
        </w:rPr>
        <w:t xml:space="preserve"> 2024 došlo k výpadku príjmov z </w:t>
      </w:r>
      <w:r w:rsidRPr="008769DA">
        <w:rPr>
          <w:color w:val="000000" w:themeColor="text1"/>
          <w:sz w:val="24"/>
          <w:szCs w:val="24"/>
        </w:rPr>
        <w:t xml:space="preserve">úhrad finančnej zábezpeky, ktorá sa mala po nadobudnutí právoplatnosti individuálnych povolení stať príjmom štátneho rozpočtu. </w:t>
      </w:r>
      <w:r>
        <w:rPr>
          <w:color w:val="000000" w:themeColor="text1"/>
          <w:sz w:val="24"/>
          <w:szCs w:val="24"/>
        </w:rPr>
        <w:t>Z celkovo dosiahnutých príjmov kapitoly n</w:t>
      </w:r>
      <w:r w:rsidRPr="006E7988">
        <w:rPr>
          <w:color w:val="000000" w:themeColor="text1"/>
          <w:sz w:val="24"/>
          <w:szCs w:val="24"/>
        </w:rPr>
        <w:t xml:space="preserve">ajväčšiu časť tvorili príjmy Úradu pre reguláciu elektronických komunikácii a poštových služieb spolu </w:t>
      </w:r>
      <w:r>
        <w:rPr>
          <w:color w:val="000000" w:themeColor="text1"/>
          <w:sz w:val="24"/>
          <w:szCs w:val="24"/>
        </w:rPr>
        <w:t>v sume 15 </w:t>
      </w:r>
      <w:r w:rsidRPr="006E7988">
        <w:rPr>
          <w:color w:val="000000" w:themeColor="text1"/>
          <w:sz w:val="24"/>
          <w:szCs w:val="24"/>
        </w:rPr>
        <w:t>2</w:t>
      </w:r>
      <w:r>
        <w:rPr>
          <w:color w:val="000000" w:themeColor="text1"/>
          <w:sz w:val="24"/>
          <w:szCs w:val="24"/>
        </w:rPr>
        <w:t>50 tis. eur (</w:t>
      </w:r>
      <w:r w:rsidRPr="006E7988">
        <w:rPr>
          <w:color w:val="000000" w:themeColor="text1"/>
          <w:sz w:val="24"/>
          <w:szCs w:val="24"/>
        </w:rPr>
        <w:t xml:space="preserve">príjmy za správu frekvencií </w:t>
      </w:r>
      <w:r>
        <w:rPr>
          <w:color w:val="000000" w:themeColor="text1"/>
          <w:sz w:val="24"/>
          <w:szCs w:val="24"/>
        </w:rPr>
        <w:t>13 209 tis. </w:t>
      </w:r>
      <w:r w:rsidRPr="006E7988">
        <w:rPr>
          <w:color w:val="000000" w:themeColor="text1"/>
          <w:sz w:val="24"/>
          <w:szCs w:val="24"/>
        </w:rPr>
        <w:t>eur a príjmy za reguláciu elektronických komunikácií 2</w:t>
      </w:r>
      <w:r>
        <w:rPr>
          <w:color w:val="000000" w:themeColor="text1"/>
          <w:sz w:val="24"/>
          <w:szCs w:val="24"/>
        </w:rPr>
        <w:t> </w:t>
      </w:r>
      <w:r w:rsidRPr="006E7988">
        <w:rPr>
          <w:color w:val="000000" w:themeColor="text1"/>
          <w:sz w:val="24"/>
          <w:szCs w:val="24"/>
        </w:rPr>
        <w:t>04</w:t>
      </w:r>
      <w:r>
        <w:rPr>
          <w:color w:val="000000" w:themeColor="text1"/>
          <w:sz w:val="24"/>
          <w:szCs w:val="24"/>
        </w:rPr>
        <w:t>1 tis. eur). Sumu 5 </w:t>
      </w:r>
      <w:r w:rsidRPr="006E7988">
        <w:rPr>
          <w:color w:val="000000" w:themeColor="text1"/>
          <w:sz w:val="24"/>
          <w:szCs w:val="24"/>
        </w:rPr>
        <w:t>29</w:t>
      </w:r>
      <w:r>
        <w:rPr>
          <w:color w:val="000000" w:themeColor="text1"/>
          <w:sz w:val="24"/>
          <w:szCs w:val="24"/>
        </w:rPr>
        <w:t>6 tis. </w:t>
      </w:r>
      <w:r w:rsidRPr="006E7988">
        <w:rPr>
          <w:color w:val="000000" w:themeColor="text1"/>
          <w:sz w:val="24"/>
          <w:szCs w:val="24"/>
        </w:rPr>
        <w:t xml:space="preserve">eur </w:t>
      </w:r>
      <w:r>
        <w:rPr>
          <w:color w:val="000000" w:themeColor="text1"/>
          <w:sz w:val="24"/>
          <w:szCs w:val="24"/>
        </w:rPr>
        <w:t>tvorili</w:t>
      </w:r>
      <w:r w:rsidRPr="006E7988">
        <w:rPr>
          <w:color w:val="000000" w:themeColor="text1"/>
          <w:sz w:val="24"/>
          <w:szCs w:val="24"/>
        </w:rPr>
        <w:t xml:space="preserve"> výno</w:t>
      </w:r>
      <w:r>
        <w:rPr>
          <w:color w:val="000000" w:themeColor="text1"/>
          <w:sz w:val="24"/>
          <w:szCs w:val="24"/>
        </w:rPr>
        <w:t>sy z mýta na </w:t>
      </w:r>
      <w:r w:rsidRPr="006E7988">
        <w:rPr>
          <w:color w:val="000000" w:themeColor="text1"/>
          <w:sz w:val="24"/>
          <w:szCs w:val="24"/>
        </w:rPr>
        <w:t xml:space="preserve">koncesných cestách od Národnej diaľničnej spoločnosti, </w:t>
      </w:r>
      <w:proofErr w:type="spellStart"/>
      <w:r w:rsidRPr="006E7988">
        <w:rPr>
          <w:color w:val="000000" w:themeColor="text1"/>
          <w:sz w:val="24"/>
          <w:szCs w:val="24"/>
        </w:rPr>
        <w:t>a.s</w:t>
      </w:r>
      <w:proofErr w:type="spellEnd"/>
      <w:r w:rsidRPr="006E7988">
        <w:rPr>
          <w:color w:val="000000" w:themeColor="text1"/>
          <w:sz w:val="24"/>
          <w:szCs w:val="24"/>
        </w:rPr>
        <w:t>.</w:t>
      </w:r>
    </w:p>
    <w:p w14:paraId="78A8C65D" w14:textId="77777777" w:rsidR="00A57E96" w:rsidRPr="00B04413" w:rsidRDefault="00A57E96" w:rsidP="00A57E96">
      <w:pPr>
        <w:spacing w:line="240" w:lineRule="auto"/>
        <w:rPr>
          <w:rFonts w:cs="Times New Roman"/>
          <w:color w:val="FF0000"/>
          <w:sz w:val="24"/>
          <w:szCs w:val="24"/>
        </w:rPr>
      </w:pPr>
      <w:r w:rsidRPr="00A6045C">
        <w:rPr>
          <w:rFonts w:cs="Times New Roman"/>
          <w:color w:val="000000" w:themeColor="text1"/>
          <w:sz w:val="24"/>
          <w:szCs w:val="24"/>
          <w:u w:val="single"/>
        </w:rPr>
        <w:t xml:space="preserve">Ministerstvo pôdohospodárstva a rozvoja vidieka SR </w:t>
      </w:r>
      <w:r w:rsidRPr="00A6045C">
        <w:rPr>
          <w:rFonts w:cs="Times New Roman"/>
          <w:color w:val="000000" w:themeColor="text1"/>
          <w:sz w:val="24"/>
          <w:szCs w:val="24"/>
        </w:rPr>
        <w:t>dosiahlo na tejto podpoložke celkové príjmy 4 895</w:t>
      </w:r>
      <w:r>
        <w:rPr>
          <w:rFonts w:cs="Times New Roman"/>
          <w:color w:val="000000" w:themeColor="text1"/>
          <w:sz w:val="24"/>
          <w:szCs w:val="24"/>
        </w:rPr>
        <w:t> tis. eur. Išlo o príjmy</w:t>
      </w:r>
      <w:r>
        <w:rPr>
          <w:rFonts w:cs="Times New Roman"/>
          <w:color w:val="FF0000"/>
          <w:sz w:val="24"/>
          <w:szCs w:val="24"/>
        </w:rPr>
        <w:t xml:space="preserve"> </w:t>
      </w:r>
      <w:r>
        <w:rPr>
          <w:rFonts w:cs="Times New Roman"/>
          <w:sz w:val="24"/>
          <w:szCs w:val="24"/>
        </w:rPr>
        <w:t xml:space="preserve">Ústredného kontrolného a </w:t>
      </w:r>
      <w:r w:rsidRPr="00A6045C">
        <w:rPr>
          <w:rFonts w:cs="Times New Roman"/>
          <w:sz w:val="24"/>
          <w:szCs w:val="24"/>
        </w:rPr>
        <w:t>skúšob</w:t>
      </w:r>
      <w:r>
        <w:rPr>
          <w:rFonts w:cs="Times New Roman"/>
          <w:sz w:val="24"/>
          <w:szCs w:val="24"/>
        </w:rPr>
        <w:t xml:space="preserve">ného ústavu poľnohospodárskeho </w:t>
      </w:r>
      <w:r w:rsidRPr="00A6045C">
        <w:rPr>
          <w:rFonts w:cs="Times New Roman"/>
          <w:sz w:val="24"/>
          <w:szCs w:val="24"/>
        </w:rPr>
        <w:t xml:space="preserve">v objeme </w:t>
      </w:r>
      <w:r w:rsidRPr="00C06BEE">
        <w:rPr>
          <w:rFonts w:cs="Times New Roman"/>
          <w:bCs/>
          <w:sz w:val="24"/>
          <w:szCs w:val="24"/>
        </w:rPr>
        <w:t>3</w:t>
      </w:r>
      <w:r>
        <w:rPr>
          <w:rFonts w:cs="Times New Roman"/>
          <w:bCs/>
          <w:sz w:val="24"/>
          <w:szCs w:val="24"/>
        </w:rPr>
        <w:t> </w:t>
      </w:r>
      <w:r w:rsidRPr="00C755F0">
        <w:t>059</w:t>
      </w:r>
      <w:r>
        <w:t> </w:t>
      </w:r>
      <w:r w:rsidRPr="00C755F0">
        <w:t>tis</w:t>
      </w:r>
      <w:r>
        <w:rPr>
          <w:color w:val="000000" w:themeColor="text1"/>
          <w:sz w:val="24"/>
          <w:szCs w:val="24"/>
        </w:rPr>
        <w:t>. </w:t>
      </w:r>
      <w:r w:rsidRPr="006E7988">
        <w:rPr>
          <w:color w:val="000000" w:themeColor="text1"/>
          <w:sz w:val="24"/>
          <w:szCs w:val="24"/>
        </w:rPr>
        <w:t>eur</w:t>
      </w:r>
      <w:r w:rsidRPr="00A6045C">
        <w:rPr>
          <w:rFonts w:cs="Times New Roman"/>
          <w:b/>
          <w:bCs/>
          <w:sz w:val="24"/>
          <w:szCs w:val="24"/>
        </w:rPr>
        <w:t xml:space="preserve"> </w:t>
      </w:r>
      <w:r w:rsidRPr="00A6045C">
        <w:rPr>
          <w:rFonts w:cs="Times New Roman"/>
          <w:sz w:val="24"/>
          <w:szCs w:val="24"/>
        </w:rPr>
        <w:t>(výkony na úseku odrodového skúšobníctva, odboru ochrany rastlín, laboratórne analýzy krm</w:t>
      </w:r>
      <w:r>
        <w:rPr>
          <w:rFonts w:cs="Times New Roman"/>
          <w:sz w:val="24"/>
          <w:szCs w:val="24"/>
        </w:rPr>
        <w:t xml:space="preserve">ív, vína, pôdy a hnojív, osív, sadív) a príjmy </w:t>
      </w:r>
      <w:r w:rsidRPr="00A6045C">
        <w:rPr>
          <w:rFonts w:cs="Times New Roman"/>
          <w:sz w:val="24"/>
          <w:szCs w:val="24"/>
        </w:rPr>
        <w:t>Štátnej veteri</w:t>
      </w:r>
      <w:r>
        <w:rPr>
          <w:rFonts w:cs="Times New Roman"/>
          <w:sz w:val="24"/>
          <w:szCs w:val="24"/>
        </w:rPr>
        <w:t>nárnej a potravinovej správy SR v sume</w:t>
      </w:r>
      <w:r w:rsidRPr="00A6045C">
        <w:rPr>
          <w:rFonts w:cs="Times New Roman"/>
          <w:sz w:val="24"/>
          <w:szCs w:val="24"/>
        </w:rPr>
        <w:t xml:space="preserve"> </w:t>
      </w:r>
      <w:r w:rsidRPr="00C06BEE">
        <w:rPr>
          <w:rFonts w:cs="Times New Roman"/>
          <w:bCs/>
          <w:sz w:val="24"/>
          <w:szCs w:val="24"/>
        </w:rPr>
        <w:t>1 836</w:t>
      </w:r>
      <w:r w:rsidRPr="00A6045C">
        <w:rPr>
          <w:rFonts w:cs="Times New Roman"/>
          <w:b/>
          <w:bCs/>
          <w:sz w:val="24"/>
          <w:szCs w:val="24"/>
        </w:rPr>
        <w:t> </w:t>
      </w:r>
      <w:r>
        <w:rPr>
          <w:color w:val="000000" w:themeColor="text1"/>
          <w:sz w:val="24"/>
          <w:szCs w:val="24"/>
        </w:rPr>
        <w:t>tis. </w:t>
      </w:r>
      <w:r w:rsidRPr="006E7988">
        <w:rPr>
          <w:color w:val="000000" w:themeColor="text1"/>
          <w:sz w:val="24"/>
          <w:szCs w:val="24"/>
        </w:rPr>
        <w:t>eur</w:t>
      </w:r>
      <w:r w:rsidRPr="00A6045C">
        <w:rPr>
          <w:rFonts w:cs="Times New Roman"/>
          <w:b/>
          <w:bCs/>
          <w:sz w:val="24"/>
          <w:szCs w:val="24"/>
        </w:rPr>
        <w:t xml:space="preserve"> </w:t>
      </w:r>
      <w:r w:rsidRPr="00A6045C">
        <w:rPr>
          <w:rFonts w:cs="Times New Roman"/>
          <w:sz w:val="24"/>
          <w:szCs w:val="24"/>
        </w:rPr>
        <w:t>(kontrola potravín rastlinného pôvodu pri vstupe, dodatočná kontrola potravín, veterinárna kontrola zvierat, odber vzoriek a </w:t>
      </w:r>
      <w:r>
        <w:rPr>
          <w:rFonts w:cs="Times New Roman"/>
          <w:sz w:val="24"/>
          <w:szCs w:val="24"/>
        </w:rPr>
        <w:t>ďalšie</w:t>
      </w:r>
      <w:r w:rsidRPr="00A6045C">
        <w:rPr>
          <w:rFonts w:cs="Times New Roman"/>
          <w:sz w:val="24"/>
          <w:szCs w:val="24"/>
        </w:rPr>
        <w:t>)</w:t>
      </w:r>
      <w:r>
        <w:rPr>
          <w:rFonts w:cs="Times New Roman"/>
          <w:sz w:val="24"/>
          <w:szCs w:val="24"/>
        </w:rPr>
        <w:t>.</w:t>
      </w:r>
    </w:p>
    <w:p w14:paraId="7DCECD80" w14:textId="77777777" w:rsidR="00A57E96" w:rsidRPr="00C755F0" w:rsidRDefault="00A57E96" w:rsidP="00A57E96">
      <w:pPr>
        <w:spacing w:line="240" w:lineRule="auto"/>
        <w:rPr>
          <w:rFonts w:cs="Times New Roman"/>
          <w:color w:val="000000" w:themeColor="text1"/>
          <w:sz w:val="24"/>
          <w:szCs w:val="24"/>
        </w:rPr>
      </w:pPr>
      <w:r w:rsidRPr="00F54FD8">
        <w:rPr>
          <w:rFonts w:cs="Times New Roman"/>
          <w:color w:val="000000" w:themeColor="text1"/>
          <w:sz w:val="24"/>
          <w:szCs w:val="24"/>
          <w:u w:val="single"/>
        </w:rPr>
        <w:t>Ministerstvo vnútra SR</w:t>
      </w:r>
      <w:r w:rsidRPr="00F54FD8">
        <w:rPr>
          <w:rFonts w:cs="Times New Roman"/>
          <w:color w:val="000000" w:themeColor="text1"/>
          <w:sz w:val="24"/>
          <w:szCs w:val="24"/>
        </w:rPr>
        <w:t xml:space="preserve"> získalo príjmy v sume 4 906</w:t>
      </w:r>
      <w:r>
        <w:rPr>
          <w:rFonts w:cs="Times New Roman"/>
          <w:color w:val="000000" w:themeColor="text1"/>
          <w:sz w:val="24"/>
          <w:szCs w:val="24"/>
        </w:rPr>
        <w:t> tis. </w:t>
      </w:r>
      <w:r w:rsidRPr="00F54FD8">
        <w:rPr>
          <w:rFonts w:cs="Times New Roman"/>
          <w:color w:val="000000" w:themeColor="text1"/>
          <w:sz w:val="24"/>
          <w:szCs w:val="24"/>
        </w:rPr>
        <w:t>eur</w:t>
      </w:r>
      <w:r w:rsidRPr="00C755F0">
        <w:rPr>
          <w:rFonts w:cs="Times New Roman"/>
          <w:color w:val="000000" w:themeColor="text1"/>
          <w:sz w:val="24"/>
          <w:szCs w:val="24"/>
        </w:rPr>
        <w:t xml:space="preserve">, z toho 2 374 tis. eur boli príjmy za poskytovanie služieb ochrany objektov v súvislosti s napojením objektov na tzv. pulty centralizovanej ochrany. Ďalšie prostriedky v sume 631 tis. eur plynuli kapitole za policajný </w:t>
      </w:r>
      <w:proofErr w:type="spellStart"/>
      <w:r w:rsidRPr="00C755F0">
        <w:rPr>
          <w:rFonts w:cs="Times New Roman"/>
          <w:color w:val="000000" w:themeColor="text1"/>
          <w:sz w:val="24"/>
          <w:szCs w:val="24"/>
        </w:rPr>
        <w:t>doprovod</w:t>
      </w:r>
      <w:proofErr w:type="spellEnd"/>
      <w:r w:rsidRPr="00C755F0">
        <w:rPr>
          <w:rFonts w:cs="Times New Roman"/>
          <w:color w:val="000000" w:themeColor="text1"/>
          <w:sz w:val="24"/>
          <w:szCs w:val="24"/>
        </w:rPr>
        <w:t>, ubytovanie v zariadeniach Ministerstva vnútra SR, vypracované znalecké posudky, lekárske výkony a iné.</w:t>
      </w:r>
    </w:p>
    <w:p w14:paraId="01AEA11D" w14:textId="77777777" w:rsidR="00A57E96" w:rsidRPr="004500C3" w:rsidRDefault="00A57E96" w:rsidP="00A57E96">
      <w:pPr>
        <w:spacing w:line="240" w:lineRule="auto"/>
        <w:rPr>
          <w:color w:val="000000" w:themeColor="text1"/>
          <w:sz w:val="24"/>
          <w:szCs w:val="24"/>
        </w:rPr>
      </w:pPr>
      <w:r w:rsidRPr="000433B1">
        <w:rPr>
          <w:b/>
          <w:color w:val="000000" w:themeColor="text1"/>
          <w:sz w:val="24"/>
          <w:szCs w:val="24"/>
        </w:rPr>
        <w:t xml:space="preserve">Kapitálové príjmy </w:t>
      </w:r>
      <w:r w:rsidRPr="000433B1">
        <w:rPr>
          <w:color w:val="000000" w:themeColor="text1"/>
          <w:sz w:val="24"/>
          <w:szCs w:val="24"/>
        </w:rPr>
        <w:t xml:space="preserve">sú príjmy z predaja hnuteľného aj nehnuteľného majetku štátu, ktorý je vyhlásený za prebytočný alebo neupotrebiteľný. Jednotlivé kapitoly štátneho rozpočtu sú zodpovedné za pravidelné vyhodnocovanie fyzického stavu majetku a rozhodnutie o jeho </w:t>
      </w:r>
      <w:r w:rsidRPr="000433B1">
        <w:rPr>
          <w:color w:val="000000" w:themeColor="text1"/>
          <w:sz w:val="24"/>
          <w:szCs w:val="24"/>
        </w:rPr>
        <w:lastRenderedPageBreak/>
        <w:t xml:space="preserve">prebytočnosti alebo neupotrebiteľnosti. V návrhu rozpočtu sa premietajú zámery na odpredaj tohto majetku, pričom z dôvodu splnenia legislatívnych podmienok na predaj majetku štátu môže k plneniu tohto zámeru dôjsť až nasledujúce obdobie. </w:t>
      </w:r>
      <w:r w:rsidRPr="004500C3">
        <w:rPr>
          <w:color w:val="000000" w:themeColor="text1"/>
          <w:sz w:val="24"/>
          <w:szCs w:val="24"/>
        </w:rPr>
        <w:t xml:space="preserve">Hotovostné plnenie kapitálových príjmov dosiahlo 16 685 tis. eur, čo je oproti schválenému rozpočtu menej o 10 585 tis. eur. Z celkovej sumy najväčší príjem bol dosiahnutý z predaja pozemkov a nehmotných aktív 10 479 tis. eur a z predaja kapitálových aktív 5 545 tis. eur. </w:t>
      </w:r>
    </w:p>
    <w:p w14:paraId="23678185" w14:textId="0F93C8E3" w:rsidR="00A57E96" w:rsidRPr="00593596" w:rsidRDefault="00A57E96" w:rsidP="00A57E96">
      <w:pPr>
        <w:spacing w:line="240" w:lineRule="auto"/>
        <w:rPr>
          <w:rFonts w:cs="Times New Roman"/>
          <w:color w:val="000000" w:themeColor="text1"/>
          <w:sz w:val="24"/>
          <w:szCs w:val="24"/>
        </w:rPr>
      </w:pPr>
      <w:r w:rsidRPr="00DF35CE">
        <w:rPr>
          <w:rFonts w:cs="Times New Roman"/>
          <w:color w:val="000000" w:themeColor="text1"/>
          <w:sz w:val="24"/>
          <w:szCs w:val="24"/>
        </w:rPr>
        <w:t>Príjmy z predaja pozemkov a nehmotných aktív boli rozpočtované v sume 1 438 tis. eur a ich skutočné plnenie dosiahlo sumu 10 479 tis. eur.</w:t>
      </w:r>
      <w:r w:rsidRPr="001F0656">
        <w:rPr>
          <w:rFonts w:cs="Times New Roman"/>
          <w:color w:val="FF0000"/>
          <w:sz w:val="24"/>
          <w:szCs w:val="24"/>
        </w:rPr>
        <w:t xml:space="preserve"> </w:t>
      </w:r>
      <w:r w:rsidRPr="00DF35CE">
        <w:rPr>
          <w:rFonts w:cs="Times New Roman"/>
          <w:color w:val="000000" w:themeColor="text1"/>
          <w:sz w:val="24"/>
          <w:szCs w:val="24"/>
        </w:rPr>
        <w:t xml:space="preserve">Najväčší objem bol dosiahnutý v kapitole </w:t>
      </w:r>
      <w:r w:rsidRPr="00DF35CE">
        <w:rPr>
          <w:rFonts w:cs="Times New Roman"/>
          <w:color w:val="000000" w:themeColor="text1"/>
          <w:sz w:val="24"/>
          <w:szCs w:val="24"/>
          <w:u w:val="single"/>
        </w:rPr>
        <w:t>Ministerstva školstva, vedy, výskumu a športu SR</w:t>
      </w:r>
      <w:r w:rsidRPr="00F16AE0">
        <w:rPr>
          <w:rFonts w:cs="Times New Roman"/>
          <w:color w:val="000000" w:themeColor="text1"/>
          <w:sz w:val="24"/>
          <w:szCs w:val="24"/>
        </w:rPr>
        <w:t xml:space="preserve"> </w:t>
      </w:r>
      <w:r w:rsidRPr="00DF35CE">
        <w:rPr>
          <w:rFonts w:cs="Times New Roman"/>
          <w:color w:val="000000" w:themeColor="text1"/>
          <w:sz w:val="24"/>
          <w:szCs w:val="24"/>
        </w:rPr>
        <w:t xml:space="preserve">(5 302 tis. eur), </w:t>
      </w:r>
      <w:r w:rsidRPr="002C128E">
        <w:rPr>
          <w:rFonts w:cs="Times New Roman"/>
          <w:color w:val="000000" w:themeColor="text1"/>
          <w:sz w:val="24"/>
          <w:szCs w:val="24"/>
        </w:rPr>
        <w:t xml:space="preserve">pričom schválený rozpočet bol nulový. </w:t>
      </w:r>
      <w:r>
        <w:rPr>
          <w:rFonts w:cs="Times New Roman"/>
          <w:color w:val="000000" w:themeColor="text1"/>
          <w:sz w:val="24"/>
          <w:szCs w:val="24"/>
        </w:rPr>
        <w:t xml:space="preserve">Suma 5 294 tis. eur predstavovala príjem z predaja pozemkov v areáli </w:t>
      </w:r>
      <w:proofErr w:type="spellStart"/>
      <w:r>
        <w:rPr>
          <w:rFonts w:cs="Times New Roman"/>
          <w:color w:val="000000" w:themeColor="text1"/>
          <w:sz w:val="24"/>
          <w:szCs w:val="24"/>
        </w:rPr>
        <w:t>Mičurín</w:t>
      </w:r>
      <w:proofErr w:type="spellEnd"/>
      <w:r>
        <w:rPr>
          <w:rFonts w:cs="Times New Roman"/>
          <w:color w:val="000000" w:themeColor="text1"/>
          <w:sz w:val="24"/>
          <w:szCs w:val="24"/>
        </w:rPr>
        <w:t xml:space="preserve"> v prospech Hlavného mesta Bratislava, ktorá sa nerozpočtovala, nakoľko kúpna zmluva nadobudla účinnosť až 14. 10. 2023 a teda na začiatku roka 2023 nebola známa skutočnosť, že sa v priebehu roka uskutoční tento predaj. </w:t>
      </w:r>
      <w:r w:rsidRPr="00867531">
        <w:rPr>
          <w:rFonts w:cs="Times New Roman"/>
          <w:color w:val="000000" w:themeColor="text1"/>
          <w:sz w:val="24"/>
          <w:szCs w:val="24"/>
          <w:u w:val="single"/>
        </w:rPr>
        <w:t>Ministerstvo vnútra SR</w:t>
      </w:r>
      <w:r>
        <w:rPr>
          <w:rFonts w:cs="Times New Roman"/>
          <w:color w:val="000000" w:themeColor="text1"/>
          <w:sz w:val="24"/>
          <w:szCs w:val="24"/>
        </w:rPr>
        <w:t xml:space="preserve"> získalo z predaja pozemkov sumu 3 206 tis. eur. </w:t>
      </w:r>
      <w:r w:rsidRPr="0064059F">
        <w:rPr>
          <w:rFonts w:cs="Times New Roman"/>
          <w:color w:val="000000" w:themeColor="text1"/>
          <w:sz w:val="24"/>
          <w:szCs w:val="24"/>
        </w:rPr>
        <w:t>Išlo najmä o odpredaj pozemkov a o prevedené zábezpeky v zmysle uzatvorených zmlúv od fyzických osôb, právnických osôb, miest, pričom v prevažnej miere išlo o odpredaj majetku v správe Okresných úradov, ako dočasných správcov majetku.</w:t>
      </w:r>
      <w:r w:rsidRPr="0064059F">
        <w:rPr>
          <w:rFonts w:cs="Times New Roman"/>
          <w:color w:val="000000" w:themeColor="text1"/>
          <w:sz w:val="14"/>
          <w:szCs w:val="14"/>
        </w:rPr>
        <w:t xml:space="preserve"> </w:t>
      </w:r>
      <w:r w:rsidRPr="00D14936">
        <w:rPr>
          <w:rFonts w:cs="Times New Roman"/>
          <w:color w:val="000000" w:themeColor="text1"/>
          <w:sz w:val="24"/>
          <w:szCs w:val="24"/>
        </w:rPr>
        <w:t>Pri príprave návrhu rozpočtu sa vychádzalo z predpokladu plnenia rozpočtu, pričom v priebehu roka 2023 boli zrealizované odpredaje vo vyššej sume a objeme, ako bolo plánované.</w:t>
      </w:r>
      <w:r w:rsidRPr="001F0656">
        <w:rPr>
          <w:rFonts w:cs="Times New Roman"/>
          <w:color w:val="FF0000"/>
          <w:sz w:val="24"/>
          <w:szCs w:val="24"/>
        </w:rPr>
        <w:t xml:space="preserve"> </w:t>
      </w:r>
      <w:r w:rsidRPr="003B76B7">
        <w:rPr>
          <w:rFonts w:cs="Times New Roman"/>
          <w:color w:val="000000" w:themeColor="text1"/>
          <w:sz w:val="24"/>
          <w:szCs w:val="24"/>
          <w:u w:val="single"/>
        </w:rPr>
        <w:t xml:space="preserve">Ministerstvo dopravy SR </w:t>
      </w:r>
      <w:r w:rsidR="004108FA">
        <w:rPr>
          <w:rFonts w:cs="Times New Roman"/>
          <w:color w:val="000000" w:themeColor="text1"/>
          <w:sz w:val="24"/>
          <w:szCs w:val="24"/>
        </w:rPr>
        <w:t xml:space="preserve">dosiahlo sumu 1 752 tis. eur </w:t>
      </w:r>
      <w:r w:rsidRPr="003B76B7">
        <w:rPr>
          <w:rFonts w:cs="Times New Roman"/>
          <w:color w:val="000000" w:themeColor="text1"/>
          <w:sz w:val="24"/>
          <w:szCs w:val="24"/>
        </w:rPr>
        <w:t>a išlo o príjmy Slovenskej správy ciest, ktoré sa týkali vysporiadania pozemkov s kupujúcimi.</w:t>
      </w:r>
      <w:r w:rsidRPr="001F0656">
        <w:rPr>
          <w:rFonts w:cs="Times New Roman"/>
          <w:color w:val="FF0000"/>
          <w:sz w:val="24"/>
          <w:szCs w:val="24"/>
        </w:rPr>
        <w:t xml:space="preserve"> </w:t>
      </w:r>
      <w:r w:rsidRPr="00593596">
        <w:rPr>
          <w:rFonts w:cs="Times New Roman"/>
          <w:color w:val="000000" w:themeColor="text1"/>
          <w:sz w:val="24"/>
          <w:szCs w:val="24"/>
        </w:rPr>
        <w:t xml:space="preserve">Z toho v sume 1 636 tis. eur išlo o výkup pozemkov pre potreby </w:t>
      </w:r>
      <w:proofErr w:type="spellStart"/>
      <w:r w:rsidRPr="00593596">
        <w:rPr>
          <w:rFonts w:cs="Times New Roman"/>
          <w:color w:val="000000" w:themeColor="text1"/>
          <w:sz w:val="24"/>
          <w:szCs w:val="24"/>
        </w:rPr>
        <w:t>majetkoprávnej</w:t>
      </w:r>
      <w:proofErr w:type="spellEnd"/>
      <w:r w:rsidRPr="00593596">
        <w:rPr>
          <w:rFonts w:cs="Times New Roman"/>
          <w:color w:val="000000" w:themeColor="text1"/>
          <w:sz w:val="24"/>
          <w:szCs w:val="24"/>
        </w:rPr>
        <w:t xml:space="preserve"> prípravy povolenia stavby R1 Banská </w:t>
      </w:r>
      <w:r>
        <w:rPr>
          <w:rFonts w:cs="Times New Roman"/>
          <w:color w:val="000000" w:themeColor="text1"/>
          <w:sz w:val="24"/>
          <w:szCs w:val="24"/>
        </w:rPr>
        <w:t>B</w:t>
      </w:r>
      <w:r w:rsidRPr="00593596">
        <w:rPr>
          <w:rFonts w:cs="Times New Roman"/>
          <w:color w:val="000000" w:themeColor="text1"/>
          <w:sz w:val="24"/>
          <w:szCs w:val="24"/>
        </w:rPr>
        <w:t xml:space="preserve">ystrica – Slovenská Ľupča od Národnej diaľničnej spoločnosti, </w:t>
      </w:r>
      <w:proofErr w:type="spellStart"/>
      <w:r w:rsidRPr="00593596">
        <w:rPr>
          <w:rFonts w:cs="Times New Roman"/>
          <w:color w:val="000000" w:themeColor="text1"/>
          <w:sz w:val="24"/>
          <w:szCs w:val="24"/>
        </w:rPr>
        <w:t>a.s</w:t>
      </w:r>
      <w:proofErr w:type="spellEnd"/>
      <w:r w:rsidRPr="00593596">
        <w:rPr>
          <w:rFonts w:cs="Times New Roman"/>
          <w:color w:val="000000" w:themeColor="text1"/>
          <w:sz w:val="24"/>
          <w:szCs w:val="24"/>
        </w:rPr>
        <w:t>.</w:t>
      </w:r>
    </w:p>
    <w:p w14:paraId="54E096B2" w14:textId="79AA0661" w:rsidR="00A57E96" w:rsidRDefault="00A57E96" w:rsidP="00A57E96">
      <w:pPr>
        <w:spacing w:line="240" w:lineRule="auto"/>
        <w:rPr>
          <w:rFonts w:cs="Times New Roman"/>
          <w:color w:val="000000" w:themeColor="text1"/>
          <w:sz w:val="24"/>
          <w:szCs w:val="24"/>
        </w:rPr>
      </w:pPr>
      <w:r w:rsidRPr="00BA077E">
        <w:rPr>
          <w:color w:val="000000" w:themeColor="text1"/>
          <w:sz w:val="24"/>
          <w:szCs w:val="24"/>
        </w:rPr>
        <w:t xml:space="preserve">Príjmy z predaja kapitálových aktív boli naplnené v celkovom objeme 5 545 tis. eur, pričom oproti schválenému rozpočtu to bolo až o 19 988 tis. eur menej. </w:t>
      </w:r>
      <w:r w:rsidRPr="00287DBA">
        <w:rPr>
          <w:color w:val="000000" w:themeColor="text1"/>
          <w:sz w:val="24"/>
          <w:szCs w:val="24"/>
        </w:rPr>
        <w:t xml:space="preserve">Najvyšší objem prostriedkov (1 966 tis. eur) dosiahlo </w:t>
      </w:r>
      <w:r w:rsidRPr="00287DBA">
        <w:rPr>
          <w:color w:val="000000" w:themeColor="text1"/>
          <w:sz w:val="24"/>
          <w:szCs w:val="24"/>
          <w:u w:val="single"/>
        </w:rPr>
        <w:t>Ministerstvo školstva, vedy, výskumu a športu SR</w:t>
      </w:r>
      <w:r>
        <w:rPr>
          <w:color w:val="000000" w:themeColor="text1"/>
          <w:sz w:val="24"/>
          <w:szCs w:val="24"/>
        </w:rPr>
        <w:t>, kde</w:t>
      </w:r>
      <w:r w:rsidRPr="00287DBA">
        <w:rPr>
          <w:color w:val="000000" w:themeColor="text1"/>
          <w:sz w:val="24"/>
          <w:szCs w:val="24"/>
        </w:rPr>
        <w:t xml:space="preserve"> </w:t>
      </w:r>
      <w:r>
        <w:rPr>
          <w:color w:val="000000" w:themeColor="text1"/>
          <w:sz w:val="24"/>
          <w:szCs w:val="24"/>
        </w:rPr>
        <w:t>i</w:t>
      </w:r>
      <w:r w:rsidRPr="00E72104">
        <w:rPr>
          <w:color w:val="000000" w:themeColor="text1"/>
          <w:sz w:val="24"/>
          <w:szCs w:val="24"/>
        </w:rPr>
        <w:t xml:space="preserve">šlo o príjem z predaja stavieb v areáli </w:t>
      </w:r>
      <w:proofErr w:type="spellStart"/>
      <w:r w:rsidRPr="00E72104">
        <w:rPr>
          <w:color w:val="000000" w:themeColor="text1"/>
          <w:sz w:val="24"/>
          <w:szCs w:val="24"/>
        </w:rPr>
        <w:t>Mičurín</w:t>
      </w:r>
      <w:proofErr w:type="spellEnd"/>
      <w:r w:rsidRPr="00E72104">
        <w:rPr>
          <w:color w:val="000000" w:themeColor="text1"/>
          <w:sz w:val="24"/>
          <w:szCs w:val="24"/>
        </w:rPr>
        <w:t xml:space="preserve"> v prospech Hlavného mesta Bratislava.</w:t>
      </w:r>
      <w:r w:rsidRPr="001F0656">
        <w:rPr>
          <w:color w:val="FF0000"/>
          <w:sz w:val="24"/>
          <w:szCs w:val="24"/>
        </w:rPr>
        <w:t xml:space="preserve"> </w:t>
      </w:r>
      <w:r w:rsidRPr="00194E83">
        <w:rPr>
          <w:color w:val="000000" w:themeColor="text1"/>
          <w:sz w:val="24"/>
          <w:szCs w:val="24"/>
          <w:u w:val="single"/>
        </w:rPr>
        <w:t>Ministerstvo zahraničných vecí a európskych záležitostí SR</w:t>
      </w:r>
      <w:r w:rsidRPr="00194E83">
        <w:rPr>
          <w:color w:val="000000" w:themeColor="text1"/>
          <w:sz w:val="24"/>
          <w:szCs w:val="24"/>
        </w:rPr>
        <w:t xml:space="preserve"> získalo sumu 1 455 tis. eur</w:t>
      </w:r>
      <w:r>
        <w:rPr>
          <w:color w:val="000000" w:themeColor="text1"/>
          <w:sz w:val="24"/>
          <w:szCs w:val="24"/>
        </w:rPr>
        <w:t xml:space="preserve"> a</w:t>
      </w:r>
      <w:r w:rsidRPr="00194E83">
        <w:rPr>
          <w:color w:val="000000" w:themeColor="text1"/>
          <w:sz w:val="24"/>
          <w:szCs w:val="24"/>
        </w:rPr>
        <w:t xml:space="preserve"> </w:t>
      </w:r>
      <w:r>
        <w:rPr>
          <w:color w:val="000000" w:themeColor="text1"/>
          <w:sz w:val="24"/>
          <w:szCs w:val="24"/>
        </w:rPr>
        <w:t>n</w:t>
      </w:r>
      <w:r w:rsidRPr="00393990">
        <w:rPr>
          <w:color w:val="000000" w:themeColor="text1"/>
          <w:sz w:val="24"/>
          <w:szCs w:val="24"/>
        </w:rPr>
        <w:t xml:space="preserve">a tejto podpoložke boli najmä príjmy za predaj budovy zastupiteľského úradu v Berlíne (1 350 tis. eur). </w:t>
      </w:r>
      <w:r w:rsidRPr="00DA7E8F">
        <w:rPr>
          <w:color w:val="000000" w:themeColor="text1"/>
          <w:sz w:val="24"/>
          <w:szCs w:val="24"/>
          <w:u w:val="single"/>
        </w:rPr>
        <w:t>Ministerstvo vnútra SR</w:t>
      </w:r>
      <w:r w:rsidRPr="00DA7E8F">
        <w:rPr>
          <w:color w:val="000000" w:themeColor="text1"/>
          <w:sz w:val="24"/>
          <w:szCs w:val="24"/>
        </w:rPr>
        <w:t xml:space="preserve"> dosiahlo čiastku 1 257 tis. eur </w:t>
      </w:r>
      <w:r w:rsidR="00612838">
        <w:rPr>
          <w:color w:val="000000" w:themeColor="text1"/>
          <w:sz w:val="24"/>
          <w:szCs w:val="24"/>
        </w:rPr>
        <w:t>za</w:t>
      </w:r>
      <w:r>
        <w:rPr>
          <w:rFonts w:cs="Times New Roman"/>
          <w:color w:val="000000" w:themeColor="text1"/>
          <w:sz w:val="24"/>
          <w:szCs w:val="24"/>
        </w:rPr>
        <w:t> odpredaj nehnuteľného majetku – bytov a</w:t>
      </w:r>
      <w:r w:rsidR="00D904A9">
        <w:rPr>
          <w:rFonts w:cs="Times New Roman"/>
          <w:color w:val="000000" w:themeColor="text1"/>
          <w:sz w:val="24"/>
          <w:szCs w:val="24"/>
        </w:rPr>
        <w:t xml:space="preserve"> </w:t>
      </w:r>
      <w:r>
        <w:rPr>
          <w:rFonts w:cs="Times New Roman"/>
          <w:color w:val="000000" w:themeColor="text1"/>
          <w:sz w:val="24"/>
          <w:szCs w:val="24"/>
        </w:rPr>
        <w:t>domov.</w:t>
      </w:r>
      <w:r w:rsidRPr="00336DC9">
        <w:rPr>
          <w:rFonts w:cs="Times New Roman"/>
          <w:color w:val="000000" w:themeColor="text1"/>
          <w:sz w:val="24"/>
          <w:szCs w:val="24"/>
        </w:rPr>
        <w:t xml:space="preserve"> </w:t>
      </w:r>
      <w:r>
        <w:rPr>
          <w:rFonts w:cs="Times New Roman"/>
          <w:color w:val="000000" w:themeColor="text1"/>
          <w:sz w:val="24"/>
          <w:szCs w:val="24"/>
        </w:rPr>
        <w:t xml:space="preserve">Išlo v prevažnej miere o majetok nadobudnutý do dočasnej správy a predávajúcim bol okresný úrad v sídle kraja, ďalej splátky kúpnych cien odpredaných služobných bytov zamestnancom a príjmy zo zábezpek súvisiacich s kúpnymi cenami nehnuteľností. </w:t>
      </w:r>
      <w:r w:rsidRPr="00D324F0">
        <w:rPr>
          <w:rFonts w:cs="Times New Roman"/>
          <w:color w:val="000000" w:themeColor="text1"/>
          <w:sz w:val="24"/>
          <w:szCs w:val="24"/>
        </w:rPr>
        <w:t xml:space="preserve">Pri príprave schváleného rozpočtu v sume 3 356 tis. eur sa vychádzalo z predpokladu </w:t>
      </w:r>
      <w:r w:rsidRPr="004A5E6F">
        <w:rPr>
          <w:rFonts w:cs="Times New Roman"/>
          <w:color w:val="000000" w:themeColor="text1"/>
          <w:sz w:val="24"/>
          <w:szCs w:val="24"/>
        </w:rPr>
        <w:t xml:space="preserve">plnenia rozpočtu, pričom v priebehu roka 2023 boli zrealizované odpredaje v </w:t>
      </w:r>
      <w:r>
        <w:rPr>
          <w:rFonts w:cs="Times New Roman"/>
          <w:color w:val="000000" w:themeColor="text1"/>
          <w:sz w:val="24"/>
          <w:szCs w:val="24"/>
        </w:rPr>
        <w:t>nižšej</w:t>
      </w:r>
      <w:r w:rsidRPr="004A5E6F">
        <w:rPr>
          <w:rFonts w:cs="Times New Roman"/>
          <w:color w:val="000000" w:themeColor="text1"/>
          <w:sz w:val="24"/>
          <w:szCs w:val="24"/>
        </w:rPr>
        <w:t xml:space="preserve"> sume a objeme, ako boli plánované. V čase plánovania rozpočtu okresné úrady nedispon</w:t>
      </w:r>
      <w:r>
        <w:rPr>
          <w:rFonts w:cs="Times New Roman"/>
          <w:color w:val="000000" w:themeColor="text1"/>
          <w:sz w:val="24"/>
          <w:szCs w:val="24"/>
        </w:rPr>
        <w:t>ovali</w:t>
      </w:r>
      <w:r w:rsidRPr="004A5E6F">
        <w:rPr>
          <w:rFonts w:cs="Times New Roman"/>
          <w:color w:val="000000" w:themeColor="text1"/>
          <w:sz w:val="24"/>
          <w:szCs w:val="24"/>
        </w:rPr>
        <w:t xml:space="preserve"> informáciami o rozsahu majetku, ktorý získajú do dočasnej správy a aký bude po nich dopyt. </w:t>
      </w:r>
    </w:p>
    <w:p w14:paraId="4702112A" w14:textId="5153A8EF" w:rsidR="00A57E96" w:rsidRPr="006D04BD" w:rsidRDefault="00A57E96" w:rsidP="00A57E96">
      <w:pPr>
        <w:spacing w:line="240" w:lineRule="auto"/>
        <w:rPr>
          <w:rFonts w:cs="Times New Roman"/>
          <w:color w:val="000000" w:themeColor="text1"/>
          <w:sz w:val="24"/>
          <w:szCs w:val="24"/>
        </w:rPr>
      </w:pPr>
      <w:r>
        <w:rPr>
          <w:rFonts w:cs="Times New Roman"/>
          <w:color w:val="000000" w:themeColor="text1"/>
          <w:sz w:val="24"/>
          <w:szCs w:val="24"/>
        </w:rPr>
        <w:t xml:space="preserve">Najvyšší výpadok príjmov oproti schválenému rozpočtu (10 000 tis. eur) bol </w:t>
      </w:r>
      <w:r w:rsidR="00612838">
        <w:rPr>
          <w:rFonts w:cs="Times New Roman"/>
          <w:color w:val="000000" w:themeColor="text1"/>
          <w:sz w:val="24"/>
          <w:szCs w:val="24"/>
        </w:rPr>
        <w:t>u</w:t>
      </w:r>
      <w:r w:rsidR="00D904A9">
        <w:rPr>
          <w:rFonts w:cs="Times New Roman"/>
          <w:color w:val="000000" w:themeColor="text1"/>
          <w:sz w:val="24"/>
          <w:szCs w:val="24"/>
        </w:rPr>
        <w:t xml:space="preserve"> </w:t>
      </w:r>
      <w:r w:rsidRPr="006D04BD">
        <w:rPr>
          <w:rFonts w:cs="Times New Roman"/>
          <w:color w:val="000000" w:themeColor="text1"/>
          <w:sz w:val="24"/>
          <w:szCs w:val="24"/>
          <w:u w:val="single"/>
        </w:rPr>
        <w:t>Slovensk</w:t>
      </w:r>
      <w:r w:rsidR="00612838">
        <w:rPr>
          <w:rFonts w:cs="Times New Roman"/>
          <w:color w:val="000000" w:themeColor="text1"/>
          <w:sz w:val="24"/>
          <w:szCs w:val="24"/>
          <w:u w:val="single"/>
        </w:rPr>
        <w:t>ej</w:t>
      </w:r>
      <w:r w:rsidRPr="006D04BD">
        <w:rPr>
          <w:rFonts w:cs="Times New Roman"/>
          <w:color w:val="000000" w:themeColor="text1"/>
          <w:sz w:val="24"/>
          <w:szCs w:val="24"/>
          <w:u w:val="single"/>
        </w:rPr>
        <w:t xml:space="preserve"> akadémi</w:t>
      </w:r>
      <w:r w:rsidR="00612838">
        <w:rPr>
          <w:rFonts w:cs="Times New Roman"/>
          <w:color w:val="000000" w:themeColor="text1"/>
          <w:sz w:val="24"/>
          <w:szCs w:val="24"/>
          <w:u w:val="single"/>
        </w:rPr>
        <w:t>e</w:t>
      </w:r>
      <w:r w:rsidRPr="006D04BD">
        <w:rPr>
          <w:rFonts w:cs="Times New Roman"/>
          <w:color w:val="000000" w:themeColor="text1"/>
          <w:sz w:val="24"/>
          <w:szCs w:val="24"/>
          <w:u w:val="single"/>
        </w:rPr>
        <w:t xml:space="preserve"> vied</w:t>
      </w:r>
      <w:r>
        <w:rPr>
          <w:rFonts w:cs="Times New Roman"/>
          <w:color w:val="000000" w:themeColor="text1"/>
          <w:sz w:val="24"/>
          <w:szCs w:val="24"/>
        </w:rPr>
        <w:t>, kde bol rozpočtovaný odpredaj budovy na Vlárskej ulici v Bratislave, ktorý sa však nerealizoval kvôli neúspešnej elektronickej aukcii.</w:t>
      </w:r>
    </w:p>
    <w:p w14:paraId="00C2DEDC" w14:textId="5C37B980" w:rsidR="00612838" w:rsidRPr="00612838" w:rsidRDefault="00A57E96" w:rsidP="00612838">
      <w:pPr>
        <w:spacing w:line="240" w:lineRule="auto"/>
        <w:rPr>
          <w:color w:val="000000" w:themeColor="text1"/>
          <w:sz w:val="24"/>
          <w:szCs w:val="24"/>
        </w:rPr>
      </w:pPr>
      <w:r w:rsidRPr="00F06901">
        <w:rPr>
          <w:b/>
          <w:color w:val="000000" w:themeColor="text1"/>
          <w:sz w:val="24"/>
          <w:szCs w:val="24"/>
        </w:rPr>
        <w:t xml:space="preserve">Úroky z tuzemských úverov, pôžičiek a návratných finančných výpomocí </w:t>
      </w:r>
      <w:r w:rsidRPr="00F06901">
        <w:rPr>
          <w:color w:val="000000" w:themeColor="text1"/>
          <w:sz w:val="24"/>
          <w:szCs w:val="24"/>
        </w:rPr>
        <w:t>dosiahli 121 737 tis. eur, čo je oproti schválenému rozpočtu o 97 240 tis. eur viac</w:t>
      </w:r>
      <w:r>
        <w:rPr>
          <w:color w:val="000000" w:themeColor="text1"/>
          <w:sz w:val="24"/>
          <w:szCs w:val="24"/>
        </w:rPr>
        <w:t xml:space="preserve"> a zároveň ide o najvyšší výnos za ostatné tri roky.</w:t>
      </w:r>
      <w:r w:rsidRPr="00F06901">
        <w:rPr>
          <w:color w:val="000000" w:themeColor="text1"/>
          <w:sz w:val="24"/>
          <w:szCs w:val="24"/>
        </w:rPr>
        <w:t xml:space="preserve"> </w:t>
      </w:r>
      <w:r w:rsidRPr="000E3DC5">
        <w:rPr>
          <w:color w:val="000000" w:themeColor="text1"/>
          <w:sz w:val="24"/>
          <w:szCs w:val="24"/>
        </w:rPr>
        <w:t xml:space="preserve">Kapitola </w:t>
      </w:r>
      <w:r w:rsidRPr="000E3DC5">
        <w:rPr>
          <w:color w:val="000000" w:themeColor="text1"/>
          <w:sz w:val="24"/>
          <w:szCs w:val="24"/>
          <w:u w:val="single"/>
        </w:rPr>
        <w:t>Všeobecná pokladničná správa</w:t>
      </w:r>
      <w:r w:rsidRPr="000E3DC5">
        <w:rPr>
          <w:color w:val="000000" w:themeColor="text1"/>
          <w:sz w:val="24"/>
          <w:szCs w:val="24"/>
        </w:rPr>
        <w:t xml:space="preserve"> (121 717 tis. eur) tvorí takmer 100 % týchto príjmov z dôvodu poskytnutých návratných finančných výpomocí v predchádzajúcich obdobiach a úročenia účtov finančného hospodárenia. </w:t>
      </w:r>
      <w:r w:rsidRPr="008977CF">
        <w:rPr>
          <w:rFonts w:cs="Times New Roman"/>
          <w:i/>
          <w:color w:val="000000" w:themeColor="text1"/>
          <w:sz w:val="24"/>
          <w:szCs w:val="24"/>
        </w:rPr>
        <w:t>Úroky z účtov finančného hospodárenia so Štátnou pokladnicou</w:t>
      </w:r>
      <w:r w:rsidRPr="008977CF">
        <w:rPr>
          <w:rFonts w:cs="Times New Roman"/>
          <w:color w:val="000000" w:themeColor="text1"/>
          <w:sz w:val="24"/>
          <w:szCs w:val="24"/>
        </w:rPr>
        <w:t xml:space="preserve"> dosiahli sumu 111 185 tis. eur, čo znamená prekročenie rozpočtovanej sumy o 90 551 tis. eur.</w:t>
      </w:r>
      <w:r w:rsidR="00612838">
        <w:rPr>
          <w:color w:val="FF0000"/>
          <w:sz w:val="24"/>
          <w:szCs w:val="24"/>
        </w:rPr>
        <w:t xml:space="preserve"> </w:t>
      </w:r>
      <w:r w:rsidR="00612838" w:rsidRPr="00612838">
        <w:rPr>
          <w:color w:val="000000" w:themeColor="text1"/>
          <w:sz w:val="24"/>
          <w:szCs w:val="24"/>
        </w:rPr>
        <w:t xml:space="preserve">Dôvodom prekročenia rozpočtovaných príjmov bol výrazný nárast úrokovej sadzby, ktorú Štátna pokladnica používa pri úročení </w:t>
      </w:r>
      <w:r w:rsidR="00612838" w:rsidRPr="00612838">
        <w:rPr>
          <w:color w:val="000000" w:themeColor="text1"/>
          <w:sz w:val="24"/>
          <w:szCs w:val="24"/>
        </w:rPr>
        <w:lastRenderedPageBreak/>
        <w:t>jednodňových depozít v automatickom refinančnom systéme a nárast zostatkov na účtoch európskych prostriedkov a na účtoch prostriedkov Plánu obnovy a odolnosti.</w:t>
      </w:r>
    </w:p>
    <w:p w14:paraId="41783AAE" w14:textId="07E003EC" w:rsidR="00A57E96" w:rsidRPr="00BD17F8" w:rsidRDefault="00A57E96" w:rsidP="00A57E96">
      <w:pPr>
        <w:spacing w:line="240" w:lineRule="auto"/>
        <w:rPr>
          <w:color w:val="000000" w:themeColor="text1"/>
          <w:sz w:val="24"/>
          <w:szCs w:val="24"/>
        </w:rPr>
      </w:pPr>
      <w:r w:rsidRPr="00453B67">
        <w:rPr>
          <w:rFonts w:cs="Times New Roman"/>
          <w:i/>
          <w:color w:val="000000" w:themeColor="text1"/>
          <w:sz w:val="24"/>
          <w:szCs w:val="24"/>
        </w:rPr>
        <w:t>Úroky z návratných finančných výpomocí</w:t>
      </w:r>
      <w:r w:rsidRPr="00453B67">
        <w:rPr>
          <w:rFonts w:cs="Times New Roman"/>
          <w:color w:val="000000" w:themeColor="text1"/>
          <w:sz w:val="24"/>
          <w:szCs w:val="24"/>
        </w:rPr>
        <w:t xml:space="preserve"> dosiahli sumu 10 532 tis. eur a boli príjmom kapitoly Všeobecná pokladničná správa</w:t>
      </w:r>
      <w:r>
        <w:rPr>
          <w:rFonts w:cs="Times New Roman"/>
          <w:color w:val="000000" w:themeColor="text1"/>
          <w:sz w:val="24"/>
          <w:szCs w:val="24"/>
        </w:rPr>
        <w:t>. Išlo o úroky</w:t>
      </w:r>
      <w:r w:rsidRPr="00267217">
        <w:rPr>
          <w:rFonts w:cs="Times New Roman"/>
          <w:color w:val="000000" w:themeColor="text1"/>
          <w:sz w:val="24"/>
          <w:szCs w:val="24"/>
        </w:rPr>
        <w:t xml:space="preserve"> najmä </w:t>
      </w:r>
      <w:r w:rsidRPr="00267217">
        <w:rPr>
          <w:color w:val="000000" w:themeColor="text1"/>
          <w:sz w:val="24"/>
          <w:szCs w:val="24"/>
        </w:rPr>
        <w:t>v súvislosti s návratnými finančnými výpomocami poskytnutými Agentúre pre núdzové zásoby ropy a ropných výrobkov</w:t>
      </w:r>
      <w:r>
        <w:rPr>
          <w:color w:val="000000" w:themeColor="text1"/>
          <w:sz w:val="24"/>
          <w:szCs w:val="24"/>
        </w:rPr>
        <w:t xml:space="preserve"> (ďalej EOSA)</w:t>
      </w:r>
      <w:r w:rsidRPr="00267217">
        <w:rPr>
          <w:color w:val="000000" w:themeColor="text1"/>
          <w:sz w:val="24"/>
          <w:szCs w:val="24"/>
        </w:rPr>
        <w:t>, spoločnostiam GA </w:t>
      </w:r>
      <w:proofErr w:type="spellStart"/>
      <w:r w:rsidRPr="00267217">
        <w:rPr>
          <w:color w:val="000000" w:themeColor="text1"/>
          <w:sz w:val="24"/>
          <w:szCs w:val="24"/>
        </w:rPr>
        <w:t>Drilling</w:t>
      </w:r>
      <w:proofErr w:type="spellEnd"/>
      <w:r w:rsidRPr="00267217">
        <w:rPr>
          <w:color w:val="000000" w:themeColor="text1"/>
          <w:sz w:val="24"/>
          <w:szCs w:val="24"/>
        </w:rPr>
        <w:t xml:space="preserve">, </w:t>
      </w:r>
      <w:proofErr w:type="spellStart"/>
      <w:r w:rsidR="00837EB9">
        <w:rPr>
          <w:color w:val="000000" w:themeColor="text1"/>
          <w:sz w:val="24"/>
          <w:szCs w:val="24"/>
        </w:rPr>
        <w:t>a.s</w:t>
      </w:r>
      <w:proofErr w:type="spellEnd"/>
      <w:r w:rsidR="00837EB9">
        <w:rPr>
          <w:color w:val="000000" w:themeColor="text1"/>
          <w:sz w:val="24"/>
          <w:szCs w:val="24"/>
        </w:rPr>
        <w:t>.</w:t>
      </w:r>
      <w:r w:rsidRPr="00267217">
        <w:rPr>
          <w:color w:val="000000" w:themeColor="text1"/>
          <w:sz w:val="24"/>
          <w:szCs w:val="24"/>
        </w:rPr>
        <w:t xml:space="preserve">, </w:t>
      </w:r>
      <w:proofErr w:type="spellStart"/>
      <w:r w:rsidRPr="00267217">
        <w:rPr>
          <w:color w:val="000000" w:themeColor="text1"/>
          <w:sz w:val="24"/>
          <w:szCs w:val="24"/>
        </w:rPr>
        <w:t>Tachyum</w:t>
      </w:r>
      <w:proofErr w:type="spellEnd"/>
      <w:r w:rsidRPr="00267217">
        <w:rPr>
          <w:color w:val="000000" w:themeColor="text1"/>
          <w:sz w:val="24"/>
          <w:szCs w:val="24"/>
        </w:rPr>
        <w:t> s. r. o a cestovným kanceláriám.</w:t>
      </w:r>
      <w:r>
        <w:rPr>
          <w:color w:val="000000" w:themeColor="text1"/>
          <w:sz w:val="24"/>
          <w:szCs w:val="24"/>
        </w:rPr>
        <w:t xml:space="preserve"> </w:t>
      </w:r>
      <w:r>
        <w:rPr>
          <w:rFonts w:cs="Times New Roman"/>
          <w:iCs/>
          <w:sz w:val="24"/>
          <w:szCs w:val="24"/>
        </w:rPr>
        <w:t>Pri príjmoch z úrokov z </w:t>
      </w:r>
      <w:r w:rsidRPr="00BD17F8">
        <w:rPr>
          <w:rFonts w:cs="Times New Roman"/>
          <w:iCs/>
          <w:sz w:val="24"/>
          <w:szCs w:val="24"/>
        </w:rPr>
        <w:t>návratných finančných výpomocí sa dosiahlo vyššie plnenie príjmov</w:t>
      </w:r>
      <w:r>
        <w:rPr>
          <w:rFonts w:cs="Times New Roman"/>
          <w:iCs/>
          <w:sz w:val="24"/>
          <w:szCs w:val="24"/>
        </w:rPr>
        <w:t xml:space="preserve"> o 6 674 tis. eur</w:t>
      </w:r>
      <w:r w:rsidRPr="00BD17F8">
        <w:rPr>
          <w:rFonts w:cs="Times New Roman"/>
          <w:iCs/>
          <w:sz w:val="24"/>
          <w:szCs w:val="24"/>
        </w:rPr>
        <w:t>, a</w:t>
      </w:r>
      <w:r>
        <w:rPr>
          <w:rFonts w:cs="Times New Roman"/>
          <w:iCs/>
          <w:sz w:val="24"/>
          <w:szCs w:val="24"/>
        </w:rPr>
        <w:t> </w:t>
      </w:r>
      <w:r w:rsidRPr="00BD17F8">
        <w:rPr>
          <w:rFonts w:cs="Times New Roman"/>
          <w:iCs/>
          <w:sz w:val="24"/>
          <w:szCs w:val="24"/>
        </w:rPr>
        <w:t>to</w:t>
      </w:r>
      <w:r>
        <w:rPr>
          <w:rFonts w:cs="Times New Roman"/>
          <w:iCs/>
          <w:sz w:val="24"/>
          <w:szCs w:val="24"/>
        </w:rPr>
        <w:t xml:space="preserve"> najmä</w:t>
      </w:r>
      <w:r w:rsidRPr="00BD17F8">
        <w:rPr>
          <w:rFonts w:cs="Times New Roman"/>
          <w:iCs/>
          <w:sz w:val="24"/>
          <w:szCs w:val="24"/>
        </w:rPr>
        <w:t xml:space="preserve"> z návratnej finančnej výpomocí poskytnutej EOSA o</w:t>
      </w:r>
      <w:r>
        <w:rPr>
          <w:rFonts w:cs="Times New Roman"/>
          <w:iCs/>
          <w:sz w:val="24"/>
          <w:szCs w:val="24"/>
        </w:rPr>
        <w:t> </w:t>
      </w:r>
      <w:r w:rsidRPr="00BD17F8">
        <w:rPr>
          <w:rFonts w:cs="Times New Roman"/>
          <w:iCs/>
          <w:sz w:val="24"/>
          <w:szCs w:val="24"/>
        </w:rPr>
        <w:t>6</w:t>
      </w:r>
      <w:r>
        <w:rPr>
          <w:rFonts w:cs="Times New Roman"/>
          <w:iCs/>
          <w:sz w:val="24"/>
          <w:szCs w:val="24"/>
        </w:rPr>
        <w:t> </w:t>
      </w:r>
      <w:r w:rsidRPr="00BD17F8">
        <w:rPr>
          <w:rFonts w:cs="Times New Roman"/>
          <w:iCs/>
          <w:sz w:val="24"/>
          <w:szCs w:val="24"/>
        </w:rPr>
        <w:t>8</w:t>
      </w:r>
      <w:r>
        <w:rPr>
          <w:rFonts w:cs="Times New Roman"/>
          <w:iCs/>
          <w:sz w:val="24"/>
          <w:szCs w:val="24"/>
        </w:rPr>
        <w:t>20 tis. </w:t>
      </w:r>
      <w:r w:rsidRPr="00BD17F8">
        <w:rPr>
          <w:rFonts w:cs="Times New Roman"/>
          <w:iCs/>
          <w:sz w:val="24"/>
          <w:szCs w:val="24"/>
        </w:rPr>
        <w:t xml:space="preserve">eur v súvislosti s výrazným nárastom sadzby pre 6M </w:t>
      </w:r>
      <w:proofErr w:type="spellStart"/>
      <w:r w:rsidRPr="00BD17F8">
        <w:rPr>
          <w:rFonts w:cs="Times New Roman"/>
          <w:iCs/>
          <w:sz w:val="24"/>
          <w:szCs w:val="24"/>
        </w:rPr>
        <w:t>Euribor</w:t>
      </w:r>
      <w:proofErr w:type="spellEnd"/>
      <w:r w:rsidRPr="00BD17F8">
        <w:rPr>
          <w:rFonts w:cs="Times New Roman"/>
          <w:iCs/>
          <w:sz w:val="24"/>
          <w:szCs w:val="24"/>
        </w:rPr>
        <w:t xml:space="preserve">, od ktorej sa odvíja výsledná úroková sadzba použitá pri výpočte úrokov z nesplatenej časti istiny. </w:t>
      </w:r>
    </w:p>
    <w:p w14:paraId="3C700C63" w14:textId="77777777" w:rsidR="00A57E96" w:rsidRPr="00DE2775" w:rsidRDefault="00A57E96" w:rsidP="00A57E96">
      <w:pPr>
        <w:tabs>
          <w:tab w:val="left" w:pos="284"/>
        </w:tabs>
        <w:spacing w:line="240" w:lineRule="auto"/>
        <w:rPr>
          <w:color w:val="000000" w:themeColor="text1"/>
          <w:sz w:val="24"/>
          <w:szCs w:val="24"/>
        </w:rPr>
      </w:pPr>
      <w:r w:rsidRPr="00526639">
        <w:rPr>
          <w:b/>
          <w:color w:val="000000" w:themeColor="text1"/>
          <w:sz w:val="24"/>
          <w:szCs w:val="24"/>
        </w:rPr>
        <w:t>Iné nedaňové príjmy</w:t>
      </w:r>
      <w:r w:rsidRPr="00526639">
        <w:rPr>
          <w:color w:val="000000" w:themeColor="text1"/>
          <w:sz w:val="24"/>
          <w:szCs w:val="24"/>
        </w:rPr>
        <w:t xml:space="preserve"> tvoria najmä odvod z hazardných hier, odvod prevádzkovateľov distribučných sústav a prenosovej sústavy, ostatné odvody a príjem z nezrovnalostí a iných </w:t>
      </w:r>
      <w:proofErr w:type="spellStart"/>
      <w:r w:rsidRPr="00526639">
        <w:rPr>
          <w:color w:val="000000" w:themeColor="text1"/>
          <w:sz w:val="24"/>
          <w:szCs w:val="24"/>
        </w:rPr>
        <w:t>vratiek</w:t>
      </w:r>
      <w:proofErr w:type="spellEnd"/>
      <w:r w:rsidRPr="00526639">
        <w:rPr>
          <w:color w:val="000000" w:themeColor="text1"/>
          <w:sz w:val="24"/>
          <w:szCs w:val="24"/>
        </w:rPr>
        <w:t xml:space="preserve"> za prostriedky EÚ. </w:t>
      </w:r>
      <w:r w:rsidRPr="00DE2775">
        <w:rPr>
          <w:color w:val="000000" w:themeColor="text1"/>
          <w:sz w:val="24"/>
          <w:szCs w:val="24"/>
        </w:rPr>
        <w:t>K 31. 12. 2023 dosiahli iné nedaňové príjmy sumu 633 551</w:t>
      </w:r>
      <w:r>
        <w:rPr>
          <w:color w:val="000000" w:themeColor="text1"/>
          <w:sz w:val="24"/>
          <w:szCs w:val="24"/>
        </w:rPr>
        <w:t> tis. eur a oproti schválenému rozpočtu sú nižšie až o 545 489 tis. eur, čo je najvyšší výpadok v rámci celých nedaňových príjmov.</w:t>
      </w:r>
    </w:p>
    <w:p w14:paraId="31981060" w14:textId="77777777" w:rsidR="00A57E96" w:rsidRPr="00B67062" w:rsidRDefault="00A57E96" w:rsidP="00A57E96">
      <w:pPr>
        <w:spacing w:line="240" w:lineRule="auto"/>
        <w:rPr>
          <w:color w:val="000000" w:themeColor="text1"/>
          <w:sz w:val="24"/>
          <w:szCs w:val="24"/>
        </w:rPr>
      </w:pPr>
      <w:r w:rsidRPr="0006581C">
        <w:rPr>
          <w:b/>
          <w:i/>
          <w:color w:val="000000" w:themeColor="text1"/>
          <w:sz w:val="24"/>
          <w:szCs w:val="24"/>
        </w:rPr>
        <w:t>Príjem z odvodu z hazardných hier</w:t>
      </w:r>
      <w:r w:rsidRPr="0006581C">
        <w:rPr>
          <w:color w:val="000000" w:themeColor="text1"/>
          <w:sz w:val="24"/>
          <w:szCs w:val="24"/>
        </w:rPr>
        <w:t xml:space="preserve"> je súčasťou rozpočtu kapitoly </w:t>
      </w:r>
      <w:r w:rsidRPr="0006581C">
        <w:rPr>
          <w:color w:val="000000" w:themeColor="text1"/>
          <w:sz w:val="24"/>
          <w:szCs w:val="24"/>
          <w:u w:val="single"/>
        </w:rPr>
        <w:t>Všeobecná pokladničná správa</w:t>
      </w:r>
      <w:r w:rsidRPr="0006581C">
        <w:rPr>
          <w:color w:val="000000" w:themeColor="text1"/>
          <w:sz w:val="24"/>
          <w:szCs w:val="24"/>
        </w:rPr>
        <w:t xml:space="preserve"> a dosiahol 301 443 tis. eur, </w:t>
      </w:r>
      <w:r w:rsidRPr="00B67062">
        <w:rPr>
          <w:color w:val="000000" w:themeColor="text1"/>
          <w:sz w:val="24"/>
          <w:szCs w:val="24"/>
        </w:rPr>
        <w:t xml:space="preserve">čo predstavuje prekročenie rozpočtu o 18,9 %. Za vyššie plnenie je zodpovedný najmä dynamický vývoj hrania v internetových kasínach, ktorý sa tak premietol aj do vyššieho odvodu do štátneho rozpočtu a taktiež vyššie príjmy z kurzových stávok. </w:t>
      </w:r>
      <w:bookmarkStart w:id="43" w:name="_2et92p0"/>
      <w:bookmarkEnd w:id="43"/>
    </w:p>
    <w:p w14:paraId="31B9079F" w14:textId="77777777" w:rsidR="00A57E96" w:rsidRPr="00046C51" w:rsidRDefault="00A57E96" w:rsidP="00A57E96">
      <w:pPr>
        <w:spacing w:line="240" w:lineRule="auto"/>
        <w:rPr>
          <w:color w:val="FF0000"/>
          <w:sz w:val="24"/>
          <w:szCs w:val="24"/>
        </w:rPr>
      </w:pPr>
      <w:r w:rsidRPr="001D4167">
        <w:rPr>
          <w:b/>
          <w:i/>
          <w:color w:val="000000" w:themeColor="text1"/>
          <w:sz w:val="24"/>
          <w:szCs w:val="24"/>
        </w:rPr>
        <w:t>Príjmy z odvodu</w:t>
      </w:r>
      <w:r w:rsidRPr="001D4167">
        <w:rPr>
          <w:color w:val="000000" w:themeColor="text1"/>
          <w:sz w:val="24"/>
          <w:szCs w:val="24"/>
        </w:rPr>
        <w:t xml:space="preserve"> tvorili finančné prostriedky zo zúčtovania vzťahov so štátnym rozpočtom zo strany podnikateľských subjektov, príspevkových a rozpočtových organizácií, ústredných orgánov, neziskových organizácií, obcí a vyšších územných celkov, ktorým tieto prostriedky štátneho rozpočtu boli poskytnuté. </w:t>
      </w:r>
      <w:r w:rsidRPr="005B47B9">
        <w:rPr>
          <w:color w:val="000000" w:themeColor="text1"/>
          <w:sz w:val="24"/>
          <w:szCs w:val="24"/>
        </w:rPr>
        <w:t xml:space="preserve">V roku 2023 objem týchto odvodov za rok 2022 dosiahol 76 109 tis. eur a celý bol súčasťou príjmov kapitoly </w:t>
      </w:r>
      <w:r w:rsidRPr="005B47B9">
        <w:rPr>
          <w:color w:val="000000" w:themeColor="text1"/>
          <w:sz w:val="24"/>
          <w:szCs w:val="24"/>
          <w:u w:val="single"/>
        </w:rPr>
        <w:t>Všeobecná pokladničná správa</w:t>
      </w:r>
      <w:r w:rsidRPr="005B47B9">
        <w:rPr>
          <w:color w:val="000000" w:themeColor="text1"/>
          <w:sz w:val="24"/>
          <w:szCs w:val="24"/>
        </w:rPr>
        <w:t xml:space="preserve">, ktorá vykonáva záverečné zúčtovanie s prijímateľmi prostriedkov štátneho rozpočtu. </w:t>
      </w:r>
      <w:r w:rsidRPr="00820306">
        <w:rPr>
          <w:color w:val="000000" w:themeColor="text1"/>
          <w:sz w:val="24"/>
          <w:szCs w:val="24"/>
        </w:rPr>
        <w:t xml:space="preserve">Najväčší podiel na tejto sume predstavuje príjem z finančného zúčtovania s Ministerstvom investícií, regionálneho rozvoja a informatizácie SR, Ministerstvom zdravotníctva SR a Ministerstvom práce, sociálnych vecí a rodiny SR. </w:t>
      </w:r>
      <w:r w:rsidRPr="008E132B">
        <w:rPr>
          <w:color w:val="000000" w:themeColor="text1"/>
          <w:sz w:val="24"/>
          <w:szCs w:val="24"/>
        </w:rPr>
        <w:t xml:space="preserve">Oproti schválenému rozpočtu zaznamenali príjmy z odvodu nárast až o 41 088 tis. eur </w:t>
      </w:r>
      <w:r w:rsidRPr="00046C51">
        <w:rPr>
          <w:color w:val="000000" w:themeColor="text1"/>
          <w:sz w:val="24"/>
          <w:szCs w:val="24"/>
        </w:rPr>
        <w:t xml:space="preserve">a tento nárast súvisel s </w:t>
      </w:r>
      <w:r w:rsidRPr="00046C51">
        <w:rPr>
          <w:rFonts w:cs="Times New Roman"/>
          <w:iCs/>
          <w:sz w:val="24"/>
          <w:szCs w:val="24"/>
        </w:rPr>
        <w:t xml:space="preserve">vyšším objemom poskytnutých transferov/dotácií v súvislosti s opatreniami na kompenzáciu negatívnych vplyvov pandémie ochorenia COVID - 19 a vojenského konfliktu na Ukrajine ako aj vyššími </w:t>
      </w:r>
      <w:proofErr w:type="spellStart"/>
      <w:r w:rsidRPr="00046C51">
        <w:rPr>
          <w:rFonts w:cs="Times New Roman"/>
          <w:iCs/>
          <w:sz w:val="24"/>
          <w:szCs w:val="24"/>
        </w:rPr>
        <w:t>vratkami</w:t>
      </w:r>
      <w:proofErr w:type="spellEnd"/>
      <w:r w:rsidRPr="00046C51">
        <w:rPr>
          <w:rFonts w:cs="Times New Roman"/>
          <w:iCs/>
          <w:sz w:val="24"/>
          <w:szCs w:val="24"/>
        </w:rPr>
        <w:t xml:space="preserve"> z nepoužitých kapitálových a bežných výdavkov v pôsobnosti príspevkových organizácií.</w:t>
      </w:r>
    </w:p>
    <w:p w14:paraId="226622F3" w14:textId="231F9AF8" w:rsidR="00A57E96" w:rsidRPr="00B540C0" w:rsidRDefault="00A57E96" w:rsidP="00A57E96">
      <w:pPr>
        <w:spacing w:line="240" w:lineRule="auto"/>
        <w:rPr>
          <w:color w:val="000000" w:themeColor="text1"/>
          <w:sz w:val="24"/>
          <w:szCs w:val="24"/>
        </w:rPr>
      </w:pPr>
      <w:r w:rsidRPr="006D5650">
        <w:rPr>
          <w:b/>
          <w:i/>
          <w:color w:val="000000" w:themeColor="text1"/>
          <w:sz w:val="24"/>
          <w:szCs w:val="24"/>
        </w:rPr>
        <w:t>Vrátené neoprávnene použité alebo zadržané finančné prostriedky</w:t>
      </w:r>
      <w:r w:rsidRPr="006D5650">
        <w:rPr>
          <w:color w:val="000000" w:themeColor="text1"/>
          <w:sz w:val="24"/>
          <w:szCs w:val="24"/>
        </w:rPr>
        <w:t xml:space="preserve"> sa rozpočtovali vo výške 3 737 tis. eur a v skutočnosti dosiahli až 58 685 tis. eur. </w:t>
      </w:r>
      <w:r w:rsidRPr="00483CF5">
        <w:rPr>
          <w:color w:val="000000" w:themeColor="text1"/>
          <w:sz w:val="24"/>
          <w:szCs w:val="24"/>
        </w:rPr>
        <w:t xml:space="preserve">Tento rozdiel bol spôsobený najmä príjmami z nezrovnalostí a iných </w:t>
      </w:r>
      <w:proofErr w:type="spellStart"/>
      <w:r w:rsidRPr="00483CF5">
        <w:rPr>
          <w:color w:val="000000" w:themeColor="text1"/>
          <w:sz w:val="24"/>
          <w:szCs w:val="24"/>
        </w:rPr>
        <w:t>vratiek</w:t>
      </w:r>
      <w:proofErr w:type="spellEnd"/>
      <w:r w:rsidRPr="00483CF5">
        <w:rPr>
          <w:color w:val="000000" w:themeColor="text1"/>
          <w:sz w:val="24"/>
          <w:szCs w:val="24"/>
        </w:rPr>
        <w:t xml:space="preserve"> za prostriedky Európskej únie, ktoré sa nerozpočtovali a dosiahli skutočnosť 53 093 tis. eur. </w:t>
      </w:r>
      <w:r w:rsidRPr="00D00EAF">
        <w:rPr>
          <w:color w:val="000000" w:themeColor="text1"/>
          <w:sz w:val="24"/>
          <w:szCs w:val="24"/>
        </w:rPr>
        <w:t xml:space="preserve">Vrátenia za nezrovnalosti vznikli väčšinou nedodržaním zmluvy o poskytnutí nenávratného finančného príspevku pri realizácii projektov financovaných z prostriedkov EÚ zo strany prijímateľov. </w:t>
      </w:r>
      <w:r w:rsidRPr="00E317E5">
        <w:rPr>
          <w:color w:val="000000" w:themeColor="text1"/>
          <w:sz w:val="24"/>
          <w:szCs w:val="24"/>
        </w:rPr>
        <w:t xml:space="preserve">Najvyššiu sumu z tohto titulu získala kapitola </w:t>
      </w:r>
      <w:r w:rsidRPr="00E317E5">
        <w:rPr>
          <w:color w:val="000000" w:themeColor="text1"/>
          <w:sz w:val="24"/>
          <w:szCs w:val="24"/>
          <w:u w:val="single"/>
        </w:rPr>
        <w:t>Ministerstva dopravy SR</w:t>
      </w:r>
      <w:r w:rsidRPr="00E317E5">
        <w:rPr>
          <w:color w:val="000000" w:themeColor="text1"/>
          <w:sz w:val="24"/>
          <w:szCs w:val="24"/>
        </w:rPr>
        <w:t xml:space="preserve"> a to 26 650 tis. eur </w:t>
      </w:r>
      <w:r w:rsidRPr="002F1045">
        <w:rPr>
          <w:color w:val="000000" w:themeColor="text1"/>
          <w:sz w:val="24"/>
          <w:szCs w:val="24"/>
        </w:rPr>
        <w:t xml:space="preserve">a to za nezrovnalosti a nezúčtované </w:t>
      </w:r>
      <w:proofErr w:type="spellStart"/>
      <w:r w:rsidRPr="002F1045">
        <w:rPr>
          <w:color w:val="000000" w:themeColor="text1"/>
          <w:sz w:val="24"/>
          <w:szCs w:val="24"/>
        </w:rPr>
        <w:t>predfinancovania</w:t>
      </w:r>
      <w:proofErr w:type="spellEnd"/>
      <w:r w:rsidRPr="002F1045">
        <w:rPr>
          <w:color w:val="000000" w:themeColor="text1"/>
          <w:sz w:val="24"/>
          <w:szCs w:val="24"/>
        </w:rPr>
        <w:t xml:space="preserve"> za prostriedky Operačného programu Integr</w:t>
      </w:r>
      <w:r>
        <w:rPr>
          <w:color w:val="000000" w:themeColor="text1"/>
          <w:sz w:val="24"/>
          <w:szCs w:val="24"/>
        </w:rPr>
        <w:t>ovaná infraštruktúra 2014- 2020</w:t>
      </w:r>
      <w:r>
        <w:rPr>
          <w:color w:val="FF0000"/>
          <w:sz w:val="24"/>
          <w:szCs w:val="24"/>
        </w:rPr>
        <w:t xml:space="preserve"> </w:t>
      </w:r>
      <w:r w:rsidRPr="002F1045">
        <w:rPr>
          <w:color w:val="000000" w:themeColor="text1"/>
          <w:sz w:val="24"/>
          <w:szCs w:val="24"/>
        </w:rPr>
        <w:t>a vysporiadania individuálnych nezrovnalostí identifikovaných na projektoch Operačného programu Doprava 2007</w:t>
      </w:r>
      <w:r w:rsidR="00F347CA">
        <w:rPr>
          <w:color w:val="000000" w:themeColor="text1"/>
          <w:sz w:val="24"/>
          <w:szCs w:val="24"/>
        </w:rPr>
        <w:t>–</w:t>
      </w:r>
      <w:r w:rsidRPr="002F1045">
        <w:rPr>
          <w:color w:val="000000" w:themeColor="text1"/>
          <w:sz w:val="24"/>
          <w:szCs w:val="24"/>
        </w:rPr>
        <w:t>2013</w:t>
      </w:r>
      <w:r w:rsidR="00D904A9">
        <w:rPr>
          <w:color w:val="000000" w:themeColor="text1"/>
          <w:sz w:val="24"/>
          <w:szCs w:val="24"/>
        </w:rPr>
        <w:t xml:space="preserve"> </w:t>
      </w:r>
      <w:r w:rsidRPr="002F1045">
        <w:rPr>
          <w:color w:val="000000" w:themeColor="text1"/>
          <w:sz w:val="24"/>
          <w:szCs w:val="24"/>
        </w:rPr>
        <w:t>za zdroj spolufinancovania zo štátneho rozpočtu v zmysle</w:t>
      </w:r>
      <w:r>
        <w:rPr>
          <w:color w:val="000000" w:themeColor="text1"/>
          <w:sz w:val="24"/>
          <w:szCs w:val="24"/>
        </w:rPr>
        <w:t xml:space="preserve"> uzatvorených dohôd o splátkach.</w:t>
      </w:r>
      <w:r>
        <w:rPr>
          <w:color w:val="FF0000"/>
          <w:sz w:val="24"/>
          <w:szCs w:val="24"/>
        </w:rPr>
        <w:t xml:space="preserve"> </w:t>
      </w:r>
      <w:r w:rsidRPr="00836ACC">
        <w:rPr>
          <w:color w:val="000000" w:themeColor="text1"/>
          <w:sz w:val="24"/>
          <w:szCs w:val="24"/>
          <w:u w:val="single"/>
        </w:rPr>
        <w:t>Ministerstvo investícií, regionálneho rozvoja a informatizácie SR</w:t>
      </w:r>
      <w:r w:rsidRPr="00836ACC">
        <w:rPr>
          <w:color w:val="000000" w:themeColor="text1"/>
          <w:sz w:val="24"/>
          <w:szCs w:val="24"/>
        </w:rPr>
        <w:t xml:space="preserve"> získalo čiastku 8 991 tis. eur</w:t>
      </w:r>
      <w:r w:rsidRPr="001F0656">
        <w:rPr>
          <w:color w:val="FF0000"/>
          <w:sz w:val="24"/>
          <w:szCs w:val="24"/>
        </w:rPr>
        <w:t xml:space="preserve"> </w:t>
      </w:r>
      <w:r w:rsidRPr="007D3166">
        <w:rPr>
          <w:color w:val="000000" w:themeColor="text1"/>
          <w:sz w:val="24"/>
          <w:szCs w:val="24"/>
        </w:rPr>
        <w:t>najmä za nezrovnalosti z programov OPII PO7 a IROP</w:t>
      </w:r>
      <w:r w:rsidRPr="001F0656">
        <w:rPr>
          <w:color w:val="FF0000"/>
          <w:sz w:val="24"/>
          <w:szCs w:val="24"/>
        </w:rPr>
        <w:t xml:space="preserve"> </w:t>
      </w:r>
      <w:r w:rsidRPr="00DF1640">
        <w:rPr>
          <w:color w:val="000000" w:themeColor="text1"/>
          <w:sz w:val="24"/>
          <w:szCs w:val="24"/>
        </w:rPr>
        <w:t xml:space="preserve">a </w:t>
      </w:r>
      <w:r w:rsidRPr="00DF1640">
        <w:rPr>
          <w:color w:val="000000" w:themeColor="text1"/>
          <w:sz w:val="24"/>
          <w:szCs w:val="24"/>
          <w:u w:val="single"/>
        </w:rPr>
        <w:t>Ministerstvo školstva, vedy, výskumu a športu SR</w:t>
      </w:r>
      <w:r w:rsidRPr="00DF1640">
        <w:rPr>
          <w:color w:val="000000" w:themeColor="text1"/>
          <w:sz w:val="24"/>
          <w:szCs w:val="24"/>
        </w:rPr>
        <w:t xml:space="preserve"> prijalo sumu 5 265</w:t>
      </w:r>
      <w:r>
        <w:rPr>
          <w:color w:val="000000" w:themeColor="text1"/>
          <w:sz w:val="24"/>
          <w:szCs w:val="24"/>
        </w:rPr>
        <w:t xml:space="preserve"> tis. eur z </w:t>
      </w:r>
      <w:r w:rsidRPr="00B540C0">
        <w:rPr>
          <w:sz w:val="24"/>
          <w:szCs w:val="24"/>
        </w:rPr>
        <w:t xml:space="preserve">individuálnych nezrovnalostí od prijímateľov za projekty </w:t>
      </w:r>
      <w:proofErr w:type="spellStart"/>
      <w:r w:rsidRPr="00B540C0">
        <w:rPr>
          <w:sz w:val="24"/>
          <w:szCs w:val="24"/>
        </w:rPr>
        <w:t>zazmluvnené</w:t>
      </w:r>
      <w:proofErr w:type="spellEnd"/>
      <w:r w:rsidRPr="00B540C0">
        <w:rPr>
          <w:sz w:val="24"/>
          <w:szCs w:val="24"/>
        </w:rPr>
        <w:t xml:space="preserve"> v rámci Európskeho sociálneho fondu a </w:t>
      </w:r>
      <w:r w:rsidRPr="00B540C0">
        <w:rPr>
          <w:sz w:val="24"/>
          <w:szCs w:val="24"/>
        </w:rPr>
        <w:lastRenderedPageBreak/>
        <w:t xml:space="preserve">Európskeho fondu regionálneho rozvoja (vrátenie nezúčtovanej zálohovej platby, vrátenie nezúčtovaného </w:t>
      </w:r>
      <w:proofErr w:type="spellStart"/>
      <w:r w:rsidRPr="00B540C0">
        <w:rPr>
          <w:sz w:val="24"/>
          <w:szCs w:val="24"/>
        </w:rPr>
        <w:t>predfinancovania</w:t>
      </w:r>
      <w:proofErr w:type="spellEnd"/>
      <w:r w:rsidRPr="00B540C0">
        <w:rPr>
          <w:sz w:val="24"/>
          <w:szCs w:val="24"/>
        </w:rPr>
        <w:t xml:space="preserve">, vrátenie v súlade so zmluvou). </w:t>
      </w:r>
    </w:p>
    <w:p w14:paraId="435782FE" w14:textId="77777777" w:rsidR="00A57E96" w:rsidRPr="003A60B9" w:rsidRDefault="00A57E96" w:rsidP="00A57E96">
      <w:pPr>
        <w:tabs>
          <w:tab w:val="left" w:pos="284"/>
        </w:tabs>
        <w:spacing w:line="240" w:lineRule="auto"/>
        <w:rPr>
          <w:color w:val="000000" w:themeColor="text1"/>
          <w:sz w:val="24"/>
          <w:szCs w:val="24"/>
        </w:rPr>
      </w:pPr>
      <w:r w:rsidRPr="002973FA">
        <w:rPr>
          <w:color w:val="000000" w:themeColor="text1"/>
          <w:sz w:val="24"/>
          <w:szCs w:val="24"/>
        </w:rPr>
        <w:t xml:space="preserve">Okrem nezrovnalostí a </w:t>
      </w:r>
      <w:proofErr w:type="spellStart"/>
      <w:r w:rsidRPr="002973FA">
        <w:rPr>
          <w:color w:val="000000" w:themeColor="text1"/>
          <w:sz w:val="24"/>
          <w:szCs w:val="24"/>
        </w:rPr>
        <w:t>vratiek</w:t>
      </w:r>
      <w:proofErr w:type="spellEnd"/>
      <w:r w:rsidRPr="002973FA">
        <w:rPr>
          <w:color w:val="000000" w:themeColor="text1"/>
          <w:sz w:val="24"/>
          <w:szCs w:val="24"/>
        </w:rPr>
        <w:t xml:space="preserve"> za prostriedky EÚ boli významným príjmom aj vrátené neoprávnene použité alebo zadržané finančné prostriedky od fyzických osôb v sume 4 705 tis. eur, </w:t>
      </w:r>
      <w:r w:rsidRPr="00A40852">
        <w:rPr>
          <w:color w:val="000000" w:themeColor="text1"/>
          <w:sz w:val="24"/>
          <w:szCs w:val="24"/>
        </w:rPr>
        <w:t xml:space="preserve">z toho najviac v kapitole </w:t>
      </w:r>
      <w:r w:rsidRPr="00A40852">
        <w:rPr>
          <w:color w:val="000000" w:themeColor="text1"/>
          <w:sz w:val="24"/>
          <w:szCs w:val="24"/>
          <w:u w:val="single"/>
        </w:rPr>
        <w:t>Ministerstva práce, sociálnych vecí a rodiny SR</w:t>
      </w:r>
      <w:r w:rsidRPr="00A40852">
        <w:rPr>
          <w:color w:val="000000" w:themeColor="text1"/>
          <w:sz w:val="24"/>
          <w:szCs w:val="24"/>
        </w:rPr>
        <w:t xml:space="preserve"> (4 548 tis. eur). </w:t>
      </w:r>
      <w:r w:rsidRPr="003A60B9">
        <w:rPr>
          <w:color w:val="000000" w:themeColor="text1"/>
          <w:sz w:val="24"/>
          <w:szCs w:val="24"/>
        </w:rPr>
        <w:t>Išlo o </w:t>
      </w:r>
      <w:proofErr w:type="spellStart"/>
      <w:r w:rsidRPr="003A60B9">
        <w:rPr>
          <w:color w:val="000000" w:themeColor="text1"/>
          <w:sz w:val="24"/>
          <w:szCs w:val="24"/>
        </w:rPr>
        <w:t>vratky</w:t>
      </w:r>
      <w:proofErr w:type="spellEnd"/>
      <w:r w:rsidRPr="003A60B9">
        <w:rPr>
          <w:color w:val="000000" w:themeColor="text1"/>
          <w:sz w:val="24"/>
          <w:szCs w:val="24"/>
        </w:rPr>
        <w:t xml:space="preserve"> z poskytnutých dávok sociálnej pomoci a štátnych sociálnych dávok z minulých rokov od ich poberateľov, ktorým vznikla povinnosť ich vrátenia za určité obdobie, alebo len časti z vyplatenej sumy, keďže ich napríklad poberali dlhšie ako mali nárok.</w:t>
      </w:r>
    </w:p>
    <w:p w14:paraId="0F492564" w14:textId="77777777" w:rsidR="00A57E96" w:rsidRPr="00920113" w:rsidRDefault="00A57E96" w:rsidP="00A57E96">
      <w:pPr>
        <w:tabs>
          <w:tab w:val="left" w:pos="284"/>
        </w:tabs>
        <w:spacing w:line="240" w:lineRule="auto"/>
        <w:rPr>
          <w:color w:val="FF0000"/>
          <w:sz w:val="24"/>
          <w:szCs w:val="24"/>
        </w:rPr>
      </w:pPr>
      <w:r w:rsidRPr="005A3132">
        <w:rPr>
          <w:b/>
          <w:i/>
          <w:color w:val="000000" w:themeColor="text1"/>
          <w:sz w:val="24"/>
          <w:szCs w:val="24"/>
        </w:rPr>
        <w:t>Príjmy z </w:t>
      </w:r>
      <w:proofErr w:type="spellStart"/>
      <w:r w:rsidRPr="005A3132">
        <w:rPr>
          <w:b/>
          <w:i/>
          <w:color w:val="000000" w:themeColor="text1"/>
          <w:sz w:val="24"/>
          <w:szCs w:val="24"/>
        </w:rPr>
        <w:t>vratiek</w:t>
      </w:r>
      <w:proofErr w:type="spellEnd"/>
      <w:r w:rsidRPr="005A3132">
        <w:rPr>
          <w:b/>
          <w:i/>
          <w:color w:val="000000" w:themeColor="text1"/>
          <w:sz w:val="24"/>
          <w:szCs w:val="24"/>
        </w:rPr>
        <w:t xml:space="preserve"> </w:t>
      </w:r>
      <w:r w:rsidRPr="005A3132">
        <w:rPr>
          <w:color w:val="000000" w:themeColor="text1"/>
          <w:sz w:val="24"/>
          <w:szCs w:val="24"/>
        </w:rPr>
        <w:t xml:space="preserve">dosiahli celkovú sumu 22 670 tis. eur, z toho </w:t>
      </w:r>
      <w:r w:rsidRPr="005A3132">
        <w:rPr>
          <w:rFonts w:cs="Times New Roman"/>
          <w:color w:val="000000" w:themeColor="text1"/>
          <w:sz w:val="24"/>
          <w:szCs w:val="24"/>
        </w:rPr>
        <w:t>najviac u </w:t>
      </w:r>
      <w:r w:rsidRPr="005A3132">
        <w:rPr>
          <w:rFonts w:cs="Times New Roman"/>
          <w:color w:val="000000" w:themeColor="text1"/>
          <w:sz w:val="24"/>
          <w:szCs w:val="24"/>
          <w:u w:val="single"/>
        </w:rPr>
        <w:t>Ministerstva zdravotníctva SR</w:t>
      </w:r>
      <w:r w:rsidRPr="005A3132">
        <w:rPr>
          <w:rFonts w:cs="Times New Roman"/>
          <w:color w:val="000000" w:themeColor="text1"/>
          <w:sz w:val="24"/>
          <w:szCs w:val="24"/>
        </w:rPr>
        <w:t xml:space="preserve"> (8 956 tis. eur)</w:t>
      </w:r>
      <w:r>
        <w:rPr>
          <w:rFonts w:cs="Times New Roman"/>
          <w:color w:val="000000" w:themeColor="text1"/>
          <w:sz w:val="24"/>
          <w:szCs w:val="24"/>
        </w:rPr>
        <w:t>, kde išlo o </w:t>
      </w:r>
      <w:proofErr w:type="spellStart"/>
      <w:r>
        <w:rPr>
          <w:rFonts w:cs="Times New Roman"/>
          <w:color w:val="000000" w:themeColor="text1"/>
          <w:sz w:val="24"/>
          <w:szCs w:val="24"/>
        </w:rPr>
        <w:t>vratky</w:t>
      </w:r>
      <w:proofErr w:type="spellEnd"/>
      <w:r>
        <w:rPr>
          <w:rFonts w:cs="Times New Roman"/>
          <w:color w:val="000000" w:themeColor="text1"/>
          <w:sz w:val="24"/>
          <w:szCs w:val="24"/>
        </w:rPr>
        <w:t xml:space="preserve"> zo stabilizačných príspevkov, ktoré boli poskytnuté zdravotníckym pracovníkom v zdravotníckych zariadeniach.</w:t>
      </w:r>
      <w:r w:rsidRPr="005A3132">
        <w:rPr>
          <w:rFonts w:cs="Times New Roman"/>
          <w:color w:val="000000" w:themeColor="text1"/>
          <w:sz w:val="24"/>
          <w:szCs w:val="24"/>
        </w:rPr>
        <w:t> </w:t>
      </w:r>
      <w:r>
        <w:rPr>
          <w:rFonts w:cs="Times New Roman"/>
          <w:color w:val="000000" w:themeColor="text1"/>
          <w:sz w:val="24"/>
          <w:szCs w:val="24"/>
        </w:rPr>
        <w:t xml:space="preserve">Oproti schválenému rozpočtu boli tieto príjmy vyššie až o 8 933 tis. eur, nakoľko sa v schválenom rozpočte neuvažovalo s tým, že bude toľko príspevkov vrátených z dôvodu ich neprijatia zdravotníckymi pracovníkmi. </w:t>
      </w:r>
      <w:r w:rsidRPr="007B7B8A">
        <w:rPr>
          <w:rFonts w:cs="Times New Roman"/>
          <w:color w:val="000000" w:themeColor="text1"/>
          <w:sz w:val="24"/>
          <w:szCs w:val="24"/>
          <w:u w:val="single"/>
        </w:rPr>
        <w:t>Ministerstvo spravodlivosti SR</w:t>
      </w:r>
      <w:r w:rsidRPr="007B7B8A">
        <w:rPr>
          <w:rFonts w:cs="Times New Roman"/>
          <w:color w:val="000000" w:themeColor="text1"/>
          <w:sz w:val="24"/>
          <w:szCs w:val="24"/>
        </w:rPr>
        <w:t xml:space="preserve"> dosiahlo príjem z </w:t>
      </w:r>
      <w:proofErr w:type="spellStart"/>
      <w:r w:rsidRPr="007B7B8A">
        <w:rPr>
          <w:rFonts w:cs="Times New Roman"/>
          <w:color w:val="000000" w:themeColor="text1"/>
          <w:sz w:val="24"/>
          <w:szCs w:val="24"/>
        </w:rPr>
        <w:t>vratiek</w:t>
      </w:r>
      <w:proofErr w:type="spellEnd"/>
      <w:r w:rsidRPr="007B7B8A">
        <w:rPr>
          <w:rFonts w:cs="Times New Roman"/>
          <w:color w:val="000000" w:themeColor="text1"/>
          <w:sz w:val="24"/>
          <w:szCs w:val="24"/>
        </w:rPr>
        <w:t xml:space="preserve"> v sume 4 654 tis. eur</w:t>
      </w:r>
      <w:r>
        <w:rPr>
          <w:rFonts w:cs="Times New Roman"/>
          <w:color w:val="000000" w:themeColor="text1"/>
          <w:sz w:val="24"/>
          <w:szCs w:val="24"/>
        </w:rPr>
        <w:t>.</w:t>
      </w:r>
      <w:r w:rsidRPr="001F0656">
        <w:rPr>
          <w:rFonts w:cs="Times New Roman"/>
          <w:color w:val="FF0000"/>
          <w:sz w:val="24"/>
          <w:szCs w:val="24"/>
        </w:rPr>
        <w:t xml:space="preserve"> </w:t>
      </w:r>
      <w:r w:rsidRPr="00670E75">
        <w:rPr>
          <w:rFonts w:cs="Times New Roman"/>
          <w:sz w:val="24"/>
          <w:szCs w:val="24"/>
        </w:rPr>
        <w:t>V Zbore väzenskej a justičnej stráže tvori</w:t>
      </w:r>
      <w:r>
        <w:rPr>
          <w:rFonts w:cs="Times New Roman"/>
          <w:sz w:val="24"/>
          <w:szCs w:val="24"/>
        </w:rPr>
        <w:t>li</w:t>
      </w:r>
      <w:r w:rsidRPr="00670E75">
        <w:rPr>
          <w:rFonts w:cs="Times New Roman"/>
          <w:sz w:val="24"/>
          <w:szCs w:val="24"/>
        </w:rPr>
        <w:t xml:space="preserve"> tieto príjmy prevažne náhrady trov výkonu trestu odňatia slobody. V civilnej časti kapitoly </w:t>
      </w:r>
      <w:r>
        <w:rPr>
          <w:rFonts w:cs="Times New Roman"/>
          <w:sz w:val="24"/>
          <w:szCs w:val="24"/>
        </w:rPr>
        <w:t>išlo o</w:t>
      </w:r>
      <w:r w:rsidRPr="00670E75">
        <w:rPr>
          <w:rFonts w:cs="Times New Roman"/>
          <w:sz w:val="24"/>
          <w:szCs w:val="24"/>
        </w:rPr>
        <w:t> pohľadávky z poskytnutých pôžičiek fyzickým osobám súvisiacich s agendou osobného bankrotu (tieto príjmy sa očakávali, ale vzhľadom na</w:t>
      </w:r>
      <w:r>
        <w:rPr>
          <w:rFonts w:cs="Times New Roman"/>
          <w:sz w:val="24"/>
          <w:szCs w:val="24"/>
        </w:rPr>
        <w:t> </w:t>
      </w:r>
      <w:r w:rsidRPr="00670E75">
        <w:rPr>
          <w:rFonts w:cs="Times New Roman"/>
          <w:sz w:val="24"/>
          <w:szCs w:val="24"/>
        </w:rPr>
        <w:t>podmienky poskytovania pôžičiek nebolo možné výšku príjmu odhadnúť), peňažné tresty a trovy trestného konania v oblasti výkonu súdnictva, menšiu časť príjmov tvori</w:t>
      </w:r>
      <w:r>
        <w:rPr>
          <w:rFonts w:cs="Times New Roman"/>
          <w:sz w:val="24"/>
          <w:szCs w:val="24"/>
        </w:rPr>
        <w:t>li</w:t>
      </w:r>
      <w:r w:rsidRPr="00670E75">
        <w:rPr>
          <w:rFonts w:cs="Times New Roman"/>
          <w:sz w:val="24"/>
          <w:szCs w:val="24"/>
        </w:rPr>
        <w:t xml:space="preserve"> príjmy z prevádzkovej činnosti. </w:t>
      </w:r>
    </w:p>
    <w:p w14:paraId="042C1C03" w14:textId="77777777" w:rsidR="00A57E96" w:rsidRPr="008C5105" w:rsidRDefault="00A57E96" w:rsidP="00A57E96">
      <w:pPr>
        <w:tabs>
          <w:tab w:val="left" w:pos="284"/>
        </w:tabs>
        <w:spacing w:line="240" w:lineRule="auto"/>
        <w:rPr>
          <w:rFonts w:cs="Times New Roman"/>
          <w:color w:val="000000" w:themeColor="text1"/>
          <w:sz w:val="24"/>
          <w:szCs w:val="24"/>
        </w:rPr>
      </w:pPr>
      <w:r w:rsidRPr="009843E8">
        <w:rPr>
          <w:color w:val="000000" w:themeColor="text1"/>
          <w:sz w:val="24"/>
          <w:szCs w:val="24"/>
          <w:u w:val="single"/>
        </w:rPr>
        <w:t>Ministerstvo práce, sociálnych vecí a rodiny SR</w:t>
      </w:r>
      <w:r w:rsidRPr="009843E8">
        <w:rPr>
          <w:color w:val="000000" w:themeColor="text1"/>
          <w:sz w:val="24"/>
          <w:szCs w:val="24"/>
        </w:rPr>
        <w:t xml:space="preserve"> dosiahlo sumu 2 984 tis. eur.</w:t>
      </w:r>
      <w:r w:rsidRPr="001F0656">
        <w:rPr>
          <w:color w:val="FF0000"/>
          <w:sz w:val="24"/>
          <w:szCs w:val="24"/>
        </w:rPr>
        <w:t xml:space="preserve"> </w:t>
      </w:r>
      <w:r w:rsidRPr="008C5105">
        <w:rPr>
          <w:rFonts w:cs="Times New Roman"/>
          <w:color w:val="000000" w:themeColor="text1"/>
          <w:sz w:val="24"/>
          <w:szCs w:val="24"/>
        </w:rPr>
        <w:t>Išlo najmä o </w:t>
      </w:r>
      <w:proofErr w:type="spellStart"/>
      <w:r w:rsidRPr="008C5105">
        <w:rPr>
          <w:rFonts w:cs="Times New Roman"/>
          <w:color w:val="000000" w:themeColor="text1"/>
          <w:sz w:val="24"/>
          <w:szCs w:val="24"/>
        </w:rPr>
        <w:t>vratky</w:t>
      </w:r>
      <w:proofErr w:type="spellEnd"/>
      <w:r w:rsidRPr="008C5105">
        <w:rPr>
          <w:rFonts w:cs="Times New Roman"/>
          <w:color w:val="000000" w:themeColor="text1"/>
          <w:sz w:val="24"/>
          <w:szCs w:val="24"/>
        </w:rPr>
        <w:t xml:space="preserve"> a splátky z poskytnutých príspevkov aktívnej politiky trhu práce (2 873 tis. eur) a nevyčerpané mzdy a odvody za rok 2022. </w:t>
      </w:r>
      <w:r>
        <w:rPr>
          <w:rFonts w:cs="Times New Roman"/>
          <w:color w:val="000000" w:themeColor="text1"/>
          <w:sz w:val="24"/>
          <w:szCs w:val="24"/>
        </w:rPr>
        <w:t xml:space="preserve">Schválený rozpočet bol stanovený na základe skutočného plnenia príjmov v roku 2022 a nižšie plnenie schváleného rozpočtu v roku 2023 o sumu 1 360 tis. eur bolo spôsobené najmä nižším objemom </w:t>
      </w:r>
      <w:proofErr w:type="spellStart"/>
      <w:r>
        <w:rPr>
          <w:rFonts w:cs="Times New Roman"/>
          <w:color w:val="000000" w:themeColor="text1"/>
          <w:sz w:val="24"/>
          <w:szCs w:val="24"/>
        </w:rPr>
        <w:t>vratiek</w:t>
      </w:r>
      <w:proofErr w:type="spellEnd"/>
      <w:r>
        <w:rPr>
          <w:rFonts w:cs="Times New Roman"/>
          <w:color w:val="000000" w:themeColor="text1"/>
          <w:sz w:val="24"/>
          <w:szCs w:val="24"/>
        </w:rPr>
        <w:t xml:space="preserve"> v rámci aktívnej politiky trhu práce. Príjmy z </w:t>
      </w:r>
      <w:proofErr w:type="spellStart"/>
      <w:r>
        <w:rPr>
          <w:rFonts w:cs="Times New Roman"/>
          <w:color w:val="000000" w:themeColor="text1"/>
          <w:sz w:val="24"/>
          <w:szCs w:val="24"/>
        </w:rPr>
        <w:t>vratiek</w:t>
      </w:r>
      <w:proofErr w:type="spellEnd"/>
      <w:r>
        <w:rPr>
          <w:rFonts w:cs="Times New Roman"/>
          <w:color w:val="000000" w:themeColor="text1"/>
          <w:sz w:val="24"/>
          <w:szCs w:val="24"/>
        </w:rPr>
        <w:t xml:space="preserve"> u </w:t>
      </w:r>
      <w:r w:rsidRPr="009D595B">
        <w:rPr>
          <w:rFonts w:cs="Times New Roman"/>
          <w:color w:val="000000" w:themeColor="text1"/>
          <w:sz w:val="24"/>
          <w:szCs w:val="24"/>
          <w:u w:val="single"/>
        </w:rPr>
        <w:t>Ministerstva školstva, vedy, výskumu a športu SR</w:t>
      </w:r>
      <w:r>
        <w:rPr>
          <w:rFonts w:cs="Times New Roman"/>
          <w:color w:val="000000" w:themeColor="text1"/>
          <w:sz w:val="24"/>
          <w:szCs w:val="24"/>
        </w:rPr>
        <w:t xml:space="preserve"> v sume 2 364 tis. eur tvorili najmä </w:t>
      </w:r>
      <w:proofErr w:type="spellStart"/>
      <w:r>
        <w:rPr>
          <w:rFonts w:cs="Times New Roman"/>
          <w:color w:val="000000" w:themeColor="text1"/>
          <w:sz w:val="24"/>
          <w:szCs w:val="24"/>
        </w:rPr>
        <w:t>vratky</w:t>
      </w:r>
      <w:proofErr w:type="spellEnd"/>
      <w:r>
        <w:rPr>
          <w:rFonts w:cs="Times New Roman"/>
          <w:color w:val="000000" w:themeColor="text1"/>
          <w:sz w:val="24"/>
          <w:szCs w:val="24"/>
        </w:rPr>
        <w:t xml:space="preserve"> z poskytnutých bežných transferov od verejných vysokých škôl (1 414 tis. eur) a </w:t>
      </w:r>
      <w:proofErr w:type="spellStart"/>
      <w:r>
        <w:rPr>
          <w:rFonts w:cs="Times New Roman"/>
          <w:color w:val="000000" w:themeColor="text1"/>
          <w:sz w:val="24"/>
          <w:szCs w:val="24"/>
        </w:rPr>
        <w:t>vratky</w:t>
      </w:r>
      <w:proofErr w:type="spellEnd"/>
      <w:r>
        <w:rPr>
          <w:rFonts w:cs="Times New Roman"/>
          <w:color w:val="000000" w:themeColor="text1"/>
          <w:sz w:val="24"/>
          <w:szCs w:val="24"/>
        </w:rPr>
        <w:t xml:space="preserve"> z projektov Plánu obnovy a odolnosti z nevyčerpaných poskytnutých záloh (884 tis. eur). </w:t>
      </w:r>
    </w:p>
    <w:p w14:paraId="2B3B58C9" w14:textId="08D58281" w:rsidR="00A57E96" w:rsidRDefault="00A57E96" w:rsidP="00A57E96">
      <w:pPr>
        <w:tabs>
          <w:tab w:val="left" w:pos="284"/>
        </w:tabs>
        <w:spacing w:line="240" w:lineRule="auto"/>
        <w:rPr>
          <w:rFonts w:cs="Times New Roman"/>
          <w:color w:val="000000" w:themeColor="text1"/>
          <w:sz w:val="24"/>
          <w:szCs w:val="24"/>
        </w:rPr>
      </w:pPr>
      <w:r w:rsidRPr="00490C64">
        <w:rPr>
          <w:b/>
          <w:i/>
          <w:color w:val="000000" w:themeColor="text1"/>
          <w:sz w:val="24"/>
          <w:szCs w:val="24"/>
        </w:rPr>
        <w:t xml:space="preserve">Príjmy z príspevkov prevádzkovateľa hazardnej hry </w:t>
      </w:r>
      <w:r w:rsidRPr="00490C64">
        <w:rPr>
          <w:color w:val="000000" w:themeColor="text1"/>
          <w:sz w:val="24"/>
          <w:szCs w:val="24"/>
        </w:rPr>
        <w:t xml:space="preserve">boli dosiahnuté v celej výške 9 111 tis. eur v kapitole </w:t>
      </w:r>
      <w:r w:rsidRPr="00490C64">
        <w:rPr>
          <w:color w:val="000000" w:themeColor="text1"/>
          <w:sz w:val="24"/>
          <w:szCs w:val="24"/>
          <w:u w:val="single"/>
        </w:rPr>
        <w:t>Ministerstva financií SR</w:t>
      </w:r>
      <w:r w:rsidRPr="00490C64">
        <w:rPr>
          <w:color w:val="000000" w:themeColor="text1"/>
          <w:sz w:val="24"/>
          <w:szCs w:val="24"/>
        </w:rPr>
        <w:t xml:space="preserve">. </w:t>
      </w:r>
      <w:r w:rsidRPr="008E785C">
        <w:rPr>
          <w:color w:val="000000" w:themeColor="text1"/>
          <w:sz w:val="24"/>
          <w:szCs w:val="24"/>
        </w:rPr>
        <w:t xml:space="preserve">Išlo o </w:t>
      </w:r>
      <w:r w:rsidRPr="008E785C">
        <w:rPr>
          <w:rFonts w:cs="Times New Roman"/>
          <w:color w:val="000000" w:themeColor="text1"/>
          <w:sz w:val="24"/>
          <w:szCs w:val="24"/>
        </w:rPr>
        <w:t xml:space="preserve">príjmy Úradu pre reguláciu hazardných hier, ktoré predstavovali mesačný a osobitný príspevok v zmysle zákona č. 30/2019 Z. z. o hazardných hrách od prevádzkovateľov hazardných hier, a to najmä NIKÉ, </w:t>
      </w:r>
      <w:proofErr w:type="spellStart"/>
      <w:r w:rsidRPr="008E785C">
        <w:rPr>
          <w:rFonts w:cs="Times New Roman"/>
          <w:color w:val="000000" w:themeColor="text1"/>
          <w:sz w:val="24"/>
          <w:szCs w:val="24"/>
        </w:rPr>
        <w:t>s.r.o</w:t>
      </w:r>
      <w:proofErr w:type="spellEnd"/>
      <w:r w:rsidRPr="008E785C">
        <w:rPr>
          <w:rFonts w:cs="Times New Roman"/>
          <w:color w:val="000000" w:themeColor="text1"/>
          <w:sz w:val="24"/>
          <w:szCs w:val="24"/>
        </w:rPr>
        <w:t xml:space="preserve">. (1 384 tis. eur), TIPSPORT SK, </w:t>
      </w:r>
      <w:proofErr w:type="spellStart"/>
      <w:r w:rsidRPr="008E785C">
        <w:rPr>
          <w:rFonts w:cs="Times New Roman"/>
          <w:color w:val="000000" w:themeColor="text1"/>
          <w:sz w:val="24"/>
          <w:szCs w:val="24"/>
        </w:rPr>
        <w:t>a.s</w:t>
      </w:r>
      <w:proofErr w:type="spellEnd"/>
      <w:r w:rsidRPr="008E785C">
        <w:rPr>
          <w:rFonts w:cs="Times New Roman"/>
          <w:color w:val="000000" w:themeColor="text1"/>
          <w:sz w:val="24"/>
          <w:szCs w:val="24"/>
        </w:rPr>
        <w:t xml:space="preserve">. (1 375 tis. eur), TIPOS, národná lotériová spoločnosť, </w:t>
      </w:r>
      <w:proofErr w:type="spellStart"/>
      <w:r w:rsidRPr="008E785C">
        <w:rPr>
          <w:rFonts w:cs="Times New Roman"/>
          <w:color w:val="000000" w:themeColor="text1"/>
          <w:sz w:val="24"/>
          <w:szCs w:val="24"/>
        </w:rPr>
        <w:t>a.s</w:t>
      </w:r>
      <w:proofErr w:type="spellEnd"/>
      <w:r w:rsidRPr="008E785C">
        <w:rPr>
          <w:rFonts w:cs="Times New Roman"/>
          <w:color w:val="000000" w:themeColor="text1"/>
          <w:sz w:val="24"/>
          <w:szCs w:val="24"/>
        </w:rPr>
        <w:t>. (1 283 tis. eur) a ďalšie.</w:t>
      </w:r>
      <w:r>
        <w:rPr>
          <w:rFonts w:cs="Times New Roman"/>
          <w:color w:val="000000" w:themeColor="text1"/>
          <w:sz w:val="24"/>
          <w:szCs w:val="24"/>
        </w:rPr>
        <w:t xml:space="preserve"> Oproti schválenému rozpočtu bolo skutočné plnenie vyššie o 3 111 tis. eur najmä z dôvodu ukončenia všetkých opatrení, ktoré boli realizované v minulých rokoch v súvislosti s pandémiou COVID-19.</w:t>
      </w:r>
    </w:p>
    <w:p w14:paraId="1EC9EB9E" w14:textId="56A4EEC5" w:rsidR="00A57E96" w:rsidRPr="00174600" w:rsidRDefault="00A57E96" w:rsidP="00A57E96">
      <w:pPr>
        <w:tabs>
          <w:tab w:val="left" w:pos="284"/>
        </w:tabs>
        <w:spacing w:line="240" w:lineRule="auto"/>
        <w:rPr>
          <w:rFonts w:cs="Times New Roman"/>
          <w:color w:val="000000" w:themeColor="text1"/>
          <w:sz w:val="24"/>
          <w:szCs w:val="24"/>
        </w:rPr>
      </w:pPr>
      <w:r w:rsidRPr="005B4CB6">
        <w:rPr>
          <w:rFonts w:cs="Times New Roman"/>
          <w:b/>
          <w:i/>
          <w:color w:val="000000" w:themeColor="text1"/>
          <w:sz w:val="24"/>
          <w:szCs w:val="24"/>
        </w:rPr>
        <w:t>Príjmy z</w:t>
      </w:r>
      <w:r>
        <w:rPr>
          <w:rFonts w:cs="Times New Roman"/>
          <w:b/>
          <w:i/>
          <w:color w:val="000000" w:themeColor="text1"/>
          <w:sz w:val="24"/>
          <w:szCs w:val="24"/>
        </w:rPr>
        <w:t> </w:t>
      </w:r>
      <w:r w:rsidRPr="005B4CB6">
        <w:rPr>
          <w:rFonts w:cs="Times New Roman"/>
          <w:b/>
          <w:i/>
          <w:color w:val="000000" w:themeColor="text1"/>
          <w:sz w:val="24"/>
          <w:szCs w:val="24"/>
        </w:rPr>
        <w:t>dobropisov</w:t>
      </w:r>
      <w:r>
        <w:rPr>
          <w:rFonts w:cs="Times New Roman"/>
          <w:b/>
          <w:i/>
          <w:color w:val="000000" w:themeColor="text1"/>
          <w:sz w:val="24"/>
          <w:szCs w:val="24"/>
        </w:rPr>
        <w:t xml:space="preserve"> </w:t>
      </w:r>
      <w:r>
        <w:rPr>
          <w:rFonts w:cs="Times New Roman"/>
          <w:color w:val="000000" w:themeColor="text1"/>
          <w:sz w:val="24"/>
          <w:szCs w:val="24"/>
        </w:rPr>
        <w:t xml:space="preserve">boli dosiahnuté v celkovej sume 10 633 tis. eur. Najvyššiu sumu 5 872 tis. eur získalo </w:t>
      </w:r>
      <w:r w:rsidRPr="00D960AC">
        <w:rPr>
          <w:rFonts w:cs="Times New Roman"/>
          <w:color w:val="000000" w:themeColor="text1"/>
          <w:sz w:val="24"/>
          <w:szCs w:val="24"/>
          <w:u w:val="single"/>
        </w:rPr>
        <w:t>Ministerstvo dopravy SR</w:t>
      </w:r>
      <w:r>
        <w:rPr>
          <w:rFonts w:cs="Times New Roman"/>
          <w:color w:val="000000" w:themeColor="text1"/>
          <w:sz w:val="24"/>
          <w:szCs w:val="24"/>
          <w:u w:val="single"/>
        </w:rPr>
        <w:t>,</w:t>
      </w:r>
      <w:r>
        <w:rPr>
          <w:rFonts w:cs="Times New Roman"/>
          <w:color w:val="000000" w:themeColor="text1"/>
          <w:sz w:val="24"/>
          <w:szCs w:val="24"/>
        </w:rPr>
        <w:t xml:space="preserve"> kde išlo o výšku DPH z dobropisu od spoločnosti </w:t>
      </w:r>
      <w:proofErr w:type="spellStart"/>
      <w:r>
        <w:rPr>
          <w:rFonts w:cs="Times New Roman"/>
          <w:color w:val="000000" w:themeColor="text1"/>
          <w:sz w:val="24"/>
          <w:szCs w:val="24"/>
        </w:rPr>
        <w:t>Zero</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Bypass</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Limited</w:t>
      </w:r>
      <w:proofErr w:type="spellEnd"/>
      <w:r>
        <w:rPr>
          <w:rFonts w:cs="Times New Roman"/>
          <w:color w:val="000000" w:themeColor="text1"/>
          <w:sz w:val="24"/>
          <w:szCs w:val="24"/>
        </w:rPr>
        <w:t xml:space="preserve"> OZ Bratislava za úsek D4-6 projektovej cestnej komunikácie diaľnice D4. </w:t>
      </w:r>
      <w:r w:rsidRPr="00174600">
        <w:rPr>
          <w:rFonts w:cs="Times New Roman"/>
          <w:color w:val="000000" w:themeColor="text1"/>
          <w:sz w:val="24"/>
          <w:szCs w:val="24"/>
          <w:u w:val="single"/>
        </w:rPr>
        <w:t>Ministerstvo vnútra SR</w:t>
      </w:r>
      <w:r w:rsidRPr="00F16AE0">
        <w:rPr>
          <w:rFonts w:cs="Times New Roman"/>
          <w:color w:val="000000" w:themeColor="text1"/>
          <w:sz w:val="24"/>
          <w:szCs w:val="24"/>
        </w:rPr>
        <w:t xml:space="preserve"> </w:t>
      </w:r>
      <w:r>
        <w:rPr>
          <w:rFonts w:cs="Times New Roman"/>
          <w:color w:val="000000" w:themeColor="text1"/>
          <w:sz w:val="24"/>
          <w:szCs w:val="24"/>
        </w:rPr>
        <w:t xml:space="preserve">v sume 2 025 tis. eur eviduje </w:t>
      </w:r>
      <w:r w:rsidRPr="00174600">
        <w:rPr>
          <w:rFonts w:cs="Times New Roman"/>
          <w:color w:val="000000" w:themeColor="text1"/>
          <w:sz w:val="24"/>
          <w:szCs w:val="24"/>
        </w:rPr>
        <w:t>najmä dobropis</w:t>
      </w:r>
      <w:r>
        <w:rPr>
          <w:rFonts w:cs="Times New Roman"/>
          <w:color w:val="000000" w:themeColor="text1"/>
          <w:sz w:val="24"/>
          <w:szCs w:val="24"/>
        </w:rPr>
        <w:t>y</w:t>
      </w:r>
      <w:r w:rsidRPr="00174600">
        <w:rPr>
          <w:rFonts w:cs="Times New Roman"/>
          <w:color w:val="000000" w:themeColor="text1"/>
          <w:sz w:val="24"/>
          <w:szCs w:val="24"/>
        </w:rPr>
        <w:t xml:space="preserve"> za vyúčtovanie ener</w:t>
      </w:r>
      <w:r>
        <w:rPr>
          <w:rFonts w:cs="Times New Roman"/>
          <w:color w:val="000000" w:themeColor="text1"/>
          <w:sz w:val="24"/>
          <w:szCs w:val="24"/>
        </w:rPr>
        <w:t xml:space="preserve">gií a </w:t>
      </w:r>
      <w:r w:rsidRPr="00174600">
        <w:rPr>
          <w:rFonts w:cs="Times New Roman"/>
          <w:color w:val="000000" w:themeColor="text1"/>
          <w:sz w:val="24"/>
          <w:szCs w:val="24"/>
        </w:rPr>
        <w:t xml:space="preserve">najvyššiu sumu </w:t>
      </w:r>
      <w:r>
        <w:rPr>
          <w:rFonts w:cs="Times New Roman"/>
          <w:color w:val="000000" w:themeColor="text1"/>
          <w:sz w:val="24"/>
          <w:szCs w:val="24"/>
        </w:rPr>
        <w:t>907 tis. </w:t>
      </w:r>
      <w:r w:rsidRPr="00174600">
        <w:rPr>
          <w:rFonts w:cs="Times New Roman"/>
          <w:color w:val="000000" w:themeColor="text1"/>
          <w:sz w:val="24"/>
          <w:szCs w:val="24"/>
        </w:rPr>
        <w:t>eur uhradila</w:t>
      </w:r>
      <w:r>
        <w:rPr>
          <w:rFonts w:cs="Times New Roman"/>
          <w:color w:val="000000" w:themeColor="text1"/>
          <w:sz w:val="24"/>
          <w:szCs w:val="24"/>
        </w:rPr>
        <w:t xml:space="preserve"> spoločnosť MAGNA ENERGIA, </w:t>
      </w:r>
      <w:proofErr w:type="spellStart"/>
      <w:r>
        <w:rPr>
          <w:rFonts w:cs="Times New Roman"/>
          <w:color w:val="000000" w:themeColor="text1"/>
          <w:sz w:val="24"/>
          <w:szCs w:val="24"/>
        </w:rPr>
        <w:t>a.s</w:t>
      </w:r>
      <w:proofErr w:type="spellEnd"/>
      <w:r>
        <w:rPr>
          <w:rFonts w:cs="Times New Roman"/>
          <w:color w:val="000000" w:themeColor="text1"/>
          <w:sz w:val="24"/>
          <w:szCs w:val="24"/>
        </w:rPr>
        <w:t xml:space="preserve">. </w:t>
      </w:r>
      <w:r w:rsidRPr="00174600">
        <w:rPr>
          <w:rFonts w:cs="Times New Roman"/>
          <w:color w:val="000000" w:themeColor="text1"/>
          <w:sz w:val="24"/>
          <w:szCs w:val="24"/>
        </w:rPr>
        <w:t>Príjmy z dobropisov uhradilo množstvo subjektov – vodárne, plynárne, elektrárne, správcovské spoločnosti, bytové podniky, spoločenstvá vlastníkov bytov, prenajímatelia priestorov a pod.</w:t>
      </w:r>
    </w:p>
    <w:p w14:paraId="4360C2A6" w14:textId="77777777" w:rsidR="00A57E96" w:rsidRPr="004E3BC6" w:rsidRDefault="00A57E96" w:rsidP="00A57E96">
      <w:pPr>
        <w:spacing w:line="240" w:lineRule="auto"/>
        <w:rPr>
          <w:color w:val="000000" w:themeColor="text1"/>
          <w:sz w:val="24"/>
          <w:szCs w:val="24"/>
        </w:rPr>
      </w:pPr>
      <w:r w:rsidRPr="00670FF1">
        <w:rPr>
          <w:b/>
          <w:i/>
          <w:color w:val="000000" w:themeColor="text1"/>
          <w:sz w:val="24"/>
          <w:szCs w:val="24"/>
        </w:rPr>
        <w:t xml:space="preserve">Zvyšnú časť iných nedaňových príjmov </w:t>
      </w:r>
      <w:r w:rsidRPr="00670FF1">
        <w:rPr>
          <w:color w:val="000000" w:themeColor="text1"/>
          <w:sz w:val="24"/>
          <w:szCs w:val="24"/>
        </w:rPr>
        <w:t xml:space="preserve">v hodnote 146 655 tis. eur tvorili v najvyššej výške príjmy kapitoly </w:t>
      </w:r>
      <w:r w:rsidRPr="00670FF1">
        <w:rPr>
          <w:color w:val="000000" w:themeColor="text1"/>
          <w:sz w:val="24"/>
          <w:szCs w:val="24"/>
          <w:u w:val="single"/>
        </w:rPr>
        <w:t>Ministerstva hospodárstva SR</w:t>
      </w:r>
      <w:r w:rsidRPr="00670FF1">
        <w:rPr>
          <w:color w:val="000000" w:themeColor="text1"/>
          <w:sz w:val="24"/>
          <w:szCs w:val="24"/>
        </w:rPr>
        <w:t xml:space="preserve"> v sume 68 236 tis. eur.</w:t>
      </w:r>
      <w:r w:rsidRPr="001F0656">
        <w:rPr>
          <w:color w:val="FF0000"/>
          <w:sz w:val="24"/>
          <w:szCs w:val="24"/>
        </w:rPr>
        <w:t xml:space="preserve"> </w:t>
      </w:r>
      <w:r w:rsidRPr="004E3BC6">
        <w:rPr>
          <w:color w:val="000000" w:themeColor="text1"/>
          <w:sz w:val="24"/>
          <w:szCs w:val="24"/>
        </w:rPr>
        <w:t xml:space="preserve">Išlo najmä o odvody prevádzkovateľov distribučných sústav a prenosovej sústavy, ktorí sú povinní odvádzať do štátneho rozpočtu odvod z množstva elektriny dodanej koncovým odberateľom elektriny (67 019 tis. eur). </w:t>
      </w:r>
    </w:p>
    <w:p w14:paraId="72182142" w14:textId="0D5A9BA9" w:rsidR="00A57E96" w:rsidRPr="00846964" w:rsidRDefault="00A57E96" w:rsidP="00A57E96">
      <w:pPr>
        <w:spacing w:line="240" w:lineRule="auto"/>
        <w:rPr>
          <w:rFonts w:cs="Times New Roman"/>
          <w:color w:val="000000" w:themeColor="text1"/>
          <w:sz w:val="24"/>
          <w:szCs w:val="24"/>
        </w:rPr>
      </w:pPr>
      <w:r w:rsidRPr="0076572C">
        <w:rPr>
          <w:rFonts w:cs="Times New Roman"/>
          <w:color w:val="000000" w:themeColor="text1"/>
          <w:sz w:val="24"/>
          <w:szCs w:val="24"/>
          <w:u w:val="single"/>
        </w:rPr>
        <w:lastRenderedPageBreak/>
        <w:t>Ministerstvo obrany SR</w:t>
      </w:r>
      <w:r w:rsidRPr="0076572C">
        <w:rPr>
          <w:rFonts w:cs="Times New Roman"/>
          <w:color w:val="000000" w:themeColor="text1"/>
          <w:sz w:val="24"/>
          <w:szCs w:val="24"/>
        </w:rPr>
        <w:t xml:space="preserve"> dosiahlo iné nedaňové príjmy v objeme 43 838 tis. eur </w:t>
      </w:r>
      <w:r w:rsidRPr="00846964">
        <w:rPr>
          <w:rFonts w:cs="Times New Roman"/>
          <w:color w:val="000000" w:themeColor="text1"/>
          <w:sz w:val="24"/>
          <w:szCs w:val="24"/>
        </w:rPr>
        <w:t xml:space="preserve">a išlo najmä o prijatý transfer </w:t>
      </w:r>
      <w:r w:rsidRPr="00D34E3A">
        <w:rPr>
          <w:rFonts w:cs="Times New Roman"/>
          <w:color w:val="000000" w:themeColor="text1"/>
          <w:sz w:val="24"/>
          <w:szCs w:val="24"/>
        </w:rPr>
        <w:t>41 </w:t>
      </w:r>
      <w:r>
        <w:rPr>
          <w:rFonts w:cs="Times New Roman"/>
          <w:color w:val="000000" w:themeColor="text1"/>
          <w:sz w:val="24"/>
          <w:szCs w:val="24"/>
        </w:rPr>
        <w:t>903</w:t>
      </w:r>
      <w:r w:rsidRPr="00846964">
        <w:rPr>
          <w:rFonts w:cs="Times New Roman"/>
          <w:color w:val="000000" w:themeColor="text1"/>
          <w:sz w:val="24"/>
          <w:szCs w:val="24"/>
        </w:rPr>
        <w:t> tis. eur z Európskeho mierového n</w:t>
      </w:r>
      <w:r>
        <w:rPr>
          <w:rFonts w:cs="Times New Roman"/>
          <w:color w:val="000000" w:themeColor="text1"/>
          <w:sz w:val="24"/>
          <w:szCs w:val="24"/>
        </w:rPr>
        <w:t>ástroja (EPF) ako refundácia za </w:t>
      </w:r>
      <w:r w:rsidRPr="00846964">
        <w:rPr>
          <w:rFonts w:cs="Times New Roman"/>
          <w:color w:val="000000" w:themeColor="text1"/>
          <w:sz w:val="24"/>
          <w:szCs w:val="24"/>
        </w:rPr>
        <w:t xml:space="preserve">pomoc Ukrajine v súvislosti s vojenským konfliktom. </w:t>
      </w:r>
      <w:r>
        <w:rPr>
          <w:rFonts w:cs="Times New Roman"/>
          <w:color w:val="000000" w:themeColor="text1"/>
          <w:sz w:val="24"/>
          <w:szCs w:val="24"/>
        </w:rPr>
        <w:t xml:space="preserve">Schválený rozpočet na tejto podpoložke bol len v sume 459 tis. eur, nakoľko o refundácii za pomoc Ukrajine bolo rozhodnuté až </w:t>
      </w:r>
      <w:r w:rsidR="00707336">
        <w:rPr>
          <w:rFonts w:cs="Times New Roman"/>
          <w:color w:val="000000" w:themeColor="text1"/>
          <w:sz w:val="24"/>
          <w:szCs w:val="24"/>
        </w:rPr>
        <w:t>po prijatí rozpočtu v Národnej rade SR</w:t>
      </w:r>
      <w:r>
        <w:rPr>
          <w:rFonts w:cs="Times New Roman"/>
          <w:color w:val="000000" w:themeColor="text1"/>
          <w:sz w:val="24"/>
          <w:szCs w:val="24"/>
        </w:rPr>
        <w:t>.</w:t>
      </w:r>
    </w:p>
    <w:p w14:paraId="22C0E1B5" w14:textId="77777777" w:rsidR="00A57E96" w:rsidRDefault="00A57E96" w:rsidP="00A57E96">
      <w:pPr>
        <w:spacing w:line="240" w:lineRule="auto"/>
        <w:rPr>
          <w:rFonts w:cs="Times New Roman"/>
          <w:color w:val="000000" w:themeColor="text1"/>
          <w:sz w:val="24"/>
          <w:szCs w:val="24"/>
        </w:rPr>
      </w:pPr>
      <w:r w:rsidRPr="00AE7235">
        <w:rPr>
          <w:color w:val="000000" w:themeColor="text1"/>
          <w:sz w:val="24"/>
          <w:szCs w:val="24"/>
        </w:rPr>
        <w:t xml:space="preserve">Príjmy kapitoly </w:t>
      </w:r>
      <w:r w:rsidRPr="00AE7235">
        <w:rPr>
          <w:color w:val="000000" w:themeColor="text1"/>
          <w:sz w:val="24"/>
          <w:szCs w:val="24"/>
          <w:u w:val="single"/>
        </w:rPr>
        <w:t>Ministerstva vnútra SR</w:t>
      </w:r>
      <w:r w:rsidRPr="00AE7235">
        <w:rPr>
          <w:color w:val="000000" w:themeColor="text1"/>
          <w:sz w:val="24"/>
          <w:szCs w:val="24"/>
        </w:rPr>
        <w:t xml:space="preserve"> v sume 13 882 tis. eur tvorili</w:t>
      </w:r>
      <w:r>
        <w:rPr>
          <w:color w:val="000000" w:themeColor="text1"/>
          <w:sz w:val="24"/>
          <w:szCs w:val="24"/>
        </w:rPr>
        <w:t xml:space="preserve"> </w:t>
      </w:r>
      <w:r w:rsidRPr="00AE7235">
        <w:rPr>
          <w:color w:val="000000" w:themeColor="text1"/>
          <w:sz w:val="24"/>
          <w:szCs w:val="24"/>
        </w:rPr>
        <w:t xml:space="preserve">odvody za odňatie poľnohospodárskej pôdy a lesnej pôdy, príjmy z predpísaných mánk a škôd, príjmy z trov konania, prepadnuté prostriedky v prospech štátu, príjmy z dedičského konania, príjmy </w:t>
      </w:r>
      <w:r w:rsidRPr="008E68FC">
        <w:rPr>
          <w:rFonts w:cs="Times New Roman"/>
          <w:color w:val="000000" w:themeColor="text1"/>
          <w:sz w:val="24"/>
          <w:szCs w:val="24"/>
        </w:rPr>
        <w:t>z poplatkov za obnovu evidencie pozemkov a iné.</w:t>
      </w:r>
      <w:r>
        <w:rPr>
          <w:rFonts w:cs="Times New Roman"/>
          <w:color w:val="000000" w:themeColor="text1"/>
          <w:sz w:val="24"/>
          <w:szCs w:val="24"/>
        </w:rPr>
        <w:t xml:space="preserve"> </w:t>
      </w:r>
      <w:r w:rsidRPr="008E68FC">
        <w:rPr>
          <w:rFonts w:cs="Times New Roman"/>
          <w:color w:val="000000" w:themeColor="text1"/>
          <w:sz w:val="24"/>
          <w:szCs w:val="24"/>
        </w:rPr>
        <w:t xml:space="preserve">Nakoľko na tejto </w:t>
      </w:r>
      <w:r>
        <w:rPr>
          <w:rFonts w:cs="Times New Roman"/>
          <w:color w:val="000000" w:themeColor="text1"/>
          <w:sz w:val="24"/>
          <w:szCs w:val="24"/>
        </w:rPr>
        <w:t>podpoložke</w:t>
      </w:r>
      <w:r w:rsidRPr="008E68FC">
        <w:rPr>
          <w:rFonts w:cs="Times New Roman"/>
          <w:color w:val="000000" w:themeColor="text1"/>
          <w:sz w:val="24"/>
          <w:szCs w:val="24"/>
        </w:rPr>
        <w:t xml:space="preserve"> sa vykazujú v prevažnej miere príjmy, ktoré nie je možné vopred odhadnúť, bol pri príprave návrhu rozpočtu plánovaný nižší rozpočet</w:t>
      </w:r>
      <w:r>
        <w:rPr>
          <w:rFonts w:cs="Times New Roman"/>
          <w:color w:val="000000" w:themeColor="text1"/>
          <w:sz w:val="24"/>
          <w:szCs w:val="24"/>
        </w:rPr>
        <w:t xml:space="preserve"> o 8 178 tis. eur.</w:t>
      </w:r>
      <w:r w:rsidRPr="008E68FC">
        <w:rPr>
          <w:rFonts w:cs="Times New Roman"/>
          <w:color w:val="000000" w:themeColor="text1"/>
          <w:sz w:val="24"/>
          <w:szCs w:val="24"/>
        </w:rPr>
        <w:t xml:space="preserve"> </w:t>
      </w:r>
    </w:p>
    <w:p w14:paraId="5C9F92A0" w14:textId="7AADDE4F" w:rsidR="00A57E96" w:rsidRDefault="00A57E96" w:rsidP="00A57E96">
      <w:pPr>
        <w:spacing w:line="240" w:lineRule="auto"/>
        <w:rPr>
          <w:rFonts w:cs="Times New Roman"/>
          <w:color w:val="000000" w:themeColor="text1"/>
          <w:sz w:val="24"/>
          <w:szCs w:val="24"/>
        </w:rPr>
      </w:pPr>
      <w:r>
        <w:rPr>
          <w:rFonts w:cs="Times New Roman"/>
          <w:color w:val="000000" w:themeColor="text1"/>
          <w:sz w:val="24"/>
          <w:szCs w:val="24"/>
        </w:rPr>
        <w:t xml:space="preserve">Najvyšší záporný rozdiel medzi schváleným rozpočtom a skutočnosťou bol zaznamenaný u kapitoly </w:t>
      </w:r>
      <w:r w:rsidRPr="006B669E">
        <w:rPr>
          <w:rFonts w:cs="Times New Roman"/>
          <w:color w:val="000000" w:themeColor="text1"/>
          <w:sz w:val="24"/>
          <w:szCs w:val="24"/>
          <w:u w:val="single"/>
        </w:rPr>
        <w:t>Všeobecná pokladničná správa</w:t>
      </w:r>
      <w:r w:rsidRPr="006B669E">
        <w:rPr>
          <w:rFonts w:cs="Times New Roman"/>
          <w:color w:val="000000" w:themeColor="text1"/>
          <w:sz w:val="24"/>
          <w:szCs w:val="24"/>
        </w:rPr>
        <w:t>,</w:t>
      </w:r>
      <w:r>
        <w:rPr>
          <w:rFonts w:cs="Times New Roman"/>
          <w:color w:val="000000" w:themeColor="text1"/>
          <w:sz w:val="24"/>
          <w:szCs w:val="24"/>
        </w:rPr>
        <w:t xml:space="preserve"> a to v sume až 774 694 tis. eur. </w:t>
      </w:r>
      <w:r>
        <w:rPr>
          <w:rFonts w:cs="Times New Roman"/>
          <w:sz w:val="24"/>
          <w:szCs w:val="24"/>
        </w:rPr>
        <w:t>N</w:t>
      </w:r>
      <w:r w:rsidRPr="006B669E">
        <w:rPr>
          <w:rFonts w:cs="Times New Roman"/>
          <w:sz w:val="24"/>
          <w:szCs w:val="24"/>
        </w:rPr>
        <w:t>a podpoložke</w:t>
      </w:r>
      <w:r w:rsidR="007A4C35">
        <w:rPr>
          <w:rFonts w:cs="Times New Roman"/>
          <w:sz w:val="24"/>
          <w:szCs w:val="24"/>
        </w:rPr>
        <w:t xml:space="preserve"> iných nedaňových príjmov</w:t>
      </w:r>
      <w:r w:rsidRPr="006B669E">
        <w:rPr>
          <w:rFonts w:cs="Times New Roman"/>
          <w:sz w:val="24"/>
          <w:szCs w:val="24"/>
        </w:rPr>
        <w:t xml:space="preserve"> bol rozpočtovaný</w:t>
      </w:r>
      <w:r w:rsidR="007A4C35">
        <w:rPr>
          <w:rFonts w:cs="Times New Roman"/>
          <w:sz w:val="24"/>
          <w:szCs w:val="24"/>
        </w:rPr>
        <w:t xml:space="preserve"> aj</w:t>
      </w:r>
      <w:r w:rsidRPr="006B669E">
        <w:rPr>
          <w:rFonts w:cs="Times New Roman"/>
          <w:sz w:val="24"/>
          <w:szCs w:val="24"/>
        </w:rPr>
        <w:t xml:space="preserve"> príjem podľa návrhu nariaden</w:t>
      </w:r>
      <w:r>
        <w:rPr>
          <w:rFonts w:cs="Times New Roman"/>
          <w:sz w:val="24"/>
          <w:szCs w:val="24"/>
        </w:rPr>
        <w:t>ia Rady EÚ</w:t>
      </w:r>
      <w:r w:rsidR="007A4C35">
        <w:rPr>
          <w:rFonts w:cs="Times New Roman"/>
          <w:sz w:val="24"/>
          <w:szCs w:val="24"/>
        </w:rPr>
        <w:t xml:space="preserve"> 2022/1854 o </w:t>
      </w:r>
      <w:r>
        <w:rPr>
          <w:rFonts w:cs="Times New Roman"/>
          <w:sz w:val="24"/>
          <w:szCs w:val="24"/>
        </w:rPr>
        <w:t>núdzovom zásahu</w:t>
      </w:r>
      <w:r w:rsidR="007A4C35">
        <w:rPr>
          <w:rFonts w:cs="Times New Roman"/>
          <w:sz w:val="24"/>
          <w:szCs w:val="24"/>
        </w:rPr>
        <w:t xml:space="preserve"> s cieľom riešiť vysoké ceny</w:t>
      </w:r>
      <w:r>
        <w:rPr>
          <w:rFonts w:cs="Times New Roman"/>
          <w:sz w:val="24"/>
          <w:szCs w:val="24"/>
        </w:rPr>
        <w:t xml:space="preserve"> </w:t>
      </w:r>
      <w:r w:rsidRPr="006B669E">
        <w:rPr>
          <w:rFonts w:cs="Times New Roman"/>
          <w:sz w:val="24"/>
          <w:szCs w:val="24"/>
        </w:rPr>
        <w:t>energie, ktorým sa členské štáty zav</w:t>
      </w:r>
      <w:r>
        <w:rPr>
          <w:rFonts w:cs="Times New Roman"/>
          <w:sz w:val="24"/>
          <w:szCs w:val="24"/>
        </w:rPr>
        <w:t>iazali</w:t>
      </w:r>
      <w:r w:rsidRPr="006B669E">
        <w:rPr>
          <w:rFonts w:cs="Times New Roman"/>
          <w:sz w:val="24"/>
          <w:szCs w:val="24"/>
        </w:rPr>
        <w:t xml:space="preserve"> prijať dve nové príjmové opatrenia, a to solidárny príspevok z </w:t>
      </w:r>
      <w:proofErr w:type="spellStart"/>
      <w:r w:rsidRPr="006B669E">
        <w:rPr>
          <w:rFonts w:cs="Times New Roman"/>
          <w:sz w:val="24"/>
          <w:szCs w:val="24"/>
        </w:rPr>
        <w:t>nadzisku</w:t>
      </w:r>
      <w:proofErr w:type="spellEnd"/>
      <w:r w:rsidRPr="006B669E">
        <w:rPr>
          <w:rFonts w:cs="Times New Roman"/>
          <w:sz w:val="24"/>
          <w:szCs w:val="24"/>
        </w:rPr>
        <w:t xml:space="preserve"> a </w:t>
      </w:r>
      <w:proofErr w:type="spellStart"/>
      <w:r w:rsidRPr="006B669E">
        <w:rPr>
          <w:rFonts w:cs="Times New Roman"/>
          <w:sz w:val="24"/>
          <w:szCs w:val="24"/>
        </w:rPr>
        <w:t>zastropovanie</w:t>
      </w:r>
      <w:proofErr w:type="spellEnd"/>
      <w:r w:rsidRPr="006B669E">
        <w:rPr>
          <w:rFonts w:cs="Times New Roman"/>
          <w:sz w:val="24"/>
          <w:szCs w:val="24"/>
        </w:rPr>
        <w:t xml:space="preserve"> príjmov z výroby</w:t>
      </w:r>
      <w:r>
        <w:rPr>
          <w:rFonts w:cs="Times New Roman"/>
          <w:sz w:val="24"/>
          <w:szCs w:val="24"/>
        </w:rPr>
        <w:t xml:space="preserve"> a predaja elektrickej energie. </w:t>
      </w:r>
      <w:r w:rsidRPr="006B669E">
        <w:rPr>
          <w:rFonts w:cs="Times New Roman"/>
          <w:sz w:val="24"/>
          <w:szCs w:val="24"/>
        </w:rPr>
        <w:t>V súvislosti s oboma opatreniami sa v kapitole na</w:t>
      </w:r>
      <w:r>
        <w:rPr>
          <w:rFonts w:cs="Times New Roman"/>
          <w:sz w:val="24"/>
          <w:szCs w:val="24"/>
        </w:rPr>
        <w:t xml:space="preserve"> rok 2023 rozpočtovala suma 775 000 tis. </w:t>
      </w:r>
      <w:r w:rsidRPr="006B669E">
        <w:rPr>
          <w:rFonts w:cs="Times New Roman"/>
          <w:sz w:val="24"/>
          <w:szCs w:val="24"/>
        </w:rPr>
        <w:t xml:space="preserve">eur, z toho na solidárny príspevok z </w:t>
      </w:r>
      <w:proofErr w:type="spellStart"/>
      <w:r w:rsidRPr="006B669E">
        <w:rPr>
          <w:rFonts w:cs="Times New Roman"/>
          <w:sz w:val="24"/>
          <w:szCs w:val="24"/>
        </w:rPr>
        <w:t>na</w:t>
      </w:r>
      <w:r>
        <w:rPr>
          <w:rFonts w:cs="Times New Roman"/>
          <w:sz w:val="24"/>
          <w:szCs w:val="24"/>
        </w:rPr>
        <w:t>dzisku</w:t>
      </w:r>
      <w:proofErr w:type="spellEnd"/>
      <w:r>
        <w:rPr>
          <w:rFonts w:cs="Times New Roman"/>
          <w:sz w:val="24"/>
          <w:szCs w:val="24"/>
        </w:rPr>
        <w:t xml:space="preserve"> suma 313 000 tis. eur a na </w:t>
      </w:r>
      <w:proofErr w:type="spellStart"/>
      <w:r w:rsidRPr="006B669E">
        <w:rPr>
          <w:rFonts w:cs="Times New Roman"/>
          <w:sz w:val="24"/>
          <w:szCs w:val="24"/>
        </w:rPr>
        <w:t>zastropovanie</w:t>
      </w:r>
      <w:proofErr w:type="spellEnd"/>
      <w:r w:rsidRPr="006B669E">
        <w:rPr>
          <w:rFonts w:cs="Times New Roman"/>
          <w:sz w:val="24"/>
          <w:szCs w:val="24"/>
        </w:rPr>
        <w:t xml:space="preserve"> p</w:t>
      </w:r>
      <w:r>
        <w:rPr>
          <w:rFonts w:cs="Times New Roman"/>
          <w:sz w:val="24"/>
          <w:szCs w:val="24"/>
        </w:rPr>
        <w:t>ríjmov suma 462 000 tis. </w:t>
      </w:r>
      <w:r w:rsidRPr="006B669E">
        <w:rPr>
          <w:rFonts w:cs="Times New Roman"/>
          <w:sz w:val="24"/>
          <w:szCs w:val="24"/>
        </w:rPr>
        <w:t>eur.</w:t>
      </w:r>
      <w:r>
        <w:rPr>
          <w:rFonts w:cs="Times New Roman"/>
          <w:color w:val="000000" w:themeColor="text1"/>
          <w:sz w:val="24"/>
          <w:szCs w:val="24"/>
        </w:rPr>
        <w:t xml:space="preserve"> Skutočné </w:t>
      </w:r>
      <w:r>
        <w:rPr>
          <w:rFonts w:cs="Times New Roman"/>
          <w:sz w:val="24"/>
          <w:szCs w:val="24"/>
        </w:rPr>
        <w:t>p</w:t>
      </w:r>
      <w:r w:rsidRPr="006B669E">
        <w:rPr>
          <w:rFonts w:cs="Times New Roman"/>
          <w:sz w:val="24"/>
          <w:szCs w:val="24"/>
        </w:rPr>
        <w:t>lnenie príjmov na tejto podpoložke</w:t>
      </w:r>
      <w:r>
        <w:rPr>
          <w:rFonts w:cs="Times New Roman"/>
          <w:sz w:val="24"/>
          <w:szCs w:val="24"/>
        </w:rPr>
        <w:t xml:space="preserve"> v objeme 406 tis. eur</w:t>
      </w:r>
      <w:r w:rsidRPr="006B669E">
        <w:rPr>
          <w:rFonts w:cs="Times New Roman"/>
          <w:sz w:val="24"/>
          <w:szCs w:val="24"/>
        </w:rPr>
        <w:t xml:space="preserve"> súvi</w:t>
      </w:r>
      <w:r>
        <w:rPr>
          <w:rFonts w:cs="Times New Roman"/>
          <w:sz w:val="24"/>
          <w:szCs w:val="24"/>
        </w:rPr>
        <w:t>selo</w:t>
      </w:r>
      <w:r w:rsidRPr="006B669E">
        <w:rPr>
          <w:rFonts w:cs="Times New Roman"/>
          <w:sz w:val="24"/>
          <w:szCs w:val="24"/>
        </w:rPr>
        <w:t xml:space="preserve"> s presunutím sledovania prí</w:t>
      </w:r>
      <w:r>
        <w:rPr>
          <w:rFonts w:cs="Times New Roman"/>
          <w:sz w:val="24"/>
          <w:szCs w:val="24"/>
        </w:rPr>
        <w:t>jmov zo solidárneho príspevku z </w:t>
      </w:r>
      <w:r w:rsidRPr="006B669E">
        <w:rPr>
          <w:rFonts w:cs="Times New Roman"/>
          <w:sz w:val="24"/>
          <w:szCs w:val="24"/>
        </w:rPr>
        <w:t>činností v odvetviach ropy, zemného plynu, uhlia a rafinérií a z odvodu z nadmerných príjmov elektrární pôvodne rozpočtovaných v rámci nedaňových príjmov kapitoly do daňových príjmov.</w:t>
      </w:r>
    </w:p>
    <w:p w14:paraId="70C8F4F7" w14:textId="77777777" w:rsidR="00A57E96" w:rsidRPr="00601AD1" w:rsidRDefault="00A57E96" w:rsidP="00A57E96">
      <w:pPr>
        <w:spacing w:line="240" w:lineRule="auto"/>
        <w:rPr>
          <w:rFonts w:cs="Times New Roman"/>
          <w:color w:val="000000" w:themeColor="text1"/>
          <w:sz w:val="24"/>
          <w:szCs w:val="24"/>
        </w:rPr>
      </w:pPr>
      <w:r>
        <w:rPr>
          <w:b/>
          <w:i/>
        </w:rPr>
        <w:t>Podrobné údaje o plnení nedaňových príjmov štátneho rozpočtu v roku 2023 sú uvedené v tab. č. 3 tabuľkovej prílohy štátneho záverečného účtu.</w:t>
      </w:r>
    </w:p>
    <w:p w14:paraId="091187D4" w14:textId="5DAD80CB" w:rsidR="00EA177A" w:rsidRDefault="00EA177A" w:rsidP="002C6402">
      <w:pPr>
        <w:pStyle w:val="Nadpis3"/>
        <w:spacing w:line="336" w:lineRule="auto"/>
      </w:pPr>
      <w:bookmarkStart w:id="44" w:name="_Toc6415644"/>
      <w:bookmarkStart w:id="45" w:name="_Toc164846942"/>
      <w:r w:rsidRPr="001205D5">
        <w:t>Granty</w:t>
      </w:r>
      <w:r>
        <w:t xml:space="preserve"> a</w:t>
      </w:r>
      <w:r w:rsidR="00B2402D">
        <w:t> </w:t>
      </w:r>
      <w:r>
        <w:t>transfery</w:t>
      </w:r>
      <w:bookmarkEnd w:id="44"/>
      <w:bookmarkEnd w:id="45"/>
    </w:p>
    <w:p w14:paraId="6E462631" w14:textId="6C40E4FA" w:rsidR="00B2402D" w:rsidRPr="006D74D3" w:rsidRDefault="00B2402D" w:rsidP="00B2402D">
      <w:pPr>
        <w:spacing w:after="0" w:line="240" w:lineRule="auto"/>
        <w:rPr>
          <w:sz w:val="24"/>
          <w:szCs w:val="24"/>
          <w:highlight w:val="yellow"/>
        </w:rPr>
      </w:pPr>
      <w:r w:rsidRPr="001464E5">
        <w:rPr>
          <w:sz w:val="24"/>
          <w:szCs w:val="24"/>
        </w:rPr>
        <w:t xml:space="preserve">Hotovostný príjem z grantov a transferov bol na rok 2023 rozpočtovaný v celkovej výške 7 774 037 tis. eur (z toho tuzemské v čiastke 45 232 tis. eur), čo je oproti roku </w:t>
      </w:r>
      <w:r w:rsidRPr="00A108B6">
        <w:rPr>
          <w:sz w:val="24"/>
          <w:szCs w:val="24"/>
        </w:rPr>
        <w:t>2022 viac o 3 282 810</w:t>
      </w:r>
      <w:r w:rsidRPr="00A108B6">
        <w:rPr>
          <w:rFonts w:ascii="Calibri" w:eastAsia="Times New Roman" w:hAnsi="Calibri" w:cs="Calibri"/>
          <w:color w:val="000000"/>
          <w:lang w:eastAsia="sk-SK"/>
        </w:rPr>
        <w:t> </w:t>
      </w:r>
      <w:r w:rsidRPr="00A108B6">
        <w:rPr>
          <w:sz w:val="24"/>
          <w:szCs w:val="24"/>
        </w:rPr>
        <w:t xml:space="preserve">tis. eur. </w:t>
      </w:r>
      <w:r w:rsidRPr="003E6208">
        <w:rPr>
          <w:sz w:val="24"/>
          <w:szCs w:val="24"/>
        </w:rPr>
        <w:t>Skutočné príjmy štátneho rozpočtu z grantov a transfero</w:t>
      </w:r>
      <w:r w:rsidR="00250806">
        <w:rPr>
          <w:sz w:val="24"/>
          <w:szCs w:val="24"/>
        </w:rPr>
        <w:t>v dosiahli sumu 4 509 343</w:t>
      </w:r>
      <w:r w:rsidRPr="003E6208">
        <w:rPr>
          <w:sz w:val="24"/>
          <w:szCs w:val="24"/>
        </w:rPr>
        <w:t xml:space="preserve"> tis. eur a v porovnaní s rokom </w:t>
      </w:r>
      <w:r w:rsidRPr="007A6D42">
        <w:rPr>
          <w:sz w:val="24"/>
          <w:szCs w:val="24"/>
        </w:rPr>
        <w:t xml:space="preserve">2022 je to viac </w:t>
      </w:r>
      <w:r w:rsidRPr="002400B7">
        <w:rPr>
          <w:sz w:val="24"/>
          <w:szCs w:val="24"/>
        </w:rPr>
        <w:t>o 2 281 766</w:t>
      </w:r>
      <w:r w:rsidRPr="007A6D42">
        <w:rPr>
          <w:rFonts w:ascii="Calibri" w:eastAsia="Times New Roman" w:hAnsi="Calibri" w:cs="Calibri"/>
          <w:color w:val="000000"/>
          <w:lang w:eastAsia="sk-SK"/>
        </w:rPr>
        <w:t> </w:t>
      </w:r>
      <w:r w:rsidRPr="007A6D42">
        <w:rPr>
          <w:sz w:val="24"/>
          <w:szCs w:val="24"/>
        </w:rPr>
        <w:t xml:space="preserve">tis. eur. </w:t>
      </w:r>
      <w:r w:rsidRPr="007506C3">
        <w:rPr>
          <w:sz w:val="24"/>
          <w:szCs w:val="24"/>
        </w:rPr>
        <w:t xml:space="preserve">Rozhodujúcu časť týchto prostriedkov ako v rozpočte tak aj v skutočnom plnení tvoria zdroje z rozpočtu EÚ (Európske štrukturálne a investičné fondy – EŠIF), alokované a čerpané v rámci príslušných programových období (aktuálne ako aj dobiehajúce programové obdobia). </w:t>
      </w:r>
    </w:p>
    <w:p w14:paraId="1434087C" w14:textId="77777777" w:rsidR="00B2402D" w:rsidRPr="008D7604" w:rsidRDefault="00B2402D" w:rsidP="00B2402D">
      <w:pPr>
        <w:spacing w:line="240" w:lineRule="auto"/>
        <w:rPr>
          <w:sz w:val="24"/>
          <w:szCs w:val="24"/>
        </w:rPr>
      </w:pPr>
      <w:r w:rsidRPr="008D7604">
        <w:rPr>
          <w:sz w:val="24"/>
          <w:szCs w:val="24"/>
        </w:rPr>
        <w:t>Súhrnný prehľad o plnení grantov a transferov poskytuje nasledovná tabuľka:</w:t>
      </w:r>
    </w:p>
    <w:tbl>
      <w:tblPr>
        <w:tblW w:w="9214" w:type="dxa"/>
        <w:tblCellMar>
          <w:left w:w="70" w:type="dxa"/>
          <w:right w:w="70" w:type="dxa"/>
        </w:tblCellMar>
        <w:tblLook w:val="04A0" w:firstRow="1" w:lastRow="0" w:firstColumn="1" w:lastColumn="0" w:noHBand="0" w:noVBand="1"/>
      </w:tblPr>
      <w:tblGrid>
        <w:gridCol w:w="3402"/>
        <w:gridCol w:w="905"/>
        <w:gridCol w:w="938"/>
        <w:gridCol w:w="992"/>
        <w:gridCol w:w="993"/>
        <w:gridCol w:w="1134"/>
        <w:gridCol w:w="850"/>
      </w:tblGrid>
      <w:tr w:rsidR="00B2402D" w:rsidRPr="00385988" w14:paraId="42929555" w14:textId="77777777" w:rsidTr="002C6402">
        <w:trPr>
          <w:trHeight w:val="528"/>
        </w:trPr>
        <w:tc>
          <w:tcPr>
            <w:tcW w:w="7230" w:type="dxa"/>
            <w:gridSpan w:val="5"/>
            <w:tcBorders>
              <w:top w:val="nil"/>
              <w:left w:val="nil"/>
              <w:bottom w:val="single" w:sz="4" w:space="0" w:color="auto"/>
              <w:right w:val="nil"/>
            </w:tcBorders>
            <w:shd w:val="clear" w:color="auto" w:fill="auto"/>
            <w:noWrap/>
            <w:vAlign w:val="center"/>
            <w:hideMark/>
          </w:tcPr>
          <w:p w14:paraId="2B363911" w14:textId="787C08D0" w:rsidR="00B2402D" w:rsidRPr="00385988" w:rsidRDefault="00B2402D" w:rsidP="004A6E2F">
            <w:pPr>
              <w:spacing w:after="0" w:line="240" w:lineRule="auto"/>
              <w:jc w:val="left"/>
              <w:rPr>
                <w:rFonts w:eastAsia="Times New Roman" w:cs="Times New Roman"/>
                <w:b/>
                <w:bCs/>
                <w:color w:val="4F81BD"/>
                <w:sz w:val="20"/>
                <w:szCs w:val="20"/>
                <w:lang w:eastAsia="sk-SK"/>
              </w:rPr>
            </w:pPr>
            <w:r w:rsidRPr="00385988">
              <w:rPr>
                <w:rFonts w:eastAsia="Times New Roman" w:cs="Times New Roman"/>
                <w:b/>
                <w:bCs/>
                <w:color w:val="4F81BD"/>
                <w:sz w:val="20"/>
                <w:szCs w:val="20"/>
                <w:lang w:eastAsia="sk-SK"/>
              </w:rPr>
              <w:t xml:space="preserve">Tabuľka </w:t>
            </w:r>
            <w:r w:rsidR="00512DAF" w:rsidRPr="00385988">
              <w:rPr>
                <w:rFonts w:eastAsia="Times New Roman" w:cs="Times New Roman"/>
                <w:b/>
                <w:bCs/>
                <w:color w:val="4F81BD"/>
                <w:sz w:val="20"/>
                <w:szCs w:val="20"/>
                <w:lang w:eastAsia="sk-SK"/>
              </w:rPr>
              <w:t>3</w:t>
            </w:r>
            <w:r w:rsidR="004A6E2F">
              <w:rPr>
                <w:rFonts w:eastAsia="Times New Roman" w:cs="Times New Roman"/>
                <w:b/>
                <w:bCs/>
                <w:color w:val="4F81BD"/>
                <w:sz w:val="20"/>
                <w:szCs w:val="20"/>
                <w:lang w:eastAsia="sk-SK"/>
              </w:rPr>
              <w:t>1</w:t>
            </w:r>
            <w:r w:rsidRPr="00385988">
              <w:rPr>
                <w:rFonts w:eastAsia="Times New Roman" w:cs="Times New Roman"/>
                <w:b/>
                <w:bCs/>
                <w:color w:val="4F81BD"/>
                <w:sz w:val="20"/>
                <w:szCs w:val="20"/>
                <w:lang w:eastAsia="sk-SK"/>
              </w:rPr>
              <w:t xml:space="preserve"> - Granty a transfery</w:t>
            </w:r>
          </w:p>
        </w:tc>
        <w:tc>
          <w:tcPr>
            <w:tcW w:w="1134" w:type="dxa"/>
            <w:tcBorders>
              <w:top w:val="nil"/>
              <w:left w:val="nil"/>
              <w:bottom w:val="single" w:sz="4" w:space="0" w:color="auto"/>
              <w:right w:val="nil"/>
            </w:tcBorders>
            <w:shd w:val="clear" w:color="auto" w:fill="auto"/>
            <w:noWrap/>
            <w:vAlign w:val="center"/>
          </w:tcPr>
          <w:p w14:paraId="5A38079B" w14:textId="02876469" w:rsidR="00B2402D" w:rsidRPr="00385988" w:rsidRDefault="00B2402D" w:rsidP="00D2560E">
            <w:pPr>
              <w:spacing w:after="0" w:line="240" w:lineRule="auto"/>
              <w:jc w:val="left"/>
              <w:rPr>
                <w:rFonts w:eastAsia="Times New Roman" w:cs="Times New Roman"/>
                <w:b/>
                <w:bCs/>
                <w:color w:val="4F81BD"/>
                <w:sz w:val="20"/>
                <w:szCs w:val="20"/>
                <w:lang w:eastAsia="sk-SK"/>
              </w:rPr>
            </w:pPr>
          </w:p>
        </w:tc>
        <w:tc>
          <w:tcPr>
            <w:tcW w:w="850" w:type="dxa"/>
            <w:tcBorders>
              <w:top w:val="nil"/>
              <w:left w:val="nil"/>
              <w:bottom w:val="single" w:sz="4" w:space="0" w:color="auto"/>
              <w:right w:val="nil"/>
            </w:tcBorders>
            <w:shd w:val="clear" w:color="auto" w:fill="auto"/>
            <w:noWrap/>
            <w:vAlign w:val="center"/>
            <w:hideMark/>
          </w:tcPr>
          <w:p w14:paraId="3288BB9F" w14:textId="76B5B4C5" w:rsidR="00B2402D" w:rsidRPr="00385988" w:rsidRDefault="00B2402D" w:rsidP="00D2560E">
            <w:pPr>
              <w:spacing w:after="0" w:line="240" w:lineRule="auto"/>
              <w:jc w:val="left"/>
              <w:rPr>
                <w:rFonts w:eastAsia="Times New Roman" w:cs="Times New Roman"/>
                <w:b/>
                <w:bCs/>
                <w:color w:val="4F81BD"/>
                <w:sz w:val="20"/>
                <w:szCs w:val="20"/>
                <w:lang w:eastAsia="sk-SK"/>
              </w:rPr>
            </w:pPr>
          </w:p>
        </w:tc>
      </w:tr>
      <w:tr w:rsidR="00B2402D" w:rsidRPr="00385988" w14:paraId="5CB81EE3" w14:textId="77777777" w:rsidTr="00385988">
        <w:trPr>
          <w:trHeight w:val="288"/>
        </w:trPr>
        <w:tc>
          <w:tcPr>
            <w:tcW w:w="3402" w:type="dxa"/>
            <w:vMerge w:val="restart"/>
            <w:tcBorders>
              <w:top w:val="single" w:sz="4" w:space="0" w:color="auto"/>
              <w:left w:val="nil"/>
              <w:right w:val="nil"/>
            </w:tcBorders>
            <w:shd w:val="clear" w:color="auto" w:fill="auto"/>
            <w:vAlign w:val="center"/>
            <w:hideMark/>
          </w:tcPr>
          <w:p w14:paraId="0C77BE2A" w14:textId="77777777" w:rsidR="00B2402D" w:rsidRPr="00385988" w:rsidRDefault="00B2402D" w:rsidP="00D2560E">
            <w:pPr>
              <w:spacing w:after="0" w:line="240" w:lineRule="auto"/>
              <w:jc w:val="left"/>
              <w:rPr>
                <w:rFonts w:eastAsia="Times New Roman" w:cs="Times New Roman"/>
                <w:b/>
                <w:bCs/>
                <w:sz w:val="18"/>
                <w:szCs w:val="18"/>
                <w:lang w:eastAsia="sk-SK"/>
              </w:rPr>
            </w:pPr>
            <w:r w:rsidRPr="00385988">
              <w:rPr>
                <w:rFonts w:eastAsia="Times New Roman" w:cs="Times New Roman"/>
                <w:b/>
                <w:bCs/>
                <w:sz w:val="18"/>
                <w:szCs w:val="18"/>
                <w:lang w:eastAsia="sk-SK"/>
              </w:rPr>
              <w:t>v tis. eur</w:t>
            </w:r>
          </w:p>
        </w:tc>
        <w:tc>
          <w:tcPr>
            <w:tcW w:w="905" w:type="dxa"/>
            <w:tcBorders>
              <w:top w:val="single" w:sz="4" w:space="0" w:color="auto"/>
              <w:left w:val="nil"/>
              <w:bottom w:val="nil"/>
              <w:right w:val="nil"/>
            </w:tcBorders>
            <w:shd w:val="clear" w:color="auto" w:fill="auto"/>
            <w:vAlign w:val="center"/>
            <w:hideMark/>
          </w:tcPr>
          <w:p w14:paraId="68C71464" w14:textId="77777777" w:rsidR="00B2402D" w:rsidRPr="00385988" w:rsidRDefault="00B2402D" w:rsidP="00D2560E">
            <w:pPr>
              <w:spacing w:after="0" w:line="240" w:lineRule="auto"/>
              <w:jc w:val="center"/>
              <w:rPr>
                <w:rFonts w:eastAsia="Times New Roman" w:cs="Times New Roman"/>
                <w:b/>
                <w:bCs/>
                <w:sz w:val="18"/>
                <w:szCs w:val="18"/>
                <w:lang w:eastAsia="sk-SK"/>
              </w:rPr>
            </w:pPr>
            <w:r w:rsidRPr="00385988">
              <w:rPr>
                <w:rFonts w:eastAsia="Times New Roman" w:cs="Times New Roman"/>
                <w:b/>
                <w:bCs/>
                <w:sz w:val="18"/>
                <w:szCs w:val="18"/>
                <w:lang w:eastAsia="sk-SK"/>
              </w:rPr>
              <w:t>2021 S</w:t>
            </w:r>
          </w:p>
        </w:tc>
        <w:tc>
          <w:tcPr>
            <w:tcW w:w="938" w:type="dxa"/>
            <w:tcBorders>
              <w:top w:val="single" w:sz="4" w:space="0" w:color="auto"/>
              <w:left w:val="nil"/>
              <w:bottom w:val="nil"/>
              <w:right w:val="nil"/>
            </w:tcBorders>
            <w:shd w:val="clear" w:color="auto" w:fill="auto"/>
            <w:vAlign w:val="center"/>
            <w:hideMark/>
          </w:tcPr>
          <w:p w14:paraId="386636F1" w14:textId="77777777" w:rsidR="00B2402D" w:rsidRPr="00385988" w:rsidRDefault="00B2402D" w:rsidP="00D2560E">
            <w:pPr>
              <w:spacing w:after="0" w:line="240" w:lineRule="auto"/>
              <w:jc w:val="center"/>
              <w:rPr>
                <w:rFonts w:eastAsia="Times New Roman" w:cs="Times New Roman"/>
                <w:b/>
                <w:bCs/>
                <w:sz w:val="18"/>
                <w:szCs w:val="18"/>
                <w:lang w:eastAsia="sk-SK"/>
              </w:rPr>
            </w:pPr>
            <w:r w:rsidRPr="00385988">
              <w:rPr>
                <w:rFonts w:eastAsia="Times New Roman" w:cs="Times New Roman"/>
                <w:b/>
                <w:bCs/>
                <w:sz w:val="18"/>
                <w:szCs w:val="18"/>
                <w:lang w:eastAsia="sk-SK"/>
              </w:rPr>
              <w:t>2022 S</w:t>
            </w:r>
          </w:p>
        </w:tc>
        <w:tc>
          <w:tcPr>
            <w:tcW w:w="992" w:type="dxa"/>
            <w:tcBorders>
              <w:top w:val="single" w:sz="4" w:space="0" w:color="auto"/>
              <w:left w:val="nil"/>
              <w:bottom w:val="nil"/>
              <w:right w:val="nil"/>
            </w:tcBorders>
            <w:shd w:val="clear" w:color="auto" w:fill="auto"/>
            <w:vAlign w:val="center"/>
            <w:hideMark/>
          </w:tcPr>
          <w:p w14:paraId="445683A2" w14:textId="77777777" w:rsidR="00B2402D" w:rsidRPr="00385988" w:rsidRDefault="00B2402D" w:rsidP="00D2560E">
            <w:pPr>
              <w:spacing w:after="0" w:line="240" w:lineRule="auto"/>
              <w:jc w:val="center"/>
              <w:rPr>
                <w:rFonts w:eastAsia="Times New Roman" w:cs="Times New Roman"/>
                <w:b/>
                <w:bCs/>
                <w:sz w:val="18"/>
                <w:szCs w:val="18"/>
                <w:lang w:eastAsia="sk-SK"/>
              </w:rPr>
            </w:pPr>
            <w:r w:rsidRPr="00385988">
              <w:rPr>
                <w:rFonts w:eastAsia="Times New Roman" w:cs="Times New Roman"/>
                <w:b/>
                <w:bCs/>
                <w:sz w:val="18"/>
                <w:szCs w:val="18"/>
                <w:lang w:eastAsia="sk-SK"/>
              </w:rPr>
              <w:t>2023 R</w:t>
            </w:r>
          </w:p>
        </w:tc>
        <w:tc>
          <w:tcPr>
            <w:tcW w:w="993" w:type="dxa"/>
            <w:tcBorders>
              <w:top w:val="single" w:sz="4" w:space="0" w:color="auto"/>
              <w:left w:val="nil"/>
              <w:bottom w:val="nil"/>
              <w:right w:val="nil"/>
            </w:tcBorders>
            <w:shd w:val="clear" w:color="auto" w:fill="FFFFFF" w:themeFill="background1"/>
            <w:vAlign w:val="center"/>
            <w:hideMark/>
          </w:tcPr>
          <w:p w14:paraId="4604ADA6" w14:textId="77777777" w:rsidR="00B2402D" w:rsidRPr="00385988" w:rsidRDefault="00B2402D" w:rsidP="00D2560E">
            <w:pPr>
              <w:spacing w:after="0" w:line="240" w:lineRule="auto"/>
              <w:jc w:val="center"/>
              <w:rPr>
                <w:rFonts w:eastAsia="Times New Roman" w:cs="Times New Roman"/>
                <w:b/>
                <w:bCs/>
                <w:sz w:val="18"/>
                <w:szCs w:val="18"/>
                <w:lang w:eastAsia="sk-SK"/>
              </w:rPr>
            </w:pPr>
            <w:r w:rsidRPr="00385988">
              <w:rPr>
                <w:rFonts w:eastAsia="Times New Roman" w:cs="Times New Roman"/>
                <w:b/>
                <w:bCs/>
                <w:sz w:val="18"/>
                <w:szCs w:val="18"/>
                <w:lang w:eastAsia="sk-SK"/>
              </w:rPr>
              <w:t>2023 S</w:t>
            </w:r>
          </w:p>
        </w:tc>
        <w:tc>
          <w:tcPr>
            <w:tcW w:w="1134" w:type="dxa"/>
            <w:tcBorders>
              <w:top w:val="single" w:sz="4" w:space="0" w:color="auto"/>
              <w:left w:val="nil"/>
              <w:bottom w:val="nil"/>
              <w:right w:val="nil"/>
            </w:tcBorders>
            <w:shd w:val="clear" w:color="auto" w:fill="auto"/>
            <w:vAlign w:val="center"/>
            <w:hideMark/>
          </w:tcPr>
          <w:p w14:paraId="3C86A44E" w14:textId="77777777" w:rsidR="00B2402D" w:rsidRPr="00385988" w:rsidRDefault="00B2402D" w:rsidP="00D2560E">
            <w:pPr>
              <w:spacing w:after="0" w:line="240" w:lineRule="auto"/>
              <w:jc w:val="center"/>
              <w:rPr>
                <w:rFonts w:eastAsia="Times New Roman" w:cs="Times New Roman"/>
                <w:b/>
                <w:bCs/>
                <w:sz w:val="18"/>
                <w:szCs w:val="18"/>
                <w:lang w:eastAsia="sk-SK"/>
              </w:rPr>
            </w:pPr>
            <w:r w:rsidRPr="00385988">
              <w:rPr>
                <w:rFonts w:eastAsia="Times New Roman" w:cs="Times New Roman"/>
                <w:b/>
                <w:bCs/>
                <w:sz w:val="18"/>
                <w:szCs w:val="18"/>
                <w:lang w:eastAsia="sk-SK"/>
              </w:rPr>
              <w:t>Rozdiel</w:t>
            </w:r>
          </w:p>
        </w:tc>
        <w:tc>
          <w:tcPr>
            <w:tcW w:w="850" w:type="dxa"/>
            <w:tcBorders>
              <w:top w:val="single" w:sz="4" w:space="0" w:color="auto"/>
              <w:left w:val="nil"/>
              <w:bottom w:val="nil"/>
              <w:right w:val="nil"/>
            </w:tcBorders>
            <w:shd w:val="clear" w:color="auto" w:fill="auto"/>
            <w:vAlign w:val="center"/>
            <w:hideMark/>
          </w:tcPr>
          <w:p w14:paraId="145A0680" w14:textId="77777777" w:rsidR="00B2402D" w:rsidRPr="00385988" w:rsidRDefault="00B2402D" w:rsidP="00D2560E">
            <w:pPr>
              <w:spacing w:after="0" w:line="240" w:lineRule="auto"/>
              <w:jc w:val="center"/>
              <w:rPr>
                <w:rFonts w:eastAsia="Times New Roman" w:cs="Times New Roman"/>
                <w:b/>
                <w:bCs/>
                <w:sz w:val="18"/>
                <w:szCs w:val="18"/>
                <w:lang w:eastAsia="sk-SK"/>
              </w:rPr>
            </w:pPr>
            <w:r w:rsidRPr="00385988">
              <w:rPr>
                <w:rFonts w:eastAsia="Times New Roman" w:cs="Times New Roman"/>
                <w:b/>
                <w:bCs/>
                <w:sz w:val="18"/>
                <w:szCs w:val="18"/>
                <w:lang w:eastAsia="sk-SK"/>
              </w:rPr>
              <w:t>v %</w:t>
            </w:r>
          </w:p>
        </w:tc>
      </w:tr>
      <w:tr w:rsidR="00B2402D" w:rsidRPr="00385988" w14:paraId="3DB1AC41" w14:textId="77777777" w:rsidTr="00385988">
        <w:trPr>
          <w:trHeight w:val="288"/>
        </w:trPr>
        <w:tc>
          <w:tcPr>
            <w:tcW w:w="3402" w:type="dxa"/>
            <w:vMerge/>
            <w:tcBorders>
              <w:left w:val="nil"/>
              <w:bottom w:val="single" w:sz="4" w:space="0" w:color="auto"/>
              <w:right w:val="nil"/>
            </w:tcBorders>
            <w:shd w:val="clear" w:color="auto" w:fill="auto"/>
            <w:vAlign w:val="center"/>
            <w:hideMark/>
          </w:tcPr>
          <w:p w14:paraId="1E85C1C2" w14:textId="77777777" w:rsidR="00B2402D" w:rsidRPr="00385988" w:rsidRDefault="00B2402D" w:rsidP="00D2560E">
            <w:pPr>
              <w:spacing w:after="0" w:line="240" w:lineRule="auto"/>
              <w:jc w:val="left"/>
              <w:rPr>
                <w:rFonts w:eastAsia="Times New Roman" w:cs="Times New Roman"/>
                <w:b/>
                <w:bCs/>
                <w:sz w:val="18"/>
                <w:szCs w:val="18"/>
                <w:lang w:eastAsia="sk-SK"/>
              </w:rPr>
            </w:pPr>
          </w:p>
        </w:tc>
        <w:tc>
          <w:tcPr>
            <w:tcW w:w="905" w:type="dxa"/>
            <w:tcBorders>
              <w:top w:val="nil"/>
              <w:left w:val="nil"/>
              <w:bottom w:val="single" w:sz="4" w:space="0" w:color="auto"/>
              <w:right w:val="nil"/>
            </w:tcBorders>
            <w:shd w:val="clear" w:color="auto" w:fill="auto"/>
            <w:vAlign w:val="center"/>
            <w:hideMark/>
          </w:tcPr>
          <w:p w14:paraId="0C66FA69" w14:textId="77777777" w:rsidR="00B2402D" w:rsidRPr="00385988" w:rsidRDefault="00B2402D" w:rsidP="00D2560E">
            <w:pPr>
              <w:spacing w:after="0" w:line="240" w:lineRule="auto"/>
              <w:jc w:val="center"/>
              <w:rPr>
                <w:rFonts w:eastAsia="Times New Roman" w:cs="Times New Roman"/>
                <w:b/>
                <w:bCs/>
                <w:sz w:val="18"/>
                <w:szCs w:val="18"/>
                <w:lang w:eastAsia="sk-SK"/>
              </w:rPr>
            </w:pPr>
            <w:r w:rsidRPr="00385988">
              <w:rPr>
                <w:rFonts w:eastAsia="Times New Roman" w:cs="Times New Roman"/>
                <w:b/>
                <w:bCs/>
                <w:sz w:val="18"/>
                <w:szCs w:val="18"/>
                <w:lang w:eastAsia="sk-SK"/>
              </w:rPr>
              <w:t>1</w:t>
            </w:r>
          </w:p>
        </w:tc>
        <w:tc>
          <w:tcPr>
            <w:tcW w:w="938" w:type="dxa"/>
            <w:tcBorders>
              <w:top w:val="nil"/>
              <w:left w:val="nil"/>
              <w:bottom w:val="single" w:sz="4" w:space="0" w:color="auto"/>
              <w:right w:val="nil"/>
            </w:tcBorders>
            <w:shd w:val="clear" w:color="auto" w:fill="auto"/>
            <w:vAlign w:val="center"/>
            <w:hideMark/>
          </w:tcPr>
          <w:p w14:paraId="65A133D5" w14:textId="77777777" w:rsidR="00B2402D" w:rsidRPr="00385988" w:rsidRDefault="00B2402D" w:rsidP="00D2560E">
            <w:pPr>
              <w:spacing w:after="0" w:line="240" w:lineRule="auto"/>
              <w:jc w:val="center"/>
              <w:rPr>
                <w:rFonts w:eastAsia="Times New Roman" w:cs="Times New Roman"/>
                <w:b/>
                <w:bCs/>
                <w:sz w:val="18"/>
                <w:szCs w:val="18"/>
                <w:lang w:eastAsia="sk-SK"/>
              </w:rPr>
            </w:pPr>
            <w:r w:rsidRPr="00385988">
              <w:rPr>
                <w:rFonts w:eastAsia="Times New Roman" w:cs="Times New Roman"/>
                <w:b/>
                <w:bCs/>
                <w:sz w:val="18"/>
                <w:szCs w:val="18"/>
                <w:lang w:eastAsia="sk-SK"/>
              </w:rPr>
              <w:t>2</w:t>
            </w:r>
          </w:p>
        </w:tc>
        <w:tc>
          <w:tcPr>
            <w:tcW w:w="992" w:type="dxa"/>
            <w:tcBorders>
              <w:top w:val="nil"/>
              <w:left w:val="nil"/>
              <w:bottom w:val="single" w:sz="4" w:space="0" w:color="auto"/>
              <w:right w:val="nil"/>
            </w:tcBorders>
            <w:shd w:val="clear" w:color="auto" w:fill="auto"/>
            <w:vAlign w:val="center"/>
            <w:hideMark/>
          </w:tcPr>
          <w:p w14:paraId="744E5A3A" w14:textId="77777777" w:rsidR="00B2402D" w:rsidRPr="00385988" w:rsidRDefault="00B2402D" w:rsidP="00D2560E">
            <w:pPr>
              <w:spacing w:after="0" w:line="240" w:lineRule="auto"/>
              <w:jc w:val="center"/>
              <w:rPr>
                <w:rFonts w:eastAsia="Times New Roman" w:cs="Times New Roman"/>
                <w:b/>
                <w:bCs/>
                <w:sz w:val="18"/>
                <w:szCs w:val="18"/>
                <w:lang w:eastAsia="sk-SK"/>
              </w:rPr>
            </w:pPr>
            <w:r w:rsidRPr="00385988">
              <w:rPr>
                <w:rFonts w:eastAsia="Times New Roman" w:cs="Times New Roman"/>
                <w:b/>
                <w:bCs/>
                <w:sz w:val="18"/>
                <w:szCs w:val="18"/>
                <w:lang w:eastAsia="sk-SK"/>
              </w:rPr>
              <w:t>3</w:t>
            </w:r>
          </w:p>
        </w:tc>
        <w:tc>
          <w:tcPr>
            <w:tcW w:w="993" w:type="dxa"/>
            <w:tcBorders>
              <w:top w:val="nil"/>
              <w:left w:val="nil"/>
              <w:bottom w:val="single" w:sz="4" w:space="0" w:color="auto"/>
              <w:right w:val="nil"/>
            </w:tcBorders>
            <w:shd w:val="clear" w:color="auto" w:fill="FFFFFF" w:themeFill="background1"/>
            <w:vAlign w:val="center"/>
            <w:hideMark/>
          </w:tcPr>
          <w:p w14:paraId="7CE859D4" w14:textId="77777777" w:rsidR="00B2402D" w:rsidRPr="00385988" w:rsidRDefault="00B2402D" w:rsidP="00D2560E">
            <w:pPr>
              <w:spacing w:after="0" w:line="240" w:lineRule="auto"/>
              <w:jc w:val="center"/>
              <w:rPr>
                <w:rFonts w:eastAsia="Times New Roman" w:cs="Times New Roman"/>
                <w:b/>
                <w:bCs/>
                <w:sz w:val="18"/>
                <w:szCs w:val="18"/>
                <w:lang w:eastAsia="sk-SK"/>
              </w:rPr>
            </w:pPr>
            <w:r w:rsidRPr="00385988">
              <w:rPr>
                <w:rFonts w:eastAsia="Times New Roman" w:cs="Times New Roman"/>
                <w:b/>
                <w:bCs/>
                <w:sz w:val="18"/>
                <w:szCs w:val="18"/>
                <w:lang w:eastAsia="sk-SK"/>
              </w:rPr>
              <w:t>4</w:t>
            </w:r>
          </w:p>
        </w:tc>
        <w:tc>
          <w:tcPr>
            <w:tcW w:w="1134" w:type="dxa"/>
            <w:tcBorders>
              <w:top w:val="nil"/>
              <w:left w:val="nil"/>
              <w:bottom w:val="single" w:sz="4" w:space="0" w:color="auto"/>
              <w:right w:val="nil"/>
            </w:tcBorders>
            <w:shd w:val="clear" w:color="auto" w:fill="auto"/>
            <w:vAlign w:val="center"/>
            <w:hideMark/>
          </w:tcPr>
          <w:p w14:paraId="78CB1678" w14:textId="77777777" w:rsidR="00B2402D" w:rsidRPr="00385988" w:rsidRDefault="00B2402D" w:rsidP="00D2560E">
            <w:pPr>
              <w:spacing w:after="0" w:line="240" w:lineRule="auto"/>
              <w:jc w:val="center"/>
              <w:rPr>
                <w:rFonts w:eastAsia="Times New Roman" w:cs="Times New Roman"/>
                <w:b/>
                <w:bCs/>
                <w:sz w:val="18"/>
                <w:szCs w:val="18"/>
                <w:lang w:eastAsia="sk-SK"/>
              </w:rPr>
            </w:pPr>
            <w:r w:rsidRPr="00385988">
              <w:rPr>
                <w:rFonts w:eastAsia="Times New Roman" w:cs="Times New Roman"/>
                <w:b/>
                <w:bCs/>
                <w:sz w:val="18"/>
                <w:szCs w:val="18"/>
                <w:lang w:eastAsia="sk-SK"/>
              </w:rPr>
              <w:t>5=4-3</w:t>
            </w:r>
          </w:p>
        </w:tc>
        <w:tc>
          <w:tcPr>
            <w:tcW w:w="850" w:type="dxa"/>
            <w:tcBorders>
              <w:top w:val="nil"/>
              <w:left w:val="nil"/>
              <w:bottom w:val="single" w:sz="4" w:space="0" w:color="auto"/>
              <w:right w:val="nil"/>
            </w:tcBorders>
            <w:shd w:val="clear" w:color="auto" w:fill="auto"/>
            <w:vAlign w:val="center"/>
            <w:hideMark/>
          </w:tcPr>
          <w:p w14:paraId="2229EE8F" w14:textId="77777777" w:rsidR="00B2402D" w:rsidRPr="00385988" w:rsidRDefault="00B2402D" w:rsidP="00D2560E">
            <w:pPr>
              <w:spacing w:after="0" w:line="240" w:lineRule="auto"/>
              <w:jc w:val="center"/>
              <w:rPr>
                <w:rFonts w:eastAsia="Times New Roman" w:cs="Times New Roman"/>
                <w:b/>
                <w:bCs/>
                <w:sz w:val="18"/>
                <w:szCs w:val="18"/>
                <w:lang w:eastAsia="sk-SK"/>
              </w:rPr>
            </w:pPr>
            <w:r w:rsidRPr="00385988">
              <w:rPr>
                <w:rFonts w:eastAsia="Times New Roman" w:cs="Times New Roman"/>
                <w:b/>
                <w:bCs/>
                <w:sz w:val="18"/>
                <w:szCs w:val="18"/>
                <w:lang w:eastAsia="sk-SK"/>
              </w:rPr>
              <w:t>6=4-3</w:t>
            </w:r>
          </w:p>
        </w:tc>
      </w:tr>
      <w:tr w:rsidR="00B2402D" w:rsidRPr="00D904A9" w14:paraId="60FEBFEB" w14:textId="77777777" w:rsidTr="00385988">
        <w:trPr>
          <w:trHeight w:val="288"/>
        </w:trPr>
        <w:tc>
          <w:tcPr>
            <w:tcW w:w="3402" w:type="dxa"/>
            <w:tcBorders>
              <w:top w:val="nil"/>
              <w:left w:val="nil"/>
              <w:bottom w:val="nil"/>
              <w:right w:val="nil"/>
            </w:tcBorders>
            <w:shd w:val="clear" w:color="000000" w:fill="FFFFFF"/>
            <w:noWrap/>
            <w:vAlign w:val="center"/>
            <w:hideMark/>
          </w:tcPr>
          <w:p w14:paraId="642A1E51" w14:textId="77777777" w:rsidR="00B2402D" w:rsidRPr="00D904A9" w:rsidRDefault="00B2402D" w:rsidP="00D2560E">
            <w:pPr>
              <w:spacing w:after="0" w:line="240" w:lineRule="auto"/>
              <w:rPr>
                <w:rFonts w:eastAsia="Times New Roman" w:cs="Times New Roman"/>
                <w:b/>
                <w:bCs/>
                <w:color w:val="000000"/>
                <w:sz w:val="18"/>
                <w:szCs w:val="18"/>
                <w:lang w:eastAsia="sk-SK"/>
              </w:rPr>
            </w:pPr>
            <w:r w:rsidRPr="00D904A9">
              <w:rPr>
                <w:rFonts w:eastAsia="Times New Roman" w:cs="Times New Roman"/>
                <w:b/>
                <w:bCs/>
                <w:color w:val="000000"/>
                <w:sz w:val="18"/>
                <w:szCs w:val="18"/>
                <w:lang w:eastAsia="sk-SK"/>
              </w:rPr>
              <w:t>Tuzemské granty a transfery</w:t>
            </w:r>
          </w:p>
        </w:tc>
        <w:tc>
          <w:tcPr>
            <w:tcW w:w="905" w:type="dxa"/>
            <w:tcBorders>
              <w:top w:val="nil"/>
              <w:left w:val="nil"/>
              <w:bottom w:val="nil"/>
              <w:right w:val="nil"/>
            </w:tcBorders>
            <w:shd w:val="clear" w:color="000000" w:fill="FFFFFF"/>
            <w:noWrap/>
            <w:vAlign w:val="center"/>
            <w:hideMark/>
          </w:tcPr>
          <w:p w14:paraId="3ED9E810" w14:textId="77777777" w:rsidR="00B2402D" w:rsidRPr="00D904A9" w:rsidRDefault="00B2402D" w:rsidP="00D2560E">
            <w:pPr>
              <w:spacing w:after="0" w:line="240" w:lineRule="auto"/>
              <w:jc w:val="right"/>
              <w:rPr>
                <w:rFonts w:eastAsia="Times New Roman" w:cs="Times New Roman"/>
                <w:b/>
                <w:color w:val="000000"/>
                <w:sz w:val="18"/>
                <w:szCs w:val="18"/>
                <w:lang w:eastAsia="sk-SK"/>
              </w:rPr>
            </w:pPr>
            <w:r w:rsidRPr="00D904A9">
              <w:rPr>
                <w:rFonts w:eastAsia="Times New Roman" w:cs="Times New Roman"/>
                <w:b/>
                <w:color w:val="000000"/>
                <w:sz w:val="18"/>
                <w:szCs w:val="18"/>
                <w:lang w:eastAsia="sk-SK"/>
              </w:rPr>
              <w:t>38 947</w:t>
            </w:r>
          </w:p>
        </w:tc>
        <w:tc>
          <w:tcPr>
            <w:tcW w:w="938" w:type="dxa"/>
            <w:tcBorders>
              <w:top w:val="nil"/>
              <w:left w:val="nil"/>
              <w:bottom w:val="nil"/>
              <w:right w:val="nil"/>
            </w:tcBorders>
            <w:shd w:val="clear" w:color="auto" w:fill="auto"/>
            <w:noWrap/>
            <w:vAlign w:val="center"/>
          </w:tcPr>
          <w:p w14:paraId="48A87119" w14:textId="77777777" w:rsidR="00B2402D" w:rsidRPr="00D904A9" w:rsidRDefault="00B2402D" w:rsidP="00D2560E">
            <w:pPr>
              <w:spacing w:after="0" w:line="240" w:lineRule="auto"/>
              <w:jc w:val="right"/>
              <w:rPr>
                <w:rFonts w:eastAsia="Times New Roman" w:cs="Times New Roman"/>
                <w:b/>
                <w:color w:val="000000"/>
                <w:sz w:val="18"/>
                <w:szCs w:val="18"/>
                <w:lang w:eastAsia="sk-SK"/>
              </w:rPr>
            </w:pPr>
            <w:r w:rsidRPr="00D904A9">
              <w:rPr>
                <w:rFonts w:eastAsia="Times New Roman" w:cs="Times New Roman"/>
                <w:b/>
                <w:color w:val="000000"/>
                <w:sz w:val="18"/>
                <w:szCs w:val="18"/>
                <w:lang w:eastAsia="sk-SK"/>
              </w:rPr>
              <w:t>39 875</w:t>
            </w:r>
          </w:p>
        </w:tc>
        <w:tc>
          <w:tcPr>
            <w:tcW w:w="992" w:type="dxa"/>
            <w:tcBorders>
              <w:top w:val="nil"/>
              <w:left w:val="nil"/>
              <w:bottom w:val="nil"/>
              <w:right w:val="nil"/>
            </w:tcBorders>
            <w:shd w:val="clear" w:color="000000" w:fill="FFFFFF"/>
            <w:noWrap/>
            <w:vAlign w:val="center"/>
          </w:tcPr>
          <w:p w14:paraId="0107AA45" w14:textId="77777777" w:rsidR="00B2402D" w:rsidRPr="00D904A9" w:rsidRDefault="00B2402D" w:rsidP="00D2560E">
            <w:pPr>
              <w:spacing w:after="0" w:line="240" w:lineRule="auto"/>
              <w:jc w:val="right"/>
              <w:rPr>
                <w:rFonts w:eastAsia="Times New Roman" w:cs="Times New Roman"/>
                <w:b/>
                <w:color w:val="000000"/>
                <w:sz w:val="18"/>
                <w:szCs w:val="18"/>
                <w:lang w:eastAsia="sk-SK"/>
              </w:rPr>
            </w:pPr>
            <w:r w:rsidRPr="00D904A9">
              <w:rPr>
                <w:rFonts w:eastAsia="Times New Roman" w:cs="Times New Roman"/>
                <w:b/>
                <w:color w:val="000000"/>
                <w:sz w:val="18"/>
                <w:szCs w:val="18"/>
                <w:lang w:eastAsia="sk-SK"/>
              </w:rPr>
              <w:t>45 232</w:t>
            </w:r>
          </w:p>
        </w:tc>
        <w:tc>
          <w:tcPr>
            <w:tcW w:w="993" w:type="dxa"/>
            <w:tcBorders>
              <w:top w:val="nil"/>
              <w:left w:val="nil"/>
              <w:bottom w:val="nil"/>
              <w:right w:val="nil"/>
            </w:tcBorders>
            <w:shd w:val="clear" w:color="auto" w:fill="FFFFFF" w:themeFill="background1"/>
            <w:noWrap/>
            <w:vAlign w:val="center"/>
          </w:tcPr>
          <w:p w14:paraId="1E1BD8E8" w14:textId="77777777" w:rsidR="00B2402D" w:rsidRPr="00D904A9" w:rsidRDefault="00B2402D" w:rsidP="00D2560E">
            <w:pPr>
              <w:spacing w:after="0" w:line="240" w:lineRule="auto"/>
              <w:jc w:val="right"/>
              <w:rPr>
                <w:rFonts w:eastAsia="Times New Roman" w:cs="Times New Roman"/>
                <w:b/>
                <w:color w:val="000000"/>
                <w:sz w:val="18"/>
                <w:szCs w:val="18"/>
                <w:lang w:eastAsia="sk-SK"/>
              </w:rPr>
            </w:pPr>
            <w:r w:rsidRPr="00D904A9">
              <w:rPr>
                <w:rFonts w:eastAsia="Times New Roman" w:cs="Times New Roman"/>
                <w:b/>
                <w:color w:val="000000"/>
                <w:sz w:val="18"/>
                <w:szCs w:val="18"/>
                <w:lang w:eastAsia="sk-SK"/>
              </w:rPr>
              <w:t>69</w:t>
            </w:r>
          </w:p>
        </w:tc>
        <w:tc>
          <w:tcPr>
            <w:tcW w:w="1134" w:type="dxa"/>
            <w:tcBorders>
              <w:top w:val="nil"/>
              <w:left w:val="nil"/>
              <w:bottom w:val="nil"/>
              <w:right w:val="nil"/>
            </w:tcBorders>
            <w:shd w:val="clear" w:color="000000" w:fill="FFFFFF"/>
            <w:vAlign w:val="center"/>
          </w:tcPr>
          <w:p w14:paraId="2D5D0CD5" w14:textId="77777777" w:rsidR="00B2402D" w:rsidRPr="00D904A9" w:rsidRDefault="00B2402D" w:rsidP="00D2560E">
            <w:pPr>
              <w:spacing w:after="0" w:line="240" w:lineRule="auto"/>
              <w:jc w:val="right"/>
              <w:rPr>
                <w:rFonts w:eastAsia="Times New Roman" w:cs="Times New Roman"/>
                <w:b/>
                <w:color w:val="000000"/>
                <w:sz w:val="18"/>
                <w:szCs w:val="18"/>
                <w:lang w:eastAsia="sk-SK"/>
              </w:rPr>
            </w:pPr>
            <w:r w:rsidRPr="00D904A9">
              <w:rPr>
                <w:rFonts w:eastAsia="Times New Roman" w:cs="Times New Roman"/>
                <w:b/>
                <w:color w:val="000000"/>
                <w:sz w:val="18"/>
                <w:szCs w:val="18"/>
                <w:lang w:eastAsia="sk-SK"/>
              </w:rPr>
              <w:t>-45 163</w:t>
            </w:r>
          </w:p>
        </w:tc>
        <w:tc>
          <w:tcPr>
            <w:tcW w:w="850" w:type="dxa"/>
            <w:tcBorders>
              <w:top w:val="nil"/>
              <w:left w:val="nil"/>
              <w:bottom w:val="nil"/>
              <w:right w:val="nil"/>
            </w:tcBorders>
            <w:shd w:val="clear" w:color="000000" w:fill="FFFFFF"/>
            <w:vAlign w:val="center"/>
          </w:tcPr>
          <w:p w14:paraId="65C21078" w14:textId="77777777" w:rsidR="00B2402D" w:rsidRPr="00D904A9" w:rsidRDefault="00B2402D" w:rsidP="00D2560E">
            <w:pPr>
              <w:spacing w:after="0" w:line="240" w:lineRule="auto"/>
              <w:jc w:val="right"/>
              <w:rPr>
                <w:rFonts w:eastAsia="Times New Roman" w:cs="Times New Roman"/>
                <w:b/>
                <w:color w:val="000000"/>
                <w:sz w:val="18"/>
                <w:szCs w:val="18"/>
                <w:lang w:eastAsia="sk-SK"/>
              </w:rPr>
            </w:pPr>
            <w:r w:rsidRPr="00D904A9">
              <w:rPr>
                <w:rFonts w:eastAsia="Times New Roman" w:cs="Times New Roman"/>
                <w:b/>
                <w:color w:val="000000"/>
                <w:sz w:val="18"/>
                <w:szCs w:val="18"/>
                <w:lang w:eastAsia="sk-SK"/>
              </w:rPr>
              <w:t>-99,8</w:t>
            </w:r>
          </w:p>
        </w:tc>
      </w:tr>
      <w:tr w:rsidR="00B2402D" w:rsidRPr="00385988" w14:paraId="24B97303" w14:textId="77777777" w:rsidTr="00385988">
        <w:trPr>
          <w:trHeight w:val="288"/>
        </w:trPr>
        <w:tc>
          <w:tcPr>
            <w:tcW w:w="3402" w:type="dxa"/>
            <w:tcBorders>
              <w:top w:val="nil"/>
              <w:left w:val="nil"/>
              <w:bottom w:val="nil"/>
              <w:right w:val="nil"/>
            </w:tcBorders>
            <w:shd w:val="clear" w:color="000000" w:fill="FFFFFF"/>
            <w:noWrap/>
            <w:vAlign w:val="center"/>
            <w:hideMark/>
          </w:tcPr>
          <w:p w14:paraId="28158752" w14:textId="77777777" w:rsidR="00B2402D" w:rsidRPr="00385988" w:rsidRDefault="00B2402D" w:rsidP="00D2560E">
            <w:pPr>
              <w:spacing w:after="0" w:line="240" w:lineRule="auto"/>
              <w:rPr>
                <w:rFonts w:eastAsia="Times New Roman" w:cs="Times New Roman"/>
                <w:color w:val="000000"/>
                <w:sz w:val="18"/>
                <w:szCs w:val="18"/>
                <w:lang w:eastAsia="sk-SK"/>
              </w:rPr>
            </w:pPr>
            <w:r w:rsidRPr="00385988">
              <w:rPr>
                <w:rFonts w:eastAsia="Times New Roman" w:cs="Times New Roman"/>
                <w:color w:val="000000"/>
                <w:sz w:val="18"/>
                <w:szCs w:val="18"/>
                <w:lang w:eastAsia="sk-SK"/>
              </w:rPr>
              <w:t>Transfery v rámci verejnej správy</w:t>
            </w:r>
          </w:p>
        </w:tc>
        <w:tc>
          <w:tcPr>
            <w:tcW w:w="905" w:type="dxa"/>
            <w:tcBorders>
              <w:top w:val="nil"/>
              <w:left w:val="nil"/>
              <w:bottom w:val="nil"/>
              <w:right w:val="nil"/>
            </w:tcBorders>
            <w:shd w:val="clear" w:color="000000" w:fill="FFFFFF"/>
            <w:noWrap/>
            <w:vAlign w:val="center"/>
            <w:hideMark/>
          </w:tcPr>
          <w:p w14:paraId="5CF50C4F"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38 947</w:t>
            </w:r>
          </w:p>
        </w:tc>
        <w:tc>
          <w:tcPr>
            <w:tcW w:w="938" w:type="dxa"/>
            <w:tcBorders>
              <w:top w:val="nil"/>
              <w:left w:val="nil"/>
              <w:bottom w:val="nil"/>
              <w:right w:val="nil"/>
            </w:tcBorders>
            <w:shd w:val="clear" w:color="auto" w:fill="auto"/>
            <w:noWrap/>
            <w:vAlign w:val="center"/>
          </w:tcPr>
          <w:p w14:paraId="3FE62364"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39 875</w:t>
            </w:r>
          </w:p>
        </w:tc>
        <w:tc>
          <w:tcPr>
            <w:tcW w:w="992" w:type="dxa"/>
            <w:tcBorders>
              <w:top w:val="nil"/>
              <w:left w:val="nil"/>
              <w:bottom w:val="nil"/>
              <w:right w:val="nil"/>
            </w:tcBorders>
            <w:shd w:val="clear" w:color="000000" w:fill="FFFFFF"/>
            <w:noWrap/>
            <w:vAlign w:val="center"/>
          </w:tcPr>
          <w:p w14:paraId="7AE8945B"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45 232</w:t>
            </w:r>
          </w:p>
        </w:tc>
        <w:tc>
          <w:tcPr>
            <w:tcW w:w="993" w:type="dxa"/>
            <w:tcBorders>
              <w:top w:val="nil"/>
              <w:left w:val="nil"/>
              <w:bottom w:val="nil"/>
              <w:right w:val="nil"/>
            </w:tcBorders>
            <w:shd w:val="clear" w:color="auto" w:fill="FFFFFF" w:themeFill="background1"/>
            <w:noWrap/>
            <w:vAlign w:val="center"/>
          </w:tcPr>
          <w:p w14:paraId="47906FE1"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69</w:t>
            </w:r>
          </w:p>
        </w:tc>
        <w:tc>
          <w:tcPr>
            <w:tcW w:w="1134" w:type="dxa"/>
            <w:tcBorders>
              <w:top w:val="nil"/>
              <w:left w:val="nil"/>
              <w:bottom w:val="nil"/>
              <w:right w:val="nil"/>
            </w:tcBorders>
            <w:shd w:val="clear" w:color="000000" w:fill="FFFFFF"/>
            <w:vAlign w:val="center"/>
          </w:tcPr>
          <w:p w14:paraId="0B20D84B"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-45 163</w:t>
            </w:r>
          </w:p>
        </w:tc>
        <w:tc>
          <w:tcPr>
            <w:tcW w:w="850" w:type="dxa"/>
            <w:tcBorders>
              <w:top w:val="nil"/>
              <w:left w:val="nil"/>
              <w:bottom w:val="nil"/>
              <w:right w:val="nil"/>
            </w:tcBorders>
            <w:shd w:val="clear" w:color="000000" w:fill="FFFFFF"/>
            <w:vAlign w:val="center"/>
          </w:tcPr>
          <w:p w14:paraId="061668A7"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-99,8</w:t>
            </w:r>
          </w:p>
        </w:tc>
      </w:tr>
      <w:tr w:rsidR="00B2402D" w:rsidRPr="00385988" w14:paraId="5C1B9CCE" w14:textId="77777777" w:rsidTr="00385988">
        <w:trPr>
          <w:trHeight w:val="288"/>
        </w:trPr>
        <w:tc>
          <w:tcPr>
            <w:tcW w:w="3402" w:type="dxa"/>
            <w:tcBorders>
              <w:top w:val="nil"/>
              <w:left w:val="nil"/>
              <w:bottom w:val="nil"/>
              <w:right w:val="nil"/>
            </w:tcBorders>
            <w:shd w:val="clear" w:color="000000" w:fill="FFFFFF"/>
            <w:noWrap/>
            <w:vAlign w:val="center"/>
            <w:hideMark/>
          </w:tcPr>
          <w:p w14:paraId="797DF13C" w14:textId="77777777" w:rsidR="00B2402D" w:rsidRPr="00385988" w:rsidRDefault="00B2402D" w:rsidP="00D2560E">
            <w:pPr>
              <w:spacing w:after="0" w:line="240" w:lineRule="auto"/>
              <w:rPr>
                <w:rFonts w:eastAsia="Times New Roman" w:cs="Times New Roman"/>
                <w:color w:val="000000"/>
                <w:sz w:val="18"/>
                <w:szCs w:val="18"/>
                <w:lang w:eastAsia="sk-SK"/>
              </w:rPr>
            </w:pPr>
            <w:r w:rsidRPr="00385988">
              <w:rPr>
                <w:rFonts w:eastAsia="Times New Roman" w:cs="Times New Roman"/>
                <w:color w:val="000000"/>
                <w:sz w:val="18"/>
                <w:szCs w:val="18"/>
                <w:lang w:eastAsia="sk-SK"/>
              </w:rPr>
              <w:t xml:space="preserve">   z toho:</w:t>
            </w:r>
          </w:p>
        </w:tc>
        <w:tc>
          <w:tcPr>
            <w:tcW w:w="905" w:type="dxa"/>
            <w:tcBorders>
              <w:top w:val="nil"/>
              <w:left w:val="nil"/>
              <w:bottom w:val="nil"/>
              <w:right w:val="nil"/>
            </w:tcBorders>
            <w:shd w:val="clear" w:color="000000" w:fill="FFFFFF"/>
            <w:noWrap/>
            <w:vAlign w:val="center"/>
            <w:hideMark/>
          </w:tcPr>
          <w:p w14:paraId="6F9C7F02" w14:textId="77777777" w:rsidR="00B2402D" w:rsidRPr="00385988" w:rsidRDefault="00B2402D" w:rsidP="00D2560E">
            <w:pPr>
              <w:spacing w:after="0" w:line="240" w:lineRule="auto"/>
              <w:jc w:val="right"/>
              <w:rPr>
                <w:rFonts w:eastAsia="Times New Roman" w:cs="Times New Roman"/>
                <w:color w:val="000000"/>
                <w:sz w:val="18"/>
                <w:szCs w:val="18"/>
                <w:lang w:eastAsia="sk-SK"/>
              </w:rPr>
            </w:pPr>
          </w:p>
        </w:tc>
        <w:tc>
          <w:tcPr>
            <w:tcW w:w="938" w:type="dxa"/>
            <w:tcBorders>
              <w:top w:val="nil"/>
              <w:left w:val="nil"/>
              <w:bottom w:val="nil"/>
              <w:right w:val="nil"/>
            </w:tcBorders>
            <w:shd w:val="clear" w:color="auto" w:fill="auto"/>
            <w:noWrap/>
            <w:vAlign w:val="center"/>
          </w:tcPr>
          <w:p w14:paraId="61C16570" w14:textId="77777777" w:rsidR="00B2402D" w:rsidRPr="00385988" w:rsidRDefault="00B2402D" w:rsidP="00D2560E">
            <w:pPr>
              <w:spacing w:after="0" w:line="240" w:lineRule="auto"/>
              <w:jc w:val="right"/>
              <w:rPr>
                <w:rFonts w:eastAsia="Times New Roman" w:cs="Times New Roman"/>
                <w:color w:val="000000"/>
                <w:sz w:val="18"/>
                <w:szCs w:val="18"/>
                <w:lang w:eastAsia="sk-SK"/>
              </w:rPr>
            </w:pPr>
          </w:p>
        </w:tc>
        <w:tc>
          <w:tcPr>
            <w:tcW w:w="992" w:type="dxa"/>
            <w:tcBorders>
              <w:top w:val="nil"/>
              <w:left w:val="nil"/>
              <w:bottom w:val="nil"/>
              <w:right w:val="nil"/>
            </w:tcBorders>
            <w:shd w:val="clear" w:color="000000" w:fill="FFFFFF"/>
            <w:noWrap/>
            <w:vAlign w:val="center"/>
          </w:tcPr>
          <w:p w14:paraId="535D6150" w14:textId="77777777" w:rsidR="00B2402D" w:rsidRPr="00385988" w:rsidRDefault="00B2402D" w:rsidP="00D2560E">
            <w:pPr>
              <w:spacing w:after="0" w:line="240" w:lineRule="auto"/>
              <w:jc w:val="right"/>
              <w:rPr>
                <w:rFonts w:eastAsia="Times New Roman" w:cs="Times New Roman"/>
                <w:color w:val="000000"/>
                <w:sz w:val="18"/>
                <w:szCs w:val="18"/>
                <w:highlight w:val="yellow"/>
                <w:lang w:eastAsia="sk-SK"/>
              </w:rPr>
            </w:pPr>
          </w:p>
        </w:tc>
        <w:tc>
          <w:tcPr>
            <w:tcW w:w="993" w:type="dxa"/>
            <w:tcBorders>
              <w:top w:val="nil"/>
              <w:left w:val="nil"/>
              <w:bottom w:val="nil"/>
              <w:right w:val="nil"/>
            </w:tcBorders>
            <w:shd w:val="clear" w:color="auto" w:fill="FFFFFF" w:themeFill="background1"/>
            <w:noWrap/>
            <w:vAlign w:val="center"/>
          </w:tcPr>
          <w:p w14:paraId="406B1BEB" w14:textId="77777777" w:rsidR="00B2402D" w:rsidRPr="00385988" w:rsidRDefault="00B2402D" w:rsidP="00D2560E">
            <w:pPr>
              <w:spacing w:after="0" w:line="240" w:lineRule="auto"/>
              <w:jc w:val="right"/>
              <w:rPr>
                <w:rFonts w:eastAsia="Times New Roman" w:cs="Times New Roman"/>
                <w:color w:val="000000"/>
                <w:sz w:val="18"/>
                <w:szCs w:val="18"/>
                <w:lang w:eastAsia="sk-SK"/>
              </w:rPr>
            </w:pPr>
          </w:p>
        </w:tc>
        <w:tc>
          <w:tcPr>
            <w:tcW w:w="1134" w:type="dxa"/>
            <w:tcBorders>
              <w:top w:val="nil"/>
              <w:left w:val="nil"/>
              <w:bottom w:val="nil"/>
              <w:right w:val="nil"/>
            </w:tcBorders>
            <w:shd w:val="clear" w:color="000000" w:fill="FFFFFF"/>
            <w:vAlign w:val="center"/>
          </w:tcPr>
          <w:p w14:paraId="681AE8C0" w14:textId="77777777" w:rsidR="00B2402D" w:rsidRPr="00385988" w:rsidRDefault="00B2402D" w:rsidP="00D2560E">
            <w:pPr>
              <w:spacing w:after="0" w:line="240" w:lineRule="auto"/>
              <w:jc w:val="right"/>
              <w:rPr>
                <w:rFonts w:eastAsia="Times New Roman" w:cs="Times New Roman"/>
                <w:color w:val="000000"/>
                <w:sz w:val="18"/>
                <w:szCs w:val="18"/>
                <w:lang w:eastAsia="sk-SK"/>
              </w:rPr>
            </w:pPr>
          </w:p>
        </w:tc>
        <w:tc>
          <w:tcPr>
            <w:tcW w:w="850" w:type="dxa"/>
            <w:tcBorders>
              <w:top w:val="nil"/>
              <w:left w:val="nil"/>
              <w:bottom w:val="nil"/>
              <w:right w:val="nil"/>
            </w:tcBorders>
            <w:shd w:val="clear" w:color="000000" w:fill="FFFFFF"/>
            <w:vAlign w:val="center"/>
          </w:tcPr>
          <w:p w14:paraId="6B5FFA8B" w14:textId="77777777" w:rsidR="00B2402D" w:rsidRPr="00385988" w:rsidRDefault="00B2402D" w:rsidP="00D2560E">
            <w:pPr>
              <w:spacing w:after="0" w:line="240" w:lineRule="auto"/>
              <w:jc w:val="right"/>
              <w:rPr>
                <w:rFonts w:eastAsia="Times New Roman" w:cs="Times New Roman"/>
                <w:color w:val="000000"/>
                <w:sz w:val="18"/>
                <w:szCs w:val="18"/>
                <w:lang w:eastAsia="sk-SK"/>
              </w:rPr>
            </w:pPr>
          </w:p>
        </w:tc>
      </w:tr>
      <w:tr w:rsidR="00B2402D" w:rsidRPr="00385988" w14:paraId="0FEC4AE9" w14:textId="77777777" w:rsidTr="00385988">
        <w:trPr>
          <w:trHeight w:val="564"/>
        </w:trPr>
        <w:tc>
          <w:tcPr>
            <w:tcW w:w="3402" w:type="dxa"/>
            <w:tcBorders>
              <w:top w:val="nil"/>
              <w:left w:val="nil"/>
              <w:bottom w:val="nil"/>
              <w:right w:val="nil"/>
            </w:tcBorders>
            <w:shd w:val="clear" w:color="auto" w:fill="auto"/>
            <w:noWrap/>
            <w:vAlign w:val="center"/>
            <w:hideMark/>
          </w:tcPr>
          <w:p w14:paraId="2A5B83D9" w14:textId="77777777" w:rsidR="00B2402D" w:rsidRPr="00385988" w:rsidRDefault="00B2402D" w:rsidP="00D2560E">
            <w:pPr>
              <w:spacing w:after="0" w:line="240" w:lineRule="auto"/>
              <w:rPr>
                <w:rFonts w:eastAsia="Times New Roman" w:cs="Times New Roman"/>
                <w:i/>
                <w:color w:val="000000"/>
                <w:sz w:val="18"/>
                <w:szCs w:val="18"/>
                <w:lang w:eastAsia="sk-SK"/>
              </w:rPr>
            </w:pPr>
            <w:r w:rsidRPr="00385988">
              <w:rPr>
                <w:rFonts w:eastAsia="Times New Roman" w:cs="Times New Roman"/>
                <w:i/>
                <w:color w:val="000000"/>
                <w:sz w:val="18"/>
                <w:szCs w:val="18"/>
                <w:lang w:eastAsia="sk-SK"/>
              </w:rPr>
              <w:t>zo štátneho rozpočtu okrem transferu na úhradu nákladov preneseného výkonu štátnej správy</w:t>
            </w:r>
          </w:p>
        </w:tc>
        <w:tc>
          <w:tcPr>
            <w:tcW w:w="905" w:type="dxa"/>
            <w:tcBorders>
              <w:top w:val="nil"/>
              <w:left w:val="nil"/>
              <w:bottom w:val="nil"/>
              <w:right w:val="nil"/>
            </w:tcBorders>
            <w:shd w:val="clear" w:color="000000" w:fill="FFFFFF"/>
            <w:noWrap/>
            <w:vAlign w:val="center"/>
            <w:hideMark/>
          </w:tcPr>
          <w:p w14:paraId="13DDDCB9"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84</w:t>
            </w:r>
          </w:p>
        </w:tc>
        <w:tc>
          <w:tcPr>
            <w:tcW w:w="938" w:type="dxa"/>
            <w:tcBorders>
              <w:top w:val="nil"/>
              <w:left w:val="nil"/>
              <w:bottom w:val="nil"/>
              <w:right w:val="nil"/>
            </w:tcBorders>
            <w:shd w:val="clear" w:color="auto" w:fill="auto"/>
            <w:noWrap/>
            <w:vAlign w:val="center"/>
          </w:tcPr>
          <w:p w14:paraId="41696439"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71</w:t>
            </w:r>
          </w:p>
        </w:tc>
        <w:tc>
          <w:tcPr>
            <w:tcW w:w="992" w:type="dxa"/>
            <w:tcBorders>
              <w:top w:val="nil"/>
              <w:left w:val="nil"/>
              <w:bottom w:val="nil"/>
              <w:right w:val="nil"/>
            </w:tcBorders>
            <w:shd w:val="clear" w:color="000000" w:fill="FFFFFF"/>
            <w:noWrap/>
            <w:vAlign w:val="center"/>
          </w:tcPr>
          <w:p w14:paraId="0336AF55"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117</w:t>
            </w:r>
          </w:p>
        </w:tc>
        <w:tc>
          <w:tcPr>
            <w:tcW w:w="993" w:type="dxa"/>
            <w:tcBorders>
              <w:top w:val="nil"/>
              <w:left w:val="nil"/>
              <w:bottom w:val="nil"/>
              <w:right w:val="nil"/>
            </w:tcBorders>
            <w:shd w:val="clear" w:color="auto" w:fill="FFFFFF" w:themeFill="background1"/>
            <w:noWrap/>
            <w:vAlign w:val="center"/>
          </w:tcPr>
          <w:p w14:paraId="63F11470"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69</w:t>
            </w:r>
          </w:p>
        </w:tc>
        <w:tc>
          <w:tcPr>
            <w:tcW w:w="1134" w:type="dxa"/>
            <w:tcBorders>
              <w:top w:val="nil"/>
              <w:left w:val="nil"/>
              <w:bottom w:val="nil"/>
              <w:right w:val="nil"/>
            </w:tcBorders>
            <w:shd w:val="clear" w:color="000000" w:fill="FFFFFF"/>
            <w:vAlign w:val="center"/>
          </w:tcPr>
          <w:p w14:paraId="32A9EE3F"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-48</w:t>
            </w:r>
          </w:p>
        </w:tc>
        <w:tc>
          <w:tcPr>
            <w:tcW w:w="850" w:type="dxa"/>
            <w:tcBorders>
              <w:top w:val="nil"/>
              <w:left w:val="nil"/>
              <w:bottom w:val="nil"/>
              <w:right w:val="nil"/>
            </w:tcBorders>
            <w:shd w:val="clear" w:color="000000" w:fill="FFFFFF"/>
            <w:vAlign w:val="center"/>
          </w:tcPr>
          <w:p w14:paraId="3C25C466"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-41,0</w:t>
            </w:r>
          </w:p>
        </w:tc>
      </w:tr>
      <w:tr w:rsidR="00B2402D" w:rsidRPr="00385988" w14:paraId="59F245C5" w14:textId="77777777" w:rsidTr="00385988">
        <w:trPr>
          <w:trHeight w:val="288"/>
        </w:trPr>
        <w:tc>
          <w:tcPr>
            <w:tcW w:w="3402" w:type="dxa"/>
            <w:tcBorders>
              <w:top w:val="nil"/>
              <w:left w:val="nil"/>
              <w:bottom w:val="nil"/>
              <w:right w:val="nil"/>
            </w:tcBorders>
            <w:shd w:val="clear" w:color="000000" w:fill="FFFFFF"/>
            <w:noWrap/>
            <w:vAlign w:val="center"/>
            <w:hideMark/>
          </w:tcPr>
          <w:p w14:paraId="7702758D" w14:textId="77777777" w:rsidR="00B2402D" w:rsidRPr="00385988" w:rsidRDefault="00B2402D" w:rsidP="00D2560E">
            <w:pPr>
              <w:spacing w:after="0" w:line="240" w:lineRule="auto"/>
              <w:rPr>
                <w:rFonts w:eastAsia="Times New Roman" w:cs="Times New Roman"/>
                <w:i/>
                <w:color w:val="000000"/>
                <w:sz w:val="18"/>
                <w:szCs w:val="18"/>
                <w:lang w:eastAsia="sk-SK"/>
              </w:rPr>
            </w:pPr>
            <w:r w:rsidRPr="00385988">
              <w:rPr>
                <w:rFonts w:eastAsia="Times New Roman" w:cs="Times New Roman"/>
                <w:i/>
                <w:color w:val="000000"/>
                <w:sz w:val="18"/>
                <w:szCs w:val="18"/>
                <w:lang w:eastAsia="sk-SK"/>
              </w:rPr>
              <w:t>zo zdravotných poisťovní</w:t>
            </w:r>
          </w:p>
        </w:tc>
        <w:tc>
          <w:tcPr>
            <w:tcW w:w="905" w:type="dxa"/>
            <w:tcBorders>
              <w:top w:val="nil"/>
              <w:left w:val="nil"/>
              <w:bottom w:val="nil"/>
              <w:right w:val="nil"/>
            </w:tcBorders>
            <w:shd w:val="clear" w:color="000000" w:fill="FFFFFF"/>
            <w:noWrap/>
            <w:vAlign w:val="center"/>
            <w:hideMark/>
          </w:tcPr>
          <w:p w14:paraId="3464A92B"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38 863</w:t>
            </w:r>
          </w:p>
        </w:tc>
        <w:tc>
          <w:tcPr>
            <w:tcW w:w="938" w:type="dxa"/>
            <w:tcBorders>
              <w:top w:val="nil"/>
              <w:left w:val="nil"/>
              <w:bottom w:val="nil"/>
              <w:right w:val="nil"/>
            </w:tcBorders>
            <w:shd w:val="clear" w:color="auto" w:fill="auto"/>
            <w:noWrap/>
            <w:vAlign w:val="center"/>
          </w:tcPr>
          <w:p w14:paraId="14BAB5B5"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39 804</w:t>
            </w:r>
          </w:p>
        </w:tc>
        <w:tc>
          <w:tcPr>
            <w:tcW w:w="992" w:type="dxa"/>
            <w:tcBorders>
              <w:top w:val="nil"/>
              <w:left w:val="nil"/>
              <w:bottom w:val="nil"/>
              <w:right w:val="nil"/>
            </w:tcBorders>
            <w:shd w:val="clear" w:color="000000" w:fill="FFFFFF"/>
            <w:noWrap/>
            <w:vAlign w:val="center"/>
          </w:tcPr>
          <w:p w14:paraId="59D9A77C"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43 615</w:t>
            </w:r>
          </w:p>
        </w:tc>
        <w:tc>
          <w:tcPr>
            <w:tcW w:w="993" w:type="dxa"/>
            <w:tcBorders>
              <w:top w:val="nil"/>
              <w:left w:val="nil"/>
              <w:bottom w:val="nil"/>
              <w:right w:val="nil"/>
            </w:tcBorders>
            <w:shd w:val="clear" w:color="auto" w:fill="FFFFFF" w:themeFill="background1"/>
            <w:noWrap/>
            <w:vAlign w:val="center"/>
          </w:tcPr>
          <w:p w14:paraId="0DFB2BDF"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0</w:t>
            </w:r>
          </w:p>
        </w:tc>
        <w:tc>
          <w:tcPr>
            <w:tcW w:w="1134" w:type="dxa"/>
            <w:tcBorders>
              <w:top w:val="nil"/>
              <w:left w:val="nil"/>
              <w:bottom w:val="nil"/>
              <w:right w:val="nil"/>
            </w:tcBorders>
            <w:shd w:val="clear" w:color="000000" w:fill="FFFFFF"/>
            <w:vAlign w:val="center"/>
          </w:tcPr>
          <w:p w14:paraId="77CECC18"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-43 615</w:t>
            </w:r>
          </w:p>
        </w:tc>
        <w:tc>
          <w:tcPr>
            <w:tcW w:w="850" w:type="dxa"/>
            <w:tcBorders>
              <w:top w:val="nil"/>
              <w:left w:val="nil"/>
              <w:bottom w:val="nil"/>
              <w:right w:val="nil"/>
            </w:tcBorders>
            <w:shd w:val="clear" w:color="000000" w:fill="FFFFFF"/>
            <w:vAlign w:val="center"/>
          </w:tcPr>
          <w:p w14:paraId="5378BCDD"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0</w:t>
            </w:r>
          </w:p>
        </w:tc>
      </w:tr>
      <w:tr w:rsidR="00B2402D" w:rsidRPr="00385988" w14:paraId="0FFE5C1B" w14:textId="77777777" w:rsidTr="00385988">
        <w:trPr>
          <w:trHeight w:val="288"/>
        </w:trPr>
        <w:tc>
          <w:tcPr>
            <w:tcW w:w="3402" w:type="dxa"/>
            <w:tcBorders>
              <w:top w:val="nil"/>
              <w:left w:val="nil"/>
              <w:bottom w:val="nil"/>
              <w:right w:val="nil"/>
            </w:tcBorders>
            <w:shd w:val="clear" w:color="000000" w:fill="FFFFFF"/>
            <w:noWrap/>
            <w:vAlign w:val="center"/>
            <w:hideMark/>
          </w:tcPr>
          <w:p w14:paraId="3E6B8E74" w14:textId="77777777" w:rsidR="00B2402D" w:rsidRPr="00385988" w:rsidRDefault="00B2402D" w:rsidP="00D2560E">
            <w:pPr>
              <w:spacing w:after="0" w:line="240" w:lineRule="auto"/>
              <w:rPr>
                <w:rFonts w:eastAsia="Times New Roman" w:cs="Times New Roman"/>
                <w:i/>
                <w:color w:val="000000"/>
                <w:sz w:val="18"/>
                <w:szCs w:val="18"/>
                <w:lang w:eastAsia="sk-SK"/>
              </w:rPr>
            </w:pPr>
            <w:r w:rsidRPr="00385988">
              <w:rPr>
                <w:rFonts w:eastAsia="Times New Roman" w:cs="Times New Roman"/>
                <w:i/>
                <w:color w:val="000000"/>
                <w:sz w:val="18"/>
                <w:szCs w:val="18"/>
                <w:lang w:eastAsia="sk-SK"/>
              </w:rPr>
              <w:t>zo Slovenského pozemkového fondu</w:t>
            </w:r>
          </w:p>
        </w:tc>
        <w:tc>
          <w:tcPr>
            <w:tcW w:w="905" w:type="dxa"/>
            <w:tcBorders>
              <w:top w:val="nil"/>
              <w:left w:val="nil"/>
              <w:bottom w:val="nil"/>
              <w:right w:val="nil"/>
            </w:tcBorders>
            <w:shd w:val="clear" w:color="000000" w:fill="FFFFFF"/>
            <w:noWrap/>
            <w:vAlign w:val="center"/>
            <w:hideMark/>
          </w:tcPr>
          <w:p w14:paraId="3F44C398"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0</w:t>
            </w:r>
          </w:p>
        </w:tc>
        <w:tc>
          <w:tcPr>
            <w:tcW w:w="938" w:type="dxa"/>
            <w:tcBorders>
              <w:top w:val="nil"/>
              <w:left w:val="nil"/>
              <w:bottom w:val="nil"/>
              <w:right w:val="nil"/>
            </w:tcBorders>
            <w:shd w:val="clear" w:color="auto" w:fill="auto"/>
            <w:noWrap/>
            <w:vAlign w:val="center"/>
          </w:tcPr>
          <w:p w14:paraId="4C1074B0"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FFFFFF" w:themeFill="background1"/>
            <w:noWrap/>
            <w:vAlign w:val="center"/>
          </w:tcPr>
          <w:p w14:paraId="2E594EF1"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1 500</w:t>
            </w:r>
          </w:p>
        </w:tc>
        <w:tc>
          <w:tcPr>
            <w:tcW w:w="993" w:type="dxa"/>
            <w:tcBorders>
              <w:top w:val="nil"/>
              <w:left w:val="nil"/>
              <w:bottom w:val="nil"/>
              <w:right w:val="nil"/>
            </w:tcBorders>
            <w:shd w:val="clear" w:color="auto" w:fill="FFFFFF" w:themeFill="background1"/>
            <w:noWrap/>
            <w:vAlign w:val="center"/>
          </w:tcPr>
          <w:p w14:paraId="33364693"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0</w:t>
            </w:r>
          </w:p>
        </w:tc>
        <w:tc>
          <w:tcPr>
            <w:tcW w:w="1134" w:type="dxa"/>
            <w:tcBorders>
              <w:top w:val="nil"/>
              <w:left w:val="nil"/>
              <w:bottom w:val="nil"/>
              <w:right w:val="nil"/>
            </w:tcBorders>
            <w:shd w:val="clear" w:color="000000" w:fill="FFFFFF"/>
            <w:vAlign w:val="center"/>
          </w:tcPr>
          <w:p w14:paraId="443E32C5"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-1 500</w:t>
            </w:r>
          </w:p>
        </w:tc>
        <w:tc>
          <w:tcPr>
            <w:tcW w:w="850" w:type="dxa"/>
            <w:tcBorders>
              <w:top w:val="nil"/>
              <w:left w:val="nil"/>
              <w:bottom w:val="nil"/>
              <w:right w:val="nil"/>
            </w:tcBorders>
            <w:shd w:val="clear" w:color="000000" w:fill="FFFFFF"/>
            <w:vAlign w:val="center"/>
          </w:tcPr>
          <w:p w14:paraId="212E8057"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0</w:t>
            </w:r>
          </w:p>
        </w:tc>
      </w:tr>
      <w:tr w:rsidR="00B2402D" w:rsidRPr="00D904A9" w14:paraId="34BF13F9" w14:textId="77777777" w:rsidTr="00385988">
        <w:trPr>
          <w:trHeight w:val="288"/>
        </w:trPr>
        <w:tc>
          <w:tcPr>
            <w:tcW w:w="3402" w:type="dxa"/>
            <w:tcBorders>
              <w:top w:val="nil"/>
              <w:left w:val="nil"/>
              <w:bottom w:val="nil"/>
              <w:right w:val="nil"/>
            </w:tcBorders>
            <w:shd w:val="clear" w:color="000000" w:fill="FFFFFF"/>
            <w:noWrap/>
            <w:vAlign w:val="center"/>
            <w:hideMark/>
          </w:tcPr>
          <w:p w14:paraId="1243241F" w14:textId="77777777" w:rsidR="00B2402D" w:rsidRPr="00D904A9" w:rsidRDefault="00B2402D" w:rsidP="00D2560E">
            <w:pPr>
              <w:spacing w:after="0" w:line="240" w:lineRule="auto"/>
              <w:rPr>
                <w:rFonts w:eastAsia="Times New Roman" w:cs="Times New Roman"/>
                <w:b/>
                <w:bCs/>
                <w:color w:val="000000"/>
                <w:sz w:val="18"/>
                <w:szCs w:val="18"/>
                <w:lang w:eastAsia="sk-SK"/>
              </w:rPr>
            </w:pPr>
            <w:r w:rsidRPr="00D904A9">
              <w:rPr>
                <w:rFonts w:eastAsia="Times New Roman" w:cs="Times New Roman"/>
                <w:b/>
                <w:bCs/>
                <w:color w:val="000000"/>
                <w:sz w:val="18"/>
                <w:szCs w:val="18"/>
                <w:lang w:eastAsia="sk-SK"/>
              </w:rPr>
              <w:t>Zahraničné granty a transfery</w:t>
            </w:r>
          </w:p>
        </w:tc>
        <w:tc>
          <w:tcPr>
            <w:tcW w:w="905" w:type="dxa"/>
            <w:tcBorders>
              <w:top w:val="nil"/>
              <w:left w:val="nil"/>
              <w:bottom w:val="nil"/>
              <w:right w:val="nil"/>
            </w:tcBorders>
            <w:shd w:val="clear" w:color="000000" w:fill="FFFFFF"/>
            <w:noWrap/>
            <w:vAlign w:val="center"/>
            <w:hideMark/>
          </w:tcPr>
          <w:p w14:paraId="34CD7AE6" w14:textId="77777777" w:rsidR="00B2402D" w:rsidRPr="00D904A9" w:rsidRDefault="00B2402D" w:rsidP="00D2560E">
            <w:pPr>
              <w:spacing w:after="0" w:line="240" w:lineRule="auto"/>
              <w:jc w:val="right"/>
              <w:rPr>
                <w:rFonts w:eastAsia="Times New Roman" w:cs="Times New Roman"/>
                <w:b/>
                <w:color w:val="000000"/>
                <w:sz w:val="18"/>
                <w:szCs w:val="18"/>
                <w:lang w:eastAsia="sk-SK"/>
              </w:rPr>
            </w:pPr>
            <w:r w:rsidRPr="00D904A9">
              <w:rPr>
                <w:rFonts w:eastAsia="Times New Roman" w:cs="Times New Roman"/>
                <w:b/>
                <w:color w:val="000000"/>
                <w:sz w:val="18"/>
                <w:szCs w:val="18"/>
                <w:lang w:eastAsia="sk-SK"/>
              </w:rPr>
              <w:t>2 273 990</w:t>
            </w:r>
          </w:p>
        </w:tc>
        <w:tc>
          <w:tcPr>
            <w:tcW w:w="938" w:type="dxa"/>
            <w:tcBorders>
              <w:top w:val="nil"/>
              <w:left w:val="nil"/>
              <w:bottom w:val="nil"/>
              <w:right w:val="nil"/>
            </w:tcBorders>
            <w:shd w:val="clear" w:color="auto" w:fill="auto"/>
            <w:noWrap/>
            <w:vAlign w:val="center"/>
          </w:tcPr>
          <w:p w14:paraId="49F0A7E4" w14:textId="77777777" w:rsidR="00B2402D" w:rsidRPr="00D904A9" w:rsidRDefault="00B2402D" w:rsidP="00D2560E">
            <w:pPr>
              <w:spacing w:after="0" w:line="240" w:lineRule="auto"/>
              <w:jc w:val="right"/>
              <w:rPr>
                <w:rFonts w:eastAsia="Times New Roman" w:cs="Times New Roman"/>
                <w:b/>
                <w:color w:val="000000"/>
                <w:sz w:val="18"/>
                <w:szCs w:val="18"/>
                <w:lang w:eastAsia="sk-SK"/>
              </w:rPr>
            </w:pPr>
            <w:r w:rsidRPr="00D904A9">
              <w:rPr>
                <w:rFonts w:eastAsia="Times New Roman" w:cs="Times New Roman"/>
                <w:b/>
                <w:color w:val="000000"/>
                <w:sz w:val="18"/>
                <w:szCs w:val="18"/>
                <w:lang w:eastAsia="sk-SK"/>
              </w:rPr>
              <w:t>2 187 703</w:t>
            </w:r>
          </w:p>
        </w:tc>
        <w:tc>
          <w:tcPr>
            <w:tcW w:w="992" w:type="dxa"/>
            <w:tcBorders>
              <w:top w:val="nil"/>
              <w:left w:val="nil"/>
              <w:bottom w:val="nil"/>
              <w:right w:val="nil"/>
            </w:tcBorders>
            <w:shd w:val="clear" w:color="000000" w:fill="FFFFFF"/>
            <w:noWrap/>
            <w:vAlign w:val="center"/>
          </w:tcPr>
          <w:p w14:paraId="3065A39B" w14:textId="77777777" w:rsidR="00B2402D" w:rsidRPr="00D904A9" w:rsidRDefault="00B2402D" w:rsidP="00D2560E">
            <w:pPr>
              <w:spacing w:after="0" w:line="240" w:lineRule="auto"/>
              <w:jc w:val="right"/>
              <w:rPr>
                <w:rFonts w:eastAsia="Times New Roman" w:cs="Times New Roman"/>
                <w:b/>
                <w:color w:val="000000"/>
                <w:sz w:val="18"/>
                <w:szCs w:val="18"/>
                <w:lang w:eastAsia="sk-SK"/>
              </w:rPr>
            </w:pPr>
            <w:r w:rsidRPr="00D904A9">
              <w:rPr>
                <w:rFonts w:eastAsia="Times New Roman" w:cs="Times New Roman"/>
                <w:b/>
                <w:color w:val="000000"/>
                <w:sz w:val="18"/>
                <w:szCs w:val="18"/>
                <w:lang w:eastAsia="sk-SK"/>
              </w:rPr>
              <w:t>7 728 805</w:t>
            </w:r>
          </w:p>
        </w:tc>
        <w:tc>
          <w:tcPr>
            <w:tcW w:w="993" w:type="dxa"/>
            <w:tcBorders>
              <w:top w:val="nil"/>
              <w:left w:val="nil"/>
              <w:bottom w:val="nil"/>
              <w:right w:val="nil"/>
            </w:tcBorders>
            <w:shd w:val="clear" w:color="auto" w:fill="FFFFFF" w:themeFill="background1"/>
            <w:noWrap/>
            <w:vAlign w:val="center"/>
          </w:tcPr>
          <w:p w14:paraId="4642399D" w14:textId="77777777" w:rsidR="00B2402D" w:rsidRPr="00D904A9" w:rsidRDefault="00B2402D" w:rsidP="00D2560E">
            <w:pPr>
              <w:spacing w:after="0" w:line="240" w:lineRule="auto"/>
              <w:jc w:val="right"/>
              <w:rPr>
                <w:rFonts w:eastAsia="Times New Roman" w:cs="Times New Roman"/>
                <w:b/>
                <w:color w:val="000000"/>
                <w:sz w:val="18"/>
                <w:szCs w:val="18"/>
                <w:lang w:eastAsia="sk-SK"/>
              </w:rPr>
            </w:pPr>
            <w:r w:rsidRPr="00D904A9">
              <w:rPr>
                <w:rFonts w:eastAsia="Times New Roman" w:cs="Times New Roman"/>
                <w:b/>
                <w:color w:val="000000"/>
                <w:sz w:val="18"/>
                <w:szCs w:val="18"/>
                <w:lang w:eastAsia="sk-SK"/>
              </w:rPr>
              <w:t>4 509 274</w:t>
            </w:r>
          </w:p>
        </w:tc>
        <w:tc>
          <w:tcPr>
            <w:tcW w:w="1134" w:type="dxa"/>
            <w:tcBorders>
              <w:top w:val="nil"/>
              <w:left w:val="nil"/>
              <w:bottom w:val="nil"/>
              <w:right w:val="nil"/>
            </w:tcBorders>
            <w:shd w:val="clear" w:color="000000" w:fill="FFFFFF"/>
            <w:vAlign w:val="center"/>
          </w:tcPr>
          <w:p w14:paraId="75A920BC" w14:textId="77777777" w:rsidR="00B2402D" w:rsidRPr="00D904A9" w:rsidRDefault="00B2402D" w:rsidP="00D2560E">
            <w:pPr>
              <w:spacing w:after="0" w:line="240" w:lineRule="auto"/>
              <w:jc w:val="right"/>
              <w:rPr>
                <w:rFonts w:eastAsia="Times New Roman" w:cs="Times New Roman"/>
                <w:b/>
                <w:color w:val="000000"/>
                <w:sz w:val="18"/>
                <w:szCs w:val="18"/>
                <w:lang w:eastAsia="sk-SK"/>
              </w:rPr>
            </w:pPr>
            <w:r w:rsidRPr="00D904A9">
              <w:rPr>
                <w:rFonts w:eastAsia="Times New Roman" w:cs="Times New Roman"/>
                <w:b/>
                <w:color w:val="000000"/>
                <w:sz w:val="18"/>
                <w:szCs w:val="18"/>
                <w:lang w:eastAsia="sk-SK"/>
              </w:rPr>
              <w:t>-3 219 531</w:t>
            </w:r>
          </w:p>
        </w:tc>
        <w:tc>
          <w:tcPr>
            <w:tcW w:w="850" w:type="dxa"/>
            <w:tcBorders>
              <w:top w:val="nil"/>
              <w:left w:val="nil"/>
              <w:bottom w:val="nil"/>
              <w:right w:val="nil"/>
            </w:tcBorders>
            <w:shd w:val="clear" w:color="000000" w:fill="FFFFFF"/>
            <w:vAlign w:val="center"/>
          </w:tcPr>
          <w:p w14:paraId="7459D14B" w14:textId="77777777" w:rsidR="00B2402D" w:rsidRPr="00D904A9" w:rsidRDefault="00B2402D" w:rsidP="00D2560E">
            <w:pPr>
              <w:spacing w:after="0" w:line="240" w:lineRule="auto"/>
              <w:jc w:val="right"/>
              <w:rPr>
                <w:rFonts w:eastAsia="Times New Roman" w:cs="Times New Roman"/>
                <w:b/>
                <w:color w:val="000000"/>
                <w:sz w:val="18"/>
                <w:szCs w:val="18"/>
                <w:lang w:eastAsia="sk-SK"/>
              </w:rPr>
            </w:pPr>
            <w:r w:rsidRPr="00D904A9">
              <w:rPr>
                <w:rFonts w:eastAsia="Times New Roman" w:cs="Times New Roman"/>
                <w:b/>
                <w:color w:val="000000"/>
                <w:sz w:val="18"/>
                <w:szCs w:val="18"/>
                <w:lang w:eastAsia="sk-SK"/>
              </w:rPr>
              <w:t>-41,7</w:t>
            </w:r>
          </w:p>
        </w:tc>
      </w:tr>
      <w:tr w:rsidR="00B2402D" w:rsidRPr="00385988" w14:paraId="5342E052" w14:textId="77777777" w:rsidTr="00385988">
        <w:trPr>
          <w:trHeight w:val="288"/>
        </w:trPr>
        <w:tc>
          <w:tcPr>
            <w:tcW w:w="3402" w:type="dxa"/>
            <w:tcBorders>
              <w:top w:val="nil"/>
              <w:left w:val="nil"/>
              <w:bottom w:val="nil"/>
              <w:right w:val="nil"/>
            </w:tcBorders>
            <w:shd w:val="clear" w:color="000000" w:fill="FFFFFF"/>
            <w:noWrap/>
            <w:vAlign w:val="center"/>
            <w:hideMark/>
          </w:tcPr>
          <w:p w14:paraId="216DF653" w14:textId="77777777" w:rsidR="00B2402D" w:rsidRPr="00385988" w:rsidRDefault="00B2402D" w:rsidP="00D2560E">
            <w:pPr>
              <w:spacing w:after="0" w:line="240" w:lineRule="auto"/>
              <w:rPr>
                <w:rFonts w:eastAsia="Times New Roman" w:cs="Times New Roman"/>
                <w:color w:val="000000"/>
                <w:sz w:val="18"/>
                <w:szCs w:val="18"/>
                <w:lang w:eastAsia="sk-SK"/>
              </w:rPr>
            </w:pPr>
            <w:r w:rsidRPr="00385988">
              <w:rPr>
                <w:rFonts w:eastAsia="Times New Roman" w:cs="Times New Roman"/>
                <w:color w:val="000000"/>
                <w:sz w:val="18"/>
                <w:szCs w:val="18"/>
                <w:lang w:eastAsia="sk-SK"/>
              </w:rPr>
              <w:t xml:space="preserve">   z toho:</w:t>
            </w:r>
          </w:p>
        </w:tc>
        <w:tc>
          <w:tcPr>
            <w:tcW w:w="905" w:type="dxa"/>
            <w:tcBorders>
              <w:top w:val="nil"/>
              <w:left w:val="nil"/>
              <w:bottom w:val="nil"/>
              <w:right w:val="nil"/>
            </w:tcBorders>
            <w:shd w:val="clear" w:color="000000" w:fill="FFFFFF"/>
            <w:noWrap/>
            <w:vAlign w:val="center"/>
          </w:tcPr>
          <w:p w14:paraId="128F90D7" w14:textId="77777777" w:rsidR="00B2402D" w:rsidRPr="00385988" w:rsidRDefault="00B2402D" w:rsidP="00D2560E">
            <w:pPr>
              <w:spacing w:after="0" w:line="240" w:lineRule="auto"/>
              <w:jc w:val="right"/>
              <w:rPr>
                <w:rFonts w:eastAsia="Times New Roman" w:cs="Times New Roman"/>
                <w:color w:val="000000"/>
                <w:sz w:val="18"/>
                <w:szCs w:val="18"/>
                <w:lang w:eastAsia="sk-SK"/>
              </w:rPr>
            </w:pPr>
          </w:p>
        </w:tc>
        <w:tc>
          <w:tcPr>
            <w:tcW w:w="938" w:type="dxa"/>
            <w:tcBorders>
              <w:top w:val="nil"/>
              <w:left w:val="nil"/>
              <w:bottom w:val="nil"/>
              <w:right w:val="nil"/>
            </w:tcBorders>
            <w:shd w:val="clear" w:color="auto" w:fill="auto"/>
            <w:noWrap/>
            <w:vAlign w:val="center"/>
          </w:tcPr>
          <w:p w14:paraId="28B454E9" w14:textId="77777777" w:rsidR="00B2402D" w:rsidRPr="00385988" w:rsidRDefault="00B2402D" w:rsidP="00D2560E">
            <w:pPr>
              <w:spacing w:after="0" w:line="240" w:lineRule="auto"/>
              <w:jc w:val="right"/>
              <w:rPr>
                <w:rFonts w:eastAsia="Times New Roman" w:cs="Times New Roman"/>
                <w:color w:val="000000"/>
                <w:sz w:val="18"/>
                <w:szCs w:val="18"/>
                <w:lang w:eastAsia="sk-SK"/>
              </w:rPr>
            </w:pPr>
          </w:p>
        </w:tc>
        <w:tc>
          <w:tcPr>
            <w:tcW w:w="992" w:type="dxa"/>
            <w:tcBorders>
              <w:top w:val="nil"/>
              <w:left w:val="nil"/>
              <w:bottom w:val="nil"/>
              <w:right w:val="nil"/>
            </w:tcBorders>
            <w:shd w:val="clear" w:color="000000" w:fill="FFFFFF"/>
            <w:noWrap/>
            <w:vAlign w:val="center"/>
          </w:tcPr>
          <w:p w14:paraId="292A2917" w14:textId="77777777" w:rsidR="00B2402D" w:rsidRPr="00385988" w:rsidRDefault="00B2402D" w:rsidP="00D2560E">
            <w:pPr>
              <w:spacing w:after="0" w:line="240" w:lineRule="auto"/>
              <w:jc w:val="right"/>
              <w:rPr>
                <w:rFonts w:eastAsia="Times New Roman" w:cs="Times New Roman"/>
                <w:color w:val="000000"/>
                <w:sz w:val="18"/>
                <w:szCs w:val="18"/>
                <w:highlight w:val="yellow"/>
                <w:lang w:eastAsia="sk-SK"/>
              </w:rPr>
            </w:pPr>
          </w:p>
        </w:tc>
        <w:tc>
          <w:tcPr>
            <w:tcW w:w="993" w:type="dxa"/>
            <w:tcBorders>
              <w:top w:val="nil"/>
              <w:left w:val="nil"/>
              <w:bottom w:val="nil"/>
              <w:right w:val="nil"/>
            </w:tcBorders>
            <w:shd w:val="clear" w:color="auto" w:fill="auto"/>
            <w:noWrap/>
            <w:vAlign w:val="center"/>
          </w:tcPr>
          <w:p w14:paraId="517724E8" w14:textId="77777777" w:rsidR="00B2402D" w:rsidRPr="00385988" w:rsidRDefault="00B2402D" w:rsidP="00D2560E">
            <w:pPr>
              <w:spacing w:after="0" w:line="240" w:lineRule="auto"/>
              <w:jc w:val="right"/>
              <w:rPr>
                <w:rFonts w:eastAsia="Times New Roman" w:cs="Times New Roman"/>
                <w:color w:val="000000"/>
                <w:sz w:val="18"/>
                <w:szCs w:val="18"/>
                <w:lang w:eastAsia="sk-SK"/>
              </w:rPr>
            </w:pPr>
          </w:p>
        </w:tc>
        <w:tc>
          <w:tcPr>
            <w:tcW w:w="1134" w:type="dxa"/>
            <w:tcBorders>
              <w:top w:val="nil"/>
              <w:left w:val="nil"/>
              <w:bottom w:val="nil"/>
              <w:right w:val="nil"/>
            </w:tcBorders>
            <w:shd w:val="clear" w:color="000000" w:fill="FFFFFF"/>
            <w:vAlign w:val="center"/>
          </w:tcPr>
          <w:p w14:paraId="62CFB20B" w14:textId="77777777" w:rsidR="00B2402D" w:rsidRPr="00385988" w:rsidRDefault="00B2402D" w:rsidP="00D2560E">
            <w:pPr>
              <w:spacing w:after="0" w:line="240" w:lineRule="auto"/>
              <w:jc w:val="right"/>
              <w:rPr>
                <w:rFonts w:eastAsia="Times New Roman" w:cs="Times New Roman"/>
                <w:color w:val="000000"/>
                <w:sz w:val="18"/>
                <w:szCs w:val="18"/>
                <w:highlight w:val="yellow"/>
                <w:lang w:eastAsia="sk-SK"/>
              </w:rPr>
            </w:pPr>
          </w:p>
        </w:tc>
        <w:tc>
          <w:tcPr>
            <w:tcW w:w="850" w:type="dxa"/>
            <w:tcBorders>
              <w:top w:val="nil"/>
              <w:left w:val="nil"/>
              <w:bottom w:val="nil"/>
              <w:right w:val="nil"/>
            </w:tcBorders>
            <w:shd w:val="clear" w:color="000000" w:fill="FFFFFF"/>
            <w:vAlign w:val="center"/>
          </w:tcPr>
          <w:p w14:paraId="54EE4110" w14:textId="77777777" w:rsidR="00B2402D" w:rsidRPr="00385988" w:rsidRDefault="00B2402D" w:rsidP="00D2560E">
            <w:pPr>
              <w:spacing w:after="0" w:line="240" w:lineRule="auto"/>
              <w:jc w:val="right"/>
              <w:rPr>
                <w:rFonts w:eastAsia="Times New Roman" w:cs="Times New Roman"/>
                <w:color w:val="000000"/>
                <w:sz w:val="18"/>
                <w:szCs w:val="18"/>
                <w:highlight w:val="yellow"/>
                <w:lang w:eastAsia="sk-SK"/>
              </w:rPr>
            </w:pPr>
          </w:p>
        </w:tc>
      </w:tr>
      <w:tr w:rsidR="00B2402D" w:rsidRPr="00385988" w14:paraId="4E1B6D8B" w14:textId="77777777" w:rsidTr="00385988">
        <w:trPr>
          <w:trHeight w:val="125"/>
        </w:trPr>
        <w:tc>
          <w:tcPr>
            <w:tcW w:w="3402" w:type="dxa"/>
            <w:tcBorders>
              <w:top w:val="nil"/>
              <w:left w:val="nil"/>
              <w:bottom w:val="nil"/>
              <w:right w:val="nil"/>
            </w:tcBorders>
            <w:shd w:val="clear" w:color="000000" w:fill="FFFFFF"/>
            <w:noWrap/>
            <w:vAlign w:val="center"/>
            <w:hideMark/>
          </w:tcPr>
          <w:p w14:paraId="47A49E01" w14:textId="09EB8791" w:rsidR="00B2402D" w:rsidRPr="00385988" w:rsidRDefault="00B2402D" w:rsidP="00176518">
            <w:pPr>
              <w:spacing w:after="0" w:line="240" w:lineRule="auto"/>
              <w:rPr>
                <w:rFonts w:eastAsia="Times New Roman" w:cs="Times New Roman"/>
                <w:color w:val="000000"/>
                <w:sz w:val="18"/>
                <w:szCs w:val="18"/>
                <w:lang w:eastAsia="sk-SK"/>
              </w:rPr>
            </w:pPr>
            <w:r w:rsidRPr="00385988">
              <w:rPr>
                <w:rFonts w:eastAsia="Times New Roman" w:cs="Times New Roman"/>
                <w:color w:val="000000"/>
                <w:sz w:val="18"/>
                <w:szCs w:val="18"/>
                <w:lang w:eastAsia="sk-SK"/>
              </w:rPr>
              <w:lastRenderedPageBreak/>
              <w:t xml:space="preserve"> </w:t>
            </w:r>
            <w:r w:rsidR="00176518">
              <w:rPr>
                <w:rFonts w:eastAsia="Times New Roman" w:cs="Times New Roman"/>
                <w:color w:val="000000"/>
                <w:sz w:val="18"/>
                <w:szCs w:val="18"/>
                <w:lang w:eastAsia="sk-SK"/>
              </w:rPr>
              <w:t xml:space="preserve">      prostriedky z rozpočtu EÚ</w:t>
            </w:r>
          </w:p>
        </w:tc>
        <w:tc>
          <w:tcPr>
            <w:tcW w:w="905" w:type="dxa"/>
            <w:tcBorders>
              <w:top w:val="nil"/>
              <w:left w:val="nil"/>
              <w:bottom w:val="nil"/>
              <w:right w:val="nil"/>
            </w:tcBorders>
            <w:shd w:val="clear" w:color="000000" w:fill="FFFFFF"/>
            <w:vAlign w:val="center"/>
            <w:hideMark/>
          </w:tcPr>
          <w:p w14:paraId="114E5BA4"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2 269 707</w:t>
            </w:r>
          </w:p>
        </w:tc>
        <w:tc>
          <w:tcPr>
            <w:tcW w:w="938" w:type="dxa"/>
            <w:tcBorders>
              <w:top w:val="nil"/>
              <w:left w:val="nil"/>
              <w:bottom w:val="nil"/>
              <w:right w:val="nil"/>
            </w:tcBorders>
            <w:shd w:val="clear" w:color="auto" w:fill="auto"/>
            <w:vAlign w:val="center"/>
          </w:tcPr>
          <w:p w14:paraId="061E5CCD"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2 146 641</w:t>
            </w:r>
          </w:p>
        </w:tc>
        <w:tc>
          <w:tcPr>
            <w:tcW w:w="992" w:type="dxa"/>
            <w:tcBorders>
              <w:top w:val="nil"/>
              <w:left w:val="nil"/>
              <w:bottom w:val="nil"/>
              <w:right w:val="nil"/>
            </w:tcBorders>
            <w:shd w:val="clear" w:color="000000" w:fill="FFFFFF"/>
            <w:vAlign w:val="center"/>
          </w:tcPr>
          <w:p w14:paraId="55DADD1E" w14:textId="77777777" w:rsidR="00B2402D" w:rsidRPr="00385988" w:rsidRDefault="00B2402D" w:rsidP="00D2560E">
            <w:pPr>
              <w:spacing w:after="0" w:line="240" w:lineRule="auto"/>
              <w:jc w:val="right"/>
              <w:rPr>
                <w:rFonts w:eastAsia="Times New Roman" w:cs="Times New Roman"/>
                <w:color w:val="000000"/>
                <w:sz w:val="18"/>
                <w:szCs w:val="18"/>
                <w:highlight w:val="yellow"/>
                <w:lang w:eastAsia="sk-SK"/>
              </w:rPr>
            </w:pPr>
            <w:r w:rsidRPr="00385988">
              <w:rPr>
                <w:rFonts w:eastAsia="Times New Roman" w:cs="Times New Roman"/>
                <w:color w:val="000000"/>
                <w:sz w:val="18"/>
                <w:szCs w:val="18"/>
                <w:lang w:eastAsia="sk-SK"/>
              </w:rPr>
              <w:t>5 717 554</w:t>
            </w:r>
          </w:p>
        </w:tc>
        <w:tc>
          <w:tcPr>
            <w:tcW w:w="993" w:type="dxa"/>
            <w:tcBorders>
              <w:top w:val="nil"/>
              <w:left w:val="nil"/>
              <w:bottom w:val="nil"/>
              <w:right w:val="nil"/>
            </w:tcBorders>
            <w:shd w:val="clear" w:color="auto" w:fill="auto"/>
            <w:vAlign w:val="center"/>
          </w:tcPr>
          <w:p w14:paraId="4861AE07"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4 141 996</w:t>
            </w:r>
          </w:p>
        </w:tc>
        <w:tc>
          <w:tcPr>
            <w:tcW w:w="1134" w:type="dxa"/>
            <w:tcBorders>
              <w:top w:val="nil"/>
              <w:left w:val="nil"/>
              <w:bottom w:val="nil"/>
              <w:right w:val="nil"/>
            </w:tcBorders>
            <w:shd w:val="clear" w:color="000000" w:fill="FFFFFF"/>
            <w:vAlign w:val="center"/>
          </w:tcPr>
          <w:p w14:paraId="665E0C1F"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-1 575 558</w:t>
            </w:r>
          </w:p>
        </w:tc>
        <w:tc>
          <w:tcPr>
            <w:tcW w:w="850" w:type="dxa"/>
            <w:tcBorders>
              <w:top w:val="nil"/>
              <w:left w:val="nil"/>
              <w:bottom w:val="nil"/>
              <w:right w:val="nil"/>
            </w:tcBorders>
            <w:shd w:val="clear" w:color="000000" w:fill="FFFFFF"/>
            <w:vAlign w:val="center"/>
          </w:tcPr>
          <w:p w14:paraId="4103E956"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-27,6</w:t>
            </w:r>
          </w:p>
        </w:tc>
      </w:tr>
      <w:tr w:rsidR="00B2402D" w:rsidRPr="00385988" w14:paraId="5BD782B3" w14:textId="77777777" w:rsidTr="00385988">
        <w:trPr>
          <w:trHeight w:val="271"/>
        </w:trPr>
        <w:tc>
          <w:tcPr>
            <w:tcW w:w="3402" w:type="dxa"/>
            <w:tcBorders>
              <w:top w:val="nil"/>
              <w:left w:val="nil"/>
              <w:bottom w:val="nil"/>
              <w:right w:val="nil"/>
            </w:tcBorders>
            <w:shd w:val="clear" w:color="000000" w:fill="FFFFFF"/>
            <w:noWrap/>
            <w:vAlign w:val="center"/>
            <w:hideMark/>
          </w:tcPr>
          <w:p w14:paraId="0D465D84" w14:textId="77777777" w:rsidR="00B2402D" w:rsidRPr="00385988" w:rsidRDefault="00B2402D" w:rsidP="00D2560E">
            <w:pPr>
              <w:spacing w:after="0" w:line="240" w:lineRule="auto"/>
              <w:rPr>
                <w:rFonts w:eastAsia="Times New Roman" w:cs="Times New Roman"/>
                <w:color w:val="000000"/>
                <w:sz w:val="18"/>
                <w:szCs w:val="18"/>
                <w:lang w:eastAsia="sk-SK"/>
              </w:rPr>
            </w:pPr>
            <w:r w:rsidRPr="00385988">
              <w:rPr>
                <w:rFonts w:eastAsia="Times New Roman" w:cs="Times New Roman"/>
                <w:color w:val="000000"/>
                <w:sz w:val="18"/>
                <w:szCs w:val="18"/>
                <w:lang w:eastAsia="sk-SK"/>
              </w:rPr>
              <w:t xml:space="preserve">       prostriedky z rozpočtu EÚ (POO)</w:t>
            </w:r>
          </w:p>
        </w:tc>
        <w:tc>
          <w:tcPr>
            <w:tcW w:w="905" w:type="dxa"/>
            <w:tcBorders>
              <w:top w:val="nil"/>
              <w:left w:val="nil"/>
              <w:bottom w:val="nil"/>
              <w:right w:val="nil"/>
            </w:tcBorders>
            <w:shd w:val="clear" w:color="000000" w:fill="FFFFFF"/>
            <w:vAlign w:val="center"/>
          </w:tcPr>
          <w:p w14:paraId="5F7E59A2"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4 283</w:t>
            </w:r>
          </w:p>
        </w:tc>
        <w:tc>
          <w:tcPr>
            <w:tcW w:w="938" w:type="dxa"/>
            <w:tcBorders>
              <w:top w:val="nil"/>
              <w:left w:val="nil"/>
              <w:bottom w:val="nil"/>
              <w:right w:val="nil"/>
            </w:tcBorders>
            <w:shd w:val="clear" w:color="auto" w:fill="auto"/>
            <w:vAlign w:val="center"/>
          </w:tcPr>
          <w:p w14:paraId="0D417D09"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41 061</w:t>
            </w:r>
          </w:p>
        </w:tc>
        <w:tc>
          <w:tcPr>
            <w:tcW w:w="992" w:type="dxa"/>
            <w:tcBorders>
              <w:top w:val="nil"/>
              <w:left w:val="nil"/>
              <w:bottom w:val="nil"/>
              <w:right w:val="nil"/>
            </w:tcBorders>
            <w:shd w:val="clear" w:color="000000" w:fill="FFFFFF"/>
            <w:vAlign w:val="center"/>
          </w:tcPr>
          <w:p w14:paraId="24668C4D"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2 011 251</w:t>
            </w:r>
          </w:p>
        </w:tc>
        <w:tc>
          <w:tcPr>
            <w:tcW w:w="993" w:type="dxa"/>
            <w:tcBorders>
              <w:top w:val="nil"/>
              <w:left w:val="nil"/>
              <w:bottom w:val="nil"/>
              <w:right w:val="nil"/>
            </w:tcBorders>
            <w:shd w:val="clear" w:color="auto" w:fill="auto"/>
            <w:vAlign w:val="center"/>
          </w:tcPr>
          <w:p w14:paraId="0D212B23" w14:textId="77777777" w:rsidR="00B2402D" w:rsidRPr="00385988" w:rsidRDefault="00B2402D" w:rsidP="00D2560E">
            <w:pPr>
              <w:spacing w:after="0" w:line="240" w:lineRule="auto"/>
              <w:jc w:val="right"/>
              <w:rPr>
                <w:rFonts w:eastAsia="Times New Roman" w:cs="Times New Roman"/>
                <w:color w:val="000000"/>
                <w:sz w:val="18"/>
                <w:szCs w:val="18"/>
                <w:lang w:eastAsia="sk-SK"/>
              </w:rPr>
            </w:pPr>
            <w:r w:rsidRPr="00385988">
              <w:rPr>
                <w:rFonts w:eastAsia="Times New Roman" w:cs="Times New Roman"/>
                <w:color w:val="000000"/>
                <w:sz w:val="18"/>
                <w:szCs w:val="18"/>
                <w:lang w:eastAsia="sk-SK"/>
              </w:rPr>
              <w:t>367 278</w:t>
            </w:r>
          </w:p>
        </w:tc>
        <w:tc>
          <w:tcPr>
            <w:tcW w:w="1134" w:type="dxa"/>
            <w:tcBorders>
              <w:top w:val="nil"/>
              <w:left w:val="nil"/>
              <w:bottom w:val="nil"/>
              <w:right w:val="nil"/>
            </w:tcBorders>
            <w:shd w:val="clear" w:color="000000" w:fill="FFFFFF"/>
            <w:vAlign w:val="center"/>
          </w:tcPr>
          <w:p w14:paraId="4C8083EE" w14:textId="77777777" w:rsidR="00B2402D" w:rsidRPr="00385988" w:rsidRDefault="00B2402D" w:rsidP="00D2560E">
            <w:pPr>
              <w:spacing w:after="0" w:line="240" w:lineRule="auto"/>
              <w:jc w:val="right"/>
              <w:rPr>
                <w:rFonts w:eastAsia="Times New Roman" w:cs="Times New Roman"/>
                <w:color w:val="000000"/>
                <w:sz w:val="18"/>
                <w:szCs w:val="18"/>
                <w:highlight w:val="yellow"/>
                <w:lang w:eastAsia="sk-SK"/>
              </w:rPr>
            </w:pPr>
            <w:r w:rsidRPr="00385988">
              <w:rPr>
                <w:rFonts w:eastAsia="Times New Roman" w:cs="Times New Roman"/>
                <w:color w:val="000000"/>
                <w:sz w:val="18"/>
                <w:szCs w:val="18"/>
                <w:lang w:eastAsia="sk-SK"/>
              </w:rPr>
              <w:t>-1 643 973</w:t>
            </w:r>
          </w:p>
        </w:tc>
        <w:tc>
          <w:tcPr>
            <w:tcW w:w="850" w:type="dxa"/>
            <w:tcBorders>
              <w:top w:val="nil"/>
              <w:left w:val="nil"/>
              <w:bottom w:val="nil"/>
              <w:right w:val="nil"/>
            </w:tcBorders>
            <w:shd w:val="clear" w:color="000000" w:fill="FFFFFF"/>
            <w:vAlign w:val="center"/>
          </w:tcPr>
          <w:p w14:paraId="79520D5C" w14:textId="77777777" w:rsidR="00B2402D" w:rsidRPr="00385988" w:rsidRDefault="00B2402D" w:rsidP="00D2560E">
            <w:pPr>
              <w:spacing w:after="0" w:line="240" w:lineRule="auto"/>
              <w:jc w:val="right"/>
              <w:rPr>
                <w:rFonts w:eastAsia="Times New Roman" w:cs="Times New Roman"/>
                <w:color w:val="000000"/>
                <w:sz w:val="18"/>
                <w:szCs w:val="18"/>
                <w:highlight w:val="yellow"/>
                <w:lang w:eastAsia="sk-SK"/>
              </w:rPr>
            </w:pPr>
            <w:r w:rsidRPr="00385988">
              <w:rPr>
                <w:rFonts w:eastAsia="Times New Roman" w:cs="Times New Roman"/>
                <w:color w:val="000000"/>
                <w:sz w:val="18"/>
                <w:szCs w:val="18"/>
                <w:lang w:eastAsia="sk-SK"/>
              </w:rPr>
              <w:t>-81,7</w:t>
            </w:r>
          </w:p>
        </w:tc>
      </w:tr>
      <w:tr w:rsidR="00B2402D" w:rsidRPr="00385988" w14:paraId="67DAC08C" w14:textId="77777777" w:rsidTr="00385988">
        <w:trPr>
          <w:trHeight w:val="288"/>
        </w:trPr>
        <w:tc>
          <w:tcPr>
            <w:tcW w:w="3402" w:type="dxa"/>
            <w:tcBorders>
              <w:top w:val="single" w:sz="4" w:space="0" w:color="auto"/>
              <w:left w:val="nil"/>
              <w:bottom w:val="single" w:sz="4" w:space="0" w:color="auto"/>
              <w:right w:val="nil"/>
            </w:tcBorders>
            <w:shd w:val="clear" w:color="000000" w:fill="FFFFFF"/>
            <w:noWrap/>
            <w:vAlign w:val="center"/>
            <w:hideMark/>
          </w:tcPr>
          <w:p w14:paraId="75BDE5AA" w14:textId="77777777" w:rsidR="00B2402D" w:rsidRPr="00385988" w:rsidRDefault="00B2402D" w:rsidP="00D2560E">
            <w:pPr>
              <w:spacing w:after="0" w:line="240" w:lineRule="auto"/>
              <w:rPr>
                <w:rFonts w:eastAsia="Times New Roman" w:cs="Times New Roman"/>
                <w:b/>
                <w:bCs/>
                <w:color w:val="000000"/>
                <w:sz w:val="18"/>
                <w:szCs w:val="18"/>
                <w:lang w:eastAsia="sk-SK"/>
              </w:rPr>
            </w:pPr>
            <w:r w:rsidRPr="00385988">
              <w:rPr>
                <w:rFonts w:eastAsia="Times New Roman" w:cs="Times New Roman"/>
                <w:b/>
                <w:bCs/>
                <w:color w:val="000000"/>
                <w:sz w:val="18"/>
                <w:szCs w:val="18"/>
                <w:lang w:eastAsia="sk-SK"/>
              </w:rPr>
              <w:t>Spolu</w:t>
            </w:r>
          </w:p>
        </w:tc>
        <w:tc>
          <w:tcPr>
            <w:tcW w:w="905" w:type="dxa"/>
            <w:tcBorders>
              <w:top w:val="single" w:sz="4" w:space="0" w:color="auto"/>
              <w:left w:val="nil"/>
              <w:bottom w:val="single" w:sz="4" w:space="0" w:color="auto"/>
              <w:right w:val="nil"/>
            </w:tcBorders>
            <w:shd w:val="clear" w:color="000000" w:fill="FFFFFF"/>
            <w:noWrap/>
            <w:vAlign w:val="center"/>
            <w:hideMark/>
          </w:tcPr>
          <w:p w14:paraId="1120A665" w14:textId="77777777" w:rsidR="00B2402D" w:rsidRPr="00385988" w:rsidRDefault="00B2402D" w:rsidP="00D2560E">
            <w:pPr>
              <w:spacing w:after="0" w:line="240" w:lineRule="auto"/>
              <w:jc w:val="right"/>
              <w:rPr>
                <w:rFonts w:eastAsia="Times New Roman" w:cs="Times New Roman"/>
                <w:b/>
                <w:bCs/>
                <w:color w:val="000000"/>
                <w:sz w:val="18"/>
                <w:szCs w:val="18"/>
                <w:lang w:eastAsia="sk-SK"/>
              </w:rPr>
            </w:pPr>
            <w:r w:rsidRPr="00385988">
              <w:rPr>
                <w:rFonts w:eastAsia="Times New Roman" w:cs="Times New Roman"/>
                <w:b/>
                <w:bCs/>
                <w:color w:val="000000"/>
                <w:sz w:val="18"/>
                <w:szCs w:val="18"/>
                <w:lang w:eastAsia="sk-SK"/>
              </w:rPr>
              <w:t>2 312 939 </w:t>
            </w:r>
          </w:p>
        </w:tc>
        <w:tc>
          <w:tcPr>
            <w:tcW w:w="938" w:type="dxa"/>
            <w:tcBorders>
              <w:top w:val="single" w:sz="4" w:space="0" w:color="auto"/>
              <w:left w:val="nil"/>
              <w:bottom w:val="single" w:sz="4" w:space="0" w:color="auto"/>
              <w:right w:val="nil"/>
            </w:tcBorders>
            <w:shd w:val="clear" w:color="auto" w:fill="auto"/>
            <w:noWrap/>
            <w:vAlign w:val="center"/>
          </w:tcPr>
          <w:p w14:paraId="2C9C1914" w14:textId="77777777" w:rsidR="00B2402D" w:rsidRPr="00385988" w:rsidRDefault="00B2402D" w:rsidP="00D2560E">
            <w:pPr>
              <w:spacing w:after="0" w:line="240" w:lineRule="auto"/>
              <w:jc w:val="right"/>
              <w:rPr>
                <w:rFonts w:eastAsia="Times New Roman" w:cs="Times New Roman"/>
                <w:b/>
                <w:bCs/>
                <w:color w:val="000000"/>
                <w:sz w:val="18"/>
                <w:szCs w:val="18"/>
                <w:lang w:eastAsia="sk-SK"/>
              </w:rPr>
            </w:pPr>
            <w:r w:rsidRPr="00385988">
              <w:rPr>
                <w:rFonts w:eastAsia="Times New Roman" w:cs="Times New Roman"/>
                <w:b/>
                <w:bCs/>
                <w:color w:val="000000"/>
                <w:sz w:val="18"/>
                <w:szCs w:val="18"/>
                <w:lang w:eastAsia="sk-SK"/>
              </w:rPr>
              <w:t>2 227 577 </w:t>
            </w:r>
          </w:p>
        </w:tc>
        <w:tc>
          <w:tcPr>
            <w:tcW w:w="992" w:type="dxa"/>
            <w:tcBorders>
              <w:top w:val="single" w:sz="4" w:space="0" w:color="auto"/>
              <w:left w:val="nil"/>
              <w:bottom w:val="single" w:sz="4" w:space="0" w:color="auto"/>
              <w:right w:val="nil"/>
            </w:tcBorders>
            <w:shd w:val="clear" w:color="000000" w:fill="FFFFFF"/>
            <w:noWrap/>
            <w:vAlign w:val="center"/>
          </w:tcPr>
          <w:p w14:paraId="7B7AEA6E" w14:textId="77777777" w:rsidR="00B2402D" w:rsidRPr="00385988" w:rsidRDefault="00B2402D" w:rsidP="00D2560E">
            <w:pPr>
              <w:spacing w:after="0" w:line="240" w:lineRule="auto"/>
              <w:jc w:val="right"/>
              <w:rPr>
                <w:rFonts w:eastAsia="Times New Roman" w:cs="Times New Roman"/>
                <w:b/>
                <w:bCs/>
                <w:color w:val="000000"/>
                <w:sz w:val="18"/>
                <w:szCs w:val="18"/>
                <w:highlight w:val="yellow"/>
                <w:lang w:eastAsia="sk-SK"/>
              </w:rPr>
            </w:pPr>
            <w:r w:rsidRPr="00385988">
              <w:rPr>
                <w:rFonts w:eastAsia="Times New Roman" w:cs="Times New Roman"/>
                <w:b/>
                <w:bCs/>
                <w:color w:val="000000"/>
                <w:sz w:val="18"/>
                <w:szCs w:val="18"/>
                <w:lang w:eastAsia="sk-SK"/>
              </w:rPr>
              <w:t>7 774 037</w:t>
            </w:r>
          </w:p>
        </w:tc>
        <w:tc>
          <w:tcPr>
            <w:tcW w:w="993" w:type="dxa"/>
            <w:tcBorders>
              <w:top w:val="single" w:sz="4" w:space="0" w:color="auto"/>
              <w:left w:val="nil"/>
              <w:bottom w:val="single" w:sz="4" w:space="0" w:color="auto"/>
              <w:right w:val="nil"/>
            </w:tcBorders>
            <w:shd w:val="clear" w:color="auto" w:fill="auto"/>
            <w:noWrap/>
            <w:vAlign w:val="center"/>
          </w:tcPr>
          <w:p w14:paraId="358079D2" w14:textId="77777777" w:rsidR="00B2402D" w:rsidRPr="00385988" w:rsidRDefault="00B2402D" w:rsidP="00D2560E">
            <w:pPr>
              <w:spacing w:after="0" w:line="240" w:lineRule="auto"/>
              <w:jc w:val="right"/>
              <w:rPr>
                <w:rFonts w:eastAsia="Times New Roman" w:cs="Times New Roman"/>
                <w:b/>
                <w:bCs/>
                <w:color w:val="000000"/>
                <w:sz w:val="18"/>
                <w:szCs w:val="18"/>
                <w:lang w:eastAsia="sk-SK"/>
              </w:rPr>
            </w:pPr>
            <w:r w:rsidRPr="00385988">
              <w:rPr>
                <w:rFonts w:eastAsia="Times New Roman" w:cs="Times New Roman"/>
                <w:b/>
                <w:bCs/>
                <w:color w:val="000000"/>
                <w:sz w:val="18"/>
                <w:szCs w:val="18"/>
                <w:lang w:eastAsia="sk-SK"/>
              </w:rPr>
              <w:t>4 509 343</w:t>
            </w:r>
          </w:p>
        </w:tc>
        <w:tc>
          <w:tcPr>
            <w:tcW w:w="1134" w:type="dxa"/>
            <w:tcBorders>
              <w:top w:val="single" w:sz="4" w:space="0" w:color="auto"/>
              <w:left w:val="nil"/>
              <w:bottom w:val="single" w:sz="4" w:space="0" w:color="auto"/>
              <w:right w:val="nil"/>
            </w:tcBorders>
            <w:shd w:val="clear" w:color="auto" w:fill="auto"/>
            <w:noWrap/>
            <w:vAlign w:val="center"/>
          </w:tcPr>
          <w:p w14:paraId="1CCE2A82" w14:textId="77777777" w:rsidR="00B2402D" w:rsidRPr="00385988" w:rsidRDefault="00B2402D" w:rsidP="00D2560E">
            <w:pPr>
              <w:spacing w:after="0" w:line="240" w:lineRule="auto"/>
              <w:jc w:val="right"/>
              <w:rPr>
                <w:rFonts w:eastAsia="Times New Roman" w:cs="Times New Roman"/>
                <w:b/>
                <w:bCs/>
                <w:color w:val="000000"/>
                <w:sz w:val="18"/>
                <w:szCs w:val="18"/>
                <w:highlight w:val="yellow"/>
                <w:lang w:eastAsia="sk-SK"/>
              </w:rPr>
            </w:pPr>
            <w:r w:rsidRPr="00385988">
              <w:rPr>
                <w:rFonts w:eastAsia="Times New Roman" w:cs="Times New Roman"/>
                <w:b/>
                <w:bCs/>
                <w:color w:val="000000"/>
                <w:sz w:val="18"/>
                <w:szCs w:val="18"/>
                <w:lang w:eastAsia="sk-SK"/>
              </w:rPr>
              <w:t>-3 264 694</w:t>
            </w:r>
          </w:p>
        </w:tc>
        <w:tc>
          <w:tcPr>
            <w:tcW w:w="850" w:type="dxa"/>
            <w:tcBorders>
              <w:top w:val="single" w:sz="4" w:space="0" w:color="auto"/>
              <w:left w:val="nil"/>
              <w:bottom w:val="single" w:sz="4" w:space="0" w:color="auto"/>
              <w:right w:val="nil"/>
            </w:tcBorders>
            <w:shd w:val="clear" w:color="000000" w:fill="FFFFFF"/>
            <w:noWrap/>
            <w:vAlign w:val="center"/>
            <w:hideMark/>
          </w:tcPr>
          <w:p w14:paraId="2C418010" w14:textId="77777777" w:rsidR="00B2402D" w:rsidRPr="00385988" w:rsidRDefault="00B2402D" w:rsidP="00D2560E">
            <w:pPr>
              <w:spacing w:after="0" w:line="240" w:lineRule="auto"/>
              <w:jc w:val="right"/>
              <w:rPr>
                <w:rFonts w:eastAsia="Times New Roman" w:cs="Times New Roman"/>
                <w:b/>
                <w:bCs/>
                <w:color w:val="000000"/>
                <w:sz w:val="18"/>
                <w:szCs w:val="18"/>
                <w:highlight w:val="yellow"/>
                <w:lang w:eastAsia="sk-SK"/>
              </w:rPr>
            </w:pPr>
          </w:p>
        </w:tc>
      </w:tr>
    </w:tbl>
    <w:p w14:paraId="4E19B9CA" w14:textId="77777777" w:rsidR="00B2402D" w:rsidRPr="00F9729D" w:rsidRDefault="00B2402D" w:rsidP="00B2402D">
      <w:pPr>
        <w:spacing w:line="240" w:lineRule="auto"/>
        <w:jc w:val="right"/>
        <w:rPr>
          <w:color w:val="000000" w:themeColor="text1"/>
          <w:sz w:val="20"/>
          <w:szCs w:val="20"/>
        </w:rPr>
      </w:pPr>
      <w:r w:rsidRPr="00385988">
        <w:rPr>
          <w:color w:val="000000" w:themeColor="text1"/>
          <w:sz w:val="18"/>
          <w:szCs w:val="18"/>
        </w:rPr>
        <w:t>Zdroj: MF SR</w:t>
      </w:r>
    </w:p>
    <w:p w14:paraId="3566344C" w14:textId="6AB89A89" w:rsidR="00B2402D" w:rsidRPr="006D74D3" w:rsidRDefault="00B2402D" w:rsidP="00B2402D">
      <w:pPr>
        <w:spacing w:line="240" w:lineRule="auto"/>
        <w:rPr>
          <w:sz w:val="24"/>
          <w:szCs w:val="24"/>
          <w:highlight w:val="yellow"/>
        </w:rPr>
      </w:pPr>
      <w:r w:rsidRPr="00734866">
        <w:rPr>
          <w:sz w:val="24"/>
          <w:szCs w:val="24"/>
        </w:rPr>
        <w:t>Schválený rozpočet príjmov zo zahraničných transferov na rok 2023 bol vo výške 7 728 805</w:t>
      </w:r>
      <w:r w:rsidRPr="00734866">
        <w:rPr>
          <w:rFonts w:eastAsia="Times New Roman" w:cs="Times New Roman"/>
          <w:color w:val="000000"/>
          <w:sz w:val="20"/>
          <w:szCs w:val="20"/>
          <w:lang w:eastAsia="sk-SK"/>
        </w:rPr>
        <w:t> </w:t>
      </w:r>
      <w:r w:rsidRPr="00734866">
        <w:rPr>
          <w:sz w:val="24"/>
          <w:szCs w:val="24"/>
        </w:rPr>
        <w:t>tis. eur, z toho príjmy za prostriedky EÚ boli rozpočtované vo výške 5 717 554 tis.</w:t>
      </w:r>
      <w:r>
        <w:rPr>
          <w:sz w:val="24"/>
          <w:szCs w:val="24"/>
        </w:rPr>
        <w:t> </w:t>
      </w:r>
      <w:r w:rsidRPr="00734866">
        <w:rPr>
          <w:sz w:val="24"/>
          <w:szCs w:val="24"/>
        </w:rPr>
        <w:t>eur a príjmy za Plán obnovy a odolnosti (POO) vo výške 2 011 251 tis.</w:t>
      </w:r>
      <w:r>
        <w:rPr>
          <w:sz w:val="24"/>
          <w:szCs w:val="24"/>
        </w:rPr>
        <w:t> </w:t>
      </w:r>
      <w:r w:rsidRPr="00734866">
        <w:rPr>
          <w:sz w:val="24"/>
          <w:szCs w:val="24"/>
        </w:rPr>
        <w:t>eur. Skutočné plnenie týchto príjmov bolo vo výške 4 509 27</w:t>
      </w:r>
      <w:r>
        <w:rPr>
          <w:sz w:val="24"/>
          <w:szCs w:val="24"/>
        </w:rPr>
        <w:t>4</w:t>
      </w:r>
      <w:r w:rsidRPr="00734866">
        <w:rPr>
          <w:sz w:val="24"/>
          <w:szCs w:val="24"/>
        </w:rPr>
        <w:t> tis. eur, z toho za POO 367 278 tis.</w:t>
      </w:r>
      <w:r>
        <w:rPr>
          <w:sz w:val="24"/>
          <w:szCs w:val="24"/>
        </w:rPr>
        <w:t> </w:t>
      </w:r>
      <w:r w:rsidRPr="00734866">
        <w:rPr>
          <w:sz w:val="24"/>
          <w:szCs w:val="24"/>
        </w:rPr>
        <w:t>eur.</w:t>
      </w:r>
    </w:p>
    <w:p w14:paraId="560F90D6" w14:textId="7FC064F4" w:rsidR="0086767F" w:rsidRPr="0086767F" w:rsidRDefault="00B2402D" w:rsidP="0086767F">
      <w:pPr>
        <w:spacing w:line="240" w:lineRule="auto"/>
        <w:rPr>
          <w:sz w:val="24"/>
          <w:szCs w:val="24"/>
        </w:rPr>
      </w:pPr>
      <w:r w:rsidRPr="00DA0233">
        <w:rPr>
          <w:sz w:val="24"/>
          <w:szCs w:val="24"/>
        </w:rPr>
        <w:t>Zahraničné transfery dosiahli 4 509 27</w:t>
      </w:r>
      <w:r>
        <w:rPr>
          <w:sz w:val="24"/>
          <w:szCs w:val="24"/>
        </w:rPr>
        <w:t>4</w:t>
      </w:r>
      <w:r w:rsidRPr="00DA0233">
        <w:rPr>
          <w:sz w:val="24"/>
          <w:szCs w:val="24"/>
        </w:rPr>
        <w:t> tis. eur, čo predstavuje oproti schválenému rozpočtu nižšie plnenie až o</w:t>
      </w:r>
      <w:r>
        <w:rPr>
          <w:sz w:val="24"/>
          <w:szCs w:val="24"/>
        </w:rPr>
        <w:t> 3 219 531</w:t>
      </w:r>
      <w:r w:rsidRPr="00DA0233">
        <w:rPr>
          <w:rFonts w:ascii="Calibri" w:eastAsia="Times New Roman" w:hAnsi="Calibri" w:cs="Calibri"/>
          <w:color w:val="000000"/>
          <w:lang w:eastAsia="sk-SK"/>
        </w:rPr>
        <w:t> </w:t>
      </w:r>
      <w:r w:rsidRPr="00DA0233">
        <w:rPr>
          <w:sz w:val="24"/>
          <w:szCs w:val="24"/>
        </w:rPr>
        <w:t xml:space="preserve">tis. eur, z toho </w:t>
      </w:r>
      <w:r w:rsidR="00176518">
        <w:rPr>
          <w:sz w:val="24"/>
          <w:szCs w:val="24"/>
        </w:rPr>
        <w:t xml:space="preserve">príjmy za </w:t>
      </w:r>
      <w:r w:rsidRPr="00DA0233">
        <w:rPr>
          <w:sz w:val="24"/>
          <w:szCs w:val="24"/>
        </w:rPr>
        <w:t>prostriedky E</w:t>
      </w:r>
      <w:r w:rsidR="00176518">
        <w:rPr>
          <w:sz w:val="24"/>
          <w:szCs w:val="24"/>
        </w:rPr>
        <w:t>Ú</w:t>
      </w:r>
      <w:r w:rsidRPr="00DA0233">
        <w:rPr>
          <w:sz w:val="24"/>
          <w:szCs w:val="24"/>
        </w:rPr>
        <w:t xml:space="preserve"> sa nenaplnili o 1 575</w:t>
      </w:r>
      <w:r>
        <w:rPr>
          <w:sz w:val="24"/>
          <w:szCs w:val="24"/>
        </w:rPr>
        <w:t> 558 </w:t>
      </w:r>
      <w:r w:rsidRPr="00DA0233">
        <w:rPr>
          <w:sz w:val="24"/>
          <w:szCs w:val="24"/>
        </w:rPr>
        <w:t>tis.</w:t>
      </w:r>
      <w:r>
        <w:rPr>
          <w:sz w:val="24"/>
          <w:szCs w:val="24"/>
        </w:rPr>
        <w:t> </w:t>
      </w:r>
      <w:r w:rsidRPr="00DA0233">
        <w:rPr>
          <w:sz w:val="24"/>
          <w:szCs w:val="24"/>
        </w:rPr>
        <w:t>eur a prostriedky POO o 1 643 973 tis.</w:t>
      </w:r>
      <w:r>
        <w:rPr>
          <w:sz w:val="24"/>
          <w:szCs w:val="24"/>
        </w:rPr>
        <w:t> </w:t>
      </w:r>
      <w:r w:rsidRPr="00DA0233">
        <w:rPr>
          <w:sz w:val="24"/>
          <w:szCs w:val="24"/>
        </w:rPr>
        <w:t xml:space="preserve">eur. </w:t>
      </w:r>
      <w:r w:rsidR="0086767F" w:rsidRPr="0086767F">
        <w:rPr>
          <w:sz w:val="24"/>
          <w:szCs w:val="24"/>
        </w:rPr>
        <w:t xml:space="preserve">K nenaplneniu príjmov dochádza vo veľkej miere z dôvodu zvýšeného poskytovania preddavkových a zálohových platieb ku koncu roka 2023 z dôvodu ukončovania oprávnenosti výdavkov k 31.12.2023 za programové obdobie 2014 – 2020, pričom k naplneniu príjmov dôjde až v roku 2024. Ďalším dôvodom je nízke čerpanie v programovom období 2021 – 2027 a o výšku </w:t>
      </w:r>
      <w:r w:rsidR="0086767F">
        <w:rPr>
          <w:sz w:val="24"/>
          <w:szCs w:val="24"/>
        </w:rPr>
        <w:t xml:space="preserve">týchto </w:t>
      </w:r>
      <w:r w:rsidR="0086767F" w:rsidRPr="0086767F">
        <w:rPr>
          <w:sz w:val="24"/>
          <w:szCs w:val="24"/>
        </w:rPr>
        <w:t xml:space="preserve">nenaplnených príjmov je upravený rozpočet príjmov v roku 2024. </w:t>
      </w:r>
    </w:p>
    <w:p w14:paraId="2B0EBC61" w14:textId="75F095B3" w:rsidR="004B479C" w:rsidRPr="00D622FC" w:rsidRDefault="004B479C" w:rsidP="004B479C">
      <w:pPr>
        <w:spacing w:line="240" w:lineRule="auto"/>
        <w:rPr>
          <w:sz w:val="24"/>
          <w:szCs w:val="24"/>
        </w:rPr>
      </w:pPr>
      <w:r w:rsidRPr="00C5739E">
        <w:rPr>
          <w:sz w:val="24"/>
          <w:szCs w:val="24"/>
        </w:rPr>
        <w:t xml:space="preserve">Bližšie informácie o príjmoch z rozpočtu EÚ sú uvedené v samostatnej kapitole </w:t>
      </w:r>
      <w:r w:rsidRPr="00D622FC">
        <w:rPr>
          <w:sz w:val="24"/>
          <w:szCs w:val="24"/>
        </w:rPr>
        <w:t>3.4. Vzťahy štátneho rozpočtu k Európskej únii.</w:t>
      </w:r>
    </w:p>
    <w:p w14:paraId="2C256A6B" w14:textId="77777777" w:rsidR="00E335A4" w:rsidRPr="009F3474" w:rsidRDefault="00E335A4" w:rsidP="00E335A4">
      <w:pPr>
        <w:spacing w:line="240" w:lineRule="auto"/>
        <w:rPr>
          <w:sz w:val="24"/>
          <w:szCs w:val="24"/>
        </w:rPr>
      </w:pPr>
      <w:r w:rsidRPr="00DF419F">
        <w:rPr>
          <w:b/>
          <w:sz w:val="24"/>
          <w:szCs w:val="24"/>
        </w:rPr>
        <w:t>Prostriedky z plánu obnovy a odolnosti</w:t>
      </w:r>
      <w:r w:rsidRPr="00DF419F">
        <w:rPr>
          <w:sz w:val="24"/>
          <w:szCs w:val="24"/>
        </w:rPr>
        <w:t xml:space="preserve"> boli rozpočtované v sume 2 011</w:t>
      </w:r>
      <w:r>
        <w:rPr>
          <w:sz w:val="24"/>
          <w:szCs w:val="24"/>
        </w:rPr>
        <w:t> </w:t>
      </w:r>
      <w:r w:rsidRPr="00C95B65">
        <w:rPr>
          <w:sz w:val="24"/>
          <w:szCs w:val="24"/>
        </w:rPr>
        <w:t>251</w:t>
      </w:r>
      <w:r>
        <w:rPr>
          <w:sz w:val="24"/>
          <w:szCs w:val="24"/>
        </w:rPr>
        <w:t> </w:t>
      </w:r>
      <w:r w:rsidRPr="00C95B65">
        <w:rPr>
          <w:sz w:val="24"/>
          <w:szCs w:val="24"/>
        </w:rPr>
        <w:t xml:space="preserve">tis. eur a skutočné plnenie dosiahlo sumu 367 278 tis. eur. </w:t>
      </w:r>
      <w:r w:rsidRPr="009F3474">
        <w:rPr>
          <w:sz w:val="24"/>
          <w:szCs w:val="24"/>
        </w:rPr>
        <w:t>Prostriedky do príjmov štátneho rozpočtu boli prevedené v </w:t>
      </w:r>
      <w:r>
        <w:rPr>
          <w:sz w:val="24"/>
          <w:szCs w:val="24"/>
        </w:rPr>
        <w:t>troch</w:t>
      </w:r>
      <w:r w:rsidRPr="009F3474">
        <w:rPr>
          <w:sz w:val="24"/>
          <w:szCs w:val="24"/>
        </w:rPr>
        <w:t xml:space="preserve"> platbách, pričom sa vychádzalo z aktuálneho plnenia výdavkov na strane jednotlivých kapitol ŠR</w:t>
      </w:r>
      <w:r>
        <w:rPr>
          <w:sz w:val="24"/>
          <w:szCs w:val="24"/>
        </w:rPr>
        <w:t xml:space="preserve">. </w:t>
      </w:r>
      <w:r w:rsidRPr="009F3474">
        <w:rPr>
          <w:i/>
          <w:sz w:val="24"/>
          <w:szCs w:val="24"/>
        </w:rPr>
        <w:t>(bližší popis rozpočtu výdavkov je uvedený v kapitole 3.2. Výdavky).</w:t>
      </w:r>
    </w:p>
    <w:p w14:paraId="36EB297D" w14:textId="65BDD3F7" w:rsidR="00B2402D" w:rsidRPr="000D0644" w:rsidRDefault="00B2402D" w:rsidP="00B2402D">
      <w:pPr>
        <w:spacing w:line="240" w:lineRule="auto"/>
        <w:rPr>
          <w:sz w:val="24"/>
          <w:szCs w:val="24"/>
        </w:rPr>
      </w:pPr>
      <w:r w:rsidRPr="000D0644">
        <w:rPr>
          <w:sz w:val="24"/>
          <w:szCs w:val="24"/>
        </w:rPr>
        <w:t xml:space="preserve">Jedným z hlavných dôvodov rozdielu medzi rozpočtovanými výdavkami a skutočným čerpaním bolo aplikovanie zásady rozpočtového krytia zo strany vykonávateľov plánu obnovy – teda rozpočtovania výdavkov už v čase vyhlasovania výziev a priamych vyzvaní, pričom samotné výdavky na základe týchto vyhlásených výziev a priamych vyzvaní môžu vzniknúť až v nasledujúcich rozpočtových rokoch. Existuje teda časový nesúlad medzi vyhlasovaním výziev/priamych vyzvaní a vzniku reálnych výdavkov v rámci implementovaných projektov. </w:t>
      </w:r>
    </w:p>
    <w:p w14:paraId="1C73A700" w14:textId="63C0C8E1" w:rsidR="00B2402D" w:rsidRPr="004942D3" w:rsidRDefault="00B2402D" w:rsidP="00B2402D">
      <w:pPr>
        <w:spacing w:line="240" w:lineRule="auto"/>
        <w:rPr>
          <w:sz w:val="24"/>
          <w:szCs w:val="24"/>
        </w:rPr>
      </w:pPr>
      <w:r w:rsidRPr="004942D3">
        <w:rPr>
          <w:sz w:val="24"/>
          <w:szCs w:val="24"/>
        </w:rPr>
        <w:t xml:space="preserve">Najvyšší príjem zo zahraničných transferov bol v kapitole </w:t>
      </w:r>
      <w:r w:rsidRPr="004942D3">
        <w:rPr>
          <w:sz w:val="24"/>
          <w:szCs w:val="24"/>
          <w:u w:val="single"/>
        </w:rPr>
        <w:t>Ministerstva dopravy SR</w:t>
      </w:r>
      <w:r w:rsidRPr="004942D3">
        <w:rPr>
          <w:sz w:val="24"/>
          <w:szCs w:val="24"/>
        </w:rPr>
        <w:t xml:space="preserve"> v celkovej čiastke 1 131 940 tis. eur, z toho plnenie príjmov v rámci Operačného programu Integrovaná infraštruktúra,</w:t>
      </w:r>
      <w:r w:rsidR="00AA1476">
        <w:rPr>
          <w:sz w:val="24"/>
          <w:szCs w:val="24"/>
        </w:rPr>
        <w:t xml:space="preserve"> </w:t>
      </w:r>
      <w:r w:rsidRPr="004942D3">
        <w:rPr>
          <w:sz w:val="24"/>
          <w:szCs w:val="24"/>
        </w:rPr>
        <w:t>programové obdobie 2014-2022 (z toho fond EFDF v sume 855 159</w:t>
      </w:r>
      <w:r>
        <w:rPr>
          <w:sz w:val="24"/>
          <w:szCs w:val="24"/>
        </w:rPr>
        <w:t> tis. </w:t>
      </w:r>
      <w:r w:rsidRPr="004942D3">
        <w:rPr>
          <w:sz w:val="24"/>
          <w:szCs w:val="24"/>
        </w:rPr>
        <w:t>eur. a Kohézny fond v sume 276 781</w:t>
      </w:r>
      <w:r>
        <w:rPr>
          <w:sz w:val="24"/>
          <w:szCs w:val="24"/>
        </w:rPr>
        <w:t> tis. </w:t>
      </w:r>
      <w:r w:rsidRPr="004942D3">
        <w:rPr>
          <w:sz w:val="24"/>
          <w:szCs w:val="24"/>
        </w:rPr>
        <w:t>eur.</w:t>
      </w:r>
    </w:p>
    <w:p w14:paraId="1BDA7748" w14:textId="77777777" w:rsidR="00B2402D" w:rsidRPr="00081D21" w:rsidRDefault="00B2402D" w:rsidP="00B2402D">
      <w:pPr>
        <w:spacing w:line="240" w:lineRule="auto"/>
        <w:rPr>
          <w:sz w:val="24"/>
          <w:szCs w:val="24"/>
        </w:rPr>
      </w:pPr>
      <w:r w:rsidRPr="00870C6E">
        <w:rPr>
          <w:sz w:val="24"/>
          <w:szCs w:val="24"/>
          <w:u w:val="single"/>
        </w:rPr>
        <w:t>Ministerstvo investícií, regionálneho rozvoja a informatizácie SR</w:t>
      </w:r>
      <w:r w:rsidRPr="00870C6E">
        <w:rPr>
          <w:sz w:val="24"/>
          <w:szCs w:val="24"/>
        </w:rPr>
        <w:t xml:space="preserve"> prijalo sumu </w:t>
      </w:r>
      <w:r>
        <w:rPr>
          <w:sz w:val="24"/>
          <w:szCs w:val="24"/>
        </w:rPr>
        <w:t>1 078 807 tis. </w:t>
      </w:r>
      <w:r w:rsidRPr="00870C6E">
        <w:rPr>
          <w:sz w:val="24"/>
          <w:szCs w:val="24"/>
        </w:rPr>
        <w:t xml:space="preserve">eur, </w:t>
      </w:r>
      <w:r w:rsidRPr="00081D21">
        <w:rPr>
          <w:sz w:val="24"/>
          <w:szCs w:val="24"/>
        </w:rPr>
        <w:t>išlo o príjmy za EÚ časť zo súhrnných žiadostí o platbu ako Integrovaný regionálny operačný program v sume 830 852 tis. </w:t>
      </w:r>
      <w:r>
        <w:rPr>
          <w:sz w:val="24"/>
          <w:szCs w:val="24"/>
        </w:rPr>
        <w:t>eur a INTERREG </w:t>
      </w:r>
      <w:r w:rsidRPr="00081D21">
        <w:rPr>
          <w:sz w:val="24"/>
          <w:szCs w:val="24"/>
        </w:rPr>
        <w:t>SK-CZ v sume 18 476 tis. </w:t>
      </w:r>
      <w:r>
        <w:rPr>
          <w:sz w:val="24"/>
          <w:szCs w:val="24"/>
        </w:rPr>
        <w:t>eur a INTERREG </w:t>
      </w:r>
      <w:r w:rsidRPr="00081D21">
        <w:rPr>
          <w:sz w:val="24"/>
          <w:szCs w:val="24"/>
        </w:rPr>
        <w:t>SK-</w:t>
      </w:r>
      <w:r>
        <w:rPr>
          <w:sz w:val="24"/>
          <w:szCs w:val="24"/>
        </w:rPr>
        <w:t> </w:t>
      </w:r>
      <w:r w:rsidRPr="00081D21">
        <w:rPr>
          <w:sz w:val="24"/>
          <w:szCs w:val="24"/>
        </w:rPr>
        <w:t xml:space="preserve">AT v sume 12 960 tis. eur. V rámci Operačného programu Technická pomoc sumu 9 614 tis. eur, </w:t>
      </w:r>
      <w:r>
        <w:rPr>
          <w:sz w:val="24"/>
          <w:szCs w:val="24"/>
        </w:rPr>
        <w:t>v rámci Operačného programu I</w:t>
      </w:r>
      <w:r w:rsidRPr="00081D21">
        <w:rPr>
          <w:sz w:val="24"/>
          <w:szCs w:val="24"/>
        </w:rPr>
        <w:t>ntegrovaná infraštruktúra sumu 182 410 tis. eur, Operačného programu Dodatočný príspevok sumu 13 130 tis. eur a Operačného programu Informatizácia spoločnosti sumu 11 365 tis. eur.</w:t>
      </w:r>
    </w:p>
    <w:p w14:paraId="271EB530" w14:textId="7C15651B" w:rsidR="00B2402D" w:rsidRPr="009C3963" w:rsidRDefault="00B2402D" w:rsidP="00B2402D">
      <w:pPr>
        <w:spacing w:line="240" w:lineRule="auto"/>
        <w:rPr>
          <w:sz w:val="24"/>
          <w:szCs w:val="24"/>
        </w:rPr>
      </w:pPr>
      <w:r w:rsidRPr="00B0616E">
        <w:rPr>
          <w:sz w:val="24"/>
          <w:szCs w:val="24"/>
          <w:u w:val="single"/>
        </w:rPr>
        <w:t>Ministerstvo pôdohospodárstva a rozvoja vidieka SR</w:t>
      </w:r>
      <w:r w:rsidRPr="00B0616E">
        <w:rPr>
          <w:sz w:val="24"/>
          <w:szCs w:val="24"/>
        </w:rPr>
        <w:t xml:space="preserve"> prijalo sumu 494 386 tis. eur, ktorá bola rozdelená do oblasti pôdohospodárstva a do oblasti rozvoja vidieka. </w:t>
      </w:r>
      <w:r w:rsidRPr="00974B92">
        <w:rPr>
          <w:sz w:val="24"/>
          <w:szCs w:val="24"/>
        </w:rPr>
        <w:t>V rámci programového obdobia 2014-2020 boli plnené príjmy na priame platby v sume 204 61</w:t>
      </w:r>
      <w:r>
        <w:rPr>
          <w:sz w:val="24"/>
          <w:szCs w:val="24"/>
        </w:rPr>
        <w:t>5</w:t>
      </w:r>
      <w:r w:rsidRPr="00974B92">
        <w:rPr>
          <w:sz w:val="24"/>
          <w:szCs w:val="24"/>
        </w:rPr>
        <w:t> tis. eur a za trhovo orientované výdavky v objeme</w:t>
      </w:r>
      <w:r>
        <w:rPr>
          <w:sz w:val="24"/>
          <w:szCs w:val="24"/>
        </w:rPr>
        <w:t xml:space="preserve"> 14 735 </w:t>
      </w:r>
      <w:r w:rsidRPr="00974B92">
        <w:rPr>
          <w:sz w:val="24"/>
          <w:szCs w:val="24"/>
        </w:rPr>
        <w:t>tis.</w:t>
      </w:r>
      <w:r>
        <w:rPr>
          <w:sz w:val="24"/>
          <w:szCs w:val="24"/>
        </w:rPr>
        <w:t> </w:t>
      </w:r>
      <w:r w:rsidRPr="00974B92">
        <w:rPr>
          <w:sz w:val="24"/>
          <w:szCs w:val="24"/>
        </w:rPr>
        <w:t>eur. V Programe rozvoja vidieka SR 2014-2022 boli príjmy v celkovom objeme 150 032 tis. eur, z toho v sume 26 471 tis. eur na osobitne sledovanom zdroji Európskeho poľnohospodá</w:t>
      </w:r>
      <w:r>
        <w:rPr>
          <w:sz w:val="24"/>
          <w:szCs w:val="24"/>
        </w:rPr>
        <w:t>rskeho fondu pre rozvoj vidieka</w:t>
      </w:r>
      <w:r w:rsidRPr="00974B92">
        <w:rPr>
          <w:sz w:val="24"/>
          <w:szCs w:val="24"/>
        </w:rPr>
        <w:t xml:space="preserve">. Operačný program Rybné hospodárstvo 2014-2020 vykazoval príjmy v sume 121 tis. eur. V rámci programového obdobia 2021-2027 boli príjmy EÚ plnené na priamych platbách v sume </w:t>
      </w:r>
      <w:r w:rsidRPr="00974B92">
        <w:rPr>
          <w:sz w:val="24"/>
          <w:szCs w:val="24"/>
        </w:rPr>
        <w:lastRenderedPageBreak/>
        <w:t xml:space="preserve">106 418 tis. eur a na trhovo orientovaných výdavkoch v sume 1 018 tis. eur. </w:t>
      </w:r>
      <w:r w:rsidRPr="0099290D">
        <w:rPr>
          <w:sz w:val="24"/>
          <w:szCs w:val="24"/>
        </w:rPr>
        <w:t>Strategický plán Spoločnej poľnohospodárskej politiky 202</w:t>
      </w:r>
      <w:r w:rsidR="00E335A4">
        <w:rPr>
          <w:sz w:val="24"/>
          <w:szCs w:val="24"/>
        </w:rPr>
        <w:t>1</w:t>
      </w:r>
      <w:r w:rsidRPr="0099290D">
        <w:rPr>
          <w:sz w:val="24"/>
          <w:szCs w:val="24"/>
        </w:rPr>
        <w:t xml:space="preserve">-2027 mal prímy EÚ naplnené v sume </w:t>
      </w:r>
      <w:r>
        <w:rPr>
          <w:sz w:val="24"/>
          <w:szCs w:val="24"/>
        </w:rPr>
        <w:t>14 401 </w:t>
      </w:r>
      <w:r w:rsidRPr="0099290D">
        <w:rPr>
          <w:sz w:val="24"/>
          <w:szCs w:val="24"/>
        </w:rPr>
        <w:t xml:space="preserve">tis. eur. </w:t>
      </w:r>
      <w:r w:rsidRPr="009C3963">
        <w:rPr>
          <w:sz w:val="24"/>
          <w:szCs w:val="24"/>
        </w:rPr>
        <w:t xml:space="preserve">Na trhovo orientovaných výdavkoch mimo rámca </w:t>
      </w:r>
      <w:r>
        <w:rPr>
          <w:sz w:val="24"/>
          <w:szCs w:val="24"/>
        </w:rPr>
        <w:t>Strategického</w:t>
      </w:r>
      <w:r w:rsidRPr="0099290D">
        <w:rPr>
          <w:sz w:val="24"/>
          <w:szCs w:val="24"/>
        </w:rPr>
        <w:t xml:space="preserve"> plán</w:t>
      </w:r>
      <w:r>
        <w:rPr>
          <w:sz w:val="24"/>
          <w:szCs w:val="24"/>
        </w:rPr>
        <w:t>u</w:t>
      </w:r>
      <w:r w:rsidRPr="0099290D">
        <w:rPr>
          <w:sz w:val="24"/>
          <w:szCs w:val="24"/>
        </w:rPr>
        <w:t xml:space="preserve"> Spoločnej poľnohospodárskej politiky </w:t>
      </w:r>
      <w:r w:rsidRPr="009C3963">
        <w:rPr>
          <w:sz w:val="24"/>
          <w:szCs w:val="24"/>
        </w:rPr>
        <w:t xml:space="preserve">boli príjmy EÚ naplnené v sume </w:t>
      </w:r>
      <w:r>
        <w:rPr>
          <w:sz w:val="24"/>
          <w:szCs w:val="24"/>
        </w:rPr>
        <w:t>3 </w:t>
      </w:r>
      <w:r w:rsidRPr="009C3963">
        <w:rPr>
          <w:sz w:val="24"/>
          <w:szCs w:val="24"/>
        </w:rPr>
        <w:t>04</w:t>
      </w:r>
      <w:r>
        <w:rPr>
          <w:sz w:val="24"/>
          <w:szCs w:val="24"/>
        </w:rPr>
        <w:t>5 </w:t>
      </w:r>
      <w:r w:rsidRPr="009C3963">
        <w:rPr>
          <w:sz w:val="24"/>
          <w:szCs w:val="24"/>
        </w:rPr>
        <w:t>tis.</w:t>
      </w:r>
      <w:r>
        <w:rPr>
          <w:sz w:val="24"/>
          <w:szCs w:val="24"/>
        </w:rPr>
        <w:t> </w:t>
      </w:r>
      <w:r w:rsidRPr="009C3963">
        <w:rPr>
          <w:sz w:val="24"/>
          <w:szCs w:val="24"/>
        </w:rPr>
        <w:t xml:space="preserve">eur. Príjmy EÚ </w:t>
      </w:r>
      <w:r>
        <w:rPr>
          <w:sz w:val="24"/>
          <w:szCs w:val="24"/>
        </w:rPr>
        <w:t>na </w:t>
      </w:r>
      <w:r w:rsidRPr="009C3963">
        <w:rPr>
          <w:sz w:val="24"/>
          <w:szCs w:val="24"/>
        </w:rPr>
        <w:t>Programe rybné hospodárstvo 2021-2027 neboli v roku 2023 plnené.</w:t>
      </w:r>
    </w:p>
    <w:p w14:paraId="6019B679" w14:textId="77777777" w:rsidR="00B2402D" w:rsidRPr="0042129C" w:rsidRDefault="00B2402D" w:rsidP="00B2402D">
      <w:pPr>
        <w:spacing w:line="240" w:lineRule="auto"/>
        <w:rPr>
          <w:sz w:val="24"/>
          <w:szCs w:val="24"/>
        </w:rPr>
      </w:pPr>
      <w:r w:rsidRPr="002E3E0F">
        <w:rPr>
          <w:sz w:val="24"/>
          <w:szCs w:val="24"/>
          <w:u w:val="single"/>
        </w:rPr>
        <w:t>Ministerstvo životného prostredia SR</w:t>
      </w:r>
      <w:r w:rsidRPr="002E3E0F">
        <w:rPr>
          <w:sz w:val="24"/>
          <w:szCs w:val="24"/>
        </w:rPr>
        <w:t xml:space="preserve"> prijalo sumu 396 540 tis. eur. </w:t>
      </w:r>
      <w:r w:rsidRPr="005574ED">
        <w:rPr>
          <w:sz w:val="24"/>
          <w:szCs w:val="24"/>
        </w:rPr>
        <w:t xml:space="preserve">Išlo o príjmy z rozpočtu Európskej únie, ktoré boli určené na financovanie opatrení </w:t>
      </w:r>
      <w:r w:rsidRPr="0042129C">
        <w:rPr>
          <w:sz w:val="24"/>
          <w:szCs w:val="24"/>
        </w:rPr>
        <w:t>Operačného programu Kvalita životného prostredia.</w:t>
      </w:r>
    </w:p>
    <w:p w14:paraId="557A1719" w14:textId="77777777" w:rsidR="00B2402D" w:rsidRPr="003219F8" w:rsidRDefault="00B2402D" w:rsidP="00B2402D">
      <w:pPr>
        <w:spacing w:line="240" w:lineRule="auto"/>
        <w:rPr>
          <w:sz w:val="24"/>
          <w:szCs w:val="24"/>
        </w:rPr>
      </w:pPr>
      <w:r w:rsidRPr="002D02E1">
        <w:rPr>
          <w:sz w:val="24"/>
          <w:szCs w:val="24"/>
        </w:rPr>
        <w:t xml:space="preserve">V kapitole </w:t>
      </w:r>
      <w:r w:rsidRPr="002D02E1">
        <w:rPr>
          <w:sz w:val="24"/>
          <w:szCs w:val="24"/>
          <w:u w:val="single"/>
        </w:rPr>
        <w:t xml:space="preserve">Ministerstva hospodárstva SR </w:t>
      </w:r>
      <w:r w:rsidRPr="002D02E1">
        <w:rPr>
          <w:sz w:val="24"/>
          <w:szCs w:val="24"/>
        </w:rPr>
        <w:t>bolo prijatých 297 510 tis. </w:t>
      </w:r>
      <w:r w:rsidRPr="003219F8">
        <w:rPr>
          <w:sz w:val="24"/>
          <w:szCs w:val="24"/>
        </w:rPr>
        <w:t xml:space="preserve">eur na poskytnutie podpory z EŠIF zamerané na vytvorenie stabilného prostredia priaznivého pre inovácie pre všetky relevantné subjekty a podporu zvýšenia efektívnosti a výkonnosti systému výskumu, vývoja a inovácií, ako základného piliera pre zvyšovanie konkurencieschopnosti, udržateľného hospodárskeho rastu a zamestnanosti. </w:t>
      </w:r>
    </w:p>
    <w:p w14:paraId="47D4FD70" w14:textId="0927AA3D" w:rsidR="00B2402D" w:rsidRPr="003931C8" w:rsidRDefault="00B2402D" w:rsidP="00B2402D">
      <w:pPr>
        <w:spacing w:line="240" w:lineRule="auto"/>
        <w:rPr>
          <w:sz w:val="24"/>
          <w:szCs w:val="24"/>
        </w:rPr>
      </w:pPr>
      <w:r w:rsidRPr="002D02E1">
        <w:rPr>
          <w:sz w:val="24"/>
          <w:szCs w:val="24"/>
          <w:u w:val="single"/>
        </w:rPr>
        <w:t>Ministerstvo práce, sociálnych vecí a rodiny SR</w:t>
      </w:r>
      <w:r w:rsidRPr="002D02E1">
        <w:rPr>
          <w:sz w:val="24"/>
          <w:szCs w:val="24"/>
        </w:rPr>
        <w:t xml:space="preserve"> prijalo sumu 290 894 tis. eur</w:t>
      </w:r>
      <w:r w:rsidRPr="003931C8">
        <w:rPr>
          <w:sz w:val="24"/>
          <w:szCs w:val="24"/>
        </w:rPr>
        <w:t>, z toho v rámci Operačného programu Ľudské zdroje čiastku 283 561 tis. eur</w:t>
      </w:r>
      <w:r>
        <w:rPr>
          <w:sz w:val="24"/>
          <w:szCs w:val="24"/>
        </w:rPr>
        <w:t>. Operačný</w:t>
      </w:r>
      <w:r w:rsidRPr="003931C8">
        <w:rPr>
          <w:sz w:val="24"/>
          <w:szCs w:val="24"/>
        </w:rPr>
        <w:t xml:space="preserve"> p</w:t>
      </w:r>
      <w:r>
        <w:rPr>
          <w:sz w:val="24"/>
          <w:szCs w:val="24"/>
        </w:rPr>
        <w:t>rogram</w:t>
      </w:r>
      <w:r w:rsidRPr="003931C8">
        <w:rPr>
          <w:sz w:val="24"/>
          <w:szCs w:val="24"/>
        </w:rPr>
        <w:t xml:space="preserve"> potravinovej a základnej materiálnej pomoci </w:t>
      </w:r>
      <w:r>
        <w:rPr>
          <w:sz w:val="24"/>
          <w:szCs w:val="24"/>
        </w:rPr>
        <w:t xml:space="preserve">vykazuje prijatú </w:t>
      </w:r>
      <w:r w:rsidRPr="003931C8">
        <w:rPr>
          <w:sz w:val="24"/>
          <w:szCs w:val="24"/>
        </w:rPr>
        <w:t xml:space="preserve">čiastku </w:t>
      </w:r>
      <w:r>
        <w:rPr>
          <w:sz w:val="24"/>
          <w:szCs w:val="24"/>
        </w:rPr>
        <w:t xml:space="preserve">vo výške </w:t>
      </w:r>
      <w:r w:rsidRPr="003931C8">
        <w:rPr>
          <w:sz w:val="24"/>
          <w:szCs w:val="24"/>
        </w:rPr>
        <w:t>7 33</w:t>
      </w:r>
      <w:r>
        <w:rPr>
          <w:sz w:val="24"/>
          <w:szCs w:val="24"/>
        </w:rPr>
        <w:t>4</w:t>
      </w:r>
      <w:r w:rsidRPr="003931C8">
        <w:rPr>
          <w:sz w:val="24"/>
          <w:szCs w:val="24"/>
        </w:rPr>
        <w:t> </w:t>
      </w:r>
      <w:r>
        <w:rPr>
          <w:sz w:val="24"/>
          <w:szCs w:val="24"/>
        </w:rPr>
        <w:t>tis. eur.</w:t>
      </w:r>
    </w:p>
    <w:p w14:paraId="510B85FB" w14:textId="77777777" w:rsidR="00B2402D" w:rsidRPr="006D74D3" w:rsidRDefault="00B2402D" w:rsidP="00B2402D">
      <w:pPr>
        <w:spacing w:line="240" w:lineRule="auto"/>
        <w:rPr>
          <w:sz w:val="24"/>
          <w:szCs w:val="24"/>
          <w:highlight w:val="yellow"/>
        </w:rPr>
      </w:pPr>
      <w:r w:rsidRPr="00844030">
        <w:rPr>
          <w:sz w:val="24"/>
          <w:szCs w:val="24"/>
          <w:u w:val="single"/>
        </w:rPr>
        <w:t>Ministerstvo školstva, vedy, výskumu a športu SR</w:t>
      </w:r>
      <w:r w:rsidRPr="00844030">
        <w:rPr>
          <w:sz w:val="24"/>
          <w:szCs w:val="24"/>
        </w:rPr>
        <w:t xml:space="preserve"> prijalo sumu 274 998 tis. </w:t>
      </w:r>
      <w:r w:rsidRPr="00A14FB6">
        <w:rPr>
          <w:sz w:val="24"/>
          <w:szCs w:val="24"/>
        </w:rPr>
        <w:t>eur, z toho plnenie príjmov v rámci Operačného programu Integrovaná infraštruktúra (programové obdobie 2014-2022) v sume 170 978 tis. eur a Operačného programu Ľudské zdroje v sume 104 020 tis. eur.</w:t>
      </w:r>
    </w:p>
    <w:p w14:paraId="421FD549" w14:textId="77777777" w:rsidR="00B2402D" w:rsidRDefault="00B2402D" w:rsidP="00B2402D">
      <w:pPr>
        <w:spacing w:line="240" w:lineRule="auto"/>
        <w:rPr>
          <w:sz w:val="24"/>
          <w:szCs w:val="24"/>
          <w:highlight w:val="yellow"/>
        </w:rPr>
      </w:pPr>
      <w:r w:rsidRPr="00844030">
        <w:rPr>
          <w:sz w:val="24"/>
          <w:szCs w:val="24"/>
          <w:u w:val="single"/>
        </w:rPr>
        <w:t>Ministerstvo vnútra SR</w:t>
      </w:r>
      <w:r w:rsidRPr="00844030">
        <w:rPr>
          <w:sz w:val="24"/>
          <w:szCs w:val="24"/>
        </w:rPr>
        <w:t xml:space="preserve"> prijalo zo zahraničných transferov sumu 176 920 tis. eur</w:t>
      </w:r>
      <w:r w:rsidRPr="0082116C">
        <w:rPr>
          <w:sz w:val="24"/>
          <w:szCs w:val="24"/>
        </w:rPr>
        <w:t xml:space="preserve">, v tom v rámci Operačného programu Ľudské zdroje sumu </w:t>
      </w:r>
      <w:r>
        <w:rPr>
          <w:sz w:val="24"/>
          <w:szCs w:val="24"/>
        </w:rPr>
        <w:t>118 </w:t>
      </w:r>
      <w:r w:rsidRPr="0082116C">
        <w:rPr>
          <w:sz w:val="24"/>
          <w:szCs w:val="24"/>
        </w:rPr>
        <w:t>778</w:t>
      </w:r>
      <w:r>
        <w:rPr>
          <w:sz w:val="24"/>
          <w:szCs w:val="24"/>
        </w:rPr>
        <w:t xml:space="preserve"> tis. eur, </w:t>
      </w:r>
      <w:r w:rsidRPr="0082116C">
        <w:rPr>
          <w:sz w:val="24"/>
          <w:szCs w:val="24"/>
        </w:rPr>
        <w:t>v rámci Operačného programu Efektívna verejná správa sumu 57 839</w:t>
      </w:r>
      <w:r>
        <w:rPr>
          <w:sz w:val="24"/>
          <w:szCs w:val="24"/>
        </w:rPr>
        <w:t> tis. eur a za Operačný program Dodatočný príspevok bolo plnenie príjmov z prostriedkov EÚ vo výške 303 tis. eur.</w:t>
      </w:r>
    </w:p>
    <w:p w14:paraId="509E3E3B" w14:textId="77777777" w:rsidR="00B2402D" w:rsidRPr="0037272A" w:rsidRDefault="00B2402D" w:rsidP="00B2402D">
      <w:pPr>
        <w:spacing w:after="240" w:line="240" w:lineRule="auto"/>
        <w:rPr>
          <w:b/>
          <w:i/>
        </w:rPr>
      </w:pPr>
      <w:r w:rsidRPr="0037272A">
        <w:rPr>
          <w:b/>
          <w:i/>
        </w:rPr>
        <w:t>Podrobné údaje o príjmoch štátneho rozpočtu podľa kapitol, kategórií rozpočtovej klasifikácie a podľa zdrojov za rok 2023 sú uvedené v tab. č. 4 až 6 tabuľkovej prílohy štátneho záverečného účtu.</w:t>
      </w:r>
    </w:p>
    <w:p w14:paraId="3617EFC4" w14:textId="72936F25" w:rsidR="008254BE" w:rsidRDefault="008254BE" w:rsidP="0088066E">
      <w:pPr>
        <w:pStyle w:val="Nadpis2"/>
        <w:spacing w:before="0"/>
      </w:pPr>
      <w:bookmarkStart w:id="46" w:name="_Toc6415645"/>
      <w:bookmarkStart w:id="47" w:name="_Toc164846943"/>
      <w:r>
        <w:t>Výdavky štátneho rozpočtu</w:t>
      </w:r>
      <w:bookmarkEnd w:id="46"/>
      <w:bookmarkEnd w:id="47"/>
    </w:p>
    <w:p w14:paraId="55640A05" w14:textId="202BE92E" w:rsidR="00697268" w:rsidRDefault="00D97CA6" w:rsidP="00795D97">
      <w:pPr>
        <w:pStyle w:val="Nadpis3"/>
        <w:spacing w:line="336" w:lineRule="auto"/>
      </w:pPr>
      <w:bookmarkStart w:id="48" w:name="_Toc164846944"/>
      <w:r w:rsidRPr="003E7AC3">
        <w:t>Výdavky štátneho rozpočtu podľa ekonomickej klasifikácie</w:t>
      </w:r>
      <w:bookmarkEnd w:id="48"/>
    </w:p>
    <w:p w14:paraId="78B14DF1" w14:textId="58507459" w:rsidR="00D97CA6" w:rsidRDefault="005F43DB" w:rsidP="00F314B0">
      <w:pPr>
        <w:pStyle w:val="Nadpis4"/>
      </w:pPr>
      <w:bookmarkStart w:id="49" w:name="_Toc164846945"/>
      <w:r>
        <w:t>Bežné</w:t>
      </w:r>
      <w:r w:rsidR="00D97CA6" w:rsidRPr="003E7AC3">
        <w:t xml:space="preserve"> </w:t>
      </w:r>
      <w:r w:rsidR="00D97CA6" w:rsidRPr="00F314B0">
        <w:t>výdavky</w:t>
      </w:r>
      <w:bookmarkEnd w:id="49"/>
    </w:p>
    <w:p w14:paraId="3B7DF933" w14:textId="06C0C49F" w:rsidR="00B768D9" w:rsidRDefault="00B768D9" w:rsidP="00B768D9">
      <w:pPr>
        <w:spacing w:line="240" w:lineRule="auto"/>
        <w:rPr>
          <w:rFonts w:eastAsia="Calibri" w:cs="Times New Roman"/>
          <w:sz w:val="24"/>
          <w:szCs w:val="24"/>
        </w:rPr>
      </w:pPr>
      <w:r w:rsidRPr="00360BCD">
        <w:rPr>
          <w:rFonts w:eastAsia="Calibri" w:cs="Times New Roman"/>
          <w:sz w:val="24"/>
          <w:szCs w:val="24"/>
        </w:rPr>
        <w:t>Bežné výdavky boli rozpočtované v sume</w:t>
      </w:r>
      <w:r w:rsidRPr="00360BCD">
        <w:rPr>
          <w:rFonts w:eastAsia="Calibri" w:cs="Times New Roman"/>
          <w:color w:val="FF0000"/>
          <w:sz w:val="24"/>
          <w:szCs w:val="24"/>
        </w:rPr>
        <w:t xml:space="preserve"> </w:t>
      </w:r>
      <w:r w:rsidRPr="00E3577F">
        <w:rPr>
          <w:rFonts w:eastAsia="Calibri" w:cs="Times New Roman"/>
          <w:sz w:val="24"/>
          <w:szCs w:val="24"/>
        </w:rPr>
        <w:t>29 094 46</w:t>
      </w:r>
      <w:r w:rsidR="0029337E">
        <w:rPr>
          <w:rFonts w:eastAsia="Calibri" w:cs="Times New Roman"/>
          <w:sz w:val="24"/>
          <w:szCs w:val="24"/>
        </w:rPr>
        <w:t>1</w:t>
      </w:r>
      <w:r w:rsidRPr="00E3577F">
        <w:rPr>
          <w:rFonts w:eastAsia="Calibri" w:cs="Times New Roman"/>
          <w:sz w:val="24"/>
          <w:szCs w:val="24"/>
        </w:rPr>
        <w:t> tis. eur a ich skutočné čerpanie predstavovalo sumu 26 649 8</w:t>
      </w:r>
      <w:r>
        <w:rPr>
          <w:rFonts w:eastAsia="Calibri" w:cs="Times New Roman"/>
          <w:sz w:val="24"/>
          <w:szCs w:val="24"/>
        </w:rPr>
        <w:t>28</w:t>
      </w:r>
      <w:r w:rsidRPr="00E3577F">
        <w:rPr>
          <w:rFonts w:eastAsia="Calibri" w:cs="Times New Roman"/>
          <w:sz w:val="24"/>
          <w:szCs w:val="24"/>
        </w:rPr>
        <w:t> tis. eur. Rozdiel skutočnosti oproti schválenému rozpočtu znamenalo nižšie čerpanie o 2 444 </w:t>
      </w:r>
      <w:r>
        <w:rPr>
          <w:rFonts w:eastAsia="Calibri" w:cs="Times New Roman"/>
          <w:sz w:val="24"/>
          <w:szCs w:val="24"/>
        </w:rPr>
        <w:t>634</w:t>
      </w:r>
      <w:r w:rsidRPr="00E3577F">
        <w:rPr>
          <w:rFonts w:eastAsia="Calibri" w:cs="Times New Roman"/>
          <w:sz w:val="24"/>
          <w:szCs w:val="24"/>
        </w:rPr>
        <w:t> tis. eur</w:t>
      </w:r>
      <w:r>
        <w:rPr>
          <w:rFonts w:eastAsia="Calibri" w:cs="Times New Roman"/>
          <w:sz w:val="24"/>
          <w:szCs w:val="24"/>
        </w:rPr>
        <w:t>.</w:t>
      </w:r>
    </w:p>
    <w:p w14:paraId="6ACDFE14" w14:textId="77777777" w:rsidR="00B768D9" w:rsidRPr="00E3577F" w:rsidRDefault="00B768D9" w:rsidP="00B768D9">
      <w:pPr>
        <w:spacing w:line="240" w:lineRule="auto"/>
        <w:rPr>
          <w:rFonts w:eastAsia="Calibri" w:cs="Times New Roman"/>
          <w:sz w:val="24"/>
          <w:szCs w:val="24"/>
        </w:rPr>
      </w:pPr>
      <w:r w:rsidRPr="00E3577F">
        <w:rPr>
          <w:rFonts w:eastAsia="Calibri" w:cs="Times New Roman"/>
          <w:sz w:val="24"/>
          <w:szCs w:val="24"/>
        </w:rPr>
        <w:t>Prehľad bežných výdavkov v štruktúre ekonomickej klasifikácie je uvedený v nasledovnej tabuľke:</w:t>
      </w:r>
    </w:p>
    <w:tbl>
      <w:tblPr>
        <w:tblW w:w="9214" w:type="dxa"/>
        <w:tblLayout w:type="fixed"/>
        <w:tblCellMar>
          <w:left w:w="70" w:type="dxa"/>
          <w:right w:w="70" w:type="dxa"/>
        </w:tblCellMar>
        <w:tblLook w:val="04A0" w:firstRow="1" w:lastRow="0" w:firstColumn="1" w:lastColumn="0" w:noHBand="0" w:noVBand="1"/>
      </w:tblPr>
      <w:tblGrid>
        <w:gridCol w:w="9214"/>
      </w:tblGrid>
      <w:tr w:rsidR="00B768D9" w:rsidRPr="00360BCD" w14:paraId="7293D857" w14:textId="77777777" w:rsidTr="00B768D9">
        <w:trPr>
          <w:trHeight w:val="458"/>
        </w:trPr>
        <w:tc>
          <w:tcPr>
            <w:tcW w:w="9214" w:type="dxa"/>
            <w:tcBorders>
              <w:top w:val="nil"/>
              <w:left w:val="nil"/>
              <w:bottom w:val="nil"/>
              <w:right w:val="nil"/>
            </w:tcBorders>
            <w:shd w:val="clear" w:color="000000" w:fill="FFFFFF"/>
            <w:vAlign w:val="center"/>
            <w:hideMark/>
          </w:tcPr>
          <w:p w14:paraId="7B993C53" w14:textId="5D1D68D8" w:rsidR="00B768D9" w:rsidRDefault="00B768D9" w:rsidP="00B41352">
            <w:pPr>
              <w:spacing w:line="240" w:lineRule="auto"/>
              <w:rPr>
                <w:rFonts w:eastAsia="Times New Roman" w:cs="Times New Roman"/>
                <w:b/>
                <w:color w:val="5B9BD5" w:themeColor="accent1"/>
                <w:sz w:val="20"/>
                <w:szCs w:val="20"/>
                <w:lang w:eastAsia="sk-SK"/>
              </w:rPr>
            </w:pPr>
            <w:r w:rsidRPr="00D329DA">
              <w:rPr>
                <w:rFonts w:eastAsia="Times New Roman" w:cs="Times New Roman"/>
                <w:b/>
                <w:bCs/>
                <w:color w:val="5B9BD5" w:themeColor="accent1"/>
                <w:sz w:val="20"/>
                <w:szCs w:val="20"/>
                <w:lang w:eastAsia="sk-SK"/>
              </w:rPr>
              <w:t>Tabuľka 3</w:t>
            </w:r>
            <w:r w:rsidR="004A6E2F">
              <w:rPr>
                <w:rFonts w:eastAsia="Times New Roman" w:cs="Times New Roman"/>
                <w:b/>
                <w:bCs/>
                <w:color w:val="5B9BD5" w:themeColor="accent1"/>
                <w:sz w:val="20"/>
                <w:szCs w:val="20"/>
                <w:lang w:eastAsia="sk-SK"/>
              </w:rPr>
              <w:t>2</w:t>
            </w:r>
            <w:r w:rsidRPr="00D329DA">
              <w:rPr>
                <w:rFonts w:eastAsia="Times New Roman" w:cs="Times New Roman"/>
                <w:b/>
                <w:bCs/>
                <w:color w:val="5B9BD5" w:themeColor="accent1"/>
                <w:sz w:val="20"/>
                <w:szCs w:val="20"/>
                <w:lang w:eastAsia="sk-SK"/>
              </w:rPr>
              <w:t xml:space="preserve"> - </w:t>
            </w:r>
            <w:r w:rsidRPr="00D329DA">
              <w:rPr>
                <w:rFonts w:eastAsia="Times New Roman" w:cs="Times New Roman"/>
                <w:b/>
                <w:color w:val="5B9BD5" w:themeColor="accent1"/>
                <w:sz w:val="20"/>
                <w:szCs w:val="20"/>
                <w:lang w:eastAsia="sk-SK"/>
              </w:rPr>
              <w:t>Bežné výdavky podľa ekonomickej klasifikácie</w:t>
            </w:r>
          </w:p>
          <w:tbl>
            <w:tblPr>
              <w:tblW w:w="9140" w:type="dxa"/>
              <w:tblLayout w:type="fixed"/>
              <w:tblCellMar>
                <w:left w:w="70" w:type="dxa"/>
                <w:right w:w="70" w:type="dxa"/>
              </w:tblCellMar>
              <w:tblLook w:val="04A0" w:firstRow="1" w:lastRow="0" w:firstColumn="1" w:lastColumn="0" w:noHBand="0" w:noVBand="1"/>
            </w:tblPr>
            <w:tblGrid>
              <w:gridCol w:w="2600"/>
              <w:gridCol w:w="1240"/>
              <w:gridCol w:w="1240"/>
              <w:gridCol w:w="1160"/>
              <w:gridCol w:w="1160"/>
              <w:gridCol w:w="1060"/>
              <w:gridCol w:w="680"/>
            </w:tblGrid>
            <w:tr w:rsidR="00795D97" w:rsidRPr="00D329DA" w14:paraId="54A39EA2" w14:textId="77777777" w:rsidTr="00C07E13">
              <w:trPr>
                <w:trHeight w:val="276"/>
              </w:trPr>
              <w:tc>
                <w:tcPr>
                  <w:tcW w:w="2600" w:type="dxa"/>
                  <w:vMerge w:val="restart"/>
                  <w:tcBorders>
                    <w:top w:val="single" w:sz="4" w:space="0" w:color="auto"/>
                    <w:left w:val="nil"/>
                    <w:right w:val="nil"/>
                  </w:tcBorders>
                  <w:shd w:val="clear" w:color="000000" w:fill="FFFFFF"/>
                  <w:vAlign w:val="center"/>
                  <w:hideMark/>
                </w:tcPr>
                <w:p w14:paraId="40AC2E1E" w14:textId="279BB06E" w:rsidR="00795D97" w:rsidRPr="00D329DA" w:rsidRDefault="00795D97" w:rsidP="00B1277D">
                  <w:pPr>
                    <w:spacing w:after="0" w:line="240" w:lineRule="auto"/>
                    <w:rPr>
                      <w:rFonts w:eastAsia="Times New Roman" w:cs="Times New Roman"/>
                      <w:b/>
                      <w:bCs/>
                      <w:color w:val="000000"/>
                      <w:sz w:val="18"/>
                      <w:szCs w:val="18"/>
                      <w:lang w:eastAsia="sk-SK"/>
                    </w:rPr>
                  </w:pPr>
                  <w:r w:rsidRPr="00D329DA">
                    <w:rPr>
                      <w:rFonts w:eastAsia="Times New Roman" w:cs="Times New Roman"/>
                      <w:b/>
                      <w:bCs/>
                      <w:color w:val="000000"/>
                      <w:sz w:val="18"/>
                      <w:szCs w:val="18"/>
                      <w:lang w:eastAsia="sk-SK"/>
                    </w:rPr>
                    <w:t>v tis. eur</w:t>
                  </w:r>
                </w:p>
              </w:tc>
              <w:tc>
                <w:tcPr>
                  <w:tcW w:w="1240" w:type="dxa"/>
                  <w:tcBorders>
                    <w:top w:val="single" w:sz="4" w:space="0" w:color="auto"/>
                    <w:left w:val="nil"/>
                    <w:bottom w:val="nil"/>
                    <w:right w:val="nil"/>
                  </w:tcBorders>
                  <w:shd w:val="clear" w:color="000000" w:fill="FFFFFF"/>
                  <w:noWrap/>
                  <w:vAlign w:val="center"/>
                  <w:hideMark/>
                </w:tcPr>
                <w:p w14:paraId="28721961" w14:textId="77777777" w:rsidR="00795D97" w:rsidRPr="00D329DA" w:rsidRDefault="00795D97" w:rsidP="00B1277D">
                  <w:pPr>
                    <w:spacing w:after="0" w:line="240" w:lineRule="auto"/>
                    <w:jc w:val="center"/>
                    <w:rPr>
                      <w:rFonts w:eastAsia="Times New Roman" w:cs="Times New Roman"/>
                      <w:b/>
                      <w:bCs/>
                      <w:color w:val="000000"/>
                      <w:sz w:val="18"/>
                      <w:szCs w:val="18"/>
                      <w:lang w:eastAsia="sk-SK"/>
                    </w:rPr>
                  </w:pPr>
                  <w:r w:rsidRPr="00D329DA">
                    <w:rPr>
                      <w:rFonts w:eastAsia="Times New Roman" w:cs="Times New Roman"/>
                      <w:b/>
                      <w:bCs/>
                      <w:color w:val="000000"/>
                      <w:sz w:val="18"/>
                      <w:szCs w:val="18"/>
                      <w:lang w:eastAsia="sk-SK"/>
                    </w:rPr>
                    <w:t>2021 S</w:t>
                  </w:r>
                </w:p>
              </w:tc>
              <w:tc>
                <w:tcPr>
                  <w:tcW w:w="1240" w:type="dxa"/>
                  <w:tcBorders>
                    <w:top w:val="single" w:sz="4" w:space="0" w:color="auto"/>
                    <w:left w:val="nil"/>
                    <w:bottom w:val="nil"/>
                    <w:right w:val="nil"/>
                  </w:tcBorders>
                  <w:shd w:val="clear" w:color="000000" w:fill="FFFFFF"/>
                  <w:noWrap/>
                  <w:vAlign w:val="center"/>
                  <w:hideMark/>
                </w:tcPr>
                <w:p w14:paraId="3C4467F8" w14:textId="77777777" w:rsidR="00795D97" w:rsidRPr="00D329DA" w:rsidRDefault="00795D97" w:rsidP="00B1277D">
                  <w:pPr>
                    <w:spacing w:after="0" w:line="240" w:lineRule="auto"/>
                    <w:jc w:val="center"/>
                    <w:rPr>
                      <w:rFonts w:eastAsia="Times New Roman" w:cs="Times New Roman"/>
                      <w:b/>
                      <w:bCs/>
                      <w:color w:val="000000"/>
                      <w:sz w:val="18"/>
                      <w:szCs w:val="18"/>
                      <w:lang w:eastAsia="sk-SK"/>
                    </w:rPr>
                  </w:pPr>
                  <w:r w:rsidRPr="00D329DA">
                    <w:rPr>
                      <w:rFonts w:eastAsia="Times New Roman" w:cs="Times New Roman"/>
                      <w:b/>
                      <w:bCs/>
                      <w:color w:val="000000"/>
                      <w:sz w:val="18"/>
                      <w:szCs w:val="18"/>
                      <w:lang w:eastAsia="sk-SK"/>
                    </w:rPr>
                    <w:t>2022 S</w:t>
                  </w:r>
                </w:p>
              </w:tc>
              <w:tc>
                <w:tcPr>
                  <w:tcW w:w="1160" w:type="dxa"/>
                  <w:tcBorders>
                    <w:top w:val="single" w:sz="4" w:space="0" w:color="auto"/>
                    <w:left w:val="nil"/>
                    <w:bottom w:val="nil"/>
                    <w:right w:val="nil"/>
                  </w:tcBorders>
                  <w:shd w:val="clear" w:color="000000" w:fill="FFFFFF"/>
                  <w:noWrap/>
                  <w:vAlign w:val="center"/>
                  <w:hideMark/>
                </w:tcPr>
                <w:p w14:paraId="275564BF" w14:textId="77777777" w:rsidR="00795D97" w:rsidRPr="00D329DA" w:rsidRDefault="00795D97" w:rsidP="00B1277D">
                  <w:pPr>
                    <w:spacing w:after="0" w:line="240" w:lineRule="auto"/>
                    <w:jc w:val="center"/>
                    <w:rPr>
                      <w:rFonts w:eastAsia="Times New Roman" w:cs="Times New Roman"/>
                      <w:b/>
                      <w:bCs/>
                      <w:color w:val="000000"/>
                      <w:sz w:val="18"/>
                      <w:szCs w:val="18"/>
                      <w:lang w:eastAsia="sk-SK"/>
                    </w:rPr>
                  </w:pPr>
                  <w:r w:rsidRPr="00D329DA">
                    <w:rPr>
                      <w:rFonts w:eastAsia="Times New Roman" w:cs="Times New Roman"/>
                      <w:b/>
                      <w:bCs/>
                      <w:color w:val="000000"/>
                      <w:sz w:val="18"/>
                      <w:szCs w:val="18"/>
                      <w:lang w:eastAsia="sk-SK"/>
                    </w:rPr>
                    <w:t>2023 R</w:t>
                  </w:r>
                </w:p>
              </w:tc>
              <w:tc>
                <w:tcPr>
                  <w:tcW w:w="1160" w:type="dxa"/>
                  <w:tcBorders>
                    <w:top w:val="single" w:sz="4" w:space="0" w:color="auto"/>
                    <w:left w:val="nil"/>
                    <w:bottom w:val="nil"/>
                    <w:right w:val="nil"/>
                  </w:tcBorders>
                  <w:shd w:val="clear" w:color="000000" w:fill="FFFFFF"/>
                  <w:noWrap/>
                  <w:vAlign w:val="center"/>
                  <w:hideMark/>
                </w:tcPr>
                <w:p w14:paraId="1206AA16" w14:textId="77777777" w:rsidR="00795D97" w:rsidRPr="00D329DA" w:rsidRDefault="00795D97" w:rsidP="00B1277D">
                  <w:pPr>
                    <w:spacing w:after="0" w:line="240" w:lineRule="auto"/>
                    <w:jc w:val="center"/>
                    <w:rPr>
                      <w:rFonts w:eastAsia="Times New Roman" w:cs="Times New Roman"/>
                      <w:b/>
                      <w:bCs/>
                      <w:color w:val="000000"/>
                      <w:sz w:val="18"/>
                      <w:szCs w:val="18"/>
                      <w:lang w:eastAsia="sk-SK"/>
                    </w:rPr>
                  </w:pPr>
                  <w:r w:rsidRPr="00D329DA">
                    <w:rPr>
                      <w:rFonts w:eastAsia="Times New Roman" w:cs="Times New Roman"/>
                      <w:b/>
                      <w:bCs/>
                      <w:color w:val="000000"/>
                      <w:sz w:val="18"/>
                      <w:szCs w:val="18"/>
                      <w:lang w:eastAsia="sk-SK"/>
                    </w:rPr>
                    <w:t>2023 S</w:t>
                  </w:r>
                </w:p>
              </w:tc>
              <w:tc>
                <w:tcPr>
                  <w:tcW w:w="1060" w:type="dxa"/>
                  <w:tcBorders>
                    <w:top w:val="single" w:sz="4" w:space="0" w:color="auto"/>
                    <w:left w:val="nil"/>
                    <w:bottom w:val="nil"/>
                    <w:right w:val="nil"/>
                  </w:tcBorders>
                  <w:shd w:val="clear" w:color="000000" w:fill="FFFFFF"/>
                  <w:noWrap/>
                  <w:vAlign w:val="center"/>
                  <w:hideMark/>
                </w:tcPr>
                <w:p w14:paraId="24B7D866" w14:textId="77777777" w:rsidR="00795D97" w:rsidRPr="00D329DA" w:rsidRDefault="00795D97" w:rsidP="00B1277D">
                  <w:pPr>
                    <w:spacing w:after="0" w:line="240" w:lineRule="auto"/>
                    <w:jc w:val="center"/>
                    <w:rPr>
                      <w:rFonts w:eastAsia="Times New Roman" w:cs="Times New Roman"/>
                      <w:b/>
                      <w:bCs/>
                      <w:color w:val="000000"/>
                      <w:sz w:val="18"/>
                      <w:szCs w:val="18"/>
                      <w:lang w:eastAsia="sk-SK"/>
                    </w:rPr>
                  </w:pPr>
                  <w:r w:rsidRPr="00D329DA">
                    <w:rPr>
                      <w:rFonts w:eastAsia="Times New Roman" w:cs="Times New Roman"/>
                      <w:b/>
                      <w:bCs/>
                      <w:color w:val="000000"/>
                      <w:sz w:val="18"/>
                      <w:szCs w:val="18"/>
                      <w:lang w:eastAsia="sk-SK"/>
                    </w:rPr>
                    <w:t>Rozdiel</w:t>
                  </w:r>
                </w:p>
              </w:tc>
              <w:tc>
                <w:tcPr>
                  <w:tcW w:w="680" w:type="dxa"/>
                  <w:tcBorders>
                    <w:top w:val="single" w:sz="4" w:space="0" w:color="auto"/>
                    <w:left w:val="nil"/>
                    <w:bottom w:val="nil"/>
                    <w:right w:val="nil"/>
                  </w:tcBorders>
                  <w:shd w:val="clear" w:color="000000" w:fill="FFFFFF"/>
                  <w:noWrap/>
                  <w:vAlign w:val="center"/>
                  <w:hideMark/>
                </w:tcPr>
                <w:p w14:paraId="3BF582B1" w14:textId="77777777" w:rsidR="00795D97" w:rsidRPr="00D329DA" w:rsidRDefault="00795D97" w:rsidP="00B1277D">
                  <w:pPr>
                    <w:spacing w:after="0" w:line="240" w:lineRule="auto"/>
                    <w:jc w:val="center"/>
                    <w:rPr>
                      <w:rFonts w:eastAsia="Times New Roman" w:cs="Times New Roman"/>
                      <w:b/>
                      <w:bCs/>
                      <w:color w:val="000000"/>
                      <w:sz w:val="18"/>
                      <w:szCs w:val="18"/>
                      <w:lang w:eastAsia="sk-SK"/>
                    </w:rPr>
                  </w:pPr>
                  <w:r w:rsidRPr="00D329DA">
                    <w:rPr>
                      <w:rFonts w:eastAsia="Times New Roman" w:cs="Times New Roman"/>
                      <w:b/>
                      <w:bCs/>
                      <w:color w:val="000000"/>
                      <w:sz w:val="18"/>
                      <w:szCs w:val="18"/>
                      <w:lang w:eastAsia="sk-SK"/>
                    </w:rPr>
                    <w:t>v %</w:t>
                  </w:r>
                </w:p>
              </w:tc>
            </w:tr>
            <w:tr w:rsidR="00795D97" w:rsidRPr="00D329DA" w14:paraId="5B46F0EF" w14:textId="77777777" w:rsidTr="00C07E13">
              <w:trPr>
                <w:trHeight w:val="276"/>
              </w:trPr>
              <w:tc>
                <w:tcPr>
                  <w:tcW w:w="2600" w:type="dxa"/>
                  <w:vMerge/>
                  <w:tcBorders>
                    <w:left w:val="nil"/>
                    <w:bottom w:val="single" w:sz="4" w:space="0" w:color="auto"/>
                    <w:right w:val="nil"/>
                  </w:tcBorders>
                  <w:shd w:val="clear" w:color="000000" w:fill="FFFFFF"/>
                  <w:vAlign w:val="center"/>
                  <w:hideMark/>
                </w:tcPr>
                <w:p w14:paraId="2409A0FE" w14:textId="707EE340" w:rsidR="00795D97" w:rsidRPr="00D329DA" w:rsidRDefault="00795D97" w:rsidP="00B1277D">
                  <w:pPr>
                    <w:spacing w:after="0" w:line="240" w:lineRule="auto"/>
                    <w:rPr>
                      <w:rFonts w:eastAsia="Times New Roman" w:cs="Times New Roman"/>
                      <w:b/>
                      <w:bCs/>
                      <w:color w:val="000000"/>
                      <w:sz w:val="18"/>
                      <w:szCs w:val="18"/>
                      <w:lang w:eastAsia="sk-SK"/>
                    </w:rPr>
                  </w:pPr>
                </w:p>
              </w:tc>
              <w:tc>
                <w:tcPr>
                  <w:tcW w:w="1240" w:type="dxa"/>
                  <w:tcBorders>
                    <w:top w:val="nil"/>
                    <w:left w:val="nil"/>
                    <w:bottom w:val="single" w:sz="4" w:space="0" w:color="auto"/>
                    <w:right w:val="nil"/>
                  </w:tcBorders>
                  <w:shd w:val="clear" w:color="000000" w:fill="FFFFFF"/>
                  <w:noWrap/>
                  <w:vAlign w:val="center"/>
                  <w:hideMark/>
                </w:tcPr>
                <w:p w14:paraId="2071F895" w14:textId="77777777" w:rsidR="00795D97" w:rsidRPr="00D329DA" w:rsidRDefault="00795D97" w:rsidP="00B1277D">
                  <w:pPr>
                    <w:spacing w:after="0" w:line="240" w:lineRule="auto"/>
                    <w:jc w:val="center"/>
                    <w:rPr>
                      <w:rFonts w:eastAsia="Times New Roman" w:cs="Times New Roman"/>
                      <w:b/>
                      <w:bCs/>
                      <w:color w:val="000000"/>
                      <w:sz w:val="18"/>
                      <w:szCs w:val="18"/>
                      <w:lang w:eastAsia="sk-SK"/>
                    </w:rPr>
                  </w:pPr>
                  <w:r w:rsidRPr="00D329DA">
                    <w:rPr>
                      <w:rFonts w:eastAsia="Times New Roman" w:cs="Times New Roman"/>
                      <w:b/>
                      <w:bCs/>
                      <w:color w:val="000000"/>
                      <w:sz w:val="18"/>
                      <w:szCs w:val="18"/>
                      <w:lang w:eastAsia="sk-SK"/>
                    </w:rPr>
                    <w:t>1</w:t>
                  </w:r>
                </w:p>
              </w:tc>
              <w:tc>
                <w:tcPr>
                  <w:tcW w:w="1240" w:type="dxa"/>
                  <w:tcBorders>
                    <w:top w:val="nil"/>
                    <w:left w:val="nil"/>
                    <w:bottom w:val="single" w:sz="4" w:space="0" w:color="auto"/>
                    <w:right w:val="nil"/>
                  </w:tcBorders>
                  <w:shd w:val="clear" w:color="000000" w:fill="FFFFFF"/>
                  <w:noWrap/>
                  <w:vAlign w:val="center"/>
                  <w:hideMark/>
                </w:tcPr>
                <w:p w14:paraId="4F5A2A78" w14:textId="77777777" w:rsidR="00795D97" w:rsidRPr="00D329DA" w:rsidRDefault="00795D97" w:rsidP="00B1277D">
                  <w:pPr>
                    <w:spacing w:after="0" w:line="240" w:lineRule="auto"/>
                    <w:jc w:val="center"/>
                    <w:rPr>
                      <w:rFonts w:eastAsia="Times New Roman" w:cs="Times New Roman"/>
                      <w:b/>
                      <w:bCs/>
                      <w:color w:val="000000"/>
                      <w:sz w:val="18"/>
                      <w:szCs w:val="18"/>
                      <w:lang w:eastAsia="sk-SK"/>
                    </w:rPr>
                  </w:pPr>
                  <w:r w:rsidRPr="00D329DA">
                    <w:rPr>
                      <w:rFonts w:eastAsia="Times New Roman" w:cs="Times New Roman"/>
                      <w:b/>
                      <w:bCs/>
                      <w:color w:val="000000"/>
                      <w:sz w:val="18"/>
                      <w:szCs w:val="18"/>
                      <w:lang w:eastAsia="sk-SK"/>
                    </w:rPr>
                    <w:t>2</w:t>
                  </w:r>
                </w:p>
              </w:tc>
              <w:tc>
                <w:tcPr>
                  <w:tcW w:w="1160" w:type="dxa"/>
                  <w:tcBorders>
                    <w:top w:val="nil"/>
                    <w:left w:val="nil"/>
                    <w:bottom w:val="single" w:sz="4" w:space="0" w:color="auto"/>
                    <w:right w:val="nil"/>
                  </w:tcBorders>
                  <w:shd w:val="clear" w:color="000000" w:fill="FFFFFF"/>
                  <w:noWrap/>
                  <w:vAlign w:val="center"/>
                  <w:hideMark/>
                </w:tcPr>
                <w:p w14:paraId="511C1C3A" w14:textId="77777777" w:rsidR="00795D97" w:rsidRPr="00D329DA" w:rsidRDefault="00795D97" w:rsidP="00B1277D">
                  <w:pPr>
                    <w:spacing w:after="0" w:line="240" w:lineRule="auto"/>
                    <w:jc w:val="center"/>
                    <w:rPr>
                      <w:rFonts w:eastAsia="Times New Roman" w:cs="Times New Roman"/>
                      <w:b/>
                      <w:bCs/>
                      <w:color w:val="000000"/>
                      <w:sz w:val="18"/>
                      <w:szCs w:val="18"/>
                      <w:lang w:eastAsia="sk-SK"/>
                    </w:rPr>
                  </w:pPr>
                  <w:r w:rsidRPr="00D329DA">
                    <w:rPr>
                      <w:rFonts w:eastAsia="Times New Roman" w:cs="Times New Roman"/>
                      <w:b/>
                      <w:bCs/>
                      <w:color w:val="000000"/>
                      <w:sz w:val="18"/>
                      <w:szCs w:val="18"/>
                      <w:lang w:eastAsia="sk-SK"/>
                    </w:rPr>
                    <w:t>3</w:t>
                  </w:r>
                </w:p>
              </w:tc>
              <w:tc>
                <w:tcPr>
                  <w:tcW w:w="1160" w:type="dxa"/>
                  <w:tcBorders>
                    <w:top w:val="nil"/>
                    <w:left w:val="nil"/>
                    <w:bottom w:val="single" w:sz="4" w:space="0" w:color="auto"/>
                    <w:right w:val="nil"/>
                  </w:tcBorders>
                  <w:shd w:val="clear" w:color="000000" w:fill="FFFFFF"/>
                  <w:noWrap/>
                  <w:vAlign w:val="center"/>
                  <w:hideMark/>
                </w:tcPr>
                <w:p w14:paraId="3E73C6B8" w14:textId="77777777" w:rsidR="00795D97" w:rsidRPr="00D329DA" w:rsidRDefault="00795D97" w:rsidP="00B1277D">
                  <w:pPr>
                    <w:spacing w:after="0" w:line="240" w:lineRule="auto"/>
                    <w:jc w:val="center"/>
                    <w:rPr>
                      <w:rFonts w:eastAsia="Times New Roman" w:cs="Times New Roman"/>
                      <w:b/>
                      <w:bCs/>
                      <w:color w:val="000000"/>
                      <w:sz w:val="18"/>
                      <w:szCs w:val="18"/>
                      <w:lang w:eastAsia="sk-SK"/>
                    </w:rPr>
                  </w:pPr>
                  <w:r w:rsidRPr="00D329DA">
                    <w:rPr>
                      <w:rFonts w:eastAsia="Times New Roman" w:cs="Times New Roman"/>
                      <w:b/>
                      <w:bCs/>
                      <w:color w:val="000000"/>
                      <w:sz w:val="18"/>
                      <w:szCs w:val="18"/>
                      <w:lang w:eastAsia="sk-SK"/>
                    </w:rPr>
                    <w:t>4</w:t>
                  </w:r>
                </w:p>
              </w:tc>
              <w:tc>
                <w:tcPr>
                  <w:tcW w:w="1060" w:type="dxa"/>
                  <w:tcBorders>
                    <w:top w:val="nil"/>
                    <w:left w:val="nil"/>
                    <w:bottom w:val="single" w:sz="4" w:space="0" w:color="auto"/>
                    <w:right w:val="nil"/>
                  </w:tcBorders>
                  <w:shd w:val="clear" w:color="000000" w:fill="FFFFFF"/>
                  <w:noWrap/>
                  <w:vAlign w:val="center"/>
                  <w:hideMark/>
                </w:tcPr>
                <w:p w14:paraId="7A9B5F06" w14:textId="77777777" w:rsidR="00795D97" w:rsidRPr="00D329DA" w:rsidRDefault="00795D97" w:rsidP="00B1277D">
                  <w:pPr>
                    <w:spacing w:after="0" w:line="240" w:lineRule="auto"/>
                    <w:jc w:val="center"/>
                    <w:rPr>
                      <w:rFonts w:eastAsia="Times New Roman" w:cs="Times New Roman"/>
                      <w:b/>
                      <w:bCs/>
                      <w:color w:val="000000"/>
                      <w:sz w:val="18"/>
                      <w:szCs w:val="18"/>
                      <w:lang w:eastAsia="sk-SK"/>
                    </w:rPr>
                  </w:pPr>
                  <w:r w:rsidRPr="00D329DA">
                    <w:rPr>
                      <w:rFonts w:eastAsia="Times New Roman" w:cs="Times New Roman"/>
                      <w:b/>
                      <w:bCs/>
                      <w:color w:val="000000"/>
                      <w:sz w:val="18"/>
                      <w:szCs w:val="18"/>
                      <w:lang w:eastAsia="sk-SK"/>
                    </w:rPr>
                    <w:t>5=4-3</w:t>
                  </w:r>
                </w:p>
              </w:tc>
              <w:tc>
                <w:tcPr>
                  <w:tcW w:w="680" w:type="dxa"/>
                  <w:tcBorders>
                    <w:top w:val="nil"/>
                    <w:left w:val="nil"/>
                    <w:bottom w:val="single" w:sz="4" w:space="0" w:color="auto"/>
                    <w:right w:val="nil"/>
                  </w:tcBorders>
                  <w:shd w:val="clear" w:color="000000" w:fill="FFFFFF"/>
                  <w:noWrap/>
                  <w:vAlign w:val="center"/>
                  <w:hideMark/>
                </w:tcPr>
                <w:p w14:paraId="359975BF" w14:textId="77777777" w:rsidR="00795D97" w:rsidRPr="00D329DA" w:rsidRDefault="00795D97" w:rsidP="00B1277D">
                  <w:pPr>
                    <w:spacing w:after="0" w:line="240" w:lineRule="auto"/>
                    <w:jc w:val="center"/>
                    <w:rPr>
                      <w:rFonts w:eastAsia="Times New Roman" w:cs="Times New Roman"/>
                      <w:b/>
                      <w:bCs/>
                      <w:color w:val="000000"/>
                      <w:sz w:val="18"/>
                      <w:szCs w:val="18"/>
                      <w:lang w:eastAsia="sk-SK"/>
                    </w:rPr>
                  </w:pPr>
                  <w:r w:rsidRPr="00D329DA">
                    <w:rPr>
                      <w:rFonts w:eastAsia="Times New Roman" w:cs="Times New Roman"/>
                      <w:b/>
                      <w:bCs/>
                      <w:color w:val="000000"/>
                      <w:sz w:val="18"/>
                      <w:szCs w:val="18"/>
                      <w:lang w:eastAsia="sk-SK"/>
                    </w:rPr>
                    <w:t>6=4-3</w:t>
                  </w:r>
                </w:p>
              </w:tc>
            </w:tr>
            <w:tr w:rsidR="00B768D9" w:rsidRPr="00D329DA" w14:paraId="7346142C" w14:textId="77777777" w:rsidTr="00B768D9">
              <w:trPr>
                <w:trHeight w:val="708"/>
              </w:trPr>
              <w:tc>
                <w:tcPr>
                  <w:tcW w:w="2600" w:type="dxa"/>
                  <w:tcBorders>
                    <w:top w:val="nil"/>
                    <w:left w:val="nil"/>
                    <w:bottom w:val="nil"/>
                    <w:right w:val="nil"/>
                  </w:tcBorders>
                  <w:shd w:val="clear" w:color="auto" w:fill="auto"/>
                  <w:vAlign w:val="center"/>
                  <w:hideMark/>
                </w:tcPr>
                <w:p w14:paraId="4B95E4C7" w14:textId="77777777" w:rsidR="00B768D9" w:rsidRPr="00D329DA" w:rsidRDefault="00B768D9" w:rsidP="00B1277D">
                  <w:pPr>
                    <w:spacing w:after="0" w:line="240" w:lineRule="auto"/>
                    <w:rPr>
                      <w:rFonts w:eastAsia="Times New Roman" w:cs="Times New Roman"/>
                      <w:color w:val="000000"/>
                      <w:sz w:val="18"/>
                      <w:szCs w:val="18"/>
                      <w:lang w:eastAsia="sk-SK"/>
                    </w:rPr>
                  </w:pPr>
                  <w:r w:rsidRPr="00D329DA">
                    <w:rPr>
                      <w:rFonts w:eastAsia="Times New Roman" w:cs="Times New Roman"/>
                      <w:color w:val="000000"/>
                      <w:sz w:val="18"/>
                      <w:szCs w:val="18"/>
                      <w:lang w:eastAsia="sk-SK"/>
                    </w:rPr>
                    <w:t>Mzdy, platy, služobné príjmy a ostatné osobné vyrovnania</w:t>
                  </w:r>
                </w:p>
              </w:tc>
              <w:tc>
                <w:tcPr>
                  <w:tcW w:w="1240" w:type="dxa"/>
                  <w:tcBorders>
                    <w:top w:val="nil"/>
                    <w:left w:val="nil"/>
                    <w:bottom w:val="nil"/>
                    <w:right w:val="nil"/>
                  </w:tcBorders>
                  <w:shd w:val="clear" w:color="auto" w:fill="auto"/>
                  <w:noWrap/>
                  <w:vAlign w:val="center"/>
                  <w:hideMark/>
                </w:tcPr>
                <w:p w14:paraId="50768BF8"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2 624 189</w:t>
                  </w:r>
                </w:p>
              </w:tc>
              <w:tc>
                <w:tcPr>
                  <w:tcW w:w="1240" w:type="dxa"/>
                  <w:tcBorders>
                    <w:top w:val="nil"/>
                    <w:left w:val="nil"/>
                    <w:bottom w:val="nil"/>
                    <w:right w:val="nil"/>
                  </w:tcBorders>
                  <w:shd w:val="clear" w:color="000000" w:fill="FFFFFF"/>
                  <w:noWrap/>
                  <w:vAlign w:val="center"/>
                  <w:hideMark/>
                </w:tcPr>
                <w:p w14:paraId="6EE49596"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2 701 444</w:t>
                  </w:r>
                </w:p>
              </w:tc>
              <w:tc>
                <w:tcPr>
                  <w:tcW w:w="1160" w:type="dxa"/>
                  <w:tcBorders>
                    <w:top w:val="nil"/>
                    <w:left w:val="nil"/>
                    <w:bottom w:val="nil"/>
                    <w:right w:val="nil"/>
                  </w:tcBorders>
                  <w:shd w:val="clear" w:color="auto" w:fill="auto"/>
                  <w:noWrap/>
                  <w:vAlign w:val="center"/>
                  <w:hideMark/>
                </w:tcPr>
                <w:p w14:paraId="524B9C4B" w14:textId="075E6248" w:rsidR="00B768D9" w:rsidRPr="00D329DA" w:rsidRDefault="00B768D9" w:rsidP="0029337E">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2 949 36</w:t>
                  </w:r>
                  <w:r w:rsidR="0029337E">
                    <w:rPr>
                      <w:rFonts w:eastAsia="Times New Roman" w:cs="Times New Roman"/>
                      <w:color w:val="000000"/>
                      <w:sz w:val="18"/>
                      <w:szCs w:val="18"/>
                      <w:lang w:eastAsia="sk-SK"/>
                    </w:rPr>
                    <w:t>6</w:t>
                  </w:r>
                </w:p>
              </w:tc>
              <w:tc>
                <w:tcPr>
                  <w:tcW w:w="1160" w:type="dxa"/>
                  <w:tcBorders>
                    <w:top w:val="nil"/>
                    <w:left w:val="nil"/>
                    <w:bottom w:val="nil"/>
                    <w:right w:val="nil"/>
                  </w:tcBorders>
                  <w:shd w:val="clear" w:color="000000" w:fill="FFFFFF"/>
                  <w:noWrap/>
                  <w:vAlign w:val="center"/>
                  <w:hideMark/>
                </w:tcPr>
                <w:p w14:paraId="39B7CC60"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3 019 434</w:t>
                  </w:r>
                </w:p>
              </w:tc>
              <w:tc>
                <w:tcPr>
                  <w:tcW w:w="1060" w:type="dxa"/>
                  <w:tcBorders>
                    <w:top w:val="nil"/>
                    <w:left w:val="nil"/>
                    <w:bottom w:val="nil"/>
                    <w:right w:val="nil"/>
                  </w:tcBorders>
                  <w:shd w:val="clear" w:color="auto" w:fill="auto"/>
                  <w:noWrap/>
                  <w:vAlign w:val="center"/>
                  <w:hideMark/>
                </w:tcPr>
                <w:p w14:paraId="5B2864A0" w14:textId="3A61595D" w:rsidR="00B768D9" w:rsidRPr="00D329DA" w:rsidRDefault="00B768D9" w:rsidP="003B7DD8">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70 06</w:t>
                  </w:r>
                  <w:r w:rsidR="003B7DD8">
                    <w:rPr>
                      <w:rFonts w:eastAsia="Times New Roman" w:cs="Times New Roman"/>
                      <w:color w:val="000000"/>
                      <w:sz w:val="18"/>
                      <w:szCs w:val="18"/>
                      <w:lang w:eastAsia="sk-SK"/>
                    </w:rPr>
                    <w:t>8</w:t>
                  </w:r>
                </w:p>
              </w:tc>
              <w:tc>
                <w:tcPr>
                  <w:tcW w:w="680" w:type="dxa"/>
                  <w:tcBorders>
                    <w:top w:val="nil"/>
                    <w:left w:val="nil"/>
                    <w:bottom w:val="nil"/>
                    <w:right w:val="nil"/>
                  </w:tcBorders>
                  <w:shd w:val="clear" w:color="auto" w:fill="auto"/>
                  <w:noWrap/>
                  <w:vAlign w:val="center"/>
                  <w:hideMark/>
                </w:tcPr>
                <w:p w14:paraId="37A94197" w14:textId="7387E42C" w:rsidR="00B768D9" w:rsidRPr="00D329DA" w:rsidRDefault="00B768D9" w:rsidP="003B7DD8">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2,</w:t>
                  </w:r>
                  <w:r w:rsidR="003B7DD8">
                    <w:rPr>
                      <w:rFonts w:eastAsia="Times New Roman" w:cs="Times New Roman"/>
                      <w:color w:val="000000"/>
                      <w:sz w:val="18"/>
                      <w:szCs w:val="18"/>
                      <w:lang w:eastAsia="sk-SK"/>
                    </w:rPr>
                    <w:t>4</w:t>
                  </w:r>
                </w:p>
              </w:tc>
            </w:tr>
            <w:tr w:rsidR="00B768D9" w:rsidRPr="00D329DA" w14:paraId="5742921B" w14:textId="77777777" w:rsidTr="00B768D9">
              <w:trPr>
                <w:trHeight w:val="408"/>
              </w:trPr>
              <w:tc>
                <w:tcPr>
                  <w:tcW w:w="2600" w:type="dxa"/>
                  <w:tcBorders>
                    <w:top w:val="nil"/>
                    <w:left w:val="nil"/>
                    <w:bottom w:val="nil"/>
                    <w:right w:val="nil"/>
                  </w:tcBorders>
                  <w:shd w:val="clear" w:color="auto" w:fill="auto"/>
                  <w:vAlign w:val="center"/>
                  <w:hideMark/>
                </w:tcPr>
                <w:p w14:paraId="6280BF6A" w14:textId="77777777" w:rsidR="00B768D9" w:rsidRPr="00D329DA" w:rsidRDefault="00B768D9" w:rsidP="00B1277D">
                  <w:pPr>
                    <w:spacing w:after="0" w:line="240" w:lineRule="auto"/>
                    <w:rPr>
                      <w:rFonts w:eastAsia="Times New Roman" w:cs="Times New Roman"/>
                      <w:color w:val="000000"/>
                      <w:sz w:val="18"/>
                      <w:szCs w:val="18"/>
                      <w:lang w:eastAsia="sk-SK"/>
                    </w:rPr>
                  </w:pPr>
                  <w:r w:rsidRPr="00D329DA">
                    <w:rPr>
                      <w:rFonts w:eastAsia="Times New Roman" w:cs="Times New Roman"/>
                      <w:color w:val="000000"/>
                      <w:sz w:val="18"/>
                      <w:szCs w:val="18"/>
                      <w:lang w:eastAsia="sk-SK"/>
                    </w:rPr>
                    <w:t>Poistné a príspevok do poisťovní</w:t>
                  </w:r>
                </w:p>
              </w:tc>
              <w:tc>
                <w:tcPr>
                  <w:tcW w:w="1240" w:type="dxa"/>
                  <w:tcBorders>
                    <w:top w:val="nil"/>
                    <w:left w:val="nil"/>
                    <w:bottom w:val="nil"/>
                    <w:right w:val="nil"/>
                  </w:tcBorders>
                  <w:shd w:val="clear" w:color="auto" w:fill="auto"/>
                  <w:noWrap/>
                  <w:vAlign w:val="center"/>
                  <w:hideMark/>
                </w:tcPr>
                <w:p w14:paraId="003C20DA"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953 726</w:t>
                  </w:r>
                </w:p>
              </w:tc>
              <w:tc>
                <w:tcPr>
                  <w:tcW w:w="1240" w:type="dxa"/>
                  <w:tcBorders>
                    <w:top w:val="nil"/>
                    <w:left w:val="nil"/>
                    <w:bottom w:val="nil"/>
                    <w:right w:val="nil"/>
                  </w:tcBorders>
                  <w:shd w:val="clear" w:color="000000" w:fill="FFFFFF"/>
                  <w:noWrap/>
                  <w:vAlign w:val="center"/>
                  <w:hideMark/>
                </w:tcPr>
                <w:p w14:paraId="1DC4E86B"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982 394</w:t>
                  </w:r>
                </w:p>
              </w:tc>
              <w:tc>
                <w:tcPr>
                  <w:tcW w:w="1160" w:type="dxa"/>
                  <w:tcBorders>
                    <w:top w:val="nil"/>
                    <w:left w:val="nil"/>
                    <w:bottom w:val="nil"/>
                    <w:right w:val="nil"/>
                  </w:tcBorders>
                  <w:shd w:val="clear" w:color="auto" w:fill="auto"/>
                  <w:noWrap/>
                  <w:vAlign w:val="center"/>
                  <w:hideMark/>
                </w:tcPr>
                <w:p w14:paraId="26152492"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1 040 508</w:t>
                  </w:r>
                </w:p>
              </w:tc>
              <w:tc>
                <w:tcPr>
                  <w:tcW w:w="1160" w:type="dxa"/>
                  <w:tcBorders>
                    <w:top w:val="nil"/>
                    <w:left w:val="nil"/>
                    <w:bottom w:val="nil"/>
                    <w:right w:val="nil"/>
                  </w:tcBorders>
                  <w:shd w:val="clear" w:color="000000" w:fill="FFFFFF"/>
                  <w:noWrap/>
                  <w:vAlign w:val="center"/>
                  <w:hideMark/>
                </w:tcPr>
                <w:p w14:paraId="1428B2C8"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1 093 590</w:t>
                  </w:r>
                </w:p>
              </w:tc>
              <w:tc>
                <w:tcPr>
                  <w:tcW w:w="1060" w:type="dxa"/>
                  <w:tcBorders>
                    <w:top w:val="nil"/>
                    <w:left w:val="nil"/>
                    <w:bottom w:val="nil"/>
                    <w:right w:val="nil"/>
                  </w:tcBorders>
                  <w:shd w:val="clear" w:color="auto" w:fill="auto"/>
                  <w:noWrap/>
                  <w:vAlign w:val="center"/>
                  <w:hideMark/>
                </w:tcPr>
                <w:p w14:paraId="785F6FE7"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53 082</w:t>
                  </w:r>
                </w:p>
              </w:tc>
              <w:tc>
                <w:tcPr>
                  <w:tcW w:w="680" w:type="dxa"/>
                  <w:tcBorders>
                    <w:top w:val="nil"/>
                    <w:left w:val="nil"/>
                    <w:bottom w:val="nil"/>
                    <w:right w:val="nil"/>
                  </w:tcBorders>
                  <w:shd w:val="clear" w:color="auto" w:fill="auto"/>
                  <w:noWrap/>
                  <w:vAlign w:val="center"/>
                  <w:hideMark/>
                </w:tcPr>
                <w:p w14:paraId="0054FB8A"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5,1</w:t>
                  </w:r>
                </w:p>
              </w:tc>
            </w:tr>
            <w:tr w:rsidR="00B768D9" w:rsidRPr="00D329DA" w14:paraId="59F96825" w14:textId="77777777" w:rsidTr="00B768D9">
              <w:trPr>
                <w:trHeight w:val="312"/>
              </w:trPr>
              <w:tc>
                <w:tcPr>
                  <w:tcW w:w="2600" w:type="dxa"/>
                  <w:tcBorders>
                    <w:top w:val="nil"/>
                    <w:left w:val="nil"/>
                    <w:bottom w:val="nil"/>
                    <w:right w:val="nil"/>
                  </w:tcBorders>
                  <w:shd w:val="clear" w:color="auto" w:fill="auto"/>
                  <w:vAlign w:val="center"/>
                  <w:hideMark/>
                </w:tcPr>
                <w:p w14:paraId="2FEBFFC3" w14:textId="77777777" w:rsidR="00B768D9" w:rsidRPr="00D329DA" w:rsidRDefault="00B768D9" w:rsidP="00B1277D">
                  <w:pPr>
                    <w:spacing w:after="0" w:line="240" w:lineRule="auto"/>
                    <w:rPr>
                      <w:rFonts w:eastAsia="Times New Roman" w:cs="Times New Roman"/>
                      <w:color w:val="000000"/>
                      <w:sz w:val="18"/>
                      <w:szCs w:val="18"/>
                      <w:lang w:eastAsia="sk-SK"/>
                    </w:rPr>
                  </w:pPr>
                  <w:r w:rsidRPr="00D329DA">
                    <w:rPr>
                      <w:rFonts w:eastAsia="Times New Roman" w:cs="Times New Roman"/>
                      <w:color w:val="000000"/>
                      <w:sz w:val="18"/>
                      <w:szCs w:val="18"/>
                      <w:lang w:eastAsia="sk-SK"/>
                    </w:rPr>
                    <w:t>Tovary a služby</w:t>
                  </w:r>
                </w:p>
              </w:tc>
              <w:tc>
                <w:tcPr>
                  <w:tcW w:w="1240" w:type="dxa"/>
                  <w:tcBorders>
                    <w:top w:val="nil"/>
                    <w:left w:val="nil"/>
                    <w:bottom w:val="nil"/>
                    <w:right w:val="nil"/>
                  </w:tcBorders>
                  <w:shd w:val="clear" w:color="auto" w:fill="auto"/>
                  <w:noWrap/>
                  <w:vAlign w:val="center"/>
                  <w:hideMark/>
                </w:tcPr>
                <w:p w14:paraId="0BBF9790"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2 358 055</w:t>
                  </w:r>
                </w:p>
              </w:tc>
              <w:tc>
                <w:tcPr>
                  <w:tcW w:w="1240" w:type="dxa"/>
                  <w:tcBorders>
                    <w:top w:val="nil"/>
                    <w:left w:val="nil"/>
                    <w:bottom w:val="nil"/>
                    <w:right w:val="nil"/>
                  </w:tcBorders>
                  <w:shd w:val="clear" w:color="000000" w:fill="FFFFFF"/>
                  <w:noWrap/>
                  <w:vAlign w:val="center"/>
                  <w:hideMark/>
                </w:tcPr>
                <w:p w14:paraId="502619DF"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2 340 655</w:t>
                  </w:r>
                </w:p>
              </w:tc>
              <w:tc>
                <w:tcPr>
                  <w:tcW w:w="1160" w:type="dxa"/>
                  <w:tcBorders>
                    <w:top w:val="nil"/>
                    <w:left w:val="nil"/>
                    <w:bottom w:val="nil"/>
                    <w:right w:val="nil"/>
                  </w:tcBorders>
                  <w:shd w:val="clear" w:color="auto" w:fill="auto"/>
                  <w:noWrap/>
                  <w:vAlign w:val="center"/>
                  <w:hideMark/>
                </w:tcPr>
                <w:p w14:paraId="60BB6071" w14:textId="069FC519" w:rsidR="00B768D9" w:rsidRPr="00D329DA" w:rsidRDefault="00B768D9" w:rsidP="0029337E">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9 407 56</w:t>
                  </w:r>
                  <w:r w:rsidR="0029337E">
                    <w:rPr>
                      <w:rFonts w:eastAsia="Times New Roman" w:cs="Times New Roman"/>
                      <w:color w:val="000000"/>
                      <w:sz w:val="18"/>
                      <w:szCs w:val="18"/>
                      <w:lang w:eastAsia="sk-SK"/>
                    </w:rPr>
                    <w:t>1</w:t>
                  </w:r>
                </w:p>
              </w:tc>
              <w:tc>
                <w:tcPr>
                  <w:tcW w:w="1160" w:type="dxa"/>
                  <w:tcBorders>
                    <w:top w:val="nil"/>
                    <w:left w:val="nil"/>
                    <w:bottom w:val="nil"/>
                    <w:right w:val="nil"/>
                  </w:tcBorders>
                  <w:shd w:val="clear" w:color="000000" w:fill="FFFFFF"/>
                  <w:noWrap/>
                  <w:vAlign w:val="center"/>
                  <w:hideMark/>
                </w:tcPr>
                <w:p w14:paraId="0F6FC67D" w14:textId="490B7CEC" w:rsidR="00B768D9" w:rsidRPr="00D329DA" w:rsidRDefault="00B768D9" w:rsidP="006A0B96">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2 490 38</w:t>
                  </w:r>
                  <w:r w:rsidR="006A0B96">
                    <w:rPr>
                      <w:rFonts w:eastAsia="Times New Roman" w:cs="Times New Roman"/>
                      <w:color w:val="000000"/>
                      <w:sz w:val="18"/>
                      <w:szCs w:val="18"/>
                      <w:lang w:eastAsia="sk-SK"/>
                    </w:rPr>
                    <w:t>2</w:t>
                  </w:r>
                </w:p>
              </w:tc>
              <w:tc>
                <w:tcPr>
                  <w:tcW w:w="1060" w:type="dxa"/>
                  <w:tcBorders>
                    <w:top w:val="nil"/>
                    <w:left w:val="nil"/>
                    <w:bottom w:val="nil"/>
                    <w:right w:val="nil"/>
                  </w:tcBorders>
                  <w:shd w:val="clear" w:color="auto" w:fill="auto"/>
                  <w:noWrap/>
                  <w:vAlign w:val="center"/>
                  <w:hideMark/>
                </w:tcPr>
                <w:p w14:paraId="4E1E716A" w14:textId="76DE9820" w:rsidR="00B768D9" w:rsidRPr="00D329DA" w:rsidRDefault="00B768D9" w:rsidP="003B7DD8">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-6 917 1</w:t>
                  </w:r>
                  <w:r w:rsidR="003B7DD8">
                    <w:rPr>
                      <w:rFonts w:eastAsia="Times New Roman" w:cs="Times New Roman"/>
                      <w:color w:val="000000"/>
                      <w:sz w:val="18"/>
                      <w:szCs w:val="18"/>
                      <w:lang w:eastAsia="sk-SK"/>
                    </w:rPr>
                    <w:t>79</w:t>
                  </w:r>
                </w:p>
              </w:tc>
              <w:tc>
                <w:tcPr>
                  <w:tcW w:w="680" w:type="dxa"/>
                  <w:tcBorders>
                    <w:top w:val="nil"/>
                    <w:left w:val="nil"/>
                    <w:bottom w:val="nil"/>
                    <w:right w:val="nil"/>
                  </w:tcBorders>
                  <w:shd w:val="clear" w:color="auto" w:fill="auto"/>
                  <w:noWrap/>
                  <w:vAlign w:val="center"/>
                  <w:hideMark/>
                </w:tcPr>
                <w:p w14:paraId="00F1DEB5"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-73,5</w:t>
                  </w:r>
                </w:p>
              </w:tc>
            </w:tr>
            <w:tr w:rsidR="00B768D9" w:rsidRPr="00D329DA" w14:paraId="2966F855" w14:textId="77777777" w:rsidTr="00B768D9">
              <w:trPr>
                <w:trHeight w:val="312"/>
              </w:trPr>
              <w:tc>
                <w:tcPr>
                  <w:tcW w:w="2600" w:type="dxa"/>
                  <w:tcBorders>
                    <w:top w:val="nil"/>
                    <w:left w:val="nil"/>
                    <w:bottom w:val="nil"/>
                    <w:right w:val="nil"/>
                  </w:tcBorders>
                  <w:shd w:val="clear" w:color="auto" w:fill="auto"/>
                  <w:vAlign w:val="center"/>
                  <w:hideMark/>
                </w:tcPr>
                <w:p w14:paraId="501D3B98" w14:textId="77777777" w:rsidR="00B768D9" w:rsidRPr="00D329DA" w:rsidRDefault="00B768D9" w:rsidP="00B1277D">
                  <w:pPr>
                    <w:spacing w:after="0" w:line="240" w:lineRule="auto"/>
                    <w:rPr>
                      <w:rFonts w:eastAsia="Times New Roman" w:cs="Times New Roman"/>
                      <w:color w:val="000000"/>
                      <w:sz w:val="18"/>
                      <w:szCs w:val="18"/>
                      <w:lang w:eastAsia="sk-SK"/>
                    </w:rPr>
                  </w:pPr>
                  <w:r w:rsidRPr="00D329DA">
                    <w:rPr>
                      <w:rFonts w:eastAsia="Times New Roman" w:cs="Times New Roman"/>
                      <w:color w:val="000000"/>
                      <w:sz w:val="18"/>
                      <w:szCs w:val="18"/>
                      <w:lang w:eastAsia="sk-SK"/>
                    </w:rPr>
                    <w:t>Bežné transfery</w:t>
                  </w:r>
                </w:p>
              </w:tc>
              <w:tc>
                <w:tcPr>
                  <w:tcW w:w="1240" w:type="dxa"/>
                  <w:tcBorders>
                    <w:top w:val="nil"/>
                    <w:left w:val="nil"/>
                    <w:bottom w:val="nil"/>
                    <w:right w:val="nil"/>
                  </w:tcBorders>
                  <w:shd w:val="clear" w:color="000000" w:fill="FFFFFF"/>
                  <w:noWrap/>
                  <w:vAlign w:val="center"/>
                  <w:hideMark/>
                </w:tcPr>
                <w:p w14:paraId="0C840798"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15 835 023</w:t>
                  </w:r>
                </w:p>
              </w:tc>
              <w:tc>
                <w:tcPr>
                  <w:tcW w:w="1240" w:type="dxa"/>
                  <w:tcBorders>
                    <w:top w:val="nil"/>
                    <w:left w:val="nil"/>
                    <w:bottom w:val="nil"/>
                    <w:right w:val="nil"/>
                  </w:tcBorders>
                  <w:shd w:val="clear" w:color="000000" w:fill="FFFFFF"/>
                  <w:noWrap/>
                  <w:vAlign w:val="center"/>
                  <w:hideMark/>
                </w:tcPr>
                <w:p w14:paraId="40240FBC"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14 822 787</w:t>
                  </w:r>
                </w:p>
              </w:tc>
              <w:tc>
                <w:tcPr>
                  <w:tcW w:w="1160" w:type="dxa"/>
                  <w:tcBorders>
                    <w:top w:val="nil"/>
                    <w:left w:val="nil"/>
                    <w:bottom w:val="nil"/>
                    <w:right w:val="nil"/>
                  </w:tcBorders>
                  <w:shd w:val="clear" w:color="auto" w:fill="auto"/>
                  <w:noWrap/>
                  <w:vAlign w:val="center"/>
                  <w:hideMark/>
                </w:tcPr>
                <w:p w14:paraId="427C7E02"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15 696 756</w:t>
                  </w:r>
                </w:p>
              </w:tc>
              <w:tc>
                <w:tcPr>
                  <w:tcW w:w="1160" w:type="dxa"/>
                  <w:tcBorders>
                    <w:top w:val="nil"/>
                    <w:left w:val="nil"/>
                    <w:bottom w:val="nil"/>
                    <w:right w:val="nil"/>
                  </w:tcBorders>
                  <w:shd w:val="clear" w:color="auto" w:fill="auto"/>
                  <w:noWrap/>
                  <w:vAlign w:val="center"/>
                  <w:hideMark/>
                </w:tcPr>
                <w:p w14:paraId="3CFADCFB" w14:textId="13844850" w:rsidR="00B768D9" w:rsidRPr="00D329DA" w:rsidRDefault="00B768D9" w:rsidP="006A0B96">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20 046 16</w:t>
                  </w:r>
                  <w:r w:rsidR="006A0B96">
                    <w:rPr>
                      <w:rFonts w:eastAsia="Times New Roman" w:cs="Times New Roman"/>
                      <w:color w:val="000000"/>
                      <w:sz w:val="18"/>
                      <w:szCs w:val="18"/>
                      <w:lang w:eastAsia="sk-SK"/>
                    </w:rPr>
                    <w:t>4</w:t>
                  </w:r>
                </w:p>
              </w:tc>
              <w:tc>
                <w:tcPr>
                  <w:tcW w:w="1060" w:type="dxa"/>
                  <w:tcBorders>
                    <w:top w:val="nil"/>
                    <w:left w:val="nil"/>
                    <w:bottom w:val="nil"/>
                    <w:right w:val="nil"/>
                  </w:tcBorders>
                  <w:shd w:val="clear" w:color="auto" w:fill="auto"/>
                  <w:noWrap/>
                  <w:vAlign w:val="center"/>
                  <w:hideMark/>
                </w:tcPr>
                <w:p w14:paraId="7EFC633E"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4 349 408</w:t>
                  </w:r>
                </w:p>
              </w:tc>
              <w:tc>
                <w:tcPr>
                  <w:tcW w:w="680" w:type="dxa"/>
                  <w:tcBorders>
                    <w:top w:val="nil"/>
                    <w:left w:val="nil"/>
                    <w:bottom w:val="nil"/>
                    <w:right w:val="nil"/>
                  </w:tcBorders>
                  <w:shd w:val="clear" w:color="auto" w:fill="auto"/>
                  <w:noWrap/>
                  <w:vAlign w:val="center"/>
                  <w:hideMark/>
                </w:tcPr>
                <w:p w14:paraId="33784E77"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27,7</w:t>
                  </w:r>
                </w:p>
              </w:tc>
            </w:tr>
            <w:tr w:rsidR="00B768D9" w:rsidRPr="00D329DA" w14:paraId="76AC6E6C" w14:textId="77777777" w:rsidTr="00B768D9">
              <w:trPr>
                <w:trHeight w:val="312"/>
              </w:trPr>
              <w:tc>
                <w:tcPr>
                  <w:tcW w:w="2600" w:type="dxa"/>
                  <w:tcBorders>
                    <w:top w:val="nil"/>
                    <w:left w:val="nil"/>
                    <w:bottom w:val="nil"/>
                    <w:right w:val="nil"/>
                  </w:tcBorders>
                  <w:shd w:val="clear" w:color="auto" w:fill="auto"/>
                  <w:vAlign w:val="center"/>
                  <w:hideMark/>
                </w:tcPr>
                <w:p w14:paraId="6E51AB32" w14:textId="77777777" w:rsidR="00B768D9" w:rsidRPr="00D329DA" w:rsidRDefault="00B768D9" w:rsidP="00B1277D">
                  <w:pPr>
                    <w:spacing w:after="0" w:line="240" w:lineRule="auto"/>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 xml:space="preserve">v tom: </w:t>
                  </w:r>
                </w:p>
              </w:tc>
              <w:tc>
                <w:tcPr>
                  <w:tcW w:w="1240" w:type="dxa"/>
                  <w:tcBorders>
                    <w:top w:val="nil"/>
                    <w:left w:val="nil"/>
                    <w:bottom w:val="nil"/>
                    <w:right w:val="nil"/>
                  </w:tcBorders>
                  <w:shd w:val="clear" w:color="auto" w:fill="auto"/>
                  <w:noWrap/>
                  <w:vAlign w:val="center"/>
                  <w:hideMark/>
                </w:tcPr>
                <w:p w14:paraId="4E218098" w14:textId="77777777" w:rsidR="00B768D9" w:rsidRPr="00D329DA" w:rsidRDefault="00B768D9" w:rsidP="00B1277D">
                  <w:pPr>
                    <w:spacing w:after="0" w:line="240" w:lineRule="auto"/>
                    <w:rPr>
                      <w:rFonts w:eastAsia="Times New Roman" w:cs="Times New Roman"/>
                      <w:i/>
                      <w:iCs/>
                      <w:color w:val="000000"/>
                      <w:sz w:val="18"/>
                      <w:szCs w:val="18"/>
                      <w:lang w:eastAsia="sk-SK"/>
                    </w:rPr>
                  </w:pPr>
                </w:p>
              </w:tc>
              <w:tc>
                <w:tcPr>
                  <w:tcW w:w="1240" w:type="dxa"/>
                  <w:tcBorders>
                    <w:top w:val="nil"/>
                    <w:left w:val="nil"/>
                    <w:bottom w:val="nil"/>
                    <w:right w:val="nil"/>
                  </w:tcBorders>
                  <w:shd w:val="clear" w:color="000000" w:fill="FFFFFF"/>
                  <w:noWrap/>
                  <w:vAlign w:val="center"/>
                  <w:hideMark/>
                </w:tcPr>
                <w:p w14:paraId="764F228E"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 xml:space="preserve"> </w:t>
                  </w:r>
                </w:p>
              </w:tc>
              <w:tc>
                <w:tcPr>
                  <w:tcW w:w="1160" w:type="dxa"/>
                  <w:tcBorders>
                    <w:top w:val="nil"/>
                    <w:left w:val="nil"/>
                    <w:bottom w:val="nil"/>
                    <w:right w:val="nil"/>
                  </w:tcBorders>
                  <w:shd w:val="clear" w:color="auto" w:fill="auto"/>
                  <w:noWrap/>
                  <w:vAlign w:val="center"/>
                  <w:hideMark/>
                </w:tcPr>
                <w:p w14:paraId="54ED8B89"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p>
              </w:tc>
              <w:tc>
                <w:tcPr>
                  <w:tcW w:w="1160" w:type="dxa"/>
                  <w:tcBorders>
                    <w:top w:val="nil"/>
                    <w:left w:val="nil"/>
                    <w:bottom w:val="nil"/>
                    <w:right w:val="nil"/>
                  </w:tcBorders>
                  <w:shd w:val="clear" w:color="000000" w:fill="FFFFFF"/>
                  <w:noWrap/>
                  <w:vAlign w:val="center"/>
                  <w:hideMark/>
                </w:tcPr>
                <w:p w14:paraId="380EDA9D"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 </w:t>
                  </w:r>
                </w:p>
              </w:tc>
              <w:tc>
                <w:tcPr>
                  <w:tcW w:w="1060" w:type="dxa"/>
                  <w:tcBorders>
                    <w:top w:val="nil"/>
                    <w:left w:val="nil"/>
                    <w:bottom w:val="nil"/>
                    <w:right w:val="nil"/>
                  </w:tcBorders>
                  <w:shd w:val="clear" w:color="auto" w:fill="auto"/>
                  <w:noWrap/>
                  <w:vAlign w:val="center"/>
                  <w:hideMark/>
                </w:tcPr>
                <w:p w14:paraId="2CE59CB1"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p>
              </w:tc>
              <w:tc>
                <w:tcPr>
                  <w:tcW w:w="680" w:type="dxa"/>
                  <w:tcBorders>
                    <w:top w:val="nil"/>
                    <w:left w:val="nil"/>
                    <w:bottom w:val="nil"/>
                    <w:right w:val="nil"/>
                  </w:tcBorders>
                  <w:shd w:val="clear" w:color="auto" w:fill="auto"/>
                  <w:noWrap/>
                  <w:vAlign w:val="center"/>
                  <w:hideMark/>
                </w:tcPr>
                <w:p w14:paraId="7FB8FC1A" w14:textId="77777777" w:rsidR="00B768D9" w:rsidRPr="00D329DA" w:rsidRDefault="00B768D9" w:rsidP="00B1277D">
                  <w:pPr>
                    <w:spacing w:after="0" w:line="240" w:lineRule="auto"/>
                    <w:jc w:val="right"/>
                    <w:rPr>
                      <w:rFonts w:eastAsia="Times New Roman" w:cs="Times New Roman"/>
                      <w:sz w:val="20"/>
                      <w:szCs w:val="20"/>
                      <w:lang w:eastAsia="sk-SK"/>
                    </w:rPr>
                  </w:pPr>
                </w:p>
              </w:tc>
            </w:tr>
            <w:tr w:rsidR="00B768D9" w:rsidRPr="00D329DA" w14:paraId="109274AC" w14:textId="77777777" w:rsidTr="00B768D9">
              <w:trPr>
                <w:trHeight w:val="312"/>
              </w:trPr>
              <w:tc>
                <w:tcPr>
                  <w:tcW w:w="2600" w:type="dxa"/>
                  <w:tcBorders>
                    <w:top w:val="nil"/>
                    <w:left w:val="nil"/>
                    <w:bottom w:val="nil"/>
                    <w:right w:val="nil"/>
                  </w:tcBorders>
                  <w:shd w:val="clear" w:color="auto" w:fill="auto"/>
                  <w:vAlign w:val="center"/>
                  <w:hideMark/>
                </w:tcPr>
                <w:p w14:paraId="50152489" w14:textId="77777777" w:rsidR="00B768D9" w:rsidRPr="00D329DA" w:rsidRDefault="00B768D9" w:rsidP="00B1277D">
                  <w:pPr>
                    <w:spacing w:after="0" w:line="240" w:lineRule="auto"/>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lastRenderedPageBreak/>
                    <w:t>v rámci verejnej správy</w:t>
                  </w:r>
                </w:p>
              </w:tc>
              <w:tc>
                <w:tcPr>
                  <w:tcW w:w="1240" w:type="dxa"/>
                  <w:tcBorders>
                    <w:top w:val="nil"/>
                    <w:left w:val="nil"/>
                    <w:bottom w:val="nil"/>
                    <w:right w:val="nil"/>
                  </w:tcBorders>
                  <w:shd w:val="clear" w:color="auto" w:fill="auto"/>
                  <w:noWrap/>
                  <w:vAlign w:val="center"/>
                  <w:hideMark/>
                </w:tcPr>
                <w:p w14:paraId="56278CFC"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6 415 861</w:t>
                  </w:r>
                </w:p>
              </w:tc>
              <w:tc>
                <w:tcPr>
                  <w:tcW w:w="1240" w:type="dxa"/>
                  <w:tcBorders>
                    <w:top w:val="nil"/>
                    <w:left w:val="nil"/>
                    <w:bottom w:val="nil"/>
                    <w:right w:val="nil"/>
                  </w:tcBorders>
                  <w:shd w:val="clear" w:color="000000" w:fill="FFFFFF"/>
                  <w:noWrap/>
                  <w:vAlign w:val="center"/>
                  <w:hideMark/>
                </w:tcPr>
                <w:p w14:paraId="46588AFE"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6 942 096</w:t>
                  </w:r>
                </w:p>
              </w:tc>
              <w:tc>
                <w:tcPr>
                  <w:tcW w:w="1160" w:type="dxa"/>
                  <w:tcBorders>
                    <w:top w:val="nil"/>
                    <w:left w:val="nil"/>
                    <w:bottom w:val="nil"/>
                    <w:right w:val="nil"/>
                  </w:tcBorders>
                  <w:shd w:val="clear" w:color="auto" w:fill="auto"/>
                  <w:noWrap/>
                  <w:vAlign w:val="center"/>
                  <w:hideMark/>
                </w:tcPr>
                <w:p w14:paraId="4DD91E3F"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6 153 343</w:t>
                  </w:r>
                </w:p>
              </w:tc>
              <w:tc>
                <w:tcPr>
                  <w:tcW w:w="1160" w:type="dxa"/>
                  <w:tcBorders>
                    <w:top w:val="nil"/>
                    <w:left w:val="nil"/>
                    <w:bottom w:val="nil"/>
                    <w:right w:val="nil"/>
                  </w:tcBorders>
                  <w:shd w:val="clear" w:color="000000" w:fill="FFFFFF"/>
                  <w:noWrap/>
                  <w:vAlign w:val="center"/>
                  <w:hideMark/>
                </w:tcPr>
                <w:p w14:paraId="1D6A26EA"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7 726 188</w:t>
                  </w:r>
                </w:p>
              </w:tc>
              <w:tc>
                <w:tcPr>
                  <w:tcW w:w="1060" w:type="dxa"/>
                  <w:tcBorders>
                    <w:top w:val="nil"/>
                    <w:left w:val="nil"/>
                    <w:bottom w:val="nil"/>
                    <w:right w:val="nil"/>
                  </w:tcBorders>
                  <w:shd w:val="clear" w:color="auto" w:fill="auto"/>
                  <w:noWrap/>
                  <w:vAlign w:val="center"/>
                  <w:hideMark/>
                </w:tcPr>
                <w:p w14:paraId="0C639230"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1 572 845</w:t>
                  </w:r>
                </w:p>
              </w:tc>
              <w:tc>
                <w:tcPr>
                  <w:tcW w:w="680" w:type="dxa"/>
                  <w:tcBorders>
                    <w:top w:val="nil"/>
                    <w:left w:val="nil"/>
                    <w:bottom w:val="nil"/>
                    <w:right w:val="nil"/>
                  </w:tcBorders>
                  <w:shd w:val="clear" w:color="auto" w:fill="auto"/>
                  <w:noWrap/>
                  <w:vAlign w:val="center"/>
                  <w:hideMark/>
                </w:tcPr>
                <w:p w14:paraId="62EBF13C"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25,6</w:t>
                  </w:r>
                </w:p>
              </w:tc>
            </w:tr>
            <w:tr w:rsidR="00B768D9" w:rsidRPr="00D329DA" w14:paraId="7658AFAB" w14:textId="77777777" w:rsidTr="00B768D9">
              <w:trPr>
                <w:trHeight w:val="708"/>
              </w:trPr>
              <w:tc>
                <w:tcPr>
                  <w:tcW w:w="2600" w:type="dxa"/>
                  <w:tcBorders>
                    <w:top w:val="nil"/>
                    <w:left w:val="nil"/>
                    <w:bottom w:val="nil"/>
                    <w:right w:val="nil"/>
                  </w:tcBorders>
                  <w:shd w:val="clear" w:color="auto" w:fill="auto"/>
                  <w:vAlign w:val="center"/>
                  <w:hideMark/>
                </w:tcPr>
                <w:p w14:paraId="5D92B736" w14:textId="75C94486" w:rsidR="00B768D9" w:rsidRPr="00D329DA" w:rsidRDefault="00B1277D" w:rsidP="00B1277D">
                  <w:pPr>
                    <w:spacing w:after="0" w:line="240" w:lineRule="auto"/>
                    <w:rPr>
                      <w:rFonts w:eastAsia="Times New Roman" w:cs="Times New Roman"/>
                      <w:i/>
                      <w:iCs/>
                      <w:color w:val="000000"/>
                      <w:sz w:val="18"/>
                      <w:szCs w:val="18"/>
                      <w:lang w:eastAsia="sk-SK"/>
                    </w:rPr>
                  </w:pPr>
                  <w:r>
                    <w:rPr>
                      <w:rFonts w:eastAsia="Times New Roman" w:cs="Times New Roman"/>
                      <w:i/>
                      <w:iCs/>
                      <w:color w:val="000000"/>
                      <w:sz w:val="18"/>
                      <w:szCs w:val="18"/>
                      <w:lang w:eastAsia="sk-SK"/>
                    </w:rPr>
                    <w:t xml:space="preserve">jednotlivcom a </w:t>
                  </w:r>
                  <w:r w:rsidR="00B768D9" w:rsidRPr="00D329DA">
                    <w:rPr>
                      <w:rFonts w:eastAsia="Times New Roman" w:cs="Times New Roman"/>
                      <w:i/>
                      <w:iCs/>
                      <w:color w:val="000000"/>
                      <w:sz w:val="18"/>
                      <w:szCs w:val="18"/>
                      <w:lang w:eastAsia="sk-SK"/>
                    </w:rPr>
                    <w:t>neziskovým právnickým osobám</w:t>
                  </w:r>
                </w:p>
              </w:tc>
              <w:tc>
                <w:tcPr>
                  <w:tcW w:w="1240" w:type="dxa"/>
                  <w:tcBorders>
                    <w:top w:val="nil"/>
                    <w:left w:val="nil"/>
                    <w:bottom w:val="nil"/>
                    <w:right w:val="nil"/>
                  </w:tcBorders>
                  <w:shd w:val="clear" w:color="auto" w:fill="auto"/>
                  <w:noWrap/>
                  <w:vAlign w:val="center"/>
                  <w:hideMark/>
                </w:tcPr>
                <w:p w14:paraId="608B6C74"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7 005 182</w:t>
                  </w:r>
                </w:p>
              </w:tc>
              <w:tc>
                <w:tcPr>
                  <w:tcW w:w="1240" w:type="dxa"/>
                  <w:tcBorders>
                    <w:top w:val="nil"/>
                    <w:left w:val="nil"/>
                    <w:bottom w:val="nil"/>
                    <w:right w:val="nil"/>
                  </w:tcBorders>
                  <w:shd w:val="clear" w:color="000000" w:fill="FFFFFF"/>
                  <w:noWrap/>
                  <w:vAlign w:val="center"/>
                  <w:hideMark/>
                </w:tcPr>
                <w:p w14:paraId="5FCC962D"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5 687 424</w:t>
                  </w:r>
                </w:p>
              </w:tc>
              <w:tc>
                <w:tcPr>
                  <w:tcW w:w="1160" w:type="dxa"/>
                  <w:tcBorders>
                    <w:top w:val="nil"/>
                    <w:left w:val="nil"/>
                    <w:bottom w:val="nil"/>
                    <w:right w:val="nil"/>
                  </w:tcBorders>
                  <w:shd w:val="clear" w:color="auto" w:fill="auto"/>
                  <w:noWrap/>
                  <w:vAlign w:val="center"/>
                  <w:hideMark/>
                </w:tcPr>
                <w:p w14:paraId="46AA15BD"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7 001 559</w:t>
                  </w:r>
                </w:p>
              </w:tc>
              <w:tc>
                <w:tcPr>
                  <w:tcW w:w="1160" w:type="dxa"/>
                  <w:tcBorders>
                    <w:top w:val="nil"/>
                    <w:left w:val="nil"/>
                    <w:bottom w:val="nil"/>
                    <w:right w:val="nil"/>
                  </w:tcBorders>
                  <w:shd w:val="clear" w:color="000000" w:fill="FFFFFF"/>
                  <w:noWrap/>
                  <w:vAlign w:val="center"/>
                  <w:hideMark/>
                </w:tcPr>
                <w:p w14:paraId="0610C1E4" w14:textId="60E8F3AB" w:rsidR="00B768D9" w:rsidRPr="00D329DA" w:rsidRDefault="00B768D9" w:rsidP="006A0B96">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7 105 25</w:t>
                  </w:r>
                  <w:r w:rsidR="006A0B96">
                    <w:rPr>
                      <w:rFonts w:eastAsia="Times New Roman" w:cs="Times New Roman"/>
                      <w:i/>
                      <w:iCs/>
                      <w:color w:val="000000"/>
                      <w:sz w:val="18"/>
                      <w:szCs w:val="18"/>
                      <w:lang w:eastAsia="sk-SK"/>
                    </w:rPr>
                    <w:t>1</w:t>
                  </w:r>
                </w:p>
              </w:tc>
              <w:tc>
                <w:tcPr>
                  <w:tcW w:w="1060" w:type="dxa"/>
                  <w:tcBorders>
                    <w:top w:val="nil"/>
                    <w:left w:val="nil"/>
                    <w:bottom w:val="nil"/>
                    <w:right w:val="nil"/>
                  </w:tcBorders>
                  <w:shd w:val="clear" w:color="auto" w:fill="auto"/>
                  <w:noWrap/>
                  <w:vAlign w:val="center"/>
                  <w:hideMark/>
                </w:tcPr>
                <w:p w14:paraId="4BEAED38"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103 692</w:t>
                  </w:r>
                </w:p>
              </w:tc>
              <w:tc>
                <w:tcPr>
                  <w:tcW w:w="680" w:type="dxa"/>
                  <w:tcBorders>
                    <w:top w:val="nil"/>
                    <w:left w:val="nil"/>
                    <w:bottom w:val="nil"/>
                    <w:right w:val="nil"/>
                  </w:tcBorders>
                  <w:shd w:val="clear" w:color="auto" w:fill="auto"/>
                  <w:noWrap/>
                  <w:vAlign w:val="center"/>
                  <w:hideMark/>
                </w:tcPr>
                <w:p w14:paraId="0E9B4953"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1,5</w:t>
                  </w:r>
                </w:p>
              </w:tc>
            </w:tr>
            <w:tr w:rsidR="00B768D9" w:rsidRPr="00D329DA" w14:paraId="3B2A0AAD" w14:textId="77777777" w:rsidTr="00B768D9">
              <w:trPr>
                <w:trHeight w:val="708"/>
              </w:trPr>
              <w:tc>
                <w:tcPr>
                  <w:tcW w:w="2600" w:type="dxa"/>
                  <w:tcBorders>
                    <w:top w:val="nil"/>
                    <w:left w:val="nil"/>
                    <w:bottom w:val="nil"/>
                    <w:right w:val="nil"/>
                  </w:tcBorders>
                  <w:shd w:val="clear" w:color="auto" w:fill="auto"/>
                  <w:vAlign w:val="center"/>
                  <w:hideMark/>
                </w:tcPr>
                <w:p w14:paraId="43582E01" w14:textId="49F6FB03" w:rsidR="00B768D9" w:rsidRPr="00D329DA" w:rsidRDefault="00BE75DF" w:rsidP="00BE75DF">
                  <w:pPr>
                    <w:spacing w:after="0" w:line="240" w:lineRule="auto"/>
                    <w:rPr>
                      <w:rFonts w:eastAsia="Times New Roman" w:cs="Times New Roman"/>
                      <w:i/>
                      <w:iCs/>
                      <w:color w:val="000000"/>
                      <w:sz w:val="18"/>
                      <w:szCs w:val="18"/>
                      <w:lang w:eastAsia="sk-SK"/>
                    </w:rPr>
                  </w:pPr>
                  <w:r>
                    <w:rPr>
                      <w:rFonts w:eastAsia="Times New Roman" w:cs="Times New Roman"/>
                      <w:i/>
                      <w:iCs/>
                      <w:color w:val="000000"/>
                      <w:sz w:val="18"/>
                      <w:szCs w:val="18"/>
                      <w:lang w:eastAsia="sk-SK"/>
                    </w:rPr>
                    <w:t>Nefinančným sub</w:t>
                  </w:r>
                  <w:r w:rsidR="00B768D9" w:rsidRPr="00D329DA">
                    <w:rPr>
                      <w:rFonts w:eastAsia="Times New Roman" w:cs="Times New Roman"/>
                      <w:i/>
                      <w:iCs/>
                      <w:color w:val="000000"/>
                      <w:sz w:val="18"/>
                      <w:szCs w:val="18"/>
                      <w:lang w:eastAsia="sk-SK"/>
                    </w:rPr>
                    <w:t xml:space="preserve">jektom </w:t>
                  </w:r>
                </w:p>
              </w:tc>
              <w:tc>
                <w:tcPr>
                  <w:tcW w:w="1240" w:type="dxa"/>
                  <w:tcBorders>
                    <w:top w:val="nil"/>
                    <w:left w:val="nil"/>
                    <w:bottom w:val="nil"/>
                    <w:right w:val="nil"/>
                  </w:tcBorders>
                  <w:shd w:val="clear" w:color="auto" w:fill="auto"/>
                  <w:noWrap/>
                  <w:vAlign w:val="center"/>
                  <w:hideMark/>
                </w:tcPr>
                <w:p w14:paraId="28E9B202"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1 344 028</w:t>
                  </w:r>
                </w:p>
              </w:tc>
              <w:tc>
                <w:tcPr>
                  <w:tcW w:w="1240" w:type="dxa"/>
                  <w:tcBorders>
                    <w:top w:val="nil"/>
                    <w:left w:val="nil"/>
                    <w:bottom w:val="nil"/>
                    <w:right w:val="nil"/>
                  </w:tcBorders>
                  <w:shd w:val="clear" w:color="000000" w:fill="FFFFFF"/>
                  <w:noWrap/>
                  <w:vAlign w:val="center"/>
                  <w:hideMark/>
                </w:tcPr>
                <w:p w14:paraId="285EC1CE"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1 147 850</w:t>
                  </w:r>
                </w:p>
              </w:tc>
              <w:tc>
                <w:tcPr>
                  <w:tcW w:w="1160" w:type="dxa"/>
                  <w:tcBorders>
                    <w:top w:val="nil"/>
                    <w:left w:val="nil"/>
                    <w:bottom w:val="nil"/>
                    <w:right w:val="nil"/>
                  </w:tcBorders>
                  <w:shd w:val="clear" w:color="auto" w:fill="auto"/>
                  <w:noWrap/>
                  <w:vAlign w:val="center"/>
                  <w:hideMark/>
                </w:tcPr>
                <w:p w14:paraId="563DD5D3"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1 391 606</w:t>
                  </w:r>
                </w:p>
              </w:tc>
              <w:tc>
                <w:tcPr>
                  <w:tcW w:w="1160" w:type="dxa"/>
                  <w:tcBorders>
                    <w:top w:val="nil"/>
                    <w:left w:val="nil"/>
                    <w:bottom w:val="nil"/>
                    <w:right w:val="nil"/>
                  </w:tcBorders>
                  <w:shd w:val="clear" w:color="000000" w:fill="FFFFFF"/>
                  <w:noWrap/>
                  <w:vAlign w:val="center"/>
                  <w:hideMark/>
                </w:tcPr>
                <w:p w14:paraId="1D40DF43"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4 020 638</w:t>
                  </w:r>
                </w:p>
              </w:tc>
              <w:tc>
                <w:tcPr>
                  <w:tcW w:w="1060" w:type="dxa"/>
                  <w:tcBorders>
                    <w:top w:val="nil"/>
                    <w:left w:val="nil"/>
                    <w:bottom w:val="nil"/>
                    <w:right w:val="nil"/>
                  </w:tcBorders>
                  <w:shd w:val="clear" w:color="auto" w:fill="auto"/>
                  <w:noWrap/>
                  <w:vAlign w:val="center"/>
                  <w:hideMark/>
                </w:tcPr>
                <w:p w14:paraId="5CC1DE7C"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2 629 032</w:t>
                  </w:r>
                </w:p>
              </w:tc>
              <w:tc>
                <w:tcPr>
                  <w:tcW w:w="680" w:type="dxa"/>
                  <w:tcBorders>
                    <w:top w:val="nil"/>
                    <w:left w:val="nil"/>
                    <w:bottom w:val="nil"/>
                    <w:right w:val="nil"/>
                  </w:tcBorders>
                  <w:shd w:val="clear" w:color="auto" w:fill="auto"/>
                  <w:noWrap/>
                  <w:vAlign w:val="center"/>
                  <w:hideMark/>
                </w:tcPr>
                <w:p w14:paraId="14813063"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188,9</w:t>
                  </w:r>
                </w:p>
              </w:tc>
            </w:tr>
            <w:tr w:rsidR="00B768D9" w:rsidRPr="00D329DA" w14:paraId="58A771FD" w14:textId="77777777" w:rsidTr="00B768D9">
              <w:trPr>
                <w:trHeight w:val="465"/>
              </w:trPr>
              <w:tc>
                <w:tcPr>
                  <w:tcW w:w="2600" w:type="dxa"/>
                  <w:tcBorders>
                    <w:top w:val="nil"/>
                    <w:left w:val="nil"/>
                    <w:bottom w:val="nil"/>
                    <w:right w:val="nil"/>
                  </w:tcBorders>
                  <w:shd w:val="clear" w:color="auto" w:fill="auto"/>
                  <w:vAlign w:val="center"/>
                  <w:hideMark/>
                </w:tcPr>
                <w:p w14:paraId="56E857FA" w14:textId="77777777" w:rsidR="00B768D9" w:rsidRPr="00D329DA" w:rsidRDefault="00B768D9" w:rsidP="00B1277D">
                  <w:pPr>
                    <w:spacing w:after="0" w:line="240" w:lineRule="auto"/>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do tuzemských finančných inštitúcií</w:t>
                  </w:r>
                </w:p>
              </w:tc>
              <w:tc>
                <w:tcPr>
                  <w:tcW w:w="1240" w:type="dxa"/>
                  <w:tcBorders>
                    <w:top w:val="nil"/>
                    <w:left w:val="nil"/>
                    <w:bottom w:val="nil"/>
                    <w:right w:val="nil"/>
                  </w:tcBorders>
                  <w:shd w:val="clear" w:color="auto" w:fill="auto"/>
                  <w:noWrap/>
                  <w:vAlign w:val="center"/>
                  <w:hideMark/>
                </w:tcPr>
                <w:p w14:paraId="2A83F673"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3 434</w:t>
                  </w:r>
                </w:p>
              </w:tc>
              <w:tc>
                <w:tcPr>
                  <w:tcW w:w="1240" w:type="dxa"/>
                  <w:tcBorders>
                    <w:top w:val="nil"/>
                    <w:left w:val="nil"/>
                    <w:bottom w:val="nil"/>
                    <w:right w:val="nil"/>
                  </w:tcBorders>
                  <w:shd w:val="clear" w:color="000000" w:fill="FFFFFF"/>
                  <w:noWrap/>
                  <w:vAlign w:val="center"/>
                  <w:hideMark/>
                </w:tcPr>
                <w:p w14:paraId="23927172"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16 474</w:t>
                  </w:r>
                </w:p>
              </w:tc>
              <w:tc>
                <w:tcPr>
                  <w:tcW w:w="1160" w:type="dxa"/>
                  <w:tcBorders>
                    <w:top w:val="nil"/>
                    <w:left w:val="nil"/>
                    <w:bottom w:val="nil"/>
                    <w:right w:val="nil"/>
                  </w:tcBorders>
                  <w:shd w:val="clear" w:color="auto" w:fill="auto"/>
                  <w:noWrap/>
                  <w:vAlign w:val="center"/>
                  <w:hideMark/>
                </w:tcPr>
                <w:p w14:paraId="4416E9D2"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7 413</w:t>
                  </w:r>
                </w:p>
              </w:tc>
              <w:tc>
                <w:tcPr>
                  <w:tcW w:w="1160" w:type="dxa"/>
                  <w:tcBorders>
                    <w:top w:val="nil"/>
                    <w:left w:val="nil"/>
                    <w:bottom w:val="nil"/>
                    <w:right w:val="nil"/>
                  </w:tcBorders>
                  <w:shd w:val="clear" w:color="000000" w:fill="FFFFFF"/>
                  <w:noWrap/>
                  <w:vAlign w:val="center"/>
                  <w:hideMark/>
                </w:tcPr>
                <w:p w14:paraId="3E14FB1A"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122 161</w:t>
                  </w:r>
                </w:p>
              </w:tc>
              <w:tc>
                <w:tcPr>
                  <w:tcW w:w="1060" w:type="dxa"/>
                  <w:tcBorders>
                    <w:top w:val="nil"/>
                    <w:left w:val="nil"/>
                    <w:bottom w:val="nil"/>
                    <w:right w:val="nil"/>
                  </w:tcBorders>
                  <w:shd w:val="clear" w:color="auto" w:fill="auto"/>
                  <w:noWrap/>
                  <w:vAlign w:val="center"/>
                  <w:hideMark/>
                </w:tcPr>
                <w:p w14:paraId="45F1D7CE"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114 748</w:t>
                  </w:r>
                </w:p>
              </w:tc>
              <w:tc>
                <w:tcPr>
                  <w:tcW w:w="680" w:type="dxa"/>
                  <w:tcBorders>
                    <w:top w:val="nil"/>
                    <w:left w:val="nil"/>
                    <w:bottom w:val="nil"/>
                    <w:right w:val="nil"/>
                  </w:tcBorders>
                  <w:shd w:val="clear" w:color="auto" w:fill="auto"/>
                  <w:noWrap/>
                  <w:vAlign w:val="center"/>
                  <w:hideMark/>
                </w:tcPr>
                <w:p w14:paraId="69F0DEFD"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1547,9</w:t>
                  </w:r>
                </w:p>
              </w:tc>
            </w:tr>
            <w:tr w:rsidR="00B768D9" w:rsidRPr="00D329DA" w14:paraId="6F855423" w14:textId="77777777" w:rsidTr="00B768D9">
              <w:trPr>
                <w:trHeight w:val="300"/>
              </w:trPr>
              <w:tc>
                <w:tcPr>
                  <w:tcW w:w="2600" w:type="dxa"/>
                  <w:tcBorders>
                    <w:top w:val="nil"/>
                    <w:left w:val="nil"/>
                    <w:bottom w:val="nil"/>
                    <w:right w:val="nil"/>
                  </w:tcBorders>
                  <w:shd w:val="clear" w:color="auto" w:fill="auto"/>
                  <w:vAlign w:val="center"/>
                  <w:hideMark/>
                </w:tcPr>
                <w:p w14:paraId="2ACCEE33" w14:textId="77777777" w:rsidR="00B768D9" w:rsidRPr="00D329DA" w:rsidRDefault="00B768D9" w:rsidP="00B1277D">
                  <w:pPr>
                    <w:spacing w:after="0" w:line="240" w:lineRule="auto"/>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do zahraničia</w:t>
                  </w:r>
                </w:p>
              </w:tc>
              <w:tc>
                <w:tcPr>
                  <w:tcW w:w="1240" w:type="dxa"/>
                  <w:tcBorders>
                    <w:top w:val="nil"/>
                    <w:left w:val="nil"/>
                    <w:bottom w:val="nil"/>
                    <w:right w:val="nil"/>
                  </w:tcBorders>
                  <w:shd w:val="clear" w:color="auto" w:fill="auto"/>
                  <w:noWrap/>
                  <w:vAlign w:val="center"/>
                  <w:hideMark/>
                </w:tcPr>
                <w:p w14:paraId="12DAD49A"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1 066 518</w:t>
                  </w:r>
                </w:p>
              </w:tc>
              <w:tc>
                <w:tcPr>
                  <w:tcW w:w="1240" w:type="dxa"/>
                  <w:tcBorders>
                    <w:top w:val="nil"/>
                    <w:left w:val="nil"/>
                    <w:bottom w:val="nil"/>
                    <w:right w:val="nil"/>
                  </w:tcBorders>
                  <w:shd w:val="clear" w:color="000000" w:fill="FFFFFF"/>
                  <w:noWrap/>
                  <w:vAlign w:val="center"/>
                  <w:hideMark/>
                </w:tcPr>
                <w:p w14:paraId="701AC2A7"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1 028 943</w:t>
                  </w:r>
                </w:p>
              </w:tc>
              <w:tc>
                <w:tcPr>
                  <w:tcW w:w="1160" w:type="dxa"/>
                  <w:tcBorders>
                    <w:top w:val="nil"/>
                    <w:left w:val="nil"/>
                    <w:bottom w:val="nil"/>
                    <w:right w:val="nil"/>
                  </w:tcBorders>
                  <w:shd w:val="clear" w:color="auto" w:fill="auto"/>
                  <w:noWrap/>
                  <w:vAlign w:val="center"/>
                  <w:hideMark/>
                </w:tcPr>
                <w:p w14:paraId="4DAA6F09"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1 142 835</w:t>
                  </w:r>
                </w:p>
              </w:tc>
              <w:tc>
                <w:tcPr>
                  <w:tcW w:w="1160" w:type="dxa"/>
                  <w:tcBorders>
                    <w:top w:val="nil"/>
                    <w:left w:val="nil"/>
                    <w:bottom w:val="nil"/>
                    <w:right w:val="nil"/>
                  </w:tcBorders>
                  <w:shd w:val="clear" w:color="000000" w:fill="FFFFFF"/>
                  <w:noWrap/>
                  <w:vAlign w:val="center"/>
                  <w:hideMark/>
                </w:tcPr>
                <w:p w14:paraId="1E729B8A" w14:textId="77777777" w:rsidR="00B768D9" w:rsidRPr="00D329DA" w:rsidRDefault="00B768D9" w:rsidP="00B1277D">
                  <w:pPr>
                    <w:spacing w:after="0" w:line="240" w:lineRule="auto"/>
                    <w:jc w:val="right"/>
                    <w:rPr>
                      <w:rFonts w:eastAsia="Times New Roman" w:cs="Times New Roman"/>
                      <w:i/>
                      <w:iCs/>
                      <w:color w:val="000000"/>
                      <w:sz w:val="18"/>
                      <w:szCs w:val="18"/>
                      <w:lang w:eastAsia="sk-SK"/>
                    </w:rPr>
                  </w:pPr>
                  <w:r w:rsidRPr="00D329DA">
                    <w:rPr>
                      <w:rFonts w:eastAsia="Times New Roman" w:cs="Times New Roman"/>
                      <w:i/>
                      <w:iCs/>
                      <w:color w:val="000000"/>
                      <w:sz w:val="18"/>
                      <w:szCs w:val="18"/>
                      <w:lang w:eastAsia="sk-SK"/>
                    </w:rPr>
                    <w:t>1 071 926</w:t>
                  </w:r>
                </w:p>
              </w:tc>
              <w:tc>
                <w:tcPr>
                  <w:tcW w:w="1060" w:type="dxa"/>
                  <w:tcBorders>
                    <w:top w:val="nil"/>
                    <w:left w:val="nil"/>
                    <w:bottom w:val="nil"/>
                    <w:right w:val="nil"/>
                  </w:tcBorders>
                  <w:shd w:val="clear" w:color="auto" w:fill="auto"/>
                  <w:noWrap/>
                  <w:vAlign w:val="center"/>
                  <w:hideMark/>
                </w:tcPr>
                <w:p w14:paraId="2DC5CCDC"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-70 909</w:t>
                  </w:r>
                </w:p>
              </w:tc>
              <w:tc>
                <w:tcPr>
                  <w:tcW w:w="680" w:type="dxa"/>
                  <w:tcBorders>
                    <w:top w:val="nil"/>
                    <w:left w:val="nil"/>
                    <w:bottom w:val="nil"/>
                    <w:right w:val="nil"/>
                  </w:tcBorders>
                  <w:shd w:val="clear" w:color="auto" w:fill="auto"/>
                  <w:noWrap/>
                  <w:vAlign w:val="center"/>
                  <w:hideMark/>
                </w:tcPr>
                <w:p w14:paraId="1850D197"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-6,2</w:t>
                  </w:r>
                </w:p>
              </w:tc>
            </w:tr>
            <w:tr w:rsidR="00B768D9" w:rsidRPr="00D329DA" w14:paraId="5FB28229" w14:textId="77777777" w:rsidTr="00B768D9">
              <w:trPr>
                <w:trHeight w:val="480"/>
              </w:trPr>
              <w:tc>
                <w:tcPr>
                  <w:tcW w:w="2600" w:type="dxa"/>
                  <w:tcBorders>
                    <w:top w:val="nil"/>
                    <w:left w:val="nil"/>
                    <w:bottom w:val="nil"/>
                    <w:right w:val="nil"/>
                  </w:tcBorders>
                  <w:shd w:val="clear" w:color="auto" w:fill="auto"/>
                  <w:vAlign w:val="center"/>
                  <w:hideMark/>
                </w:tcPr>
                <w:p w14:paraId="68F9AB16" w14:textId="77777777" w:rsidR="00B768D9" w:rsidRPr="00D329DA" w:rsidRDefault="00B768D9" w:rsidP="00B1277D">
                  <w:pPr>
                    <w:spacing w:after="0" w:line="240" w:lineRule="auto"/>
                    <w:rPr>
                      <w:rFonts w:eastAsia="Times New Roman" w:cs="Times New Roman"/>
                      <w:color w:val="000000"/>
                      <w:sz w:val="18"/>
                      <w:szCs w:val="18"/>
                      <w:lang w:eastAsia="sk-SK"/>
                    </w:rPr>
                  </w:pPr>
                  <w:r w:rsidRPr="00D329DA">
                    <w:rPr>
                      <w:rFonts w:eastAsia="Times New Roman" w:cs="Times New Roman"/>
                      <w:color w:val="000000"/>
                      <w:sz w:val="18"/>
                      <w:szCs w:val="18"/>
                      <w:lang w:eastAsia="sk-SK"/>
                    </w:rPr>
                    <w:t>Splácanie úrokov a platby súvisiace s úverom</w:t>
                  </w:r>
                </w:p>
              </w:tc>
              <w:tc>
                <w:tcPr>
                  <w:tcW w:w="1240" w:type="dxa"/>
                  <w:tcBorders>
                    <w:top w:val="nil"/>
                    <w:left w:val="nil"/>
                    <w:bottom w:val="nil"/>
                    <w:right w:val="nil"/>
                  </w:tcBorders>
                  <w:shd w:val="clear" w:color="auto" w:fill="auto"/>
                  <w:noWrap/>
                  <w:vAlign w:val="center"/>
                  <w:hideMark/>
                </w:tcPr>
                <w:p w14:paraId="4D256C3E"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270</w:t>
                  </w:r>
                </w:p>
              </w:tc>
              <w:tc>
                <w:tcPr>
                  <w:tcW w:w="1240" w:type="dxa"/>
                  <w:tcBorders>
                    <w:top w:val="nil"/>
                    <w:left w:val="nil"/>
                    <w:bottom w:val="nil"/>
                    <w:right w:val="nil"/>
                  </w:tcBorders>
                  <w:shd w:val="clear" w:color="000000" w:fill="FFFFFF"/>
                  <w:noWrap/>
                  <w:vAlign w:val="center"/>
                  <w:hideMark/>
                </w:tcPr>
                <w:p w14:paraId="2FB66D07"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270</w:t>
                  </w:r>
                </w:p>
              </w:tc>
              <w:tc>
                <w:tcPr>
                  <w:tcW w:w="1160" w:type="dxa"/>
                  <w:tcBorders>
                    <w:top w:val="nil"/>
                    <w:left w:val="nil"/>
                    <w:bottom w:val="nil"/>
                    <w:right w:val="nil"/>
                  </w:tcBorders>
                  <w:shd w:val="clear" w:color="auto" w:fill="auto"/>
                  <w:noWrap/>
                  <w:vAlign w:val="center"/>
                  <w:hideMark/>
                </w:tcPr>
                <w:p w14:paraId="04816B9B"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270</w:t>
                  </w:r>
                </w:p>
              </w:tc>
              <w:tc>
                <w:tcPr>
                  <w:tcW w:w="1160" w:type="dxa"/>
                  <w:tcBorders>
                    <w:top w:val="nil"/>
                    <w:left w:val="nil"/>
                    <w:bottom w:val="nil"/>
                    <w:right w:val="nil"/>
                  </w:tcBorders>
                  <w:shd w:val="clear" w:color="000000" w:fill="FFFFFF"/>
                  <w:noWrap/>
                  <w:vAlign w:val="center"/>
                  <w:hideMark/>
                </w:tcPr>
                <w:p w14:paraId="7409C66A"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258</w:t>
                  </w:r>
                </w:p>
              </w:tc>
              <w:tc>
                <w:tcPr>
                  <w:tcW w:w="1060" w:type="dxa"/>
                  <w:tcBorders>
                    <w:top w:val="nil"/>
                    <w:left w:val="nil"/>
                    <w:bottom w:val="nil"/>
                    <w:right w:val="nil"/>
                  </w:tcBorders>
                  <w:shd w:val="clear" w:color="auto" w:fill="auto"/>
                  <w:noWrap/>
                  <w:vAlign w:val="center"/>
                  <w:hideMark/>
                </w:tcPr>
                <w:p w14:paraId="360DB7AF"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-12</w:t>
                  </w:r>
                </w:p>
              </w:tc>
              <w:tc>
                <w:tcPr>
                  <w:tcW w:w="680" w:type="dxa"/>
                  <w:tcBorders>
                    <w:top w:val="nil"/>
                    <w:left w:val="nil"/>
                    <w:bottom w:val="nil"/>
                    <w:right w:val="nil"/>
                  </w:tcBorders>
                  <w:shd w:val="clear" w:color="auto" w:fill="auto"/>
                  <w:noWrap/>
                  <w:vAlign w:val="center"/>
                  <w:hideMark/>
                </w:tcPr>
                <w:p w14:paraId="474C930F" w14:textId="77777777" w:rsidR="00B768D9" w:rsidRPr="00D329DA" w:rsidRDefault="00B768D9" w:rsidP="00B1277D">
                  <w:pPr>
                    <w:spacing w:after="0" w:line="240" w:lineRule="auto"/>
                    <w:jc w:val="right"/>
                    <w:rPr>
                      <w:rFonts w:eastAsia="Times New Roman" w:cs="Times New Roman"/>
                      <w:color w:val="000000"/>
                      <w:sz w:val="18"/>
                      <w:szCs w:val="18"/>
                      <w:lang w:eastAsia="sk-SK"/>
                    </w:rPr>
                  </w:pPr>
                  <w:r w:rsidRPr="00D329DA">
                    <w:rPr>
                      <w:rFonts w:eastAsia="Times New Roman" w:cs="Times New Roman"/>
                      <w:color w:val="000000"/>
                      <w:sz w:val="18"/>
                      <w:szCs w:val="18"/>
                      <w:lang w:eastAsia="sk-SK"/>
                    </w:rPr>
                    <w:t>-4,4</w:t>
                  </w:r>
                </w:p>
              </w:tc>
            </w:tr>
            <w:tr w:rsidR="00B768D9" w:rsidRPr="00D329DA" w14:paraId="2A5853E9" w14:textId="77777777" w:rsidTr="00B768D9">
              <w:trPr>
                <w:trHeight w:val="276"/>
              </w:trPr>
              <w:tc>
                <w:tcPr>
                  <w:tcW w:w="2600" w:type="dxa"/>
                  <w:tcBorders>
                    <w:top w:val="single" w:sz="4" w:space="0" w:color="auto"/>
                    <w:left w:val="nil"/>
                    <w:bottom w:val="single" w:sz="4" w:space="0" w:color="auto"/>
                    <w:right w:val="nil"/>
                  </w:tcBorders>
                  <w:shd w:val="clear" w:color="auto" w:fill="auto"/>
                  <w:vAlign w:val="center"/>
                  <w:hideMark/>
                </w:tcPr>
                <w:p w14:paraId="5E384552" w14:textId="77777777" w:rsidR="00B768D9" w:rsidRPr="00D329DA" w:rsidRDefault="00B768D9" w:rsidP="00B1277D">
                  <w:pPr>
                    <w:spacing w:after="0" w:line="240" w:lineRule="auto"/>
                    <w:rPr>
                      <w:rFonts w:eastAsia="Times New Roman" w:cs="Times New Roman"/>
                      <w:b/>
                      <w:bCs/>
                      <w:color w:val="000000"/>
                      <w:sz w:val="18"/>
                      <w:szCs w:val="18"/>
                      <w:lang w:eastAsia="sk-SK"/>
                    </w:rPr>
                  </w:pPr>
                  <w:r w:rsidRPr="00D329DA">
                    <w:rPr>
                      <w:rFonts w:eastAsia="Times New Roman" w:cs="Times New Roman"/>
                      <w:b/>
                      <w:bCs/>
                      <w:color w:val="000000"/>
                      <w:sz w:val="18"/>
                      <w:szCs w:val="18"/>
                      <w:lang w:eastAsia="sk-SK"/>
                    </w:rPr>
                    <w:t>Spolu</w:t>
                  </w:r>
                </w:p>
              </w:tc>
              <w:tc>
                <w:tcPr>
                  <w:tcW w:w="1240" w:type="dxa"/>
                  <w:tcBorders>
                    <w:top w:val="single" w:sz="4" w:space="0" w:color="auto"/>
                    <w:left w:val="nil"/>
                    <w:bottom w:val="single" w:sz="4" w:space="0" w:color="auto"/>
                    <w:right w:val="nil"/>
                  </w:tcBorders>
                  <w:shd w:val="clear" w:color="auto" w:fill="auto"/>
                  <w:noWrap/>
                  <w:vAlign w:val="center"/>
                  <w:hideMark/>
                </w:tcPr>
                <w:p w14:paraId="2FC8403E" w14:textId="77777777" w:rsidR="00B768D9" w:rsidRPr="00D329DA" w:rsidRDefault="00B768D9" w:rsidP="00B1277D">
                  <w:pPr>
                    <w:spacing w:after="0" w:line="240" w:lineRule="auto"/>
                    <w:jc w:val="right"/>
                    <w:rPr>
                      <w:rFonts w:eastAsia="Times New Roman" w:cs="Times New Roman"/>
                      <w:b/>
                      <w:bCs/>
                      <w:color w:val="000000"/>
                      <w:sz w:val="18"/>
                      <w:szCs w:val="18"/>
                      <w:lang w:eastAsia="sk-SK"/>
                    </w:rPr>
                  </w:pPr>
                  <w:r w:rsidRPr="00D329DA">
                    <w:rPr>
                      <w:rFonts w:eastAsia="Times New Roman" w:cs="Times New Roman"/>
                      <w:b/>
                      <w:bCs/>
                      <w:color w:val="000000"/>
                      <w:sz w:val="18"/>
                      <w:szCs w:val="18"/>
                      <w:lang w:eastAsia="sk-SK"/>
                    </w:rPr>
                    <w:t>21 771 263</w:t>
                  </w:r>
                </w:p>
              </w:tc>
              <w:tc>
                <w:tcPr>
                  <w:tcW w:w="1240" w:type="dxa"/>
                  <w:tcBorders>
                    <w:top w:val="single" w:sz="4" w:space="0" w:color="auto"/>
                    <w:left w:val="nil"/>
                    <w:bottom w:val="single" w:sz="4" w:space="0" w:color="auto"/>
                    <w:right w:val="nil"/>
                  </w:tcBorders>
                  <w:shd w:val="clear" w:color="000000" w:fill="FFFFFF"/>
                  <w:noWrap/>
                  <w:vAlign w:val="center"/>
                  <w:hideMark/>
                </w:tcPr>
                <w:p w14:paraId="3055621E" w14:textId="77777777" w:rsidR="00B768D9" w:rsidRPr="00D329DA" w:rsidRDefault="00B768D9" w:rsidP="00B1277D">
                  <w:pPr>
                    <w:spacing w:after="0" w:line="240" w:lineRule="auto"/>
                    <w:jc w:val="right"/>
                    <w:rPr>
                      <w:rFonts w:eastAsia="Times New Roman" w:cs="Times New Roman"/>
                      <w:b/>
                      <w:bCs/>
                      <w:color w:val="000000"/>
                      <w:sz w:val="18"/>
                      <w:szCs w:val="18"/>
                      <w:lang w:eastAsia="sk-SK"/>
                    </w:rPr>
                  </w:pPr>
                  <w:r w:rsidRPr="00D329DA">
                    <w:rPr>
                      <w:rFonts w:eastAsia="Times New Roman" w:cs="Times New Roman"/>
                      <w:b/>
                      <w:bCs/>
                      <w:color w:val="000000"/>
                      <w:sz w:val="18"/>
                      <w:szCs w:val="18"/>
                      <w:lang w:eastAsia="sk-SK"/>
                    </w:rPr>
                    <w:t>20 847 550</w:t>
                  </w:r>
                </w:p>
              </w:tc>
              <w:tc>
                <w:tcPr>
                  <w:tcW w:w="1160" w:type="dxa"/>
                  <w:tcBorders>
                    <w:top w:val="single" w:sz="4" w:space="0" w:color="auto"/>
                    <w:left w:val="nil"/>
                    <w:bottom w:val="single" w:sz="4" w:space="0" w:color="auto"/>
                    <w:right w:val="nil"/>
                  </w:tcBorders>
                  <w:shd w:val="clear" w:color="auto" w:fill="auto"/>
                  <w:noWrap/>
                  <w:vAlign w:val="center"/>
                  <w:hideMark/>
                </w:tcPr>
                <w:p w14:paraId="56A1D956" w14:textId="46B06212" w:rsidR="00B768D9" w:rsidRPr="00D329DA" w:rsidRDefault="00B768D9" w:rsidP="0029337E">
                  <w:pPr>
                    <w:spacing w:after="0" w:line="240" w:lineRule="auto"/>
                    <w:jc w:val="right"/>
                    <w:rPr>
                      <w:rFonts w:eastAsia="Times New Roman" w:cs="Times New Roman"/>
                      <w:b/>
                      <w:bCs/>
                      <w:color w:val="000000"/>
                      <w:sz w:val="18"/>
                      <w:szCs w:val="18"/>
                      <w:lang w:eastAsia="sk-SK"/>
                    </w:rPr>
                  </w:pPr>
                  <w:r w:rsidRPr="00D329DA">
                    <w:rPr>
                      <w:rFonts w:eastAsia="Times New Roman" w:cs="Times New Roman"/>
                      <w:b/>
                      <w:bCs/>
                      <w:color w:val="000000"/>
                      <w:sz w:val="18"/>
                      <w:szCs w:val="18"/>
                      <w:lang w:eastAsia="sk-SK"/>
                    </w:rPr>
                    <w:t>29 094 46</w:t>
                  </w:r>
                  <w:r w:rsidR="0029337E">
                    <w:rPr>
                      <w:rFonts w:eastAsia="Times New Roman" w:cs="Times New Roman"/>
                      <w:b/>
                      <w:bCs/>
                      <w:color w:val="000000"/>
                      <w:sz w:val="18"/>
                      <w:szCs w:val="18"/>
                      <w:lang w:eastAsia="sk-SK"/>
                    </w:rPr>
                    <w:t>1</w:t>
                  </w:r>
                </w:p>
              </w:tc>
              <w:tc>
                <w:tcPr>
                  <w:tcW w:w="1160" w:type="dxa"/>
                  <w:tcBorders>
                    <w:top w:val="single" w:sz="4" w:space="0" w:color="auto"/>
                    <w:left w:val="nil"/>
                    <w:bottom w:val="single" w:sz="4" w:space="0" w:color="auto"/>
                    <w:right w:val="nil"/>
                  </w:tcBorders>
                  <w:shd w:val="clear" w:color="auto" w:fill="auto"/>
                  <w:noWrap/>
                  <w:vAlign w:val="center"/>
                  <w:hideMark/>
                </w:tcPr>
                <w:p w14:paraId="1A1B9A2D" w14:textId="77777777" w:rsidR="00B768D9" w:rsidRPr="00D329DA" w:rsidRDefault="00B768D9" w:rsidP="00B1277D">
                  <w:pPr>
                    <w:spacing w:after="0" w:line="240" w:lineRule="auto"/>
                    <w:jc w:val="right"/>
                    <w:rPr>
                      <w:rFonts w:eastAsia="Times New Roman" w:cs="Times New Roman"/>
                      <w:b/>
                      <w:bCs/>
                      <w:color w:val="000000"/>
                      <w:sz w:val="18"/>
                      <w:szCs w:val="18"/>
                      <w:lang w:eastAsia="sk-SK"/>
                    </w:rPr>
                  </w:pPr>
                  <w:r w:rsidRPr="00D329DA">
                    <w:rPr>
                      <w:rFonts w:eastAsia="Times New Roman" w:cs="Times New Roman"/>
                      <w:b/>
                      <w:bCs/>
                      <w:color w:val="000000"/>
                      <w:sz w:val="18"/>
                      <w:szCs w:val="18"/>
                      <w:lang w:eastAsia="sk-SK"/>
                    </w:rPr>
                    <w:t>26 649 82</w:t>
                  </w:r>
                  <w:r>
                    <w:rPr>
                      <w:rFonts w:eastAsia="Times New Roman" w:cs="Times New Roman"/>
                      <w:b/>
                      <w:bCs/>
                      <w:color w:val="000000"/>
                      <w:sz w:val="18"/>
                      <w:szCs w:val="18"/>
                      <w:lang w:eastAsia="sk-SK"/>
                    </w:rPr>
                    <w:t>8</w:t>
                  </w:r>
                </w:p>
              </w:tc>
              <w:tc>
                <w:tcPr>
                  <w:tcW w:w="1060" w:type="dxa"/>
                  <w:tcBorders>
                    <w:top w:val="single" w:sz="4" w:space="0" w:color="auto"/>
                    <w:left w:val="nil"/>
                    <w:bottom w:val="single" w:sz="4" w:space="0" w:color="auto"/>
                    <w:right w:val="nil"/>
                  </w:tcBorders>
                  <w:shd w:val="clear" w:color="auto" w:fill="auto"/>
                  <w:noWrap/>
                  <w:vAlign w:val="center"/>
                  <w:hideMark/>
                </w:tcPr>
                <w:p w14:paraId="2FF67356" w14:textId="4BA5611A" w:rsidR="00B768D9" w:rsidRPr="00D329DA" w:rsidRDefault="00B768D9" w:rsidP="003B7DD8">
                  <w:pPr>
                    <w:spacing w:after="0" w:line="240" w:lineRule="auto"/>
                    <w:jc w:val="right"/>
                    <w:rPr>
                      <w:rFonts w:eastAsia="Times New Roman" w:cs="Times New Roman"/>
                      <w:b/>
                      <w:bCs/>
                      <w:color w:val="000000"/>
                      <w:sz w:val="18"/>
                      <w:szCs w:val="18"/>
                      <w:lang w:eastAsia="sk-SK"/>
                    </w:rPr>
                  </w:pPr>
                  <w:r w:rsidRPr="00D329DA">
                    <w:rPr>
                      <w:rFonts w:eastAsia="Times New Roman" w:cs="Times New Roman"/>
                      <w:b/>
                      <w:bCs/>
                      <w:color w:val="000000"/>
                      <w:sz w:val="18"/>
                      <w:szCs w:val="18"/>
                      <w:lang w:eastAsia="sk-SK"/>
                    </w:rPr>
                    <w:t>-2 444 63</w:t>
                  </w:r>
                  <w:r w:rsidR="003B7DD8">
                    <w:rPr>
                      <w:rFonts w:eastAsia="Times New Roman" w:cs="Times New Roman"/>
                      <w:b/>
                      <w:bCs/>
                      <w:color w:val="000000"/>
                      <w:sz w:val="18"/>
                      <w:szCs w:val="18"/>
                      <w:lang w:eastAsia="sk-SK"/>
                    </w:rPr>
                    <w:t>3</w:t>
                  </w:r>
                </w:p>
              </w:tc>
              <w:tc>
                <w:tcPr>
                  <w:tcW w:w="680" w:type="dxa"/>
                  <w:tcBorders>
                    <w:top w:val="single" w:sz="4" w:space="0" w:color="auto"/>
                    <w:left w:val="nil"/>
                    <w:bottom w:val="single" w:sz="4" w:space="0" w:color="auto"/>
                    <w:right w:val="nil"/>
                  </w:tcBorders>
                  <w:shd w:val="clear" w:color="auto" w:fill="auto"/>
                  <w:noWrap/>
                  <w:vAlign w:val="center"/>
                  <w:hideMark/>
                </w:tcPr>
                <w:p w14:paraId="1CB36C8E" w14:textId="77777777" w:rsidR="00B768D9" w:rsidRPr="00D329DA" w:rsidRDefault="00B768D9" w:rsidP="00B1277D">
                  <w:pPr>
                    <w:spacing w:after="0" w:line="240" w:lineRule="auto"/>
                    <w:jc w:val="right"/>
                    <w:rPr>
                      <w:rFonts w:eastAsia="Times New Roman" w:cs="Times New Roman"/>
                      <w:b/>
                      <w:bCs/>
                      <w:color w:val="000000"/>
                      <w:sz w:val="18"/>
                      <w:szCs w:val="18"/>
                      <w:lang w:eastAsia="sk-SK"/>
                    </w:rPr>
                  </w:pPr>
                  <w:r w:rsidRPr="00D329DA">
                    <w:rPr>
                      <w:rFonts w:eastAsia="Times New Roman" w:cs="Times New Roman"/>
                      <w:b/>
                      <w:bCs/>
                      <w:color w:val="000000"/>
                      <w:sz w:val="18"/>
                      <w:szCs w:val="18"/>
                      <w:lang w:eastAsia="sk-SK"/>
                    </w:rPr>
                    <w:t>-8,4</w:t>
                  </w:r>
                </w:p>
              </w:tc>
            </w:tr>
          </w:tbl>
          <w:p w14:paraId="1997E0B2" w14:textId="77777777" w:rsidR="00B768D9" w:rsidRPr="00D329DA" w:rsidRDefault="00B768D9" w:rsidP="00B768D9">
            <w:pPr>
              <w:spacing w:after="0" w:line="240" w:lineRule="auto"/>
              <w:rPr>
                <w:rFonts w:eastAsia="Times New Roman" w:cs="Times New Roman"/>
                <w:b/>
                <w:bCs/>
                <w:color w:val="5B9BD5" w:themeColor="accent1"/>
                <w:sz w:val="20"/>
                <w:szCs w:val="20"/>
                <w:lang w:eastAsia="sk-SK"/>
              </w:rPr>
            </w:pPr>
          </w:p>
        </w:tc>
      </w:tr>
    </w:tbl>
    <w:p w14:paraId="2CDF6CFB" w14:textId="04E60311" w:rsidR="00B768D9" w:rsidRPr="00AA5F68" w:rsidRDefault="00AA5F68" w:rsidP="00AA5F68">
      <w:pPr>
        <w:rPr>
          <w:rFonts w:eastAsia="Calibri"/>
        </w:rPr>
      </w:pPr>
      <w:r>
        <w:rPr>
          <w:rFonts w:eastAsia="Times New Roman"/>
          <w:sz w:val="18"/>
          <w:szCs w:val="18"/>
          <w:lang w:eastAsia="sk-SK"/>
        </w:rPr>
        <w:lastRenderedPageBreak/>
        <w:t>Údaje sú uvedené vrátane prostriedkov Plánu obnovy a odolnosti</w:t>
      </w:r>
      <w:r>
        <w:rPr>
          <w:rFonts w:eastAsia="Times New Roman"/>
          <w:sz w:val="18"/>
          <w:szCs w:val="18"/>
          <w:lang w:eastAsia="sk-SK"/>
        </w:rPr>
        <w:tab/>
      </w:r>
      <w:r>
        <w:rPr>
          <w:rFonts w:eastAsia="Times New Roman"/>
          <w:sz w:val="18"/>
          <w:szCs w:val="18"/>
          <w:lang w:eastAsia="sk-SK"/>
        </w:rPr>
        <w:tab/>
      </w:r>
      <w:r>
        <w:rPr>
          <w:rFonts w:eastAsia="Times New Roman"/>
          <w:sz w:val="18"/>
          <w:szCs w:val="18"/>
          <w:lang w:eastAsia="sk-SK"/>
        </w:rPr>
        <w:tab/>
      </w:r>
      <w:r>
        <w:rPr>
          <w:rFonts w:eastAsia="Times New Roman"/>
          <w:sz w:val="18"/>
          <w:szCs w:val="18"/>
          <w:lang w:eastAsia="sk-SK"/>
        </w:rPr>
        <w:tab/>
      </w:r>
      <w:r>
        <w:rPr>
          <w:rFonts w:eastAsia="Times New Roman"/>
          <w:sz w:val="18"/>
          <w:szCs w:val="18"/>
          <w:lang w:eastAsia="sk-SK"/>
        </w:rPr>
        <w:tab/>
      </w:r>
      <w:r>
        <w:rPr>
          <w:rFonts w:eastAsia="Times New Roman"/>
          <w:sz w:val="18"/>
          <w:szCs w:val="18"/>
          <w:lang w:eastAsia="sk-SK"/>
        </w:rPr>
        <w:tab/>
      </w:r>
      <w:r w:rsidR="00B768D9" w:rsidRPr="00AA5F68">
        <w:rPr>
          <w:rFonts w:eastAsia="Times New Roman"/>
          <w:sz w:val="18"/>
          <w:szCs w:val="18"/>
          <w:lang w:eastAsia="sk-SK"/>
        </w:rPr>
        <w:t>Zdroj: MF SR</w:t>
      </w:r>
    </w:p>
    <w:p w14:paraId="126497E7" w14:textId="51B1FAE4" w:rsidR="00B768D9" w:rsidRPr="00040B78" w:rsidRDefault="00B768D9" w:rsidP="00040B78">
      <w:pPr>
        <w:spacing w:line="240" w:lineRule="auto"/>
        <w:rPr>
          <w:b/>
          <w:color w:val="5B9BD5" w:themeColor="accent1"/>
          <w:sz w:val="24"/>
          <w:szCs w:val="24"/>
        </w:rPr>
      </w:pPr>
      <w:r w:rsidRPr="00040B78">
        <w:rPr>
          <w:b/>
          <w:color w:val="5B9BD5" w:themeColor="accent1"/>
          <w:sz w:val="24"/>
          <w:szCs w:val="24"/>
        </w:rPr>
        <w:t>Výdavky na mzdy, platy, služobné príjmy a ostatné osobné vyrovnania</w:t>
      </w:r>
    </w:p>
    <w:p w14:paraId="38242DAB" w14:textId="51C5934B" w:rsidR="00B768D9" w:rsidRPr="00687F7E" w:rsidRDefault="00B768D9" w:rsidP="00B768D9">
      <w:pPr>
        <w:spacing w:line="240" w:lineRule="auto"/>
        <w:rPr>
          <w:rFonts w:eastAsia="Times New Roman" w:cs="Times New Roman"/>
          <w:sz w:val="24"/>
          <w:szCs w:val="24"/>
          <w:lang w:eastAsia="sk-SK"/>
        </w:rPr>
      </w:pPr>
      <w:r w:rsidRPr="00687F7E">
        <w:rPr>
          <w:rFonts w:eastAsia="Times New Roman" w:cs="Times New Roman"/>
          <w:sz w:val="24"/>
          <w:szCs w:val="24"/>
          <w:lang w:eastAsia="sk-SK"/>
        </w:rPr>
        <w:t>Zákon č. 526/2022 Z. z. o štátnom rozpočte na rok 2023 stanovil pre zamestnancov rozpočtových organizácií kapitol štátneho rozpočtu limit výdavkov na mzdy, platy, služobné príjmy a ostatné osobné vyrovnania (OOV) ako záväzný ukazovateľ z kódu 111 (zdroj štátneho rozpočtu) a 11H (transfery od ostatných subjektov verejnej správy) a 11UA (financovanie projektov pomoci pre</w:t>
      </w:r>
      <w:r w:rsidR="003F27EA">
        <w:rPr>
          <w:rFonts w:eastAsia="Times New Roman" w:cs="Times New Roman"/>
          <w:sz w:val="24"/>
          <w:szCs w:val="24"/>
          <w:lang w:eastAsia="sk-SK"/>
        </w:rPr>
        <w:t> </w:t>
      </w:r>
      <w:r w:rsidRPr="00687F7E">
        <w:rPr>
          <w:rFonts w:eastAsia="Times New Roman" w:cs="Times New Roman"/>
          <w:sz w:val="24"/>
          <w:szCs w:val="24"/>
          <w:lang w:eastAsia="sk-SK"/>
        </w:rPr>
        <w:t>občanov Ukrajiny) v úhrnnej sume 2</w:t>
      </w:r>
      <w:r>
        <w:rPr>
          <w:rFonts w:eastAsia="Times New Roman" w:cs="Times New Roman"/>
          <w:sz w:val="24"/>
          <w:szCs w:val="24"/>
          <w:lang w:eastAsia="sk-SK"/>
        </w:rPr>
        <w:t> </w:t>
      </w:r>
      <w:r w:rsidRPr="00687F7E">
        <w:rPr>
          <w:rFonts w:eastAsia="Times New Roman" w:cs="Times New Roman"/>
          <w:sz w:val="24"/>
          <w:szCs w:val="24"/>
          <w:lang w:eastAsia="sk-SK"/>
        </w:rPr>
        <w:t>923</w:t>
      </w:r>
      <w:r>
        <w:rPr>
          <w:rFonts w:eastAsia="Times New Roman" w:cs="Times New Roman"/>
          <w:sz w:val="24"/>
          <w:szCs w:val="24"/>
          <w:lang w:eastAsia="sk-SK"/>
        </w:rPr>
        <w:t> </w:t>
      </w:r>
      <w:r w:rsidRPr="00687F7E">
        <w:rPr>
          <w:rFonts w:eastAsia="Times New Roman" w:cs="Times New Roman"/>
          <w:sz w:val="24"/>
          <w:szCs w:val="24"/>
          <w:lang w:eastAsia="sk-SK"/>
        </w:rPr>
        <w:t>642</w:t>
      </w:r>
      <w:r>
        <w:rPr>
          <w:rFonts w:eastAsia="Times New Roman" w:cs="Times New Roman"/>
          <w:sz w:val="24"/>
          <w:szCs w:val="24"/>
          <w:lang w:eastAsia="sk-SK"/>
        </w:rPr>
        <w:t> </w:t>
      </w:r>
      <w:r w:rsidRPr="00687F7E">
        <w:rPr>
          <w:rFonts w:eastAsia="Times New Roman" w:cs="Times New Roman"/>
          <w:sz w:val="24"/>
          <w:szCs w:val="24"/>
          <w:lang w:eastAsia="sk-SK"/>
        </w:rPr>
        <w:t>tis.</w:t>
      </w:r>
      <w:r>
        <w:rPr>
          <w:rFonts w:eastAsia="Times New Roman" w:cs="Times New Roman"/>
          <w:sz w:val="24"/>
          <w:szCs w:val="24"/>
          <w:lang w:eastAsia="sk-SK"/>
        </w:rPr>
        <w:t> </w:t>
      </w:r>
      <w:r w:rsidRPr="00687F7E">
        <w:rPr>
          <w:rFonts w:eastAsia="Times New Roman" w:cs="Times New Roman"/>
          <w:sz w:val="24"/>
          <w:szCs w:val="24"/>
          <w:lang w:eastAsia="sk-SK"/>
        </w:rPr>
        <w:t>eur. Súčasne boli v súlade s §</w:t>
      </w:r>
      <w:r>
        <w:rPr>
          <w:rFonts w:eastAsia="Times New Roman" w:cs="Times New Roman"/>
          <w:sz w:val="24"/>
          <w:szCs w:val="24"/>
          <w:lang w:eastAsia="sk-SK"/>
        </w:rPr>
        <w:t> </w:t>
      </w:r>
      <w:r w:rsidRPr="00687F7E">
        <w:rPr>
          <w:rFonts w:eastAsia="Times New Roman" w:cs="Times New Roman"/>
          <w:sz w:val="24"/>
          <w:szCs w:val="24"/>
          <w:lang w:eastAsia="sk-SK"/>
        </w:rPr>
        <w:t>17 ods.</w:t>
      </w:r>
      <w:r>
        <w:rPr>
          <w:rFonts w:eastAsia="Times New Roman" w:cs="Times New Roman"/>
          <w:sz w:val="24"/>
          <w:szCs w:val="24"/>
          <w:lang w:eastAsia="sk-SK"/>
        </w:rPr>
        <w:t> </w:t>
      </w:r>
      <w:r w:rsidRPr="00687F7E">
        <w:rPr>
          <w:rFonts w:eastAsia="Times New Roman" w:cs="Times New Roman"/>
          <w:sz w:val="24"/>
          <w:szCs w:val="24"/>
          <w:lang w:eastAsia="sk-SK"/>
        </w:rPr>
        <w:t>4 zákona č.</w:t>
      </w:r>
      <w:r>
        <w:rPr>
          <w:rFonts w:eastAsia="Times New Roman" w:cs="Times New Roman"/>
          <w:sz w:val="24"/>
          <w:szCs w:val="24"/>
          <w:lang w:eastAsia="sk-SK"/>
        </w:rPr>
        <w:t> </w:t>
      </w:r>
      <w:r w:rsidRPr="00687F7E">
        <w:rPr>
          <w:rFonts w:eastAsia="Times New Roman" w:cs="Times New Roman"/>
          <w:sz w:val="24"/>
          <w:szCs w:val="24"/>
          <w:lang w:eastAsia="sk-SK"/>
        </w:rPr>
        <w:t>523/2004 Z.</w:t>
      </w:r>
      <w:r>
        <w:rPr>
          <w:rFonts w:eastAsia="Times New Roman" w:cs="Times New Roman"/>
          <w:sz w:val="24"/>
          <w:szCs w:val="24"/>
          <w:lang w:eastAsia="sk-SK"/>
        </w:rPr>
        <w:t> </w:t>
      </w:r>
      <w:r w:rsidRPr="00687F7E">
        <w:rPr>
          <w:rFonts w:eastAsia="Times New Roman" w:cs="Times New Roman"/>
          <w:sz w:val="24"/>
          <w:szCs w:val="24"/>
          <w:lang w:eastAsia="sk-SK"/>
        </w:rPr>
        <w:t>z. zákona o rozpočtových pravidlách verejnej správy rozpočtované finančné prostriedky v sume 5</w:t>
      </w:r>
      <w:r>
        <w:rPr>
          <w:rFonts w:eastAsia="Times New Roman" w:cs="Times New Roman"/>
          <w:sz w:val="24"/>
          <w:szCs w:val="24"/>
          <w:lang w:eastAsia="sk-SK"/>
        </w:rPr>
        <w:t> </w:t>
      </w:r>
      <w:r w:rsidRPr="00687F7E">
        <w:rPr>
          <w:rFonts w:eastAsia="Times New Roman" w:cs="Times New Roman"/>
          <w:sz w:val="24"/>
          <w:szCs w:val="24"/>
          <w:lang w:eastAsia="sk-SK"/>
        </w:rPr>
        <w:t>tis.</w:t>
      </w:r>
      <w:r>
        <w:rPr>
          <w:rFonts w:eastAsia="Times New Roman" w:cs="Times New Roman"/>
          <w:sz w:val="24"/>
          <w:szCs w:val="24"/>
          <w:lang w:eastAsia="sk-SK"/>
        </w:rPr>
        <w:t> </w:t>
      </w:r>
      <w:r w:rsidRPr="00687F7E">
        <w:rPr>
          <w:rFonts w:eastAsia="Times New Roman" w:cs="Times New Roman"/>
          <w:sz w:val="24"/>
          <w:szCs w:val="24"/>
          <w:lang w:eastAsia="sk-SK"/>
        </w:rPr>
        <w:t>eur, čím bol rozpočet výdavkov na mzdy a platy pre rok 2023 schválený na úrovni 2</w:t>
      </w:r>
      <w:r>
        <w:rPr>
          <w:rFonts w:eastAsia="Times New Roman" w:cs="Times New Roman"/>
          <w:sz w:val="24"/>
          <w:szCs w:val="24"/>
          <w:lang w:eastAsia="sk-SK"/>
        </w:rPr>
        <w:t> </w:t>
      </w:r>
      <w:r w:rsidRPr="00687F7E">
        <w:rPr>
          <w:rFonts w:eastAsia="Times New Roman" w:cs="Times New Roman"/>
          <w:sz w:val="24"/>
          <w:szCs w:val="24"/>
          <w:lang w:eastAsia="sk-SK"/>
        </w:rPr>
        <w:t>923</w:t>
      </w:r>
      <w:r>
        <w:rPr>
          <w:rFonts w:eastAsia="Times New Roman" w:cs="Times New Roman"/>
          <w:sz w:val="24"/>
          <w:szCs w:val="24"/>
          <w:lang w:eastAsia="sk-SK"/>
        </w:rPr>
        <w:t> </w:t>
      </w:r>
      <w:r w:rsidRPr="00687F7E">
        <w:rPr>
          <w:rFonts w:eastAsia="Times New Roman" w:cs="Times New Roman"/>
          <w:sz w:val="24"/>
          <w:szCs w:val="24"/>
          <w:lang w:eastAsia="sk-SK"/>
        </w:rPr>
        <w:t>647</w:t>
      </w:r>
      <w:r>
        <w:rPr>
          <w:rFonts w:eastAsia="Times New Roman" w:cs="Times New Roman"/>
          <w:sz w:val="24"/>
          <w:szCs w:val="24"/>
          <w:lang w:eastAsia="sk-SK"/>
        </w:rPr>
        <w:t> </w:t>
      </w:r>
      <w:r w:rsidRPr="00687F7E">
        <w:rPr>
          <w:rFonts w:eastAsia="Times New Roman" w:cs="Times New Roman"/>
          <w:sz w:val="24"/>
          <w:szCs w:val="24"/>
          <w:lang w:eastAsia="sk-SK"/>
        </w:rPr>
        <w:t>tis.</w:t>
      </w:r>
      <w:r>
        <w:rPr>
          <w:rFonts w:eastAsia="Times New Roman" w:cs="Times New Roman"/>
          <w:sz w:val="24"/>
          <w:szCs w:val="24"/>
          <w:lang w:eastAsia="sk-SK"/>
        </w:rPr>
        <w:t> </w:t>
      </w:r>
      <w:r w:rsidRPr="00687F7E">
        <w:rPr>
          <w:rFonts w:eastAsia="Times New Roman" w:cs="Times New Roman"/>
          <w:sz w:val="24"/>
          <w:szCs w:val="24"/>
          <w:lang w:eastAsia="sk-SK"/>
        </w:rPr>
        <w:t xml:space="preserve">eur. </w:t>
      </w:r>
    </w:p>
    <w:p w14:paraId="5EF8CE2A" w14:textId="3F7425FE" w:rsidR="00B768D9" w:rsidRDefault="00B768D9" w:rsidP="00B768D9">
      <w:pPr>
        <w:spacing w:line="240" w:lineRule="auto"/>
        <w:rPr>
          <w:rFonts w:eastAsia="Times New Roman" w:cs="Times New Roman"/>
          <w:sz w:val="24"/>
          <w:szCs w:val="24"/>
          <w:lang w:eastAsia="sk-SK"/>
        </w:rPr>
      </w:pPr>
      <w:r w:rsidRPr="00687F7E">
        <w:rPr>
          <w:rFonts w:eastAsia="Times New Roman" w:cs="Times New Roman"/>
          <w:sz w:val="24"/>
          <w:szCs w:val="24"/>
          <w:lang w:eastAsia="sk-SK"/>
        </w:rPr>
        <w:t>Výdavky na mzdy, platy, služobné príjmy a OOV zo všetkých zdrojov boli v priebehu roka upravené na sumu 3 031 090 tis. eur. Na zdroji 111 boli rozpočtovými opatreniami upravené na</w:t>
      </w:r>
      <w:r w:rsidR="00672245">
        <w:rPr>
          <w:rFonts w:eastAsia="Times New Roman" w:cs="Times New Roman"/>
          <w:sz w:val="24"/>
          <w:szCs w:val="24"/>
          <w:lang w:eastAsia="sk-SK"/>
        </w:rPr>
        <w:t> </w:t>
      </w:r>
      <w:r w:rsidRPr="00687F7E">
        <w:rPr>
          <w:rFonts w:eastAsia="Times New Roman" w:cs="Times New Roman"/>
          <w:sz w:val="24"/>
          <w:szCs w:val="24"/>
          <w:lang w:eastAsia="sk-SK"/>
        </w:rPr>
        <w:t>sumu 2 892 389 tis. eur a na zdroji 11UA na sumu 329 tis. eur. Zo zdrojov EÚ a prostriedkov na spolufinancovanie zo štátneho rozpočtu boli výdavky na mzdy, platy, služobné príjmy a</w:t>
      </w:r>
      <w:r w:rsidR="00DB726B">
        <w:rPr>
          <w:rFonts w:eastAsia="Times New Roman" w:cs="Times New Roman"/>
          <w:sz w:val="24"/>
          <w:szCs w:val="24"/>
          <w:lang w:eastAsia="sk-SK"/>
        </w:rPr>
        <w:t xml:space="preserve"> </w:t>
      </w:r>
      <w:r w:rsidRPr="00687F7E">
        <w:rPr>
          <w:rFonts w:eastAsia="Times New Roman" w:cs="Times New Roman"/>
          <w:sz w:val="24"/>
          <w:szCs w:val="24"/>
          <w:lang w:eastAsia="sk-SK"/>
        </w:rPr>
        <w:t>OOV upravené na sumu 138</w:t>
      </w:r>
      <w:r>
        <w:rPr>
          <w:rFonts w:eastAsia="Times New Roman" w:cs="Times New Roman"/>
          <w:sz w:val="24"/>
          <w:szCs w:val="24"/>
          <w:lang w:eastAsia="sk-SK"/>
        </w:rPr>
        <w:t> </w:t>
      </w:r>
      <w:r w:rsidRPr="00687F7E">
        <w:rPr>
          <w:rFonts w:eastAsia="Times New Roman" w:cs="Times New Roman"/>
          <w:sz w:val="24"/>
          <w:szCs w:val="24"/>
          <w:lang w:eastAsia="sk-SK"/>
        </w:rPr>
        <w:t>317</w:t>
      </w:r>
      <w:r>
        <w:rPr>
          <w:rFonts w:eastAsia="Times New Roman" w:cs="Times New Roman"/>
          <w:sz w:val="24"/>
          <w:szCs w:val="24"/>
          <w:lang w:eastAsia="sk-SK"/>
        </w:rPr>
        <w:t> </w:t>
      </w:r>
      <w:r w:rsidRPr="00687F7E">
        <w:rPr>
          <w:rFonts w:eastAsia="Times New Roman" w:cs="Times New Roman"/>
          <w:sz w:val="24"/>
          <w:szCs w:val="24"/>
          <w:lang w:eastAsia="sk-SK"/>
        </w:rPr>
        <w:t>tis. eur, z toho z prostriedkov Plánu obnovy a</w:t>
      </w:r>
      <w:r w:rsidR="00DB726B">
        <w:rPr>
          <w:rFonts w:eastAsia="Times New Roman" w:cs="Times New Roman"/>
          <w:sz w:val="24"/>
          <w:szCs w:val="24"/>
          <w:lang w:eastAsia="sk-SK"/>
        </w:rPr>
        <w:t xml:space="preserve"> </w:t>
      </w:r>
      <w:r w:rsidRPr="00687F7E">
        <w:rPr>
          <w:rFonts w:eastAsia="Times New Roman" w:cs="Times New Roman"/>
          <w:sz w:val="24"/>
          <w:szCs w:val="24"/>
          <w:lang w:eastAsia="sk-SK"/>
        </w:rPr>
        <w:t>odolnosti SR (zdroj P01 a 3P01) na sumu 16</w:t>
      </w:r>
      <w:r w:rsidR="00DB726B">
        <w:rPr>
          <w:rFonts w:eastAsia="Times New Roman" w:cs="Times New Roman"/>
          <w:sz w:val="24"/>
          <w:szCs w:val="24"/>
          <w:lang w:eastAsia="sk-SK"/>
        </w:rPr>
        <w:t> </w:t>
      </w:r>
      <w:r w:rsidRPr="00687F7E">
        <w:rPr>
          <w:rFonts w:eastAsia="Times New Roman" w:cs="Times New Roman"/>
          <w:sz w:val="24"/>
          <w:szCs w:val="24"/>
          <w:lang w:eastAsia="sk-SK"/>
        </w:rPr>
        <w:t>519</w:t>
      </w:r>
      <w:r w:rsidR="00DB726B">
        <w:rPr>
          <w:rFonts w:eastAsia="Times New Roman" w:cs="Times New Roman"/>
          <w:sz w:val="24"/>
          <w:szCs w:val="24"/>
          <w:lang w:eastAsia="sk-SK"/>
        </w:rPr>
        <w:t> </w:t>
      </w:r>
      <w:r w:rsidRPr="00687F7E">
        <w:rPr>
          <w:rFonts w:eastAsia="Times New Roman" w:cs="Times New Roman"/>
          <w:sz w:val="24"/>
          <w:szCs w:val="24"/>
          <w:lang w:eastAsia="sk-SK"/>
        </w:rPr>
        <w:t>tis. eur a zo zdroja 72h na sumu 55</w:t>
      </w:r>
      <w:r>
        <w:rPr>
          <w:rFonts w:eastAsia="Times New Roman" w:cs="Times New Roman"/>
          <w:sz w:val="24"/>
          <w:szCs w:val="24"/>
          <w:lang w:eastAsia="sk-SK"/>
        </w:rPr>
        <w:t> </w:t>
      </w:r>
      <w:r w:rsidRPr="00687F7E">
        <w:rPr>
          <w:rFonts w:eastAsia="Times New Roman" w:cs="Times New Roman"/>
          <w:sz w:val="24"/>
          <w:szCs w:val="24"/>
          <w:lang w:eastAsia="sk-SK"/>
        </w:rPr>
        <w:t>tis. eur</w:t>
      </w:r>
      <w:r>
        <w:rPr>
          <w:rFonts w:eastAsia="Times New Roman" w:cs="Times New Roman"/>
          <w:sz w:val="24"/>
          <w:szCs w:val="24"/>
          <w:lang w:eastAsia="sk-SK"/>
        </w:rPr>
        <w:t>.</w:t>
      </w:r>
      <w:r w:rsidRPr="0090469D">
        <w:rPr>
          <w:rFonts w:eastAsia="Times New Roman" w:cs="Times New Roman"/>
          <w:sz w:val="24"/>
          <w:szCs w:val="24"/>
          <w:lang w:eastAsia="sk-SK"/>
        </w:rPr>
        <w:t xml:space="preserve"> </w:t>
      </w:r>
    </w:p>
    <w:p w14:paraId="0A0A0152" w14:textId="2A1CFBDB" w:rsidR="00B768D9" w:rsidRPr="0090469D" w:rsidRDefault="00B768D9" w:rsidP="00B768D9">
      <w:pPr>
        <w:spacing w:line="240" w:lineRule="auto"/>
        <w:rPr>
          <w:rFonts w:eastAsia="Times New Roman" w:cs="Times New Roman"/>
          <w:sz w:val="24"/>
          <w:szCs w:val="24"/>
          <w:lang w:eastAsia="sk-SK"/>
        </w:rPr>
      </w:pPr>
      <w:r w:rsidRPr="00687F7E">
        <w:rPr>
          <w:rFonts w:eastAsia="Times New Roman" w:cs="Times New Roman"/>
          <w:b/>
          <w:sz w:val="24"/>
          <w:szCs w:val="24"/>
          <w:lang w:eastAsia="sk-SK"/>
        </w:rPr>
        <w:t>V skutočnosti boli výdavky na</w:t>
      </w:r>
      <w:r w:rsidRPr="00687F7E">
        <w:rPr>
          <w:rFonts w:eastAsia="Times New Roman" w:cs="Times New Roman"/>
          <w:sz w:val="24"/>
          <w:szCs w:val="24"/>
          <w:lang w:eastAsia="sk-SK"/>
        </w:rPr>
        <w:t xml:space="preserve"> </w:t>
      </w:r>
      <w:r w:rsidRPr="00687F7E">
        <w:rPr>
          <w:rFonts w:eastAsia="Times New Roman" w:cs="Times New Roman"/>
          <w:b/>
          <w:sz w:val="24"/>
          <w:szCs w:val="24"/>
          <w:lang w:eastAsia="sk-SK"/>
        </w:rPr>
        <w:t xml:space="preserve">mzdy, platy, služobné </w:t>
      </w:r>
      <w:r>
        <w:rPr>
          <w:rFonts w:eastAsia="Times New Roman" w:cs="Times New Roman"/>
          <w:b/>
          <w:sz w:val="24"/>
          <w:szCs w:val="24"/>
          <w:lang w:eastAsia="sk-SK"/>
        </w:rPr>
        <w:t>príjmy</w:t>
      </w:r>
      <w:r w:rsidRPr="00687F7E">
        <w:rPr>
          <w:rFonts w:eastAsia="Times New Roman" w:cs="Times New Roman"/>
          <w:b/>
          <w:sz w:val="24"/>
          <w:szCs w:val="24"/>
          <w:lang w:eastAsia="sk-SK"/>
        </w:rPr>
        <w:t xml:space="preserve"> a OOV zamestnancov rozpočtových organizácií kapitol štátneho rozpočtu za všetky zdroje čerpané na úrovni </w:t>
      </w:r>
      <w:r w:rsidR="00DD1AA1">
        <w:rPr>
          <w:rFonts w:eastAsia="Times New Roman" w:cs="Times New Roman"/>
          <w:b/>
          <w:sz w:val="24"/>
          <w:szCs w:val="24"/>
          <w:lang w:eastAsia="sk-SK"/>
        </w:rPr>
        <w:t>3 019 43</w:t>
      </w:r>
      <w:r w:rsidRPr="00795D97">
        <w:rPr>
          <w:rFonts w:eastAsia="Times New Roman" w:cs="Times New Roman"/>
          <w:b/>
          <w:sz w:val="24"/>
          <w:szCs w:val="24"/>
          <w:lang w:eastAsia="sk-SK"/>
        </w:rPr>
        <w:t>4 tis. eur, čo je o 318 030 tis. eur (11,8 %)</w:t>
      </w:r>
      <w:r w:rsidRPr="00687F7E">
        <w:rPr>
          <w:rFonts w:eastAsia="Times New Roman" w:cs="Times New Roman"/>
          <w:b/>
          <w:sz w:val="24"/>
          <w:szCs w:val="24"/>
          <w:lang w:eastAsia="sk-SK"/>
        </w:rPr>
        <w:t xml:space="preserve"> viac ako v roku 2022. Na</w:t>
      </w:r>
      <w:r>
        <w:rPr>
          <w:rFonts w:eastAsia="Times New Roman" w:cs="Times New Roman"/>
          <w:b/>
          <w:sz w:val="24"/>
          <w:szCs w:val="24"/>
          <w:lang w:eastAsia="sk-SK"/>
        </w:rPr>
        <w:t> </w:t>
      </w:r>
      <w:r w:rsidRPr="00687F7E">
        <w:rPr>
          <w:rFonts w:eastAsia="Times New Roman" w:cs="Times New Roman"/>
          <w:b/>
          <w:sz w:val="24"/>
          <w:szCs w:val="24"/>
          <w:lang w:eastAsia="sk-SK"/>
        </w:rPr>
        <w:t>vyššom medziročnom čerpaní sa podieľalo hlavne vyššie čerpanie zo</w:t>
      </w:r>
      <w:r w:rsidR="00795D97">
        <w:rPr>
          <w:rFonts w:eastAsia="Times New Roman" w:cs="Times New Roman"/>
          <w:b/>
          <w:sz w:val="24"/>
          <w:szCs w:val="24"/>
          <w:lang w:eastAsia="sk-SK"/>
        </w:rPr>
        <w:t xml:space="preserve"> zdroja 111 v sume 320 693 tis. </w:t>
      </w:r>
      <w:r w:rsidRPr="00687F7E">
        <w:rPr>
          <w:rFonts w:eastAsia="Times New Roman" w:cs="Times New Roman"/>
          <w:b/>
          <w:sz w:val="24"/>
          <w:szCs w:val="24"/>
          <w:lang w:eastAsia="sk-SK"/>
        </w:rPr>
        <w:t>eur, z Plánu obnovy a odolnosti SR v sume 10 991 tis. eur a zo zdroja 72h v sume 1,9</w:t>
      </w:r>
      <w:r>
        <w:rPr>
          <w:rFonts w:eastAsia="Times New Roman" w:cs="Times New Roman"/>
          <w:b/>
          <w:sz w:val="24"/>
          <w:szCs w:val="24"/>
          <w:lang w:eastAsia="sk-SK"/>
        </w:rPr>
        <w:t> </w:t>
      </w:r>
      <w:r w:rsidRPr="00687F7E">
        <w:rPr>
          <w:rFonts w:eastAsia="Times New Roman" w:cs="Times New Roman"/>
          <w:b/>
          <w:sz w:val="24"/>
          <w:szCs w:val="24"/>
          <w:lang w:eastAsia="sk-SK"/>
        </w:rPr>
        <w:t>tis.</w:t>
      </w:r>
      <w:r>
        <w:rPr>
          <w:rFonts w:eastAsia="Times New Roman" w:cs="Times New Roman"/>
          <w:b/>
          <w:sz w:val="24"/>
          <w:szCs w:val="24"/>
          <w:lang w:eastAsia="sk-SK"/>
        </w:rPr>
        <w:t> </w:t>
      </w:r>
      <w:r w:rsidRPr="00687F7E">
        <w:rPr>
          <w:rFonts w:eastAsia="Times New Roman" w:cs="Times New Roman"/>
          <w:b/>
          <w:sz w:val="24"/>
          <w:szCs w:val="24"/>
          <w:lang w:eastAsia="sk-SK"/>
        </w:rPr>
        <w:t>eur. Zároveň došlo k medziročnému poklesu čerpania zo zdroja 11UA v sume 5</w:t>
      </w:r>
      <w:r>
        <w:rPr>
          <w:rFonts w:eastAsia="Times New Roman" w:cs="Times New Roman"/>
          <w:b/>
          <w:sz w:val="24"/>
          <w:szCs w:val="24"/>
          <w:lang w:eastAsia="sk-SK"/>
        </w:rPr>
        <w:t> </w:t>
      </w:r>
      <w:r w:rsidRPr="00687F7E">
        <w:rPr>
          <w:rFonts w:eastAsia="Times New Roman" w:cs="Times New Roman"/>
          <w:b/>
          <w:sz w:val="24"/>
          <w:szCs w:val="24"/>
          <w:lang w:eastAsia="sk-SK"/>
        </w:rPr>
        <w:t>214</w:t>
      </w:r>
      <w:r>
        <w:rPr>
          <w:rFonts w:eastAsia="Times New Roman" w:cs="Times New Roman"/>
          <w:b/>
          <w:sz w:val="24"/>
          <w:szCs w:val="24"/>
          <w:lang w:eastAsia="sk-SK"/>
        </w:rPr>
        <w:t> </w:t>
      </w:r>
      <w:r w:rsidRPr="00687F7E">
        <w:rPr>
          <w:rFonts w:eastAsia="Times New Roman" w:cs="Times New Roman"/>
          <w:b/>
          <w:sz w:val="24"/>
          <w:szCs w:val="24"/>
          <w:lang w:eastAsia="sk-SK"/>
        </w:rPr>
        <w:t>tis.</w:t>
      </w:r>
      <w:r>
        <w:rPr>
          <w:rFonts w:eastAsia="Times New Roman" w:cs="Times New Roman"/>
          <w:b/>
          <w:sz w:val="24"/>
          <w:szCs w:val="24"/>
          <w:lang w:eastAsia="sk-SK"/>
        </w:rPr>
        <w:t> </w:t>
      </w:r>
      <w:r w:rsidRPr="00687F7E">
        <w:rPr>
          <w:rFonts w:eastAsia="Times New Roman" w:cs="Times New Roman"/>
          <w:b/>
          <w:sz w:val="24"/>
          <w:szCs w:val="24"/>
          <w:lang w:eastAsia="sk-SK"/>
        </w:rPr>
        <w:t>eur a zo zdroja EÚ a spolufinancovania zo štátneho rozpočtu v sume 8</w:t>
      </w:r>
      <w:r>
        <w:rPr>
          <w:rFonts w:eastAsia="Times New Roman" w:cs="Times New Roman"/>
          <w:b/>
          <w:sz w:val="24"/>
          <w:szCs w:val="24"/>
          <w:lang w:eastAsia="sk-SK"/>
        </w:rPr>
        <w:t> </w:t>
      </w:r>
      <w:r w:rsidRPr="00687F7E">
        <w:rPr>
          <w:rFonts w:eastAsia="Times New Roman" w:cs="Times New Roman"/>
          <w:b/>
          <w:sz w:val="24"/>
          <w:szCs w:val="24"/>
          <w:lang w:eastAsia="sk-SK"/>
        </w:rPr>
        <w:t>442</w:t>
      </w:r>
      <w:r>
        <w:rPr>
          <w:rFonts w:eastAsia="Times New Roman" w:cs="Times New Roman"/>
          <w:b/>
          <w:sz w:val="24"/>
          <w:szCs w:val="24"/>
          <w:lang w:eastAsia="sk-SK"/>
        </w:rPr>
        <w:t> </w:t>
      </w:r>
      <w:r w:rsidRPr="00687F7E">
        <w:rPr>
          <w:rFonts w:eastAsia="Times New Roman" w:cs="Times New Roman"/>
          <w:b/>
          <w:sz w:val="24"/>
          <w:szCs w:val="24"/>
          <w:lang w:eastAsia="sk-SK"/>
        </w:rPr>
        <w:t>tis.</w:t>
      </w:r>
      <w:r>
        <w:rPr>
          <w:rFonts w:eastAsia="Times New Roman" w:cs="Times New Roman"/>
          <w:b/>
          <w:sz w:val="24"/>
          <w:szCs w:val="24"/>
          <w:lang w:eastAsia="sk-SK"/>
        </w:rPr>
        <w:t> </w:t>
      </w:r>
      <w:r w:rsidRPr="00687F7E">
        <w:rPr>
          <w:rFonts w:eastAsia="Times New Roman" w:cs="Times New Roman"/>
          <w:b/>
          <w:sz w:val="24"/>
          <w:szCs w:val="24"/>
          <w:lang w:eastAsia="sk-SK"/>
        </w:rPr>
        <w:t>eur.</w:t>
      </w:r>
    </w:p>
    <w:p w14:paraId="3CE15505" w14:textId="273D98B4" w:rsidR="00B768D9" w:rsidRPr="0090469D" w:rsidRDefault="00B768D9" w:rsidP="00B768D9">
      <w:pPr>
        <w:spacing w:line="240" w:lineRule="auto"/>
        <w:rPr>
          <w:rFonts w:eastAsia="Times New Roman" w:cs="Times New Roman"/>
          <w:sz w:val="24"/>
          <w:szCs w:val="24"/>
          <w:lang w:eastAsia="sk-SK"/>
        </w:rPr>
      </w:pPr>
      <w:r w:rsidRPr="00687F7E">
        <w:rPr>
          <w:rFonts w:eastAsia="Times New Roman" w:cs="Times New Roman"/>
          <w:sz w:val="24"/>
          <w:szCs w:val="24"/>
          <w:lang w:eastAsia="sk-SK"/>
        </w:rPr>
        <w:t>Z prostriedkov štátneho rozpočtu zo zdroja 111 a 11UA boli na mzdy, platy, služobné príjmy a OOV zamestnancov čerpané finančné prostriedky v sume 2 883 152 tis. eur. Z prostriedkov EÚ a prostriedkov na spolufinancovanie zo štátneho rozpočtu boli vyplatené mzdy v sume 136 266 tis. eur, z toho z prostriedkov Plánu obnovy a odolnosti SR v sume 16</w:t>
      </w:r>
      <w:r>
        <w:rPr>
          <w:rFonts w:eastAsia="Times New Roman" w:cs="Times New Roman"/>
          <w:sz w:val="24"/>
          <w:szCs w:val="24"/>
          <w:lang w:eastAsia="sk-SK"/>
        </w:rPr>
        <w:t> </w:t>
      </w:r>
      <w:r w:rsidRPr="00687F7E">
        <w:rPr>
          <w:rFonts w:eastAsia="Times New Roman" w:cs="Times New Roman"/>
          <w:sz w:val="24"/>
          <w:szCs w:val="24"/>
          <w:lang w:eastAsia="sk-SK"/>
        </w:rPr>
        <w:t>518</w:t>
      </w:r>
      <w:r>
        <w:rPr>
          <w:rFonts w:eastAsia="Times New Roman" w:cs="Times New Roman"/>
          <w:sz w:val="24"/>
          <w:szCs w:val="24"/>
          <w:lang w:eastAsia="sk-SK"/>
        </w:rPr>
        <w:t> </w:t>
      </w:r>
      <w:r w:rsidRPr="00687F7E">
        <w:rPr>
          <w:rFonts w:eastAsia="Times New Roman" w:cs="Times New Roman"/>
          <w:sz w:val="24"/>
          <w:szCs w:val="24"/>
          <w:lang w:eastAsia="sk-SK"/>
        </w:rPr>
        <w:t>tis.</w:t>
      </w:r>
      <w:r>
        <w:rPr>
          <w:rFonts w:eastAsia="Times New Roman" w:cs="Times New Roman"/>
          <w:sz w:val="24"/>
          <w:szCs w:val="24"/>
          <w:lang w:eastAsia="sk-SK"/>
        </w:rPr>
        <w:t> </w:t>
      </w:r>
      <w:r w:rsidRPr="00687F7E">
        <w:rPr>
          <w:rFonts w:eastAsia="Times New Roman" w:cs="Times New Roman"/>
          <w:sz w:val="24"/>
          <w:szCs w:val="24"/>
          <w:lang w:eastAsia="sk-SK"/>
        </w:rPr>
        <w:t>eur. Na</w:t>
      </w:r>
      <w:r w:rsidR="00672245">
        <w:rPr>
          <w:rFonts w:eastAsia="Times New Roman" w:cs="Times New Roman"/>
          <w:sz w:val="24"/>
          <w:szCs w:val="24"/>
          <w:lang w:eastAsia="sk-SK"/>
        </w:rPr>
        <w:t> </w:t>
      </w:r>
      <w:r w:rsidRPr="00687F7E">
        <w:rPr>
          <w:rFonts w:eastAsia="Times New Roman" w:cs="Times New Roman"/>
          <w:sz w:val="24"/>
          <w:szCs w:val="24"/>
          <w:lang w:eastAsia="sk-SK"/>
        </w:rPr>
        <w:t>zdroji 72h boli výdavky na mzdy, platy, služobné platy a OOV čerpané v sume 55</w:t>
      </w:r>
      <w:r>
        <w:rPr>
          <w:rFonts w:eastAsia="Times New Roman" w:cs="Times New Roman"/>
          <w:sz w:val="24"/>
          <w:szCs w:val="24"/>
          <w:lang w:eastAsia="sk-SK"/>
        </w:rPr>
        <w:t> </w:t>
      </w:r>
      <w:r w:rsidRPr="00687F7E">
        <w:rPr>
          <w:rFonts w:eastAsia="Times New Roman" w:cs="Times New Roman"/>
          <w:sz w:val="24"/>
          <w:szCs w:val="24"/>
          <w:lang w:eastAsia="sk-SK"/>
        </w:rPr>
        <w:t>tis.</w:t>
      </w:r>
      <w:r>
        <w:rPr>
          <w:rFonts w:eastAsia="Times New Roman" w:cs="Times New Roman"/>
          <w:sz w:val="24"/>
          <w:szCs w:val="24"/>
          <w:lang w:eastAsia="sk-SK"/>
        </w:rPr>
        <w:t> </w:t>
      </w:r>
      <w:r w:rsidRPr="00687F7E">
        <w:rPr>
          <w:rFonts w:eastAsia="Times New Roman" w:cs="Times New Roman"/>
          <w:sz w:val="24"/>
          <w:szCs w:val="24"/>
          <w:lang w:eastAsia="sk-SK"/>
        </w:rPr>
        <w:t>eur</w:t>
      </w:r>
      <w:r w:rsidRPr="0090469D">
        <w:rPr>
          <w:rFonts w:eastAsia="Times New Roman" w:cs="Times New Roman"/>
          <w:sz w:val="24"/>
          <w:szCs w:val="24"/>
          <w:lang w:eastAsia="sk-SK"/>
        </w:rPr>
        <w:t>.</w:t>
      </w:r>
    </w:p>
    <w:p w14:paraId="2B877D6E" w14:textId="77777777" w:rsidR="00B768D9" w:rsidRPr="0090469D" w:rsidRDefault="00B768D9" w:rsidP="00B768D9">
      <w:pPr>
        <w:spacing w:line="240" w:lineRule="auto"/>
        <w:rPr>
          <w:rFonts w:eastAsia="Times New Roman" w:cs="Times New Roman"/>
          <w:sz w:val="24"/>
          <w:szCs w:val="24"/>
          <w:lang w:eastAsia="sk-SK"/>
        </w:rPr>
      </w:pPr>
      <w:r w:rsidRPr="00687F7E">
        <w:rPr>
          <w:rFonts w:eastAsia="Times New Roman" w:cs="Times New Roman"/>
          <w:sz w:val="24"/>
          <w:szCs w:val="24"/>
          <w:lang w:eastAsia="sk-SK"/>
        </w:rPr>
        <w:t>Limit výdavkov na mzdy, platy, služobné príjmy a OOV bol ako záväzný ukazovateľ na</w:t>
      </w:r>
      <w:r>
        <w:rPr>
          <w:rFonts w:eastAsia="Times New Roman" w:cs="Times New Roman"/>
          <w:sz w:val="24"/>
          <w:szCs w:val="24"/>
          <w:lang w:eastAsia="sk-SK"/>
        </w:rPr>
        <w:t> </w:t>
      </w:r>
      <w:r w:rsidRPr="00687F7E">
        <w:rPr>
          <w:rFonts w:eastAsia="Times New Roman" w:cs="Times New Roman"/>
          <w:sz w:val="24"/>
          <w:szCs w:val="24"/>
          <w:lang w:eastAsia="sk-SK"/>
        </w:rPr>
        <w:t>zdroji 111, 11H a 11UA vo všetkých kapitolách štátneho rozpočtu dodržaný</w:t>
      </w:r>
      <w:r w:rsidRPr="0090469D">
        <w:rPr>
          <w:rFonts w:eastAsia="Times New Roman" w:cs="Times New Roman"/>
          <w:sz w:val="24"/>
          <w:szCs w:val="24"/>
          <w:lang w:eastAsia="sk-SK"/>
        </w:rPr>
        <w:t xml:space="preserve">. </w:t>
      </w:r>
    </w:p>
    <w:p w14:paraId="1DCED6C3" w14:textId="679181FA" w:rsidR="006A0B96" w:rsidRPr="0090469D" w:rsidRDefault="006A0B96" w:rsidP="006A0B96">
      <w:pPr>
        <w:spacing w:line="240" w:lineRule="auto"/>
        <w:rPr>
          <w:rFonts w:eastAsia="Times New Roman" w:cs="Times New Roman"/>
          <w:sz w:val="24"/>
          <w:szCs w:val="24"/>
          <w:lang w:eastAsia="sk-SK"/>
        </w:rPr>
      </w:pPr>
      <w:r w:rsidRPr="00687F7E">
        <w:rPr>
          <w:rFonts w:eastAsia="Times New Roman" w:cs="Times New Roman"/>
          <w:sz w:val="24"/>
          <w:szCs w:val="24"/>
          <w:lang w:eastAsia="sk-SK"/>
        </w:rPr>
        <w:t>Medziročný nárast výdavkov na mzdy, platy, služobné príjmy a OOV zamestnancov rozpočtových organizácií kapitol štátneho rozpočtu najvýraznejšie ovplyvnila valorizácia platov dohodnutá v kolektívnych zmluvách vyššieho stupňa na obdobie od 1. 1. 2023 do</w:t>
      </w:r>
      <w:r>
        <w:rPr>
          <w:rFonts w:eastAsia="Times New Roman" w:cs="Times New Roman"/>
          <w:sz w:val="24"/>
          <w:szCs w:val="24"/>
          <w:lang w:eastAsia="sk-SK"/>
        </w:rPr>
        <w:t> </w:t>
      </w:r>
      <w:r w:rsidRPr="00687F7E">
        <w:rPr>
          <w:rFonts w:eastAsia="Times New Roman" w:cs="Times New Roman"/>
          <w:sz w:val="24"/>
          <w:szCs w:val="24"/>
          <w:lang w:eastAsia="sk-SK"/>
        </w:rPr>
        <w:t xml:space="preserve">31. 8. 2024. Na úpravách rozpočtu mzdových výdavkov, ktoré súviseli aj s ich čerpaním, sa podieľali aj </w:t>
      </w:r>
      <w:r w:rsidRPr="00687F7E">
        <w:rPr>
          <w:rFonts w:eastAsia="Times New Roman" w:cs="Times New Roman"/>
          <w:sz w:val="24"/>
          <w:szCs w:val="24"/>
          <w:lang w:eastAsia="sk-SK"/>
        </w:rPr>
        <w:lastRenderedPageBreak/>
        <w:t>žiadosti jednotlivých kapitol štátneho rozpočtu o dofinancovanie administratívnych kapacít v sume 27</w:t>
      </w:r>
      <w:r>
        <w:rPr>
          <w:rFonts w:eastAsia="Times New Roman" w:cs="Times New Roman"/>
          <w:sz w:val="24"/>
          <w:szCs w:val="24"/>
          <w:lang w:eastAsia="sk-SK"/>
        </w:rPr>
        <w:t> </w:t>
      </w:r>
      <w:r w:rsidRPr="00687F7E">
        <w:rPr>
          <w:rFonts w:eastAsia="Times New Roman" w:cs="Times New Roman"/>
          <w:sz w:val="24"/>
          <w:szCs w:val="24"/>
          <w:lang w:eastAsia="sk-SK"/>
        </w:rPr>
        <w:t>697</w:t>
      </w:r>
      <w:r>
        <w:rPr>
          <w:rFonts w:eastAsia="Times New Roman" w:cs="Times New Roman"/>
          <w:sz w:val="24"/>
          <w:szCs w:val="24"/>
          <w:lang w:eastAsia="sk-SK"/>
        </w:rPr>
        <w:t> </w:t>
      </w:r>
      <w:r w:rsidRPr="00687F7E">
        <w:rPr>
          <w:rFonts w:eastAsia="Times New Roman" w:cs="Times New Roman"/>
          <w:sz w:val="24"/>
          <w:szCs w:val="24"/>
          <w:lang w:eastAsia="sk-SK"/>
        </w:rPr>
        <w:t>tis.</w:t>
      </w:r>
      <w:r>
        <w:rPr>
          <w:rFonts w:eastAsia="Times New Roman" w:cs="Times New Roman"/>
          <w:sz w:val="24"/>
          <w:szCs w:val="24"/>
          <w:lang w:eastAsia="sk-SK"/>
        </w:rPr>
        <w:t> </w:t>
      </w:r>
      <w:r w:rsidRPr="00687F7E">
        <w:rPr>
          <w:rFonts w:eastAsia="Times New Roman" w:cs="Times New Roman"/>
          <w:sz w:val="24"/>
          <w:szCs w:val="24"/>
          <w:lang w:eastAsia="sk-SK"/>
        </w:rPr>
        <w:t>eur (dotýka sa kapitol Ministerstvo hospodárstva SR, Ministerstvo investícií, regionálneho rozvoja a informatizácie SR, Ministerstvo pôdohospodárstva a rozvoja vidieka SR, Ministerstvo vnútra SR, Ministerstvo financií SR, Ministerstvo zdravotníctva SR, Ministerstvo životného prostredia SR, Ministerstvo kultúry SR, Ministerstvo zahraničných vecí a európskych záležitostí SR, Úrad vlády SR a Úrad pre</w:t>
      </w:r>
      <w:r>
        <w:rPr>
          <w:rFonts w:eastAsia="Times New Roman" w:cs="Times New Roman"/>
          <w:sz w:val="24"/>
          <w:szCs w:val="24"/>
          <w:lang w:eastAsia="sk-SK"/>
        </w:rPr>
        <w:t> </w:t>
      </w:r>
      <w:r w:rsidRPr="00687F7E">
        <w:rPr>
          <w:rFonts w:eastAsia="Times New Roman" w:cs="Times New Roman"/>
          <w:sz w:val="24"/>
          <w:szCs w:val="24"/>
          <w:lang w:eastAsia="sk-SK"/>
        </w:rPr>
        <w:t>verejné obstarávanie). Na zlepšenie odmeňovania zamestnancov boli kapitolám štátneho rozpočtu zvýšené limity mzdových výdavkov o sumu 23</w:t>
      </w:r>
      <w:r>
        <w:rPr>
          <w:rFonts w:eastAsia="Times New Roman" w:cs="Times New Roman"/>
          <w:sz w:val="24"/>
          <w:szCs w:val="24"/>
          <w:lang w:eastAsia="sk-SK"/>
        </w:rPr>
        <w:t> </w:t>
      </w:r>
      <w:r w:rsidRPr="00687F7E">
        <w:rPr>
          <w:rFonts w:eastAsia="Times New Roman" w:cs="Times New Roman"/>
          <w:sz w:val="24"/>
          <w:szCs w:val="24"/>
          <w:lang w:eastAsia="sk-SK"/>
        </w:rPr>
        <w:t>499</w:t>
      </w:r>
      <w:r>
        <w:rPr>
          <w:rFonts w:eastAsia="Times New Roman" w:cs="Times New Roman"/>
          <w:sz w:val="24"/>
          <w:szCs w:val="24"/>
          <w:lang w:eastAsia="sk-SK"/>
        </w:rPr>
        <w:t> </w:t>
      </w:r>
      <w:r w:rsidRPr="00687F7E">
        <w:rPr>
          <w:rFonts w:eastAsia="Times New Roman" w:cs="Times New Roman"/>
          <w:sz w:val="24"/>
          <w:szCs w:val="24"/>
          <w:lang w:eastAsia="sk-SK"/>
        </w:rPr>
        <w:t>tis.</w:t>
      </w:r>
      <w:r>
        <w:rPr>
          <w:rFonts w:eastAsia="Times New Roman" w:cs="Times New Roman"/>
          <w:sz w:val="24"/>
          <w:szCs w:val="24"/>
          <w:lang w:eastAsia="sk-SK"/>
        </w:rPr>
        <w:t> </w:t>
      </w:r>
      <w:r w:rsidRPr="00687F7E">
        <w:rPr>
          <w:rFonts w:eastAsia="Times New Roman" w:cs="Times New Roman"/>
          <w:sz w:val="24"/>
          <w:szCs w:val="24"/>
          <w:lang w:eastAsia="sk-SK"/>
        </w:rPr>
        <w:t>eur, z toho napríklad v kapitole Ministerstvo obrany SR v sume 10</w:t>
      </w:r>
      <w:r>
        <w:rPr>
          <w:rFonts w:eastAsia="Times New Roman" w:cs="Times New Roman"/>
          <w:sz w:val="24"/>
          <w:szCs w:val="24"/>
          <w:lang w:eastAsia="sk-SK"/>
        </w:rPr>
        <w:t> </w:t>
      </w:r>
      <w:r w:rsidRPr="00687F7E">
        <w:rPr>
          <w:rFonts w:eastAsia="Times New Roman" w:cs="Times New Roman"/>
          <w:sz w:val="24"/>
          <w:szCs w:val="24"/>
          <w:lang w:eastAsia="sk-SK"/>
        </w:rPr>
        <w:t>500</w:t>
      </w:r>
      <w:r>
        <w:rPr>
          <w:rFonts w:eastAsia="Times New Roman" w:cs="Times New Roman"/>
          <w:sz w:val="24"/>
          <w:szCs w:val="24"/>
          <w:lang w:eastAsia="sk-SK"/>
        </w:rPr>
        <w:t> </w:t>
      </w:r>
      <w:r w:rsidRPr="00687F7E">
        <w:rPr>
          <w:rFonts w:eastAsia="Times New Roman" w:cs="Times New Roman"/>
          <w:sz w:val="24"/>
          <w:szCs w:val="24"/>
          <w:lang w:eastAsia="sk-SK"/>
        </w:rPr>
        <w:t>tis.</w:t>
      </w:r>
      <w:r>
        <w:rPr>
          <w:rFonts w:eastAsia="Times New Roman" w:cs="Times New Roman"/>
          <w:sz w:val="24"/>
          <w:szCs w:val="24"/>
          <w:lang w:eastAsia="sk-SK"/>
        </w:rPr>
        <w:t> </w:t>
      </w:r>
      <w:r w:rsidRPr="00687F7E">
        <w:rPr>
          <w:rFonts w:eastAsia="Times New Roman" w:cs="Times New Roman"/>
          <w:sz w:val="24"/>
          <w:szCs w:val="24"/>
          <w:lang w:eastAsia="sk-SK"/>
        </w:rPr>
        <w:t>eur na</w:t>
      </w:r>
      <w:r>
        <w:rPr>
          <w:rFonts w:eastAsia="Times New Roman" w:cs="Times New Roman"/>
          <w:sz w:val="24"/>
          <w:szCs w:val="24"/>
          <w:lang w:eastAsia="sk-SK"/>
        </w:rPr>
        <w:t> </w:t>
      </w:r>
      <w:r w:rsidRPr="00687F7E">
        <w:rPr>
          <w:rFonts w:eastAsia="Times New Roman" w:cs="Times New Roman"/>
          <w:sz w:val="24"/>
          <w:szCs w:val="24"/>
          <w:lang w:eastAsia="sk-SK"/>
        </w:rPr>
        <w:t>zabezpečenie vyplatenia odmien pre profesionálnych vojakov za kvalitné plnenie služobných úloh a zabezpečenie vyplatenia personálnych náležitostí pre zamestnancov pri výkone práce vo</w:t>
      </w:r>
      <w:r>
        <w:rPr>
          <w:rFonts w:eastAsia="Times New Roman" w:cs="Times New Roman"/>
          <w:sz w:val="24"/>
          <w:szCs w:val="24"/>
          <w:lang w:eastAsia="sk-SK"/>
        </w:rPr>
        <w:t> </w:t>
      </w:r>
      <w:r w:rsidRPr="00687F7E">
        <w:rPr>
          <w:rFonts w:eastAsia="Times New Roman" w:cs="Times New Roman"/>
          <w:sz w:val="24"/>
          <w:szCs w:val="24"/>
          <w:lang w:eastAsia="sk-SK"/>
        </w:rPr>
        <w:t>verejnom záujme, v</w:t>
      </w:r>
      <w:r>
        <w:rPr>
          <w:rFonts w:eastAsia="Times New Roman" w:cs="Times New Roman"/>
          <w:sz w:val="24"/>
          <w:szCs w:val="24"/>
          <w:lang w:eastAsia="sk-SK"/>
        </w:rPr>
        <w:t> </w:t>
      </w:r>
      <w:r w:rsidRPr="00687F7E">
        <w:rPr>
          <w:rFonts w:eastAsia="Times New Roman" w:cs="Times New Roman"/>
          <w:sz w:val="24"/>
          <w:szCs w:val="24"/>
          <w:lang w:eastAsia="sk-SK"/>
        </w:rPr>
        <w:t>kapitole Ministerstvo práce, sociálnych vecí a rodiny SR najmä na</w:t>
      </w:r>
      <w:r w:rsidR="003F27EA">
        <w:rPr>
          <w:rFonts w:eastAsia="Times New Roman" w:cs="Times New Roman"/>
          <w:sz w:val="24"/>
          <w:szCs w:val="24"/>
          <w:lang w:eastAsia="sk-SK"/>
        </w:rPr>
        <w:t> </w:t>
      </w:r>
      <w:r w:rsidRPr="00687F7E">
        <w:rPr>
          <w:rFonts w:eastAsia="Times New Roman" w:cs="Times New Roman"/>
          <w:sz w:val="24"/>
          <w:szCs w:val="24"/>
          <w:lang w:eastAsia="sk-SK"/>
        </w:rPr>
        <w:t>zvýšenie platov zamestnancov oddelenia sociálnoprávnej ochrany detí a sociálnej kurately a posudkových lekárov ÚPSVaR a na odmeňovanie zamestnancov centier detí a rodiny v sume 8</w:t>
      </w:r>
      <w:r>
        <w:rPr>
          <w:rFonts w:eastAsia="Times New Roman" w:cs="Times New Roman"/>
          <w:sz w:val="24"/>
          <w:szCs w:val="24"/>
          <w:lang w:eastAsia="sk-SK"/>
        </w:rPr>
        <w:t> </w:t>
      </w:r>
      <w:r w:rsidRPr="00687F7E">
        <w:rPr>
          <w:rFonts w:eastAsia="Times New Roman" w:cs="Times New Roman"/>
          <w:sz w:val="24"/>
          <w:szCs w:val="24"/>
          <w:lang w:eastAsia="sk-SK"/>
        </w:rPr>
        <w:t>321</w:t>
      </w:r>
      <w:r>
        <w:rPr>
          <w:rFonts w:eastAsia="Times New Roman" w:cs="Times New Roman"/>
          <w:sz w:val="24"/>
          <w:szCs w:val="24"/>
          <w:lang w:eastAsia="sk-SK"/>
        </w:rPr>
        <w:t> </w:t>
      </w:r>
      <w:r w:rsidRPr="00687F7E">
        <w:rPr>
          <w:rFonts w:eastAsia="Times New Roman" w:cs="Times New Roman"/>
          <w:sz w:val="24"/>
          <w:szCs w:val="24"/>
          <w:lang w:eastAsia="sk-SK"/>
        </w:rPr>
        <w:t>tis.</w:t>
      </w:r>
      <w:r>
        <w:rPr>
          <w:rFonts w:eastAsia="Times New Roman" w:cs="Times New Roman"/>
          <w:sz w:val="24"/>
          <w:szCs w:val="24"/>
          <w:lang w:eastAsia="sk-SK"/>
        </w:rPr>
        <w:t> </w:t>
      </w:r>
      <w:r w:rsidRPr="00687F7E">
        <w:rPr>
          <w:rFonts w:eastAsia="Times New Roman" w:cs="Times New Roman"/>
          <w:sz w:val="24"/>
          <w:szCs w:val="24"/>
          <w:lang w:eastAsia="sk-SK"/>
        </w:rPr>
        <w:t>eur a v kapitole Ministerstvo pôdohospodárstva a rozvoja vidieka v sume 3 910 tis. eur, hlavne z dôvodu nevyhnutného zvýšenia kapacít testovania rizikových potravinárskych surovín a finálnych potravín. Ďalšími významnými úpravami boli výdavky na</w:t>
      </w:r>
      <w:r w:rsidR="003F27EA">
        <w:rPr>
          <w:rFonts w:eastAsia="Times New Roman" w:cs="Times New Roman"/>
          <w:sz w:val="24"/>
          <w:szCs w:val="24"/>
          <w:lang w:eastAsia="sk-SK"/>
        </w:rPr>
        <w:t> </w:t>
      </w:r>
      <w:r w:rsidRPr="00687F7E">
        <w:rPr>
          <w:rFonts w:eastAsia="Times New Roman" w:cs="Times New Roman"/>
          <w:sz w:val="24"/>
          <w:szCs w:val="24"/>
          <w:lang w:eastAsia="sk-SK"/>
        </w:rPr>
        <w:t>zabezpečenie valorizácie platov profesionálnych vojakov kapitoly Ministerstvo obrany SR v sume 25</w:t>
      </w:r>
      <w:r>
        <w:rPr>
          <w:rFonts w:eastAsia="Times New Roman" w:cs="Times New Roman"/>
          <w:sz w:val="24"/>
          <w:szCs w:val="24"/>
          <w:lang w:eastAsia="sk-SK"/>
        </w:rPr>
        <w:t> </w:t>
      </w:r>
      <w:r w:rsidRPr="00687F7E">
        <w:rPr>
          <w:rFonts w:eastAsia="Times New Roman" w:cs="Times New Roman"/>
          <w:sz w:val="24"/>
          <w:szCs w:val="24"/>
          <w:lang w:eastAsia="sk-SK"/>
        </w:rPr>
        <w:t>271</w:t>
      </w:r>
      <w:r>
        <w:rPr>
          <w:rFonts w:eastAsia="Times New Roman" w:cs="Times New Roman"/>
          <w:sz w:val="24"/>
          <w:szCs w:val="24"/>
          <w:lang w:eastAsia="sk-SK"/>
        </w:rPr>
        <w:t> </w:t>
      </w:r>
      <w:r w:rsidRPr="00687F7E">
        <w:rPr>
          <w:rFonts w:eastAsia="Times New Roman" w:cs="Times New Roman"/>
          <w:sz w:val="24"/>
          <w:szCs w:val="24"/>
          <w:lang w:eastAsia="sk-SK"/>
        </w:rPr>
        <w:t>tis.</w:t>
      </w:r>
      <w:r>
        <w:rPr>
          <w:rFonts w:eastAsia="Times New Roman" w:cs="Times New Roman"/>
          <w:sz w:val="24"/>
          <w:szCs w:val="24"/>
          <w:lang w:eastAsia="sk-SK"/>
        </w:rPr>
        <w:t> </w:t>
      </w:r>
      <w:r w:rsidRPr="00687F7E">
        <w:rPr>
          <w:rFonts w:eastAsia="Times New Roman" w:cs="Times New Roman"/>
          <w:sz w:val="24"/>
          <w:szCs w:val="24"/>
          <w:lang w:eastAsia="sk-SK"/>
        </w:rPr>
        <w:t>eur a čiastočne vrátené viazané mzdové výdavky súvisiace s Revíziou výdavkov zamestnanosti a odmeňovania vo verejnej správe v sume 14</w:t>
      </w:r>
      <w:r>
        <w:rPr>
          <w:rFonts w:eastAsia="Times New Roman" w:cs="Times New Roman"/>
          <w:sz w:val="24"/>
          <w:szCs w:val="24"/>
          <w:lang w:eastAsia="sk-SK"/>
        </w:rPr>
        <w:t> </w:t>
      </w:r>
      <w:r w:rsidRPr="00687F7E">
        <w:rPr>
          <w:rFonts w:eastAsia="Times New Roman" w:cs="Times New Roman"/>
          <w:sz w:val="24"/>
          <w:szCs w:val="24"/>
          <w:lang w:eastAsia="sk-SK"/>
        </w:rPr>
        <w:t>632</w:t>
      </w:r>
      <w:r>
        <w:rPr>
          <w:rFonts w:eastAsia="Times New Roman" w:cs="Times New Roman"/>
          <w:sz w:val="24"/>
          <w:szCs w:val="24"/>
          <w:lang w:eastAsia="sk-SK"/>
        </w:rPr>
        <w:t> </w:t>
      </w:r>
      <w:r w:rsidRPr="00687F7E">
        <w:rPr>
          <w:rFonts w:eastAsia="Times New Roman" w:cs="Times New Roman"/>
          <w:sz w:val="24"/>
          <w:szCs w:val="24"/>
          <w:lang w:eastAsia="sk-SK"/>
        </w:rPr>
        <w:t>tis.</w:t>
      </w:r>
      <w:r>
        <w:rPr>
          <w:rFonts w:eastAsia="Times New Roman" w:cs="Times New Roman"/>
          <w:sz w:val="24"/>
          <w:szCs w:val="24"/>
          <w:lang w:eastAsia="sk-SK"/>
        </w:rPr>
        <w:t> </w:t>
      </w:r>
      <w:r w:rsidRPr="00687F7E">
        <w:rPr>
          <w:rFonts w:eastAsia="Times New Roman" w:cs="Times New Roman"/>
          <w:sz w:val="24"/>
          <w:szCs w:val="24"/>
          <w:lang w:eastAsia="sk-SK"/>
        </w:rPr>
        <w:t>eur pre kapitolu Ministerstvo vnútra SR. V súvislosti s medziročným rastom priemernej mesačnej nominálnej mzdy zamestnanca v národnom hospodárstve  boli kapitolám štátneho rozpočtu zvýšené limity mzdových výdavkov na zabezpečenie platov zamestnancov naviazaných na plat poslanca, respektíve na</w:t>
      </w:r>
      <w:r>
        <w:rPr>
          <w:rFonts w:eastAsia="Times New Roman" w:cs="Times New Roman"/>
          <w:sz w:val="24"/>
          <w:szCs w:val="24"/>
          <w:lang w:eastAsia="sk-SK"/>
        </w:rPr>
        <w:t> </w:t>
      </w:r>
      <w:r w:rsidRPr="00687F7E">
        <w:rPr>
          <w:rFonts w:eastAsia="Times New Roman" w:cs="Times New Roman"/>
          <w:sz w:val="24"/>
          <w:szCs w:val="24"/>
          <w:lang w:eastAsia="sk-SK"/>
        </w:rPr>
        <w:t>rast priemernej mzdy v sume 9</w:t>
      </w:r>
      <w:r>
        <w:rPr>
          <w:rFonts w:eastAsia="Times New Roman" w:cs="Times New Roman"/>
          <w:sz w:val="24"/>
          <w:szCs w:val="24"/>
          <w:lang w:eastAsia="sk-SK"/>
        </w:rPr>
        <w:t> </w:t>
      </w:r>
      <w:r w:rsidRPr="00687F7E">
        <w:rPr>
          <w:rFonts w:eastAsia="Times New Roman" w:cs="Times New Roman"/>
          <w:sz w:val="24"/>
          <w:szCs w:val="24"/>
          <w:lang w:eastAsia="sk-SK"/>
        </w:rPr>
        <w:t>434</w:t>
      </w:r>
      <w:r>
        <w:rPr>
          <w:rFonts w:eastAsia="Times New Roman" w:cs="Times New Roman"/>
          <w:sz w:val="24"/>
          <w:szCs w:val="24"/>
          <w:lang w:eastAsia="sk-SK"/>
        </w:rPr>
        <w:t> </w:t>
      </w:r>
      <w:r w:rsidRPr="00687F7E">
        <w:rPr>
          <w:rFonts w:eastAsia="Times New Roman" w:cs="Times New Roman"/>
          <w:sz w:val="24"/>
          <w:szCs w:val="24"/>
          <w:lang w:eastAsia="sk-SK"/>
        </w:rPr>
        <w:t>tis.</w:t>
      </w:r>
      <w:r>
        <w:rPr>
          <w:rFonts w:eastAsia="Times New Roman" w:cs="Times New Roman"/>
          <w:sz w:val="24"/>
          <w:szCs w:val="24"/>
          <w:lang w:eastAsia="sk-SK"/>
        </w:rPr>
        <w:t> </w:t>
      </w:r>
      <w:r w:rsidRPr="00687F7E">
        <w:rPr>
          <w:rFonts w:eastAsia="Times New Roman" w:cs="Times New Roman"/>
          <w:sz w:val="24"/>
          <w:szCs w:val="24"/>
          <w:lang w:eastAsia="sk-SK"/>
        </w:rPr>
        <w:t>eur. Z dôvodu zabezpečenia legislatívnych zmien boli výdavky jednotlivých kapitol štátneho rozpočtu zvýšené o 14 847 tis. eur (najmä Ministerstvo vnútra SR napr. v súvislosti s kontrolou vnútorných hraníc s Maďarskom, Ministerstvo práce, sociálnych vecí a rodiny SR napr. v súvislosti so zákonom o inšpekcii v sociálnych veciach a zákonom o profesionálnych náhradných rodičoch, Ministerstvo zdravotníctva SR napr. v súvislosti so</w:t>
      </w:r>
      <w:r>
        <w:rPr>
          <w:rFonts w:eastAsia="Times New Roman" w:cs="Times New Roman"/>
          <w:sz w:val="24"/>
          <w:szCs w:val="24"/>
          <w:lang w:eastAsia="sk-SK"/>
        </w:rPr>
        <w:t> </w:t>
      </w:r>
      <w:r w:rsidRPr="00687F7E">
        <w:rPr>
          <w:rFonts w:eastAsia="Times New Roman" w:cs="Times New Roman"/>
          <w:sz w:val="24"/>
          <w:szCs w:val="24"/>
          <w:lang w:eastAsia="sk-SK"/>
        </w:rPr>
        <w:t xml:space="preserve">zriadením </w:t>
      </w:r>
      <w:proofErr w:type="spellStart"/>
      <w:r w:rsidRPr="00687F7E">
        <w:rPr>
          <w:rFonts w:eastAsia="Times New Roman" w:cs="Times New Roman"/>
          <w:sz w:val="24"/>
          <w:szCs w:val="24"/>
          <w:lang w:eastAsia="sk-SK"/>
        </w:rPr>
        <w:t>Detenčného</w:t>
      </w:r>
      <w:proofErr w:type="spellEnd"/>
      <w:r w:rsidRPr="00687F7E">
        <w:rPr>
          <w:rFonts w:eastAsia="Times New Roman" w:cs="Times New Roman"/>
          <w:sz w:val="24"/>
          <w:szCs w:val="24"/>
          <w:lang w:eastAsia="sk-SK"/>
        </w:rPr>
        <w:t xml:space="preserve"> ústavu Hronovce, Štatistický úrad SR v súvislosti s referendom a voľbami).</w:t>
      </w:r>
    </w:p>
    <w:p w14:paraId="2311B927" w14:textId="15278227" w:rsidR="006A0B96" w:rsidRPr="0090469D" w:rsidRDefault="006A0B96" w:rsidP="006A0B96">
      <w:pPr>
        <w:spacing w:line="240" w:lineRule="auto"/>
        <w:rPr>
          <w:rFonts w:eastAsia="Times New Roman" w:cs="Times New Roman"/>
          <w:sz w:val="24"/>
          <w:szCs w:val="24"/>
          <w:lang w:eastAsia="sk-SK"/>
        </w:rPr>
      </w:pPr>
      <w:r w:rsidRPr="00E24CEC">
        <w:rPr>
          <w:rFonts w:eastAsia="Times New Roman" w:cs="Times New Roman"/>
          <w:sz w:val="24"/>
          <w:szCs w:val="24"/>
          <w:lang w:eastAsia="sk-SK"/>
        </w:rPr>
        <w:t xml:space="preserve">V priebehu roka 2023 sa pristúpilo k účelovému určeniu niektorých výdavkov, napríklad analytické jednotky </w:t>
      </w:r>
      <w:r>
        <w:rPr>
          <w:rFonts w:eastAsia="Times New Roman" w:cs="Times New Roman"/>
          <w:sz w:val="24"/>
          <w:szCs w:val="24"/>
          <w:lang w:eastAsia="sk-SK"/>
        </w:rPr>
        <w:t xml:space="preserve">štátu </w:t>
      </w:r>
      <w:r w:rsidRPr="00E24CEC">
        <w:rPr>
          <w:rFonts w:eastAsia="Times New Roman" w:cs="Times New Roman"/>
          <w:sz w:val="24"/>
          <w:szCs w:val="24"/>
          <w:lang w:eastAsia="sk-SK"/>
        </w:rPr>
        <w:t>boli posilnené o</w:t>
      </w:r>
      <w:r>
        <w:rPr>
          <w:rFonts w:eastAsia="Times New Roman" w:cs="Times New Roman"/>
          <w:sz w:val="24"/>
          <w:szCs w:val="24"/>
          <w:lang w:eastAsia="sk-SK"/>
        </w:rPr>
        <w:t> </w:t>
      </w:r>
      <w:r w:rsidRPr="00E24CEC">
        <w:rPr>
          <w:rFonts w:eastAsia="Times New Roman" w:cs="Times New Roman"/>
          <w:sz w:val="24"/>
          <w:szCs w:val="24"/>
          <w:lang w:eastAsia="sk-SK"/>
        </w:rPr>
        <w:t>13</w:t>
      </w:r>
      <w:r>
        <w:rPr>
          <w:rFonts w:eastAsia="Times New Roman" w:cs="Times New Roman"/>
          <w:sz w:val="24"/>
          <w:szCs w:val="24"/>
          <w:lang w:eastAsia="sk-SK"/>
        </w:rPr>
        <w:t> </w:t>
      </w:r>
      <w:r w:rsidRPr="00E24CEC">
        <w:rPr>
          <w:rFonts w:eastAsia="Times New Roman" w:cs="Times New Roman"/>
          <w:sz w:val="24"/>
          <w:szCs w:val="24"/>
          <w:lang w:eastAsia="sk-SK"/>
        </w:rPr>
        <w:t>osôb, na ktoré boli účelovo určené mzdové výdavky v sume 168 tis. eur. Mzdové výdavky na činnosť analytických jednotiek boli celkovo čerpané vo</w:t>
      </w:r>
      <w:r w:rsidR="003F27EA">
        <w:rPr>
          <w:rFonts w:eastAsia="Times New Roman" w:cs="Times New Roman"/>
          <w:sz w:val="24"/>
          <w:szCs w:val="24"/>
          <w:lang w:eastAsia="sk-SK"/>
        </w:rPr>
        <w:t> </w:t>
      </w:r>
      <w:r w:rsidRPr="00E24CEC">
        <w:rPr>
          <w:rFonts w:eastAsia="Times New Roman" w:cs="Times New Roman"/>
          <w:sz w:val="24"/>
          <w:szCs w:val="24"/>
          <w:lang w:eastAsia="sk-SK"/>
        </w:rPr>
        <w:t>výške 7 947 tis. eur</w:t>
      </w:r>
      <w:r w:rsidRPr="0090469D">
        <w:rPr>
          <w:rFonts w:eastAsia="Times New Roman" w:cs="Times New Roman"/>
          <w:sz w:val="24"/>
          <w:szCs w:val="24"/>
          <w:lang w:eastAsia="sk-SK"/>
        </w:rPr>
        <w:t>.</w:t>
      </w:r>
    </w:p>
    <w:p w14:paraId="7A257861" w14:textId="16B7517D" w:rsidR="00B768D9" w:rsidRPr="0090469D" w:rsidRDefault="006A0B96" w:rsidP="006A0B96">
      <w:pPr>
        <w:spacing w:line="240" w:lineRule="auto"/>
        <w:rPr>
          <w:rFonts w:eastAsia="Times New Roman" w:cs="Times New Roman"/>
          <w:sz w:val="24"/>
          <w:szCs w:val="24"/>
          <w:lang w:eastAsia="sk-SK"/>
        </w:rPr>
      </w:pPr>
      <w:r w:rsidRPr="00E24CEC">
        <w:rPr>
          <w:rFonts w:eastAsia="Times New Roman" w:cs="Times New Roman"/>
          <w:sz w:val="24"/>
          <w:szCs w:val="24"/>
          <w:lang w:eastAsia="sk-SK"/>
        </w:rPr>
        <w:t>V rámci skutočne čerpaných výdavkov na mzdy a platy v rozpočtových organizáciách kapitol štátneho rozpočtu bola vyplatená odmena pri príležitosti letnej dovolenky</w:t>
      </w:r>
      <w:r>
        <w:rPr>
          <w:rFonts w:eastAsia="Times New Roman" w:cs="Times New Roman"/>
          <w:sz w:val="24"/>
          <w:szCs w:val="24"/>
          <w:lang w:eastAsia="sk-SK"/>
        </w:rPr>
        <w:t xml:space="preserve"> </w:t>
      </w:r>
      <w:r w:rsidRPr="0009284D">
        <w:rPr>
          <w:rFonts w:eastAsia="Times New Roman" w:cs="Times New Roman"/>
          <w:sz w:val="24"/>
          <w:szCs w:val="24"/>
          <w:lang w:eastAsia="sk-SK"/>
        </w:rPr>
        <w:t>podľa § 118 ods. 4 písm. a) Zákonníka práce</w:t>
      </w:r>
      <w:r w:rsidRPr="00E24CEC">
        <w:rPr>
          <w:rFonts w:eastAsia="Times New Roman" w:cs="Times New Roman"/>
          <w:sz w:val="24"/>
          <w:szCs w:val="24"/>
          <w:lang w:eastAsia="sk-SK"/>
        </w:rPr>
        <w:t xml:space="preserve"> v sume 1</w:t>
      </w:r>
      <w:r>
        <w:rPr>
          <w:rFonts w:eastAsia="Times New Roman" w:cs="Times New Roman"/>
          <w:sz w:val="24"/>
          <w:szCs w:val="24"/>
          <w:lang w:eastAsia="sk-SK"/>
        </w:rPr>
        <w:t> </w:t>
      </w:r>
      <w:r w:rsidRPr="00E24CEC">
        <w:rPr>
          <w:rFonts w:eastAsia="Times New Roman" w:cs="Times New Roman"/>
          <w:sz w:val="24"/>
          <w:szCs w:val="24"/>
          <w:lang w:eastAsia="sk-SK"/>
        </w:rPr>
        <w:t>157 tis. eur (medziročný nárast o</w:t>
      </w:r>
      <w:r>
        <w:rPr>
          <w:rFonts w:eastAsia="Times New Roman" w:cs="Times New Roman"/>
          <w:sz w:val="24"/>
          <w:szCs w:val="24"/>
          <w:lang w:eastAsia="sk-SK"/>
        </w:rPr>
        <w:t> </w:t>
      </w:r>
      <w:r w:rsidRPr="00E24CEC">
        <w:rPr>
          <w:rFonts w:eastAsia="Times New Roman" w:cs="Times New Roman"/>
          <w:sz w:val="24"/>
          <w:szCs w:val="24"/>
          <w:lang w:eastAsia="sk-SK"/>
        </w:rPr>
        <w:t>32</w:t>
      </w:r>
      <w:r>
        <w:rPr>
          <w:rFonts w:eastAsia="Times New Roman" w:cs="Times New Roman"/>
          <w:sz w:val="24"/>
          <w:szCs w:val="24"/>
          <w:lang w:eastAsia="sk-SK"/>
        </w:rPr>
        <w:t> </w:t>
      </w:r>
      <w:r w:rsidRPr="00E24CEC">
        <w:rPr>
          <w:rFonts w:eastAsia="Times New Roman" w:cs="Times New Roman"/>
          <w:sz w:val="24"/>
          <w:szCs w:val="24"/>
          <w:lang w:eastAsia="sk-SK"/>
        </w:rPr>
        <w:t>tis.</w:t>
      </w:r>
      <w:r>
        <w:rPr>
          <w:rFonts w:eastAsia="Times New Roman" w:cs="Times New Roman"/>
          <w:sz w:val="24"/>
          <w:szCs w:val="24"/>
          <w:lang w:eastAsia="sk-SK"/>
        </w:rPr>
        <w:t> </w:t>
      </w:r>
      <w:r w:rsidRPr="00E24CEC">
        <w:rPr>
          <w:rFonts w:eastAsia="Times New Roman" w:cs="Times New Roman"/>
          <w:sz w:val="24"/>
          <w:szCs w:val="24"/>
          <w:lang w:eastAsia="sk-SK"/>
        </w:rPr>
        <w:t>eur) pre 1</w:t>
      </w:r>
      <w:r>
        <w:rPr>
          <w:rFonts w:eastAsia="Times New Roman" w:cs="Times New Roman"/>
          <w:sz w:val="24"/>
          <w:szCs w:val="24"/>
          <w:lang w:eastAsia="sk-SK"/>
        </w:rPr>
        <w:t> </w:t>
      </w:r>
      <w:r w:rsidRPr="00E24CEC">
        <w:rPr>
          <w:rFonts w:eastAsia="Times New Roman" w:cs="Times New Roman"/>
          <w:sz w:val="24"/>
          <w:szCs w:val="24"/>
          <w:lang w:eastAsia="sk-SK"/>
        </w:rPr>
        <w:t>113 zamestnancov (0,9</w:t>
      </w:r>
      <w:r>
        <w:rPr>
          <w:rFonts w:eastAsia="Times New Roman" w:cs="Times New Roman"/>
          <w:sz w:val="24"/>
          <w:szCs w:val="24"/>
          <w:lang w:eastAsia="sk-SK"/>
        </w:rPr>
        <w:t> </w:t>
      </w:r>
      <w:r w:rsidRPr="00E24CEC">
        <w:rPr>
          <w:rFonts w:eastAsia="Times New Roman" w:cs="Times New Roman"/>
          <w:sz w:val="24"/>
          <w:szCs w:val="24"/>
          <w:lang w:eastAsia="sk-SK"/>
        </w:rPr>
        <w:t>% zo skutočného počtu zamestnancov za rok 2023) a odmena pri príležitosti vianočných sviatkov v sume 2</w:t>
      </w:r>
      <w:r>
        <w:rPr>
          <w:rFonts w:eastAsia="Times New Roman" w:cs="Times New Roman"/>
          <w:sz w:val="24"/>
          <w:szCs w:val="24"/>
          <w:lang w:eastAsia="sk-SK"/>
        </w:rPr>
        <w:t> </w:t>
      </w:r>
      <w:r w:rsidRPr="00E24CEC">
        <w:rPr>
          <w:rFonts w:eastAsia="Times New Roman" w:cs="Times New Roman"/>
          <w:sz w:val="24"/>
          <w:szCs w:val="24"/>
          <w:lang w:eastAsia="sk-SK"/>
        </w:rPr>
        <w:t>104</w:t>
      </w:r>
      <w:r>
        <w:rPr>
          <w:rFonts w:eastAsia="Times New Roman" w:cs="Times New Roman"/>
          <w:sz w:val="24"/>
          <w:szCs w:val="24"/>
          <w:lang w:eastAsia="sk-SK"/>
        </w:rPr>
        <w:t> </w:t>
      </w:r>
      <w:r w:rsidRPr="00E24CEC">
        <w:rPr>
          <w:rFonts w:eastAsia="Times New Roman" w:cs="Times New Roman"/>
          <w:sz w:val="24"/>
          <w:szCs w:val="24"/>
          <w:lang w:eastAsia="sk-SK"/>
        </w:rPr>
        <w:t>tis.</w:t>
      </w:r>
      <w:r>
        <w:rPr>
          <w:rFonts w:eastAsia="Times New Roman" w:cs="Times New Roman"/>
          <w:sz w:val="24"/>
          <w:szCs w:val="24"/>
          <w:lang w:eastAsia="sk-SK"/>
        </w:rPr>
        <w:t> </w:t>
      </w:r>
      <w:r w:rsidRPr="00E24CEC">
        <w:rPr>
          <w:rFonts w:eastAsia="Times New Roman" w:cs="Times New Roman"/>
          <w:sz w:val="24"/>
          <w:szCs w:val="24"/>
          <w:lang w:eastAsia="sk-SK"/>
        </w:rPr>
        <w:t>eur (medziročný nárast o 650 tis. eur) pre 2</w:t>
      </w:r>
      <w:r>
        <w:rPr>
          <w:rFonts w:eastAsia="Times New Roman" w:cs="Times New Roman"/>
          <w:sz w:val="24"/>
          <w:szCs w:val="24"/>
          <w:lang w:eastAsia="sk-SK"/>
        </w:rPr>
        <w:t> </w:t>
      </w:r>
      <w:r w:rsidRPr="00E24CEC">
        <w:rPr>
          <w:rFonts w:eastAsia="Times New Roman" w:cs="Times New Roman"/>
          <w:sz w:val="24"/>
          <w:szCs w:val="24"/>
          <w:lang w:eastAsia="sk-SK"/>
        </w:rPr>
        <w:t>203 osôb (1,8</w:t>
      </w:r>
      <w:r>
        <w:rPr>
          <w:rFonts w:eastAsia="Times New Roman" w:cs="Times New Roman"/>
          <w:sz w:val="24"/>
          <w:szCs w:val="24"/>
          <w:lang w:eastAsia="sk-SK"/>
        </w:rPr>
        <w:t> </w:t>
      </w:r>
      <w:r w:rsidRPr="00E24CEC">
        <w:rPr>
          <w:rFonts w:eastAsia="Times New Roman" w:cs="Times New Roman"/>
          <w:sz w:val="24"/>
          <w:szCs w:val="24"/>
          <w:lang w:eastAsia="sk-SK"/>
        </w:rPr>
        <w:t>% zo skutočného počtu zamestnancov za</w:t>
      </w:r>
      <w:r>
        <w:rPr>
          <w:rFonts w:eastAsia="Times New Roman" w:cs="Times New Roman"/>
          <w:sz w:val="24"/>
          <w:szCs w:val="24"/>
          <w:lang w:eastAsia="sk-SK"/>
        </w:rPr>
        <w:t> </w:t>
      </w:r>
      <w:r w:rsidRPr="00E24CEC">
        <w:rPr>
          <w:rFonts w:eastAsia="Times New Roman" w:cs="Times New Roman"/>
          <w:sz w:val="24"/>
          <w:szCs w:val="24"/>
          <w:lang w:eastAsia="sk-SK"/>
        </w:rPr>
        <w:t>rok 2023).</w:t>
      </w:r>
    </w:p>
    <w:p w14:paraId="0A882A83" w14:textId="77777777" w:rsidR="00B768D9" w:rsidRPr="00040B78" w:rsidRDefault="00B768D9" w:rsidP="00B768D9">
      <w:pPr>
        <w:spacing w:line="240" w:lineRule="auto"/>
        <w:rPr>
          <w:b/>
          <w:color w:val="5B9BD5" w:themeColor="accent1"/>
          <w:sz w:val="24"/>
          <w:szCs w:val="24"/>
        </w:rPr>
      </w:pPr>
      <w:r w:rsidRPr="00040B78">
        <w:rPr>
          <w:b/>
          <w:color w:val="5B9BD5" w:themeColor="accent1"/>
          <w:sz w:val="24"/>
          <w:szCs w:val="24"/>
        </w:rPr>
        <w:t>Zamestnanosť v rozpočtových organizáciách ústrednej správy</w:t>
      </w:r>
    </w:p>
    <w:p w14:paraId="01165D21" w14:textId="77777777" w:rsidR="006A0B96" w:rsidRDefault="006A0B96" w:rsidP="006A0B96">
      <w:pPr>
        <w:spacing w:line="240" w:lineRule="auto"/>
        <w:rPr>
          <w:rFonts w:eastAsia="Times New Roman" w:cs="Times New Roman"/>
          <w:sz w:val="24"/>
          <w:szCs w:val="24"/>
          <w:lang w:eastAsia="sk-SK"/>
        </w:rPr>
      </w:pPr>
      <w:r w:rsidRPr="00687F7E">
        <w:rPr>
          <w:rFonts w:eastAsia="Times New Roman" w:cs="Times New Roman"/>
          <w:b/>
          <w:sz w:val="24"/>
          <w:szCs w:val="24"/>
          <w:lang w:eastAsia="sk-SK"/>
        </w:rPr>
        <w:t>Limit počtu zamestnancov</w:t>
      </w:r>
      <w:r w:rsidRPr="00360BCD">
        <w:rPr>
          <w:rFonts w:eastAsia="Times New Roman" w:cs="Times New Roman"/>
          <w:color w:val="FF0000"/>
          <w:sz w:val="24"/>
          <w:szCs w:val="24"/>
          <w:lang w:eastAsia="sk-SK"/>
        </w:rPr>
        <w:t xml:space="preserve"> </w:t>
      </w:r>
      <w:r w:rsidRPr="00E24CEC">
        <w:rPr>
          <w:rFonts w:eastAsia="Times New Roman" w:cs="Times New Roman"/>
          <w:sz w:val="24"/>
          <w:szCs w:val="24"/>
          <w:lang w:eastAsia="sk-SK"/>
        </w:rPr>
        <w:t>pre rozpočtové organizácie kapitol štátneho rozpočtu na rok 2023 bol schválený uznesením vlády SR č. 636/2022 k Návrhu rozpočtu verejnej správy na roky 2023 až 2025 v počte 128 662 osôb (r. 2022: 127</w:t>
      </w:r>
      <w:r>
        <w:rPr>
          <w:rFonts w:eastAsia="Times New Roman" w:cs="Times New Roman"/>
          <w:sz w:val="24"/>
          <w:szCs w:val="24"/>
          <w:lang w:eastAsia="sk-SK"/>
        </w:rPr>
        <w:t> </w:t>
      </w:r>
      <w:r w:rsidRPr="00E24CEC">
        <w:rPr>
          <w:rFonts w:eastAsia="Times New Roman" w:cs="Times New Roman"/>
          <w:sz w:val="24"/>
          <w:szCs w:val="24"/>
          <w:lang w:eastAsia="sk-SK"/>
        </w:rPr>
        <w:t>536). Schválený limit počtu zamestnancov rozpočtových organizácií medziročne stúpol o</w:t>
      </w:r>
      <w:r>
        <w:rPr>
          <w:rFonts w:eastAsia="Times New Roman" w:cs="Times New Roman"/>
          <w:sz w:val="24"/>
          <w:szCs w:val="24"/>
          <w:lang w:eastAsia="sk-SK"/>
        </w:rPr>
        <w:t> </w:t>
      </w:r>
      <w:r w:rsidRPr="00E24CEC">
        <w:rPr>
          <w:rFonts w:eastAsia="Times New Roman" w:cs="Times New Roman"/>
          <w:sz w:val="24"/>
          <w:szCs w:val="24"/>
          <w:lang w:eastAsia="sk-SK"/>
        </w:rPr>
        <w:t>1</w:t>
      </w:r>
      <w:r>
        <w:rPr>
          <w:rFonts w:eastAsia="Times New Roman" w:cs="Times New Roman"/>
          <w:sz w:val="24"/>
          <w:szCs w:val="24"/>
          <w:lang w:eastAsia="sk-SK"/>
        </w:rPr>
        <w:t> </w:t>
      </w:r>
      <w:r w:rsidRPr="00E24CEC">
        <w:rPr>
          <w:rFonts w:eastAsia="Times New Roman" w:cs="Times New Roman"/>
          <w:sz w:val="24"/>
          <w:szCs w:val="24"/>
          <w:lang w:eastAsia="sk-SK"/>
        </w:rPr>
        <w:t>126</w:t>
      </w:r>
      <w:r>
        <w:rPr>
          <w:rFonts w:eastAsia="Times New Roman" w:cs="Times New Roman"/>
          <w:sz w:val="24"/>
          <w:szCs w:val="24"/>
          <w:lang w:eastAsia="sk-SK"/>
        </w:rPr>
        <w:t> </w:t>
      </w:r>
      <w:r w:rsidRPr="00E24CEC">
        <w:rPr>
          <w:rFonts w:eastAsia="Times New Roman" w:cs="Times New Roman"/>
          <w:sz w:val="24"/>
          <w:szCs w:val="24"/>
          <w:lang w:eastAsia="sk-SK"/>
        </w:rPr>
        <w:t>osôb. Na</w:t>
      </w:r>
      <w:r>
        <w:rPr>
          <w:rFonts w:eastAsia="Times New Roman" w:cs="Times New Roman"/>
          <w:sz w:val="24"/>
          <w:szCs w:val="24"/>
          <w:lang w:eastAsia="sk-SK"/>
        </w:rPr>
        <w:t> </w:t>
      </w:r>
      <w:r w:rsidRPr="00E24CEC">
        <w:rPr>
          <w:rFonts w:eastAsia="Times New Roman" w:cs="Times New Roman"/>
          <w:sz w:val="24"/>
          <w:szCs w:val="24"/>
          <w:lang w:eastAsia="sk-SK"/>
        </w:rPr>
        <w:t>medziročnom zvýšení schváleného limitu počtu zamestnancov kapitol štátneho rozpočtu mala najvýraznejší podiel kapitola Ministerstvo obrany SR (zvýšenie systemizácie profesionálnych vojakov o</w:t>
      </w:r>
      <w:r>
        <w:rPr>
          <w:rFonts w:eastAsia="Times New Roman" w:cs="Times New Roman"/>
          <w:sz w:val="24"/>
          <w:szCs w:val="24"/>
          <w:lang w:eastAsia="sk-SK"/>
        </w:rPr>
        <w:t> </w:t>
      </w:r>
      <w:r w:rsidRPr="00E24CEC">
        <w:rPr>
          <w:rFonts w:eastAsia="Times New Roman" w:cs="Times New Roman"/>
          <w:sz w:val="24"/>
          <w:szCs w:val="24"/>
          <w:lang w:eastAsia="sk-SK"/>
        </w:rPr>
        <w:t>880</w:t>
      </w:r>
      <w:r>
        <w:rPr>
          <w:rFonts w:eastAsia="Times New Roman" w:cs="Times New Roman"/>
          <w:sz w:val="24"/>
          <w:szCs w:val="24"/>
          <w:lang w:eastAsia="sk-SK"/>
        </w:rPr>
        <w:t> </w:t>
      </w:r>
      <w:r w:rsidRPr="00E24CEC">
        <w:rPr>
          <w:rFonts w:eastAsia="Times New Roman" w:cs="Times New Roman"/>
          <w:sz w:val="24"/>
          <w:szCs w:val="24"/>
          <w:lang w:eastAsia="sk-SK"/>
        </w:rPr>
        <w:t>osôb).</w:t>
      </w:r>
    </w:p>
    <w:p w14:paraId="51FF627A" w14:textId="2A5A8C84" w:rsidR="006A0B96" w:rsidRPr="0090469D" w:rsidRDefault="006A0B96" w:rsidP="006A0B96">
      <w:pPr>
        <w:spacing w:line="240" w:lineRule="auto"/>
        <w:rPr>
          <w:rFonts w:eastAsia="Times New Roman" w:cs="Times New Roman"/>
          <w:sz w:val="24"/>
          <w:szCs w:val="24"/>
          <w:lang w:eastAsia="sk-SK"/>
        </w:rPr>
      </w:pPr>
      <w:r w:rsidRPr="00360BCD">
        <w:rPr>
          <w:rFonts w:eastAsia="Times New Roman" w:cs="Times New Roman"/>
          <w:color w:val="FF0000"/>
          <w:sz w:val="24"/>
          <w:szCs w:val="24"/>
          <w:lang w:eastAsia="sk-SK"/>
        </w:rPr>
        <w:t xml:space="preserve"> </w:t>
      </w:r>
      <w:r w:rsidRPr="00E24CEC">
        <w:rPr>
          <w:rFonts w:cs="Times New Roman"/>
          <w:sz w:val="24"/>
          <w:szCs w:val="24"/>
        </w:rPr>
        <w:t xml:space="preserve">V rámci schváleného limitu počtu zamestnancov rozpočtových organizácií kapitol štátneho rozpočtu boli uznesením vlády Slovenskej republiky č. 636/2022 schválené aj administratívne </w:t>
      </w:r>
      <w:r w:rsidRPr="00E24CEC">
        <w:rPr>
          <w:rFonts w:cs="Times New Roman"/>
          <w:sz w:val="24"/>
          <w:szCs w:val="24"/>
        </w:rPr>
        <w:lastRenderedPageBreak/>
        <w:t>kapacity osobitne sledované v počte 1 645 osôb (r. 2022:</w:t>
      </w:r>
      <w:r>
        <w:rPr>
          <w:rFonts w:cs="Times New Roman"/>
          <w:sz w:val="24"/>
          <w:szCs w:val="24"/>
        </w:rPr>
        <w:t> </w:t>
      </w:r>
      <w:r w:rsidRPr="00E24CEC">
        <w:rPr>
          <w:rFonts w:cs="Times New Roman"/>
          <w:sz w:val="24"/>
          <w:szCs w:val="24"/>
        </w:rPr>
        <w:t>1 602). V priebehu roka boli administratívne kapacity osobitne sledované upravené o 61 osôb na počet 1</w:t>
      </w:r>
      <w:r>
        <w:rPr>
          <w:rFonts w:cs="Times New Roman"/>
          <w:sz w:val="24"/>
          <w:szCs w:val="24"/>
        </w:rPr>
        <w:t> </w:t>
      </w:r>
      <w:r w:rsidRPr="00E24CEC">
        <w:rPr>
          <w:rFonts w:cs="Times New Roman"/>
          <w:sz w:val="24"/>
          <w:szCs w:val="24"/>
        </w:rPr>
        <w:t>706 osôb. K</w:t>
      </w:r>
      <w:r>
        <w:rPr>
          <w:rFonts w:cs="Times New Roman"/>
          <w:sz w:val="24"/>
          <w:szCs w:val="24"/>
        </w:rPr>
        <w:t>u </w:t>
      </w:r>
      <w:r w:rsidRPr="00E24CEC">
        <w:rPr>
          <w:rFonts w:cs="Times New Roman"/>
          <w:sz w:val="24"/>
          <w:szCs w:val="24"/>
        </w:rPr>
        <w:t>zvýšeniu administratívnych kapacít osobitne sledovaných došlo v kapitolách Úrad vlády SR (24 osôb), Úrad pre</w:t>
      </w:r>
      <w:r w:rsidR="00102D5B">
        <w:rPr>
          <w:rFonts w:cs="Times New Roman"/>
          <w:sz w:val="24"/>
          <w:szCs w:val="24"/>
        </w:rPr>
        <w:t> </w:t>
      </w:r>
      <w:r w:rsidRPr="00E24CEC">
        <w:rPr>
          <w:rFonts w:cs="Times New Roman"/>
          <w:sz w:val="24"/>
          <w:szCs w:val="24"/>
        </w:rPr>
        <w:t>verejné obstarávanie (26 osôb), Ministerstvo dopravy SR (9 osôb) a Protimonopolný úrad SR (2 osoby). Skutočný počet administratívnych kapacít osobitne sledovaných v roku 2023 dosiahol počet 1 378 osôb, čo je medziročne viac o 16 osôb (1,2</w:t>
      </w:r>
      <w:r w:rsidR="00102D5B">
        <w:rPr>
          <w:rFonts w:cs="Times New Roman"/>
          <w:sz w:val="24"/>
          <w:szCs w:val="24"/>
        </w:rPr>
        <w:t> </w:t>
      </w:r>
      <w:r w:rsidRPr="00E24CEC">
        <w:rPr>
          <w:rFonts w:cs="Times New Roman"/>
          <w:sz w:val="24"/>
          <w:szCs w:val="24"/>
        </w:rPr>
        <w:t>%).</w:t>
      </w:r>
      <w:r w:rsidRPr="00E24CEC">
        <w:rPr>
          <w:rFonts w:eastAsia="Times New Roman" w:cs="Times New Roman"/>
          <w:color w:val="FF0000"/>
          <w:sz w:val="24"/>
          <w:szCs w:val="24"/>
          <w:lang w:eastAsia="sk-SK"/>
        </w:rPr>
        <w:t xml:space="preserve"> </w:t>
      </w:r>
    </w:p>
    <w:p w14:paraId="4D71B198" w14:textId="67116DD3" w:rsidR="006A0B96" w:rsidRPr="0090469D" w:rsidRDefault="006A0B96" w:rsidP="006A0B96">
      <w:pPr>
        <w:spacing w:line="240" w:lineRule="auto"/>
        <w:rPr>
          <w:rFonts w:eastAsia="Times New Roman" w:cs="Times New Roman"/>
          <w:sz w:val="24"/>
          <w:szCs w:val="24"/>
          <w:lang w:eastAsia="sk-SK"/>
        </w:rPr>
      </w:pPr>
      <w:r w:rsidRPr="00E24CEC">
        <w:rPr>
          <w:rFonts w:cs="Times New Roman"/>
          <w:sz w:val="24"/>
          <w:szCs w:val="24"/>
        </w:rPr>
        <w:t>V priebehu roka 2023 bol limit počtu zamestnancov rozpočtových organizácií zvýšený rozpočtovými opatreniami na 132</w:t>
      </w:r>
      <w:r w:rsidR="00102D5B">
        <w:rPr>
          <w:rFonts w:cs="Times New Roman"/>
          <w:sz w:val="24"/>
          <w:szCs w:val="24"/>
        </w:rPr>
        <w:t> </w:t>
      </w:r>
      <w:r w:rsidRPr="00E24CEC">
        <w:rPr>
          <w:rFonts w:cs="Times New Roman"/>
          <w:sz w:val="24"/>
          <w:szCs w:val="24"/>
        </w:rPr>
        <w:t>211 osôb (o</w:t>
      </w:r>
      <w:r w:rsidR="00102D5B">
        <w:rPr>
          <w:rFonts w:cs="Times New Roman"/>
          <w:sz w:val="24"/>
          <w:szCs w:val="24"/>
        </w:rPr>
        <w:t> </w:t>
      </w:r>
      <w:r w:rsidRPr="00E24CEC">
        <w:rPr>
          <w:rFonts w:cs="Times New Roman"/>
          <w:sz w:val="24"/>
          <w:szCs w:val="24"/>
        </w:rPr>
        <w:t>3</w:t>
      </w:r>
      <w:r w:rsidR="00102D5B">
        <w:rPr>
          <w:rFonts w:cs="Times New Roman"/>
          <w:sz w:val="24"/>
          <w:szCs w:val="24"/>
        </w:rPr>
        <w:t> </w:t>
      </w:r>
      <w:r w:rsidRPr="00E24CEC">
        <w:rPr>
          <w:rFonts w:cs="Times New Roman"/>
          <w:sz w:val="24"/>
          <w:szCs w:val="24"/>
        </w:rPr>
        <w:t>549 osôb).</w:t>
      </w:r>
    </w:p>
    <w:p w14:paraId="1DB70045" w14:textId="4DB711F4" w:rsidR="006A0B96" w:rsidRPr="00E24CEC" w:rsidRDefault="006A0B96" w:rsidP="006A0B96">
      <w:pPr>
        <w:spacing w:line="240" w:lineRule="auto"/>
        <w:rPr>
          <w:rFonts w:eastAsia="Times New Roman" w:cs="Times New Roman"/>
          <w:sz w:val="24"/>
          <w:szCs w:val="24"/>
          <w:lang w:eastAsia="sk-SK"/>
        </w:rPr>
      </w:pPr>
      <w:r w:rsidRPr="00E24CEC">
        <w:rPr>
          <w:rFonts w:eastAsia="Times New Roman" w:cs="Times New Roman"/>
          <w:sz w:val="24"/>
          <w:szCs w:val="24"/>
          <w:lang w:eastAsia="sk-SK"/>
        </w:rPr>
        <w:t>V</w:t>
      </w:r>
      <w:r>
        <w:rPr>
          <w:rFonts w:eastAsia="Times New Roman" w:cs="Times New Roman"/>
          <w:sz w:val="24"/>
          <w:szCs w:val="24"/>
          <w:lang w:eastAsia="sk-SK"/>
        </w:rPr>
        <w:t> </w:t>
      </w:r>
      <w:r w:rsidRPr="00E24CEC">
        <w:rPr>
          <w:rFonts w:eastAsia="Times New Roman" w:cs="Times New Roman"/>
          <w:sz w:val="24"/>
          <w:szCs w:val="24"/>
          <w:lang w:eastAsia="sk-SK"/>
        </w:rPr>
        <w:t>priebehu roka 2023 predložila kapitola Ministerstvo vnútra SR požiadavku na</w:t>
      </w:r>
      <w:r>
        <w:rPr>
          <w:rFonts w:eastAsia="Times New Roman" w:cs="Times New Roman"/>
          <w:sz w:val="24"/>
          <w:szCs w:val="24"/>
          <w:lang w:eastAsia="sk-SK"/>
        </w:rPr>
        <w:t> </w:t>
      </w:r>
      <w:r w:rsidRPr="00E24CEC">
        <w:rPr>
          <w:rFonts w:eastAsia="Times New Roman" w:cs="Times New Roman"/>
          <w:sz w:val="24"/>
          <w:szCs w:val="24"/>
          <w:lang w:eastAsia="sk-SK"/>
        </w:rPr>
        <w:t>vrátenie viazaného počtu zamestnancov vyplývajúcej z revízie výdavkov ÚHP. Na základe tejto požiadavky bolo do rozpočtu kapitoly Ministerstvo vnútra SR premietnuté vrátenie viazania na</w:t>
      </w:r>
      <w:r w:rsidR="00102D5B">
        <w:rPr>
          <w:rFonts w:eastAsia="Times New Roman" w:cs="Times New Roman"/>
          <w:sz w:val="24"/>
          <w:szCs w:val="24"/>
          <w:lang w:eastAsia="sk-SK"/>
        </w:rPr>
        <w:t> </w:t>
      </w:r>
      <w:r w:rsidRPr="00E24CEC">
        <w:rPr>
          <w:rFonts w:eastAsia="Times New Roman" w:cs="Times New Roman"/>
          <w:sz w:val="24"/>
          <w:szCs w:val="24"/>
          <w:lang w:eastAsia="sk-SK"/>
        </w:rPr>
        <w:t>úrovni 701 osôb, z toho 622 policajtov.</w:t>
      </w:r>
    </w:p>
    <w:p w14:paraId="3A15864C" w14:textId="5740B096" w:rsidR="00B768D9" w:rsidRPr="0090469D" w:rsidRDefault="006A0B96" w:rsidP="006A0B96">
      <w:pPr>
        <w:spacing w:line="240" w:lineRule="auto"/>
        <w:rPr>
          <w:rFonts w:eastAsia="Times New Roman" w:cs="Times New Roman"/>
          <w:sz w:val="24"/>
          <w:szCs w:val="24"/>
          <w:lang w:eastAsia="sk-SK"/>
        </w:rPr>
      </w:pPr>
      <w:r w:rsidRPr="00E24CEC">
        <w:rPr>
          <w:rFonts w:cs="Times New Roman"/>
          <w:sz w:val="24"/>
          <w:szCs w:val="24"/>
        </w:rPr>
        <w:t>Z dôvodu zamestnávania projektových zamestnancov, ktorých mzdové výdavky sú hradené zo</w:t>
      </w:r>
      <w:r w:rsidR="003F27EA">
        <w:rPr>
          <w:rFonts w:cs="Times New Roman"/>
          <w:sz w:val="24"/>
          <w:szCs w:val="24"/>
        </w:rPr>
        <w:t> </w:t>
      </w:r>
      <w:r w:rsidRPr="00E24CEC">
        <w:rPr>
          <w:rFonts w:cs="Times New Roman"/>
          <w:sz w:val="24"/>
          <w:szCs w:val="24"/>
        </w:rPr>
        <w:t>zdrojov Európskej únie, bolo realizované zvýšenie limitov počtov zamestnancov o 1 776 osôb, a to najmä v kapitole Ministerstvo práce, sociálnych vecí a rodiny SR v počte 1 545 osôb, Ministerstvo financií SR o 113 osôb a Ministerstvo investícií, regionálneho rozvoja a informatizácie SR v počte 95 osôb. Ďalšie výrazné zvýšenie limitu počtu zamestnancov bolo realizované v kapitole Ministerstvo školstva, vedy, výskumu a športu SR, kde bol zvýšený limit počtu zamestnancov na realizáciu Plánu obnovy a odolnosti o 579 osôb. Na realizáciu schválenej legislatívy sa v priebehu roka upravil limit počtu zamestnancov rozpočtových organizácií o 253 osôb (napríklad v kapitole Ministerstvo práce, sociálnych vecí a rodiny SR o 113 osôb najmä na</w:t>
      </w:r>
      <w:r w:rsidR="00102D5B">
        <w:rPr>
          <w:rFonts w:cs="Times New Roman"/>
          <w:sz w:val="24"/>
          <w:szCs w:val="24"/>
        </w:rPr>
        <w:t> </w:t>
      </w:r>
      <w:r w:rsidRPr="00E24CEC">
        <w:rPr>
          <w:rFonts w:cs="Times New Roman"/>
          <w:sz w:val="24"/>
          <w:szCs w:val="24"/>
        </w:rPr>
        <w:t>zabezpečenie zákona o inšpekcii v sociálnych veciach, v kapitole Ministerstvo zdravotníctva SR o 94 pre</w:t>
      </w:r>
      <w:r>
        <w:rPr>
          <w:rFonts w:cs="Times New Roman"/>
          <w:sz w:val="24"/>
          <w:szCs w:val="24"/>
        </w:rPr>
        <w:t> </w:t>
      </w:r>
      <w:proofErr w:type="spellStart"/>
      <w:r w:rsidRPr="00E24CEC">
        <w:rPr>
          <w:rFonts w:cs="Times New Roman"/>
          <w:sz w:val="24"/>
          <w:szCs w:val="24"/>
        </w:rPr>
        <w:t>Detenčný</w:t>
      </w:r>
      <w:proofErr w:type="spellEnd"/>
      <w:r w:rsidRPr="00E24CEC">
        <w:rPr>
          <w:rFonts w:cs="Times New Roman"/>
          <w:sz w:val="24"/>
          <w:szCs w:val="24"/>
        </w:rPr>
        <w:t xml:space="preserve"> ústav Hronovce, v kapitole Ministerstvo spravodlivosti SR o 59 osôb na reformu súdnej mapy</w:t>
      </w:r>
      <w:r w:rsidRPr="0090469D">
        <w:rPr>
          <w:rFonts w:cs="Times New Roman"/>
          <w:sz w:val="24"/>
          <w:szCs w:val="24"/>
        </w:rPr>
        <w:t>).</w:t>
      </w:r>
      <w:r w:rsidR="00B768D9" w:rsidRPr="0090469D">
        <w:rPr>
          <w:rFonts w:eastAsia="Times New Roman" w:cs="Times New Roman"/>
          <w:sz w:val="24"/>
          <w:szCs w:val="24"/>
          <w:lang w:eastAsia="sk-SK"/>
        </w:rPr>
        <w:t xml:space="preserve"> </w:t>
      </w:r>
    </w:p>
    <w:p w14:paraId="13AAE749" w14:textId="77777777" w:rsidR="00102D5B" w:rsidRPr="0090469D" w:rsidRDefault="00102D5B" w:rsidP="00102D5B">
      <w:pPr>
        <w:spacing w:line="240" w:lineRule="auto"/>
        <w:rPr>
          <w:rFonts w:eastAsia="Times New Roman" w:cs="Times New Roman"/>
          <w:sz w:val="24"/>
          <w:szCs w:val="24"/>
          <w:lang w:eastAsia="sk-SK"/>
        </w:rPr>
      </w:pPr>
      <w:r w:rsidRPr="00E24CEC">
        <w:rPr>
          <w:rFonts w:cs="Times New Roman"/>
          <w:b/>
          <w:sz w:val="24"/>
          <w:szCs w:val="24"/>
        </w:rPr>
        <w:t xml:space="preserve">Skutočné plnenie počtu zamestnancov rozpočtových organizácií kapitol štátneho rozpočtu dosiahlo úroveň 123 699 osôb, čo je v porovnaní s ich skutočným plnením v roku 2022 o 717 osôb viac. </w:t>
      </w:r>
      <w:r w:rsidRPr="00E24CEC">
        <w:rPr>
          <w:rFonts w:cs="Times New Roman"/>
          <w:sz w:val="24"/>
          <w:szCs w:val="24"/>
        </w:rPr>
        <w:t>V</w:t>
      </w:r>
      <w:r>
        <w:rPr>
          <w:rFonts w:cs="Times New Roman"/>
          <w:sz w:val="24"/>
          <w:szCs w:val="24"/>
        </w:rPr>
        <w:t> </w:t>
      </w:r>
      <w:r w:rsidRPr="00E24CEC">
        <w:rPr>
          <w:rFonts w:cs="Times New Roman"/>
          <w:sz w:val="24"/>
          <w:szCs w:val="24"/>
        </w:rPr>
        <w:t>porovnaní s pôvodne schváleným limitom počtu zamestnancov je skutočnosť nižšia o 4 963 osôb (3,9 %) a s upraveným limitom o 8 512 osôb (6,4 %). Upravený limit počtu zamestnancov neprekročila ani jedna kapitola štátneho rozpočtu a ani žiadna zo 4 organizácií rozpočtovaných v kapitole Všeobecná pokladničná správa. V absolútnom vyjadrení je možné konštatovať dlhodobé výrazné neplnenie limitu počtu zamestnancov v kapitolách Ministerstvo vnútra (3 496 osôb, z toho systemizovaného počtu policajtov v štátnej službe v počte 2 616 osôb), Ministerstvo obrany SR (966 osôb, z toho 874 profesionálnych vojakov), Ministerstvo financií SR (718 osôb, z toho 569 príslušníkov finančnej správy), Ministerstvo školstva, vedy, výskumu a športu SR (700 osôb) a Ministerstvo spravodlivosti SR (614 osôb, z toho 367 príslušníkov ZVJS).</w:t>
      </w:r>
    </w:p>
    <w:p w14:paraId="1E7788DB" w14:textId="45C5EDD2" w:rsidR="00102D5B" w:rsidRPr="008D3667" w:rsidRDefault="00102D5B" w:rsidP="00102D5B">
      <w:pPr>
        <w:pStyle w:val="Bezriadkovania"/>
        <w:rPr>
          <w:rFonts w:eastAsiaTheme="minorHAnsi"/>
          <w:sz w:val="24"/>
          <w:szCs w:val="24"/>
        </w:rPr>
      </w:pPr>
      <w:r w:rsidRPr="008D3667">
        <w:rPr>
          <w:sz w:val="24"/>
          <w:szCs w:val="24"/>
        </w:rPr>
        <w:t xml:space="preserve">Pre zamestnancov aparátov ústredných orgánov </w:t>
      </w:r>
      <w:r w:rsidRPr="008D3667">
        <w:rPr>
          <w:rFonts w:eastAsiaTheme="minorHAnsi"/>
          <w:sz w:val="24"/>
          <w:szCs w:val="24"/>
        </w:rPr>
        <w:t>boli schválené výdavky na mzdy, platy, služobné príjmy a OOV v sume 361</w:t>
      </w:r>
      <w:r>
        <w:rPr>
          <w:rFonts w:eastAsiaTheme="minorHAnsi"/>
          <w:sz w:val="24"/>
          <w:szCs w:val="24"/>
        </w:rPr>
        <w:t> </w:t>
      </w:r>
      <w:r w:rsidRPr="008D3667">
        <w:rPr>
          <w:rFonts w:eastAsiaTheme="minorHAnsi"/>
          <w:sz w:val="24"/>
          <w:szCs w:val="24"/>
        </w:rPr>
        <w:t>916</w:t>
      </w:r>
      <w:r>
        <w:rPr>
          <w:rFonts w:eastAsiaTheme="minorHAnsi"/>
          <w:sz w:val="24"/>
          <w:szCs w:val="24"/>
        </w:rPr>
        <w:t> </w:t>
      </w:r>
      <w:r w:rsidRPr="008D3667">
        <w:rPr>
          <w:rFonts w:eastAsiaTheme="minorHAnsi"/>
          <w:sz w:val="24"/>
          <w:szCs w:val="24"/>
        </w:rPr>
        <w:t>tis. eur ako záväzný ukazovateľ z kódu 111, 11H a 11UA. V priebehu roka bol tento limit rozpočtovými opatreniami zvýšený na 395 318 tis. eur. Na</w:t>
      </w:r>
      <w:r>
        <w:rPr>
          <w:rFonts w:eastAsiaTheme="minorHAnsi"/>
          <w:sz w:val="24"/>
          <w:szCs w:val="24"/>
        </w:rPr>
        <w:t> </w:t>
      </w:r>
      <w:r w:rsidRPr="008D3667">
        <w:rPr>
          <w:rFonts w:eastAsiaTheme="minorHAnsi"/>
          <w:sz w:val="24"/>
          <w:szCs w:val="24"/>
        </w:rPr>
        <w:t>základe vykonaných rozpočtových opatrení vyššie čerpanie mzdových výdavkov v aparátoch ústredných orgánov súviselo najmä s dofinancovaním administratívnych kapacít v sume 22</w:t>
      </w:r>
      <w:r>
        <w:rPr>
          <w:rFonts w:eastAsiaTheme="minorHAnsi"/>
          <w:sz w:val="24"/>
          <w:szCs w:val="24"/>
        </w:rPr>
        <w:t> </w:t>
      </w:r>
      <w:r w:rsidRPr="008D3667">
        <w:rPr>
          <w:rFonts w:eastAsiaTheme="minorHAnsi"/>
          <w:sz w:val="24"/>
          <w:szCs w:val="24"/>
        </w:rPr>
        <w:t>484</w:t>
      </w:r>
      <w:r>
        <w:rPr>
          <w:rFonts w:eastAsiaTheme="minorHAnsi"/>
          <w:sz w:val="24"/>
          <w:szCs w:val="24"/>
        </w:rPr>
        <w:t> </w:t>
      </w:r>
      <w:r w:rsidRPr="008D3667">
        <w:rPr>
          <w:rFonts w:eastAsiaTheme="minorHAnsi"/>
          <w:sz w:val="24"/>
          <w:szCs w:val="24"/>
        </w:rPr>
        <w:t>tis.</w:t>
      </w:r>
      <w:r>
        <w:rPr>
          <w:rFonts w:eastAsiaTheme="minorHAnsi"/>
          <w:sz w:val="24"/>
          <w:szCs w:val="24"/>
        </w:rPr>
        <w:t> </w:t>
      </w:r>
      <w:r w:rsidRPr="008D3667">
        <w:rPr>
          <w:rFonts w:eastAsiaTheme="minorHAnsi"/>
          <w:sz w:val="24"/>
          <w:szCs w:val="24"/>
        </w:rPr>
        <w:t>eur. Vyššie čerpanie  mzdových výdavkov súviselo aj s hmotnou stimuláciou zamestnancov v sume 5 732  tis. eur (najmä Ministerstvo vnútra SR v sume 4 863 tis. eur), so</w:t>
      </w:r>
      <w:r>
        <w:rPr>
          <w:rFonts w:eastAsiaTheme="minorHAnsi"/>
          <w:sz w:val="24"/>
          <w:szCs w:val="24"/>
        </w:rPr>
        <w:t> </w:t>
      </w:r>
      <w:r w:rsidRPr="008D3667">
        <w:rPr>
          <w:rFonts w:eastAsiaTheme="minorHAnsi"/>
          <w:sz w:val="24"/>
          <w:szCs w:val="24"/>
        </w:rPr>
        <w:t xml:space="preserve">zabezpečením novej legislatívy v aparátoch ústredných orgánov (3 617 tis. eur) a s personálnym posilnením niektorých aparátov ústredných orgánov v  sume 2 320 tis. eur (najvýraznejšie v kapitole Ministerstvo životného prostredia SR v súvislosti s plnením záväzkov v oblasti ochrany životného prostredia v sume 1 055 tis. eur).  Na zabezpečenie zvýšenia platových náležitostí ústavných činiteľov, ústavných sudcov, sudcov, prokurátorov  od 1. januára </w:t>
      </w:r>
      <w:r w:rsidRPr="008D3667">
        <w:rPr>
          <w:rFonts w:eastAsiaTheme="minorHAnsi"/>
          <w:sz w:val="24"/>
          <w:szCs w:val="24"/>
        </w:rPr>
        <w:lastRenderedPageBreak/>
        <w:t>2023 a zamestnancov naviazaných na plat poslanca sa zvýšili mzdové výdavky v celkovej sume 1 738 tis. eur</w:t>
      </w:r>
      <w:r w:rsidRPr="008D3667">
        <w:rPr>
          <w:sz w:val="24"/>
          <w:szCs w:val="24"/>
        </w:rPr>
        <w:t>.</w:t>
      </w:r>
      <w:r w:rsidRPr="008D3667">
        <w:rPr>
          <w:rFonts w:eastAsiaTheme="minorHAnsi"/>
          <w:sz w:val="24"/>
          <w:szCs w:val="24"/>
        </w:rPr>
        <w:t>).</w:t>
      </w:r>
    </w:p>
    <w:p w14:paraId="6AC9E8E9" w14:textId="77777777" w:rsidR="00102D5B" w:rsidRPr="00E24CEC" w:rsidRDefault="00102D5B" w:rsidP="00102D5B">
      <w:pPr>
        <w:spacing w:line="240" w:lineRule="auto"/>
        <w:rPr>
          <w:rFonts w:cs="Times New Roman"/>
          <w:sz w:val="24"/>
          <w:szCs w:val="24"/>
        </w:rPr>
      </w:pPr>
      <w:r w:rsidRPr="00E24CEC">
        <w:rPr>
          <w:rFonts w:cs="Times New Roman"/>
          <w:sz w:val="24"/>
          <w:szCs w:val="24"/>
        </w:rPr>
        <w:t>Zamestnancom aparátov ústredných orgánov boli za všetky zdroje spolu vyplatené mzdy a platy v sume 448</w:t>
      </w:r>
      <w:r>
        <w:rPr>
          <w:rFonts w:cs="Times New Roman"/>
          <w:sz w:val="24"/>
          <w:szCs w:val="24"/>
        </w:rPr>
        <w:t> </w:t>
      </w:r>
      <w:r w:rsidRPr="00E24CEC">
        <w:rPr>
          <w:rFonts w:cs="Times New Roman"/>
          <w:sz w:val="24"/>
          <w:szCs w:val="24"/>
        </w:rPr>
        <w:t>412</w:t>
      </w:r>
      <w:r>
        <w:rPr>
          <w:rFonts w:cs="Times New Roman"/>
          <w:sz w:val="24"/>
          <w:szCs w:val="24"/>
        </w:rPr>
        <w:t> </w:t>
      </w:r>
      <w:r w:rsidRPr="00E24CEC">
        <w:rPr>
          <w:rFonts w:cs="Times New Roman"/>
          <w:sz w:val="24"/>
          <w:szCs w:val="24"/>
        </w:rPr>
        <w:t>tis. eur. Skutočné výdavky na mzdy, platy, služobné príjmy a OOV zamestnancov aparátu ústredného orgánu za všetky zdroje spolu medziročne vzrástli o 56</w:t>
      </w:r>
      <w:r>
        <w:rPr>
          <w:rFonts w:cs="Times New Roman"/>
          <w:sz w:val="24"/>
          <w:szCs w:val="24"/>
        </w:rPr>
        <w:t> </w:t>
      </w:r>
      <w:r w:rsidRPr="00E24CEC">
        <w:rPr>
          <w:rFonts w:cs="Times New Roman"/>
          <w:sz w:val="24"/>
          <w:szCs w:val="24"/>
        </w:rPr>
        <w:t>851</w:t>
      </w:r>
      <w:r>
        <w:rPr>
          <w:rFonts w:cs="Times New Roman"/>
          <w:sz w:val="24"/>
          <w:szCs w:val="24"/>
        </w:rPr>
        <w:t> </w:t>
      </w:r>
      <w:r w:rsidRPr="00E24CEC">
        <w:rPr>
          <w:rFonts w:cs="Times New Roman"/>
          <w:sz w:val="24"/>
          <w:szCs w:val="24"/>
        </w:rPr>
        <w:t xml:space="preserve">tis. eur. Záväzný limit miezd, platov, služobných príjmov a OOV aparátov ústredných orgánov (zdroje 111, 11H a 11UA) bol vo všetkých kapitolách štátneho rozpočtu dodržaný.  </w:t>
      </w:r>
    </w:p>
    <w:p w14:paraId="5EF92B0E" w14:textId="7F76573C" w:rsidR="00102D5B" w:rsidRPr="0090469D" w:rsidRDefault="00102D5B" w:rsidP="00102D5B">
      <w:pPr>
        <w:spacing w:line="240" w:lineRule="auto"/>
        <w:rPr>
          <w:rFonts w:eastAsia="Times New Roman" w:cs="Times New Roman"/>
          <w:sz w:val="24"/>
          <w:szCs w:val="24"/>
          <w:lang w:eastAsia="sk-SK"/>
        </w:rPr>
      </w:pPr>
      <w:r w:rsidRPr="00E24CEC">
        <w:rPr>
          <w:rFonts w:cs="Times New Roman"/>
          <w:sz w:val="24"/>
          <w:szCs w:val="24"/>
        </w:rPr>
        <w:t>V rámci skutočne čerpaných výdavkov na mzdy a platy boli v aparátoch ústredných orgánov vyplatené odmeny pri príležitosti letnej dovolenky v sume 513</w:t>
      </w:r>
      <w:r>
        <w:rPr>
          <w:rFonts w:cs="Times New Roman"/>
          <w:sz w:val="24"/>
          <w:szCs w:val="24"/>
        </w:rPr>
        <w:t> </w:t>
      </w:r>
      <w:r w:rsidRPr="00E24CEC">
        <w:rPr>
          <w:rFonts w:cs="Times New Roman"/>
          <w:sz w:val="24"/>
          <w:szCs w:val="24"/>
        </w:rPr>
        <w:t>tis. eur pre 481 zamestnancov (3,6 % zo skutočného počtu zamestnancov za rok 2023) a odmena pri príležitosti vianočných sviatkov v sume 1 012 tis. eur pre 865 osôb (6,5</w:t>
      </w:r>
      <w:r>
        <w:rPr>
          <w:rFonts w:cs="Times New Roman"/>
          <w:sz w:val="24"/>
          <w:szCs w:val="24"/>
        </w:rPr>
        <w:t> </w:t>
      </w:r>
      <w:r w:rsidRPr="00E24CEC">
        <w:rPr>
          <w:rFonts w:cs="Times New Roman"/>
          <w:sz w:val="24"/>
          <w:szCs w:val="24"/>
        </w:rPr>
        <w:t>% zo skutočného počtu zamestnancov za rok 2023</w:t>
      </w:r>
      <w:r w:rsidRPr="0090469D">
        <w:rPr>
          <w:rFonts w:cs="Times New Roman"/>
          <w:sz w:val="24"/>
          <w:szCs w:val="24"/>
        </w:rPr>
        <w:t>).</w:t>
      </w:r>
      <w:r w:rsidRPr="0090469D">
        <w:rPr>
          <w:rFonts w:eastAsia="Times New Roman" w:cs="Times New Roman"/>
          <w:sz w:val="24"/>
          <w:szCs w:val="24"/>
          <w:lang w:eastAsia="sk-SK"/>
        </w:rPr>
        <w:t xml:space="preserve"> </w:t>
      </w:r>
    </w:p>
    <w:p w14:paraId="17F58E08" w14:textId="77777777" w:rsidR="00102D5B" w:rsidRPr="0090469D" w:rsidRDefault="00102D5B" w:rsidP="00102D5B">
      <w:pPr>
        <w:spacing w:line="240" w:lineRule="auto"/>
        <w:rPr>
          <w:rFonts w:eastAsia="Times New Roman" w:cs="Times New Roman"/>
          <w:sz w:val="24"/>
          <w:szCs w:val="24"/>
          <w:lang w:eastAsia="sk-SK"/>
        </w:rPr>
      </w:pPr>
      <w:r w:rsidRPr="00F966C2">
        <w:rPr>
          <w:rFonts w:cs="Times New Roman"/>
          <w:sz w:val="24"/>
          <w:szCs w:val="24"/>
        </w:rPr>
        <w:t xml:space="preserve">Pre </w:t>
      </w:r>
      <w:r w:rsidRPr="00F966C2">
        <w:rPr>
          <w:rFonts w:cs="Times New Roman"/>
          <w:b/>
          <w:sz w:val="24"/>
          <w:szCs w:val="24"/>
        </w:rPr>
        <w:t>aparáty ústredných orgánov</w:t>
      </w:r>
      <w:r w:rsidRPr="00F966C2">
        <w:rPr>
          <w:rFonts w:cs="Times New Roman"/>
          <w:sz w:val="24"/>
          <w:szCs w:val="24"/>
        </w:rPr>
        <w:t xml:space="preserve"> bol na rok 2023 schválený záväzný </w:t>
      </w:r>
      <w:r w:rsidRPr="00F966C2">
        <w:rPr>
          <w:rFonts w:cs="Times New Roman"/>
          <w:b/>
          <w:sz w:val="24"/>
          <w:szCs w:val="24"/>
        </w:rPr>
        <w:t>limit počtu zamestnancov</w:t>
      </w:r>
      <w:r w:rsidRPr="00F966C2">
        <w:rPr>
          <w:rFonts w:cs="Times New Roman"/>
          <w:sz w:val="24"/>
          <w:szCs w:val="24"/>
        </w:rPr>
        <w:t xml:space="preserve"> 15 080 osôb, z toho administratívne kapacity osobitne sledované v počte 1 383 osôb. Schválený limit počtu zamestnancov bol v priebehu roka zvýšený o 336 osôb na</w:t>
      </w:r>
      <w:r>
        <w:rPr>
          <w:rFonts w:cs="Times New Roman"/>
          <w:sz w:val="24"/>
          <w:szCs w:val="24"/>
        </w:rPr>
        <w:t> </w:t>
      </w:r>
      <w:r w:rsidRPr="00F966C2">
        <w:rPr>
          <w:rFonts w:cs="Times New Roman"/>
          <w:sz w:val="24"/>
          <w:szCs w:val="24"/>
        </w:rPr>
        <w:t>15</w:t>
      </w:r>
      <w:r>
        <w:rPr>
          <w:rFonts w:cs="Times New Roman"/>
          <w:sz w:val="24"/>
          <w:szCs w:val="24"/>
        </w:rPr>
        <w:t> </w:t>
      </w:r>
      <w:r w:rsidRPr="00F966C2">
        <w:rPr>
          <w:rFonts w:cs="Times New Roman"/>
          <w:sz w:val="24"/>
          <w:szCs w:val="24"/>
        </w:rPr>
        <w:t>416 osôb. Najčastejšími dôvodmi úprav zvýšenia počtu zamestnancov aparátov ústredných orgánov bolo zabezpečenie projektových zamestnancov v počte 138 osôb, administratívnych kapacít osobitne sledovaných v počte 43 osôb, a zmeny súvisiace s novou legislatívou v počte 91 osôb najmä v kapitole Ministerstvo práce, sociálnych vecí a rodiny SR v súvislosti so</w:t>
      </w:r>
      <w:r>
        <w:rPr>
          <w:rFonts w:cs="Times New Roman"/>
          <w:sz w:val="24"/>
          <w:szCs w:val="24"/>
        </w:rPr>
        <w:t> </w:t>
      </w:r>
      <w:r w:rsidRPr="00F966C2">
        <w:rPr>
          <w:rFonts w:cs="Times New Roman"/>
          <w:sz w:val="24"/>
          <w:szCs w:val="24"/>
        </w:rPr>
        <w:t>zabezpečením zákona o inšpekcii v sociálnych veciach</w:t>
      </w:r>
      <w:r w:rsidRPr="00F966C2">
        <w:rPr>
          <w:rFonts w:eastAsia="Times New Roman" w:cs="Times New Roman"/>
          <w:color w:val="FF0000"/>
          <w:sz w:val="24"/>
          <w:szCs w:val="24"/>
          <w:lang w:eastAsia="sk-SK"/>
        </w:rPr>
        <w:t xml:space="preserve"> </w:t>
      </w:r>
    </w:p>
    <w:p w14:paraId="4256897F" w14:textId="201857A4" w:rsidR="00102D5B" w:rsidRDefault="00102D5B" w:rsidP="00102D5B">
      <w:pPr>
        <w:spacing w:line="240" w:lineRule="auto"/>
        <w:rPr>
          <w:rFonts w:eastAsia="Times New Roman" w:cs="Times New Roman"/>
          <w:sz w:val="24"/>
          <w:szCs w:val="24"/>
          <w:lang w:eastAsia="sk-SK"/>
        </w:rPr>
      </w:pPr>
      <w:r w:rsidRPr="00F966C2">
        <w:rPr>
          <w:rFonts w:cs="Times New Roman"/>
          <w:sz w:val="24"/>
          <w:szCs w:val="24"/>
        </w:rPr>
        <w:t>V skutočnosti bolo v aparátoch ústredných orgánov v</w:t>
      </w:r>
      <w:r>
        <w:rPr>
          <w:rFonts w:cs="Times New Roman"/>
          <w:sz w:val="24"/>
          <w:szCs w:val="24"/>
        </w:rPr>
        <w:t> </w:t>
      </w:r>
      <w:r w:rsidRPr="00F966C2">
        <w:rPr>
          <w:rFonts w:cs="Times New Roman"/>
          <w:sz w:val="24"/>
          <w:szCs w:val="24"/>
        </w:rPr>
        <w:t>roku 2023 zamestnaných 13 327 osôb, v</w:t>
      </w:r>
      <w:r>
        <w:rPr>
          <w:rFonts w:cs="Times New Roman"/>
          <w:sz w:val="24"/>
          <w:szCs w:val="24"/>
        </w:rPr>
        <w:t> </w:t>
      </w:r>
      <w:r w:rsidRPr="00F966C2">
        <w:rPr>
          <w:rFonts w:cs="Times New Roman"/>
          <w:sz w:val="24"/>
          <w:szCs w:val="24"/>
        </w:rPr>
        <w:t>porovnaní s rokom 2022  ide o nárast o 470 zamestnancov (3,7 %). Medziročné zvýšenie počtu zamestnancov bolo ovplyvnené najmä zvýšením počtu zamestnancov na plnenie nových úloh súvisiacich s činnosťou administratívnych kapacít osobitne sledovaných, projektovými zamestnancami. Administratívne kapacity osobitne sledované schválené uznesením vlády SR č.</w:t>
      </w:r>
      <w:r>
        <w:rPr>
          <w:rFonts w:cs="Times New Roman"/>
          <w:sz w:val="24"/>
          <w:szCs w:val="24"/>
        </w:rPr>
        <w:t> </w:t>
      </w:r>
      <w:r w:rsidRPr="00F966C2">
        <w:rPr>
          <w:rFonts w:cs="Times New Roman"/>
          <w:sz w:val="24"/>
          <w:szCs w:val="24"/>
        </w:rPr>
        <w:t>636/2022  boli  v aparátoch ústredných orgánov v priebehu roka zvýšené o 43 osôb na počet 1 426 osôb a ich skutočné plnenie dosiahlo stav 1 136 osôb</w:t>
      </w:r>
      <w:r w:rsidRPr="00F966C2">
        <w:rPr>
          <w:rFonts w:eastAsia="Times New Roman" w:cs="Times New Roman"/>
          <w:sz w:val="24"/>
          <w:szCs w:val="24"/>
          <w:lang w:eastAsia="sk-SK"/>
        </w:rPr>
        <w:t>.</w:t>
      </w:r>
    </w:p>
    <w:p w14:paraId="0CE596A5" w14:textId="77777777" w:rsidR="00102D5B" w:rsidRPr="00434CD9" w:rsidRDefault="00102D5B" w:rsidP="00102D5B">
      <w:pPr>
        <w:spacing w:line="240" w:lineRule="auto"/>
        <w:rPr>
          <w:rFonts w:eastAsia="Times New Roman" w:cs="Times New Roman"/>
          <w:sz w:val="24"/>
          <w:szCs w:val="24"/>
          <w:lang w:eastAsia="sk-SK"/>
        </w:rPr>
      </w:pPr>
      <w:r w:rsidRPr="00F966C2">
        <w:rPr>
          <w:rFonts w:cs="Times New Roman"/>
          <w:sz w:val="24"/>
          <w:szCs w:val="24"/>
        </w:rPr>
        <w:t>Uznesením vlády SR č. 636/2022 bola v prílohe č. 2 na rok 2023 schválená systemizácia príslušníkov finančnej správy, systemizácia policajtov v štátnej službe, systemizácia príslušníkov Hasičského a záchranného zboru a príslušníkov Horskej záchrannej služby v štátnej službe a systemizácia profesionálnych vojakov v štátnej službe. Záväzné ukazovatele systemizácie z kódu zdroja 111 boli vo všetkých dotknutých kapitolách štátneho rozpočtu dodržané. V kapitole Ministerstvo vnútra SR boli nad rámec systemizácie použité finančné prostriedky zo zdrojov EÚ a spolufinancovania zo ŠR a Plánu obnovy a odolnosti pre policajtov v sume 10</w:t>
      </w:r>
      <w:r>
        <w:rPr>
          <w:rFonts w:cs="Times New Roman"/>
          <w:sz w:val="24"/>
          <w:szCs w:val="24"/>
        </w:rPr>
        <w:t> </w:t>
      </w:r>
      <w:r w:rsidRPr="00F966C2">
        <w:rPr>
          <w:rFonts w:cs="Times New Roman"/>
          <w:sz w:val="24"/>
          <w:szCs w:val="24"/>
        </w:rPr>
        <w:t>767</w:t>
      </w:r>
      <w:r>
        <w:rPr>
          <w:rFonts w:cs="Times New Roman"/>
          <w:sz w:val="24"/>
          <w:szCs w:val="24"/>
        </w:rPr>
        <w:t> </w:t>
      </w:r>
      <w:r w:rsidRPr="00F966C2">
        <w:rPr>
          <w:rFonts w:cs="Times New Roman"/>
          <w:sz w:val="24"/>
          <w:szCs w:val="24"/>
        </w:rPr>
        <w:t>tis. eur a pre príslušníkov Hasičského a záchranného zboru a príslušníkov Horskej záchrannej služby v štátnej službe v sume 2 442 tis. eur.</w:t>
      </w:r>
    </w:p>
    <w:p w14:paraId="40DDBA3A" w14:textId="786DD0A6" w:rsidR="00B768D9" w:rsidRDefault="00102D5B" w:rsidP="00102D5B">
      <w:pPr>
        <w:spacing w:line="240" w:lineRule="auto"/>
        <w:rPr>
          <w:rFonts w:cs="Times New Roman"/>
          <w:b/>
          <w:i/>
          <w:sz w:val="24"/>
          <w:szCs w:val="24"/>
        </w:rPr>
      </w:pPr>
      <w:r w:rsidRPr="00F966C2">
        <w:rPr>
          <w:rFonts w:cs="Times New Roman"/>
          <w:b/>
          <w:i/>
          <w:sz w:val="24"/>
          <w:szCs w:val="24"/>
        </w:rPr>
        <w:t>Prehľad o plnení limitu počtu zamestnancov rozpočtových organizácií kapitol štátneho rozpočtu, miezd, platov, služobných príjmov a ostatných osobných vyrovnaní aparátov ústredných orgánov kapitol štátneho rozpočtu na</w:t>
      </w:r>
      <w:r>
        <w:rPr>
          <w:rFonts w:cs="Times New Roman"/>
          <w:b/>
          <w:i/>
          <w:sz w:val="24"/>
          <w:szCs w:val="24"/>
        </w:rPr>
        <w:t> </w:t>
      </w:r>
      <w:r w:rsidRPr="00F966C2">
        <w:rPr>
          <w:rFonts w:cs="Times New Roman"/>
          <w:b/>
          <w:i/>
          <w:sz w:val="24"/>
          <w:szCs w:val="24"/>
        </w:rPr>
        <w:t>rok</w:t>
      </w:r>
      <w:r>
        <w:rPr>
          <w:rFonts w:cs="Times New Roman"/>
          <w:b/>
          <w:i/>
          <w:sz w:val="24"/>
          <w:szCs w:val="24"/>
        </w:rPr>
        <w:t> </w:t>
      </w:r>
      <w:r w:rsidRPr="00F966C2">
        <w:rPr>
          <w:rFonts w:cs="Times New Roman"/>
          <w:b/>
          <w:i/>
          <w:sz w:val="24"/>
          <w:szCs w:val="24"/>
        </w:rPr>
        <w:t>2023 vrátane vyhodnotenia systemizácií schválených uznesením vlády SR je uvedený v tabuľkách 23, 25, 26, 27 a 28 tabuľkovej časti štátneho záverečného účtu</w:t>
      </w:r>
      <w:r w:rsidR="00B768D9">
        <w:rPr>
          <w:rFonts w:cs="Times New Roman"/>
          <w:b/>
          <w:i/>
          <w:sz w:val="24"/>
          <w:szCs w:val="24"/>
        </w:rPr>
        <w:t>.</w:t>
      </w:r>
    </w:p>
    <w:p w14:paraId="153E1040" w14:textId="77777777" w:rsidR="00B768D9" w:rsidRPr="00040B78" w:rsidRDefault="00B768D9" w:rsidP="00B768D9">
      <w:pPr>
        <w:spacing w:line="240" w:lineRule="auto"/>
        <w:rPr>
          <w:b/>
          <w:color w:val="5B9BD5" w:themeColor="accent1"/>
          <w:sz w:val="24"/>
          <w:szCs w:val="24"/>
        </w:rPr>
      </w:pPr>
      <w:r w:rsidRPr="00040B78">
        <w:rPr>
          <w:b/>
          <w:color w:val="5B9BD5" w:themeColor="accent1"/>
          <w:sz w:val="24"/>
          <w:szCs w:val="24"/>
        </w:rPr>
        <w:t>Poistné a príspevok do poisťovní</w:t>
      </w:r>
    </w:p>
    <w:p w14:paraId="09021E2D" w14:textId="4C44077C" w:rsidR="00B768D9" w:rsidRDefault="00B768D9" w:rsidP="00B768D9">
      <w:pPr>
        <w:spacing w:line="240" w:lineRule="auto"/>
        <w:rPr>
          <w:rFonts w:eastAsia="Times New Roman" w:cs="Times New Roman"/>
          <w:sz w:val="24"/>
          <w:szCs w:val="24"/>
          <w:lang w:eastAsia="sk-SK"/>
        </w:rPr>
      </w:pPr>
      <w:r w:rsidRPr="00F966C2">
        <w:rPr>
          <w:rFonts w:cs="Times New Roman"/>
          <w:sz w:val="24"/>
          <w:szCs w:val="24"/>
        </w:rPr>
        <w:t>Kapitoly štátneho rozpočtu rozpísali v roku 2023 výdavky na poistné a príspevok do</w:t>
      </w:r>
      <w:r>
        <w:rPr>
          <w:rFonts w:cs="Times New Roman"/>
          <w:sz w:val="24"/>
          <w:szCs w:val="24"/>
        </w:rPr>
        <w:t> </w:t>
      </w:r>
      <w:r w:rsidRPr="00F966C2">
        <w:rPr>
          <w:rFonts w:cs="Times New Roman"/>
          <w:sz w:val="24"/>
          <w:szCs w:val="24"/>
        </w:rPr>
        <w:t>poisťovní v sume 1</w:t>
      </w:r>
      <w:r>
        <w:rPr>
          <w:rFonts w:cs="Times New Roman"/>
          <w:sz w:val="24"/>
          <w:szCs w:val="24"/>
        </w:rPr>
        <w:t> </w:t>
      </w:r>
      <w:r w:rsidRPr="00F966C2">
        <w:rPr>
          <w:rFonts w:cs="Times New Roman"/>
          <w:sz w:val="24"/>
          <w:szCs w:val="24"/>
        </w:rPr>
        <w:t>040</w:t>
      </w:r>
      <w:r>
        <w:rPr>
          <w:rFonts w:cs="Times New Roman"/>
          <w:sz w:val="24"/>
          <w:szCs w:val="24"/>
        </w:rPr>
        <w:t> </w:t>
      </w:r>
      <w:r w:rsidRPr="00F966C2">
        <w:rPr>
          <w:rFonts w:cs="Times New Roman"/>
          <w:sz w:val="24"/>
          <w:szCs w:val="24"/>
        </w:rPr>
        <w:t>704</w:t>
      </w:r>
      <w:r>
        <w:rPr>
          <w:rFonts w:cs="Times New Roman"/>
          <w:sz w:val="24"/>
          <w:szCs w:val="24"/>
        </w:rPr>
        <w:t> </w:t>
      </w:r>
      <w:r w:rsidRPr="00F966C2">
        <w:rPr>
          <w:rFonts w:cs="Times New Roman"/>
          <w:sz w:val="24"/>
          <w:szCs w:val="24"/>
        </w:rPr>
        <w:t>tis.</w:t>
      </w:r>
      <w:r>
        <w:rPr>
          <w:rFonts w:cs="Times New Roman"/>
          <w:sz w:val="24"/>
          <w:szCs w:val="24"/>
        </w:rPr>
        <w:t> </w:t>
      </w:r>
      <w:r w:rsidRPr="00F966C2">
        <w:rPr>
          <w:rFonts w:cs="Times New Roman"/>
          <w:sz w:val="24"/>
          <w:szCs w:val="24"/>
        </w:rPr>
        <w:t>eur súhrnne za všetky zdroje. V priebehu roka bola suma rozpísaných výdavkov na poistné a príspevok do poisťovní upravená na 1 096 146 tis.</w:t>
      </w:r>
      <w:r>
        <w:rPr>
          <w:rFonts w:cs="Times New Roman"/>
          <w:sz w:val="24"/>
          <w:szCs w:val="24"/>
        </w:rPr>
        <w:t> </w:t>
      </w:r>
      <w:r w:rsidRPr="00F966C2">
        <w:rPr>
          <w:rFonts w:cs="Times New Roman"/>
          <w:sz w:val="24"/>
          <w:szCs w:val="24"/>
        </w:rPr>
        <w:t>eur súhrne za všetky zdroje. Skutočné výdavky na poistné a príspevok do poisťovní súhrnne za všetky zdroje medziročne vzrástli o 113 641 tis. eur (cca 11,6</w:t>
      </w:r>
      <w:r>
        <w:rPr>
          <w:rFonts w:cs="Times New Roman"/>
          <w:sz w:val="24"/>
          <w:szCs w:val="24"/>
        </w:rPr>
        <w:t> </w:t>
      </w:r>
      <w:r w:rsidRPr="00F966C2">
        <w:rPr>
          <w:rFonts w:cs="Times New Roman"/>
          <w:sz w:val="24"/>
          <w:szCs w:val="24"/>
        </w:rPr>
        <w:t>%) a dosiahli sumu 1</w:t>
      </w:r>
      <w:r>
        <w:rPr>
          <w:rFonts w:cs="Times New Roman"/>
          <w:sz w:val="24"/>
          <w:szCs w:val="24"/>
        </w:rPr>
        <w:t> </w:t>
      </w:r>
      <w:r w:rsidRPr="00F966C2">
        <w:rPr>
          <w:rFonts w:cs="Times New Roman"/>
          <w:sz w:val="24"/>
          <w:szCs w:val="24"/>
        </w:rPr>
        <w:t>096</w:t>
      </w:r>
      <w:r>
        <w:rPr>
          <w:rFonts w:cs="Times New Roman"/>
          <w:sz w:val="24"/>
          <w:szCs w:val="24"/>
        </w:rPr>
        <w:t> </w:t>
      </w:r>
      <w:r w:rsidRPr="00F966C2">
        <w:rPr>
          <w:rFonts w:cs="Times New Roman"/>
          <w:sz w:val="24"/>
          <w:szCs w:val="24"/>
        </w:rPr>
        <w:t>035</w:t>
      </w:r>
      <w:r>
        <w:rPr>
          <w:rFonts w:cs="Times New Roman"/>
          <w:sz w:val="24"/>
          <w:szCs w:val="24"/>
        </w:rPr>
        <w:t> </w:t>
      </w:r>
      <w:r w:rsidRPr="00F966C2">
        <w:rPr>
          <w:rFonts w:cs="Times New Roman"/>
          <w:sz w:val="24"/>
          <w:szCs w:val="24"/>
        </w:rPr>
        <w:t>tis.</w:t>
      </w:r>
      <w:r>
        <w:rPr>
          <w:rFonts w:cs="Times New Roman"/>
          <w:sz w:val="24"/>
          <w:szCs w:val="24"/>
        </w:rPr>
        <w:t> </w:t>
      </w:r>
      <w:r w:rsidRPr="00F966C2">
        <w:rPr>
          <w:rFonts w:cs="Times New Roman"/>
          <w:sz w:val="24"/>
          <w:szCs w:val="24"/>
        </w:rPr>
        <w:t xml:space="preserve">eur. Vyššie </w:t>
      </w:r>
      <w:r w:rsidRPr="00F966C2">
        <w:rPr>
          <w:rFonts w:cs="Times New Roman"/>
          <w:sz w:val="24"/>
          <w:szCs w:val="24"/>
        </w:rPr>
        <w:lastRenderedPageBreak/>
        <w:t>čerpanie výdavkov na</w:t>
      </w:r>
      <w:r>
        <w:rPr>
          <w:rFonts w:cs="Times New Roman"/>
          <w:sz w:val="24"/>
          <w:szCs w:val="24"/>
        </w:rPr>
        <w:t> </w:t>
      </w:r>
      <w:r w:rsidRPr="00F966C2">
        <w:rPr>
          <w:rFonts w:cs="Times New Roman"/>
          <w:sz w:val="24"/>
          <w:szCs w:val="24"/>
        </w:rPr>
        <w:t>poistné nadväzuje na zvýšené čerpanie výdavkov na mzdy, platy, služobné príjmy a ostatné osobné výdavky, ktoré je rozpísané v časti týkajúcej sa miezd. Výdavky na</w:t>
      </w:r>
      <w:r w:rsidR="00C56CC4">
        <w:rPr>
          <w:rFonts w:cs="Times New Roman"/>
          <w:sz w:val="24"/>
          <w:szCs w:val="24"/>
        </w:rPr>
        <w:t> </w:t>
      </w:r>
      <w:r w:rsidRPr="00F966C2">
        <w:rPr>
          <w:rFonts w:cs="Times New Roman"/>
          <w:sz w:val="24"/>
          <w:szCs w:val="24"/>
        </w:rPr>
        <w:t>poistné a príspevok do poisťovní boli čerpané v tejto štruktúre</w:t>
      </w:r>
      <w:r w:rsidRPr="00F966C2">
        <w:rPr>
          <w:rFonts w:eastAsia="Times New Roman" w:cs="Times New Roman"/>
          <w:sz w:val="24"/>
          <w:szCs w:val="24"/>
          <w:lang w:eastAsia="sk-SK"/>
        </w:rPr>
        <w:t>:</w:t>
      </w:r>
    </w:p>
    <w:p w14:paraId="314C5D4B" w14:textId="6EEBC2C2" w:rsidR="00B768D9" w:rsidRPr="00434CD9" w:rsidRDefault="00B768D9" w:rsidP="00B768D9">
      <w:pPr>
        <w:spacing w:line="240" w:lineRule="auto"/>
        <w:rPr>
          <w:rFonts w:eastAsia="Times New Roman" w:cs="Times New Roman"/>
          <w:sz w:val="24"/>
          <w:szCs w:val="24"/>
          <w:lang w:eastAsia="sk-SK"/>
        </w:rPr>
      </w:pPr>
      <w:r w:rsidRPr="00F966C2">
        <w:rPr>
          <w:rFonts w:cs="Times New Roman"/>
          <w:b/>
          <w:i/>
          <w:sz w:val="24"/>
          <w:szCs w:val="24"/>
        </w:rPr>
        <w:t>Výdavky na poistné do Sociálnej poisťovne</w:t>
      </w:r>
      <w:r w:rsidR="00512DAF">
        <w:rPr>
          <w:rFonts w:cs="Times New Roman"/>
          <w:sz w:val="24"/>
          <w:szCs w:val="24"/>
        </w:rPr>
        <w:t xml:space="preserve"> v sume 435</w:t>
      </w:r>
      <w:r w:rsidR="00102D5B">
        <w:rPr>
          <w:rFonts w:cs="Times New Roman"/>
          <w:sz w:val="24"/>
          <w:szCs w:val="24"/>
        </w:rPr>
        <w:t> </w:t>
      </w:r>
      <w:r w:rsidRPr="00F966C2">
        <w:rPr>
          <w:rFonts w:cs="Times New Roman"/>
          <w:sz w:val="24"/>
          <w:szCs w:val="24"/>
        </w:rPr>
        <w:t>784</w:t>
      </w:r>
      <w:r w:rsidR="00102D5B">
        <w:rPr>
          <w:rFonts w:cs="Times New Roman"/>
          <w:sz w:val="24"/>
          <w:szCs w:val="24"/>
        </w:rPr>
        <w:t> </w:t>
      </w:r>
      <w:r w:rsidRPr="00F966C2">
        <w:rPr>
          <w:rFonts w:cs="Times New Roman"/>
          <w:sz w:val="24"/>
          <w:szCs w:val="24"/>
        </w:rPr>
        <w:t>tis.</w:t>
      </w:r>
      <w:r w:rsidR="00512DAF">
        <w:rPr>
          <w:rFonts w:cs="Times New Roman"/>
          <w:sz w:val="24"/>
          <w:szCs w:val="24"/>
        </w:rPr>
        <w:t> </w:t>
      </w:r>
      <w:r w:rsidRPr="00F966C2">
        <w:rPr>
          <w:rFonts w:cs="Times New Roman"/>
          <w:sz w:val="24"/>
          <w:szCs w:val="24"/>
        </w:rPr>
        <w:t>eur dosiah</w:t>
      </w:r>
      <w:r w:rsidR="00DB726B">
        <w:rPr>
          <w:rFonts w:cs="Times New Roman"/>
          <w:sz w:val="24"/>
          <w:szCs w:val="24"/>
        </w:rPr>
        <w:t>li medziročný nárast 13,4 % (</w:t>
      </w:r>
      <w:r w:rsidRPr="00F966C2">
        <w:rPr>
          <w:rFonts w:cs="Times New Roman"/>
          <w:sz w:val="24"/>
          <w:szCs w:val="24"/>
        </w:rPr>
        <w:t>2022: 384</w:t>
      </w:r>
      <w:r w:rsidR="00102D5B">
        <w:rPr>
          <w:rFonts w:cs="Times New Roman"/>
          <w:sz w:val="24"/>
          <w:szCs w:val="24"/>
        </w:rPr>
        <w:t> </w:t>
      </w:r>
      <w:r w:rsidRPr="00F966C2">
        <w:rPr>
          <w:rFonts w:cs="Times New Roman"/>
          <w:sz w:val="24"/>
          <w:szCs w:val="24"/>
        </w:rPr>
        <w:t>410</w:t>
      </w:r>
      <w:r w:rsidR="00102D5B">
        <w:rPr>
          <w:rFonts w:cs="Times New Roman"/>
          <w:sz w:val="24"/>
          <w:szCs w:val="24"/>
        </w:rPr>
        <w:t> </w:t>
      </w:r>
      <w:r w:rsidR="00795D97">
        <w:rPr>
          <w:rFonts w:cs="Times New Roman"/>
          <w:sz w:val="24"/>
          <w:szCs w:val="24"/>
        </w:rPr>
        <w:t>tis. eur),</w:t>
      </w:r>
      <w:r w:rsidRPr="00F966C2">
        <w:rPr>
          <w:rFonts w:cs="Times New Roman"/>
          <w:sz w:val="24"/>
          <w:szCs w:val="24"/>
        </w:rPr>
        <w:t xml:space="preserve"> z toho najvyšší objem tvorilo poistné na starobné poistenie v sume 248</w:t>
      </w:r>
      <w:r w:rsidR="00102D5B">
        <w:rPr>
          <w:rFonts w:cs="Times New Roman"/>
          <w:sz w:val="24"/>
          <w:szCs w:val="24"/>
        </w:rPr>
        <w:t> </w:t>
      </w:r>
      <w:r w:rsidRPr="00F966C2">
        <w:rPr>
          <w:rFonts w:cs="Times New Roman"/>
          <w:sz w:val="24"/>
          <w:szCs w:val="24"/>
        </w:rPr>
        <w:t>435</w:t>
      </w:r>
      <w:r w:rsidR="00102D5B">
        <w:rPr>
          <w:rFonts w:cs="Times New Roman"/>
          <w:sz w:val="24"/>
          <w:szCs w:val="24"/>
        </w:rPr>
        <w:t> </w:t>
      </w:r>
      <w:r w:rsidRPr="00F966C2">
        <w:rPr>
          <w:rFonts w:cs="Times New Roman"/>
          <w:sz w:val="24"/>
          <w:szCs w:val="24"/>
        </w:rPr>
        <w:t>tis. eur, poistné do rezervného</w:t>
      </w:r>
      <w:r w:rsidR="00512DAF">
        <w:rPr>
          <w:rFonts w:cs="Times New Roman"/>
          <w:sz w:val="24"/>
          <w:szCs w:val="24"/>
        </w:rPr>
        <w:t xml:space="preserve"> fondu solidarity v sume 84 130 </w:t>
      </w:r>
      <w:r w:rsidRPr="00F966C2">
        <w:rPr>
          <w:rFonts w:cs="Times New Roman"/>
          <w:sz w:val="24"/>
          <w:szCs w:val="24"/>
        </w:rPr>
        <w:t>tis. eur a poistné na invalidné poistenie v sume 49</w:t>
      </w:r>
      <w:r w:rsidR="00102D5B">
        <w:rPr>
          <w:rFonts w:cs="Times New Roman"/>
          <w:sz w:val="24"/>
          <w:szCs w:val="24"/>
        </w:rPr>
        <w:t> </w:t>
      </w:r>
      <w:r w:rsidRPr="00F966C2">
        <w:rPr>
          <w:rFonts w:cs="Times New Roman"/>
          <w:sz w:val="24"/>
          <w:szCs w:val="24"/>
        </w:rPr>
        <w:t>839</w:t>
      </w:r>
      <w:r w:rsidR="00102D5B">
        <w:rPr>
          <w:rFonts w:cs="Times New Roman"/>
          <w:sz w:val="24"/>
          <w:szCs w:val="24"/>
        </w:rPr>
        <w:t> </w:t>
      </w:r>
      <w:r w:rsidRPr="00F966C2">
        <w:rPr>
          <w:rFonts w:cs="Times New Roman"/>
          <w:sz w:val="24"/>
          <w:szCs w:val="24"/>
        </w:rPr>
        <w:t>tis. eur</w:t>
      </w:r>
      <w:r w:rsidRPr="00434CD9">
        <w:rPr>
          <w:rFonts w:eastAsia="Times New Roman" w:cs="Times New Roman"/>
          <w:sz w:val="24"/>
          <w:szCs w:val="24"/>
          <w:lang w:eastAsia="sk-SK"/>
        </w:rPr>
        <w:t xml:space="preserve">. </w:t>
      </w:r>
    </w:p>
    <w:p w14:paraId="59A3E1E2" w14:textId="34F5D985" w:rsidR="00B768D9" w:rsidRPr="00F966C2" w:rsidRDefault="00B768D9" w:rsidP="00B768D9">
      <w:pPr>
        <w:spacing w:line="240" w:lineRule="auto"/>
        <w:rPr>
          <w:rFonts w:eastAsia="Times New Roman" w:cs="Times New Roman"/>
          <w:sz w:val="24"/>
          <w:szCs w:val="24"/>
          <w:lang w:eastAsia="sk-SK"/>
        </w:rPr>
      </w:pPr>
      <w:r w:rsidRPr="00F966C2">
        <w:rPr>
          <w:rFonts w:eastAsia="Times New Roman" w:cs="Times New Roman"/>
          <w:b/>
          <w:i/>
          <w:sz w:val="24"/>
          <w:szCs w:val="24"/>
          <w:lang w:eastAsia="sk-SK"/>
        </w:rPr>
        <w:t>Poistné na osobitné účty</w:t>
      </w:r>
      <w:r w:rsidRPr="00F966C2">
        <w:rPr>
          <w:rFonts w:eastAsia="Times New Roman" w:cs="Times New Roman"/>
          <w:sz w:val="24"/>
          <w:szCs w:val="24"/>
          <w:lang w:eastAsia="sk-SK"/>
        </w:rPr>
        <w:t xml:space="preserve"> </w:t>
      </w:r>
      <w:r w:rsidRPr="00F966C2">
        <w:rPr>
          <w:rFonts w:cs="Times New Roman"/>
          <w:sz w:val="24"/>
          <w:szCs w:val="24"/>
        </w:rPr>
        <w:t>v kapitolách štátneho rozpočtu, do pôsobnosti ktorých patrí riadenie ozbrojených, bezpečnostných a záchranných zložiek, medziročne vzrástlo o 9,3 % a d</w:t>
      </w:r>
      <w:r w:rsidR="00DB726B">
        <w:rPr>
          <w:rFonts w:cs="Times New Roman"/>
          <w:sz w:val="24"/>
          <w:szCs w:val="24"/>
        </w:rPr>
        <w:t>osiahlo sumu 318 263 tis. eur (</w:t>
      </w:r>
      <w:r w:rsidR="00512DAF">
        <w:rPr>
          <w:rFonts w:cs="Times New Roman"/>
          <w:sz w:val="24"/>
          <w:szCs w:val="24"/>
        </w:rPr>
        <w:t>2022: 291 251 </w:t>
      </w:r>
      <w:r w:rsidRPr="00F966C2">
        <w:rPr>
          <w:rFonts w:cs="Times New Roman"/>
          <w:sz w:val="24"/>
          <w:szCs w:val="24"/>
        </w:rPr>
        <w:t>tis. eur)</w:t>
      </w:r>
      <w:r w:rsidR="00795D97">
        <w:rPr>
          <w:rFonts w:cs="Times New Roman"/>
          <w:sz w:val="24"/>
          <w:szCs w:val="24"/>
        </w:rPr>
        <w:t>,</w:t>
      </w:r>
      <w:r w:rsidRPr="00F966C2">
        <w:rPr>
          <w:rFonts w:cs="Times New Roman"/>
          <w:sz w:val="24"/>
          <w:szCs w:val="24"/>
        </w:rPr>
        <w:t xml:space="preserve"> z toho rozhodujúci podiel predstavovalo poistné na výsluhový dôchodok v sume 246 053 tis. eur. Poistné na invalidný výsluhový dôchodok dosiahlo sumu 37 175 tis. eur a na nemo</w:t>
      </w:r>
      <w:r w:rsidR="00512DAF">
        <w:rPr>
          <w:rFonts w:cs="Times New Roman"/>
          <w:sz w:val="24"/>
          <w:szCs w:val="24"/>
        </w:rPr>
        <w:t>censké zabezpečenie sumu 17 178 </w:t>
      </w:r>
      <w:r w:rsidRPr="00F966C2">
        <w:rPr>
          <w:rFonts w:cs="Times New Roman"/>
          <w:sz w:val="24"/>
          <w:szCs w:val="24"/>
        </w:rPr>
        <w:t>tis. eur</w:t>
      </w:r>
      <w:r w:rsidRPr="00F966C2">
        <w:rPr>
          <w:rFonts w:eastAsia="Times New Roman" w:cs="Times New Roman"/>
          <w:sz w:val="24"/>
          <w:szCs w:val="24"/>
          <w:lang w:eastAsia="sk-SK"/>
        </w:rPr>
        <w:t>.</w:t>
      </w:r>
      <w:r w:rsidRPr="00F966C2">
        <w:rPr>
          <w:rFonts w:eastAsia="Times New Roman" w:cs="Times New Roman"/>
          <w:strike/>
          <w:sz w:val="24"/>
          <w:szCs w:val="24"/>
          <w:lang w:eastAsia="sk-SK"/>
        </w:rPr>
        <w:t xml:space="preserve"> </w:t>
      </w:r>
    </w:p>
    <w:p w14:paraId="7F1D7A8F" w14:textId="75332F20" w:rsidR="00B768D9" w:rsidRPr="00F966C2" w:rsidRDefault="00B768D9" w:rsidP="00B768D9">
      <w:pPr>
        <w:spacing w:line="240" w:lineRule="auto"/>
        <w:rPr>
          <w:rFonts w:eastAsia="Times New Roman" w:cs="Times New Roman"/>
          <w:sz w:val="24"/>
          <w:szCs w:val="24"/>
          <w:lang w:eastAsia="sk-SK"/>
        </w:rPr>
      </w:pPr>
      <w:r w:rsidRPr="00F966C2">
        <w:rPr>
          <w:rFonts w:eastAsia="Times New Roman" w:cs="Times New Roman"/>
          <w:b/>
          <w:i/>
          <w:sz w:val="24"/>
          <w:szCs w:val="24"/>
          <w:lang w:eastAsia="sk-SK"/>
        </w:rPr>
        <w:t>Poistné do zdravotných poisťovní</w:t>
      </w:r>
      <w:r w:rsidRPr="00F966C2">
        <w:rPr>
          <w:rFonts w:eastAsia="Times New Roman" w:cs="Times New Roman"/>
          <w:sz w:val="24"/>
          <w:szCs w:val="24"/>
          <w:lang w:eastAsia="sk-SK"/>
        </w:rPr>
        <w:t xml:space="preserve"> </w:t>
      </w:r>
      <w:r w:rsidRPr="00F966C2">
        <w:rPr>
          <w:rFonts w:cs="Times New Roman"/>
          <w:sz w:val="24"/>
          <w:szCs w:val="24"/>
        </w:rPr>
        <w:t>medziročne vzrástlo o</w:t>
      </w:r>
      <w:r w:rsidR="00040B78">
        <w:rPr>
          <w:rFonts w:cs="Times New Roman"/>
          <w:sz w:val="24"/>
          <w:szCs w:val="24"/>
        </w:rPr>
        <w:t> 11,1</w:t>
      </w:r>
      <w:r w:rsidR="00102D5B">
        <w:rPr>
          <w:rFonts w:cs="Times New Roman"/>
          <w:sz w:val="24"/>
          <w:szCs w:val="24"/>
        </w:rPr>
        <w:t> </w:t>
      </w:r>
      <w:r w:rsidR="00040B78">
        <w:rPr>
          <w:rFonts w:cs="Times New Roman"/>
          <w:sz w:val="24"/>
          <w:szCs w:val="24"/>
        </w:rPr>
        <w:t>% a dosiahlo sumu 316 741 </w:t>
      </w:r>
      <w:r w:rsidRPr="00F966C2">
        <w:rPr>
          <w:rFonts w:cs="Times New Roman"/>
          <w:sz w:val="24"/>
          <w:szCs w:val="24"/>
        </w:rPr>
        <w:t>tis.</w:t>
      </w:r>
      <w:r>
        <w:rPr>
          <w:rFonts w:cs="Times New Roman"/>
          <w:sz w:val="24"/>
          <w:szCs w:val="24"/>
        </w:rPr>
        <w:t> </w:t>
      </w:r>
      <w:r w:rsidR="00040B78">
        <w:rPr>
          <w:rFonts w:cs="Times New Roman"/>
          <w:sz w:val="24"/>
          <w:szCs w:val="24"/>
        </w:rPr>
        <w:t>eur (2022: 285 038 tis.</w:t>
      </w:r>
      <w:r w:rsidR="00102D5B">
        <w:rPr>
          <w:rFonts w:cs="Times New Roman"/>
          <w:sz w:val="24"/>
          <w:szCs w:val="24"/>
        </w:rPr>
        <w:t> </w:t>
      </w:r>
      <w:r w:rsidR="00040B78">
        <w:rPr>
          <w:rFonts w:cs="Times New Roman"/>
          <w:sz w:val="24"/>
          <w:szCs w:val="24"/>
        </w:rPr>
        <w:t xml:space="preserve">eur), </w:t>
      </w:r>
      <w:r w:rsidRPr="00F966C2">
        <w:rPr>
          <w:rFonts w:cs="Times New Roman"/>
          <w:sz w:val="24"/>
          <w:szCs w:val="24"/>
        </w:rPr>
        <w:t>v tom do</w:t>
      </w:r>
      <w:r w:rsidR="00102D5B">
        <w:rPr>
          <w:rFonts w:cs="Times New Roman"/>
          <w:sz w:val="24"/>
          <w:szCs w:val="24"/>
        </w:rPr>
        <w:t> </w:t>
      </w:r>
      <w:r w:rsidRPr="00F966C2">
        <w:rPr>
          <w:rFonts w:cs="Times New Roman"/>
          <w:sz w:val="24"/>
          <w:szCs w:val="24"/>
        </w:rPr>
        <w:t>Všeobecnej zdravotnej poisťovne bolo odvedených 206</w:t>
      </w:r>
      <w:r w:rsidR="00102D5B">
        <w:rPr>
          <w:rFonts w:cs="Times New Roman"/>
          <w:sz w:val="24"/>
          <w:szCs w:val="24"/>
        </w:rPr>
        <w:t> </w:t>
      </w:r>
      <w:r w:rsidRPr="00F966C2">
        <w:rPr>
          <w:rFonts w:cs="Times New Roman"/>
          <w:sz w:val="24"/>
          <w:szCs w:val="24"/>
        </w:rPr>
        <w:t>116</w:t>
      </w:r>
      <w:r w:rsidR="00102D5B">
        <w:rPr>
          <w:rFonts w:cs="Times New Roman"/>
          <w:sz w:val="24"/>
          <w:szCs w:val="24"/>
        </w:rPr>
        <w:t> </w:t>
      </w:r>
      <w:r w:rsidRPr="00F966C2">
        <w:rPr>
          <w:rFonts w:cs="Times New Roman"/>
          <w:sz w:val="24"/>
          <w:szCs w:val="24"/>
        </w:rPr>
        <w:t>tis.</w:t>
      </w:r>
      <w:r w:rsidR="00102D5B">
        <w:rPr>
          <w:rFonts w:cs="Times New Roman"/>
          <w:sz w:val="24"/>
          <w:szCs w:val="24"/>
        </w:rPr>
        <w:t> </w:t>
      </w:r>
      <w:r w:rsidRPr="00F966C2">
        <w:rPr>
          <w:rFonts w:cs="Times New Roman"/>
          <w:sz w:val="24"/>
          <w:szCs w:val="24"/>
        </w:rPr>
        <w:t>eur a do ostatných zdravotných poisťovní 110 625 tis. eur</w:t>
      </w:r>
    </w:p>
    <w:p w14:paraId="28F3A986" w14:textId="15403DB1" w:rsidR="00B768D9" w:rsidRPr="00F966C2" w:rsidRDefault="00B768D9" w:rsidP="00B768D9">
      <w:pPr>
        <w:spacing w:line="240" w:lineRule="auto"/>
        <w:rPr>
          <w:rFonts w:eastAsia="Times New Roman" w:cs="Times New Roman"/>
          <w:sz w:val="24"/>
          <w:szCs w:val="24"/>
          <w:lang w:eastAsia="sk-SK"/>
        </w:rPr>
      </w:pPr>
      <w:r w:rsidRPr="00F966C2">
        <w:rPr>
          <w:rFonts w:eastAsia="Times New Roman" w:cs="Times New Roman"/>
          <w:b/>
          <w:i/>
          <w:sz w:val="24"/>
          <w:szCs w:val="24"/>
          <w:lang w:eastAsia="sk-SK"/>
        </w:rPr>
        <w:t>Príspevok do doplnkových dôchodkových poisťovní</w:t>
      </w:r>
      <w:r w:rsidRPr="00F966C2">
        <w:rPr>
          <w:rFonts w:eastAsia="Times New Roman" w:cs="Times New Roman"/>
          <w:sz w:val="24"/>
          <w:szCs w:val="24"/>
          <w:lang w:eastAsia="sk-SK"/>
        </w:rPr>
        <w:t xml:space="preserve"> </w:t>
      </w:r>
      <w:r w:rsidRPr="00F966C2">
        <w:rPr>
          <w:rFonts w:cs="Times New Roman"/>
          <w:sz w:val="24"/>
          <w:szCs w:val="24"/>
        </w:rPr>
        <w:t>bol odv</w:t>
      </w:r>
      <w:r w:rsidR="00040B78">
        <w:rPr>
          <w:rFonts w:cs="Times New Roman"/>
          <w:sz w:val="24"/>
          <w:szCs w:val="24"/>
        </w:rPr>
        <w:t>edený v sume 25</w:t>
      </w:r>
      <w:r w:rsidR="00102D5B">
        <w:rPr>
          <w:rFonts w:cs="Times New Roman"/>
          <w:sz w:val="24"/>
          <w:szCs w:val="24"/>
        </w:rPr>
        <w:t> </w:t>
      </w:r>
      <w:r w:rsidR="00040B78">
        <w:rPr>
          <w:rFonts w:cs="Times New Roman"/>
          <w:sz w:val="24"/>
          <w:szCs w:val="24"/>
        </w:rPr>
        <w:t>163</w:t>
      </w:r>
      <w:r w:rsidR="00102D5B">
        <w:rPr>
          <w:rFonts w:cs="Times New Roman"/>
          <w:sz w:val="24"/>
          <w:szCs w:val="24"/>
        </w:rPr>
        <w:t> </w:t>
      </w:r>
      <w:r w:rsidR="00040B78">
        <w:rPr>
          <w:rFonts w:cs="Times New Roman"/>
          <w:sz w:val="24"/>
          <w:szCs w:val="24"/>
        </w:rPr>
        <w:t>tis. eur (2022: 21 631 tis. </w:t>
      </w:r>
      <w:r w:rsidRPr="00F966C2">
        <w:rPr>
          <w:rFonts w:cs="Times New Roman"/>
          <w:sz w:val="24"/>
          <w:szCs w:val="24"/>
        </w:rPr>
        <w:t>eur) a</w:t>
      </w:r>
      <w:r w:rsidR="00795D97">
        <w:rPr>
          <w:rFonts w:cs="Times New Roman"/>
          <w:sz w:val="24"/>
          <w:szCs w:val="24"/>
        </w:rPr>
        <w:t xml:space="preserve"> </w:t>
      </w:r>
      <w:r w:rsidRPr="00F966C2">
        <w:rPr>
          <w:rFonts w:cs="Times New Roman"/>
          <w:sz w:val="24"/>
          <w:szCs w:val="24"/>
        </w:rPr>
        <w:t>medziročne vzrástol o 16,3</w:t>
      </w:r>
      <w:r w:rsidR="00102D5B">
        <w:rPr>
          <w:rFonts w:cs="Times New Roman"/>
          <w:sz w:val="24"/>
          <w:szCs w:val="24"/>
        </w:rPr>
        <w:t> </w:t>
      </w:r>
      <w:r w:rsidRPr="00F966C2">
        <w:rPr>
          <w:rFonts w:cs="Times New Roman"/>
          <w:sz w:val="24"/>
          <w:szCs w:val="24"/>
        </w:rPr>
        <w:t>%.</w:t>
      </w:r>
      <w:r w:rsidRPr="00F966C2">
        <w:rPr>
          <w:rFonts w:eastAsia="Times New Roman" w:cs="Times New Roman"/>
          <w:sz w:val="24"/>
          <w:szCs w:val="24"/>
          <w:lang w:eastAsia="sk-SK"/>
        </w:rPr>
        <w:t xml:space="preserve"> </w:t>
      </w:r>
    </w:p>
    <w:p w14:paraId="26BB50F9" w14:textId="4A3AC06A" w:rsidR="00B768D9" w:rsidRPr="00434CD9" w:rsidRDefault="00B768D9" w:rsidP="00B768D9">
      <w:pPr>
        <w:spacing w:before="120" w:line="240" w:lineRule="auto"/>
        <w:rPr>
          <w:rFonts w:cs="Times New Roman"/>
          <w:sz w:val="24"/>
          <w:szCs w:val="24"/>
        </w:rPr>
      </w:pPr>
      <w:r w:rsidRPr="00F966C2">
        <w:rPr>
          <w:rFonts w:eastAsia="Times New Roman" w:cs="Times New Roman"/>
          <w:b/>
          <w:i/>
          <w:sz w:val="24"/>
          <w:szCs w:val="24"/>
          <w:lang w:eastAsia="sk-SK"/>
        </w:rPr>
        <w:t>Príspevky na starobné dôchodkové sporenie</w:t>
      </w:r>
      <w:r w:rsidRPr="00F966C2">
        <w:rPr>
          <w:rFonts w:eastAsia="Times New Roman" w:cs="Times New Roman"/>
          <w:sz w:val="24"/>
          <w:szCs w:val="24"/>
          <w:lang w:eastAsia="sk-SK"/>
        </w:rPr>
        <w:t xml:space="preserve"> </w:t>
      </w:r>
      <w:r w:rsidRPr="00F966C2">
        <w:rPr>
          <w:rFonts w:cs="Times New Roman"/>
          <w:sz w:val="24"/>
          <w:szCs w:val="24"/>
        </w:rPr>
        <w:t>boli odvedené v sume 84</w:t>
      </w:r>
      <w:r>
        <w:rPr>
          <w:rFonts w:cs="Times New Roman"/>
          <w:sz w:val="24"/>
          <w:szCs w:val="24"/>
        </w:rPr>
        <w:t> </w:t>
      </w:r>
      <w:r w:rsidRPr="00F966C2">
        <w:rPr>
          <w:rFonts w:cs="Times New Roman"/>
          <w:sz w:val="24"/>
          <w:szCs w:val="24"/>
        </w:rPr>
        <w:t>tis. eur</w:t>
      </w:r>
      <w:r w:rsidR="00040B78">
        <w:rPr>
          <w:rFonts w:cs="Times New Roman"/>
          <w:sz w:val="24"/>
          <w:szCs w:val="24"/>
        </w:rPr>
        <w:t xml:space="preserve"> (</w:t>
      </w:r>
      <w:r>
        <w:rPr>
          <w:rFonts w:cs="Times New Roman"/>
          <w:sz w:val="24"/>
          <w:szCs w:val="24"/>
        </w:rPr>
        <w:t xml:space="preserve">2022: </w:t>
      </w:r>
      <w:r w:rsidRPr="00F966C2">
        <w:rPr>
          <w:rFonts w:cs="Times New Roman"/>
          <w:sz w:val="24"/>
          <w:szCs w:val="24"/>
        </w:rPr>
        <w:t>63</w:t>
      </w:r>
      <w:r>
        <w:rPr>
          <w:rFonts w:cs="Times New Roman"/>
          <w:sz w:val="24"/>
          <w:szCs w:val="24"/>
        </w:rPr>
        <w:t> </w:t>
      </w:r>
      <w:r w:rsidRPr="00F966C2">
        <w:rPr>
          <w:rFonts w:cs="Times New Roman"/>
          <w:sz w:val="24"/>
          <w:szCs w:val="24"/>
        </w:rPr>
        <w:t>tis.</w:t>
      </w:r>
      <w:r>
        <w:rPr>
          <w:rFonts w:cs="Times New Roman"/>
          <w:sz w:val="24"/>
          <w:szCs w:val="24"/>
        </w:rPr>
        <w:t> </w:t>
      </w:r>
      <w:r w:rsidRPr="00F966C2">
        <w:rPr>
          <w:rFonts w:cs="Times New Roman"/>
          <w:sz w:val="24"/>
          <w:szCs w:val="24"/>
        </w:rPr>
        <w:t>eur) a</w:t>
      </w:r>
      <w:r w:rsidR="00040B78">
        <w:rPr>
          <w:rFonts w:cs="Times New Roman"/>
          <w:sz w:val="24"/>
          <w:szCs w:val="24"/>
        </w:rPr>
        <w:t xml:space="preserve"> </w:t>
      </w:r>
      <w:r w:rsidRPr="00F966C2">
        <w:rPr>
          <w:rFonts w:cs="Times New Roman"/>
          <w:sz w:val="24"/>
          <w:szCs w:val="24"/>
        </w:rPr>
        <w:t>medziročne vzrástli o 33,3 %.</w:t>
      </w:r>
    </w:p>
    <w:p w14:paraId="7B1E2B62" w14:textId="77777777" w:rsidR="00B768D9" w:rsidRPr="00040B78" w:rsidRDefault="00B768D9" w:rsidP="00040B78">
      <w:pPr>
        <w:spacing w:line="240" w:lineRule="auto"/>
        <w:rPr>
          <w:b/>
          <w:color w:val="5B9BD5" w:themeColor="accent1"/>
          <w:sz w:val="24"/>
          <w:szCs w:val="24"/>
        </w:rPr>
      </w:pPr>
      <w:r w:rsidRPr="00040B78">
        <w:rPr>
          <w:b/>
          <w:color w:val="5B9BD5" w:themeColor="accent1"/>
          <w:sz w:val="24"/>
          <w:szCs w:val="24"/>
        </w:rPr>
        <w:t>Tovary a služby</w:t>
      </w:r>
    </w:p>
    <w:p w14:paraId="4F734104" w14:textId="2E8FBA80" w:rsidR="00B768D9" w:rsidRDefault="005A00C0" w:rsidP="00B768D9">
      <w:pPr>
        <w:suppressAutoHyphens/>
        <w:spacing w:line="240" w:lineRule="auto"/>
        <w:rPr>
          <w:rFonts w:eastAsia="Calibri" w:cs="Times New Roman"/>
          <w:sz w:val="24"/>
          <w:szCs w:val="24"/>
        </w:rPr>
      </w:pPr>
      <w:r w:rsidRPr="005A00C0">
        <w:rPr>
          <w:rFonts w:eastAsia="Calibri" w:cs="Times New Roman"/>
          <w:sz w:val="24"/>
          <w:szCs w:val="24"/>
        </w:rPr>
        <w:t>Výdavky na tovary a služby boli rozpočtované v sume 9 407 563 tis. eur a skutočné čerpanie 2 490 382 tis. eur, čo je oproti schválenému rozpočtu nižšie o 73,5 %. Dôvodom je najmä skutočnosť, že v rámci služieb sa rozpočtujú aj zálohové platby na projekty EÚ a prostriedky štátneho rozpočtu na spolufinancovanie projektov v súlade s koncepciou finančného riadenia štrukturálnych fondov a Kohézneho fondu. Zúčtovanie poskytnutých zálohových platieb sa však vykonáva na príslušných položkách rozpočtovej klasifikácie podľa skutočne realizovaných výdavkov (napríklad bežné a kapitálové transfery). V porovnaní s rokom 2022 bolo skutočné čerpanie v roku 2023 na tejto položke vyššie o 149 727 tis. eur, a to najmä na podpoložkách služby (o 56 008 tis. eur), rutinná a štandardná údržba (o 33 301 tis. eur) a energie, voda a komunikácie (o 62 472 tis. eur).</w:t>
      </w:r>
      <w:r w:rsidR="00B768D9" w:rsidRPr="001A5789">
        <w:rPr>
          <w:rFonts w:eastAsia="Calibri" w:cs="Times New Roman"/>
          <w:sz w:val="24"/>
          <w:szCs w:val="24"/>
        </w:rPr>
        <w:t xml:space="preserve"> </w:t>
      </w:r>
    </w:p>
    <w:tbl>
      <w:tblPr>
        <w:tblW w:w="9156" w:type="dxa"/>
        <w:tblInd w:w="58" w:type="dxa"/>
        <w:tblCellMar>
          <w:left w:w="70" w:type="dxa"/>
          <w:right w:w="70" w:type="dxa"/>
        </w:tblCellMar>
        <w:tblLook w:val="04A0" w:firstRow="1" w:lastRow="0" w:firstColumn="1" w:lastColumn="0" w:noHBand="0" w:noVBand="1"/>
      </w:tblPr>
      <w:tblGrid>
        <w:gridCol w:w="2847"/>
        <w:gridCol w:w="72"/>
        <w:gridCol w:w="992"/>
        <w:gridCol w:w="993"/>
        <w:gridCol w:w="1134"/>
        <w:gridCol w:w="1134"/>
        <w:gridCol w:w="1134"/>
        <w:gridCol w:w="850"/>
      </w:tblGrid>
      <w:tr w:rsidR="00B768D9" w:rsidRPr="007D4936" w14:paraId="4FFB65D8" w14:textId="77777777" w:rsidTr="00385988">
        <w:trPr>
          <w:trHeight w:val="276"/>
        </w:trPr>
        <w:tc>
          <w:tcPr>
            <w:tcW w:w="2847" w:type="dxa"/>
            <w:tcBorders>
              <w:top w:val="nil"/>
              <w:left w:val="nil"/>
              <w:bottom w:val="nil"/>
              <w:right w:val="nil"/>
            </w:tcBorders>
            <w:shd w:val="clear" w:color="auto" w:fill="auto"/>
            <w:noWrap/>
            <w:vAlign w:val="bottom"/>
            <w:hideMark/>
          </w:tcPr>
          <w:p w14:paraId="13921E62" w14:textId="52D5225E" w:rsidR="00B768D9" w:rsidRPr="007D4936" w:rsidRDefault="00B768D9" w:rsidP="004A6E2F">
            <w:pPr>
              <w:spacing w:line="240" w:lineRule="auto"/>
              <w:rPr>
                <w:rFonts w:eastAsia="Times New Roman" w:cs="Times New Roman"/>
                <w:b/>
                <w:bCs/>
                <w:color w:val="5B9BD5"/>
                <w:sz w:val="20"/>
                <w:szCs w:val="20"/>
                <w:lang w:eastAsia="sk-SK"/>
              </w:rPr>
            </w:pPr>
            <w:r>
              <w:rPr>
                <w:rFonts w:eastAsia="Times New Roman" w:cs="Times New Roman"/>
                <w:b/>
                <w:bCs/>
                <w:color w:val="5B9BD5"/>
                <w:sz w:val="20"/>
                <w:szCs w:val="20"/>
                <w:lang w:eastAsia="sk-SK"/>
              </w:rPr>
              <w:t>Tabuľka 3</w:t>
            </w:r>
            <w:r w:rsidR="004A6E2F">
              <w:rPr>
                <w:rFonts w:eastAsia="Times New Roman" w:cs="Times New Roman"/>
                <w:b/>
                <w:bCs/>
                <w:color w:val="5B9BD5"/>
                <w:sz w:val="20"/>
                <w:szCs w:val="20"/>
                <w:lang w:eastAsia="sk-SK"/>
              </w:rPr>
              <w:t>3</w:t>
            </w:r>
            <w:r>
              <w:rPr>
                <w:rFonts w:eastAsia="Times New Roman" w:cs="Times New Roman"/>
                <w:b/>
                <w:bCs/>
                <w:color w:val="5B9BD5"/>
                <w:sz w:val="20"/>
                <w:szCs w:val="20"/>
                <w:lang w:eastAsia="sk-SK"/>
              </w:rPr>
              <w:t xml:space="preserve"> –</w:t>
            </w:r>
            <w:r w:rsidR="00B41352">
              <w:rPr>
                <w:rFonts w:eastAsia="Times New Roman" w:cs="Times New Roman"/>
                <w:b/>
                <w:bCs/>
                <w:color w:val="5B9BD5"/>
                <w:sz w:val="20"/>
                <w:szCs w:val="20"/>
                <w:lang w:eastAsia="sk-SK"/>
              </w:rPr>
              <w:t xml:space="preserve"> </w:t>
            </w:r>
            <w:r>
              <w:rPr>
                <w:rFonts w:eastAsia="Times New Roman" w:cs="Times New Roman"/>
                <w:b/>
                <w:bCs/>
                <w:color w:val="5B9BD5"/>
                <w:sz w:val="20"/>
                <w:szCs w:val="20"/>
                <w:lang w:eastAsia="sk-SK"/>
              </w:rPr>
              <w:t>Tovary a </w:t>
            </w:r>
            <w:r w:rsidRPr="007D4936">
              <w:rPr>
                <w:rFonts w:eastAsia="Times New Roman" w:cs="Times New Roman"/>
                <w:b/>
                <w:bCs/>
                <w:color w:val="5B9BD5"/>
                <w:sz w:val="20"/>
                <w:szCs w:val="20"/>
                <w:lang w:eastAsia="sk-SK"/>
              </w:rPr>
              <w:t>služby</w:t>
            </w:r>
          </w:p>
        </w:tc>
        <w:tc>
          <w:tcPr>
            <w:tcW w:w="1064" w:type="dxa"/>
            <w:gridSpan w:val="2"/>
            <w:tcBorders>
              <w:top w:val="nil"/>
              <w:left w:val="nil"/>
              <w:bottom w:val="nil"/>
              <w:right w:val="nil"/>
            </w:tcBorders>
            <w:shd w:val="clear" w:color="auto" w:fill="auto"/>
            <w:noWrap/>
            <w:vAlign w:val="bottom"/>
            <w:hideMark/>
          </w:tcPr>
          <w:p w14:paraId="67A4469A" w14:textId="77777777" w:rsidR="00B768D9" w:rsidRPr="007D4936" w:rsidRDefault="00B768D9" w:rsidP="00B768D9">
            <w:pPr>
              <w:spacing w:after="0" w:line="240" w:lineRule="auto"/>
              <w:rPr>
                <w:rFonts w:ascii="Arial Narrow" w:eastAsia="Times New Roman" w:hAnsi="Arial Narrow" w:cs="Times New Roman"/>
                <w:color w:val="000000"/>
                <w:lang w:eastAsia="sk-SK"/>
              </w:rPr>
            </w:pPr>
          </w:p>
        </w:tc>
        <w:tc>
          <w:tcPr>
            <w:tcW w:w="993" w:type="dxa"/>
            <w:tcBorders>
              <w:top w:val="nil"/>
              <w:left w:val="nil"/>
              <w:bottom w:val="nil"/>
              <w:right w:val="nil"/>
            </w:tcBorders>
            <w:shd w:val="clear" w:color="auto" w:fill="auto"/>
            <w:noWrap/>
            <w:vAlign w:val="bottom"/>
            <w:hideMark/>
          </w:tcPr>
          <w:p w14:paraId="24357A35" w14:textId="77777777" w:rsidR="00B768D9" w:rsidRPr="007D4936" w:rsidRDefault="00B768D9" w:rsidP="00B768D9">
            <w:pPr>
              <w:spacing w:after="0" w:line="240" w:lineRule="auto"/>
              <w:rPr>
                <w:rFonts w:ascii="Arial Narrow" w:eastAsia="Times New Roman" w:hAnsi="Arial Narrow" w:cs="Times New Roman"/>
                <w:color w:val="000000"/>
                <w:lang w:eastAsia="sk-SK"/>
              </w:rPr>
            </w:pPr>
          </w:p>
        </w:tc>
        <w:tc>
          <w:tcPr>
            <w:tcW w:w="1134" w:type="dxa"/>
            <w:tcBorders>
              <w:top w:val="nil"/>
              <w:left w:val="nil"/>
              <w:bottom w:val="nil"/>
              <w:right w:val="nil"/>
            </w:tcBorders>
            <w:shd w:val="clear" w:color="auto" w:fill="auto"/>
            <w:noWrap/>
            <w:vAlign w:val="bottom"/>
            <w:hideMark/>
          </w:tcPr>
          <w:p w14:paraId="329E0B30" w14:textId="77777777" w:rsidR="00B768D9" w:rsidRPr="007D4936" w:rsidRDefault="00B768D9" w:rsidP="00B768D9">
            <w:pPr>
              <w:spacing w:after="0" w:line="240" w:lineRule="auto"/>
              <w:rPr>
                <w:rFonts w:ascii="Arial Narrow" w:eastAsia="Times New Roman" w:hAnsi="Arial Narrow" w:cs="Times New Roman"/>
                <w:color w:val="000000"/>
                <w:lang w:eastAsia="sk-SK"/>
              </w:rPr>
            </w:pPr>
          </w:p>
        </w:tc>
        <w:tc>
          <w:tcPr>
            <w:tcW w:w="1134" w:type="dxa"/>
            <w:tcBorders>
              <w:top w:val="nil"/>
              <w:left w:val="nil"/>
              <w:bottom w:val="nil"/>
              <w:right w:val="nil"/>
            </w:tcBorders>
            <w:shd w:val="clear" w:color="auto" w:fill="auto"/>
            <w:noWrap/>
            <w:vAlign w:val="bottom"/>
            <w:hideMark/>
          </w:tcPr>
          <w:p w14:paraId="741FF24C" w14:textId="77777777" w:rsidR="00B768D9" w:rsidRPr="007D4936" w:rsidRDefault="00B768D9" w:rsidP="00B768D9">
            <w:pPr>
              <w:spacing w:after="0" w:line="240" w:lineRule="auto"/>
              <w:rPr>
                <w:rFonts w:ascii="Arial Narrow" w:eastAsia="Times New Roman" w:hAnsi="Arial Narrow" w:cs="Times New Roman"/>
                <w:color w:val="000000"/>
                <w:lang w:eastAsia="sk-SK"/>
              </w:rPr>
            </w:pPr>
          </w:p>
        </w:tc>
        <w:tc>
          <w:tcPr>
            <w:tcW w:w="1134" w:type="dxa"/>
            <w:tcBorders>
              <w:top w:val="nil"/>
              <w:left w:val="nil"/>
              <w:bottom w:val="nil"/>
              <w:right w:val="nil"/>
            </w:tcBorders>
            <w:shd w:val="clear" w:color="auto" w:fill="auto"/>
            <w:noWrap/>
            <w:vAlign w:val="bottom"/>
            <w:hideMark/>
          </w:tcPr>
          <w:p w14:paraId="089F40DA" w14:textId="77777777" w:rsidR="00B768D9" w:rsidRPr="007D4936" w:rsidRDefault="00B768D9" w:rsidP="00B768D9">
            <w:pPr>
              <w:spacing w:after="0" w:line="240" w:lineRule="auto"/>
              <w:rPr>
                <w:rFonts w:ascii="Arial Narrow" w:eastAsia="Times New Roman" w:hAnsi="Arial Narrow" w:cs="Times New Roman"/>
                <w:color w:val="000000"/>
                <w:lang w:eastAsia="sk-SK"/>
              </w:rPr>
            </w:pPr>
          </w:p>
        </w:tc>
        <w:tc>
          <w:tcPr>
            <w:tcW w:w="850" w:type="dxa"/>
            <w:tcBorders>
              <w:top w:val="nil"/>
              <w:left w:val="nil"/>
              <w:bottom w:val="nil"/>
              <w:right w:val="nil"/>
            </w:tcBorders>
            <w:shd w:val="clear" w:color="auto" w:fill="auto"/>
            <w:noWrap/>
            <w:vAlign w:val="bottom"/>
            <w:hideMark/>
          </w:tcPr>
          <w:p w14:paraId="6087ACC2" w14:textId="77777777" w:rsidR="00B768D9" w:rsidRPr="007D4936" w:rsidRDefault="00B768D9" w:rsidP="00B768D9">
            <w:pPr>
              <w:spacing w:after="0" w:line="240" w:lineRule="auto"/>
              <w:rPr>
                <w:rFonts w:ascii="Arial Narrow" w:eastAsia="Times New Roman" w:hAnsi="Arial Narrow" w:cs="Times New Roman"/>
                <w:color w:val="000000"/>
                <w:lang w:eastAsia="sk-SK"/>
              </w:rPr>
            </w:pPr>
          </w:p>
        </w:tc>
      </w:tr>
      <w:tr w:rsidR="00A55A39" w:rsidRPr="007D4936" w14:paraId="50FBEF68" w14:textId="77777777" w:rsidTr="00836EB5">
        <w:trPr>
          <w:trHeight w:val="276"/>
        </w:trPr>
        <w:tc>
          <w:tcPr>
            <w:tcW w:w="2919" w:type="dxa"/>
            <w:gridSpan w:val="2"/>
            <w:vMerge w:val="restart"/>
            <w:tcBorders>
              <w:top w:val="single" w:sz="4" w:space="0" w:color="auto"/>
              <w:left w:val="nil"/>
              <w:right w:val="nil"/>
            </w:tcBorders>
            <w:shd w:val="clear" w:color="000000" w:fill="FFFFFF"/>
            <w:vAlign w:val="center"/>
            <w:hideMark/>
          </w:tcPr>
          <w:p w14:paraId="7A7EE15D" w14:textId="5D25648A" w:rsidR="00A55A39" w:rsidRPr="007D4936" w:rsidRDefault="00A55A39" w:rsidP="00A55A39">
            <w:pPr>
              <w:spacing w:after="0" w:line="240" w:lineRule="auto"/>
              <w:rPr>
                <w:rFonts w:eastAsia="Times New Roman" w:cs="Times New Roman"/>
                <w:b/>
                <w:bCs/>
                <w:color w:val="000000"/>
                <w:sz w:val="18"/>
                <w:szCs w:val="18"/>
                <w:lang w:eastAsia="sk-SK"/>
              </w:rPr>
            </w:pPr>
            <w:r w:rsidRPr="007D4936">
              <w:rPr>
                <w:rFonts w:eastAsia="Times New Roman" w:cs="Times New Roman"/>
                <w:b/>
                <w:bCs/>
                <w:color w:val="000000"/>
                <w:sz w:val="18"/>
                <w:szCs w:val="18"/>
                <w:lang w:eastAsia="sk-SK"/>
              </w:rPr>
              <w:t>v tis. eur</w:t>
            </w:r>
          </w:p>
        </w:tc>
        <w:tc>
          <w:tcPr>
            <w:tcW w:w="992" w:type="dxa"/>
            <w:tcBorders>
              <w:top w:val="single" w:sz="4" w:space="0" w:color="auto"/>
              <w:left w:val="nil"/>
              <w:bottom w:val="nil"/>
              <w:right w:val="nil"/>
            </w:tcBorders>
            <w:shd w:val="clear" w:color="000000" w:fill="FFFFFF"/>
            <w:noWrap/>
            <w:vAlign w:val="center"/>
            <w:hideMark/>
          </w:tcPr>
          <w:p w14:paraId="70989B14" w14:textId="77777777" w:rsidR="00A55A39" w:rsidRPr="007D4936" w:rsidRDefault="00A55A39" w:rsidP="00B768D9">
            <w:pPr>
              <w:spacing w:after="0" w:line="240" w:lineRule="auto"/>
              <w:jc w:val="center"/>
              <w:rPr>
                <w:rFonts w:eastAsia="Times New Roman" w:cs="Times New Roman"/>
                <w:b/>
                <w:bCs/>
                <w:color w:val="000000"/>
                <w:sz w:val="18"/>
                <w:szCs w:val="18"/>
                <w:lang w:eastAsia="sk-SK"/>
              </w:rPr>
            </w:pPr>
            <w:r w:rsidRPr="007D4936">
              <w:rPr>
                <w:rFonts w:eastAsia="Times New Roman" w:cs="Times New Roman"/>
                <w:b/>
                <w:bCs/>
                <w:color w:val="000000"/>
                <w:sz w:val="18"/>
                <w:szCs w:val="18"/>
                <w:lang w:eastAsia="sk-SK"/>
              </w:rPr>
              <w:t>2021 S</w:t>
            </w:r>
          </w:p>
        </w:tc>
        <w:tc>
          <w:tcPr>
            <w:tcW w:w="993" w:type="dxa"/>
            <w:tcBorders>
              <w:top w:val="single" w:sz="4" w:space="0" w:color="auto"/>
              <w:left w:val="nil"/>
              <w:bottom w:val="nil"/>
              <w:right w:val="nil"/>
            </w:tcBorders>
            <w:shd w:val="clear" w:color="000000" w:fill="FFFFFF"/>
            <w:noWrap/>
            <w:vAlign w:val="center"/>
            <w:hideMark/>
          </w:tcPr>
          <w:p w14:paraId="2982367E" w14:textId="77777777" w:rsidR="00A55A39" w:rsidRPr="007D4936" w:rsidRDefault="00A55A39" w:rsidP="00B768D9">
            <w:pPr>
              <w:spacing w:after="0" w:line="240" w:lineRule="auto"/>
              <w:jc w:val="center"/>
              <w:rPr>
                <w:rFonts w:eastAsia="Times New Roman" w:cs="Times New Roman"/>
                <w:b/>
                <w:bCs/>
                <w:color w:val="000000"/>
                <w:sz w:val="18"/>
                <w:szCs w:val="18"/>
                <w:lang w:eastAsia="sk-SK"/>
              </w:rPr>
            </w:pPr>
            <w:r w:rsidRPr="007D4936">
              <w:rPr>
                <w:rFonts w:eastAsia="Times New Roman" w:cs="Times New Roman"/>
                <w:b/>
                <w:bCs/>
                <w:color w:val="000000"/>
                <w:sz w:val="18"/>
                <w:szCs w:val="18"/>
                <w:lang w:eastAsia="sk-SK"/>
              </w:rPr>
              <w:t>2022 S</w:t>
            </w:r>
          </w:p>
        </w:tc>
        <w:tc>
          <w:tcPr>
            <w:tcW w:w="1134" w:type="dxa"/>
            <w:tcBorders>
              <w:top w:val="single" w:sz="4" w:space="0" w:color="auto"/>
              <w:left w:val="nil"/>
              <w:bottom w:val="nil"/>
              <w:right w:val="nil"/>
            </w:tcBorders>
            <w:shd w:val="clear" w:color="000000" w:fill="FFFFFF"/>
            <w:noWrap/>
            <w:vAlign w:val="center"/>
            <w:hideMark/>
          </w:tcPr>
          <w:p w14:paraId="03714CBB" w14:textId="77777777" w:rsidR="00A55A39" w:rsidRPr="007D4936" w:rsidRDefault="00A55A39" w:rsidP="00385988">
            <w:pPr>
              <w:spacing w:after="0" w:line="240" w:lineRule="auto"/>
              <w:jc w:val="center"/>
              <w:rPr>
                <w:rFonts w:eastAsia="Times New Roman" w:cs="Times New Roman"/>
                <w:b/>
                <w:bCs/>
                <w:color w:val="000000"/>
                <w:sz w:val="18"/>
                <w:szCs w:val="18"/>
                <w:lang w:eastAsia="sk-SK"/>
              </w:rPr>
            </w:pPr>
            <w:r w:rsidRPr="007D4936">
              <w:rPr>
                <w:rFonts w:eastAsia="Times New Roman" w:cs="Times New Roman"/>
                <w:b/>
                <w:bCs/>
                <w:color w:val="000000"/>
                <w:sz w:val="18"/>
                <w:szCs w:val="18"/>
                <w:lang w:eastAsia="sk-SK"/>
              </w:rPr>
              <w:t>2023 R</w:t>
            </w:r>
          </w:p>
        </w:tc>
        <w:tc>
          <w:tcPr>
            <w:tcW w:w="1134" w:type="dxa"/>
            <w:tcBorders>
              <w:top w:val="single" w:sz="4" w:space="0" w:color="auto"/>
              <w:left w:val="nil"/>
              <w:bottom w:val="nil"/>
              <w:right w:val="nil"/>
            </w:tcBorders>
            <w:shd w:val="clear" w:color="000000" w:fill="FFFFFF"/>
            <w:noWrap/>
            <w:vAlign w:val="center"/>
            <w:hideMark/>
          </w:tcPr>
          <w:p w14:paraId="2C9943F4" w14:textId="77777777" w:rsidR="00A55A39" w:rsidRPr="007D4936" w:rsidRDefault="00A55A39" w:rsidP="00B768D9">
            <w:pPr>
              <w:spacing w:after="0" w:line="240" w:lineRule="auto"/>
              <w:jc w:val="center"/>
              <w:rPr>
                <w:rFonts w:eastAsia="Times New Roman" w:cs="Times New Roman"/>
                <w:b/>
                <w:bCs/>
                <w:color w:val="000000"/>
                <w:sz w:val="18"/>
                <w:szCs w:val="18"/>
                <w:lang w:eastAsia="sk-SK"/>
              </w:rPr>
            </w:pPr>
            <w:r w:rsidRPr="007D4936">
              <w:rPr>
                <w:rFonts w:eastAsia="Times New Roman" w:cs="Times New Roman"/>
                <w:b/>
                <w:bCs/>
                <w:color w:val="000000"/>
                <w:sz w:val="18"/>
                <w:szCs w:val="18"/>
                <w:lang w:eastAsia="sk-SK"/>
              </w:rPr>
              <w:t>2023 S</w:t>
            </w:r>
          </w:p>
        </w:tc>
        <w:tc>
          <w:tcPr>
            <w:tcW w:w="1134" w:type="dxa"/>
            <w:tcBorders>
              <w:top w:val="single" w:sz="4" w:space="0" w:color="auto"/>
              <w:left w:val="nil"/>
              <w:bottom w:val="nil"/>
              <w:right w:val="nil"/>
            </w:tcBorders>
            <w:shd w:val="clear" w:color="000000" w:fill="FFFFFF"/>
            <w:noWrap/>
            <w:vAlign w:val="center"/>
            <w:hideMark/>
          </w:tcPr>
          <w:p w14:paraId="0ED0ACF4" w14:textId="77777777" w:rsidR="00A55A39" w:rsidRPr="007D4936" w:rsidRDefault="00A55A39" w:rsidP="00B768D9">
            <w:pPr>
              <w:spacing w:after="0" w:line="240" w:lineRule="auto"/>
              <w:jc w:val="center"/>
              <w:rPr>
                <w:rFonts w:eastAsia="Times New Roman" w:cs="Times New Roman"/>
                <w:b/>
                <w:bCs/>
                <w:color w:val="000000"/>
                <w:sz w:val="18"/>
                <w:szCs w:val="18"/>
                <w:lang w:eastAsia="sk-SK"/>
              </w:rPr>
            </w:pPr>
            <w:r w:rsidRPr="007D4936">
              <w:rPr>
                <w:rFonts w:eastAsia="Times New Roman" w:cs="Times New Roman"/>
                <w:b/>
                <w:bCs/>
                <w:color w:val="000000"/>
                <w:sz w:val="18"/>
                <w:szCs w:val="18"/>
                <w:lang w:eastAsia="sk-SK"/>
              </w:rPr>
              <w:t>Rozdiel</w:t>
            </w:r>
          </w:p>
        </w:tc>
        <w:tc>
          <w:tcPr>
            <w:tcW w:w="850" w:type="dxa"/>
            <w:tcBorders>
              <w:top w:val="single" w:sz="4" w:space="0" w:color="auto"/>
              <w:left w:val="nil"/>
              <w:bottom w:val="nil"/>
              <w:right w:val="nil"/>
            </w:tcBorders>
            <w:shd w:val="clear" w:color="000000" w:fill="FFFFFF"/>
            <w:noWrap/>
            <w:vAlign w:val="center"/>
            <w:hideMark/>
          </w:tcPr>
          <w:p w14:paraId="7687C0CA" w14:textId="77777777" w:rsidR="00A55A39" w:rsidRPr="007D4936" w:rsidRDefault="00A55A39" w:rsidP="00B768D9">
            <w:pPr>
              <w:spacing w:after="0" w:line="240" w:lineRule="auto"/>
              <w:jc w:val="center"/>
              <w:rPr>
                <w:rFonts w:eastAsia="Times New Roman" w:cs="Times New Roman"/>
                <w:b/>
                <w:bCs/>
                <w:color w:val="000000"/>
                <w:sz w:val="18"/>
                <w:szCs w:val="18"/>
                <w:lang w:eastAsia="sk-SK"/>
              </w:rPr>
            </w:pPr>
            <w:r w:rsidRPr="007D4936">
              <w:rPr>
                <w:rFonts w:eastAsia="Times New Roman" w:cs="Times New Roman"/>
                <w:b/>
                <w:bCs/>
                <w:color w:val="000000"/>
                <w:sz w:val="18"/>
                <w:szCs w:val="18"/>
                <w:lang w:eastAsia="sk-SK"/>
              </w:rPr>
              <w:t>v %</w:t>
            </w:r>
          </w:p>
        </w:tc>
      </w:tr>
      <w:tr w:rsidR="00A55A39" w:rsidRPr="007D4936" w14:paraId="4CD95657" w14:textId="77777777" w:rsidTr="00836EB5">
        <w:trPr>
          <w:trHeight w:val="276"/>
        </w:trPr>
        <w:tc>
          <w:tcPr>
            <w:tcW w:w="2919" w:type="dxa"/>
            <w:gridSpan w:val="2"/>
            <w:vMerge/>
            <w:tcBorders>
              <w:left w:val="nil"/>
              <w:bottom w:val="single" w:sz="4" w:space="0" w:color="auto"/>
              <w:right w:val="nil"/>
            </w:tcBorders>
            <w:shd w:val="clear" w:color="000000" w:fill="FFFFFF"/>
            <w:vAlign w:val="center"/>
            <w:hideMark/>
          </w:tcPr>
          <w:p w14:paraId="6C1C4384" w14:textId="4358E43B" w:rsidR="00A55A39" w:rsidRPr="007D4936" w:rsidRDefault="00A55A39" w:rsidP="00B768D9">
            <w:pPr>
              <w:spacing w:after="0" w:line="240" w:lineRule="auto"/>
              <w:rPr>
                <w:rFonts w:eastAsia="Times New Roman" w:cs="Times New Roman"/>
                <w:color w:val="000000"/>
                <w:sz w:val="18"/>
                <w:szCs w:val="18"/>
                <w:lang w:eastAsia="sk-SK"/>
              </w:rPr>
            </w:pPr>
          </w:p>
        </w:tc>
        <w:tc>
          <w:tcPr>
            <w:tcW w:w="992" w:type="dxa"/>
            <w:tcBorders>
              <w:top w:val="nil"/>
              <w:left w:val="nil"/>
              <w:bottom w:val="single" w:sz="4" w:space="0" w:color="auto"/>
              <w:right w:val="nil"/>
            </w:tcBorders>
            <w:shd w:val="clear" w:color="000000" w:fill="FFFFFF"/>
            <w:noWrap/>
            <w:vAlign w:val="center"/>
            <w:hideMark/>
          </w:tcPr>
          <w:p w14:paraId="13571DE2" w14:textId="77777777" w:rsidR="00A55A39" w:rsidRPr="007D4936" w:rsidRDefault="00A55A39" w:rsidP="00B768D9">
            <w:pPr>
              <w:spacing w:after="0" w:line="240" w:lineRule="auto"/>
              <w:jc w:val="center"/>
              <w:rPr>
                <w:rFonts w:eastAsia="Times New Roman" w:cs="Times New Roman"/>
                <w:b/>
                <w:bCs/>
                <w:color w:val="000000"/>
                <w:sz w:val="18"/>
                <w:szCs w:val="18"/>
                <w:lang w:eastAsia="sk-SK"/>
              </w:rPr>
            </w:pPr>
            <w:r w:rsidRPr="007D4936">
              <w:rPr>
                <w:rFonts w:eastAsia="Times New Roman" w:cs="Times New Roman"/>
                <w:b/>
                <w:bCs/>
                <w:color w:val="000000"/>
                <w:sz w:val="18"/>
                <w:szCs w:val="18"/>
                <w:lang w:eastAsia="sk-SK"/>
              </w:rPr>
              <w:t>1</w:t>
            </w:r>
          </w:p>
        </w:tc>
        <w:tc>
          <w:tcPr>
            <w:tcW w:w="993" w:type="dxa"/>
            <w:tcBorders>
              <w:top w:val="nil"/>
              <w:left w:val="nil"/>
              <w:bottom w:val="single" w:sz="4" w:space="0" w:color="auto"/>
              <w:right w:val="nil"/>
            </w:tcBorders>
            <w:shd w:val="clear" w:color="000000" w:fill="FFFFFF"/>
            <w:noWrap/>
            <w:vAlign w:val="center"/>
            <w:hideMark/>
          </w:tcPr>
          <w:p w14:paraId="1022358E" w14:textId="77777777" w:rsidR="00A55A39" w:rsidRPr="007D4936" w:rsidRDefault="00A55A39" w:rsidP="00B768D9">
            <w:pPr>
              <w:spacing w:after="0" w:line="240" w:lineRule="auto"/>
              <w:jc w:val="center"/>
              <w:rPr>
                <w:rFonts w:eastAsia="Times New Roman" w:cs="Times New Roman"/>
                <w:b/>
                <w:bCs/>
                <w:color w:val="000000"/>
                <w:sz w:val="18"/>
                <w:szCs w:val="18"/>
                <w:lang w:eastAsia="sk-SK"/>
              </w:rPr>
            </w:pPr>
            <w:r w:rsidRPr="007D4936">
              <w:rPr>
                <w:rFonts w:eastAsia="Times New Roman" w:cs="Times New Roman"/>
                <w:b/>
                <w:bCs/>
                <w:color w:val="000000"/>
                <w:sz w:val="18"/>
                <w:szCs w:val="18"/>
                <w:lang w:eastAsia="sk-SK"/>
              </w:rPr>
              <w:t>2</w:t>
            </w:r>
          </w:p>
        </w:tc>
        <w:tc>
          <w:tcPr>
            <w:tcW w:w="1134" w:type="dxa"/>
            <w:tcBorders>
              <w:top w:val="nil"/>
              <w:left w:val="nil"/>
              <w:bottom w:val="single" w:sz="4" w:space="0" w:color="auto"/>
              <w:right w:val="nil"/>
            </w:tcBorders>
            <w:shd w:val="clear" w:color="000000" w:fill="FFFFFF"/>
            <w:noWrap/>
            <w:vAlign w:val="center"/>
            <w:hideMark/>
          </w:tcPr>
          <w:p w14:paraId="0B6D42E2" w14:textId="77777777" w:rsidR="00A55A39" w:rsidRPr="007D4936" w:rsidRDefault="00A55A39" w:rsidP="00B768D9">
            <w:pPr>
              <w:spacing w:after="0" w:line="240" w:lineRule="auto"/>
              <w:jc w:val="center"/>
              <w:rPr>
                <w:rFonts w:eastAsia="Times New Roman" w:cs="Times New Roman"/>
                <w:b/>
                <w:bCs/>
                <w:color w:val="000000"/>
                <w:sz w:val="18"/>
                <w:szCs w:val="18"/>
                <w:lang w:eastAsia="sk-SK"/>
              </w:rPr>
            </w:pPr>
            <w:r w:rsidRPr="007D4936">
              <w:rPr>
                <w:rFonts w:eastAsia="Times New Roman" w:cs="Times New Roman"/>
                <w:b/>
                <w:bCs/>
                <w:color w:val="000000"/>
                <w:sz w:val="18"/>
                <w:szCs w:val="18"/>
                <w:lang w:eastAsia="sk-SK"/>
              </w:rPr>
              <w:t>3</w:t>
            </w:r>
          </w:p>
        </w:tc>
        <w:tc>
          <w:tcPr>
            <w:tcW w:w="1134" w:type="dxa"/>
            <w:tcBorders>
              <w:top w:val="nil"/>
              <w:left w:val="nil"/>
              <w:bottom w:val="single" w:sz="4" w:space="0" w:color="auto"/>
              <w:right w:val="nil"/>
            </w:tcBorders>
            <w:shd w:val="clear" w:color="000000" w:fill="FFFFFF"/>
            <w:noWrap/>
            <w:vAlign w:val="center"/>
            <w:hideMark/>
          </w:tcPr>
          <w:p w14:paraId="79AB97B6" w14:textId="77777777" w:rsidR="00A55A39" w:rsidRPr="007D4936" w:rsidRDefault="00A55A39" w:rsidP="00B768D9">
            <w:pPr>
              <w:spacing w:after="0" w:line="240" w:lineRule="auto"/>
              <w:jc w:val="center"/>
              <w:rPr>
                <w:rFonts w:eastAsia="Times New Roman" w:cs="Times New Roman"/>
                <w:b/>
                <w:bCs/>
                <w:color w:val="000000"/>
                <w:sz w:val="18"/>
                <w:szCs w:val="18"/>
                <w:lang w:eastAsia="sk-SK"/>
              </w:rPr>
            </w:pPr>
            <w:r w:rsidRPr="007D4936">
              <w:rPr>
                <w:rFonts w:eastAsia="Times New Roman" w:cs="Times New Roman"/>
                <w:b/>
                <w:bCs/>
                <w:color w:val="000000"/>
                <w:sz w:val="18"/>
                <w:szCs w:val="18"/>
                <w:lang w:eastAsia="sk-SK"/>
              </w:rPr>
              <w:t>4</w:t>
            </w:r>
          </w:p>
        </w:tc>
        <w:tc>
          <w:tcPr>
            <w:tcW w:w="1134" w:type="dxa"/>
            <w:tcBorders>
              <w:top w:val="nil"/>
              <w:left w:val="nil"/>
              <w:bottom w:val="single" w:sz="4" w:space="0" w:color="auto"/>
              <w:right w:val="nil"/>
            </w:tcBorders>
            <w:shd w:val="clear" w:color="000000" w:fill="FFFFFF"/>
            <w:noWrap/>
            <w:vAlign w:val="center"/>
            <w:hideMark/>
          </w:tcPr>
          <w:p w14:paraId="46E8297D" w14:textId="77777777" w:rsidR="00A55A39" w:rsidRPr="007D4936" w:rsidRDefault="00A55A39" w:rsidP="00B768D9">
            <w:pPr>
              <w:spacing w:after="0" w:line="240" w:lineRule="auto"/>
              <w:jc w:val="center"/>
              <w:rPr>
                <w:rFonts w:eastAsia="Times New Roman" w:cs="Times New Roman"/>
                <w:b/>
                <w:bCs/>
                <w:color w:val="000000"/>
                <w:sz w:val="18"/>
                <w:szCs w:val="18"/>
                <w:lang w:eastAsia="sk-SK"/>
              </w:rPr>
            </w:pPr>
            <w:r w:rsidRPr="007D4936">
              <w:rPr>
                <w:rFonts w:eastAsia="Times New Roman" w:cs="Times New Roman"/>
                <w:b/>
                <w:bCs/>
                <w:color w:val="000000"/>
                <w:sz w:val="18"/>
                <w:szCs w:val="18"/>
                <w:lang w:eastAsia="sk-SK"/>
              </w:rPr>
              <w:t>5=4-3</w:t>
            </w:r>
          </w:p>
        </w:tc>
        <w:tc>
          <w:tcPr>
            <w:tcW w:w="850" w:type="dxa"/>
            <w:tcBorders>
              <w:top w:val="nil"/>
              <w:left w:val="nil"/>
              <w:bottom w:val="single" w:sz="4" w:space="0" w:color="auto"/>
              <w:right w:val="nil"/>
            </w:tcBorders>
            <w:shd w:val="clear" w:color="000000" w:fill="FFFFFF"/>
            <w:noWrap/>
            <w:vAlign w:val="center"/>
            <w:hideMark/>
          </w:tcPr>
          <w:p w14:paraId="538C6A5D" w14:textId="77777777" w:rsidR="00A55A39" w:rsidRPr="007D4936" w:rsidRDefault="00A55A39" w:rsidP="00B768D9">
            <w:pPr>
              <w:spacing w:after="0" w:line="240" w:lineRule="auto"/>
              <w:jc w:val="center"/>
              <w:rPr>
                <w:rFonts w:eastAsia="Times New Roman" w:cs="Times New Roman"/>
                <w:b/>
                <w:bCs/>
                <w:color w:val="000000"/>
                <w:sz w:val="18"/>
                <w:szCs w:val="18"/>
                <w:lang w:eastAsia="sk-SK"/>
              </w:rPr>
            </w:pPr>
            <w:r w:rsidRPr="007D4936">
              <w:rPr>
                <w:rFonts w:eastAsia="Times New Roman" w:cs="Times New Roman"/>
                <w:b/>
                <w:bCs/>
                <w:color w:val="000000"/>
                <w:sz w:val="18"/>
                <w:szCs w:val="18"/>
                <w:lang w:eastAsia="sk-SK"/>
              </w:rPr>
              <w:t>6=4-3</w:t>
            </w:r>
          </w:p>
        </w:tc>
      </w:tr>
      <w:tr w:rsidR="00B768D9" w:rsidRPr="007D4936" w14:paraId="6106B123" w14:textId="77777777" w:rsidTr="00385988">
        <w:trPr>
          <w:trHeight w:val="300"/>
        </w:trPr>
        <w:tc>
          <w:tcPr>
            <w:tcW w:w="2919" w:type="dxa"/>
            <w:gridSpan w:val="2"/>
            <w:tcBorders>
              <w:top w:val="nil"/>
              <w:left w:val="nil"/>
              <w:bottom w:val="nil"/>
              <w:right w:val="nil"/>
            </w:tcBorders>
            <w:shd w:val="clear" w:color="auto" w:fill="auto"/>
            <w:vAlign w:val="center"/>
            <w:hideMark/>
          </w:tcPr>
          <w:p w14:paraId="48D2184E" w14:textId="77777777" w:rsidR="00B768D9" w:rsidRPr="007D4936" w:rsidRDefault="00B768D9" w:rsidP="00B768D9">
            <w:pPr>
              <w:spacing w:after="0" w:line="240" w:lineRule="auto"/>
              <w:rPr>
                <w:rFonts w:eastAsia="Times New Roman" w:cs="Times New Roman"/>
                <w:color w:val="000000"/>
                <w:sz w:val="18"/>
                <w:szCs w:val="18"/>
                <w:lang w:eastAsia="sk-SK"/>
              </w:rPr>
            </w:pPr>
            <w:r w:rsidRPr="007D4936">
              <w:rPr>
                <w:rFonts w:eastAsia="Times New Roman" w:cs="Times New Roman"/>
                <w:color w:val="000000"/>
                <w:sz w:val="18"/>
                <w:szCs w:val="18"/>
                <w:lang w:eastAsia="sk-SK"/>
              </w:rPr>
              <w:t>Služby</w:t>
            </w:r>
          </w:p>
        </w:tc>
        <w:tc>
          <w:tcPr>
            <w:tcW w:w="992" w:type="dxa"/>
            <w:tcBorders>
              <w:top w:val="nil"/>
              <w:left w:val="nil"/>
              <w:bottom w:val="nil"/>
              <w:right w:val="nil"/>
            </w:tcBorders>
            <w:shd w:val="clear" w:color="auto" w:fill="auto"/>
            <w:noWrap/>
            <w:vAlign w:val="center"/>
            <w:hideMark/>
          </w:tcPr>
          <w:p w14:paraId="3EFB33DD"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918 147</w:t>
            </w:r>
          </w:p>
        </w:tc>
        <w:tc>
          <w:tcPr>
            <w:tcW w:w="993" w:type="dxa"/>
            <w:tcBorders>
              <w:top w:val="nil"/>
              <w:left w:val="nil"/>
              <w:bottom w:val="nil"/>
              <w:right w:val="nil"/>
            </w:tcBorders>
            <w:shd w:val="clear" w:color="auto" w:fill="auto"/>
            <w:noWrap/>
            <w:vAlign w:val="center"/>
            <w:hideMark/>
          </w:tcPr>
          <w:p w14:paraId="460182B8"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980 629</w:t>
            </w:r>
          </w:p>
        </w:tc>
        <w:tc>
          <w:tcPr>
            <w:tcW w:w="1134" w:type="dxa"/>
            <w:tcBorders>
              <w:top w:val="nil"/>
              <w:left w:val="nil"/>
              <w:bottom w:val="nil"/>
              <w:right w:val="nil"/>
            </w:tcBorders>
            <w:shd w:val="clear" w:color="auto" w:fill="auto"/>
            <w:noWrap/>
            <w:vAlign w:val="center"/>
            <w:hideMark/>
          </w:tcPr>
          <w:p w14:paraId="4300BA17"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7 644 758</w:t>
            </w:r>
          </w:p>
        </w:tc>
        <w:tc>
          <w:tcPr>
            <w:tcW w:w="1134" w:type="dxa"/>
            <w:tcBorders>
              <w:top w:val="nil"/>
              <w:left w:val="nil"/>
              <w:bottom w:val="nil"/>
              <w:right w:val="nil"/>
            </w:tcBorders>
            <w:shd w:val="clear" w:color="auto" w:fill="auto"/>
            <w:noWrap/>
            <w:vAlign w:val="center"/>
            <w:hideMark/>
          </w:tcPr>
          <w:p w14:paraId="0DEFD7C1" w14:textId="18BFB385" w:rsidR="00B768D9" w:rsidRPr="007D4936" w:rsidRDefault="00B768D9" w:rsidP="005A00C0">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1 036 6</w:t>
            </w:r>
            <w:r w:rsidR="005A00C0">
              <w:rPr>
                <w:rFonts w:eastAsia="Times New Roman" w:cs="Times New Roman"/>
                <w:color w:val="000000"/>
                <w:sz w:val="18"/>
                <w:szCs w:val="18"/>
                <w:lang w:eastAsia="sk-SK"/>
              </w:rPr>
              <w:t>37</w:t>
            </w:r>
          </w:p>
        </w:tc>
        <w:tc>
          <w:tcPr>
            <w:tcW w:w="1134" w:type="dxa"/>
            <w:tcBorders>
              <w:top w:val="nil"/>
              <w:left w:val="nil"/>
              <w:bottom w:val="nil"/>
              <w:right w:val="nil"/>
            </w:tcBorders>
            <w:shd w:val="clear" w:color="auto" w:fill="auto"/>
            <w:noWrap/>
            <w:vAlign w:val="center"/>
            <w:hideMark/>
          </w:tcPr>
          <w:p w14:paraId="4534C0F5"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-6 608 121</w:t>
            </w:r>
          </w:p>
        </w:tc>
        <w:tc>
          <w:tcPr>
            <w:tcW w:w="850" w:type="dxa"/>
            <w:tcBorders>
              <w:top w:val="nil"/>
              <w:left w:val="nil"/>
              <w:bottom w:val="nil"/>
              <w:right w:val="nil"/>
            </w:tcBorders>
            <w:shd w:val="clear" w:color="auto" w:fill="auto"/>
            <w:noWrap/>
            <w:vAlign w:val="center"/>
            <w:hideMark/>
          </w:tcPr>
          <w:p w14:paraId="13DB598A"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-86,4</w:t>
            </w:r>
          </w:p>
        </w:tc>
      </w:tr>
      <w:tr w:rsidR="00B768D9" w:rsidRPr="007D4936" w14:paraId="0B15B54C" w14:textId="77777777" w:rsidTr="00385988">
        <w:trPr>
          <w:trHeight w:val="300"/>
        </w:trPr>
        <w:tc>
          <w:tcPr>
            <w:tcW w:w="2919" w:type="dxa"/>
            <w:gridSpan w:val="2"/>
            <w:tcBorders>
              <w:top w:val="nil"/>
              <w:left w:val="nil"/>
              <w:bottom w:val="nil"/>
              <w:right w:val="nil"/>
            </w:tcBorders>
            <w:shd w:val="clear" w:color="auto" w:fill="auto"/>
            <w:vAlign w:val="center"/>
            <w:hideMark/>
          </w:tcPr>
          <w:p w14:paraId="58C679C9" w14:textId="77777777" w:rsidR="00B768D9" w:rsidRPr="007D4936" w:rsidRDefault="00B768D9" w:rsidP="00B768D9">
            <w:pPr>
              <w:spacing w:after="0" w:line="240" w:lineRule="auto"/>
              <w:rPr>
                <w:rFonts w:eastAsia="Times New Roman" w:cs="Times New Roman"/>
                <w:color w:val="000000"/>
                <w:sz w:val="18"/>
                <w:szCs w:val="18"/>
                <w:lang w:eastAsia="sk-SK"/>
              </w:rPr>
            </w:pPr>
            <w:r w:rsidRPr="007D4936">
              <w:rPr>
                <w:rFonts w:eastAsia="Times New Roman" w:cs="Times New Roman"/>
                <w:color w:val="000000"/>
                <w:sz w:val="18"/>
                <w:szCs w:val="18"/>
                <w:lang w:eastAsia="sk-SK"/>
              </w:rPr>
              <w:t>materiál</w:t>
            </w:r>
          </w:p>
        </w:tc>
        <w:tc>
          <w:tcPr>
            <w:tcW w:w="992" w:type="dxa"/>
            <w:tcBorders>
              <w:top w:val="nil"/>
              <w:left w:val="nil"/>
              <w:bottom w:val="nil"/>
              <w:right w:val="nil"/>
            </w:tcBorders>
            <w:shd w:val="clear" w:color="auto" w:fill="auto"/>
            <w:noWrap/>
            <w:vAlign w:val="center"/>
            <w:hideMark/>
          </w:tcPr>
          <w:p w14:paraId="513AE757"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511 926</w:t>
            </w:r>
          </w:p>
        </w:tc>
        <w:tc>
          <w:tcPr>
            <w:tcW w:w="993" w:type="dxa"/>
            <w:tcBorders>
              <w:top w:val="nil"/>
              <w:left w:val="nil"/>
              <w:bottom w:val="nil"/>
              <w:right w:val="nil"/>
            </w:tcBorders>
            <w:shd w:val="clear" w:color="auto" w:fill="auto"/>
            <w:noWrap/>
            <w:vAlign w:val="center"/>
            <w:hideMark/>
          </w:tcPr>
          <w:p w14:paraId="5BC9CDD8"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532 806</w:t>
            </w:r>
          </w:p>
        </w:tc>
        <w:tc>
          <w:tcPr>
            <w:tcW w:w="1134" w:type="dxa"/>
            <w:tcBorders>
              <w:top w:val="nil"/>
              <w:left w:val="nil"/>
              <w:bottom w:val="nil"/>
              <w:right w:val="nil"/>
            </w:tcBorders>
            <w:shd w:val="clear" w:color="auto" w:fill="auto"/>
            <w:noWrap/>
            <w:vAlign w:val="center"/>
            <w:hideMark/>
          </w:tcPr>
          <w:p w14:paraId="67EABE1E"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498 387</w:t>
            </w:r>
          </w:p>
        </w:tc>
        <w:tc>
          <w:tcPr>
            <w:tcW w:w="1134" w:type="dxa"/>
            <w:tcBorders>
              <w:top w:val="nil"/>
              <w:left w:val="nil"/>
              <w:bottom w:val="nil"/>
              <w:right w:val="nil"/>
            </w:tcBorders>
            <w:shd w:val="clear" w:color="auto" w:fill="auto"/>
            <w:noWrap/>
            <w:vAlign w:val="center"/>
            <w:hideMark/>
          </w:tcPr>
          <w:p w14:paraId="338C7F42"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513 125</w:t>
            </w:r>
          </w:p>
        </w:tc>
        <w:tc>
          <w:tcPr>
            <w:tcW w:w="1134" w:type="dxa"/>
            <w:tcBorders>
              <w:top w:val="nil"/>
              <w:left w:val="nil"/>
              <w:bottom w:val="nil"/>
              <w:right w:val="nil"/>
            </w:tcBorders>
            <w:shd w:val="clear" w:color="auto" w:fill="auto"/>
            <w:noWrap/>
            <w:vAlign w:val="center"/>
            <w:hideMark/>
          </w:tcPr>
          <w:p w14:paraId="2FFAD235" w14:textId="1F35D368" w:rsidR="00B768D9" w:rsidRPr="007D4936" w:rsidRDefault="00B768D9" w:rsidP="005A00C0">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14 73</w:t>
            </w:r>
            <w:r w:rsidR="005A00C0">
              <w:rPr>
                <w:rFonts w:eastAsia="Times New Roman" w:cs="Times New Roman"/>
                <w:color w:val="000000"/>
                <w:sz w:val="18"/>
                <w:szCs w:val="18"/>
                <w:lang w:eastAsia="sk-SK"/>
              </w:rPr>
              <w:t>8</w:t>
            </w:r>
          </w:p>
        </w:tc>
        <w:tc>
          <w:tcPr>
            <w:tcW w:w="850" w:type="dxa"/>
            <w:tcBorders>
              <w:top w:val="nil"/>
              <w:left w:val="nil"/>
              <w:bottom w:val="nil"/>
              <w:right w:val="nil"/>
            </w:tcBorders>
            <w:shd w:val="clear" w:color="auto" w:fill="auto"/>
            <w:noWrap/>
            <w:vAlign w:val="center"/>
            <w:hideMark/>
          </w:tcPr>
          <w:p w14:paraId="445EFCD1"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3,0</w:t>
            </w:r>
          </w:p>
        </w:tc>
      </w:tr>
      <w:tr w:rsidR="00B768D9" w:rsidRPr="007D4936" w14:paraId="34EB175D" w14:textId="77777777" w:rsidTr="00385988">
        <w:trPr>
          <w:trHeight w:val="300"/>
        </w:trPr>
        <w:tc>
          <w:tcPr>
            <w:tcW w:w="2919" w:type="dxa"/>
            <w:gridSpan w:val="2"/>
            <w:tcBorders>
              <w:top w:val="nil"/>
              <w:left w:val="nil"/>
              <w:bottom w:val="nil"/>
              <w:right w:val="nil"/>
            </w:tcBorders>
            <w:shd w:val="clear" w:color="auto" w:fill="auto"/>
            <w:vAlign w:val="center"/>
            <w:hideMark/>
          </w:tcPr>
          <w:p w14:paraId="5AD8D024" w14:textId="77777777" w:rsidR="00B768D9" w:rsidRPr="007D4936" w:rsidRDefault="00B768D9" w:rsidP="00B768D9">
            <w:pPr>
              <w:spacing w:after="0" w:line="240" w:lineRule="auto"/>
              <w:rPr>
                <w:rFonts w:eastAsia="Times New Roman" w:cs="Times New Roman"/>
                <w:color w:val="000000"/>
                <w:sz w:val="18"/>
                <w:szCs w:val="18"/>
                <w:lang w:eastAsia="sk-SK"/>
              </w:rPr>
            </w:pPr>
            <w:r w:rsidRPr="007D4936">
              <w:rPr>
                <w:rFonts w:eastAsia="Times New Roman" w:cs="Times New Roman"/>
                <w:color w:val="000000"/>
                <w:sz w:val="18"/>
                <w:szCs w:val="18"/>
                <w:lang w:eastAsia="sk-SK"/>
              </w:rPr>
              <w:t>Rutinná a štandardná údržba</w:t>
            </w:r>
          </w:p>
        </w:tc>
        <w:tc>
          <w:tcPr>
            <w:tcW w:w="992" w:type="dxa"/>
            <w:tcBorders>
              <w:top w:val="nil"/>
              <w:left w:val="nil"/>
              <w:bottom w:val="nil"/>
              <w:right w:val="nil"/>
            </w:tcBorders>
            <w:shd w:val="clear" w:color="auto" w:fill="auto"/>
            <w:noWrap/>
            <w:vAlign w:val="center"/>
            <w:hideMark/>
          </w:tcPr>
          <w:p w14:paraId="4AB5E35F"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441 904</w:t>
            </w:r>
          </w:p>
        </w:tc>
        <w:tc>
          <w:tcPr>
            <w:tcW w:w="993" w:type="dxa"/>
            <w:tcBorders>
              <w:top w:val="nil"/>
              <w:left w:val="nil"/>
              <w:bottom w:val="nil"/>
              <w:right w:val="nil"/>
            </w:tcBorders>
            <w:shd w:val="clear" w:color="auto" w:fill="auto"/>
            <w:noWrap/>
            <w:vAlign w:val="center"/>
            <w:hideMark/>
          </w:tcPr>
          <w:p w14:paraId="3EE09BBD"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398 201</w:t>
            </w:r>
          </w:p>
        </w:tc>
        <w:tc>
          <w:tcPr>
            <w:tcW w:w="1134" w:type="dxa"/>
            <w:tcBorders>
              <w:top w:val="nil"/>
              <w:left w:val="nil"/>
              <w:bottom w:val="nil"/>
              <w:right w:val="nil"/>
            </w:tcBorders>
            <w:shd w:val="clear" w:color="auto" w:fill="auto"/>
            <w:noWrap/>
            <w:vAlign w:val="center"/>
            <w:hideMark/>
          </w:tcPr>
          <w:p w14:paraId="49C36E89"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601 837</w:t>
            </w:r>
          </w:p>
        </w:tc>
        <w:tc>
          <w:tcPr>
            <w:tcW w:w="1134" w:type="dxa"/>
            <w:tcBorders>
              <w:top w:val="nil"/>
              <w:left w:val="nil"/>
              <w:bottom w:val="nil"/>
              <w:right w:val="nil"/>
            </w:tcBorders>
            <w:shd w:val="clear" w:color="auto" w:fill="auto"/>
            <w:noWrap/>
            <w:vAlign w:val="center"/>
            <w:hideMark/>
          </w:tcPr>
          <w:p w14:paraId="6974658B"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431 502</w:t>
            </w:r>
          </w:p>
        </w:tc>
        <w:tc>
          <w:tcPr>
            <w:tcW w:w="1134" w:type="dxa"/>
            <w:tcBorders>
              <w:top w:val="nil"/>
              <w:left w:val="nil"/>
              <w:bottom w:val="nil"/>
              <w:right w:val="nil"/>
            </w:tcBorders>
            <w:shd w:val="clear" w:color="auto" w:fill="auto"/>
            <w:noWrap/>
            <w:vAlign w:val="center"/>
            <w:hideMark/>
          </w:tcPr>
          <w:p w14:paraId="3168754A"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-170 335</w:t>
            </w:r>
          </w:p>
        </w:tc>
        <w:tc>
          <w:tcPr>
            <w:tcW w:w="850" w:type="dxa"/>
            <w:tcBorders>
              <w:top w:val="nil"/>
              <w:left w:val="nil"/>
              <w:bottom w:val="nil"/>
              <w:right w:val="nil"/>
            </w:tcBorders>
            <w:shd w:val="clear" w:color="auto" w:fill="auto"/>
            <w:noWrap/>
            <w:vAlign w:val="center"/>
            <w:hideMark/>
          </w:tcPr>
          <w:p w14:paraId="0F687206"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-28,3</w:t>
            </w:r>
          </w:p>
        </w:tc>
      </w:tr>
      <w:tr w:rsidR="00B768D9" w:rsidRPr="007D4936" w14:paraId="25C5E5EA" w14:textId="77777777" w:rsidTr="00385988">
        <w:trPr>
          <w:trHeight w:val="300"/>
        </w:trPr>
        <w:tc>
          <w:tcPr>
            <w:tcW w:w="2919" w:type="dxa"/>
            <w:gridSpan w:val="2"/>
            <w:tcBorders>
              <w:top w:val="nil"/>
              <w:left w:val="nil"/>
              <w:bottom w:val="nil"/>
              <w:right w:val="nil"/>
            </w:tcBorders>
            <w:shd w:val="clear" w:color="auto" w:fill="auto"/>
            <w:vAlign w:val="center"/>
            <w:hideMark/>
          </w:tcPr>
          <w:p w14:paraId="39EC13B1" w14:textId="77777777" w:rsidR="00B768D9" w:rsidRPr="007D4936" w:rsidRDefault="00B768D9" w:rsidP="00B768D9">
            <w:pPr>
              <w:spacing w:after="0" w:line="240" w:lineRule="auto"/>
              <w:rPr>
                <w:rFonts w:eastAsia="Times New Roman" w:cs="Times New Roman"/>
                <w:color w:val="000000"/>
                <w:sz w:val="18"/>
                <w:szCs w:val="18"/>
                <w:lang w:eastAsia="sk-SK"/>
              </w:rPr>
            </w:pPr>
            <w:r w:rsidRPr="007D4936">
              <w:rPr>
                <w:rFonts w:eastAsia="Times New Roman" w:cs="Times New Roman"/>
                <w:color w:val="000000"/>
                <w:sz w:val="18"/>
                <w:szCs w:val="18"/>
                <w:lang w:eastAsia="sk-SK"/>
              </w:rPr>
              <w:t>Energie, voda a komunikácie</w:t>
            </w:r>
          </w:p>
        </w:tc>
        <w:tc>
          <w:tcPr>
            <w:tcW w:w="992" w:type="dxa"/>
            <w:tcBorders>
              <w:top w:val="nil"/>
              <w:left w:val="nil"/>
              <w:bottom w:val="nil"/>
              <w:right w:val="nil"/>
            </w:tcBorders>
            <w:shd w:val="clear" w:color="auto" w:fill="auto"/>
            <w:noWrap/>
            <w:vAlign w:val="center"/>
            <w:hideMark/>
          </w:tcPr>
          <w:p w14:paraId="30BC3D07"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180 365</w:t>
            </w:r>
          </w:p>
        </w:tc>
        <w:tc>
          <w:tcPr>
            <w:tcW w:w="993" w:type="dxa"/>
            <w:tcBorders>
              <w:top w:val="nil"/>
              <w:left w:val="nil"/>
              <w:bottom w:val="nil"/>
              <w:right w:val="nil"/>
            </w:tcBorders>
            <w:shd w:val="clear" w:color="auto" w:fill="auto"/>
            <w:noWrap/>
            <w:vAlign w:val="center"/>
            <w:hideMark/>
          </w:tcPr>
          <w:p w14:paraId="407DF336"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220 192</w:t>
            </w:r>
          </w:p>
        </w:tc>
        <w:tc>
          <w:tcPr>
            <w:tcW w:w="1134" w:type="dxa"/>
            <w:tcBorders>
              <w:top w:val="nil"/>
              <w:left w:val="nil"/>
              <w:bottom w:val="nil"/>
              <w:right w:val="nil"/>
            </w:tcBorders>
            <w:shd w:val="clear" w:color="auto" w:fill="auto"/>
            <w:noWrap/>
            <w:vAlign w:val="center"/>
            <w:hideMark/>
          </w:tcPr>
          <w:p w14:paraId="3AE824E7"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255 646</w:t>
            </w:r>
          </w:p>
        </w:tc>
        <w:tc>
          <w:tcPr>
            <w:tcW w:w="1134" w:type="dxa"/>
            <w:tcBorders>
              <w:top w:val="nil"/>
              <w:left w:val="nil"/>
              <w:bottom w:val="nil"/>
              <w:right w:val="nil"/>
            </w:tcBorders>
            <w:shd w:val="clear" w:color="auto" w:fill="auto"/>
            <w:noWrap/>
            <w:vAlign w:val="center"/>
            <w:hideMark/>
          </w:tcPr>
          <w:p w14:paraId="76DC73ED"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282 664</w:t>
            </w:r>
          </w:p>
        </w:tc>
        <w:tc>
          <w:tcPr>
            <w:tcW w:w="1134" w:type="dxa"/>
            <w:tcBorders>
              <w:top w:val="nil"/>
              <w:left w:val="nil"/>
              <w:bottom w:val="nil"/>
              <w:right w:val="nil"/>
            </w:tcBorders>
            <w:shd w:val="clear" w:color="auto" w:fill="auto"/>
            <w:noWrap/>
            <w:vAlign w:val="center"/>
            <w:hideMark/>
          </w:tcPr>
          <w:p w14:paraId="02584C47"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27 018</w:t>
            </w:r>
          </w:p>
        </w:tc>
        <w:tc>
          <w:tcPr>
            <w:tcW w:w="850" w:type="dxa"/>
            <w:tcBorders>
              <w:top w:val="nil"/>
              <w:left w:val="nil"/>
              <w:bottom w:val="nil"/>
              <w:right w:val="nil"/>
            </w:tcBorders>
            <w:shd w:val="clear" w:color="auto" w:fill="auto"/>
            <w:noWrap/>
            <w:vAlign w:val="center"/>
            <w:hideMark/>
          </w:tcPr>
          <w:p w14:paraId="1072F8F7"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10,6</w:t>
            </w:r>
          </w:p>
        </w:tc>
      </w:tr>
      <w:tr w:rsidR="00B768D9" w:rsidRPr="007D4936" w14:paraId="6474290A" w14:textId="77777777" w:rsidTr="00385988">
        <w:trPr>
          <w:trHeight w:val="300"/>
        </w:trPr>
        <w:tc>
          <w:tcPr>
            <w:tcW w:w="2919" w:type="dxa"/>
            <w:gridSpan w:val="2"/>
            <w:tcBorders>
              <w:top w:val="nil"/>
              <w:left w:val="nil"/>
              <w:bottom w:val="nil"/>
              <w:right w:val="nil"/>
            </w:tcBorders>
            <w:shd w:val="clear" w:color="auto" w:fill="auto"/>
            <w:vAlign w:val="center"/>
            <w:hideMark/>
          </w:tcPr>
          <w:p w14:paraId="341205BE" w14:textId="77777777" w:rsidR="00B768D9" w:rsidRPr="007D4936" w:rsidRDefault="00B768D9" w:rsidP="00B768D9">
            <w:pPr>
              <w:spacing w:after="0" w:line="240" w:lineRule="auto"/>
              <w:rPr>
                <w:rFonts w:eastAsia="Times New Roman" w:cs="Times New Roman"/>
                <w:color w:val="000000"/>
                <w:sz w:val="18"/>
                <w:szCs w:val="18"/>
                <w:lang w:eastAsia="sk-SK"/>
              </w:rPr>
            </w:pPr>
            <w:r w:rsidRPr="007D4936">
              <w:rPr>
                <w:rFonts w:eastAsia="Times New Roman" w:cs="Times New Roman"/>
                <w:color w:val="000000"/>
                <w:sz w:val="18"/>
                <w:szCs w:val="18"/>
                <w:lang w:eastAsia="sk-SK"/>
              </w:rPr>
              <w:t>Dopravné</w:t>
            </w:r>
          </w:p>
        </w:tc>
        <w:tc>
          <w:tcPr>
            <w:tcW w:w="992" w:type="dxa"/>
            <w:tcBorders>
              <w:top w:val="nil"/>
              <w:left w:val="nil"/>
              <w:bottom w:val="nil"/>
              <w:right w:val="nil"/>
            </w:tcBorders>
            <w:shd w:val="clear" w:color="auto" w:fill="auto"/>
            <w:noWrap/>
            <w:vAlign w:val="center"/>
            <w:hideMark/>
          </w:tcPr>
          <w:p w14:paraId="32732BA8"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68 983</w:t>
            </w:r>
          </w:p>
        </w:tc>
        <w:tc>
          <w:tcPr>
            <w:tcW w:w="993" w:type="dxa"/>
            <w:tcBorders>
              <w:top w:val="nil"/>
              <w:left w:val="nil"/>
              <w:bottom w:val="nil"/>
              <w:right w:val="nil"/>
            </w:tcBorders>
            <w:shd w:val="clear" w:color="auto" w:fill="auto"/>
            <w:noWrap/>
            <w:vAlign w:val="center"/>
            <w:hideMark/>
          </w:tcPr>
          <w:p w14:paraId="075E9983"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102 156</w:t>
            </w:r>
          </w:p>
        </w:tc>
        <w:tc>
          <w:tcPr>
            <w:tcW w:w="1134" w:type="dxa"/>
            <w:tcBorders>
              <w:top w:val="nil"/>
              <w:left w:val="nil"/>
              <w:bottom w:val="nil"/>
              <w:right w:val="nil"/>
            </w:tcBorders>
            <w:shd w:val="clear" w:color="auto" w:fill="auto"/>
            <w:noWrap/>
            <w:vAlign w:val="center"/>
            <w:hideMark/>
          </w:tcPr>
          <w:p w14:paraId="5333E305"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117 122</w:t>
            </w:r>
          </w:p>
        </w:tc>
        <w:tc>
          <w:tcPr>
            <w:tcW w:w="1134" w:type="dxa"/>
            <w:tcBorders>
              <w:top w:val="nil"/>
              <w:left w:val="nil"/>
              <w:bottom w:val="nil"/>
              <w:right w:val="nil"/>
            </w:tcBorders>
            <w:shd w:val="clear" w:color="auto" w:fill="auto"/>
            <w:noWrap/>
            <w:vAlign w:val="center"/>
            <w:hideMark/>
          </w:tcPr>
          <w:p w14:paraId="08992C02"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91 500</w:t>
            </w:r>
          </w:p>
        </w:tc>
        <w:tc>
          <w:tcPr>
            <w:tcW w:w="1134" w:type="dxa"/>
            <w:tcBorders>
              <w:top w:val="nil"/>
              <w:left w:val="nil"/>
              <w:bottom w:val="nil"/>
              <w:right w:val="nil"/>
            </w:tcBorders>
            <w:shd w:val="clear" w:color="auto" w:fill="auto"/>
            <w:noWrap/>
            <w:vAlign w:val="center"/>
            <w:hideMark/>
          </w:tcPr>
          <w:p w14:paraId="7739FF7F"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-25 622</w:t>
            </w:r>
          </w:p>
        </w:tc>
        <w:tc>
          <w:tcPr>
            <w:tcW w:w="850" w:type="dxa"/>
            <w:tcBorders>
              <w:top w:val="nil"/>
              <w:left w:val="nil"/>
              <w:bottom w:val="nil"/>
              <w:right w:val="nil"/>
            </w:tcBorders>
            <w:shd w:val="clear" w:color="auto" w:fill="auto"/>
            <w:noWrap/>
            <w:vAlign w:val="center"/>
            <w:hideMark/>
          </w:tcPr>
          <w:p w14:paraId="070BA2E0"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-21,9</w:t>
            </w:r>
          </w:p>
        </w:tc>
      </w:tr>
      <w:tr w:rsidR="00B768D9" w:rsidRPr="00687F7E" w14:paraId="2990400D" w14:textId="77777777" w:rsidTr="00385988">
        <w:trPr>
          <w:trHeight w:val="612"/>
        </w:trPr>
        <w:tc>
          <w:tcPr>
            <w:tcW w:w="2919" w:type="dxa"/>
            <w:gridSpan w:val="2"/>
            <w:tcBorders>
              <w:top w:val="nil"/>
              <w:left w:val="nil"/>
              <w:bottom w:val="nil"/>
              <w:right w:val="nil"/>
            </w:tcBorders>
            <w:shd w:val="clear" w:color="auto" w:fill="auto"/>
            <w:vAlign w:val="center"/>
            <w:hideMark/>
          </w:tcPr>
          <w:p w14:paraId="57575147" w14:textId="77777777" w:rsidR="00B768D9" w:rsidRPr="00687F7E" w:rsidRDefault="00B768D9" w:rsidP="00B768D9">
            <w:pPr>
              <w:spacing w:after="0" w:line="240" w:lineRule="auto"/>
              <w:rPr>
                <w:rFonts w:eastAsia="Calibri" w:cs="Times New Roman"/>
                <w:sz w:val="24"/>
                <w:szCs w:val="24"/>
              </w:rPr>
            </w:pPr>
            <w:r w:rsidRPr="008D3667">
              <w:rPr>
                <w:rFonts w:eastAsia="Times New Roman" w:cs="Times New Roman"/>
                <w:color w:val="000000"/>
                <w:sz w:val="18"/>
                <w:szCs w:val="18"/>
                <w:lang w:eastAsia="sk-SK"/>
              </w:rPr>
              <w:t>Nájomné za nájom nehnuteľných a hnuteľných vecí</w:t>
            </w:r>
          </w:p>
        </w:tc>
        <w:tc>
          <w:tcPr>
            <w:tcW w:w="992" w:type="dxa"/>
            <w:tcBorders>
              <w:top w:val="nil"/>
              <w:left w:val="nil"/>
              <w:bottom w:val="nil"/>
              <w:right w:val="nil"/>
            </w:tcBorders>
            <w:shd w:val="clear" w:color="auto" w:fill="auto"/>
            <w:noWrap/>
            <w:vAlign w:val="center"/>
            <w:hideMark/>
          </w:tcPr>
          <w:p w14:paraId="4BD5F92B" w14:textId="77777777" w:rsidR="00B768D9" w:rsidRPr="00F966C2" w:rsidRDefault="00B768D9" w:rsidP="00B768D9">
            <w:pPr>
              <w:spacing w:after="0" w:line="240" w:lineRule="auto"/>
              <w:jc w:val="right"/>
              <w:rPr>
                <w:rFonts w:eastAsia="Times New Roman" w:cs="Times New Roman"/>
                <w:color w:val="000000"/>
                <w:sz w:val="18"/>
                <w:szCs w:val="18"/>
                <w:lang w:eastAsia="sk-SK"/>
              </w:rPr>
            </w:pPr>
            <w:r w:rsidRPr="00F966C2">
              <w:rPr>
                <w:rFonts w:eastAsia="Times New Roman" w:cs="Times New Roman"/>
                <w:color w:val="000000"/>
                <w:sz w:val="18"/>
                <w:szCs w:val="18"/>
                <w:lang w:eastAsia="sk-SK"/>
              </w:rPr>
              <w:t>213 318</w:t>
            </w:r>
          </w:p>
        </w:tc>
        <w:tc>
          <w:tcPr>
            <w:tcW w:w="993" w:type="dxa"/>
            <w:tcBorders>
              <w:top w:val="nil"/>
              <w:left w:val="nil"/>
              <w:bottom w:val="nil"/>
              <w:right w:val="nil"/>
            </w:tcBorders>
            <w:shd w:val="clear" w:color="auto" w:fill="auto"/>
            <w:noWrap/>
            <w:vAlign w:val="center"/>
            <w:hideMark/>
          </w:tcPr>
          <w:p w14:paraId="6AC4C16F" w14:textId="77777777" w:rsidR="00B768D9" w:rsidRPr="00F966C2" w:rsidRDefault="00B768D9" w:rsidP="00B768D9">
            <w:pPr>
              <w:spacing w:after="0" w:line="240" w:lineRule="auto"/>
              <w:jc w:val="right"/>
              <w:rPr>
                <w:rFonts w:eastAsia="Times New Roman" w:cs="Times New Roman"/>
                <w:color w:val="000000"/>
                <w:sz w:val="18"/>
                <w:szCs w:val="18"/>
                <w:lang w:eastAsia="sk-SK"/>
              </w:rPr>
            </w:pPr>
            <w:r w:rsidRPr="00F966C2">
              <w:rPr>
                <w:rFonts w:eastAsia="Times New Roman" w:cs="Times New Roman"/>
                <w:color w:val="000000"/>
                <w:sz w:val="18"/>
                <w:szCs w:val="18"/>
                <w:lang w:eastAsia="sk-SK"/>
              </w:rPr>
              <w:t>70 722</w:t>
            </w:r>
          </w:p>
        </w:tc>
        <w:tc>
          <w:tcPr>
            <w:tcW w:w="1134" w:type="dxa"/>
            <w:tcBorders>
              <w:top w:val="nil"/>
              <w:left w:val="nil"/>
              <w:bottom w:val="nil"/>
              <w:right w:val="nil"/>
            </w:tcBorders>
            <w:shd w:val="clear" w:color="auto" w:fill="auto"/>
            <w:noWrap/>
            <w:vAlign w:val="center"/>
            <w:hideMark/>
          </w:tcPr>
          <w:p w14:paraId="193D9EDC" w14:textId="77777777" w:rsidR="00B768D9" w:rsidRPr="00F966C2" w:rsidRDefault="00B768D9" w:rsidP="00B768D9">
            <w:pPr>
              <w:spacing w:after="0" w:line="240" w:lineRule="auto"/>
              <w:jc w:val="right"/>
              <w:rPr>
                <w:rFonts w:eastAsia="Times New Roman" w:cs="Times New Roman"/>
                <w:color w:val="000000"/>
                <w:sz w:val="18"/>
                <w:szCs w:val="18"/>
                <w:lang w:eastAsia="sk-SK"/>
              </w:rPr>
            </w:pPr>
            <w:r w:rsidRPr="00F966C2">
              <w:rPr>
                <w:rFonts w:eastAsia="Times New Roman" w:cs="Times New Roman"/>
                <w:color w:val="000000"/>
                <w:sz w:val="18"/>
                <w:szCs w:val="18"/>
                <w:lang w:eastAsia="sk-SK"/>
              </w:rPr>
              <w:t>253 321</w:t>
            </w:r>
          </w:p>
        </w:tc>
        <w:tc>
          <w:tcPr>
            <w:tcW w:w="1134" w:type="dxa"/>
            <w:tcBorders>
              <w:top w:val="nil"/>
              <w:left w:val="nil"/>
              <w:bottom w:val="nil"/>
              <w:right w:val="nil"/>
            </w:tcBorders>
            <w:shd w:val="clear" w:color="auto" w:fill="auto"/>
            <w:noWrap/>
            <w:vAlign w:val="center"/>
            <w:hideMark/>
          </w:tcPr>
          <w:p w14:paraId="6C04282C" w14:textId="77777777" w:rsidR="00B768D9" w:rsidRPr="00F966C2" w:rsidRDefault="00B768D9" w:rsidP="00B768D9">
            <w:pPr>
              <w:spacing w:after="0" w:line="240" w:lineRule="auto"/>
              <w:jc w:val="right"/>
              <w:rPr>
                <w:rFonts w:eastAsia="Times New Roman" w:cs="Times New Roman"/>
                <w:color w:val="000000"/>
                <w:sz w:val="18"/>
                <w:szCs w:val="18"/>
                <w:lang w:eastAsia="sk-SK"/>
              </w:rPr>
            </w:pPr>
            <w:r w:rsidRPr="00F966C2">
              <w:rPr>
                <w:rFonts w:eastAsia="Times New Roman" w:cs="Times New Roman"/>
                <w:color w:val="000000"/>
                <w:sz w:val="18"/>
                <w:szCs w:val="18"/>
                <w:lang w:eastAsia="sk-SK"/>
              </w:rPr>
              <w:t>87 352</w:t>
            </w:r>
          </w:p>
        </w:tc>
        <w:tc>
          <w:tcPr>
            <w:tcW w:w="1134" w:type="dxa"/>
            <w:tcBorders>
              <w:top w:val="nil"/>
              <w:left w:val="nil"/>
              <w:bottom w:val="nil"/>
              <w:right w:val="nil"/>
            </w:tcBorders>
            <w:shd w:val="clear" w:color="auto" w:fill="auto"/>
            <w:noWrap/>
            <w:vAlign w:val="center"/>
            <w:hideMark/>
          </w:tcPr>
          <w:p w14:paraId="76862069" w14:textId="77777777" w:rsidR="00B768D9" w:rsidRPr="008D3667" w:rsidRDefault="00B768D9" w:rsidP="00B768D9">
            <w:pPr>
              <w:spacing w:after="0" w:line="240" w:lineRule="auto"/>
              <w:jc w:val="right"/>
              <w:rPr>
                <w:rFonts w:eastAsia="Times New Roman" w:cs="Times New Roman"/>
                <w:color w:val="000000"/>
                <w:sz w:val="18"/>
                <w:szCs w:val="18"/>
                <w:lang w:eastAsia="sk-SK"/>
              </w:rPr>
            </w:pPr>
            <w:r w:rsidRPr="008D3667">
              <w:rPr>
                <w:rFonts w:eastAsia="Times New Roman" w:cs="Times New Roman"/>
                <w:color w:val="000000"/>
                <w:sz w:val="18"/>
                <w:szCs w:val="18"/>
                <w:lang w:eastAsia="sk-SK"/>
              </w:rPr>
              <w:t>-165 969</w:t>
            </w:r>
          </w:p>
        </w:tc>
        <w:tc>
          <w:tcPr>
            <w:tcW w:w="850" w:type="dxa"/>
            <w:tcBorders>
              <w:top w:val="nil"/>
              <w:left w:val="nil"/>
              <w:bottom w:val="nil"/>
              <w:right w:val="nil"/>
            </w:tcBorders>
            <w:shd w:val="clear" w:color="auto" w:fill="auto"/>
            <w:noWrap/>
            <w:vAlign w:val="center"/>
            <w:hideMark/>
          </w:tcPr>
          <w:p w14:paraId="129642E0" w14:textId="6B918471" w:rsidR="00B768D9" w:rsidRPr="008D3667" w:rsidRDefault="00B768D9" w:rsidP="008B3C3A">
            <w:pPr>
              <w:spacing w:after="0" w:line="240" w:lineRule="auto"/>
              <w:jc w:val="right"/>
              <w:rPr>
                <w:rFonts w:eastAsia="Times New Roman" w:cs="Times New Roman"/>
                <w:color w:val="000000"/>
                <w:sz w:val="18"/>
                <w:szCs w:val="18"/>
                <w:lang w:eastAsia="sk-SK"/>
              </w:rPr>
            </w:pPr>
            <w:r w:rsidRPr="008D3667">
              <w:rPr>
                <w:rFonts w:eastAsia="Times New Roman" w:cs="Times New Roman"/>
                <w:color w:val="000000"/>
                <w:sz w:val="18"/>
                <w:szCs w:val="18"/>
                <w:lang w:eastAsia="sk-SK"/>
              </w:rPr>
              <w:t>-65,</w:t>
            </w:r>
            <w:r w:rsidR="008B3C3A">
              <w:rPr>
                <w:rFonts w:eastAsia="Times New Roman" w:cs="Times New Roman"/>
                <w:color w:val="000000"/>
                <w:sz w:val="18"/>
                <w:szCs w:val="18"/>
                <w:lang w:eastAsia="sk-SK"/>
              </w:rPr>
              <w:t>5</w:t>
            </w:r>
          </w:p>
        </w:tc>
      </w:tr>
      <w:tr w:rsidR="00B768D9" w:rsidRPr="007D4936" w14:paraId="0F817A7A" w14:textId="77777777" w:rsidTr="00385988">
        <w:trPr>
          <w:trHeight w:val="300"/>
        </w:trPr>
        <w:tc>
          <w:tcPr>
            <w:tcW w:w="2919" w:type="dxa"/>
            <w:gridSpan w:val="2"/>
            <w:tcBorders>
              <w:top w:val="nil"/>
              <w:left w:val="nil"/>
              <w:bottom w:val="nil"/>
              <w:right w:val="nil"/>
            </w:tcBorders>
            <w:shd w:val="clear" w:color="auto" w:fill="auto"/>
            <w:vAlign w:val="center"/>
            <w:hideMark/>
          </w:tcPr>
          <w:p w14:paraId="1DF600CD" w14:textId="77777777" w:rsidR="00B768D9" w:rsidRPr="007D4936" w:rsidRDefault="00B768D9" w:rsidP="00B768D9">
            <w:pPr>
              <w:spacing w:after="0" w:line="240" w:lineRule="auto"/>
              <w:rPr>
                <w:rFonts w:eastAsia="Times New Roman" w:cs="Times New Roman"/>
                <w:color w:val="000000"/>
                <w:sz w:val="18"/>
                <w:szCs w:val="18"/>
                <w:lang w:eastAsia="sk-SK"/>
              </w:rPr>
            </w:pPr>
            <w:r w:rsidRPr="007D4936">
              <w:rPr>
                <w:rFonts w:eastAsia="Times New Roman" w:cs="Times New Roman"/>
                <w:color w:val="000000"/>
                <w:sz w:val="18"/>
                <w:szCs w:val="18"/>
                <w:lang w:eastAsia="sk-SK"/>
              </w:rPr>
              <w:t>Cestovné náhrady</w:t>
            </w:r>
          </w:p>
        </w:tc>
        <w:tc>
          <w:tcPr>
            <w:tcW w:w="992" w:type="dxa"/>
            <w:tcBorders>
              <w:top w:val="nil"/>
              <w:left w:val="nil"/>
              <w:bottom w:val="nil"/>
              <w:right w:val="nil"/>
            </w:tcBorders>
            <w:shd w:val="clear" w:color="auto" w:fill="auto"/>
            <w:noWrap/>
            <w:vAlign w:val="center"/>
            <w:hideMark/>
          </w:tcPr>
          <w:p w14:paraId="0189764B"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23 412</w:t>
            </w:r>
          </w:p>
        </w:tc>
        <w:tc>
          <w:tcPr>
            <w:tcW w:w="993" w:type="dxa"/>
            <w:tcBorders>
              <w:top w:val="nil"/>
              <w:left w:val="nil"/>
              <w:bottom w:val="nil"/>
              <w:right w:val="nil"/>
            </w:tcBorders>
            <w:shd w:val="clear" w:color="auto" w:fill="auto"/>
            <w:noWrap/>
            <w:vAlign w:val="center"/>
            <w:hideMark/>
          </w:tcPr>
          <w:p w14:paraId="118BC91B"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35 949</w:t>
            </w:r>
          </w:p>
        </w:tc>
        <w:tc>
          <w:tcPr>
            <w:tcW w:w="1134" w:type="dxa"/>
            <w:tcBorders>
              <w:top w:val="nil"/>
              <w:left w:val="nil"/>
              <w:bottom w:val="nil"/>
              <w:right w:val="nil"/>
            </w:tcBorders>
            <w:shd w:val="clear" w:color="auto" w:fill="auto"/>
            <w:noWrap/>
            <w:vAlign w:val="center"/>
            <w:hideMark/>
          </w:tcPr>
          <w:p w14:paraId="3AAECA95"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36 492</w:t>
            </w:r>
          </w:p>
        </w:tc>
        <w:tc>
          <w:tcPr>
            <w:tcW w:w="1134" w:type="dxa"/>
            <w:tcBorders>
              <w:top w:val="nil"/>
              <w:left w:val="nil"/>
              <w:bottom w:val="nil"/>
              <w:right w:val="nil"/>
            </w:tcBorders>
            <w:shd w:val="clear" w:color="auto" w:fill="auto"/>
            <w:noWrap/>
            <w:vAlign w:val="center"/>
            <w:hideMark/>
          </w:tcPr>
          <w:p w14:paraId="5E9E76D4"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sidRPr="007D4936">
              <w:rPr>
                <w:rFonts w:eastAsia="Times New Roman" w:cs="Times New Roman"/>
                <w:color w:val="000000"/>
                <w:sz w:val="18"/>
                <w:szCs w:val="18"/>
                <w:lang w:eastAsia="sk-SK"/>
              </w:rPr>
              <w:t>47 602</w:t>
            </w:r>
          </w:p>
        </w:tc>
        <w:tc>
          <w:tcPr>
            <w:tcW w:w="1134" w:type="dxa"/>
            <w:tcBorders>
              <w:top w:val="nil"/>
              <w:left w:val="nil"/>
              <w:bottom w:val="nil"/>
              <w:right w:val="nil"/>
            </w:tcBorders>
            <w:shd w:val="clear" w:color="auto" w:fill="auto"/>
            <w:noWrap/>
            <w:vAlign w:val="center"/>
            <w:hideMark/>
          </w:tcPr>
          <w:p w14:paraId="00418A1F"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11 110</w:t>
            </w:r>
          </w:p>
        </w:tc>
        <w:tc>
          <w:tcPr>
            <w:tcW w:w="850" w:type="dxa"/>
            <w:tcBorders>
              <w:top w:val="nil"/>
              <w:left w:val="nil"/>
              <w:bottom w:val="nil"/>
              <w:right w:val="nil"/>
            </w:tcBorders>
            <w:shd w:val="clear" w:color="auto" w:fill="auto"/>
            <w:noWrap/>
            <w:vAlign w:val="center"/>
            <w:hideMark/>
          </w:tcPr>
          <w:p w14:paraId="6D5C7856"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30,4</w:t>
            </w:r>
          </w:p>
        </w:tc>
      </w:tr>
      <w:tr w:rsidR="00B768D9" w:rsidRPr="007D4936" w14:paraId="3CEBFD22" w14:textId="77777777" w:rsidTr="00385988">
        <w:trPr>
          <w:trHeight w:val="300"/>
        </w:trPr>
        <w:tc>
          <w:tcPr>
            <w:tcW w:w="2919" w:type="dxa"/>
            <w:gridSpan w:val="2"/>
            <w:tcBorders>
              <w:top w:val="single" w:sz="4" w:space="0" w:color="auto"/>
              <w:left w:val="nil"/>
              <w:bottom w:val="single" w:sz="4" w:space="0" w:color="auto"/>
              <w:right w:val="nil"/>
            </w:tcBorders>
            <w:shd w:val="clear" w:color="auto" w:fill="auto"/>
            <w:vAlign w:val="center"/>
            <w:hideMark/>
          </w:tcPr>
          <w:p w14:paraId="75444627" w14:textId="77777777" w:rsidR="00B768D9" w:rsidRPr="007D4936" w:rsidRDefault="00B768D9" w:rsidP="00B768D9">
            <w:pPr>
              <w:spacing w:after="0" w:line="240" w:lineRule="auto"/>
              <w:rPr>
                <w:rFonts w:eastAsia="Times New Roman" w:cs="Times New Roman"/>
                <w:b/>
                <w:bCs/>
                <w:color w:val="000000"/>
                <w:sz w:val="18"/>
                <w:szCs w:val="18"/>
                <w:lang w:eastAsia="sk-SK"/>
              </w:rPr>
            </w:pPr>
            <w:r w:rsidRPr="007D4936">
              <w:rPr>
                <w:rFonts w:eastAsia="Times New Roman" w:cs="Times New Roman"/>
                <w:b/>
                <w:bCs/>
                <w:color w:val="000000"/>
                <w:sz w:val="18"/>
                <w:szCs w:val="18"/>
                <w:lang w:eastAsia="sk-SK"/>
              </w:rPr>
              <w:t>Tovary a služby spolu</w:t>
            </w:r>
          </w:p>
        </w:tc>
        <w:tc>
          <w:tcPr>
            <w:tcW w:w="992" w:type="dxa"/>
            <w:tcBorders>
              <w:top w:val="single" w:sz="4" w:space="0" w:color="auto"/>
              <w:left w:val="nil"/>
              <w:bottom w:val="single" w:sz="4" w:space="0" w:color="auto"/>
              <w:right w:val="nil"/>
            </w:tcBorders>
            <w:shd w:val="clear" w:color="auto" w:fill="auto"/>
            <w:noWrap/>
            <w:vAlign w:val="center"/>
            <w:hideMark/>
          </w:tcPr>
          <w:p w14:paraId="574429F9" w14:textId="77777777" w:rsidR="00B768D9" w:rsidRPr="007D4936" w:rsidRDefault="00B768D9" w:rsidP="00B768D9">
            <w:pPr>
              <w:spacing w:after="0" w:line="240" w:lineRule="auto"/>
              <w:jc w:val="right"/>
              <w:rPr>
                <w:rFonts w:eastAsia="Times New Roman" w:cs="Times New Roman"/>
                <w:b/>
                <w:bCs/>
                <w:color w:val="000000"/>
                <w:sz w:val="18"/>
                <w:szCs w:val="18"/>
                <w:lang w:eastAsia="sk-SK"/>
              </w:rPr>
            </w:pPr>
            <w:r w:rsidRPr="007D4936">
              <w:rPr>
                <w:rFonts w:eastAsia="Times New Roman" w:cs="Times New Roman"/>
                <w:b/>
                <w:bCs/>
                <w:color w:val="000000"/>
                <w:sz w:val="18"/>
                <w:szCs w:val="18"/>
                <w:lang w:eastAsia="sk-SK"/>
              </w:rPr>
              <w:t>2 358 055</w:t>
            </w:r>
          </w:p>
        </w:tc>
        <w:tc>
          <w:tcPr>
            <w:tcW w:w="993" w:type="dxa"/>
            <w:tcBorders>
              <w:top w:val="single" w:sz="4" w:space="0" w:color="auto"/>
              <w:left w:val="nil"/>
              <w:bottom w:val="single" w:sz="4" w:space="0" w:color="auto"/>
              <w:right w:val="nil"/>
            </w:tcBorders>
            <w:shd w:val="clear" w:color="auto" w:fill="auto"/>
            <w:noWrap/>
            <w:vAlign w:val="center"/>
            <w:hideMark/>
          </w:tcPr>
          <w:p w14:paraId="6D0B0D32" w14:textId="77777777" w:rsidR="00B768D9" w:rsidRPr="007D4936" w:rsidRDefault="00B768D9" w:rsidP="00B768D9">
            <w:pPr>
              <w:spacing w:after="0" w:line="240" w:lineRule="auto"/>
              <w:jc w:val="right"/>
              <w:rPr>
                <w:rFonts w:eastAsia="Times New Roman" w:cs="Times New Roman"/>
                <w:b/>
                <w:bCs/>
                <w:color w:val="000000"/>
                <w:sz w:val="18"/>
                <w:szCs w:val="18"/>
                <w:lang w:eastAsia="sk-SK"/>
              </w:rPr>
            </w:pPr>
            <w:r w:rsidRPr="007D4936">
              <w:rPr>
                <w:rFonts w:eastAsia="Times New Roman" w:cs="Times New Roman"/>
                <w:b/>
                <w:bCs/>
                <w:color w:val="000000"/>
                <w:sz w:val="18"/>
                <w:szCs w:val="18"/>
                <w:lang w:eastAsia="sk-SK"/>
              </w:rPr>
              <w:t>2 340 655</w:t>
            </w:r>
          </w:p>
        </w:tc>
        <w:tc>
          <w:tcPr>
            <w:tcW w:w="1134" w:type="dxa"/>
            <w:tcBorders>
              <w:top w:val="single" w:sz="4" w:space="0" w:color="auto"/>
              <w:left w:val="nil"/>
              <w:bottom w:val="single" w:sz="4" w:space="0" w:color="auto"/>
              <w:right w:val="nil"/>
            </w:tcBorders>
            <w:shd w:val="clear" w:color="auto" w:fill="auto"/>
            <w:noWrap/>
            <w:vAlign w:val="center"/>
            <w:hideMark/>
          </w:tcPr>
          <w:p w14:paraId="5C062BE7" w14:textId="77777777" w:rsidR="00B768D9" w:rsidRPr="007D4936" w:rsidRDefault="00B768D9" w:rsidP="00B768D9">
            <w:pPr>
              <w:spacing w:after="0" w:line="240" w:lineRule="auto"/>
              <w:jc w:val="right"/>
              <w:rPr>
                <w:rFonts w:eastAsia="Times New Roman" w:cs="Times New Roman"/>
                <w:b/>
                <w:bCs/>
                <w:color w:val="000000"/>
                <w:sz w:val="18"/>
                <w:szCs w:val="18"/>
                <w:lang w:eastAsia="sk-SK"/>
              </w:rPr>
            </w:pPr>
            <w:r w:rsidRPr="007D4936">
              <w:rPr>
                <w:rFonts w:eastAsia="Times New Roman" w:cs="Times New Roman"/>
                <w:b/>
                <w:bCs/>
                <w:color w:val="000000"/>
                <w:sz w:val="18"/>
                <w:szCs w:val="18"/>
                <w:lang w:eastAsia="sk-SK"/>
              </w:rPr>
              <w:t>9 407 563</w:t>
            </w:r>
          </w:p>
        </w:tc>
        <w:tc>
          <w:tcPr>
            <w:tcW w:w="1134" w:type="dxa"/>
            <w:tcBorders>
              <w:top w:val="single" w:sz="4" w:space="0" w:color="auto"/>
              <w:left w:val="nil"/>
              <w:bottom w:val="single" w:sz="4" w:space="0" w:color="auto"/>
              <w:right w:val="nil"/>
            </w:tcBorders>
            <w:shd w:val="clear" w:color="auto" w:fill="auto"/>
            <w:noWrap/>
            <w:vAlign w:val="center"/>
            <w:hideMark/>
          </w:tcPr>
          <w:p w14:paraId="73CF16C1" w14:textId="6AFE649A" w:rsidR="00B768D9" w:rsidRPr="007D4936" w:rsidRDefault="00B768D9" w:rsidP="005A00C0">
            <w:pPr>
              <w:spacing w:after="0" w:line="240" w:lineRule="auto"/>
              <w:jc w:val="right"/>
              <w:rPr>
                <w:rFonts w:eastAsia="Times New Roman" w:cs="Times New Roman"/>
                <w:b/>
                <w:bCs/>
                <w:color w:val="000000"/>
                <w:sz w:val="18"/>
                <w:szCs w:val="18"/>
                <w:lang w:eastAsia="sk-SK"/>
              </w:rPr>
            </w:pPr>
            <w:r w:rsidRPr="007D4936">
              <w:rPr>
                <w:rFonts w:eastAsia="Times New Roman" w:cs="Times New Roman"/>
                <w:b/>
                <w:bCs/>
                <w:color w:val="000000"/>
                <w:sz w:val="18"/>
                <w:szCs w:val="18"/>
                <w:lang w:eastAsia="sk-SK"/>
              </w:rPr>
              <w:t>2 490 3</w:t>
            </w:r>
            <w:r w:rsidR="005A00C0">
              <w:rPr>
                <w:rFonts w:eastAsia="Times New Roman" w:cs="Times New Roman"/>
                <w:b/>
                <w:bCs/>
                <w:color w:val="000000"/>
                <w:sz w:val="18"/>
                <w:szCs w:val="18"/>
                <w:lang w:eastAsia="sk-SK"/>
              </w:rPr>
              <w:t>82</w:t>
            </w:r>
          </w:p>
        </w:tc>
        <w:tc>
          <w:tcPr>
            <w:tcW w:w="1134" w:type="dxa"/>
            <w:tcBorders>
              <w:top w:val="single" w:sz="4" w:space="0" w:color="auto"/>
              <w:left w:val="nil"/>
              <w:bottom w:val="single" w:sz="4" w:space="0" w:color="auto"/>
              <w:right w:val="nil"/>
            </w:tcBorders>
            <w:shd w:val="clear" w:color="auto" w:fill="auto"/>
            <w:noWrap/>
            <w:vAlign w:val="center"/>
            <w:hideMark/>
          </w:tcPr>
          <w:p w14:paraId="6AA8E225" w14:textId="3B2C8E5E" w:rsidR="00B768D9" w:rsidRPr="007D4936" w:rsidRDefault="00B768D9" w:rsidP="004C4298">
            <w:pPr>
              <w:spacing w:after="0" w:line="240" w:lineRule="auto"/>
              <w:jc w:val="right"/>
              <w:rPr>
                <w:rFonts w:eastAsia="Times New Roman" w:cs="Times New Roman"/>
                <w:b/>
                <w:bCs/>
                <w:color w:val="000000"/>
                <w:sz w:val="18"/>
                <w:szCs w:val="18"/>
                <w:lang w:eastAsia="sk-SK"/>
              </w:rPr>
            </w:pPr>
            <w:r w:rsidRPr="007D4936">
              <w:rPr>
                <w:rFonts w:eastAsia="Times New Roman" w:cs="Times New Roman"/>
                <w:b/>
                <w:bCs/>
                <w:color w:val="000000"/>
                <w:sz w:val="18"/>
                <w:szCs w:val="18"/>
                <w:lang w:eastAsia="sk-SK"/>
              </w:rPr>
              <w:t>-6 917 1</w:t>
            </w:r>
            <w:r w:rsidR="004C4298">
              <w:rPr>
                <w:rFonts w:eastAsia="Times New Roman" w:cs="Times New Roman"/>
                <w:b/>
                <w:bCs/>
                <w:color w:val="000000"/>
                <w:sz w:val="18"/>
                <w:szCs w:val="18"/>
                <w:lang w:eastAsia="sk-SK"/>
              </w:rPr>
              <w:t>81</w:t>
            </w:r>
          </w:p>
        </w:tc>
        <w:tc>
          <w:tcPr>
            <w:tcW w:w="850" w:type="dxa"/>
            <w:tcBorders>
              <w:top w:val="single" w:sz="4" w:space="0" w:color="auto"/>
              <w:left w:val="nil"/>
              <w:bottom w:val="single" w:sz="4" w:space="0" w:color="auto"/>
              <w:right w:val="nil"/>
            </w:tcBorders>
            <w:shd w:val="clear" w:color="auto" w:fill="auto"/>
            <w:noWrap/>
            <w:vAlign w:val="center"/>
            <w:hideMark/>
          </w:tcPr>
          <w:p w14:paraId="6BF8A557" w14:textId="77777777" w:rsidR="00B768D9" w:rsidRPr="007D4936" w:rsidRDefault="00B768D9"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-73,5</w:t>
            </w:r>
            <w:r w:rsidRPr="007D4936">
              <w:rPr>
                <w:rFonts w:eastAsia="Times New Roman" w:cs="Times New Roman"/>
                <w:color w:val="000000"/>
                <w:sz w:val="18"/>
                <w:szCs w:val="18"/>
                <w:lang w:eastAsia="sk-SK"/>
              </w:rPr>
              <w:t> </w:t>
            </w:r>
          </w:p>
        </w:tc>
      </w:tr>
    </w:tbl>
    <w:p w14:paraId="445AC503" w14:textId="77777777" w:rsidR="00B768D9" w:rsidRPr="007D4936" w:rsidRDefault="00B768D9" w:rsidP="00B768D9">
      <w:pPr>
        <w:suppressAutoHyphens/>
        <w:spacing w:line="240" w:lineRule="auto"/>
        <w:jc w:val="right"/>
        <w:rPr>
          <w:rFonts w:eastAsia="Calibri" w:cs="Times New Roman"/>
          <w:sz w:val="24"/>
          <w:szCs w:val="24"/>
        </w:rPr>
      </w:pPr>
      <w:r w:rsidRPr="007D4936">
        <w:rPr>
          <w:rFonts w:eastAsia="Times New Roman" w:cs="Times New Roman"/>
          <w:sz w:val="18"/>
          <w:szCs w:val="18"/>
          <w:lang w:eastAsia="sk-SK"/>
        </w:rPr>
        <w:t>Zdroj: MF SR</w:t>
      </w:r>
    </w:p>
    <w:p w14:paraId="10EF5F61" w14:textId="77777777" w:rsidR="008E112F" w:rsidRPr="008E112F" w:rsidRDefault="008E112F" w:rsidP="008E112F">
      <w:pPr>
        <w:shd w:val="clear" w:color="auto" w:fill="FFFFFF"/>
        <w:spacing w:after="160" w:line="240" w:lineRule="auto"/>
        <w:rPr>
          <w:rFonts w:eastAsia="Calibri" w:cs="Times New Roman"/>
          <w:sz w:val="24"/>
          <w:szCs w:val="24"/>
        </w:rPr>
      </w:pPr>
      <w:r w:rsidRPr="008E112F">
        <w:rPr>
          <w:rFonts w:eastAsia="Calibri" w:cs="Times New Roman"/>
          <w:sz w:val="24"/>
          <w:szCs w:val="24"/>
        </w:rPr>
        <w:t xml:space="preserve">Z celkových výdavkov za </w:t>
      </w:r>
      <w:r w:rsidRPr="008E112F">
        <w:rPr>
          <w:rFonts w:eastAsia="Calibri" w:cs="Times New Roman"/>
          <w:b/>
          <w:sz w:val="24"/>
          <w:szCs w:val="24"/>
        </w:rPr>
        <w:t>služby</w:t>
      </w:r>
      <w:r w:rsidRPr="008E112F">
        <w:rPr>
          <w:rFonts w:eastAsia="Calibri" w:cs="Times New Roman"/>
          <w:sz w:val="24"/>
          <w:szCs w:val="24"/>
        </w:rPr>
        <w:t>,</w:t>
      </w:r>
      <w:r w:rsidRPr="008E112F">
        <w:rPr>
          <w:rFonts w:eastAsia="Calibri" w:cs="Times New Roman"/>
          <w:b/>
          <w:i/>
          <w:sz w:val="24"/>
          <w:szCs w:val="24"/>
        </w:rPr>
        <w:t xml:space="preserve"> </w:t>
      </w:r>
      <w:r w:rsidRPr="008E112F">
        <w:rPr>
          <w:rFonts w:eastAsia="Calibri" w:cs="Times New Roman"/>
          <w:sz w:val="24"/>
          <w:szCs w:val="24"/>
        </w:rPr>
        <w:t>realizovaných vo výške 1 036 637 tis. eur,</w:t>
      </w:r>
      <w:r w:rsidRPr="008E112F">
        <w:rPr>
          <w:rFonts w:eastAsia="Calibri" w:cs="Times New Roman"/>
          <w:i/>
          <w:sz w:val="24"/>
          <w:szCs w:val="24"/>
        </w:rPr>
        <w:t xml:space="preserve"> </w:t>
      </w:r>
      <w:r w:rsidRPr="008E112F">
        <w:rPr>
          <w:rFonts w:eastAsia="Calibri" w:cs="Times New Roman"/>
          <w:sz w:val="24"/>
          <w:szCs w:val="24"/>
        </w:rPr>
        <w:t>boli najvyššie výdavky vynaložené</w:t>
      </w:r>
      <w:r w:rsidRPr="008E112F">
        <w:rPr>
          <w:rFonts w:eastAsia="Calibri" w:cs="Times New Roman"/>
          <w:color w:val="FF0000"/>
          <w:sz w:val="24"/>
          <w:szCs w:val="24"/>
        </w:rPr>
        <w:t xml:space="preserve"> </w:t>
      </w:r>
      <w:r w:rsidRPr="008E112F">
        <w:rPr>
          <w:rFonts w:eastAsia="Calibri" w:cs="Times New Roman"/>
          <w:sz w:val="24"/>
          <w:szCs w:val="24"/>
        </w:rPr>
        <w:t xml:space="preserve">na </w:t>
      </w:r>
      <w:r w:rsidRPr="008E112F">
        <w:rPr>
          <w:rFonts w:eastAsia="Times New Roman" w:cs="Times New Roman"/>
          <w:b/>
          <w:i/>
          <w:sz w:val="24"/>
          <w:szCs w:val="24"/>
          <w:lang w:eastAsia="sk-SK"/>
        </w:rPr>
        <w:t>špeciálne služby</w:t>
      </w:r>
      <w:r w:rsidRPr="008E112F">
        <w:rPr>
          <w:rFonts w:eastAsia="Times New Roman" w:cs="Times New Roman"/>
          <w:sz w:val="24"/>
          <w:szCs w:val="24"/>
          <w:lang w:eastAsia="sk-SK"/>
        </w:rPr>
        <w:t xml:space="preserve">, vo výške 295 109 tis. eur, pričom najviac prostriedkov </w:t>
      </w:r>
      <w:r w:rsidRPr="008E112F">
        <w:rPr>
          <w:rFonts w:eastAsia="Times New Roman" w:cs="Times New Roman"/>
          <w:sz w:val="24"/>
          <w:szCs w:val="24"/>
          <w:lang w:eastAsia="sk-SK"/>
        </w:rPr>
        <w:lastRenderedPageBreak/>
        <w:t>na tento účel vyčerpalo</w:t>
      </w:r>
      <w:r w:rsidRPr="008E112F">
        <w:rPr>
          <w:rFonts w:eastAsia="Times New Roman" w:cs="Times New Roman"/>
          <w:color w:val="FF0000"/>
          <w:sz w:val="24"/>
          <w:szCs w:val="24"/>
          <w:lang w:eastAsia="sk-SK"/>
        </w:rPr>
        <w:t xml:space="preserve"> </w:t>
      </w:r>
      <w:r w:rsidRPr="008E112F">
        <w:rPr>
          <w:rFonts w:eastAsia="Times New Roman" w:cs="Times New Roman"/>
          <w:sz w:val="24"/>
          <w:szCs w:val="24"/>
          <w:u w:val="single"/>
          <w:lang w:eastAsia="sk-SK"/>
        </w:rPr>
        <w:t>Ministerstvo obrany SR</w:t>
      </w:r>
      <w:r w:rsidRPr="008E112F">
        <w:rPr>
          <w:rFonts w:eastAsia="Times New Roman" w:cs="Times New Roman"/>
          <w:sz w:val="24"/>
          <w:szCs w:val="24"/>
          <w:lang w:eastAsia="sk-SK"/>
        </w:rPr>
        <w:t>, a to v sume 124 497 tis. eur,</w:t>
      </w:r>
      <w:r w:rsidRPr="008E112F">
        <w:rPr>
          <w:rFonts w:eastAsia="Times New Roman" w:cs="Times New Roman"/>
          <w:color w:val="FF0000"/>
          <w:sz w:val="24"/>
          <w:szCs w:val="24"/>
          <w:lang w:eastAsia="sk-SK"/>
        </w:rPr>
        <w:t xml:space="preserve"> </w:t>
      </w:r>
      <w:r w:rsidRPr="008E112F">
        <w:rPr>
          <w:rFonts w:eastAsia="Calibri" w:cs="Times New Roman"/>
          <w:sz w:val="24"/>
          <w:szCs w:val="24"/>
          <w:shd w:val="clear" w:color="auto" w:fill="FFFFFF"/>
        </w:rPr>
        <w:t>najmä na zabezpečenie plnenia úloh v rámci obrany štátu a v </w:t>
      </w:r>
      <w:r w:rsidRPr="008E112F">
        <w:rPr>
          <w:rFonts w:eastAsia="Times New Roman" w:cs="Times New Roman"/>
          <w:sz w:val="24"/>
          <w:szCs w:val="24"/>
          <w:lang w:eastAsia="sk-SK"/>
        </w:rPr>
        <w:t>súvislosti s realizáciou modernizačných projektov rezortu obrany.</w:t>
      </w:r>
      <w:r w:rsidRPr="008E112F">
        <w:rPr>
          <w:rFonts w:eastAsia="Times New Roman" w:cs="Times New Roman"/>
          <w:color w:val="FF0000"/>
          <w:sz w:val="24"/>
          <w:szCs w:val="24"/>
          <w:lang w:eastAsia="sk-SK"/>
        </w:rPr>
        <w:t xml:space="preserve"> </w:t>
      </w:r>
      <w:r w:rsidRPr="008E112F">
        <w:rPr>
          <w:rFonts w:eastAsia="Times New Roman" w:cs="Times New Roman"/>
          <w:sz w:val="24"/>
          <w:szCs w:val="24"/>
          <w:lang w:eastAsia="sk-SK"/>
        </w:rPr>
        <w:t xml:space="preserve">Na čerpaní výdavkov na špeciálne služby sa tiež podieľala </w:t>
      </w:r>
      <w:r w:rsidRPr="008E112F">
        <w:rPr>
          <w:rFonts w:eastAsia="Times New Roman" w:cs="Times New Roman"/>
          <w:sz w:val="24"/>
          <w:szCs w:val="24"/>
          <w:u w:val="single"/>
          <w:lang w:eastAsia="sk-SK"/>
        </w:rPr>
        <w:t>Slovenská informačná služba</w:t>
      </w:r>
      <w:r w:rsidRPr="008E112F">
        <w:rPr>
          <w:rFonts w:eastAsia="Times New Roman" w:cs="Times New Roman"/>
          <w:sz w:val="24"/>
          <w:szCs w:val="24"/>
          <w:lang w:eastAsia="sk-SK"/>
        </w:rPr>
        <w:t xml:space="preserve"> sumou 77 357 tis. eur a</w:t>
      </w:r>
      <w:r w:rsidRPr="008E112F">
        <w:rPr>
          <w:rFonts w:eastAsia="Times New Roman" w:cs="Times New Roman"/>
          <w:color w:val="FF0000"/>
          <w:sz w:val="24"/>
          <w:szCs w:val="24"/>
          <w:lang w:eastAsia="sk-SK"/>
        </w:rPr>
        <w:t xml:space="preserve"> </w:t>
      </w:r>
      <w:r w:rsidRPr="008E112F">
        <w:rPr>
          <w:rFonts w:eastAsia="Calibri" w:cs="Times New Roman"/>
          <w:sz w:val="24"/>
          <w:szCs w:val="24"/>
          <w:u w:val="single"/>
        </w:rPr>
        <w:t>Ministerstvo spravodlivosti SR</w:t>
      </w:r>
      <w:r w:rsidRPr="008E112F">
        <w:rPr>
          <w:rFonts w:eastAsia="Calibri" w:cs="Times New Roman"/>
          <w:sz w:val="24"/>
          <w:szCs w:val="24"/>
        </w:rPr>
        <w:t xml:space="preserve"> v sume 15 643 tis. eur, ktoré prostredníctvom</w:t>
      </w:r>
      <w:r w:rsidRPr="008E112F">
        <w:rPr>
          <w:rFonts w:eastAsia="Calibri" w:cs="Times New Roman"/>
          <w:sz w:val="24"/>
          <w:szCs w:val="24"/>
          <w:shd w:val="clear" w:color="auto" w:fill="FFFFFF"/>
        </w:rPr>
        <w:t xml:space="preserve"> týchto finančných prostriedkov realizovalo v prevažnej miere platby pre advokátov, notárov, exekútorov a súdne poplatky. V </w:t>
      </w:r>
      <w:r w:rsidRPr="008E112F">
        <w:rPr>
          <w:rFonts w:eastAsia="Calibri" w:cs="Times New Roman"/>
          <w:sz w:val="24"/>
          <w:szCs w:val="24"/>
        </w:rPr>
        <w:t>Zbore väzenskej a justičnej stráže</w:t>
      </w:r>
      <w:r w:rsidRPr="008E112F">
        <w:rPr>
          <w:rFonts w:eastAsia="Calibri" w:cs="Times New Roman"/>
          <w:sz w:val="24"/>
          <w:szCs w:val="24"/>
          <w:shd w:val="clear" w:color="auto" w:fill="FFFFFF"/>
        </w:rPr>
        <w:t xml:space="preserve">  to boli najmä platby za kalibráciu strojov, zariadení a meracích prístrojov pre Slovenský metrologický ústav alebo kontrola elektronického požiarneho systému. </w:t>
      </w:r>
      <w:r w:rsidRPr="008E112F">
        <w:rPr>
          <w:rFonts w:eastAsia="Times New Roman" w:cs="Times New Roman"/>
          <w:sz w:val="24"/>
          <w:szCs w:val="24"/>
          <w:lang w:eastAsia="sk-SK"/>
        </w:rPr>
        <w:t>Ďalšie významné čerpanie finančných prostriedkov na špeciálne služby vykázalo</w:t>
      </w:r>
      <w:r w:rsidRPr="008E112F">
        <w:rPr>
          <w:rFonts w:eastAsia="Calibri" w:cs="Times New Roman"/>
          <w:sz w:val="24"/>
          <w:szCs w:val="24"/>
          <w:shd w:val="clear" w:color="auto" w:fill="FFFFFF"/>
        </w:rPr>
        <w:t xml:space="preserve"> </w:t>
      </w:r>
      <w:r w:rsidRPr="008E112F">
        <w:rPr>
          <w:rFonts w:eastAsia="Calibri" w:cs="Times New Roman"/>
          <w:sz w:val="24"/>
          <w:szCs w:val="24"/>
          <w:u w:val="single"/>
          <w:shd w:val="clear" w:color="auto" w:fill="FFFFFF"/>
        </w:rPr>
        <w:t>Ministerstvo dopravy SR</w:t>
      </w:r>
      <w:r w:rsidRPr="008E112F">
        <w:rPr>
          <w:rFonts w:eastAsia="Calibri" w:cs="Times New Roman"/>
          <w:sz w:val="24"/>
          <w:szCs w:val="24"/>
          <w:shd w:val="clear" w:color="auto" w:fill="FFFFFF"/>
        </w:rPr>
        <w:t xml:space="preserve"> sumu 9 431 tis. eur, </w:t>
      </w:r>
      <w:r w:rsidRPr="008E112F">
        <w:rPr>
          <w:rFonts w:eastAsia="Calibri" w:cs="Times New Roman"/>
          <w:sz w:val="24"/>
          <w:szCs w:val="24"/>
          <w:u w:val="single"/>
        </w:rPr>
        <w:t>Ministerstvo pôdohospodárstva a rozvoja vidieka SR</w:t>
      </w:r>
      <w:r w:rsidRPr="008E112F">
        <w:rPr>
          <w:rFonts w:eastAsia="Calibri" w:cs="Times New Roman"/>
          <w:sz w:val="24"/>
          <w:szCs w:val="24"/>
        </w:rPr>
        <w:t xml:space="preserve"> sumu 8 937 tis. eur, </w:t>
      </w:r>
      <w:r w:rsidRPr="008E112F">
        <w:rPr>
          <w:rFonts w:eastAsia="Calibri" w:cs="Times New Roman"/>
          <w:sz w:val="24"/>
          <w:szCs w:val="24"/>
          <w:u w:val="single"/>
        </w:rPr>
        <w:t xml:space="preserve">Ministerstvo vnútra SR </w:t>
      </w:r>
      <w:r w:rsidRPr="008E112F">
        <w:rPr>
          <w:rFonts w:eastAsia="Calibri" w:cs="Times New Roman"/>
          <w:sz w:val="24"/>
          <w:szCs w:val="24"/>
        </w:rPr>
        <w:t>sumu 8 614 tis. eur</w:t>
      </w:r>
      <w:r w:rsidRPr="008E112F">
        <w:rPr>
          <w:rFonts w:eastAsia="Calibri" w:cs="Times New Roman"/>
          <w:sz w:val="24"/>
          <w:szCs w:val="24"/>
          <w:shd w:val="clear" w:color="auto" w:fill="FFFFFF"/>
        </w:rPr>
        <w:t xml:space="preserve"> </w:t>
      </w:r>
      <w:r w:rsidRPr="008E112F">
        <w:rPr>
          <w:rFonts w:eastAsia="Calibri" w:cs="Times New Roman"/>
          <w:sz w:val="24"/>
          <w:szCs w:val="24"/>
        </w:rPr>
        <w:t xml:space="preserve"> a  </w:t>
      </w:r>
      <w:r w:rsidRPr="008E112F">
        <w:rPr>
          <w:rFonts w:eastAsia="Calibri" w:cs="Times New Roman"/>
          <w:sz w:val="24"/>
          <w:szCs w:val="24"/>
          <w:u w:val="single"/>
        </w:rPr>
        <w:t>Ministerstvo životného prostredia SR</w:t>
      </w:r>
      <w:r w:rsidRPr="008E112F">
        <w:rPr>
          <w:rFonts w:eastAsia="Calibri" w:cs="Times New Roman"/>
          <w:sz w:val="24"/>
          <w:szCs w:val="24"/>
        </w:rPr>
        <w:t xml:space="preserve"> sumu 8 104 tis. eur.</w:t>
      </w:r>
    </w:p>
    <w:p w14:paraId="4A2AC170" w14:textId="77777777" w:rsidR="008E112F" w:rsidRPr="008E112F" w:rsidRDefault="008E112F" w:rsidP="008E112F">
      <w:pPr>
        <w:shd w:val="clear" w:color="auto" w:fill="FFFFFF"/>
        <w:spacing w:after="160" w:line="240" w:lineRule="auto"/>
        <w:rPr>
          <w:rFonts w:eastAsia="Calibri" w:cs="Times New Roman"/>
          <w:sz w:val="24"/>
          <w:szCs w:val="24"/>
        </w:rPr>
      </w:pPr>
      <w:r w:rsidRPr="008E112F">
        <w:rPr>
          <w:rFonts w:eastAsia="Times New Roman" w:cs="Times New Roman"/>
          <w:sz w:val="24"/>
          <w:szCs w:val="24"/>
          <w:lang w:eastAsia="sk-SK"/>
        </w:rPr>
        <w:t>Z hľadiska významnosti v bežných výdavkoch za služby</w:t>
      </w:r>
      <w:r w:rsidRPr="008E112F">
        <w:rPr>
          <w:rFonts w:eastAsia="Times New Roman" w:cs="Times New Roman"/>
          <w:color w:val="FF0000"/>
          <w:sz w:val="24"/>
          <w:szCs w:val="24"/>
          <w:lang w:eastAsia="sk-SK"/>
        </w:rPr>
        <w:t xml:space="preserve"> </w:t>
      </w:r>
      <w:r w:rsidRPr="008E112F">
        <w:rPr>
          <w:rFonts w:eastAsia="Times New Roman" w:cs="Times New Roman"/>
          <w:sz w:val="24"/>
          <w:szCs w:val="24"/>
          <w:lang w:eastAsia="sk-SK"/>
        </w:rPr>
        <w:t xml:space="preserve">druhé najvyššie výdavky boli </w:t>
      </w:r>
      <w:r w:rsidRPr="008E112F">
        <w:rPr>
          <w:rFonts w:eastAsia="Times New Roman" w:cs="Times New Roman"/>
          <w:b/>
          <w:i/>
          <w:sz w:val="24"/>
          <w:szCs w:val="24"/>
          <w:lang w:eastAsia="sk-SK"/>
        </w:rPr>
        <w:t>na platby za dostupnosť</w:t>
      </w:r>
      <w:r w:rsidRPr="008E112F">
        <w:rPr>
          <w:rFonts w:eastAsia="Times New Roman" w:cs="Times New Roman"/>
          <w:sz w:val="24"/>
          <w:szCs w:val="24"/>
          <w:lang w:eastAsia="sk-SK"/>
        </w:rPr>
        <w:t>,</w:t>
      </w:r>
      <w:r w:rsidRPr="008E112F">
        <w:rPr>
          <w:rFonts w:eastAsia="Times New Roman" w:cs="Times New Roman"/>
          <w:color w:val="FF0000"/>
          <w:sz w:val="24"/>
          <w:szCs w:val="24"/>
          <w:lang w:eastAsia="sk-SK"/>
        </w:rPr>
        <w:t xml:space="preserve"> </w:t>
      </w:r>
      <w:r w:rsidRPr="008E112F">
        <w:rPr>
          <w:rFonts w:eastAsia="Times New Roman" w:cs="Times New Roman"/>
          <w:sz w:val="24"/>
          <w:szCs w:val="24"/>
          <w:lang w:eastAsia="sk-SK"/>
        </w:rPr>
        <w:t xml:space="preserve">realizované výlučne prostredníctvom </w:t>
      </w:r>
      <w:r w:rsidRPr="008E112F">
        <w:rPr>
          <w:rFonts w:eastAsia="Times New Roman" w:cs="Times New Roman"/>
          <w:sz w:val="24"/>
          <w:szCs w:val="24"/>
          <w:u w:val="single"/>
          <w:lang w:eastAsia="sk-SK"/>
        </w:rPr>
        <w:t>Ministerstva dopravy SR</w:t>
      </w:r>
      <w:r w:rsidRPr="008E112F">
        <w:rPr>
          <w:rFonts w:eastAsia="Times New Roman" w:cs="Times New Roman"/>
          <w:sz w:val="24"/>
          <w:szCs w:val="24"/>
          <w:lang w:eastAsia="sk-SK"/>
        </w:rPr>
        <w:t xml:space="preserve"> v sume 186 726 tis. eur.</w:t>
      </w:r>
      <w:r w:rsidRPr="008E112F">
        <w:rPr>
          <w:rFonts w:eastAsia="Times New Roman" w:cs="Times New Roman"/>
          <w:color w:val="FF0000"/>
          <w:sz w:val="24"/>
          <w:szCs w:val="24"/>
          <w:lang w:eastAsia="sk-SK"/>
        </w:rPr>
        <w:t xml:space="preserve"> </w:t>
      </w:r>
      <w:r w:rsidRPr="008E112F">
        <w:rPr>
          <w:rFonts w:eastAsia="Times New Roman" w:cs="Times New Roman"/>
          <w:sz w:val="24"/>
          <w:szCs w:val="24"/>
          <w:lang w:eastAsia="sk-SK"/>
        </w:rPr>
        <w:t>Finančné prostriedky boli použité na platbu za dostupnosť pre PPP projekty, a to v sume 129 919 tis. eur pre projekt R1 - </w:t>
      </w:r>
      <w:r w:rsidRPr="008E112F">
        <w:rPr>
          <w:rFonts w:eastAsia="Calibri" w:cs="Times New Roman"/>
          <w:sz w:val="24"/>
          <w:szCs w:val="24"/>
        </w:rPr>
        <w:t xml:space="preserve">na úhradu </w:t>
      </w:r>
      <w:proofErr w:type="spellStart"/>
      <w:r w:rsidRPr="008E112F">
        <w:rPr>
          <w:rFonts w:eastAsia="Calibri" w:cs="Times New Roman"/>
          <w:sz w:val="24"/>
          <w:szCs w:val="24"/>
        </w:rPr>
        <w:t>nerozporovaných</w:t>
      </w:r>
      <w:proofErr w:type="spellEnd"/>
      <w:r w:rsidRPr="008E112F">
        <w:rPr>
          <w:rFonts w:eastAsia="Calibri" w:cs="Times New Roman"/>
          <w:sz w:val="24"/>
          <w:szCs w:val="24"/>
        </w:rPr>
        <w:t xml:space="preserve"> častí mesačných jednotkových platieb za mesiace december 2022 a január až november 2023 fakturovaných Koncesionárom R1 v súlade s Koncesnou zmluvou R1. Vo výške</w:t>
      </w:r>
      <w:r w:rsidRPr="008E112F">
        <w:rPr>
          <w:rFonts w:eastAsia="Calibri" w:cs="Times New Roman"/>
          <w:color w:val="FF0000"/>
          <w:sz w:val="24"/>
          <w:szCs w:val="24"/>
        </w:rPr>
        <w:t xml:space="preserve"> </w:t>
      </w:r>
      <w:r w:rsidRPr="008E112F">
        <w:rPr>
          <w:rFonts w:eastAsia="Calibri" w:cs="Times New Roman"/>
          <w:sz w:val="24"/>
          <w:szCs w:val="24"/>
        </w:rPr>
        <w:t>56 807 tis. eur</w:t>
      </w:r>
      <w:r w:rsidRPr="008E112F">
        <w:rPr>
          <w:rFonts w:eastAsia="Calibri" w:cs="Times New Roman"/>
          <w:color w:val="FF0000"/>
          <w:sz w:val="24"/>
          <w:szCs w:val="24"/>
        </w:rPr>
        <w:t xml:space="preserve"> </w:t>
      </w:r>
      <w:r w:rsidRPr="008E112F">
        <w:rPr>
          <w:rFonts w:eastAsia="Calibri" w:cs="Times New Roman"/>
          <w:sz w:val="24"/>
          <w:szCs w:val="24"/>
        </w:rPr>
        <w:t xml:space="preserve">bolo použitých v zmysle Koncesnej zmluvy D4R7 č. 238/C611/2016 na úhradu </w:t>
      </w:r>
      <w:proofErr w:type="spellStart"/>
      <w:r w:rsidRPr="008E112F">
        <w:rPr>
          <w:rFonts w:eastAsia="Calibri" w:cs="Times New Roman"/>
          <w:sz w:val="24"/>
          <w:szCs w:val="24"/>
        </w:rPr>
        <w:t>nerozporovaných</w:t>
      </w:r>
      <w:proofErr w:type="spellEnd"/>
      <w:r w:rsidRPr="008E112F">
        <w:rPr>
          <w:rFonts w:eastAsia="Calibri" w:cs="Times New Roman"/>
          <w:sz w:val="24"/>
          <w:szCs w:val="24"/>
        </w:rPr>
        <w:t xml:space="preserve"> častí MJP za mesiace december 2022 a január až november 2023 fakturovaných Koncesionárom D4R7 v súlade s Koncesnou zmluvou D4R7.</w:t>
      </w:r>
      <w:r w:rsidRPr="008E112F">
        <w:rPr>
          <w:rFonts w:ascii="Calibri" w:eastAsia="Calibri" w:hAnsi="Calibri" w:cs="Calibri"/>
        </w:rPr>
        <w:t> </w:t>
      </w:r>
    </w:p>
    <w:p w14:paraId="654BBE2D" w14:textId="77777777" w:rsidR="008E112F" w:rsidRPr="008E112F" w:rsidRDefault="008E112F" w:rsidP="008E112F">
      <w:pPr>
        <w:shd w:val="clear" w:color="auto" w:fill="FFFFFF"/>
        <w:spacing w:after="160" w:line="240" w:lineRule="auto"/>
        <w:rPr>
          <w:rFonts w:eastAsia="Calibri" w:cs="Times New Roman"/>
          <w:sz w:val="24"/>
          <w:szCs w:val="24"/>
        </w:rPr>
      </w:pPr>
      <w:r w:rsidRPr="008E112F">
        <w:rPr>
          <w:rFonts w:eastAsia="Times New Roman" w:cs="Times New Roman"/>
          <w:sz w:val="24"/>
          <w:szCs w:val="24"/>
          <w:lang w:eastAsia="sk-SK"/>
        </w:rPr>
        <w:t>Tretie najvyššie čerpanie v bežných výdavkoch za služby</w:t>
      </w:r>
      <w:r w:rsidRPr="008E112F">
        <w:rPr>
          <w:rFonts w:eastAsia="Times New Roman" w:cs="Times New Roman"/>
          <w:color w:val="FF0000"/>
          <w:sz w:val="24"/>
          <w:szCs w:val="24"/>
          <w:lang w:eastAsia="sk-SK"/>
        </w:rPr>
        <w:t xml:space="preserve"> </w:t>
      </w:r>
      <w:r w:rsidRPr="008E112F">
        <w:rPr>
          <w:rFonts w:eastAsia="Times New Roman" w:cs="Times New Roman"/>
          <w:sz w:val="24"/>
          <w:szCs w:val="24"/>
          <w:lang w:eastAsia="sk-SK"/>
        </w:rPr>
        <w:t>boli</w:t>
      </w:r>
      <w:r w:rsidRPr="008E112F">
        <w:rPr>
          <w:rFonts w:eastAsia="Calibri" w:cs="Times New Roman"/>
          <w:sz w:val="24"/>
          <w:szCs w:val="24"/>
        </w:rPr>
        <w:t xml:space="preserve"> výdavky na</w:t>
      </w:r>
      <w:r w:rsidRPr="008E112F">
        <w:rPr>
          <w:rFonts w:eastAsia="Calibri" w:cs="Times New Roman"/>
          <w:b/>
          <w:i/>
          <w:sz w:val="24"/>
          <w:szCs w:val="24"/>
        </w:rPr>
        <w:t xml:space="preserve"> všeobecné služby</w:t>
      </w:r>
      <w:r w:rsidRPr="008E112F">
        <w:rPr>
          <w:rFonts w:eastAsia="Calibri" w:cs="Times New Roman"/>
          <w:sz w:val="24"/>
          <w:szCs w:val="24"/>
        </w:rPr>
        <w:t>, ktoré dosiahli skutočné čerpanie 87 885 tis. eur</w:t>
      </w:r>
      <w:r w:rsidRPr="008E112F">
        <w:rPr>
          <w:rFonts w:eastAsia="Calibri" w:cs="Times New Roman"/>
          <w:i/>
          <w:sz w:val="24"/>
          <w:szCs w:val="24"/>
        </w:rPr>
        <w:t>.</w:t>
      </w:r>
      <w:r w:rsidRPr="008E112F">
        <w:rPr>
          <w:rFonts w:eastAsia="Calibri" w:cs="Times New Roman"/>
          <w:i/>
          <w:color w:val="FF0000"/>
          <w:sz w:val="24"/>
          <w:szCs w:val="24"/>
        </w:rPr>
        <w:t xml:space="preserve"> </w:t>
      </w:r>
      <w:r w:rsidRPr="008E112F">
        <w:rPr>
          <w:rFonts w:eastAsia="Calibri" w:cs="Times New Roman"/>
          <w:sz w:val="24"/>
          <w:szCs w:val="24"/>
        </w:rPr>
        <w:t>Ide o výkony obstarávané dodávateľským spôsobom, ktoré predstavujú služby súvisiace so správou štátnych budov a zariadení (napr. čistiace a upratovacie služby, odvoz a likvidácia odpadu, ako aj platby za externé služby, ako sú tlmočenie, prekladateľské služby, výkon revízií a kontrol dopravnej techniky, výdavky na prevádzku varovného systému civilnej obrany, odmeny asistentom poslancov a podobne).</w:t>
      </w:r>
      <w:r w:rsidRPr="008E112F">
        <w:rPr>
          <w:rFonts w:eastAsia="Calibri" w:cs="Times New Roman"/>
          <w:color w:val="FF0000"/>
          <w:sz w:val="24"/>
          <w:szCs w:val="24"/>
        </w:rPr>
        <w:t xml:space="preserve"> </w:t>
      </w:r>
      <w:r w:rsidRPr="008E112F">
        <w:rPr>
          <w:rFonts w:eastAsia="Calibri" w:cs="Times New Roman"/>
          <w:sz w:val="24"/>
          <w:szCs w:val="24"/>
          <w:u w:val="single"/>
        </w:rPr>
        <w:t>Kapitola Ministerstva vnútra SR</w:t>
      </w:r>
      <w:r w:rsidRPr="008E112F">
        <w:rPr>
          <w:rFonts w:eastAsia="Calibri" w:cs="Times New Roman"/>
          <w:sz w:val="24"/>
          <w:szCs w:val="24"/>
        </w:rPr>
        <w:t xml:space="preserve"> disponuje najväčším počtom budov, zariadení a dopravnej techniky a dosiahla najvýznamnejšie výdavky na všeobecné služby v hodnote 18 694 tis. eur.</w:t>
      </w:r>
      <w:r w:rsidRPr="008E112F">
        <w:rPr>
          <w:rFonts w:eastAsia="Calibri" w:cs="Times New Roman"/>
          <w:color w:val="FF0000"/>
          <w:sz w:val="24"/>
          <w:szCs w:val="24"/>
        </w:rPr>
        <w:t xml:space="preserve"> </w:t>
      </w:r>
      <w:r w:rsidRPr="008E112F">
        <w:rPr>
          <w:rFonts w:eastAsia="Calibri" w:cs="Times New Roman"/>
          <w:sz w:val="24"/>
          <w:szCs w:val="24"/>
          <w:u w:val="single"/>
        </w:rPr>
        <w:t>Ministerstvo pôdohospodárstva a rozvoja vidieka SR</w:t>
      </w:r>
      <w:r w:rsidRPr="008E112F">
        <w:rPr>
          <w:rFonts w:eastAsia="Calibri" w:cs="Times New Roman"/>
          <w:sz w:val="24"/>
          <w:szCs w:val="24"/>
        </w:rPr>
        <w:t xml:space="preserve"> 9 518 tis. eur,</w:t>
      </w:r>
      <w:r w:rsidRPr="008E112F">
        <w:rPr>
          <w:rFonts w:eastAsia="Calibri" w:cs="Times New Roman"/>
          <w:color w:val="FF0000"/>
          <w:sz w:val="24"/>
          <w:szCs w:val="24"/>
        </w:rPr>
        <w:t xml:space="preserve"> </w:t>
      </w:r>
      <w:r w:rsidRPr="008E112F">
        <w:rPr>
          <w:rFonts w:eastAsia="Calibri" w:cs="Times New Roman"/>
          <w:sz w:val="24"/>
          <w:szCs w:val="24"/>
          <w:u w:val="single"/>
        </w:rPr>
        <w:t>Ministerstvo obrany SR</w:t>
      </w:r>
      <w:r w:rsidRPr="008E112F">
        <w:rPr>
          <w:rFonts w:eastAsia="Calibri" w:cs="Times New Roman"/>
          <w:sz w:val="24"/>
          <w:szCs w:val="24"/>
        </w:rPr>
        <w:t xml:space="preserve"> 9 222 tis. eur, </w:t>
      </w:r>
      <w:r w:rsidRPr="008E112F">
        <w:rPr>
          <w:rFonts w:eastAsia="Calibri" w:cs="Times New Roman"/>
          <w:sz w:val="24"/>
          <w:szCs w:val="24"/>
          <w:u w:val="single"/>
        </w:rPr>
        <w:t>Ministerstvo školstva, vedy, výskumu a športu SR</w:t>
      </w:r>
      <w:r w:rsidRPr="008E112F">
        <w:rPr>
          <w:rFonts w:eastAsia="Calibri" w:cs="Times New Roman"/>
          <w:sz w:val="24"/>
          <w:szCs w:val="24"/>
        </w:rPr>
        <w:t xml:space="preserve"> vynaložilo na všeobecné služby čiastku 6 054 tis. eur,</w:t>
      </w:r>
      <w:r w:rsidRPr="008E112F">
        <w:rPr>
          <w:rFonts w:eastAsia="Calibri" w:cs="Times New Roman"/>
          <w:color w:val="FF0000"/>
          <w:sz w:val="24"/>
          <w:szCs w:val="24"/>
        </w:rPr>
        <w:t xml:space="preserve"> </w:t>
      </w:r>
      <w:r w:rsidRPr="008E112F">
        <w:rPr>
          <w:rFonts w:eastAsia="Calibri" w:cs="Times New Roman"/>
          <w:sz w:val="24"/>
          <w:szCs w:val="24"/>
          <w:u w:val="single"/>
        </w:rPr>
        <w:t>Ministerstvo spravodlivosti SR</w:t>
      </w:r>
      <w:r w:rsidRPr="008E112F">
        <w:rPr>
          <w:rFonts w:eastAsia="Calibri" w:cs="Times New Roman"/>
          <w:sz w:val="24"/>
          <w:szCs w:val="24"/>
        </w:rPr>
        <w:t xml:space="preserve"> 5 855 tis. eur, </w:t>
      </w:r>
      <w:r w:rsidRPr="008E112F">
        <w:rPr>
          <w:rFonts w:eastAsia="Calibri" w:cs="Times New Roman"/>
          <w:sz w:val="24"/>
          <w:szCs w:val="24"/>
          <w:u w:val="single"/>
        </w:rPr>
        <w:t>Kancelária národnej rady SR</w:t>
      </w:r>
      <w:r w:rsidRPr="008E112F">
        <w:rPr>
          <w:rFonts w:eastAsia="Calibri" w:cs="Times New Roman"/>
          <w:sz w:val="24"/>
          <w:szCs w:val="24"/>
        </w:rPr>
        <w:t xml:space="preserve"> sumu 5 722 tis. eur, </w:t>
      </w:r>
      <w:r w:rsidRPr="008E112F">
        <w:rPr>
          <w:rFonts w:eastAsia="Calibri" w:cs="Times New Roman"/>
          <w:sz w:val="24"/>
          <w:szCs w:val="24"/>
          <w:u w:val="single"/>
        </w:rPr>
        <w:t>Ministerstvo práce, sociálnych vecí a rodiny SR</w:t>
      </w:r>
      <w:r w:rsidRPr="008E112F">
        <w:rPr>
          <w:rFonts w:eastAsia="Calibri" w:cs="Times New Roman"/>
          <w:sz w:val="24"/>
          <w:szCs w:val="24"/>
        </w:rPr>
        <w:t xml:space="preserve"> 5 693 tis. eur a </w:t>
      </w:r>
      <w:r w:rsidRPr="008E112F">
        <w:rPr>
          <w:rFonts w:eastAsia="Calibri" w:cs="Times New Roman"/>
          <w:sz w:val="24"/>
          <w:szCs w:val="24"/>
          <w:u w:val="single"/>
        </w:rPr>
        <w:t>Ministerstvo financií SR</w:t>
      </w:r>
      <w:r w:rsidRPr="008E112F">
        <w:rPr>
          <w:rFonts w:eastAsia="Calibri" w:cs="Times New Roman"/>
          <w:sz w:val="24"/>
          <w:szCs w:val="24"/>
        </w:rPr>
        <w:t xml:space="preserve"> 5 638 tis. eur.</w:t>
      </w:r>
      <w:r w:rsidRPr="008E112F">
        <w:rPr>
          <w:rFonts w:eastAsia="Calibri" w:cs="Times New Roman"/>
          <w:color w:val="FF0000"/>
          <w:sz w:val="24"/>
          <w:szCs w:val="24"/>
        </w:rPr>
        <w:t xml:space="preserve">  </w:t>
      </w:r>
      <w:r w:rsidRPr="008E112F">
        <w:rPr>
          <w:rFonts w:eastAsia="Calibri" w:cs="Times New Roman"/>
          <w:sz w:val="24"/>
          <w:szCs w:val="24"/>
        </w:rPr>
        <w:t>Ostatné kapitoly poskytli na tento účel menšie čiastky. Na výdavky na všeobecné služby bol schválený rozpočet 1 052 799 tis. eur a skutočné čerpanie bolo</w:t>
      </w:r>
      <w:r w:rsidRPr="008E112F">
        <w:rPr>
          <w:rFonts w:eastAsia="Calibri" w:cs="Times New Roman"/>
          <w:color w:val="FF0000"/>
          <w:sz w:val="24"/>
          <w:szCs w:val="24"/>
        </w:rPr>
        <w:t xml:space="preserve"> </w:t>
      </w:r>
      <w:r w:rsidRPr="008E112F">
        <w:rPr>
          <w:rFonts w:eastAsia="Calibri" w:cs="Times New Roman"/>
          <w:sz w:val="24"/>
          <w:szCs w:val="24"/>
        </w:rPr>
        <w:t>o 91,7 % nižšie.</w:t>
      </w:r>
      <w:r w:rsidRPr="008E112F">
        <w:rPr>
          <w:rFonts w:eastAsia="Calibri" w:cs="Times New Roman"/>
          <w:color w:val="FF0000"/>
          <w:sz w:val="24"/>
          <w:szCs w:val="24"/>
        </w:rPr>
        <w:t xml:space="preserve"> </w:t>
      </w:r>
      <w:r w:rsidRPr="008E112F">
        <w:rPr>
          <w:rFonts w:eastAsia="Calibri" w:cs="Times New Roman"/>
          <w:sz w:val="24"/>
          <w:szCs w:val="24"/>
        </w:rPr>
        <w:t xml:space="preserve">Na tejto skutočnosti sa najviac podieľalo </w:t>
      </w:r>
      <w:r w:rsidRPr="008E112F">
        <w:rPr>
          <w:rFonts w:eastAsia="Calibri" w:cs="Times New Roman"/>
          <w:sz w:val="24"/>
          <w:szCs w:val="24"/>
          <w:u w:val="single"/>
        </w:rPr>
        <w:t xml:space="preserve">Ministerstvo </w:t>
      </w:r>
      <w:r w:rsidRPr="008E112F">
        <w:rPr>
          <w:rFonts w:eastAsia="Times New Roman" w:cs="Times New Roman"/>
          <w:sz w:val="24"/>
          <w:szCs w:val="24"/>
          <w:u w:val="single"/>
          <w:lang w:eastAsia="sk-SK"/>
        </w:rPr>
        <w:t>investícií, regionálneho rozvoja a informatizácie SR</w:t>
      </w:r>
      <w:r w:rsidRPr="008E112F">
        <w:rPr>
          <w:rFonts w:eastAsia="Times New Roman" w:cs="Times New Roman"/>
          <w:sz w:val="24"/>
          <w:szCs w:val="24"/>
          <w:lang w:eastAsia="sk-SK"/>
        </w:rPr>
        <w:t xml:space="preserve">, ktoré vykázalo skutočné čerpanie o 922 585 tis. eur menej oproti schválenému rozpočtu, </w:t>
      </w:r>
      <w:r w:rsidRPr="008E112F">
        <w:rPr>
          <w:rFonts w:eastAsia="Calibri" w:cs="Times New Roman"/>
          <w:sz w:val="24"/>
          <w:szCs w:val="24"/>
          <w:u w:val="single"/>
        </w:rPr>
        <w:t>Ministerstvo práce, sociálnych vecí a rodiny SR</w:t>
      </w:r>
      <w:r w:rsidRPr="008E112F">
        <w:rPr>
          <w:rFonts w:eastAsia="Calibri" w:cs="Times New Roman"/>
          <w:sz w:val="24"/>
          <w:szCs w:val="24"/>
        </w:rPr>
        <w:t xml:space="preserve"> o 20 274 tis. eur a </w:t>
      </w:r>
      <w:r w:rsidRPr="008E112F">
        <w:rPr>
          <w:rFonts w:eastAsia="Calibri" w:cs="Times New Roman"/>
          <w:sz w:val="24"/>
          <w:szCs w:val="24"/>
          <w:u w:val="single"/>
        </w:rPr>
        <w:t>Ministerstvo dopravy SR</w:t>
      </w:r>
      <w:r w:rsidRPr="008E112F">
        <w:rPr>
          <w:rFonts w:eastAsia="Calibri" w:cs="Times New Roman"/>
          <w:sz w:val="24"/>
          <w:szCs w:val="24"/>
        </w:rPr>
        <w:t xml:space="preserve"> o 14 649 tis. eur menej. </w:t>
      </w:r>
    </w:p>
    <w:p w14:paraId="25CBB20B" w14:textId="153602DA" w:rsidR="008E112F" w:rsidRPr="008E112F" w:rsidRDefault="008E112F" w:rsidP="008E112F">
      <w:pPr>
        <w:spacing w:after="160" w:line="240" w:lineRule="auto"/>
        <w:rPr>
          <w:rFonts w:eastAsia="Times New Roman" w:cs="Times New Roman"/>
          <w:sz w:val="24"/>
          <w:szCs w:val="24"/>
          <w:lang w:eastAsia="sk-SK"/>
        </w:rPr>
      </w:pPr>
      <w:r w:rsidRPr="008E112F">
        <w:rPr>
          <w:rFonts w:eastAsia="Times New Roman" w:cs="Times New Roman"/>
          <w:sz w:val="24"/>
          <w:szCs w:val="24"/>
          <w:lang w:eastAsia="sk-SK"/>
        </w:rPr>
        <w:t xml:space="preserve">Ďalšiu významnú hodnotu v rámci položky služby dosiahli bežné výdavky za platby </w:t>
      </w:r>
      <w:r w:rsidRPr="008E112F">
        <w:rPr>
          <w:rFonts w:eastAsia="Times New Roman" w:cs="Times New Roman"/>
          <w:b/>
          <w:i/>
          <w:sz w:val="24"/>
          <w:szCs w:val="24"/>
          <w:lang w:eastAsia="sk-SK"/>
        </w:rPr>
        <w:t>štátnej rozpočtovej organizácii na projekty Európskej únie</w:t>
      </w:r>
      <w:r w:rsidRPr="008E112F">
        <w:rPr>
          <w:rFonts w:eastAsia="Times New Roman" w:cs="Times New Roman"/>
          <w:sz w:val="24"/>
          <w:szCs w:val="24"/>
          <w:lang w:eastAsia="sk-SK"/>
        </w:rPr>
        <w:t xml:space="preserve"> v sume 53 127 tis eur, najmä prostredníctvom </w:t>
      </w:r>
      <w:r w:rsidRPr="008E112F">
        <w:rPr>
          <w:rFonts w:eastAsia="Calibri" w:cs="Times New Roman"/>
          <w:sz w:val="24"/>
          <w:szCs w:val="24"/>
          <w:u w:val="single"/>
        </w:rPr>
        <w:t>Ministerstva práce, sociálnych vecí a rodiny SR</w:t>
      </w:r>
      <w:r w:rsidRPr="008E112F">
        <w:rPr>
          <w:rFonts w:eastAsia="Calibri" w:cs="Times New Roman"/>
          <w:sz w:val="24"/>
          <w:szCs w:val="24"/>
        </w:rPr>
        <w:t xml:space="preserve"> (28 175 tis eur), ktoré poskytlo finančné prostriedky v rámci Operačného programu Ľudské zdroje. Išlo o dve </w:t>
      </w:r>
      <w:proofErr w:type="spellStart"/>
      <w:r w:rsidRPr="008E112F">
        <w:rPr>
          <w:rFonts w:eastAsia="Calibri" w:cs="Times New Roman"/>
          <w:sz w:val="24"/>
          <w:szCs w:val="24"/>
        </w:rPr>
        <w:t>tranže</w:t>
      </w:r>
      <w:proofErr w:type="spellEnd"/>
      <w:r w:rsidRPr="008E112F">
        <w:rPr>
          <w:rFonts w:eastAsia="Calibri" w:cs="Times New Roman"/>
          <w:sz w:val="24"/>
          <w:szCs w:val="24"/>
        </w:rPr>
        <w:t xml:space="preserve"> v sumách 14 625 tis. eur a 13 550 tis. eur prijímateľovi Slovak </w:t>
      </w:r>
      <w:proofErr w:type="spellStart"/>
      <w:r w:rsidRPr="008E112F">
        <w:rPr>
          <w:rFonts w:eastAsia="Calibri" w:cs="Times New Roman"/>
          <w:sz w:val="24"/>
          <w:szCs w:val="24"/>
        </w:rPr>
        <w:t>Investment</w:t>
      </w:r>
      <w:proofErr w:type="spellEnd"/>
      <w:r w:rsidRPr="008E112F">
        <w:rPr>
          <w:rFonts w:eastAsia="Calibri" w:cs="Times New Roman"/>
          <w:sz w:val="24"/>
          <w:szCs w:val="24"/>
        </w:rPr>
        <w:t xml:space="preserve"> Holding, </w:t>
      </w:r>
      <w:proofErr w:type="spellStart"/>
      <w:r w:rsidR="00837EB9">
        <w:rPr>
          <w:rFonts w:eastAsia="Calibri" w:cs="Times New Roman"/>
          <w:sz w:val="24"/>
          <w:szCs w:val="24"/>
        </w:rPr>
        <w:t>a.s</w:t>
      </w:r>
      <w:proofErr w:type="spellEnd"/>
      <w:r w:rsidR="00837EB9">
        <w:rPr>
          <w:rFonts w:eastAsia="Calibri" w:cs="Times New Roman"/>
          <w:sz w:val="24"/>
          <w:szCs w:val="24"/>
        </w:rPr>
        <w:t>.</w:t>
      </w:r>
      <w:r w:rsidRPr="008E112F">
        <w:rPr>
          <w:rFonts w:eastAsia="Calibri" w:cs="Times New Roman"/>
          <w:sz w:val="24"/>
          <w:szCs w:val="24"/>
        </w:rPr>
        <w:t xml:space="preserve"> na projekt Finančné nástroje implementované v rámci prioritnej osi 3 OP Ľudské zdroje v programovom období 2014 - 2020. </w:t>
      </w:r>
      <w:r w:rsidRPr="008E112F">
        <w:rPr>
          <w:rFonts w:eastAsia="Calibri" w:cs="Times New Roman"/>
          <w:sz w:val="24"/>
          <w:szCs w:val="24"/>
          <w:u w:val="single"/>
        </w:rPr>
        <w:t>Ministerstvo školstva, vedy, výskumu a športu SR</w:t>
      </w:r>
      <w:r w:rsidRPr="008E112F">
        <w:rPr>
          <w:rFonts w:eastAsia="Calibri" w:cs="Times New Roman"/>
          <w:sz w:val="24"/>
          <w:szCs w:val="24"/>
        </w:rPr>
        <w:t xml:space="preserve"> (21 910 tis. eur)</w:t>
      </w:r>
      <w:r w:rsidRPr="008E112F">
        <w:rPr>
          <w:rFonts w:eastAsia="Calibri" w:cs="Times New Roman"/>
        </w:rPr>
        <w:t xml:space="preserve"> poskytlo </w:t>
      </w:r>
      <w:r w:rsidRPr="008E112F">
        <w:rPr>
          <w:rFonts w:eastAsia="Times New Roman" w:cs="Times New Roman"/>
          <w:sz w:val="24"/>
          <w:szCs w:val="24"/>
          <w:lang w:eastAsia="sk-SK"/>
        </w:rPr>
        <w:t>21 875 tis. eur Regionálnemu úradu školskej správy v Žiline v rámci projektu EDUNET na refundáciu normatívnych výdavkov. Prostredníctvom projektu EDUNET je zabezpečovaný žiakom a študentom bezpečný internet.</w:t>
      </w:r>
    </w:p>
    <w:p w14:paraId="127A26D7" w14:textId="17565225" w:rsidR="008E112F" w:rsidRPr="008E112F" w:rsidRDefault="008E112F" w:rsidP="008E112F">
      <w:pPr>
        <w:spacing w:after="160" w:line="240" w:lineRule="auto"/>
        <w:rPr>
          <w:rFonts w:eastAsia="Times New Roman" w:cs="Times New Roman"/>
          <w:sz w:val="24"/>
          <w:szCs w:val="24"/>
          <w:lang w:eastAsia="sk-SK"/>
        </w:rPr>
      </w:pPr>
      <w:r w:rsidRPr="008E112F">
        <w:rPr>
          <w:rFonts w:eastAsia="Calibri" w:cs="Times New Roman"/>
          <w:sz w:val="24"/>
          <w:szCs w:val="24"/>
        </w:rPr>
        <w:lastRenderedPageBreak/>
        <w:t>V rámci výdavkov na služby boli realizované výdavky na podpoložke</w:t>
      </w:r>
      <w:r w:rsidRPr="008E112F">
        <w:rPr>
          <w:rFonts w:eastAsia="Calibri" w:cs="Times New Roman"/>
          <w:b/>
          <w:i/>
          <w:sz w:val="24"/>
          <w:szCs w:val="24"/>
        </w:rPr>
        <w:t xml:space="preserve"> nezrovnalosti a</w:t>
      </w:r>
      <w:r w:rsidR="00A55A39">
        <w:rPr>
          <w:rFonts w:eastAsia="Calibri" w:cs="Times New Roman"/>
          <w:b/>
          <w:i/>
          <w:sz w:val="24"/>
          <w:szCs w:val="24"/>
        </w:rPr>
        <w:t xml:space="preserve"> </w:t>
      </w:r>
      <w:r w:rsidRPr="008E112F">
        <w:rPr>
          <w:rFonts w:eastAsia="Calibri" w:cs="Times New Roman"/>
          <w:b/>
          <w:i/>
          <w:sz w:val="24"/>
          <w:szCs w:val="24"/>
        </w:rPr>
        <w:t xml:space="preserve">iné </w:t>
      </w:r>
      <w:proofErr w:type="spellStart"/>
      <w:r w:rsidRPr="008E112F">
        <w:rPr>
          <w:rFonts w:eastAsia="Calibri" w:cs="Times New Roman"/>
          <w:b/>
          <w:i/>
          <w:sz w:val="24"/>
          <w:szCs w:val="24"/>
        </w:rPr>
        <w:t>vratky</w:t>
      </w:r>
      <w:proofErr w:type="spellEnd"/>
      <w:r w:rsidRPr="008E112F">
        <w:rPr>
          <w:rFonts w:eastAsia="Calibri" w:cs="Times New Roman"/>
          <w:b/>
          <w:i/>
          <w:sz w:val="24"/>
          <w:szCs w:val="24"/>
        </w:rPr>
        <w:t xml:space="preserve"> za prostriedky Európskej únie zaradené do štátneho rozpočtu a</w:t>
      </w:r>
      <w:r w:rsidR="00A55A39">
        <w:rPr>
          <w:rFonts w:eastAsia="Calibri" w:cs="Times New Roman"/>
          <w:b/>
          <w:i/>
          <w:sz w:val="24"/>
          <w:szCs w:val="24"/>
        </w:rPr>
        <w:t xml:space="preserve"> </w:t>
      </w:r>
      <w:r w:rsidRPr="008E112F">
        <w:rPr>
          <w:rFonts w:eastAsia="Calibri" w:cs="Times New Roman"/>
          <w:b/>
          <w:i/>
          <w:sz w:val="24"/>
          <w:szCs w:val="24"/>
        </w:rPr>
        <w:t>za prostriedky spolufinancovania</w:t>
      </w:r>
      <w:r w:rsidRPr="008E112F">
        <w:rPr>
          <w:rFonts w:eastAsia="Calibri" w:cs="Times New Roman"/>
          <w:color w:val="FF0000"/>
          <w:sz w:val="24"/>
          <w:szCs w:val="24"/>
        </w:rPr>
        <w:t xml:space="preserve"> </w:t>
      </w:r>
      <w:r w:rsidRPr="008E112F">
        <w:rPr>
          <w:rFonts w:eastAsia="Times New Roman" w:cs="Times New Roman"/>
          <w:sz w:val="24"/>
          <w:szCs w:val="24"/>
          <w:lang w:eastAsia="sk-SK"/>
        </w:rPr>
        <w:t xml:space="preserve">v sume 49 002 tis. eur, najmä prostredníctvom Všeobecnej pokladničnej správy v hodnote 38 662 tis. eur, na úhradu nezrovnalostí a iných </w:t>
      </w:r>
      <w:proofErr w:type="spellStart"/>
      <w:r w:rsidRPr="008E112F">
        <w:rPr>
          <w:rFonts w:eastAsia="Times New Roman" w:cs="Times New Roman"/>
          <w:sz w:val="24"/>
          <w:szCs w:val="24"/>
          <w:lang w:eastAsia="sk-SK"/>
        </w:rPr>
        <w:t>vratiek</w:t>
      </w:r>
      <w:proofErr w:type="spellEnd"/>
      <w:r w:rsidRPr="008E112F">
        <w:rPr>
          <w:rFonts w:eastAsia="Times New Roman" w:cs="Times New Roman"/>
          <w:sz w:val="24"/>
          <w:szCs w:val="24"/>
          <w:lang w:eastAsia="sk-SK"/>
        </w:rPr>
        <w:t xml:space="preserve"> za prostriedky Európskej únie. Prostredníctvom tohto titulu boli uvoľnené prostriedky na vysporiadanie systémových a individuálnych nezrovnalostí s dlžníkom v nadväznosti na viazanie výdavkov v</w:t>
      </w:r>
      <w:r w:rsidR="003F27EA">
        <w:rPr>
          <w:rFonts w:eastAsia="Times New Roman" w:cs="Times New Roman"/>
          <w:sz w:val="24"/>
          <w:szCs w:val="24"/>
          <w:lang w:eastAsia="sk-SK"/>
        </w:rPr>
        <w:t> </w:t>
      </w:r>
      <w:r w:rsidRPr="008E112F">
        <w:rPr>
          <w:rFonts w:eastAsia="Times New Roman" w:cs="Times New Roman"/>
          <w:sz w:val="24"/>
          <w:szCs w:val="24"/>
          <w:lang w:eastAsia="sk-SK"/>
        </w:rPr>
        <w:t>kapitolách.</w:t>
      </w:r>
    </w:p>
    <w:p w14:paraId="7330CD96" w14:textId="77777777" w:rsidR="008E112F" w:rsidRPr="008E112F" w:rsidRDefault="008E112F" w:rsidP="008E112F">
      <w:pPr>
        <w:spacing w:after="160" w:line="240" w:lineRule="auto"/>
        <w:rPr>
          <w:rFonts w:eastAsia="Calibri" w:cs="Times New Roman"/>
          <w:sz w:val="24"/>
          <w:szCs w:val="24"/>
        </w:rPr>
      </w:pPr>
      <w:r w:rsidRPr="008E112F">
        <w:rPr>
          <w:rFonts w:eastAsia="Calibri" w:cs="Times New Roman"/>
          <w:sz w:val="24"/>
          <w:szCs w:val="24"/>
        </w:rPr>
        <w:t xml:space="preserve">Ďalšou významnou podpoložkou sú výdavky </w:t>
      </w:r>
      <w:r w:rsidRPr="008E112F">
        <w:rPr>
          <w:rFonts w:eastAsia="Calibri" w:cs="Times New Roman"/>
          <w:b/>
          <w:i/>
          <w:sz w:val="24"/>
          <w:szCs w:val="24"/>
        </w:rPr>
        <w:t>na náhrady</w:t>
      </w:r>
      <w:r w:rsidRPr="008E112F">
        <w:rPr>
          <w:rFonts w:eastAsia="Calibri" w:cs="Times New Roman"/>
          <w:color w:val="FF0000"/>
          <w:sz w:val="24"/>
          <w:szCs w:val="24"/>
        </w:rPr>
        <w:t xml:space="preserve"> </w:t>
      </w:r>
      <w:r w:rsidRPr="008E112F">
        <w:rPr>
          <w:rFonts w:eastAsia="Calibri" w:cs="Times New Roman"/>
          <w:sz w:val="24"/>
          <w:szCs w:val="24"/>
        </w:rPr>
        <w:t xml:space="preserve">v sume 40 729 tis. eur a boli čerpané najmä </w:t>
      </w:r>
      <w:r w:rsidRPr="008E112F">
        <w:rPr>
          <w:rFonts w:eastAsia="Calibri" w:cs="Times New Roman"/>
          <w:sz w:val="24"/>
          <w:szCs w:val="24"/>
          <w:u w:val="single"/>
        </w:rPr>
        <w:t>Ministerstvom obrany SR</w:t>
      </w:r>
      <w:r w:rsidRPr="008E112F">
        <w:rPr>
          <w:rFonts w:eastAsia="Calibri" w:cs="Times New Roman"/>
          <w:sz w:val="24"/>
          <w:szCs w:val="24"/>
        </w:rPr>
        <w:t xml:space="preserve"> v objeme 13 080 tis. eur a </w:t>
      </w:r>
      <w:r w:rsidRPr="008E112F">
        <w:rPr>
          <w:rFonts w:eastAsia="Calibri" w:cs="Times New Roman"/>
          <w:sz w:val="24"/>
          <w:szCs w:val="24"/>
          <w:u w:val="single"/>
        </w:rPr>
        <w:t>Ministerstvom vnútra SR</w:t>
      </w:r>
      <w:r w:rsidRPr="008E112F">
        <w:rPr>
          <w:rFonts w:eastAsia="Calibri" w:cs="Times New Roman"/>
          <w:sz w:val="24"/>
          <w:szCs w:val="24"/>
        </w:rPr>
        <w:t xml:space="preserve"> v sume 12 944 tis. eur, ktoré hradilo najmä výdavky na zabezpečenie zdravotnej starostlivosti pre vybrané skupiny zamestnancov. </w:t>
      </w:r>
    </w:p>
    <w:p w14:paraId="324BD846" w14:textId="77777777" w:rsidR="008E112F" w:rsidRPr="00795D97" w:rsidRDefault="008E112F" w:rsidP="008E112F">
      <w:pPr>
        <w:spacing w:after="160" w:line="240" w:lineRule="auto"/>
        <w:rPr>
          <w:rFonts w:eastAsia="Calibri" w:cs="Times New Roman"/>
          <w:sz w:val="24"/>
          <w:szCs w:val="24"/>
        </w:rPr>
      </w:pPr>
      <w:r w:rsidRPr="008E112F">
        <w:rPr>
          <w:rFonts w:eastAsia="Calibri" w:cs="Times New Roman"/>
          <w:sz w:val="24"/>
          <w:szCs w:val="24"/>
        </w:rPr>
        <w:t xml:space="preserve">Z ostatných výdavkov na služby boli významné výdavky najmä na podpoložkách </w:t>
      </w:r>
      <w:r w:rsidRPr="008E112F">
        <w:rPr>
          <w:rFonts w:eastAsia="Calibri" w:cs="Times New Roman"/>
          <w:b/>
          <w:i/>
          <w:sz w:val="24"/>
          <w:szCs w:val="24"/>
        </w:rPr>
        <w:t xml:space="preserve">prídel do sociálneho fondu </w:t>
      </w:r>
      <w:r w:rsidRPr="008E112F">
        <w:rPr>
          <w:rFonts w:eastAsia="Calibri" w:cs="Times New Roman"/>
          <w:sz w:val="24"/>
          <w:szCs w:val="24"/>
        </w:rPr>
        <w:t>(35 355 tis. eur) realizovaný v súlade so zákonom č. 152/1994 Z. z. o sociálnom fonde a o doplnení zákona č. 286/1992 Zb. o daniach z príjmov v znení neskorších predpisov, kde je stanovená hranica minimálnej výšky tvorby sociálneho fondu, ktorá je pre každého zamestnávateľa záväzná, ďalej</w:t>
      </w:r>
      <w:r w:rsidRPr="008E112F">
        <w:rPr>
          <w:rFonts w:eastAsia="Calibri" w:cs="Times New Roman"/>
          <w:color w:val="FF0000"/>
          <w:sz w:val="24"/>
          <w:szCs w:val="24"/>
        </w:rPr>
        <w:t xml:space="preserve"> </w:t>
      </w:r>
      <w:r w:rsidRPr="008E112F">
        <w:rPr>
          <w:rFonts w:eastAsia="Calibri" w:cs="Times New Roman"/>
          <w:sz w:val="24"/>
          <w:szCs w:val="24"/>
        </w:rPr>
        <w:t>na </w:t>
      </w:r>
      <w:r w:rsidRPr="008E112F">
        <w:rPr>
          <w:rFonts w:eastAsia="Calibri" w:cs="Times New Roman"/>
          <w:b/>
          <w:i/>
          <w:sz w:val="24"/>
          <w:szCs w:val="24"/>
        </w:rPr>
        <w:t>odmeny zamestnancom mimopracovného pomeru</w:t>
      </w:r>
      <w:r w:rsidRPr="008E112F">
        <w:rPr>
          <w:rFonts w:eastAsia="Calibri" w:cs="Times New Roman"/>
          <w:color w:val="FF0000"/>
          <w:sz w:val="24"/>
          <w:szCs w:val="24"/>
        </w:rPr>
        <w:t xml:space="preserve"> </w:t>
      </w:r>
      <w:r w:rsidRPr="008E112F">
        <w:rPr>
          <w:rFonts w:eastAsia="Calibri" w:cs="Times New Roman"/>
          <w:sz w:val="24"/>
          <w:szCs w:val="24"/>
        </w:rPr>
        <w:t>(33 306 tis. eur),</w:t>
      </w:r>
      <w:r w:rsidRPr="008E112F">
        <w:rPr>
          <w:rFonts w:eastAsia="Calibri" w:cs="Times New Roman"/>
          <w:color w:val="FF0000"/>
          <w:sz w:val="24"/>
          <w:szCs w:val="24"/>
        </w:rPr>
        <w:t xml:space="preserve"> </w:t>
      </w:r>
      <w:r w:rsidRPr="00795D97">
        <w:rPr>
          <w:rFonts w:eastAsia="Calibri" w:cs="Times New Roman"/>
          <w:b/>
          <w:i/>
          <w:sz w:val="24"/>
          <w:szCs w:val="24"/>
        </w:rPr>
        <w:t>služby v oblasti informačno-komunikačných technológií</w:t>
      </w:r>
      <w:r w:rsidRPr="00795D97">
        <w:rPr>
          <w:rFonts w:eastAsia="Calibri" w:cs="Times New Roman"/>
          <w:i/>
          <w:sz w:val="24"/>
          <w:szCs w:val="24"/>
        </w:rPr>
        <w:t xml:space="preserve"> </w:t>
      </w:r>
      <w:r w:rsidRPr="00795D97">
        <w:rPr>
          <w:rFonts w:eastAsia="Calibri" w:cs="Times New Roman"/>
          <w:sz w:val="24"/>
          <w:szCs w:val="24"/>
        </w:rPr>
        <w:t xml:space="preserve">(30 877 tis. eur), kde najvyššiu sumu čerpalo </w:t>
      </w:r>
      <w:r w:rsidRPr="00795D97">
        <w:rPr>
          <w:rFonts w:eastAsia="Calibri" w:cs="Times New Roman"/>
          <w:sz w:val="24"/>
          <w:szCs w:val="24"/>
          <w:u w:val="single"/>
        </w:rPr>
        <w:t>Ministerstvo financií SR</w:t>
      </w:r>
      <w:r w:rsidRPr="00795D97">
        <w:rPr>
          <w:rFonts w:eastAsia="Calibri" w:cs="Times New Roman"/>
          <w:sz w:val="24"/>
          <w:szCs w:val="24"/>
        </w:rPr>
        <w:t xml:space="preserve">, a to 20 200 tis. eur. Ďalšie výdavky boli realizované na podpoložke </w:t>
      </w:r>
      <w:r w:rsidRPr="00795D97">
        <w:rPr>
          <w:rFonts w:eastAsia="Calibri" w:cs="Times New Roman"/>
          <w:b/>
          <w:i/>
          <w:sz w:val="24"/>
          <w:szCs w:val="24"/>
        </w:rPr>
        <w:t>na propagáciu, reklamu a inzerciu</w:t>
      </w:r>
      <w:r w:rsidRPr="00795D97">
        <w:rPr>
          <w:rFonts w:eastAsia="Calibri" w:cs="Times New Roman"/>
          <w:sz w:val="24"/>
          <w:szCs w:val="24"/>
        </w:rPr>
        <w:t xml:space="preserve"> (30 846 tis. eur), </w:t>
      </w:r>
      <w:r w:rsidRPr="00795D97">
        <w:rPr>
          <w:rFonts w:eastAsia="Calibri" w:cs="Times New Roman"/>
          <w:b/>
          <w:i/>
          <w:sz w:val="24"/>
          <w:szCs w:val="24"/>
        </w:rPr>
        <w:t>pokuty a penále</w:t>
      </w:r>
      <w:r w:rsidRPr="00795D97">
        <w:rPr>
          <w:rFonts w:eastAsia="Calibri" w:cs="Times New Roman"/>
          <w:sz w:val="24"/>
          <w:szCs w:val="24"/>
        </w:rPr>
        <w:t xml:space="preserve"> (29 268 tis. eur), </w:t>
      </w:r>
      <w:r w:rsidRPr="00795D97">
        <w:rPr>
          <w:rFonts w:eastAsia="Calibri" w:cs="Times New Roman"/>
          <w:b/>
          <w:i/>
          <w:sz w:val="24"/>
          <w:szCs w:val="24"/>
        </w:rPr>
        <w:t>štúdie, expertízy a posudky</w:t>
      </w:r>
      <w:r w:rsidRPr="00795D97">
        <w:rPr>
          <w:rFonts w:eastAsia="Calibri" w:cs="Times New Roman"/>
          <w:sz w:val="24"/>
          <w:szCs w:val="24"/>
        </w:rPr>
        <w:t xml:space="preserve"> (27 324 tis. eur), n</w:t>
      </w:r>
      <w:r w:rsidRPr="00795D97">
        <w:rPr>
          <w:rFonts w:eastAsia="Times New Roman" w:cs="Times New Roman"/>
          <w:sz w:val="24"/>
          <w:szCs w:val="24"/>
          <w:lang w:eastAsia="sk-SK"/>
        </w:rPr>
        <w:t>a </w:t>
      </w:r>
      <w:r w:rsidRPr="00795D97">
        <w:rPr>
          <w:rFonts w:eastAsia="Times New Roman" w:cs="Times New Roman"/>
          <w:b/>
          <w:i/>
          <w:sz w:val="24"/>
          <w:szCs w:val="24"/>
          <w:lang w:eastAsia="sk-SK"/>
        </w:rPr>
        <w:t xml:space="preserve">školenia, kurzy, semináre, porady a konferencie </w:t>
      </w:r>
      <w:r w:rsidRPr="00795D97">
        <w:rPr>
          <w:rFonts w:eastAsia="Times New Roman" w:cs="Times New Roman"/>
          <w:sz w:val="24"/>
          <w:szCs w:val="24"/>
          <w:lang w:eastAsia="sk-SK"/>
        </w:rPr>
        <w:t xml:space="preserve">(26 703 tis. eur), </w:t>
      </w:r>
      <w:r w:rsidRPr="00795D97">
        <w:rPr>
          <w:rFonts w:eastAsia="Calibri" w:cs="Times New Roman"/>
          <w:sz w:val="24"/>
          <w:szCs w:val="24"/>
        </w:rPr>
        <w:t>na </w:t>
      </w:r>
      <w:r w:rsidRPr="00795D97">
        <w:rPr>
          <w:rFonts w:eastAsia="Calibri" w:cs="Times New Roman"/>
          <w:b/>
          <w:i/>
          <w:sz w:val="24"/>
          <w:szCs w:val="24"/>
        </w:rPr>
        <w:t>stravovanie</w:t>
      </w:r>
      <w:r w:rsidRPr="00795D97">
        <w:rPr>
          <w:rFonts w:eastAsia="Calibri" w:cs="Times New Roman"/>
          <w:sz w:val="24"/>
          <w:szCs w:val="24"/>
        </w:rPr>
        <w:t xml:space="preserve"> zamestnancov podľa platných predpisov (24 805 tis. eur),</w:t>
      </w:r>
      <w:r w:rsidRPr="00795D97">
        <w:rPr>
          <w:rFonts w:eastAsia="Calibri" w:cs="Times New Roman"/>
          <w:b/>
          <w:i/>
          <w:sz w:val="24"/>
          <w:szCs w:val="24"/>
        </w:rPr>
        <w:t xml:space="preserve"> na odmeny a príspevky </w:t>
      </w:r>
      <w:r w:rsidRPr="00795D97">
        <w:rPr>
          <w:rFonts w:eastAsia="Calibri" w:cs="Times New Roman"/>
          <w:sz w:val="24"/>
          <w:szCs w:val="24"/>
        </w:rPr>
        <w:t xml:space="preserve">(22 034 tis. eur) a </w:t>
      </w:r>
      <w:r w:rsidRPr="00795D97">
        <w:rPr>
          <w:rFonts w:eastAsia="Calibri" w:cs="Times New Roman"/>
          <w:b/>
          <w:i/>
          <w:sz w:val="24"/>
          <w:szCs w:val="24"/>
        </w:rPr>
        <w:t>na dane</w:t>
      </w:r>
      <w:r w:rsidRPr="00795D97">
        <w:rPr>
          <w:rFonts w:eastAsia="Calibri" w:cs="Times New Roman"/>
          <w:sz w:val="24"/>
          <w:szCs w:val="24"/>
        </w:rPr>
        <w:t xml:space="preserve"> (15 649 tis. eur). </w:t>
      </w:r>
    </w:p>
    <w:p w14:paraId="22B4B4BF" w14:textId="77777777" w:rsidR="008E112F" w:rsidRPr="008E112F" w:rsidRDefault="008E112F" w:rsidP="00795D97">
      <w:pPr>
        <w:spacing w:line="240" w:lineRule="auto"/>
        <w:rPr>
          <w:rFonts w:eastAsia="Calibri" w:cs="Times New Roman"/>
          <w:sz w:val="24"/>
          <w:szCs w:val="24"/>
        </w:rPr>
      </w:pPr>
      <w:r w:rsidRPr="00795D97">
        <w:rPr>
          <w:rFonts w:eastAsia="Calibri" w:cs="Times New Roman"/>
          <w:sz w:val="24"/>
          <w:szCs w:val="24"/>
        </w:rPr>
        <w:t>Výdavky na</w:t>
      </w:r>
      <w:r w:rsidRPr="00795D97">
        <w:rPr>
          <w:rFonts w:eastAsia="Calibri" w:cs="Times New Roman"/>
          <w:b/>
          <w:sz w:val="24"/>
          <w:szCs w:val="24"/>
        </w:rPr>
        <w:t> materiál</w:t>
      </w:r>
      <w:r w:rsidRPr="00795D97">
        <w:rPr>
          <w:rFonts w:eastAsia="Calibri" w:cs="Times New Roman"/>
          <w:sz w:val="24"/>
          <w:szCs w:val="24"/>
        </w:rPr>
        <w:t xml:space="preserve"> predstavujú druhé najvyššie čerpanie finančných prostriedkov </w:t>
      </w:r>
      <w:r w:rsidRPr="008E112F">
        <w:rPr>
          <w:rFonts w:eastAsia="Calibri" w:cs="Times New Roman"/>
          <w:sz w:val="24"/>
          <w:szCs w:val="24"/>
        </w:rPr>
        <w:t>v rámci tovarov a služieb. Dosiahli sumu 513 125 tis. eur, pričom ide o výdavky, ktoré súvisia priamo s bežnou prevádzkou jednotlivých rozpočtových organizácií, ale aj s poskytovaním určitej formy pomoci napr. pre fyzické osoby.</w:t>
      </w:r>
    </w:p>
    <w:p w14:paraId="0986C986" w14:textId="77777777" w:rsidR="008E112F" w:rsidRPr="008E112F" w:rsidRDefault="008E112F" w:rsidP="00795D97">
      <w:pPr>
        <w:shd w:val="clear" w:color="auto" w:fill="FFFFFF"/>
        <w:spacing w:line="240" w:lineRule="auto"/>
        <w:rPr>
          <w:rFonts w:eastAsia="Calibri" w:cs="Times New Roman"/>
          <w:sz w:val="24"/>
          <w:szCs w:val="24"/>
          <w:lang w:eastAsia="sk-SK"/>
        </w:rPr>
      </w:pPr>
      <w:r w:rsidRPr="008E112F">
        <w:rPr>
          <w:rFonts w:eastAsia="Calibri" w:cs="Times New Roman"/>
          <w:sz w:val="24"/>
          <w:szCs w:val="24"/>
          <w:lang w:eastAsia="sk-SK"/>
        </w:rPr>
        <w:t>Najviac prostriedkov sa vynaložilo na</w:t>
      </w:r>
      <w:r w:rsidRPr="008E112F">
        <w:rPr>
          <w:rFonts w:eastAsia="Calibri" w:cs="Times New Roman"/>
          <w:b/>
          <w:i/>
          <w:sz w:val="24"/>
          <w:szCs w:val="24"/>
          <w:lang w:eastAsia="sk-SK"/>
        </w:rPr>
        <w:t xml:space="preserve"> špeciálny</w:t>
      </w:r>
      <w:r w:rsidRPr="008E112F">
        <w:rPr>
          <w:rFonts w:eastAsia="Calibri" w:cs="Times New Roman"/>
          <w:sz w:val="24"/>
          <w:szCs w:val="24"/>
          <w:lang w:eastAsia="sk-SK"/>
        </w:rPr>
        <w:t xml:space="preserve"> </w:t>
      </w:r>
      <w:r w:rsidRPr="008E112F">
        <w:rPr>
          <w:rFonts w:eastAsia="Calibri" w:cs="Times New Roman"/>
          <w:b/>
          <w:i/>
          <w:sz w:val="24"/>
          <w:szCs w:val="24"/>
          <w:lang w:eastAsia="sk-SK"/>
        </w:rPr>
        <w:t>materiál</w:t>
      </w:r>
      <w:r w:rsidRPr="008E112F">
        <w:rPr>
          <w:rFonts w:eastAsia="Calibri" w:cs="Times New Roman"/>
          <w:sz w:val="24"/>
          <w:szCs w:val="24"/>
          <w:lang w:eastAsia="sk-SK"/>
        </w:rPr>
        <w:t xml:space="preserve"> (159 926 tis. eur). </w:t>
      </w:r>
      <w:r w:rsidRPr="008E112F">
        <w:rPr>
          <w:rFonts w:eastAsia="Calibri" w:cs="Times New Roman"/>
          <w:sz w:val="24"/>
          <w:szCs w:val="24"/>
        </w:rPr>
        <w:t xml:space="preserve">Na tejto podpoložke sa najvýznamnejšie podieľalo </w:t>
      </w:r>
      <w:r w:rsidRPr="008E112F">
        <w:rPr>
          <w:rFonts w:eastAsia="Calibri" w:cs="Times New Roman"/>
          <w:sz w:val="24"/>
          <w:szCs w:val="24"/>
          <w:u w:val="single"/>
        </w:rPr>
        <w:t>Ministerstvo obrany SR</w:t>
      </w:r>
      <w:r w:rsidRPr="008E112F">
        <w:rPr>
          <w:rFonts w:eastAsia="Calibri" w:cs="Times New Roman"/>
          <w:sz w:val="24"/>
          <w:szCs w:val="24"/>
        </w:rPr>
        <w:t xml:space="preserve"> sumou 146 413 tis. eur, ktoré realizovalo úhrady najmä na nákup munície, výzbroje, techniky a náhradných dielov pre letecký výcvik, výcvik pozemných zložiek Ozbrojených síl SR, pre operácie v rámci</w:t>
      </w:r>
      <w:r w:rsidRPr="008E112F">
        <w:rPr>
          <w:rFonts w:eastAsia="Calibri" w:cs="Times New Roman"/>
          <w:sz w:val="24"/>
          <w:szCs w:val="24"/>
          <w:lang w:eastAsia="sk-SK"/>
        </w:rPr>
        <w:t xml:space="preserve"> medzinárodného krízového manažmentu a pre Ukrajinu. </w:t>
      </w:r>
      <w:r w:rsidRPr="008E112F">
        <w:rPr>
          <w:rFonts w:eastAsia="Calibri" w:cs="Times New Roman"/>
          <w:sz w:val="24"/>
          <w:szCs w:val="24"/>
          <w:u w:val="single"/>
          <w:lang w:eastAsia="sk-SK"/>
        </w:rPr>
        <w:t>Ministerstvo vnútra SR</w:t>
      </w:r>
      <w:r w:rsidRPr="008E112F">
        <w:rPr>
          <w:rFonts w:eastAsia="Calibri" w:cs="Times New Roman"/>
          <w:sz w:val="24"/>
          <w:szCs w:val="24"/>
          <w:lang w:eastAsia="sk-SK"/>
        </w:rPr>
        <w:t xml:space="preserve"> čerpalo v rámci tejto podpoložky sumu 12 309 tis. eur najmä na obstaranie osobných dokladov a dokladov k vozidlám (občiansky preukaz, cestovný pas s biometriou, osvedčenie o evidencii vozidla, vodičský preukaz formát EÚ) a na nákup výzbroje a munície.</w:t>
      </w:r>
    </w:p>
    <w:p w14:paraId="47FB482B" w14:textId="77777777" w:rsidR="008E112F" w:rsidRPr="008E112F" w:rsidRDefault="008E112F" w:rsidP="00795D97">
      <w:pPr>
        <w:shd w:val="clear" w:color="auto" w:fill="FFFFFF"/>
        <w:spacing w:line="240" w:lineRule="auto"/>
        <w:rPr>
          <w:rFonts w:eastAsia="Calibri" w:cs="Times New Roman"/>
          <w:sz w:val="24"/>
          <w:szCs w:val="24"/>
          <w:shd w:val="clear" w:color="auto" w:fill="FFFFFF"/>
          <w:lang w:eastAsia="sk-SK"/>
        </w:rPr>
      </w:pPr>
      <w:r w:rsidRPr="008E112F">
        <w:rPr>
          <w:rFonts w:eastAsia="Calibri" w:cs="Times New Roman"/>
          <w:sz w:val="24"/>
          <w:szCs w:val="24"/>
          <w:lang w:eastAsia="sk-SK"/>
        </w:rPr>
        <w:t>Výdavky na </w:t>
      </w:r>
      <w:r w:rsidRPr="008E112F">
        <w:rPr>
          <w:rFonts w:eastAsia="Calibri" w:cs="Times New Roman"/>
          <w:b/>
          <w:i/>
          <w:sz w:val="24"/>
          <w:szCs w:val="24"/>
          <w:lang w:eastAsia="sk-SK"/>
        </w:rPr>
        <w:t xml:space="preserve">všeobecný materiál </w:t>
      </w:r>
      <w:r w:rsidRPr="008E112F">
        <w:rPr>
          <w:rFonts w:eastAsia="Calibri" w:cs="Times New Roman"/>
          <w:sz w:val="24"/>
          <w:szCs w:val="24"/>
          <w:lang w:eastAsia="sk-SK"/>
        </w:rPr>
        <w:t xml:space="preserve">dosiahli skutočné čerpanie 151 693 tis. eur, najmä prostredníctvom Ministerstva zdravotníctva SR (92 750 tis. eur) a Ministerstva vnútra SR (20 396 tis. eur). </w:t>
      </w:r>
      <w:r w:rsidRPr="008E112F">
        <w:rPr>
          <w:rFonts w:eastAsia="Calibri" w:cs="Times New Roman"/>
          <w:sz w:val="24"/>
          <w:szCs w:val="24"/>
          <w:u w:val="single"/>
          <w:lang w:eastAsia="sk-SK"/>
        </w:rPr>
        <w:t>Ministerstvo zdravotníctva SR</w:t>
      </w:r>
      <w:r w:rsidRPr="008E112F">
        <w:rPr>
          <w:rFonts w:eastAsia="Calibri" w:cs="Times New Roman"/>
          <w:sz w:val="24"/>
          <w:szCs w:val="24"/>
          <w:lang w:eastAsia="sk-SK"/>
        </w:rPr>
        <w:t xml:space="preserve"> použilo </w:t>
      </w:r>
      <w:r w:rsidRPr="008E112F">
        <w:rPr>
          <w:rFonts w:eastAsia="Calibri" w:cs="Times New Roman"/>
          <w:sz w:val="24"/>
          <w:szCs w:val="24"/>
          <w:shd w:val="clear" w:color="auto" w:fill="FFFFFF"/>
          <w:lang w:eastAsia="sk-SK"/>
        </w:rPr>
        <w:t>finančné prostriedky najmä na nákup vakcín (</w:t>
      </w:r>
      <w:r w:rsidRPr="008E112F">
        <w:rPr>
          <w:rFonts w:eastAsia="Calibri" w:cs="Times New Roman"/>
          <w:sz w:val="24"/>
          <w:szCs w:val="24"/>
          <w:lang w:eastAsia="sk-SK"/>
        </w:rPr>
        <w:t xml:space="preserve">74 486 tis. eur) a liekov (16 164 tis. eur). Zvyšok tvorili výdavky na hygienické potreby, tonery, kancelárske potreby a iné. </w:t>
      </w:r>
      <w:r w:rsidRPr="008E112F">
        <w:rPr>
          <w:rFonts w:eastAsia="Calibri" w:cs="Times New Roman"/>
          <w:sz w:val="24"/>
          <w:szCs w:val="24"/>
          <w:u w:val="single"/>
          <w:lang w:eastAsia="sk-SK"/>
        </w:rPr>
        <w:t>Ministerstvo vnútra SR</w:t>
      </w:r>
      <w:r w:rsidRPr="008E112F">
        <w:rPr>
          <w:rFonts w:eastAsia="Calibri" w:cs="Times New Roman"/>
          <w:sz w:val="24"/>
          <w:szCs w:val="24"/>
          <w:lang w:eastAsia="sk-SK"/>
        </w:rPr>
        <w:t xml:space="preserve"> čerpalo na podpoložke všeobecný materiál finančné prostriedky</w:t>
      </w:r>
      <w:r w:rsidRPr="008E112F">
        <w:rPr>
          <w:rFonts w:eastAsia="Calibri" w:cs="Times New Roman"/>
          <w:color w:val="FF0000"/>
          <w:sz w:val="24"/>
          <w:szCs w:val="24"/>
          <w:lang w:eastAsia="sk-SK"/>
        </w:rPr>
        <w:t xml:space="preserve"> </w:t>
      </w:r>
      <w:r w:rsidRPr="008E112F">
        <w:rPr>
          <w:rFonts w:eastAsia="Calibri" w:cs="Times New Roman"/>
          <w:sz w:val="24"/>
          <w:szCs w:val="24"/>
          <w:lang w:eastAsia="sk-SK"/>
        </w:rPr>
        <w:t>najmä na nákup tabuliek s evidenčným číslom na dopravné prostriedky, na výpočtovú techniku, na príslušenstvo do tlačiarní, na kancelársky materiál, na materiál na fotografickú, laboratórnu a kriminalistickú techniku a iný materiál, ako napr. krmivo pre zvieratá, lieky a drobný zdravotnícky materiál, tlačivá a tlačoviny, batérie a iné.</w:t>
      </w:r>
      <w:r w:rsidRPr="008E112F">
        <w:rPr>
          <w:rFonts w:eastAsia="Calibri" w:cs="Times New Roman"/>
          <w:sz w:val="24"/>
          <w:szCs w:val="24"/>
          <w:shd w:val="clear" w:color="auto" w:fill="FFFFFF"/>
          <w:lang w:eastAsia="sk-SK"/>
        </w:rPr>
        <w:t> </w:t>
      </w:r>
    </w:p>
    <w:p w14:paraId="0F73FF02" w14:textId="77777777" w:rsidR="008E112F" w:rsidRPr="008E112F" w:rsidRDefault="008E112F" w:rsidP="00795D97">
      <w:pPr>
        <w:spacing w:line="240" w:lineRule="auto"/>
        <w:rPr>
          <w:rFonts w:eastAsia="Calibri" w:cs="Times New Roman"/>
          <w:sz w:val="24"/>
          <w:szCs w:val="24"/>
          <w:lang w:eastAsia="sk-SK"/>
        </w:rPr>
      </w:pPr>
      <w:r w:rsidRPr="008E112F">
        <w:rPr>
          <w:rFonts w:eastAsia="Calibri" w:cs="Times New Roman"/>
          <w:sz w:val="24"/>
          <w:szCs w:val="24"/>
          <w:lang w:eastAsia="sk-SK"/>
        </w:rPr>
        <w:t>Na podpoložke </w:t>
      </w:r>
      <w:r w:rsidRPr="008E112F">
        <w:rPr>
          <w:rFonts w:eastAsia="Calibri" w:cs="Times New Roman"/>
          <w:b/>
          <w:i/>
          <w:sz w:val="24"/>
          <w:szCs w:val="24"/>
          <w:lang w:eastAsia="sk-SK"/>
        </w:rPr>
        <w:t>výpočtová technika</w:t>
      </w:r>
      <w:r w:rsidRPr="008E112F">
        <w:rPr>
          <w:rFonts w:eastAsia="Calibri" w:cs="Times New Roman"/>
          <w:sz w:val="24"/>
          <w:szCs w:val="24"/>
          <w:lang w:eastAsia="sk-SK"/>
        </w:rPr>
        <w:t xml:space="preserve"> predstavovalo skutočné čerpanie 55 833 tis. eur a najvýznamnejšie sa na tom podieľala kapitola </w:t>
      </w:r>
      <w:r w:rsidRPr="008E112F">
        <w:rPr>
          <w:rFonts w:eastAsia="Calibri" w:cs="Times New Roman"/>
          <w:sz w:val="24"/>
          <w:szCs w:val="24"/>
          <w:u w:val="single"/>
        </w:rPr>
        <w:t>Ministerstvo školstva, vedy, výskumu a športu SR</w:t>
      </w:r>
      <w:r w:rsidRPr="008E112F">
        <w:rPr>
          <w:rFonts w:eastAsia="Calibri" w:cs="Times New Roman"/>
          <w:sz w:val="24"/>
          <w:szCs w:val="24"/>
          <w:lang w:eastAsia="sk-SK"/>
        </w:rPr>
        <w:t xml:space="preserve">, a to sumou 33 201 tis. eur. Výdavky boli realizované najmä v rámci implementácie </w:t>
      </w:r>
      <w:r w:rsidRPr="008E112F">
        <w:rPr>
          <w:rFonts w:eastAsia="Calibri" w:cs="Times New Roman"/>
          <w:sz w:val="24"/>
          <w:szCs w:val="24"/>
          <w:lang w:eastAsia="sk-SK"/>
        </w:rPr>
        <w:lastRenderedPageBreak/>
        <w:t>národných projektov edIT1(16 288 tis. eur) a  edIT2 (11 505 tis. eur) na koordinovanú digitálnu transformáciu škôl, zlepšenie ich technologickej pripravenosti a sanáciu rizikových skupín ohrozených školským neúspechom.</w:t>
      </w:r>
    </w:p>
    <w:p w14:paraId="700A9F4E" w14:textId="77777777" w:rsidR="008E112F" w:rsidRPr="008E112F" w:rsidRDefault="008E112F" w:rsidP="00795D97">
      <w:pPr>
        <w:spacing w:line="240" w:lineRule="auto"/>
        <w:rPr>
          <w:rFonts w:eastAsia="Calibri" w:cs="Times New Roman"/>
          <w:sz w:val="24"/>
          <w:szCs w:val="24"/>
        </w:rPr>
      </w:pPr>
      <w:r w:rsidRPr="008E112F">
        <w:rPr>
          <w:rFonts w:eastAsia="Calibri" w:cs="Times New Roman"/>
          <w:sz w:val="24"/>
          <w:szCs w:val="24"/>
        </w:rPr>
        <w:t>V rámci výdavkov na materiál boli významne čerpané finančné prostriedky na </w:t>
      </w:r>
      <w:r w:rsidRPr="008E112F">
        <w:rPr>
          <w:rFonts w:eastAsia="Calibri" w:cs="Times New Roman"/>
          <w:b/>
          <w:i/>
          <w:sz w:val="24"/>
          <w:szCs w:val="24"/>
        </w:rPr>
        <w:t>potraviny</w:t>
      </w:r>
      <w:r w:rsidRPr="008E112F">
        <w:rPr>
          <w:rFonts w:eastAsia="Calibri" w:cs="Times New Roman"/>
          <w:sz w:val="24"/>
          <w:szCs w:val="24"/>
        </w:rPr>
        <w:t xml:space="preserve"> (45 231 tis. eur),</w:t>
      </w:r>
      <w:r w:rsidRPr="008E112F">
        <w:rPr>
          <w:rFonts w:eastAsia="Calibri" w:cs="Times New Roman"/>
          <w:color w:val="FF0000"/>
          <w:sz w:val="24"/>
          <w:szCs w:val="24"/>
        </w:rPr>
        <w:t xml:space="preserve"> </w:t>
      </w:r>
      <w:r w:rsidRPr="008E112F">
        <w:rPr>
          <w:rFonts w:eastAsia="Calibri" w:cs="Times New Roman"/>
          <w:sz w:val="24"/>
          <w:szCs w:val="24"/>
        </w:rPr>
        <w:t xml:space="preserve">na </w:t>
      </w:r>
      <w:r w:rsidRPr="008E112F">
        <w:rPr>
          <w:rFonts w:eastAsia="Calibri" w:cs="Times New Roman"/>
          <w:b/>
          <w:i/>
          <w:sz w:val="24"/>
          <w:szCs w:val="24"/>
        </w:rPr>
        <w:t>pracovné odevy a pracovné pomôcky</w:t>
      </w:r>
      <w:r w:rsidRPr="008E112F">
        <w:rPr>
          <w:rFonts w:eastAsia="Calibri" w:cs="Times New Roman"/>
          <w:sz w:val="24"/>
          <w:szCs w:val="24"/>
        </w:rPr>
        <w:t xml:space="preserve"> (42 297 tis. eur), špeciálne stroje, prístroje, zariadenia, technika a náradie (16 281 tis. eur) a na </w:t>
      </w:r>
      <w:r w:rsidRPr="008E112F">
        <w:rPr>
          <w:rFonts w:eastAsia="Calibri" w:cs="Times New Roman"/>
          <w:b/>
          <w:i/>
          <w:sz w:val="24"/>
          <w:szCs w:val="24"/>
        </w:rPr>
        <w:t xml:space="preserve">interiérové vybavenie </w:t>
      </w:r>
      <w:r w:rsidRPr="008E112F">
        <w:rPr>
          <w:rFonts w:eastAsia="Calibri" w:cs="Times New Roman"/>
          <w:sz w:val="24"/>
          <w:szCs w:val="24"/>
        </w:rPr>
        <w:t>(11 940 tis. eur).</w:t>
      </w:r>
    </w:p>
    <w:p w14:paraId="628E5A49" w14:textId="77777777" w:rsidR="008E112F" w:rsidRPr="008E112F" w:rsidRDefault="008E112F" w:rsidP="00795D97">
      <w:pPr>
        <w:spacing w:line="240" w:lineRule="auto"/>
        <w:rPr>
          <w:rFonts w:eastAsia="Calibri" w:cs="Times New Roman"/>
          <w:sz w:val="24"/>
          <w:szCs w:val="24"/>
        </w:rPr>
      </w:pPr>
      <w:r w:rsidRPr="008E112F">
        <w:rPr>
          <w:rFonts w:eastAsia="Calibri" w:cs="Times New Roman"/>
          <w:b/>
          <w:sz w:val="24"/>
          <w:szCs w:val="24"/>
        </w:rPr>
        <w:t>Rutinná a štandardná údržba</w:t>
      </w:r>
      <w:r w:rsidRPr="008E112F">
        <w:rPr>
          <w:rFonts w:eastAsia="Calibri" w:cs="Times New Roman"/>
          <w:color w:val="FF0000"/>
          <w:sz w:val="24"/>
          <w:szCs w:val="24"/>
        </w:rPr>
        <w:t xml:space="preserve"> </w:t>
      </w:r>
      <w:r w:rsidRPr="008E112F">
        <w:rPr>
          <w:rFonts w:eastAsia="Calibri" w:cs="Times New Roman"/>
          <w:sz w:val="24"/>
          <w:szCs w:val="24"/>
        </w:rPr>
        <w:t>predstavovala výdavky v sume 431 502 tis. eur. Išlo najmä o dodávateľsky obstarávané práce a výkony, ktorými sa zabezpečuje bežná prevádzka majetku, napr. budov, prevádzkového zariadenia, kancelárskeho vybavenia, softvéru a pod.</w:t>
      </w:r>
      <w:r w:rsidRPr="008E112F">
        <w:rPr>
          <w:rFonts w:eastAsia="Calibri" w:cs="Times New Roman"/>
          <w:color w:val="FF0000"/>
          <w:sz w:val="24"/>
          <w:szCs w:val="24"/>
        </w:rPr>
        <w:t xml:space="preserve"> </w:t>
      </w:r>
      <w:r w:rsidRPr="008E112F">
        <w:rPr>
          <w:rFonts w:eastAsia="Calibri" w:cs="Times New Roman"/>
          <w:sz w:val="24"/>
          <w:szCs w:val="24"/>
        </w:rPr>
        <w:t xml:space="preserve">Objemovo najväčšie čerpanie si vyžiadala údržba </w:t>
      </w:r>
      <w:r w:rsidRPr="008E112F">
        <w:rPr>
          <w:rFonts w:eastAsia="Calibri" w:cs="Times New Roman"/>
          <w:b/>
          <w:i/>
          <w:sz w:val="24"/>
          <w:szCs w:val="24"/>
        </w:rPr>
        <w:t>budov, objektov alebo ich častí</w:t>
      </w:r>
      <w:r w:rsidRPr="008E112F">
        <w:rPr>
          <w:rFonts w:eastAsia="Calibri" w:cs="Times New Roman"/>
          <w:color w:val="FF0000"/>
          <w:sz w:val="24"/>
          <w:szCs w:val="24"/>
        </w:rPr>
        <w:t xml:space="preserve"> </w:t>
      </w:r>
      <w:r w:rsidRPr="008E112F">
        <w:rPr>
          <w:rFonts w:eastAsia="Calibri" w:cs="Times New Roman"/>
          <w:sz w:val="24"/>
          <w:szCs w:val="24"/>
        </w:rPr>
        <w:t xml:space="preserve">(143 015 tis. eur), údržba </w:t>
      </w:r>
      <w:r w:rsidRPr="008E112F">
        <w:rPr>
          <w:rFonts w:eastAsia="Calibri" w:cs="Times New Roman"/>
          <w:b/>
          <w:i/>
          <w:sz w:val="24"/>
          <w:szCs w:val="24"/>
        </w:rPr>
        <w:t>unikátneho</w:t>
      </w:r>
      <w:r w:rsidRPr="008E112F">
        <w:rPr>
          <w:rFonts w:eastAsia="Calibri" w:cs="Times New Roman"/>
          <w:sz w:val="24"/>
          <w:szCs w:val="24"/>
        </w:rPr>
        <w:t xml:space="preserve"> </w:t>
      </w:r>
      <w:r w:rsidRPr="008E112F">
        <w:rPr>
          <w:rFonts w:eastAsia="Calibri" w:cs="Times New Roman"/>
          <w:b/>
          <w:i/>
          <w:sz w:val="24"/>
          <w:szCs w:val="24"/>
        </w:rPr>
        <w:t>softvéru</w:t>
      </w:r>
      <w:r w:rsidRPr="008E112F">
        <w:rPr>
          <w:rFonts w:eastAsia="Calibri" w:cs="Times New Roman"/>
          <w:sz w:val="24"/>
          <w:szCs w:val="24"/>
        </w:rPr>
        <w:t xml:space="preserve"> (137 496 tis. eur),</w:t>
      </w:r>
      <w:r w:rsidRPr="008E112F">
        <w:rPr>
          <w:rFonts w:eastAsia="Calibri" w:cs="Times New Roman"/>
          <w:color w:val="FF0000"/>
          <w:sz w:val="24"/>
          <w:szCs w:val="24"/>
        </w:rPr>
        <w:t xml:space="preserve"> </w:t>
      </w:r>
      <w:r w:rsidRPr="008E112F">
        <w:rPr>
          <w:rFonts w:eastAsia="Calibri" w:cs="Times New Roman"/>
          <w:b/>
          <w:i/>
          <w:sz w:val="24"/>
          <w:szCs w:val="24"/>
        </w:rPr>
        <w:t>komunikačnej infraštruktúry</w:t>
      </w:r>
      <w:r w:rsidRPr="008E112F">
        <w:rPr>
          <w:rFonts w:eastAsia="Calibri" w:cs="Times New Roman"/>
          <w:sz w:val="24"/>
          <w:szCs w:val="24"/>
        </w:rPr>
        <w:t xml:space="preserve"> (48 752 tis. eur),</w:t>
      </w:r>
      <w:r w:rsidRPr="008E112F">
        <w:rPr>
          <w:rFonts w:eastAsia="Calibri" w:cs="Times New Roman"/>
          <w:color w:val="FF0000"/>
          <w:sz w:val="24"/>
          <w:szCs w:val="24"/>
        </w:rPr>
        <w:t xml:space="preserve"> </w:t>
      </w:r>
      <w:r w:rsidRPr="008E112F">
        <w:rPr>
          <w:rFonts w:eastAsia="Calibri" w:cs="Times New Roman"/>
          <w:sz w:val="24"/>
          <w:szCs w:val="24"/>
        </w:rPr>
        <w:t xml:space="preserve">údržba </w:t>
      </w:r>
      <w:r w:rsidRPr="008E112F">
        <w:rPr>
          <w:rFonts w:eastAsia="Calibri" w:cs="Times New Roman"/>
          <w:b/>
          <w:i/>
          <w:sz w:val="24"/>
          <w:szCs w:val="24"/>
        </w:rPr>
        <w:t>špeciálnych strojov, prístrojov, zariadení</w:t>
      </w:r>
      <w:r w:rsidRPr="008E112F">
        <w:rPr>
          <w:rFonts w:eastAsia="Calibri" w:cs="Times New Roman"/>
          <w:sz w:val="24"/>
          <w:szCs w:val="24"/>
        </w:rPr>
        <w:t xml:space="preserve"> </w:t>
      </w:r>
      <w:r w:rsidRPr="008E112F">
        <w:rPr>
          <w:rFonts w:eastAsia="Calibri" w:cs="Times New Roman"/>
          <w:b/>
          <w:i/>
          <w:sz w:val="24"/>
          <w:szCs w:val="24"/>
        </w:rPr>
        <w:t xml:space="preserve">a techniky </w:t>
      </w:r>
      <w:r w:rsidRPr="008E112F">
        <w:rPr>
          <w:rFonts w:eastAsia="Calibri" w:cs="Times New Roman"/>
          <w:sz w:val="24"/>
          <w:szCs w:val="24"/>
        </w:rPr>
        <w:t xml:space="preserve">(41 674 tis. eur), údržba </w:t>
      </w:r>
      <w:r w:rsidRPr="008E112F">
        <w:rPr>
          <w:rFonts w:eastAsia="Calibri" w:cs="Times New Roman"/>
          <w:b/>
          <w:i/>
          <w:sz w:val="24"/>
          <w:szCs w:val="24"/>
        </w:rPr>
        <w:t>prevádzkových strojov, prístrojov, zariadení</w:t>
      </w:r>
      <w:r w:rsidRPr="008E112F">
        <w:rPr>
          <w:rFonts w:eastAsia="Calibri" w:cs="Times New Roman"/>
          <w:sz w:val="24"/>
          <w:szCs w:val="24"/>
        </w:rPr>
        <w:t xml:space="preserve"> </w:t>
      </w:r>
      <w:r w:rsidRPr="008E112F">
        <w:rPr>
          <w:rFonts w:eastAsia="Calibri" w:cs="Times New Roman"/>
          <w:b/>
          <w:i/>
          <w:sz w:val="24"/>
          <w:szCs w:val="24"/>
          <w:shd w:val="clear" w:color="auto" w:fill="FFFFFF"/>
        </w:rPr>
        <w:t>techniky a náradia</w:t>
      </w:r>
      <w:r w:rsidRPr="008E112F">
        <w:rPr>
          <w:rFonts w:eastAsia="Calibri" w:cs="Times New Roman"/>
          <w:sz w:val="24"/>
          <w:szCs w:val="24"/>
        </w:rPr>
        <w:t xml:space="preserve"> (23 267 tis. eur), ďalej </w:t>
      </w:r>
      <w:r w:rsidRPr="008E112F">
        <w:rPr>
          <w:rFonts w:eastAsia="Calibri" w:cs="Times New Roman"/>
          <w:b/>
          <w:i/>
          <w:sz w:val="24"/>
          <w:szCs w:val="24"/>
        </w:rPr>
        <w:t xml:space="preserve">špecializovaného konfigurovateľného softvéru a krabicového softvéru </w:t>
      </w:r>
      <w:r w:rsidRPr="008E112F">
        <w:rPr>
          <w:rFonts w:eastAsia="Calibri" w:cs="Times New Roman"/>
          <w:sz w:val="24"/>
          <w:szCs w:val="24"/>
        </w:rPr>
        <w:t xml:space="preserve">(14 847 tis. eur), </w:t>
      </w:r>
      <w:r w:rsidRPr="008E112F">
        <w:rPr>
          <w:rFonts w:eastAsia="Calibri" w:cs="Times New Roman"/>
          <w:b/>
          <w:i/>
          <w:sz w:val="24"/>
          <w:szCs w:val="24"/>
        </w:rPr>
        <w:t>výpočtovej techniky</w:t>
      </w:r>
      <w:r w:rsidRPr="008E112F">
        <w:rPr>
          <w:rFonts w:eastAsia="Calibri" w:cs="Times New Roman"/>
          <w:sz w:val="24"/>
          <w:szCs w:val="24"/>
        </w:rPr>
        <w:t xml:space="preserve"> (12 241 tis. eur) a </w:t>
      </w:r>
      <w:r w:rsidRPr="008E112F">
        <w:rPr>
          <w:rFonts w:eastAsia="Calibri" w:cs="Times New Roman"/>
          <w:b/>
          <w:i/>
          <w:sz w:val="24"/>
          <w:szCs w:val="24"/>
        </w:rPr>
        <w:t xml:space="preserve">telekomunikačnej techniky </w:t>
      </w:r>
      <w:r w:rsidRPr="008E112F">
        <w:rPr>
          <w:rFonts w:eastAsia="Calibri" w:cs="Times New Roman"/>
          <w:sz w:val="24"/>
          <w:szCs w:val="24"/>
        </w:rPr>
        <w:t>(9 594 tis. eur).</w:t>
      </w:r>
    </w:p>
    <w:p w14:paraId="0A2A928A" w14:textId="77777777" w:rsidR="008E112F" w:rsidRPr="008E112F" w:rsidRDefault="008E112F" w:rsidP="00795D97">
      <w:pPr>
        <w:spacing w:line="240" w:lineRule="auto"/>
        <w:rPr>
          <w:rFonts w:eastAsia="Calibri" w:cs="Times New Roman"/>
          <w:sz w:val="24"/>
          <w:szCs w:val="24"/>
        </w:rPr>
      </w:pPr>
      <w:r w:rsidRPr="008E112F">
        <w:rPr>
          <w:rFonts w:eastAsia="Calibri" w:cs="Times New Roman"/>
          <w:sz w:val="24"/>
          <w:szCs w:val="24"/>
        </w:rPr>
        <w:t xml:space="preserve">Najvyšší objem finančných prostriedkov v rámci položky rutinná a štandardná údržba bol dosiahnutý na podpoložke údržba </w:t>
      </w:r>
      <w:r w:rsidRPr="008E112F">
        <w:rPr>
          <w:rFonts w:eastAsia="Calibri" w:cs="Times New Roman"/>
          <w:b/>
          <w:i/>
          <w:sz w:val="24"/>
          <w:szCs w:val="24"/>
        </w:rPr>
        <w:t>budov a objektov alebo ich častí</w:t>
      </w:r>
      <w:r w:rsidRPr="008E112F">
        <w:rPr>
          <w:rFonts w:eastAsia="Calibri" w:cs="Times New Roman"/>
          <w:sz w:val="24"/>
          <w:szCs w:val="24"/>
        </w:rPr>
        <w:t xml:space="preserve"> v celkovej sume 143 015 tis. eur. Na týchto výdavkoch sa</w:t>
      </w:r>
      <w:r w:rsidRPr="008E112F">
        <w:rPr>
          <w:rFonts w:eastAsia="Calibri" w:cs="Times New Roman"/>
          <w:color w:val="FF0000"/>
          <w:sz w:val="24"/>
          <w:szCs w:val="24"/>
        </w:rPr>
        <w:t xml:space="preserve"> </w:t>
      </w:r>
      <w:r w:rsidRPr="008E112F">
        <w:rPr>
          <w:rFonts w:eastAsia="Calibri" w:cs="Times New Roman"/>
          <w:sz w:val="24"/>
          <w:szCs w:val="24"/>
        </w:rPr>
        <w:t xml:space="preserve">najvýznamnejšie podieľala kapitola </w:t>
      </w:r>
      <w:r w:rsidRPr="008E112F">
        <w:rPr>
          <w:rFonts w:eastAsia="Calibri" w:cs="Times New Roman"/>
          <w:sz w:val="24"/>
          <w:szCs w:val="24"/>
          <w:u w:val="single"/>
        </w:rPr>
        <w:t>Ministerstva dopravy SR</w:t>
      </w:r>
      <w:r w:rsidRPr="008E112F">
        <w:rPr>
          <w:rFonts w:eastAsia="Calibri" w:cs="Times New Roman"/>
          <w:sz w:val="24"/>
          <w:szCs w:val="24"/>
        </w:rPr>
        <w:t xml:space="preserve"> sumou 83 455 tis eur, najmä na zabezpečenie bežnej a zimnej údržby a opravy úsekov ciest I. triedy.</w:t>
      </w:r>
      <w:r w:rsidRPr="008E112F">
        <w:rPr>
          <w:rFonts w:eastAsia="Calibri" w:cs="Times New Roman"/>
          <w:color w:val="FF0000"/>
          <w:sz w:val="24"/>
          <w:szCs w:val="24"/>
        </w:rPr>
        <w:t xml:space="preserve"> </w:t>
      </w:r>
      <w:r w:rsidRPr="008E112F">
        <w:rPr>
          <w:rFonts w:eastAsia="Calibri" w:cs="Times New Roman"/>
          <w:sz w:val="24"/>
          <w:szCs w:val="24"/>
        </w:rPr>
        <w:t xml:space="preserve">Ďalej sa na tejto podpoložke významne podieľalo aj </w:t>
      </w:r>
      <w:r w:rsidRPr="008E112F">
        <w:rPr>
          <w:rFonts w:eastAsia="Calibri" w:cs="Times New Roman"/>
          <w:sz w:val="24"/>
          <w:szCs w:val="24"/>
          <w:u w:val="single"/>
        </w:rPr>
        <w:t>Ministerstvo obrany SR</w:t>
      </w:r>
      <w:r w:rsidRPr="008E112F">
        <w:rPr>
          <w:rFonts w:eastAsia="Calibri" w:cs="Times New Roman"/>
          <w:sz w:val="24"/>
          <w:szCs w:val="24"/>
        </w:rPr>
        <w:t xml:space="preserve"> sumou</w:t>
      </w:r>
      <w:r w:rsidRPr="008E112F">
        <w:rPr>
          <w:rFonts w:eastAsia="Calibri" w:cs="Times New Roman"/>
          <w:b/>
          <w:sz w:val="24"/>
          <w:szCs w:val="24"/>
        </w:rPr>
        <w:t xml:space="preserve"> </w:t>
      </w:r>
      <w:r w:rsidRPr="008E112F">
        <w:rPr>
          <w:rFonts w:eastAsia="Calibri" w:cs="Times New Roman"/>
          <w:sz w:val="24"/>
          <w:szCs w:val="24"/>
        </w:rPr>
        <w:t>28 185 tis. eur a </w:t>
      </w:r>
      <w:r w:rsidRPr="008E112F">
        <w:rPr>
          <w:rFonts w:eastAsia="Calibri" w:cs="Times New Roman"/>
          <w:sz w:val="24"/>
          <w:szCs w:val="24"/>
          <w:u w:val="single"/>
        </w:rPr>
        <w:t>Ministerstvo vnútra SR</w:t>
      </w:r>
      <w:r w:rsidRPr="008E112F">
        <w:rPr>
          <w:rFonts w:eastAsia="Calibri" w:cs="Times New Roman"/>
          <w:sz w:val="24"/>
          <w:szCs w:val="24"/>
        </w:rPr>
        <w:t xml:space="preserve"> sumou 13 549 tis. eur., ktoré ich</w:t>
      </w:r>
      <w:r w:rsidRPr="008E112F">
        <w:rPr>
          <w:rFonts w:eastAsia="Calibri" w:cs="Times New Roman"/>
          <w:b/>
          <w:bCs/>
          <w:sz w:val="24"/>
          <w:szCs w:val="24"/>
        </w:rPr>
        <w:t xml:space="preserve"> </w:t>
      </w:r>
      <w:r w:rsidRPr="008E112F">
        <w:rPr>
          <w:rFonts w:eastAsia="Calibri" w:cs="Times New Roman"/>
          <w:bCs/>
          <w:sz w:val="24"/>
          <w:szCs w:val="24"/>
        </w:rPr>
        <w:t>p</w:t>
      </w:r>
      <w:r w:rsidRPr="008E112F">
        <w:rPr>
          <w:rFonts w:eastAsia="Calibri" w:cs="Times New Roman"/>
          <w:sz w:val="24"/>
          <w:szCs w:val="24"/>
        </w:rPr>
        <w:t>oužilo na úhradu výdavkov za práce a služby, ktorými sa zabezpečuje bežná prevádzka majetku, stavebné práce, údržba a opravy.</w:t>
      </w:r>
    </w:p>
    <w:p w14:paraId="1E4480D1" w14:textId="77777777" w:rsidR="008E112F" w:rsidRPr="008E112F" w:rsidRDefault="008E112F" w:rsidP="00795D97">
      <w:pPr>
        <w:spacing w:line="240" w:lineRule="auto"/>
        <w:rPr>
          <w:rFonts w:eastAsia="Calibri" w:cs="Times New Roman"/>
          <w:sz w:val="24"/>
          <w:szCs w:val="24"/>
        </w:rPr>
      </w:pPr>
      <w:r w:rsidRPr="008E112F">
        <w:rPr>
          <w:rFonts w:eastAsia="Calibri" w:cs="Times New Roman"/>
          <w:sz w:val="24"/>
          <w:szCs w:val="24"/>
        </w:rPr>
        <w:t xml:space="preserve">Ďalšie významné výdavky boli na údržbu </w:t>
      </w:r>
      <w:r w:rsidRPr="008E112F">
        <w:rPr>
          <w:rFonts w:eastAsia="Calibri" w:cs="Times New Roman"/>
          <w:b/>
          <w:i/>
          <w:sz w:val="24"/>
          <w:szCs w:val="24"/>
        </w:rPr>
        <w:t>unikátneho softvéru,</w:t>
      </w:r>
      <w:r w:rsidRPr="008E112F">
        <w:rPr>
          <w:rFonts w:eastAsia="Calibri" w:cs="Times New Roman"/>
          <w:color w:val="FF0000"/>
          <w:sz w:val="24"/>
          <w:szCs w:val="24"/>
        </w:rPr>
        <w:t xml:space="preserve"> </w:t>
      </w:r>
      <w:r w:rsidRPr="008E112F">
        <w:rPr>
          <w:rFonts w:eastAsia="Calibri" w:cs="Times New Roman"/>
          <w:sz w:val="24"/>
          <w:szCs w:val="24"/>
        </w:rPr>
        <w:t xml:space="preserve">čerpané v celkovej hodnote 137 496 tis. eur. Najvyššie čerpanie v rámci tejto podpoložky dosiahlo </w:t>
      </w:r>
      <w:r w:rsidRPr="008E112F">
        <w:rPr>
          <w:rFonts w:eastAsia="Calibri" w:cs="Times New Roman"/>
          <w:sz w:val="24"/>
          <w:szCs w:val="24"/>
          <w:u w:val="single"/>
        </w:rPr>
        <w:t>Ministerstvo financií SR</w:t>
      </w:r>
      <w:r w:rsidRPr="008E112F">
        <w:rPr>
          <w:rFonts w:eastAsia="Calibri" w:cs="Times New Roman"/>
          <w:sz w:val="24"/>
          <w:szCs w:val="24"/>
        </w:rPr>
        <w:t xml:space="preserve"> v sume 45 298 tis. eur, najmä na podpornú infraštruktúru pre informačné systémy riadenia verejných financií (9 182 tis. eur), Informačný systém pre systém štátnej pokladnice (7 595 tis. eur), Centrálne licenčné zmluvné vzťahy (7 217 tis. eur) a ďalšie.</w:t>
      </w:r>
    </w:p>
    <w:p w14:paraId="450E8CBF" w14:textId="77777777" w:rsidR="008E112F" w:rsidRPr="008E112F" w:rsidRDefault="008E112F" w:rsidP="00795D97">
      <w:pPr>
        <w:spacing w:line="240" w:lineRule="auto"/>
        <w:rPr>
          <w:rFonts w:eastAsia="Calibri" w:cs="Times New Roman"/>
          <w:sz w:val="24"/>
          <w:szCs w:val="24"/>
        </w:rPr>
      </w:pPr>
      <w:r w:rsidRPr="008E112F">
        <w:rPr>
          <w:rFonts w:eastAsia="Calibri" w:cs="Times New Roman"/>
          <w:sz w:val="24"/>
          <w:szCs w:val="24"/>
        </w:rPr>
        <w:t xml:space="preserve">Tretie najvýznamnejšie čerpanie finančných prostriedkov v rámci rutinnej a štandardnej údržby bolo realizovaných na údržbu </w:t>
      </w:r>
      <w:r w:rsidRPr="008E112F">
        <w:rPr>
          <w:rFonts w:eastAsia="Calibri" w:cs="Times New Roman"/>
          <w:b/>
          <w:i/>
          <w:sz w:val="24"/>
          <w:szCs w:val="24"/>
        </w:rPr>
        <w:t>komunikačnej infraštruktúry</w:t>
      </w:r>
      <w:r w:rsidRPr="008E112F">
        <w:rPr>
          <w:rFonts w:eastAsia="Calibri" w:cs="Times New Roman"/>
          <w:sz w:val="24"/>
          <w:szCs w:val="24"/>
        </w:rPr>
        <w:t xml:space="preserve"> (48 752 tis. eur), ktorú tvoria napríklad poplatky za užívanie rezortných a medzinárodných spojovacích sietí, elektronický prenos dát, prístup k internetu, poplatok za vydanie kvalifikovaného certifikátu pre elektronický podpis a podobne.</w:t>
      </w:r>
    </w:p>
    <w:p w14:paraId="5A3A456A" w14:textId="77777777" w:rsidR="008E112F" w:rsidRPr="008E112F" w:rsidRDefault="008E112F" w:rsidP="00795D97">
      <w:pPr>
        <w:spacing w:line="240" w:lineRule="auto"/>
        <w:rPr>
          <w:rFonts w:eastAsia="Calibri" w:cs="Times New Roman"/>
          <w:sz w:val="24"/>
          <w:szCs w:val="24"/>
        </w:rPr>
      </w:pPr>
      <w:r w:rsidRPr="008E112F">
        <w:rPr>
          <w:rFonts w:eastAsia="Calibri" w:cs="Times New Roman"/>
          <w:sz w:val="24"/>
          <w:szCs w:val="24"/>
        </w:rPr>
        <w:t>Ďalej boli realizované výdavky na údržbu</w:t>
      </w:r>
      <w:r w:rsidRPr="008E112F">
        <w:rPr>
          <w:rFonts w:eastAsia="Calibri" w:cs="Times New Roman"/>
          <w:b/>
          <w:i/>
          <w:sz w:val="24"/>
          <w:szCs w:val="24"/>
        </w:rPr>
        <w:t xml:space="preserve"> špeciálnych strojov, prístrojov, zariadení a techniky </w:t>
      </w:r>
      <w:r w:rsidRPr="008E112F">
        <w:rPr>
          <w:rFonts w:eastAsia="Calibri" w:cs="Times New Roman"/>
          <w:sz w:val="24"/>
          <w:szCs w:val="24"/>
        </w:rPr>
        <w:t xml:space="preserve">(41 797 tis. eur), v rámci ktorých čerpalo najmä </w:t>
      </w:r>
      <w:r w:rsidRPr="008E112F">
        <w:rPr>
          <w:rFonts w:eastAsia="Calibri" w:cs="Times New Roman"/>
          <w:sz w:val="24"/>
          <w:szCs w:val="24"/>
          <w:u w:val="single"/>
        </w:rPr>
        <w:t>Ministerstvo obrany SR</w:t>
      </w:r>
      <w:r w:rsidRPr="008E112F">
        <w:rPr>
          <w:rFonts w:eastAsia="Calibri" w:cs="Times New Roman"/>
          <w:sz w:val="24"/>
          <w:szCs w:val="24"/>
        </w:rPr>
        <w:t>, a to 27 315 tis. eur</w:t>
      </w:r>
      <w:r w:rsidRPr="008E112F">
        <w:rPr>
          <w:rFonts w:eastAsia="Calibri" w:cs="Times New Roman"/>
          <w:color w:val="FF0000"/>
          <w:sz w:val="24"/>
          <w:szCs w:val="24"/>
        </w:rPr>
        <w:t xml:space="preserve"> </w:t>
      </w:r>
      <w:r w:rsidRPr="008E112F">
        <w:rPr>
          <w:rFonts w:eastAsia="Calibri" w:cs="Times New Roman"/>
          <w:sz w:val="24"/>
          <w:szCs w:val="24"/>
        </w:rPr>
        <w:t>prevažne na údržbu pozemnej a leteckej techniky ozbrojených síl SR a </w:t>
      </w:r>
      <w:r w:rsidRPr="008E112F">
        <w:rPr>
          <w:rFonts w:eastAsia="Calibri" w:cs="Times New Roman"/>
          <w:sz w:val="24"/>
          <w:szCs w:val="24"/>
          <w:u w:val="single"/>
        </w:rPr>
        <w:t>Ministerstvo vnútra SR</w:t>
      </w:r>
      <w:r w:rsidRPr="008E112F">
        <w:rPr>
          <w:rFonts w:eastAsia="Calibri" w:cs="Times New Roman"/>
          <w:sz w:val="24"/>
          <w:szCs w:val="24"/>
        </w:rPr>
        <w:t xml:space="preserve"> v sume 12 152 tis. eur. Ďalšie výdavky boli na údržbu </w:t>
      </w:r>
      <w:r w:rsidRPr="008E112F">
        <w:rPr>
          <w:rFonts w:eastAsia="Calibri" w:cs="Times New Roman"/>
          <w:b/>
          <w:i/>
          <w:sz w:val="24"/>
          <w:szCs w:val="24"/>
        </w:rPr>
        <w:t>prevádzkových strojov, prístrojov, zariadení, techniky a náradia</w:t>
      </w:r>
      <w:r w:rsidRPr="008E112F">
        <w:rPr>
          <w:rFonts w:eastAsia="Calibri" w:cs="Times New Roman"/>
          <w:sz w:val="24"/>
          <w:szCs w:val="24"/>
        </w:rPr>
        <w:t xml:space="preserve"> (23 267 tis. eur) a na údržbu </w:t>
      </w:r>
      <w:r w:rsidRPr="008E112F">
        <w:rPr>
          <w:rFonts w:eastAsia="Calibri" w:cs="Times New Roman"/>
          <w:b/>
          <w:i/>
          <w:sz w:val="24"/>
          <w:szCs w:val="24"/>
        </w:rPr>
        <w:t>špecializovaného konfigurovaného softvéru a krabicového softvéru</w:t>
      </w:r>
      <w:r w:rsidRPr="008E112F">
        <w:rPr>
          <w:rFonts w:eastAsia="Calibri" w:cs="Times New Roman"/>
          <w:sz w:val="24"/>
          <w:szCs w:val="24"/>
        </w:rPr>
        <w:t xml:space="preserve"> (14 847 tis. eur), na údržbu výpočtovej techniky (12 241 tis. eur).</w:t>
      </w:r>
    </w:p>
    <w:p w14:paraId="0885DF09" w14:textId="04E59F07" w:rsidR="008E112F" w:rsidRPr="008E112F" w:rsidRDefault="008E112F" w:rsidP="00795D97">
      <w:pPr>
        <w:suppressAutoHyphens/>
        <w:spacing w:line="240" w:lineRule="auto"/>
        <w:rPr>
          <w:rFonts w:eastAsia="Calibri" w:cs="Times New Roman"/>
          <w:sz w:val="24"/>
          <w:szCs w:val="24"/>
        </w:rPr>
      </w:pPr>
      <w:r w:rsidRPr="008E112F">
        <w:rPr>
          <w:rFonts w:eastAsia="Calibri" w:cs="Times New Roman"/>
          <w:sz w:val="24"/>
          <w:szCs w:val="24"/>
        </w:rPr>
        <w:t>Výdavky na</w:t>
      </w:r>
      <w:r w:rsidRPr="008E112F">
        <w:rPr>
          <w:rFonts w:eastAsia="Calibri" w:cs="Times New Roman"/>
          <w:b/>
          <w:sz w:val="24"/>
          <w:szCs w:val="24"/>
        </w:rPr>
        <w:t xml:space="preserve"> energie, vodu a komunikácie</w:t>
      </w:r>
      <w:r w:rsidRPr="008E112F">
        <w:rPr>
          <w:rFonts w:eastAsia="Calibri" w:cs="Times New Roman"/>
          <w:sz w:val="24"/>
          <w:szCs w:val="24"/>
        </w:rPr>
        <w:t xml:space="preserve">, ktoré dosiahli úhrnom sumu 282 664 tis. eur, tvoria prevažne výdavky na </w:t>
      </w:r>
      <w:r w:rsidRPr="008E112F">
        <w:rPr>
          <w:rFonts w:eastAsia="Calibri" w:cs="Times New Roman"/>
          <w:b/>
          <w:i/>
          <w:sz w:val="24"/>
          <w:szCs w:val="24"/>
        </w:rPr>
        <w:t>energie</w:t>
      </w:r>
      <w:r w:rsidRPr="008E112F">
        <w:rPr>
          <w:rFonts w:eastAsia="Calibri" w:cs="Times New Roman"/>
          <w:sz w:val="24"/>
          <w:szCs w:val="24"/>
        </w:rPr>
        <w:t xml:space="preserve"> (187 918 tis. eur,) na </w:t>
      </w:r>
      <w:r w:rsidRPr="008E112F">
        <w:rPr>
          <w:rFonts w:eastAsia="Calibri" w:cs="Times New Roman"/>
          <w:b/>
          <w:i/>
          <w:sz w:val="24"/>
          <w:szCs w:val="24"/>
        </w:rPr>
        <w:t xml:space="preserve">komunikačnú infraštruktúru </w:t>
      </w:r>
      <w:r w:rsidRPr="008E112F">
        <w:rPr>
          <w:rFonts w:eastAsia="Calibri" w:cs="Times New Roman"/>
          <w:sz w:val="24"/>
          <w:szCs w:val="24"/>
        </w:rPr>
        <w:t>(47 436 tis. eur), na</w:t>
      </w:r>
      <w:r w:rsidR="00C07E13">
        <w:rPr>
          <w:rFonts w:eastAsia="Calibri" w:cs="Times New Roman"/>
          <w:sz w:val="24"/>
          <w:szCs w:val="24"/>
        </w:rPr>
        <w:t xml:space="preserve"> </w:t>
      </w:r>
      <w:r w:rsidRPr="008E112F">
        <w:rPr>
          <w:rFonts w:eastAsia="Calibri" w:cs="Times New Roman"/>
          <w:b/>
          <w:i/>
          <w:sz w:val="24"/>
          <w:szCs w:val="24"/>
        </w:rPr>
        <w:t>poštové služby</w:t>
      </w:r>
      <w:r w:rsidRPr="008E112F">
        <w:rPr>
          <w:rFonts w:eastAsia="Calibri" w:cs="Times New Roman"/>
          <w:sz w:val="24"/>
          <w:szCs w:val="24"/>
        </w:rPr>
        <w:t xml:space="preserve"> (21 979 tis. eur), na </w:t>
      </w:r>
      <w:r w:rsidRPr="008E112F">
        <w:rPr>
          <w:rFonts w:eastAsia="Calibri" w:cs="Times New Roman"/>
          <w:b/>
          <w:i/>
          <w:sz w:val="24"/>
          <w:szCs w:val="24"/>
        </w:rPr>
        <w:t>vodné, stočné</w:t>
      </w:r>
      <w:r w:rsidRPr="008E112F">
        <w:rPr>
          <w:rFonts w:eastAsia="Calibri" w:cs="Times New Roman"/>
          <w:sz w:val="24"/>
          <w:szCs w:val="24"/>
        </w:rPr>
        <w:t xml:space="preserve"> (13 022 tis. eur) a</w:t>
      </w:r>
      <w:r w:rsidR="00C07E13">
        <w:rPr>
          <w:rFonts w:eastAsia="Calibri" w:cs="Times New Roman"/>
          <w:sz w:val="24"/>
          <w:szCs w:val="24"/>
        </w:rPr>
        <w:t xml:space="preserve"> </w:t>
      </w:r>
      <w:r w:rsidRPr="008E112F">
        <w:rPr>
          <w:rFonts w:eastAsia="Calibri" w:cs="Times New Roman"/>
          <w:sz w:val="24"/>
          <w:szCs w:val="24"/>
        </w:rPr>
        <w:t>na </w:t>
      </w:r>
      <w:r w:rsidRPr="008E112F">
        <w:rPr>
          <w:rFonts w:eastAsia="Calibri" w:cs="Times New Roman"/>
          <w:b/>
          <w:i/>
          <w:sz w:val="24"/>
          <w:szCs w:val="24"/>
        </w:rPr>
        <w:t>telekomunikačné služby</w:t>
      </w:r>
      <w:r w:rsidRPr="008E112F">
        <w:rPr>
          <w:rFonts w:eastAsia="Calibri" w:cs="Times New Roman"/>
          <w:sz w:val="24"/>
          <w:szCs w:val="24"/>
        </w:rPr>
        <w:t xml:space="preserve"> (12 309 tis. eur). </w:t>
      </w:r>
    </w:p>
    <w:p w14:paraId="12CA027C" w14:textId="72DCAF93" w:rsidR="008E112F" w:rsidRPr="008E112F" w:rsidRDefault="008E112F" w:rsidP="00795D97">
      <w:pPr>
        <w:shd w:val="clear" w:color="auto" w:fill="FFFFFF"/>
        <w:spacing w:line="240" w:lineRule="auto"/>
        <w:rPr>
          <w:rFonts w:eastAsia="Calibri" w:cs="Times New Roman"/>
          <w:sz w:val="24"/>
          <w:szCs w:val="24"/>
          <w:lang w:eastAsia="sk-SK"/>
        </w:rPr>
      </w:pPr>
      <w:r w:rsidRPr="008E112F">
        <w:rPr>
          <w:rFonts w:eastAsia="Calibri" w:cs="Times New Roman"/>
          <w:sz w:val="24"/>
          <w:szCs w:val="24"/>
          <w:lang w:eastAsia="sk-SK"/>
        </w:rPr>
        <w:t xml:space="preserve">V </w:t>
      </w:r>
      <w:r w:rsidRPr="008E112F">
        <w:rPr>
          <w:rFonts w:eastAsia="Calibri" w:cs="Times New Roman"/>
          <w:b/>
          <w:sz w:val="24"/>
          <w:szCs w:val="24"/>
          <w:lang w:eastAsia="sk-SK"/>
        </w:rPr>
        <w:t>dopravnom</w:t>
      </w:r>
      <w:r w:rsidRPr="008E112F">
        <w:rPr>
          <w:rFonts w:eastAsia="Calibri" w:cs="Times New Roman"/>
          <w:b/>
          <w:i/>
          <w:sz w:val="24"/>
          <w:szCs w:val="24"/>
          <w:lang w:eastAsia="sk-SK"/>
        </w:rPr>
        <w:t xml:space="preserve"> </w:t>
      </w:r>
      <w:r w:rsidRPr="008E112F">
        <w:rPr>
          <w:rFonts w:eastAsia="Calibri" w:cs="Times New Roman"/>
          <w:sz w:val="24"/>
          <w:szCs w:val="24"/>
          <w:lang w:eastAsia="sk-SK"/>
        </w:rPr>
        <w:t>sú zahrnuté celkové výdavky vo výške 91 500 tis. eur, z toho</w:t>
      </w:r>
      <w:r w:rsidRPr="008E112F">
        <w:rPr>
          <w:rFonts w:eastAsia="Calibri" w:cs="Times New Roman"/>
          <w:b/>
          <w:i/>
          <w:sz w:val="24"/>
          <w:szCs w:val="24"/>
          <w:lang w:eastAsia="sk-SK"/>
        </w:rPr>
        <w:t xml:space="preserve"> na servis, údržbu, opravy a výdavky s tým spojené</w:t>
      </w:r>
      <w:r w:rsidRPr="008E112F">
        <w:rPr>
          <w:rFonts w:eastAsia="Calibri" w:cs="Times New Roman"/>
          <w:sz w:val="24"/>
          <w:szCs w:val="24"/>
          <w:lang w:eastAsia="sk-SK"/>
        </w:rPr>
        <w:t xml:space="preserve"> bolo vynaložených 42 714 tis. eur a</w:t>
      </w:r>
      <w:r w:rsidRPr="008E112F">
        <w:rPr>
          <w:rFonts w:eastAsia="Calibri" w:cs="Times New Roman"/>
          <w:b/>
          <w:i/>
          <w:sz w:val="24"/>
          <w:szCs w:val="24"/>
          <w:lang w:eastAsia="sk-SK"/>
        </w:rPr>
        <w:t xml:space="preserve"> na palivo, mazivá, oleje a</w:t>
      </w:r>
      <w:r w:rsidR="00C07E13">
        <w:rPr>
          <w:rFonts w:eastAsia="Calibri" w:cs="Times New Roman"/>
          <w:b/>
          <w:i/>
          <w:sz w:val="24"/>
          <w:szCs w:val="24"/>
          <w:lang w:eastAsia="sk-SK"/>
        </w:rPr>
        <w:t xml:space="preserve"> </w:t>
      </w:r>
      <w:r w:rsidRPr="008E112F">
        <w:rPr>
          <w:rFonts w:eastAsia="Calibri" w:cs="Times New Roman"/>
          <w:b/>
          <w:i/>
          <w:sz w:val="24"/>
          <w:szCs w:val="24"/>
          <w:lang w:eastAsia="sk-SK"/>
        </w:rPr>
        <w:lastRenderedPageBreak/>
        <w:t>špeciálne kvapaliny</w:t>
      </w:r>
      <w:r w:rsidRPr="008E112F">
        <w:rPr>
          <w:rFonts w:eastAsia="Calibri" w:cs="Times New Roman"/>
          <w:sz w:val="24"/>
          <w:szCs w:val="24"/>
          <w:lang w:eastAsia="sk-SK"/>
        </w:rPr>
        <w:t xml:space="preserve"> 37 628 tis. eur. Rozhodujúcou kapitolou v oboch podpoložkách je </w:t>
      </w:r>
      <w:r w:rsidRPr="008E112F">
        <w:rPr>
          <w:rFonts w:eastAsia="Calibri" w:cs="Times New Roman"/>
          <w:sz w:val="24"/>
          <w:szCs w:val="24"/>
          <w:u w:val="single"/>
          <w:lang w:eastAsia="sk-SK"/>
        </w:rPr>
        <w:t>Ministerstvo vnútra SR</w:t>
      </w:r>
      <w:r w:rsidRPr="008E112F">
        <w:rPr>
          <w:rFonts w:eastAsia="Calibri" w:cs="Times New Roman"/>
          <w:sz w:val="24"/>
          <w:szCs w:val="24"/>
          <w:lang w:eastAsia="sk-SK"/>
        </w:rPr>
        <w:t xml:space="preserve">, ktoré použilo tieto </w:t>
      </w:r>
      <w:r w:rsidRPr="008E112F">
        <w:rPr>
          <w:rFonts w:eastAsia="Calibri" w:cs="Times New Roman"/>
          <w:sz w:val="24"/>
          <w:szCs w:val="24"/>
          <w:shd w:val="clear" w:color="auto" w:fill="FFFFFF"/>
          <w:lang w:eastAsia="sk-SK"/>
        </w:rPr>
        <w:t>finančné prostriedky najmä v súvislosti s prevádzkou vlastných dopravných prostriedkov, na servisné prehliadky, údržbu a</w:t>
      </w:r>
      <w:r w:rsidR="00C07E13">
        <w:rPr>
          <w:rFonts w:eastAsia="Calibri" w:cs="Times New Roman"/>
          <w:sz w:val="24"/>
          <w:szCs w:val="24"/>
          <w:shd w:val="clear" w:color="auto" w:fill="FFFFFF"/>
          <w:lang w:eastAsia="sk-SK"/>
        </w:rPr>
        <w:t xml:space="preserve"> opravu automobilov, </w:t>
      </w:r>
      <w:r w:rsidRPr="008E112F">
        <w:rPr>
          <w:rFonts w:eastAsia="Calibri" w:cs="Times New Roman"/>
          <w:sz w:val="24"/>
          <w:szCs w:val="24"/>
          <w:shd w:val="clear" w:color="auto" w:fill="FFFFFF"/>
          <w:lang w:eastAsia="sk-SK"/>
        </w:rPr>
        <w:t>leteckej techniky a</w:t>
      </w:r>
      <w:r w:rsidR="00C07E13">
        <w:rPr>
          <w:rFonts w:eastAsia="Calibri" w:cs="Times New Roman"/>
          <w:sz w:val="24"/>
          <w:szCs w:val="24"/>
          <w:shd w:val="clear" w:color="auto" w:fill="FFFFFF"/>
          <w:lang w:eastAsia="sk-SK"/>
        </w:rPr>
        <w:t xml:space="preserve"> </w:t>
      </w:r>
      <w:r w:rsidRPr="008E112F">
        <w:rPr>
          <w:rFonts w:eastAsia="Calibri" w:cs="Times New Roman"/>
          <w:sz w:val="24"/>
          <w:szCs w:val="24"/>
          <w:shd w:val="clear" w:color="auto" w:fill="FFFFFF"/>
          <w:lang w:eastAsia="sk-SK"/>
        </w:rPr>
        <w:t>taktiež na</w:t>
      </w:r>
      <w:r w:rsidRPr="008E112F">
        <w:rPr>
          <w:rFonts w:eastAsia="Calibri" w:cs="Times New Roman"/>
          <w:sz w:val="24"/>
          <w:szCs w:val="24"/>
          <w:lang w:eastAsia="sk-SK"/>
        </w:rPr>
        <w:t xml:space="preserve"> nákup doplnkového vybavenia vozidiel, a to na servis, údržbu, opravy a výdavky s tým spojené v sume 26 881 tis. eur a na palivo, mazivá, oleje a špeciálne kvapaliny v sume 19 563 tis. eur. </w:t>
      </w:r>
    </w:p>
    <w:p w14:paraId="7FECB630" w14:textId="77777777" w:rsidR="008E112F" w:rsidRPr="008E112F" w:rsidRDefault="008E112F" w:rsidP="008E112F">
      <w:pPr>
        <w:spacing w:line="240" w:lineRule="auto"/>
        <w:rPr>
          <w:rFonts w:eastAsia="Calibri" w:cs="Times New Roman"/>
          <w:sz w:val="24"/>
          <w:szCs w:val="24"/>
        </w:rPr>
      </w:pPr>
      <w:r w:rsidRPr="008E112F">
        <w:rPr>
          <w:rFonts w:eastAsia="Calibri" w:cs="Times New Roman"/>
          <w:sz w:val="24"/>
          <w:szCs w:val="24"/>
        </w:rPr>
        <w:t xml:space="preserve">Výdavky na </w:t>
      </w:r>
      <w:r w:rsidRPr="008E112F">
        <w:rPr>
          <w:rFonts w:eastAsia="Calibri" w:cs="Times New Roman"/>
          <w:b/>
          <w:sz w:val="24"/>
          <w:szCs w:val="24"/>
        </w:rPr>
        <w:t>nájomné za nájom</w:t>
      </w:r>
      <w:r w:rsidRPr="008E112F">
        <w:rPr>
          <w:rFonts w:eastAsia="Calibri" w:cs="Times New Roman"/>
          <w:b/>
          <w:color w:val="FF0000"/>
          <w:sz w:val="24"/>
          <w:szCs w:val="24"/>
        </w:rPr>
        <w:t xml:space="preserve"> </w:t>
      </w:r>
      <w:r w:rsidRPr="008E112F">
        <w:rPr>
          <w:rFonts w:eastAsia="Calibri" w:cs="Times New Roman"/>
          <w:sz w:val="24"/>
          <w:szCs w:val="24"/>
        </w:rPr>
        <w:t xml:space="preserve">dosiahli súhrnne 87 352 tis. eur, z toho najvýznamnejšie bolo čerpanie </w:t>
      </w:r>
      <w:r w:rsidRPr="008E112F">
        <w:rPr>
          <w:rFonts w:eastAsia="Calibri" w:cs="Times New Roman"/>
          <w:b/>
          <w:i/>
          <w:sz w:val="24"/>
          <w:szCs w:val="24"/>
        </w:rPr>
        <w:t>za nájom budov a objektov alebo ich častí</w:t>
      </w:r>
      <w:r w:rsidRPr="008E112F">
        <w:rPr>
          <w:rFonts w:eastAsia="Calibri" w:cs="Times New Roman"/>
          <w:sz w:val="24"/>
          <w:szCs w:val="24"/>
        </w:rPr>
        <w:t>, a to 68 674 tis. eur, najmä prostredníctvom</w:t>
      </w:r>
      <w:r w:rsidRPr="008E112F">
        <w:rPr>
          <w:rFonts w:eastAsia="Calibri" w:cs="Times New Roman"/>
          <w:color w:val="FF0000"/>
          <w:sz w:val="24"/>
          <w:szCs w:val="24"/>
        </w:rPr>
        <w:t xml:space="preserve"> </w:t>
      </w:r>
      <w:r w:rsidRPr="008E112F">
        <w:rPr>
          <w:rFonts w:eastAsia="Calibri" w:cs="Times New Roman"/>
          <w:sz w:val="24"/>
          <w:szCs w:val="24"/>
          <w:u w:val="single"/>
        </w:rPr>
        <w:t>Ministerstva zahraničných vecí SR</w:t>
      </w:r>
      <w:r w:rsidRPr="008E112F">
        <w:rPr>
          <w:rFonts w:eastAsia="Calibri" w:cs="Times New Roman"/>
          <w:sz w:val="24"/>
          <w:szCs w:val="24"/>
        </w:rPr>
        <w:t xml:space="preserve"> (12 607 tis. eur), </w:t>
      </w:r>
      <w:r w:rsidRPr="008E112F">
        <w:rPr>
          <w:rFonts w:eastAsia="Calibri" w:cs="Times New Roman"/>
          <w:sz w:val="24"/>
          <w:szCs w:val="24"/>
          <w:u w:val="single"/>
        </w:rPr>
        <w:t>Ministerstva vnútra SR</w:t>
      </w:r>
      <w:r w:rsidRPr="008E112F">
        <w:rPr>
          <w:rFonts w:eastAsia="Calibri" w:cs="Times New Roman"/>
          <w:sz w:val="24"/>
          <w:szCs w:val="24"/>
        </w:rPr>
        <w:t xml:space="preserve"> (11 275 tis. eur) a </w:t>
      </w:r>
      <w:r w:rsidRPr="008E112F">
        <w:rPr>
          <w:rFonts w:eastAsia="Calibri" w:cs="Times New Roman"/>
          <w:sz w:val="24"/>
          <w:szCs w:val="24"/>
          <w:u w:val="single"/>
        </w:rPr>
        <w:t>Ministerstva financií SR</w:t>
      </w:r>
      <w:r w:rsidRPr="008E112F">
        <w:rPr>
          <w:rFonts w:eastAsia="Calibri" w:cs="Times New Roman"/>
          <w:sz w:val="24"/>
          <w:szCs w:val="24"/>
        </w:rPr>
        <w:t xml:space="preserve"> (6 128 tis. eur).</w:t>
      </w:r>
    </w:p>
    <w:p w14:paraId="6E1CDB36" w14:textId="62A8DE2E" w:rsidR="00B768D9" w:rsidRPr="00C67480" w:rsidRDefault="008E112F" w:rsidP="008E112F">
      <w:pPr>
        <w:spacing w:line="240" w:lineRule="auto"/>
        <w:rPr>
          <w:rFonts w:eastAsia="Calibri" w:cs="Times New Roman"/>
          <w:b/>
          <w:sz w:val="24"/>
          <w:szCs w:val="24"/>
        </w:rPr>
      </w:pPr>
      <w:r w:rsidRPr="008E112F">
        <w:rPr>
          <w:rFonts w:eastAsia="Calibri" w:cs="Times New Roman"/>
          <w:sz w:val="24"/>
          <w:szCs w:val="24"/>
        </w:rPr>
        <w:t xml:space="preserve">Výdavky na </w:t>
      </w:r>
      <w:r w:rsidRPr="008E112F">
        <w:rPr>
          <w:rFonts w:eastAsia="Calibri" w:cs="Times New Roman"/>
          <w:b/>
          <w:sz w:val="24"/>
          <w:szCs w:val="24"/>
        </w:rPr>
        <w:t>cestovné náhrady</w:t>
      </w:r>
      <w:r w:rsidRPr="008E112F">
        <w:rPr>
          <w:rFonts w:eastAsia="Calibri" w:cs="Times New Roman"/>
          <w:sz w:val="24"/>
          <w:szCs w:val="24"/>
        </w:rPr>
        <w:t xml:space="preserve"> dosiahli úhrnom sumu 47 602 tis. eur a</w:t>
      </w:r>
      <w:r w:rsidR="00C07E13">
        <w:rPr>
          <w:rFonts w:eastAsia="Calibri" w:cs="Times New Roman"/>
          <w:sz w:val="24"/>
          <w:szCs w:val="24"/>
        </w:rPr>
        <w:t xml:space="preserve"> </w:t>
      </w:r>
      <w:r w:rsidRPr="008E112F">
        <w:rPr>
          <w:rFonts w:eastAsia="Calibri" w:cs="Times New Roman"/>
          <w:sz w:val="24"/>
          <w:szCs w:val="24"/>
        </w:rPr>
        <w:t xml:space="preserve">najvýznamnejšie čerpanie finančných prostriedkov bolo dosiahnuté na podpoložke </w:t>
      </w:r>
      <w:r w:rsidRPr="008E112F">
        <w:rPr>
          <w:rFonts w:eastAsia="Calibri" w:cs="Times New Roman"/>
          <w:b/>
          <w:i/>
          <w:sz w:val="24"/>
          <w:szCs w:val="24"/>
        </w:rPr>
        <w:t>zahraničné</w:t>
      </w:r>
      <w:r w:rsidRPr="008E112F">
        <w:rPr>
          <w:rFonts w:eastAsia="Calibri" w:cs="Times New Roman"/>
          <w:sz w:val="24"/>
          <w:szCs w:val="24"/>
        </w:rPr>
        <w:t xml:space="preserve"> cestovné náhrady (29 598 tis. eur) a</w:t>
      </w:r>
      <w:r w:rsidR="00C07E13">
        <w:rPr>
          <w:rFonts w:eastAsia="Calibri" w:cs="Times New Roman"/>
          <w:sz w:val="24"/>
          <w:szCs w:val="24"/>
        </w:rPr>
        <w:t xml:space="preserve"> </w:t>
      </w:r>
      <w:r w:rsidRPr="008E112F">
        <w:rPr>
          <w:rFonts w:eastAsia="Calibri" w:cs="Times New Roman"/>
          <w:b/>
          <w:i/>
          <w:sz w:val="24"/>
          <w:szCs w:val="24"/>
        </w:rPr>
        <w:t>tuzemské</w:t>
      </w:r>
      <w:r w:rsidRPr="008E112F">
        <w:rPr>
          <w:rFonts w:eastAsia="Calibri" w:cs="Times New Roman"/>
          <w:sz w:val="24"/>
          <w:szCs w:val="24"/>
        </w:rPr>
        <w:t xml:space="preserve"> cestovné náhrady (15 627 tis. eur).</w:t>
      </w:r>
    </w:p>
    <w:p w14:paraId="64129728" w14:textId="12F2D9CE" w:rsidR="00B768D9" w:rsidRPr="00040B78" w:rsidRDefault="00B768D9" w:rsidP="008E112F">
      <w:pPr>
        <w:spacing w:after="160" w:line="259" w:lineRule="auto"/>
        <w:jc w:val="left"/>
        <w:rPr>
          <w:b/>
          <w:color w:val="5B9BD5" w:themeColor="accent1"/>
          <w:sz w:val="24"/>
          <w:szCs w:val="24"/>
        </w:rPr>
      </w:pPr>
      <w:r w:rsidRPr="00040B78">
        <w:rPr>
          <w:b/>
          <w:color w:val="5B9BD5" w:themeColor="accent1"/>
          <w:sz w:val="24"/>
          <w:szCs w:val="24"/>
        </w:rPr>
        <w:t>Bežné transfery</w:t>
      </w:r>
    </w:p>
    <w:p w14:paraId="469B1A6B" w14:textId="77777777" w:rsidR="008E112F" w:rsidRPr="008E112F" w:rsidRDefault="008E112F" w:rsidP="008E112F">
      <w:pPr>
        <w:spacing w:line="240" w:lineRule="auto"/>
        <w:rPr>
          <w:rFonts w:eastAsia="Calibri" w:cs="Times New Roman"/>
          <w:sz w:val="24"/>
          <w:szCs w:val="24"/>
        </w:rPr>
      </w:pPr>
      <w:r w:rsidRPr="008E112F">
        <w:rPr>
          <w:rFonts w:eastAsia="Calibri" w:cs="Times New Roman"/>
          <w:sz w:val="24"/>
          <w:szCs w:val="24"/>
        </w:rPr>
        <w:t>Bežné transfery, ako platby jednotlivcom alebo skupinám subjektov tvorili v roku 2023 až 75,2 % z celkových bežných výdavkov štátneho rozpočtu.</w:t>
      </w:r>
    </w:p>
    <w:p w14:paraId="761075AD" w14:textId="77777777" w:rsidR="00212A07" w:rsidRDefault="008E112F" w:rsidP="008E112F">
      <w:pPr>
        <w:spacing w:line="240" w:lineRule="auto"/>
        <w:rPr>
          <w:rFonts w:eastAsia="Calibri" w:cs="Times New Roman"/>
          <w:sz w:val="24"/>
          <w:szCs w:val="24"/>
        </w:rPr>
      </w:pPr>
      <w:r w:rsidRPr="008E112F">
        <w:rPr>
          <w:rFonts w:eastAsia="Calibri" w:cs="Times New Roman"/>
          <w:sz w:val="24"/>
          <w:szCs w:val="24"/>
        </w:rPr>
        <w:t xml:space="preserve">Boli realizované zo štátneho rozpočtu vo výške 20 046 164 tis. eur, pričom rozpočet bol schválený vo výške 15 696 756 tis. eur, čo znamená skutočné čerpanie vyššie o 4 349 408 tis. eur oproti schválenému rozpočtu. Vyššie skutočné čerpanie oproti schválenému rozpočtu bolo dosiahnuté najmä na položke transfery v rámci verejnej správy (o 1 572 845 tis. eur) a na položke transfery nefinančným subjektom (o 2 629 032 tis. eur). Najvyšší nárast skutočnosti oprosti schválenému rozpočtu bol dosiahnutý na podpoložke transfery ostatnej právnickej osobe (o 2 245 345 tis. eur), najmä u Ministerstva hospodárstva SR (o 2 643 352 tis. eur). </w:t>
      </w:r>
    </w:p>
    <w:p w14:paraId="36D9DE5A" w14:textId="09900B5C" w:rsidR="00B768D9" w:rsidRDefault="008E112F" w:rsidP="008E112F">
      <w:pPr>
        <w:spacing w:line="240" w:lineRule="auto"/>
        <w:rPr>
          <w:rFonts w:eastAsia="Calibri" w:cs="Times New Roman"/>
          <w:sz w:val="24"/>
          <w:szCs w:val="24"/>
        </w:rPr>
      </w:pPr>
      <w:r w:rsidRPr="008E112F">
        <w:rPr>
          <w:rFonts w:eastAsia="Calibri" w:cs="Times New Roman"/>
          <w:sz w:val="24"/>
          <w:szCs w:val="24"/>
        </w:rPr>
        <w:t>Prehľad bežných transferov podľa skupín prijímateľov poskytuje nasledovná tabuľka:</w:t>
      </w:r>
    </w:p>
    <w:tbl>
      <w:tblPr>
        <w:tblW w:w="9072" w:type="dxa"/>
        <w:tblCellMar>
          <w:left w:w="70" w:type="dxa"/>
          <w:right w:w="70" w:type="dxa"/>
        </w:tblCellMar>
        <w:tblLook w:val="04A0" w:firstRow="1" w:lastRow="0" w:firstColumn="1" w:lastColumn="0" w:noHBand="0" w:noVBand="1"/>
      </w:tblPr>
      <w:tblGrid>
        <w:gridCol w:w="2620"/>
        <w:gridCol w:w="1208"/>
        <w:gridCol w:w="1134"/>
        <w:gridCol w:w="1134"/>
        <w:gridCol w:w="992"/>
        <w:gridCol w:w="1134"/>
        <w:gridCol w:w="850"/>
      </w:tblGrid>
      <w:tr w:rsidR="00212A07" w:rsidRPr="00212A07" w14:paraId="7AEE558C" w14:textId="77777777" w:rsidTr="00E377E5">
        <w:trPr>
          <w:trHeight w:val="459"/>
        </w:trPr>
        <w:tc>
          <w:tcPr>
            <w:tcW w:w="9072" w:type="dxa"/>
            <w:gridSpan w:val="7"/>
            <w:tcBorders>
              <w:top w:val="nil"/>
              <w:left w:val="nil"/>
              <w:bottom w:val="nil"/>
              <w:right w:val="nil"/>
            </w:tcBorders>
            <w:shd w:val="clear" w:color="000000" w:fill="FFFFFF"/>
            <w:noWrap/>
            <w:vAlign w:val="center"/>
            <w:hideMark/>
          </w:tcPr>
          <w:p w14:paraId="05BE91DC" w14:textId="645D905A" w:rsidR="00212A07" w:rsidRPr="00212A07" w:rsidRDefault="00212A07" w:rsidP="004A6E2F">
            <w:pPr>
              <w:spacing w:after="0" w:line="240" w:lineRule="auto"/>
              <w:jc w:val="left"/>
              <w:rPr>
                <w:rFonts w:eastAsia="Times New Roman" w:cs="Times New Roman"/>
                <w:b/>
                <w:bCs/>
                <w:color w:val="FFFFFF"/>
                <w:sz w:val="18"/>
                <w:szCs w:val="18"/>
                <w:lang w:eastAsia="sk-SK"/>
              </w:rPr>
            </w:pPr>
            <w:r>
              <w:rPr>
                <w:rFonts w:eastAsia="Times New Roman" w:cs="Times New Roman"/>
                <w:b/>
                <w:bCs/>
                <w:color w:val="5B9BD5"/>
                <w:sz w:val="20"/>
                <w:szCs w:val="20"/>
                <w:lang w:eastAsia="sk-SK"/>
              </w:rPr>
              <w:t>Tabuľka 3</w:t>
            </w:r>
            <w:r w:rsidR="004A6E2F">
              <w:rPr>
                <w:rFonts w:eastAsia="Times New Roman" w:cs="Times New Roman"/>
                <w:b/>
                <w:bCs/>
                <w:color w:val="5B9BD5"/>
                <w:sz w:val="20"/>
                <w:szCs w:val="20"/>
                <w:lang w:eastAsia="sk-SK"/>
              </w:rPr>
              <w:t>4</w:t>
            </w:r>
            <w:r>
              <w:rPr>
                <w:rFonts w:eastAsia="Times New Roman" w:cs="Times New Roman"/>
                <w:b/>
                <w:bCs/>
                <w:color w:val="5B9BD5"/>
                <w:sz w:val="20"/>
                <w:szCs w:val="20"/>
                <w:lang w:eastAsia="sk-SK"/>
              </w:rPr>
              <w:t xml:space="preserve"> – </w:t>
            </w:r>
            <w:r w:rsidRPr="00212A07">
              <w:rPr>
                <w:rFonts w:eastAsia="Times New Roman" w:cs="Times New Roman"/>
                <w:b/>
                <w:bCs/>
                <w:color w:val="5B9BD5"/>
                <w:sz w:val="20"/>
                <w:szCs w:val="20"/>
                <w:lang w:eastAsia="sk-SK"/>
              </w:rPr>
              <w:t>Bežné</w:t>
            </w:r>
            <w:r>
              <w:rPr>
                <w:rFonts w:eastAsia="Times New Roman" w:cs="Times New Roman"/>
                <w:b/>
                <w:bCs/>
                <w:color w:val="5B9BD5"/>
                <w:sz w:val="20"/>
                <w:szCs w:val="20"/>
                <w:lang w:eastAsia="sk-SK"/>
              </w:rPr>
              <w:t xml:space="preserve"> </w:t>
            </w:r>
            <w:r w:rsidRPr="00212A07">
              <w:rPr>
                <w:rFonts w:eastAsia="Times New Roman" w:cs="Times New Roman"/>
                <w:b/>
                <w:bCs/>
                <w:color w:val="5B9BD5"/>
                <w:sz w:val="20"/>
                <w:szCs w:val="20"/>
                <w:lang w:eastAsia="sk-SK"/>
              </w:rPr>
              <w:t xml:space="preserve">transfery </w:t>
            </w:r>
            <w:r w:rsidRPr="00212A07">
              <w:rPr>
                <w:rFonts w:eastAsia="Times New Roman" w:cs="Times New Roman"/>
                <w:b/>
                <w:bCs/>
                <w:color w:val="FFFFFF"/>
                <w:sz w:val="18"/>
                <w:szCs w:val="18"/>
                <w:lang w:eastAsia="sk-SK"/>
              </w:rPr>
              <w:t xml:space="preserve">                                                                                                                                                                                                                        v tis. eur</w:t>
            </w:r>
          </w:p>
        </w:tc>
      </w:tr>
      <w:tr w:rsidR="00212A07" w:rsidRPr="00212A07" w14:paraId="50353020" w14:textId="77777777" w:rsidTr="00E377E5">
        <w:trPr>
          <w:trHeight w:val="276"/>
        </w:trPr>
        <w:tc>
          <w:tcPr>
            <w:tcW w:w="2620" w:type="dxa"/>
            <w:vMerge w:val="restart"/>
            <w:tcBorders>
              <w:top w:val="single" w:sz="4" w:space="0" w:color="auto"/>
              <w:left w:val="nil"/>
              <w:right w:val="nil"/>
            </w:tcBorders>
            <w:shd w:val="clear" w:color="000000" w:fill="FFFFFF"/>
            <w:vAlign w:val="center"/>
            <w:hideMark/>
          </w:tcPr>
          <w:p w14:paraId="2454D7A5" w14:textId="7A5353A5" w:rsidR="00212A07" w:rsidRPr="00212A07" w:rsidRDefault="00212A07" w:rsidP="00212A07">
            <w:pPr>
              <w:spacing w:after="0" w:line="240" w:lineRule="auto"/>
              <w:jc w:val="left"/>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v tis. eur </w:t>
            </w:r>
          </w:p>
        </w:tc>
        <w:tc>
          <w:tcPr>
            <w:tcW w:w="1208" w:type="dxa"/>
            <w:tcBorders>
              <w:top w:val="single" w:sz="4" w:space="0" w:color="auto"/>
              <w:left w:val="nil"/>
              <w:bottom w:val="nil"/>
              <w:right w:val="nil"/>
            </w:tcBorders>
            <w:shd w:val="clear" w:color="000000" w:fill="FFFFFF"/>
            <w:noWrap/>
            <w:vAlign w:val="center"/>
            <w:hideMark/>
          </w:tcPr>
          <w:p w14:paraId="65E18B1D"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2021 S</w:t>
            </w:r>
          </w:p>
        </w:tc>
        <w:tc>
          <w:tcPr>
            <w:tcW w:w="1134" w:type="dxa"/>
            <w:tcBorders>
              <w:top w:val="single" w:sz="4" w:space="0" w:color="auto"/>
              <w:left w:val="nil"/>
              <w:bottom w:val="nil"/>
              <w:right w:val="nil"/>
            </w:tcBorders>
            <w:shd w:val="clear" w:color="000000" w:fill="FFFFFF"/>
            <w:noWrap/>
            <w:vAlign w:val="center"/>
            <w:hideMark/>
          </w:tcPr>
          <w:p w14:paraId="18A2BDE4"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2022 S</w:t>
            </w:r>
          </w:p>
        </w:tc>
        <w:tc>
          <w:tcPr>
            <w:tcW w:w="1134" w:type="dxa"/>
            <w:tcBorders>
              <w:top w:val="single" w:sz="4" w:space="0" w:color="auto"/>
              <w:left w:val="nil"/>
              <w:bottom w:val="nil"/>
              <w:right w:val="nil"/>
            </w:tcBorders>
            <w:shd w:val="clear" w:color="000000" w:fill="FFFFFF"/>
            <w:noWrap/>
            <w:vAlign w:val="center"/>
            <w:hideMark/>
          </w:tcPr>
          <w:p w14:paraId="365B8BF3"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2023 R</w:t>
            </w:r>
          </w:p>
        </w:tc>
        <w:tc>
          <w:tcPr>
            <w:tcW w:w="992" w:type="dxa"/>
            <w:tcBorders>
              <w:top w:val="single" w:sz="4" w:space="0" w:color="auto"/>
              <w:left w:val="nil"/>
              <w:bottom w:val="nil"/>
              <w:right w:val="nil"/>
            </w:tcBorders>
            <w:shd w:val="clear" w:color="000000" w:fill="FFFFFF"/>
            <w:noWrap/>
            <w:vAlign w:val="center"/>
            <w:hideMark/>
          </w:tcPr>
          <w:p w14:paraId="7114C4FD"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2023 S</w:t>
            </w:r>
          </w:p>
        </w:tc>
        <w:tc>
          <w:tcPr>
            <w:tcW w:w="1134" w:type="dxa"/>
            <w:tcBorders>
              <w:top w:val="single" w:sz="4" w:space="0" w:color="auto"/>
              <w:left w:val="nil"/>
              <w:bottom w:val="nil"/>
              <w:right w:val="nil"/>
            </w:tcBorders>
            <w:shd w:val="clear" w:color="000000" w:fill="FFFFFF"/>
            <w:noWrap/>
            <w:vAlign w:val="center"/>
            <w:hideMark/>
          </w:tcPr>
          <w:p w14:paraId="44D60456"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Rozdiel</w:t>
            </w:r>
          </w:p>
        </w:tc>
        <w:tc>
          <w:tcPr>
            <w:tcW w:w="850" w:type="dxa"/>
            <w:tcBorders>
              <w:top w:val="single" w:sz="4" w:space="0" w:color="auto"/>
              <w:left w:val="nil"/>
              <w:bottom w:val="nil"/>
              <w:right w:val="nil"/>
            </w:tcBorders>
            <w:shd w:val="clear" w:color="000000" w:fill="FFFFFF"/>
            <w:noWrap/>
            <w:vAlign w:val="center"/>
            <w:hideMark/>
          </w:tcPr>
          <w:p w14:paraId="61713CC5"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v %</w:t>
            </w:r>
          </w:p>
        </w:tc>
      </w:tr>
      <w:tr w:rsidR="00212A07" w:rsidRPr="00212A07" w14:paraId="6D91D68A" w14:textId="77777777" w:rsidTr="00E377E5">
        <w:trPr>
          <w:trHeight w:val="276"/>
        </w:trPr>
        <w:tc>
          <w:tcPr>
            <w:tcW w:w="2620" w:type="dxa"/>
            <w:vMerge/>
            <w:tcBorders>
              <w:left w:val="nil"/>
              <w:bottom w:val="single" w:sz="4" w:space="0" w:color="auto"/>
              <w:right w:val="nil"/>
            </w:tcBorders>
            <w:shd w:val="clear" w:color="000000" w:fill="FFFFFF"/>
            <w:vAlign w:val="center"/>
            <w:hideMark/>
          </w:tcPr>
          <w:p w14:paraId="23841E4F" w14:textId="68B73237" w:rsidR="00212A07" w:rsidRPr="00212A07" w:rsidRDefault="00212A07" w:rsidP="00212A07">
            <w:pPr>
              <w:spacing w:after="0" w:line="240" w:lineRule="auto"/>
              <w:jc w:val="center"/>
              <w:rPr>
                <w:rFonts w:eastAsia="Times New Roman" w:cs="Times New Roman"/>
                <w:b/>
                <w:bCs/>
                <w:color w:val="000000"/>
                <w:sz w:val="18"/>
                <w:szCs w:val="18"/>
                <w:lang w:eastAsia="sk-SK"/>
              </w:rPr>
            </w:pPr>
          </w:p>
        </w:tc>
        <w:tc>
          <w:tcPr>
            <w:tcW w:w="1208" w:type="dxa"/>
            <w:tcBorders>
              <w:top w:val="nil"/>
              <w:left w:val="nil"/>
              <w:bottom w:val="single" w:sz="4" w:space="0" w:color="auto"/>
              <w:right w:val="nil"/>
            </w:tcBorders>
            <w:shd w:val="clear" w:color="000000" w:fill="FFFFFF"/>
            <w:noWrap/>
            <w:vAlign w:val="center"/>
            <w:hideMark/>
          </w:tcPr>
          <w:p w14:paraId="1E8B78A5"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1</w:t>
            </w:r>
          </w:p>
        </w:tc>
        <w:tc>
          <w:tcPr>
            <w:tcW w:w="1134" w:type="dxa"/>
            <w:tcBorders>
              <w:top w:val="nil"/>
              <w:left w:val="nil"/>
              <w:bottom w:val="single" w:sz="4" w:space="0" w:color="auto"/>
              <w:right w:val="nil"/>
            </w:tcBorders>
            <w:shd w:val="clear" w:color="000000" w:fill="FFFFFF"/>
            <w:noWrap/>
            <w:vAlign w:val="center"/>
            <w:hideMark/>
          </w:tcPr>
          <w:p w14:paraId="67A01167"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2</w:t>
            </w:r>
          </w:p>
        </w:tc>
        <w:tc>
          <w:tcPr>
            <w:tcW w:w="1134" w:type="dxa"/>
            <w:tcBorders>
              <w:top w:val="nil"/>
              <w:left w:val="nil"/>
              <w:bottom w:val="single" w:sz="4" w:space="0" w:color="auto"/>
              <w:right w:val="nil"/>
            </w:tcBorders>
            <w:shd w:val="clear" w:color="000000" w:fill="FFFFFF"/>
            <w:noWrap/>
            <w:vAlign w:val="center"/>
            <w:hideMark/>
          </w:tcPr>
          <w:p w14:paraId="02C896DB"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3</w:t>
            </w:r>
          </w:p>
        </w:tc>
        <w:tc>
          <w:tcPr>
            <w:tcW w:w="992" w:type="dxa"/>
            <w:tcBorders>
              <w:top w:val="nil"/>
              <w:left w:val="nil"/>
              <w:bottom w:val="single" w:sz="4" w:space="0" w:color="auto"/>
              <w:right w:val="nil"/>
            </w:tcBorders>
            <w:shd w:val="clear" w:color="000000" w:fill="FFFFFF"/>
            <w:noWrap/>
            <w:vAlign w:val="center"/>
            <w:hideMark/>
          </w:tcPr>
          <w:p w14:paraId="644FFB64"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4</w:t>
            </w:r>
          </w:p>
        </w:tc>
        <w:tc>
          <w:tcPr>
            <w:tcW w:w="1134" w:type="dxa"/>
            <w:tcBorders>
              <w:top w:val="nil"/>
              <w:left w:val="nil"/>
              <w:bottom w:val="single" w:sz="4" w:space="0" w:color="auto"/>
              <w:right w:val="nil"/>
            </w:tcBorders>
            <w:shd w:val="clear" w:color="000000" w:fill="FFFFFF"/>
            <w:noWrap/>
            <w:vAlign w:val="center"/>
            <w:hideMark/>
          </w:tcPr>
          <w:p w14:paraId="6B6C0F22"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5=4-3</w:t>
            </w:r>
          </w:p>
        </w:tc>
        <w:tc>
          <w:tcPr>
            <w:tcW w:w="850" w:type="dxa"/>
            <w:tcBorders>
              <w:top w:val="nil"/>
              <w:left w:val="nil"/>
              <w:bottom w:val="single" w:sz="4" w:space="0" w:color="auto"/>
              <w:right w:val="nil"/>
            </w:tcBorders>
            <w:shd w:val="clear" w:color="000000" w:fill="FFFFFF"/>
            <w:noWrap/>
            <w:vAlign w:val="center"/>
            <w:hideMark/>
          </w:tcPr>
          <w:p w14:paraId="2B8D7A19"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6=4-3</w:t>
            </w:r>
          </w:p>
        </w:tc>
      </w:tr>
      <w:tr w:rsidR="00212A07" w:rsidRPr="00212A07" w14:paraId="4887FA25" w14:textId="77777777" w:rsidTr="00E377E5">
        <w:trPr>
          <w:trHeight w:val="276"/>
        </w:trPr>
        <w:tc>
          <w:tcPr>
            <w:tcW w:w="2620" w:type="dxa"/>
            <w:tcBorders>
              <w:top w:val="nil"/>
              <w:left w:val="nil"/>
              <w:bottom w:val="nil"/>
              <w:right w:val="nil"/>
            </w:tcBorders>
            <w:shd w:val="clear" w:color="auto" w:fill="auto"/>
            <w:noWrap/>
            <w:vAlign w:val="center"/>
            <w:hideMark/>
          </w:tcPr>
          <w:p w14:paraId="0EE05496" w14:textId="77777777" w:rsidR="00212A07" w:rsidRPr="00212A07" w:rsidRDefault="00212A07" w:rsidP="00212A07">
            <w:pPr>
              <w:spacing w:after="0" w:line="240" w:lineRule="auto"/>
              <w:jc w:val="left"/>
              <w:rPr>
                <w:rFonts w:eastAsia="Times New Roman" w:cs="Times New Roman"/>
                <w:color w:val="000000"/>
                <w:sz w:val="18"/>
                <w:szCs w:val="18"/>
                <w:lang w:eastAsia="sk-SK"/>
              </w:rPr>
            </w:pPr>
            <w:r w:rsidRPr="00212A07">
              <w:rPr>
                <w:rFonts w:eastAsia="Times New Roman" w:cs="Times New Roman"/>
                <w:color w:val="000000"/>
                <w:sz w:val="18"/>
                <w:szCs w:val="18"/>
                <w:lang w:eastAsia="sk-SK"/>
              </w:rPr>
              <w:t>Transfery v rámci verejnej správy</w:t>
            </w:r>
          </w:p>
        </w:tc>
        <w:tc>
          <w:tcPr>
            <w:tcW w:w="1208" w:type="dxa"/>
            <w:tcBorders>
              <w:top w:val="nil"/>
              <w:left w:val="nil"/>
              <w:bottom w:val="nil"/>
              <w:right w:val="nil"/>
            </w:tcBorders>
            <w:shd w:val="clear" w:color="auto" w:fill="auto"/>
            <w:vAlign w:val="center"/>
            <w:hideMark/>
          </w:tcPr>
          <w:p w14:paraId="4F19BA0F"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6 415 861</w:t>
            </w:r>
          </w:p>
        </w:tc>
        <w:tc>
          <w:tcPr>
            <w:tcW w:w="1134" w:type="dxa"/>
            <w:tcBorders>
              <w:top w:val="nil"/>
              <w:left w:val="nil"/>
              <w:bottom w:val="nil"/>
              <w:right w:val="nil"/>
            </w:tcBorders>
            <w:shd w:val="clear" w:color="auto" w:fill="auto"/>
            <w:vAlign w:val="center"/>
            <w:hideMark/>
          </w:tcPr>
          <w:p w14:paraId="2903BACD"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6 942 096</w:t>
            </w:r>
          </w:p>
        </w:tc>
        <w:tc>
          <w:tcPr>
            <w:tcW w:w="1134" w:type="dxa"/>
            <w:tcBorders>
              <w:top w:val="nil"/>
              <w:left w:val="nil"/>
              <w:bottom w:val="nil"/>
              <w:right w:val="nil"/>
            </w:tcBorders>
            <w:shd w:val="clear" w:color="auto" w:fill="auto"/>
            <w:vAlign w:val="center"/>
            <w:hideMark/>
          </w:tcPr>
          <w:p w14:paraId="0F220CCA"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6 153 343</w:t>
            </w:r>
          </w:p>
        </w:tc>
        <w:tc>
          <w:tcPr>
            <w:tcW w:w="992" w:type="dxa"/>
            <w:tcBorders>
              <w:top w:val="nil"/>
              <w:left w:val="nil"/>
              <w:bottom w:val="nil"/>
              <w:right w:val="nil"/>
            </w:tcBorders>
            <w:shd w:val="clear" w:color="000000" w:fill="FFFFFF"/>
            <w:vAlign w:val="center"/>
            <w:hideMark/>
          </w:tcPr>
          <w:p w14:paraId="28514B58"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7 726 188</w:t>
            </w:r>
          </w:p>
        </w:tc>
        <w:tc>
          <w:tcPr>
            <w:tcW w:w="1134" w:type="dxa"/>
            <w:tcBorders>
              <w:top w:val="nil"/>
              <w:left w:val="nil"/>
              <w:bottom w:val="nil"/>
              <w:right w:val="nil"/>
            </w:tcBorders>
            <w:shd w:val="clear" w:color="auto" w:fill="auto"/>
            <w:vAlign w:val="center"/>
            <w:hideMark/>
          </w:tcPr>
          <w:p w14:paraId="51C43E04"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1 572 845</w:t>
            </w:r>
          </w:p>
        </w:tc>
        <w:tc>
          <w:tcPr>
            <w:tcW w:w="850" w:type="dxa"/>
            <w:tcBorders>
              <w:top w:val="nil"/>
              <w:left w:val="nil"/>
              <w:bottom w:val="nil"/>
              <w:right w:val="nil"/>
            </w:tcBorders>
            <w:shd w:val="clear" w:color="auto" w:fill="auto"/>
            <w:vAlign w:val="center"/>
            <w:hideMark/>
          </w:tcPr>
          <w:p w14:paraId="708C117E"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25,6</w:t>
            </w:r>
          </w:p>
        </w:tc>
      </w:tr>
      <w:tr w:rsidR="00212A07" w:rsidRPr="00212A07" w14:paraId="2FF5A100" w14:textId="77777777" w:rsidTr="00E377E5">
        <w:trPr>
          <w:trHeight w:val="585"/>
        </w:trPr>
        <w:tc>
          <w:tcPr>
            <w:tcW w:w="2620" w:type="dxa"/>
            <w:tcBorders>
              <w:top w:val="nil"/>
              <w:left w:val="nil"/>
              <w:bottom w:val="nil"/>
              <w:right w:val="nil"/>
            </w:tcBorders>
            <w:shd w:val="clear" w:color="auto" w:fill="auto"/>
            <w:vAlign w:val="center"/>
            <w:hideMark/>
          </w:tcPr>
          <w:p w14:paraId="23944286" w14:textId="77777777" w:rsidR="00212A07" w:rsidRPr="00212A07" w:rsidRDefault="00212A07" w:rsidP="00212A07">
            <w:pPr>
              <w:spacing w:after="0" w:line="240" w:lineRule="auto"/>
              <w:jc w:val="left"/>
              <w:rPr>
                <w:rFonts w:eastAsia="Times New Roman" w:cs="Times New Roman"/>
                <w:color w:val="000000"/>
                <w:sz w:val="18"/>
                <w:szCs w:val="18"/>
                <w:lang w:eastAsia="sk-SK"/>
              </w:rPr>
            </w:pPr>
            <w:r w:rsidRPr="00212A07">
              <w:rPr>
                <w:rFonts w:eastAsia="Times New Roman" w:cs="Times New Roman"/>
                <w:color w:val="000000"/>
                <w:sz w:val="18"/>
                <w:szCs w:val="18"/>
                <w:lang w:eastAsia="sk-SK"/>
              </w:rPr>
              <w:t>Transfery jednotlivcom a nezisk. právnickým osobám</w:t>
            </w:r>
          </w:p>
        </w:tc>
        <w:tc>
          <w:tcPr>
            <w:tcW w:w="1208" w:type="dxa"/>
            <w:tcBorders>
              <w:top w:val="nil"/>
              <w:left w:val="nil"/>
              <w:bottom w:val="nil"/>
              <w:right w:val="nil"/>
            </w:tcBorders>
            <w:shd w:val="clear" w:color="auto" w:fill="auto"/>
            <w:vAlign w:val="center"/>
            <w:hideMark/>
          </w:tcPr>
          <w:p w14:paraId="09C8C36F"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7 005 182</w:t>
            </w:r>
          </w:p>
        </w:tc>
        <w:tc>
          <w:tcPr>
            <w:tcW w:w="1134" w:type="dxa"/>
            <w:tcBorders>
              <w:top w:val="nil"/>
              <w:left w:val="nil"/>
              <w:bottom w:val="nil"/>
              <w:right w:val="nil"/>
            </w:tcBorders>
            <w:shd w:val="clear" w:color="000000" w:fill="FFFFFF"/>
            <w:vAlign w:val="center"/>
            <w:hideMark/>
          </w:tcPr>
          <w:p w14:paraId="75FE2800"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5 687 424</w:t>
            </w:r>
          </w:p>
        </w:tc>
        <w:tc>
          <w:tcPr>
            <w:tcW w:w="1134" w:type="dxa"/>
            <w:tcBorders>
              <w:top w:val="nil"/>
              <w:left w:val="nil"/>
              <w:bottom w:val="nil"/>
              <w:right w:val="nil"/>
            </w:tcBorders>
            <w:shd w:val="clear" w:color="auto" w:fill="auto"/>
            <w:vAlign w:val="center"/>
            <w:hideMark/>
          </w:tcPr>
          <w:p w14:paraId="32518E6C"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7 001 559</w:t>
            </w:r>
          </w:p>
        </w:tc>
        <w:tc>
          <w:tcPr>
            <w:tcW w:w="992" w:type="dxa"/>
            <w:tcBorders>
              <w:top w:val="nil"/>
              <w:left w:val="nil"/>
              <w:bottom w:val="nil"/>
              <w:right w:val="nil"/>
            </w:tcBorders>
            <w:shd w:val="clear" w:color="auto" w:fill="auto"/>
            <w:vAlign w:val="center"/>
            <w:hideMark/>
          </w:tcPr>
          <w:p w14:paraId="7DD199FA"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7 105 251</w:t>
            </w:r>
          </w:p>
        </w:tc>
        <w:tc>
          <w:tcPr>
            <w:tcW w:w="1134" w:type="dxa"/>
            <w:tcBorders>
              <w:top w:val="nil"/>
              <w:left w:val="nil"/>
              <w:bottom w:val="nil"/>
              <w:right w:val="nil"/>
            </w:tcBorders>
            <w:shd w:val="clear" w:color="auto" w:fill="auto"/>
            <w:vAlign w:val="center"/>
            <w:hideMark/>
          </w:tcPr>
          <w:p w14:paraId="6D0CF65E"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103 692</w:t>
            </w:r>
          </w:p>
        </w:tc>
        <w:tc>
          <w:tcPr>
            <w:tcW w:w="850" w:type="dxa"/>
            <w:tcBorders>
              <w:top w:val="nil"/>
              <w:left w:val="nil"/>
              <w:bottom w:val="nil"/>
              <w:right w:val="nil"/>
            </w:tcBorders>
            <w:shd w:val="clear" w:color="auto" w:fill="auto"/>
            <w:vAlign w:val="center"/>
            <w:hideMark/>
          </w:tcPr>
          <w:p w14:paraId="25545961"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1,5</w:t>
            </w:r>
          </w:p>
        </w:tc>
      </w:tr>
      <w:tr w:rsidR="00212A07" w:rsidRPr="00212A07" w14:paraId="586759D3" w14:textId="77777777" w:rsidTr="00E377E5">
        <w:trPr>
          <w:trHeight w:val="300"/>
        </w:trPr>
        <w:tc>
          <w:tcPr>
            <w:tcW w:w="2620" w:type="dxa"/>
            <w:tcBorders>
              <w:top w:val="nil"/>
              <w:left w:val="nil"/>
              <w:bottom w:val="nil"/>
              <w:right w:val="nil"/>
            </w:tcBorders>
            <w:shd w:val="clear" w:color="auto" w:fill="auto"/>
            <w:noWrap/>
            <w:vAlign w:val="center"/>
            <w:hideMark/>
          </w:tcPr>
          <w:p w14:paraId="7D2E50C4" w14:textId="77777777" w:rsidR="00212A07" w:rsidRPr="00212A07" w:rsidRDefault="00212A07" w:rsidP="00212A07">
            <w:pPr>
              <w:spacing w:after="0" w:line="240" w:lineRule="auto"/>
              <w:jc w:val="left"/>
              <w:rPr>
                <w:rFonts w:eastAsia="Times New Roman" w:cs="Times New Roman"/>
                <w:color w:val="000000"/>
                <w:sz w:val="18"/>
                <w:szCs w:val="18"/>
                <w:lang w:eastAsia="sk-SK"/>
              </w:rPr>
            </w:pPr>
            <w:r w:rsidRPr="00212A07">
              <w:rPr>
                <w:rFonts w:eastAsia="Times New Roman" w:cs="Times New Roman"/>
                <w:color w:val="000000"/>
                <w:sz w:val="18"/>
                <w:szCs w:val="18"/>
                <w:lang w:eastAsia="sk-SK"/>
              </w:rPr>
              <w:t>Transfery nefinančným subjektom</w:t>
            </w:r>
          </w:p>
        </w:tc>
        <w:tc>
          <w:tcPr>
            <w:tcW w:w="1208" w:type="dxa"/>
            <w:tcBorders>
              <w:top w:val="nil"/>
              <w:left w:val="nil"/>
              <w:bottom w:val="nil"/>
              <w:right w:val="nil"/>
            </w:tcBorders>
            <w:shd w:val="clear" w:color="auto" w:fill="auto"/>
            <w:vAlign w:val="center"/>
            <w:hideMark/>
          </w:tcPr>
          <w:p w14:paraId="74DD7240"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1 344 028</w:t>
            </w:r>
          </w:p>
        </w:tc>
        <w:tc>
          <w:tcPr>
            <w:tcW w:w="1134" w:type="dxa"/>
            <w:tcBorders>
              <w:top w:val="nil"/>
              <w:left w:val="nil"/>
              <w:bottom w:val="nil"/>
              <w:right w:val="nil"/>
            </w:tcBorders>
            <w:shd w:val="clear" w:color="000000" w:fill="FFFFFF"/>
            <w:vAlign w:val="center"/>
            <w:hideMark/>
          </w:tcPr>
          <w:p w14:paraId="6E74F59C"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1 147 850</w:t>
            </w:r>
          </w:p>
        </w:tc>
        <w:tc>
          <w:tcPr>
            <w:tcW w:w="1134" w:type="dxa"/>
            <w:tcBorders>
              <w:top w:val="nil"/>
              <w:left w:val="nil"/>
              <w:bottom w:val="nil"/>
              <w:right w:val="nil"/>
            </w:tcBorders>
            <w:shd w:val="clear" w:color="auto" w:fill="auto"/>
            <w:vAlign w:val="center"/>
            <w:hideMark/>
          </w:tcPr>
          <w:p w14:paraId="17FF6553"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1 391 606</w:t>
            </w:r>
          </w:p>
        </w:tc>
        <w:tc>
          <w:tcPr>
            <w:tcW w:w="992" w:type="dxa"/>
            <w:tcBorders>
              <w:top w:val="nil"/>
              <w:left w:val="nil"/>
              <w:bottom w:val="nil"/>
              <w:right w:val="nil"/>
            </w:tcBorders>
            <w:shd w:val="clear" w:color="auto" w:fill="auto"/>
            <w:vAlign w:val="center"/>
            <w:hideMark/>
          </w:tcPr>
          <w:p w14:paraId="3BDEDA2C"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4 020 638</w:t>
            </w:r>
          </w:p>
        </w:tc>
        <w:tc>
          <w:tcPr>
            <w:tcW w:w="1134" w:type="dxa"/>
            <w:tcBorders>
              <w:top w:val="nil"/>
              <w:left w:val="nil"/>
              <w:bottom w:val="nil"/>
              <w:right w:val="nil"/>
            </w:tcBorders>
            <w:shd w:val="clear" w:color="auto" w:fill="auto"/>
            <w:vAlign w:val="center"/>
            <w:hideMark/>
          </w:tcPr>
          <w:p w14:paraId="6F64AC96"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2 629 032</w:t>
            </w:r>
          </w:p>
        </w:tc>
        <w:tc>
          <w:tcPr>
            <w:tcW w:w="850" w:type="dxa"/>
            <w:tcBorders>
              <w:top w:val="nil"/>
              <w:left w:val="nil"/>
              <w:bottom w:val="nil"/>
              <w:right w:val="nil"/>
            </w:tcBorders>
            <w:shd w:val="clear" w:color="auto" w:fill="auto"/>
            <w:vAlign w:val="center"/>
            <w:hideMark/>
          </w:tcPr>
          <w:p w14:paraId="043DF832"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188,9</w:t>
            </w:r>
          </w:p>
        </w:tc>
      </w:tr>
      <w:tr w:rsidR="00212A07" w:rsidRPr="00212A07" w14:paraId="34D4A91A" w14:textId="77777777" w:rsidTr="00E377E5">
        <w:trPr>
          <w:trHeight w:val="300"/>
        </w:trPr>
        <w:tc>
          <w:tcPr>
            <w:tcW w:w="2620" w:type="dxa"/>
            <w:tcBorders>
              <w:top w:val="nil"/>
              <w:left w:val="nil"/>
              <w:bottom w:val="nil"/>
              <w:right w:val="nil"/>
            </w:tcBorders>
            <w:shd w:val="clear" w:color="auto" w:fill="auto"/>
            <w:noWrap/>
            <w:vAlign w:val="center"/>
            <w:hideMark/>
          </w:tcPr>
          <w:p w14:paraId="0FEDCE52" w14:textId="77777777" w:rsidR="00212A07" w:rsidRPr="00212A07" w:rsidRDefault="00212A07" w:rsidP="00212A07">
            <w:pPr>
              <w:spacing w:after="0" w:line="240" w:lineRule="auto"/>
              <w:jc w:val="left"/>
              <w:rPr>
                <w:rFonts w:eastAsia="Times New Roman" w:cs="Times New Roman"/>
                <w:color w:val="000000"/>
                <w:sz w:val="18"/>
                <w:szCs w:val="18"/>
                <w:lang w:eastAsia="sk-SK"/>
              </w:rPr>
            </w:pPr>
            <w:r w:rsidRPr="00212A07">
              <w:rPr>
                <w:rFonts w:eastAsia="Times New Roman" w:cs="Times New Roman"/>
                <w:color w:val="000000"/>
                <w:sz w:val="18"/>
                <w:szCs w:val="18"/>
                <w:lang w:eastAsia="sk-SK"/>
              </w:rPr>
              <w:t>Transfery do zahraničia</w:t>
            </w:r>
          </w:p>
        </w:tc>
        <w:tc>
          <w:tcPr>
            <w:tcW w:w="1208" w:type="dxa"/>
            <w:tcBorders>
              <w:top w:val="nil"/>
              <w:left w:val="nil"/>
              <w:bottom w:val="nil"/>
              <w:right w:val="nil"/>
            </w:tcBorders>
            <w:shd w:val="clear" w:color="auto" w:fill="auto"/>
            <w:vAlign w:val="center"/>
            <w:hideMark/>
          </w:tcPr>
          <w:p w14:paraId="3110CB06"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1 066 518</w:t>
            </w:r>
          </w:p>
        </w:tc>
        <w:tc>
          <w:tcPr>
            <w:tcW w:w="1134" w:type="dxa"/>
            <w:tcBorders>
              <w:top w:val="nil"/>
              <w:left w:val="nil"/>
              <w:bottom w:val="nil"/>
              <w:right w:val="nil"/>
            </w:tcBorders>
            <w:shd w:val="clear" w:color="000000" w:fill="FFFFFF"/>
            <w:vAlign w:val="center"/>
            <w:hideMark/>
          </w:tcPr>
          <w:p w14:paraId="6C497799"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1 028 943</w:t>
            </w:r>
          </w:p>
        </w:tc>
        <w:tc>
          <w:tcPr>
            <w:tcW w:w="1134" w:type="dxa"/>
            <w:tcBorders>
              <w:top w:val="nil"/>
              <w:left w:val="nil"/>
              <w:bottom w:val="nil"/>
              <w:right w:val="nil"/>
            </w:tcBorders>
            <w:shd w:val="clear" w:color="auto" w:fill="auto"/>
            <w:vAlign w:val="center"/>
            <w:hideMark/>
          </w:tcPr>
          <w:p w14:paraId="597E214A"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1 142 835</w:t>
            </w:r>
          </w:p>
        </w:tc>
        <w:tc>
          <w:tcPr>
            <w:tcW w:w="992" w:type="dxa"/>
            <w:tcBorders>
              <w:top w:val="nil"/>
              <w:left w:val="nil"/>
              <w:bottom w:val="nil"/>
              <w:right w:val="nil"/>
            </w:tcBorders>
            <w:shd w:val="clear" w:color="auto" w:fill="auto"/>
            <w:vAlign w:val="center"/>
            <w:hideMark/>
          </w:tcPr>
          <w:p w14:paraId="56D005B3"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1 071 926</w:t>
            </w:r>
          </w:p>
        </w:tc>
        <w:tc>
          <w:tcPr>
            <w:tcW w:w="1134" w:type="dxa"/>
            <w:tcBorders>
              <w:top w:val="nil"/>
              <w:left w:val="nil"/>
              <w:bottom w:val="nil"/>
              <w:right w:val="nil"/>
            </w:tcBorders>
            <w:shd w:val="clear" w:color="auto" w:fill="auto"/>
            <w:vAlign w:val="center"/>
            <w:hideMark/>
          </w:tcPr>
          <w:p w14:paraId="05777A80"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-70 909</w:t>
            </w:r>
          </w:p>
        </w:tc>
        <w:tc>
          <w:tcPr>
            <w:tcW w:w="850" w:type="dxa"/>
            <w:tcBorders>
              <w:top w:val="nil"/>
              <w:left w:val="nil"/>
              <w:bottom w:val="nil"/>
              <w:right w:val="nil"/>
            </w:tcBorders>
            <w:shd w:val="clear" w:color="auto" w:fill="auto"/>
            <w:vAlign w:val="center"/>
            <w:hideMark/>
          </w:tcPr>
          <w:p w14:paraId="53A32524"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-6,2</w:t>
            </w:r>
          </w:p>
        </w:tc>
      </w:tr>
      <w:tr w:rsidR="00212A07" w:rsidRPr="00212A07" w14:paraId="178CB6EF" w14:textId="77777777" w:rsidTr="00E377E5">
        <w:trPr>
          <w:trHeight w:val="540"/>
        </w:trPr>
        <w:tc>
          <w:tcPr>
            <w:tcW w:w="2620" w:type="dxa"/>
            <w:tcBorders>
              <w:top w:val="nil"/>
              <w:left w:val="nil"/>
              <w:bottom w:val="nil"/>
              <w:right w:val="nil"/>
            </w:tcBorders>
            <w:shd w:val="clear" w:color="auto" w:fill="auto"/>
            <w:vAlign w:val="center"/>
            <w:hideMark/>
          </w:tcPr>
          <w:p w14:paraId="5D6807CF" w14:textId="77777777" w:rsidR="00212A07" w:rsidRPr="00212A07" w:rsidRDefault="00212A07" w:rsidP="00212A07">
            <w:pPr>
              <w:spacing w:after="0" w:line="240" w:lineRule="auto"/>
              <w:jc w:val="left"/>
              <w:rPr>
                <w:rFonts w:eastAsia="Times New Roman" w:cs="Times New Roman"/>
                <w:color w:val="000000"/>
                <w:sz w:val="18"/>
                <w:szCs w:val="18"/>
                <w:lang w:eastAsia="sk-SK"/>
              </w:rPr>
            </w:pPr>
            <w:r w:rsidRPr="00212A07">
              <w:rPr>
                <w:rFonts w:eastAsia="Times New Roman" w:cs="Times New Roman"/>
                <w:color w:val="000000"/>
                <w:sz w:val="18"/>
                <w:szCs w:val="18"/>
                <w:lang w:eastAsia="sk-SK"/>
              </w:rPr>
              <w:t>Transfery do tuzemských finančných inštitúcií</w:t>
            </w:r>
          </w:p>
        </w:tc>
        <w:tc>
          <w:tcPr>
            <w:tcW w:w="1208" w:type="dxa"/>
            <w:tcBorders>
              <w:top w:val="nil"/>
              <w:left w:val="nil"/>
              <w:bottom w:val="nil"/>
              <w:right w:val="nil"/>
            </w:tcBorders>
            <w:shd w:val="clear" w:color="auto" w:fill="auto"/>
            <w:vAlign w:val="center"/>
            <w:hideMark/>
          </w:tcPr>
          <w:p w14:paraId="7B008755"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3 434</w:t>
            </w:r>
          </w:p>
        </w:tc>
        <w:tc>
          <w:tcPr>
            <w:tcW w:w="1134" w:type="dxa"/>
            <w:tcBorders>
              <w:top w:val="nil"/>
              <w:left w:val="nil"/>
              <w:bottom w:val="nil"/>
              <w:right w:val="nil"/>
            </w:tcBorders>
            <w:shd w:val="clear" w:color="000000" w:fill="FFFFFF"/>
            <w:vAlign w:val="center"/>
            <w:hideMark/>
          </w:tcPr>
          <w:p w14:paraId="5E54C0BD"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16 474</w:t>
            </w:r>
          </w:p>
        </w:tc>
        <w:tc>
          <w:tcPr>
            <w:tcW w:w="1134" w:type="dxa"/>
            <w:tcBorders>
              <w:top w:val="nil"/>
              <w:left w:val="nil"/>
              <w:bottom w:val="nil"/>
              <w:right w:val="nil"/>
            </w:tcBorders>
            <w:shd w:val="clear" w:color="auto" w:fill="auto"/>
            <w:vAlign w:val="center"/>
            <w:hideMark/>
          </w:tcPr>
          <w:p w14:paraId="7472EC0C"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7 413</w:t>
            </w:r>
          </w:p>
        </w:tc>
        <w:tc>
          <w:tcPr>
            <w:tcW w:w="992" w:type="dxa"/>
            <w:tcBorders>
              <w:top w:val="nil"/>
              <w:left w:val="nil"/>
              <w:bottom w:val="nil"/>
              <w:right w:val="nil"/>
            </w:tcBorders>
            <w:shd w:val="clear" w:color="auto" w:fill="auto"/>
            <w:vAlign w:val="center"/>
            <w:hideMark/>
          </w:tcPr>
          <w:p w14:paraId="77D67CF2"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122 161</w:t>
            </w:r>
          </w:p>
        </w:tc>
        <w:tc>
          <w:tcPr>
            <w:tcW w:w="1134" w:type="dxa"/>
            <w:tcBorders>
              <w:top w:val="nil"/>
              <w:left w:val="nil"/>
              <w:bottom w:val="nil"/>
              <w:right w:val="nil"/>
            </w:tcBorders>
            <w:shd w:val="clear" w:color="auto" w:fill="auto"/>
            <w:vAlign w:val="center"/>
            <w:hideMark/>
          </w:tcPr>
          <w:p w14:paraId="7A844207"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114 748</w:t>
            </w:r>
          </w:p>
        </w:tc>
        <w:tc>
          <w:tcPr>
            <w:tcW w:w="850" w:type="dxa"/>
            <w:tcBorders>
              <w:top w:val="nil"/>
              <w:left w:val="nil"/>
              <w:bottom w:val="nil"/>
              <w:right w:val="nil"/>
            </w:tcBorders>
            <w:shd w:val="clear" w:color="auto" w:fill="auto"/>
            <w:vAlign w:val="center"/>
            <w:hideMark/>
          </w:tcPr>
          <w:p w14:paraId="3EE5F8F5"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1547,9</w:t>
            </w:r>
          </w:p>
        </w:tc>
      </w:tr>
      <w:tr w:rsidR="00212A07" w:rsidRPr="00212A07" w14:paraId="2B47F643" w14:textId="77777777" w:rsidTr="00E377E5">
        <w:trPr>
          <w:trHeight w:val="300"/>
        </w:trPr>
        <w:tc>
          <w:tcPr>
            <w:tcW w:w="2620" w:type="dxa"/>
            <w:tcBorders>
              <w:top w:val="single" w:sz="4" w:space="0" w:color="auto"/>
              <w:left w:val="nil"/>
              <w:bottom w:val="single" w:sz="4" w:space="0" w:color="auto"/>
              <w:right w:val="nil"/>
            </w:tcBorders>
            <w:shd w:val="clear" w:color="auto" w:fill="auto"/>
            <w:vAlign w:val="center"/>
            <w:hideMark/>
          </w:tcPr>
          <w:p w14:paraId="0C529FD5" w14:textId="77777777" w:rsidR="00212A07" w:rsidRPr="00212A07" w:rsidRDefault="00212A07" w:rsidP="00212A07">
            <w:pPr>
              <w:spacing w:after="0" w:line="240" w:lineRule="auto"/>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Spolu</w:t>
            </w:r>
          </w:p>
        </w:tc>
        <w:tc>
          <w:tcPr>
            <w:tcW w:w="1208" w:type="dxa"/>
            <w:tcBorders>
              <w:top w:val="single" w:sz="4" w:space="0" w:color="auto"/>
              <w:left w:val="nil"/>
              <w:bottom w:val="single" w:sz="4" w:space="0" w:color="auto"/>
              <w:right w:val="nil"/>
            </w:tcBorders>
            <w:shd w:val="clear" w:color="auto" w:fill="auto"/>
            <w:noWrap/>
            <w:vAlign w:val="center"/>
            <w:hideMark/>
          </w:tcPr>
          <w:p w14:paraId="58CA59E9" w14:textId="77777777" w:rsidR="00212A07" w:rsidRPr="00212A07" w:rsidRDefault="00212A07" w:rsidP="00212A07">
            <w:pPr>
              <w:spacing w:after="0" w:line="240" w:lineRule="auto"/>
              <w:jc w:val="right"/>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15 835 023</w:t>
            </w:r>
          </w:p>
        </w:tc>
        <w:tc>
          <w:tcPr>
            <w:tcW w:w="1134" w:type="dxa"/>
            <w:tcBorders>
              <w:top w:val="single" w:sz="4" w:space="0" w:color="auto"/>
              <w:left w:val="nil"/>
              <w:bottom w:val="single" w:sz="4" w:space="0" w:color="auto"/>
              <w:right w:val="nil"/>
            </w:tcBorders>
            <w:shd w:val="clear" w:color="auto" w:fill="auto"/>
            <w:noWrap/>
            <w:vAlign w:val="center"/>
            <w:hideMark/>
          </w:tcPr>
          <w:p w14:paraId="65E82DF0" w14:textId="77777777" w:rsidR="00212A07" w:rsidRPr="00212A07" w:rsidRDefault="00212A07" w:rsidP="00212A07">
            <w:pPr>
              <w:spacing w:after="0" w:line="240" w:lineRule="auto"/>
              <w:jc w:val="right"/>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14 822 787</w:t>
            </w:r>
          </w:p>
        </w:tc>
        <w:tc>
          <w:tcPr>
            <w:tcW w:w="1134" w:type="dxa"/>
            <w:tcBorders>
              <w:top w:val="single" w:sz="4" w:space="0" w:color="auto"/>
              <w:left w:val="nil"/>
              <w:bottom w:val="single" w:sz="4" w:space="0" w:color="auto"/>
              <w:right w:val="nil"/>
            </w:tcBorders>
            <w:shd w:val="clear" w:color="auto" w:fill="auto"/>
            <w:noWrap/>
            <w:vAlign w:val="center"/>
            <w:hideMark/>
          </w:tcPr>
          <w:p w14:paraId="1737386A" w14:textId="77777777" w:rsidR="00212A07" w:rsidRPr="00212A07" w:rsidRDefault="00212A07" w:rsidP="00212A07">
            <w:pPr>
              <w:spacing w:after="0" w:line="240" w:lineRule="auto"/>
              <w:jc w:val="right"/>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15 696 756</w:t>
            </w:r>
          </w:p>
        </w:tc>
        <w:tc>
          <w:tcPr>
            <w:tcW w:w="992" w:type="dxa"/>
            <w:tcBorders>
              <w:top w:val="single" w:sz="4" w:space="0" w:color="auto"/>
              <w:left w:val="nil"/>
              <w:bottom w:val="single" w:sz="4" w:space="0" w:color="auto"/>
              <w:right w:val="nil"/>
            </w:tcBorders>
            <w:shd w:val="clear" w:color="auto" w:fill="auto"/>
            <w:noWrap/>
            <w:vAlign w:val="center"/>
            <w:hideMark/>
          </w:tcPr>
          <w:p w14:paraId="3C7C0763" w14:textId="77777777" w:rsidR="00212A07" w:rsidRPr="00212A07" w:rsidRDefault="00212A07" w:rsidP="00212A07">
            <w:pPr>
              <w:spacing w:after="0" w:line="240" w:lineRule="auto"/>
              <w:jc w:val="right"/>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20 046 164</w:t>
            </w:r>
          </w:p>
        </w:tc>
        <w:tc>
          <w:tcPr>
            <w:tcW w:w="1134" w:type="dxa"/>
            <w:tcBorders>
              <w:top w:val="single" w:sz="4" w:space="0" w:color="auto"/>
              <w:left w:val="nil"/>
              <w:bottom w:val="single" w:sz="4" w:space="0" w:color="auto"/>
              <w:right w:val="nil"/>
            </w:tcBorders>
            <w:shd w:val="clear" w:color="auto" w:fill="auto"/>
            <w:vAlign w:val="center"/>
            <w:hideMark/>
          </w:tcPr>
          <w:p w14:paraId="7D342260" w14:textId="77777777" w:rsidR="00212A07" w:rsidRPr="00212A07" w:rsidRDefault="00212A07" w:rsidP="00212A07">
            <w:pPr>
              <w:spacing w:after="0" w:line="240" w:lineRule="auto"/>
              <w:jc w:val="right"/>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4 349 408</w:t>
            </w:r>
          </w:p>
        </w:tc>
        <w:tc>
          <w:tcPr>
            <w:tcW w:w="850" w:type="dxa"/>
            <w:tcBorders>
              <w:top w:val="single" w:sz="4" w:space="0" w:color="auto"/>
              <w:left w:val="nil"/>
              <w:bottom w:val="single" w:sz="4" w:space="0" w:color="auto"/>
              <w:right w:val="nil"/>
            </w:tcBorders>
            <w:shd w:val="clear" w:color="auto" w:fill="auto"/>
            <w:vAlign w:val="center"/>
            <w:hideMark/>
          </w:tcPr>
          <w:p w14:paraId="5417ACAB" w14:textId="77777777" w:rsidR="00212A07" w:rsidRPr="00212A07" w:rsidRDefault="00212A07" w:rsidP="00212A07">
            <w:pPr>
              <w:spacing w:after="0" w:line="240" w:lineRule="auto"/>
              <w:jc w:val="right"/>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27,7</w:t>
            </w:r>
          </w:p>
        </w:tc>
      </w:tr>
    </w:tbl>
    <w:p w14:paraId="3862DD8B" w14:textId="77B9E110" w:rsidR="00A86470" w:rsidRPr="00212A07" w:rsidRDefault="00212A07" w:rsidP="00212A07">
      <w:pPr>
        <w:spacing w:line="240" w:lineRule="auto"/>
        <w:jc w:val="right"/>
        <w:rPr>
          <w:rFonts w:eastAsia="Calibri" w:cs="Times New Roman"/>
          <w:sz w:val="18"/>
          <w:szCs w:val="18"/>
        </w:rPr>
      </w:pPr>
      <w:r w:rsidRPr="00212A07">
        <w:rPr>
          <w:rFonts w:eastAsia="Calibri" w:cs="Times New Roman"/>
          <w:sz w:val="18"/>
          <w:szCs w:val="18"/>
        </w:rPr>
        <w:t>Zdroj: MF SR</w:t>
      </w:r>
    </w:p>
    <w:p w14:paraId="6C090E49" w14:textId="2F19B3C7" w:rsidR="00212A07" w:rsidRPr="00D40F03" w:rsidRDefault="00212A07" w:rsidP="008E112F">
      <w:pPr>
        <w:spacing w:line="240" w:lineRule="auto"/>
        <w:rPr>
          <w:rFonts w:eastAsia="Calibri" w:cs="Times New Roman"/>
        </w:rPr>
      </w:pPr>
      <w:r w:rsidRPr="00D40F03">
        <w:rPr>
          <w:rFonts w:eastAsia="Times New Roman" w:cs="Times New Roman"/>
          <w:sz w:val="24"/>
          <w:szCs w:val="24"/>
          <w:lang w:eastAsia="sk-SK"/>
        </w:rPr>
        <w:t xml:space="preserve">Najvyššiu hodnotu bežných transferov dosiahli </w:t>
      </w:r>
      <w:r w:rsidRPr="00D40F03">
        <w:rPr>
          <w:rFonts w:eastAsia="Times New Roman" w:cs="Times New Roman"/>
          <w:b/>
          <w:sz w:val="24"/>
          <w:szCs w:val="24"/>
          <w:lang w:eastAsia="sk-SK"/>
        </w:rPr>
        <w:t>transfery v rámci verejnej správy</w:t>
      </w:r>
      <w:r w:rsidRPr="00D40F03">
        <w:rPr>
          <w:rFonts w:eastAsia="Times New Roman" w:cs="Times New Roman"/>
          <w:sz w:val="24"/>
          <w:szCs w:val="24"/>
          <w:lang w:eastAsia="sk-SK"/>
        </w:rPr>
        <w:t>, ktoré boli rozpočtované v sume 6 153 343 tis. eur a ich skutočné čerpanie vo výške 7 726 188 tis. eur.</w:t>
      </w:r>
      <w:r w:rsidRPr="00D40F03">
        <w:rPr>
          <w:rFonts w:eastAsia="Times New Roman" w:cs="Times New Roman"/>
          <w:color w:val="FF0000"/>
          <w:sz w:val="24"/>
          <w:szCs w:val="24"/>
          <w:lang w:eastAsia="sk-SK"/>
        </w:rPr>
        <w:t xml:space="preserve"> </w:t>
      </w:r>
      <w:r w:rsidRPr="00D40F03">
        <w:rPr>
          <w:rFonts w:eastAsia="Times New Roman" w:cs="Times New Roman"/>
          <w:sz w:val="24"/>
          <w:szCs w:val="24"/>
        </w:rPr>
        <w:t>Predstavujú platby subjektom, ktoré sú v registri organizácií vedenom Štatistickým úradom SR klasifikované pod jedným zo subsektorov ústredná správa (S.1311), územná samospráva (S.1313) alebo fondy sociálneho a zdravotného zabezpečenia (S.1314).</w:t>
      </w:r>
    </w:p>
    <w:p w14:paraId="475B1A1C" w14:textId="77777777" w:rsidR="00E377E5" w:rsidRDefault="00E377E5">
      <w:r>
        <w:br w:type="page"/>
      </w:r>
    </w:p>
    <w:tbl>
      <w:tblPr>
        <w:tblW w:w="9356" w:type="dxa"/>
        <w:tblCellMar>
          <w:left w:w="70" w:type="dxa"/>
          <w:right w:w="70" w:type="dxa"/>
        </w:tblCellMar>
        <w:tblLook w:val="04A0" w:firstRow="1" w:lastRow="0" w:firstColumn="1" w:lastColumn="0" w:noHBand="0" w:noVBand="1"/>
      </w:tblPr>
      <w:tblGrid>
        <w:gridCol w:w="3402"/>
        <w:gridCol w:w="1134"/>
        <w:gridCol w:w="1134"/>
        <w:gridCol w:w="993"/>
        <w:gridCol w:w="992"/>
        <w:gridCol w:w="1025"/>
        <w:gridCol w:w="676"/>
      </w:tblGrid>
      <w:tr w:rsidR="00212A07" w:rsidRPr="00212A07" w14:paraId="093894F5" w14:textId="77777777" w:rsidTr="00E377E5">
        <w:trPr>
          <w:gridAfter w:val="1"/>
          <w:wAfter w:w="676" w:type="dxa"/>
          <w:trHeight w:val="276"/>
        </w:trPr>
        <w:tc>
          <w:tcPr>
            <w:tcW w:w="8680" w:type="dxa"/>
            <w:gridSpan w:val="6"/>
            <w:tcBorders>
              <w:top w:val="nil"/>
              <w:left w:val="nil"/>
              <w:bottom w:val="nil"/>
              <w:right w:val="nil"/>
            </w:tcBorders>
            <w:shd w:val="clear" w:color="auto" w:fill="auto"/>
            <w:noWrap/>
            <w:vAlign w:val="bottom"/>
            <w:hideMark/>
          </w:tcPr>
          <w:p w14:paraId="4DC49297" w14:textId="7671C3E1" w:rsidR="00212A07" w:rsidRPr="00212A07" w:rsidRDefault="00E377E5" w:rsidP="004A6E2F">
            <w:pPr>
              <w:spacing w:after="0" w:line="240" w:lineRule="auto"/>
              <w:jc w:val="left"/>
              <w:rPr>
                <w:rFonts w:eastAsia="Times New Roman" w:cs="Times New Roman"/>
                <w:sz w:val="20"/>
                <w:szCs w:val="20"/>
                <w:lang w:eastAsia="sk-SK"/>
              </w:rPr>
            </w:pPr>
            <w:r>
              <w:rPr>
                <w:rFonts w:eastAsia="Times New Roman" w:cs="Times New Roman"/>
                <w:b/>
                <w:bCs/>
                <w:color w:val="5B9BD5"/>
                <w:sz w:val="20"/>
                <w:szCs w:val="20"/>
                <w:lang w:eastAsia="sk-SK"/>
              </w:rPr>
              <w:lastRenderedPageBreak/>
              <w:t>Tabuľka 3</w:t>
            </w:r>
            <w:r w:rsidR="004A6E2F">
              <w:rPr>
                <w:rFonts w:eastAsia="Times New Roman" w:cs="Times New Roman"/>
                <w:b/>
                <w:bCs/>
                <w:color w:val="5B9BD5"/>
                <w:sz w:val="20"/>
                <w:szCs w:val="20"/>
                <w:lang w:eastAsia="sk-SK"/>
              </w:rPr>
              <w:t>5</w:t>
            </w:r>
            <w:r>
              <w:rPr>
                <w:rFonts w:eastAsia="Times New Roman" w:cs="Times New Roman"/>
                <w:b/>
                <w:bCs/>
                <w:color w:val="5B9BD5"/>
                <w:sz w:val="20"/>
                <w:szCs w:val="20"/>
                <w:lang w:eastAsia="sk-SK"/>
              </w:rPr>
              <w:t xml:space="preserve"> – </w:t>
            </w:r>
            <w:r w:rsidR="00212A07" w:rsidRPr="00212A07">
              <w:rPr>
                <w:rFonts w:eastAsia="Times New Roman" w:cs="Times New Roman"/>
                <w:b/>
                <w:bCs/>
                <w:color w:val="5B9BD5"/>
                <w:sz w:val="20"/>
                <w:szCs w:val="20"/>
                <w:lang w:eastAsia="sk-SK"/>
              </w:rPr>
              <w:t>Transfery</w:t>
            </w:r>
            <w:r>
              <w:rPr>
                <w:rFonts w:eastAsia="Times New Roman" w:cs="Times New Roman"/>
                <w:b/>
                <w:bCs/>
                <w:color w:val="5B9BD5"/>
                <w:sz w:val="20"/>
                <w:szCs w:val="20"/>
                <w:lang w:eastAsia="sk-SK"/>
              </w:rPr>
              <w:t xml:space="preserve"> </w:t>
            </w:r>
            <w:r w:rsidR="00212A07" w:rsidRPr="00212A07">
              <w:rPr>
                <w:rFonts w:eastAsia="Times New Roman" w:cs="Times New Roman"/>
                <w:b/>
                <w:bCs/>
                <w:color w:val="5B9BD5"/>
                <w:sz w:val="20"/>
                <w:szCs w:val="20"/>
                <w:lang w:eastAsia="sk-SK"/>
              </w:rPr>
              <w:t>v rámci verejnej správy</w:t>
            </w:r>
          </w:p>
        </w:tc>
      </w:tr>
      <w:tr w:rsidR="00212A07" w:rsidRPr="00212A07" w14:paraId="412D3280" w14:textId="77777777" w:rsidTr="00E377E5">
        <w:trPr>
          <w:trHeight w:val="276"/>
        </w:trPr>
        <w:tc>
          <w:tcPr>
            <w:tcW w:w="3402" w:type="dxa"/>
            <w:vMerge w:val="restart"/>
            <w:tcBorders>
              <w:top w:val="single" w:sz="4" w:space="0" w:color="auto"/>
              <w:left w:val="nil"/>
              <w:right w:val="nil"/>
            </w:tcBorders>
            <w:shd w:val="clear" w:color="000000" w:fill="FFFFFF"/>
            <w:vAlign w:val="center"/>
            <w:hideMark/>
          </w:tcPr>
          <w:p w14:paraId="5AB73645" w14:textId="3260DA17" w:rsidR="00212A07" w:rsidRPr="00212A07" w:rsidRDefault="00212A07" w:rsidP="00E377E5">
            <w:pPr>
              <w:spacing w:after="0" w:line="240" w:lineRule="auto"/>
              <w:jc w:val="left"/>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v tis. eur</w:t>
            </w:r>
          </w:p>
        </w:tc>
        <w:tc>
          <w:tcPr>
            <w:tcW w:w="1134" w:type="dxa"/>
            <w:tcBorders>
              <w:top w:val="single" w:sz="4" w:space="0" w:color="auto"/>
              <w:left w:val="nil"/>
              <w:bottom w:val="nil"/>
              <w:right w:val="nil"/>
            </w:tcBorders>
            <w:shd w:val="clear" w:color="000000" w:fill="FFFFFF"/>
            <w:noWrap/>
            <w:vAlign w:val="center"/>
            <w:hideMark/>
          </w:tcPr>
          <w:p w14:paraId="41A9E8E8"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2021 S</w:t>
            </w:r>
          </w:p>
        </w:tc>
        <w:tc>
          <w:tcPr>
            <w:tcW w:w="1134" w:type="dxa"/>
            <w:tcBorders>
              <w:top w:val="single" w:sz="4" w:space="0" w:color="auto"/>
              <w:left w:val="nil"/>
              <w:bottom w:val="nil"/>
              <w:right w:val="nil"/>
            </w:tcBorders>
            <w:shd w:val="clear" w:color="000000" w:fill="FFFFFF"/>
            <w:noWrap/>
            <w:vAlign w:val="center"/>
            <w:hideMark/>
          </w:tcPr>
          <w:p w14:paraId="2E58DF14"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2022 S</w:t>
            </w:r>
          </w:p>
        </w:tc>
        <w:tc>
          <w:tcPr>
            <w:tcW w:w="993" w:type="dxa"/>
            <w:tcBorders>
              <w:top w:val="single" w:sz="4" w:space="0" w:color="auto"/>
              <w:left w:val="nil"/>
              <w:bottom w:val="nil"/>
              <w:right w:val="nil"/>
            </w:tcBorders>
            <w:shd w:val="clear" w:color="000000" w:fill="FFFFFF"/>
            <w:noWrap/>
            <w:vAlign w:val="center"/>
            <w:hideMark/>
          </w:tcPr>
          <w:p w14:paraId="2272D118"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2023 R</w:t>
            </w:r>
          </w:p>
        </w:tc>
        <w:tc>
          <w:tcPr>
            <w:tcW w:w="992" w:type="dxa"/>
            <w:tcBorders>
              <w:top w:val="single" w:sz="4" w:space="0" w:color="auto"/>
              <w:left w:val="nil"/>
              <w:bottom w:val="nil"/>
              <w:right w:val="nil"/>
            </w:tcBorders>
            <w:shd w:val="clear" w:color="000000" w:fill="FFFFFF"/>
            <w:noWrap/>
            <w:vAlign w:val="center"/>
            <w:hideMark/>
          </w:tcPr>
          <w:p w14:paraId="29CC3C7E"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2023 S</w:t>
            </w:r>
          </w:p>
        </w:tc>
        <w:tc>
          <w:tcPr>
            <w:tcW w:w="1025" w:type="dxa"/>
            <w:tcBorders>
              <w:top w:val="single" w:sz="4" w:space="0" w:color="auto"/>
              <w:left w:val="nil"/>
              <w:bottom w:val="nil"/>
              <w:right w:val="nil"/>
            </w:tcBorders>
            <w:shd w:val="clear" w:color="000000" w:fill="FFFFFF"/>
            <w:noWrap/>
            <w:vAlign w:val="center"/>
            <w:hideMark/>
          </w:tcPr>
          <w:p w14:paraId="1B397F26"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Rozdiel</w:t>
            </w:r>
          </w:p>
        </w:tc>
        <w:tc>
          <w:tcPr>
            <w:tcW w:w="676" w:type="dxa"/>
            <w:tcBorders>
              <w:top w:val="single" w:sz="4" w:space="0" w:color="auto"/>
              <w:left w:val="nil"/>
              <w:bottom w:val="nil"/>
              <w:right w:val="nil"/>
            </w:tcBorders>
            <w:shd w:val="clear" w:color="000000" w:fill="FFFFFF"/>
            <w:noWrap/>
            <w:vAlign w:val="center"/>
            <w:hideMark/>
          </w:tcPr>
          <w:p w14:paraId="07CF9253"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v %</w:t>
            </w:r>
          </w:p>
        </w:tc>
      </w:tr>
      <w:tr w:rsidR="00212A07" w:rsidRPr="00212A07" w14:paraId="26502D5A" w14:textId="77777777" w:rsidTr="00E377E5">
        <w:trPr>
          <w:trHeight w:val="276"/>
        </w:trPr>
        <w:tc>
          <w:tcPr>
            <w:tcW w:w="3402" w:type="dxa"/>
            <w:vMerge/>
            <w:tcBorders>
              <w:left w:val="nil"/>
              <w:bottom w:val="single" w:sz="4" w:space="0" w:color="auto"/>
              <w:right w:val="nil"/>
            </w:tcBorders>
            <w:shd w:val="clear" w:color="000000" w:fill="FFFFFF"/>
            <w:vAlign w:val="center"/>
            <w:hideMark/>
          </w:tcPr>
          <w:p w14:paraId="7DF722C0" w14:textId="616BDC1D" w:rsidR="00212A07" w:rsidRPr="00212A07" w:rsidRDefault="00212A07" w:rsidP="00212A07">
            <w:pPr>
              <w:spacing w:after="0" w:line="240" w:lineRule="auto"/>
              <w:jc w:val="center"/>
              <w:rPr>
                <w:rFonts w:eastAsia="Times New Roman" w:cs="Times New Roman"/>
                <w:b/>
                <w:bCs/>
                <w:color w:val="000000"/>
                <w:sz w:val="18"/>
                <w:szCs w:val="18"/>
                <w:lang w:eastAsia="sk-SK"/>
              </w:rPr>
            </w:pPr>
          </w:p>
        </w:tc>
        <w:tc>
          <w:tcPr>
            <w:tcW w:w="1134" w:type="dxa"/>
            <w:tcBorders>
              <w:top w:val="nil"/>
              <w:left w:val="nil"/>
              <w:bottom w:val="single" w:sz="4" w:space="0" w:color="auto"/>
              <w:right w:val="nil"/>
            </w:tcBorders>
            <w:shd w:val="clear" w:color="000000" w:fill="FFFFFF"/>
            <w:noWrap/>
            <w:vAlign w:val="center"/>
            <w:hideMark/>
          </w:tcPr>
          <w:p w14:paraId="0CFD202E" w14:textId="4EBCF0DE" w:rsidR="00212A07" w:rsidRPr="00212A07" w:rsidRDefault="00E377E5" w:rsidP="00212A07">
            <w:pPr>
              <w:spacing w:after="0" w:line="240" w:lineRule="auto"/>
              <w:jc w:val="center"/>
              <w:rPr>
                <w:rFonts w:eastAsia="Times New Roman" w:cs="Times New Roman"/>
                <w:b/>
                <w:bCs/>
                <w:color w:val="000000"/>
                <w:sz w:val="18"/>
                <w:szCs w:val="18"/>
                <w:lang w:eastAsia="sk-SK"/>
              </w:rPr>
            </w:pPr>
            <w:r>
              <w:rPr>
                <w:rFonts w:eastAsia="Times New Roman" w:cs="Times New Roman"/>
                <w:b/>
                <w:bCs/>
                <w:color w:val="000000"/>
                <w:sz w:val="18"/>
                <w:szCs w:val="18"/>
                <w:lang w:eastAsia="sk-SK"/>
              </w:rPr>
              <w:t>1</w:t>
            </w:r>
          </w:p>
        </w:tc>
        <w:tc>
          <w:tcPr>
            <w:tcW w:w="1134" w:type="dxa"/>
            <w:tcBorders>
              <w:top w:val="nil"/>
              <w:left w:val="nil"/>
              <w:bottom w:val="single" w:sz="4" w:space="0" w:color="auto"/>
              <w:right w:val="nil"/>
            </w:tcBorders>
            <w:shd w:val="clear" w:color="000000" w:fill="FFFFFF"/>
            <w:noWrap/>
            <w:vAlign w:val="center"/>
            <w:hideMark/>
          </w:tcPr>
          <w:p w14:paraId="65C84513" w14:textId="5E215207" w:rsidR="00212A07" w:rsidRPr="00212A07" w:rsidRDefault="00E377E5" w:rsidP="00212A07">
            <w:pPr>
              <w:spacing w:after="0" w:line="240" w:lineRule="auto"/>
              <w:jc w:val="center"/>
              <w:rPr>
                <w:rFonts w:eastAsia="Times New Roman" w:cs="Times New Roman"/>
                <w:b/>
                <w:bCs/>
                <w:color w:val="000000"/>
                <w:sz w:val="18"/>
                <w:szCs w:val="18"/>
                <w:lang w:eastAsia="sk-SK"/>
              </w:rPr>
            </w:pPr>
            <w:r>
              <w:rPr>
                <w:rFonts w:eastAsia="Times New Roman" w:cs="Times New Roman"/>
                <w:b/>
                <w:bCs/>
                <w:color w:val="000000"/>
                <w:sz w:val="18"/>
                <w:szCs w:val="18"/>
                <w:lang w:eastAsia="sk-SK"/>
              </w:rPr>
              <w:t>2</w:t>
            </w:r>
          </w:p>
        </w:tc>
        <w:tc>
          <w:tcPr>
            <w:tcW w:w="993" w:type="dxa"/>
            <w:tcBorders>
              <w:top w:val="nil"/>
              <w:left w:val="nil"/>
              <w:bottom w:val="single" w:sz="4" w:space="0" w:color="auto"/>
              <w:right w:val="nil"/>
            </w:tcBorders>
            <w:shd w:val="clear" w:color="000000" w:fill="FFFFFF"/>
            <w:noWrap/>
            <w:vAlign w:val="center"/>
            <w:hideMark/>
          </w:tcPr>
          <w:p w14:paraId="4F0EC4DD"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3</w:t>
            </w:r>
          </w:p>
        </w:tc>
        <w:tc>
          <w:tcPr>
            <w:tcW w:w="992" w:type="dxa"/>
            <w:tcBorders>
              <w:top w:val="nil"/>
              <w:left w:val="nil"/>
              <w:bottom w:val="single" w:sz="4" w:space="0" w:color="auto"/>
              <w:right w:val="nil"/>
            </w:tcBorders>
            <w:shd w:val="clear" w:color="000000" w:fill="FFFFFF"/>
            <w:noWrap/>
            <w:vAlign w:val="center"/>
            <w:hideMark/>
          </w:tcPr>
          <w:p w14:paraId="04A33FC2"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4</w:t>
            </w:r>
          </w:p>
        </w:tc>
        <w:tc>
          <w:tcPr>
            <w:tcW w:w="1025" w:type="dxa"/>
            <w:tcBorders>
              <w:top w:val="nil"/>
              <w:left w:val="nil"/>
              <w:bottom w:val="single" w:sz="4" w:space="0" w:color="auto"/>
              <w:right w:val="nil"/>
            </w:tcBorders>
            <w:shd w:val="clear" w:color="000000" w:fill="FFFFFF"/>
            <w:noWrap/>
            <w:vAlign w:val="center"/>
            <w:hideMark/>
          </w:tcPr>
          <w:p w14:paraId="05D1B76B"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5=4-3</w:t>
            </w:r>
          </w:p>
        </w:tc>
        <w:tc>
          <w:tcPr>
            <w:tcW w:w="676" w:type="dxa"/>
            <w:tcBorders>
              <w:top w:val="nil"/>
              <w:left w:val="nil"/>
              <w:bottom w:val="single" w:sz="4" w:space="0" w:color="auto"/>
              <w:right w:val="nil"/>
            </w:tcBorders>
            <w:shd w:val="clear" w:color="000000" w:fill="FFFFFF"/>
            <w:noWrap/>
            <w:vAlign w:val="center"/>
            <w:hideMark/>
          </w:tcPr>
          <w:p w14:paraId="5976315A" w14:textId="77777777" w:rsidR="00212A07" w:rsidRPr="00212A07" w:rsidRDefault="00212A07" w:rsidP="00212A07">
            <w:pPr>
              <w:spacing w:after="0" w:line="240" w:lineRule="auto"/>
              <w:jc w:val="center"/>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6=4-3</w:t>
            </w:r>
          </w:p>
        </w:tc>
      </w:tr>
      <w:tr w:rsidR="00E377E5" w:rsidRPr="00212A07" w14:paraId="0D974D1A" w14:textId="77777777" w:rsidTr="00E377E5">
        <w:trPr>
          <w:trHeight w:val="345"/>
        </w:trPr>
        <w:tc>
          <w:tcPr>
            <w:tcW w:w="3402" w:type="dxa"/>
            <w:tcBorders>
              <w:top w:val="nil"/>
              <w:left w:val="nil"/>
              <w:bottom w:val="nil"/>
              <w:right w:val="nil"/>
            </w:tcBorders>
            <w:shd w:val="clear" w:color="auto" w:fill="auto"/>
            <w:vAlign w:val="center"/>
            <w:hideMark/>
          </w:tcPr>
          <w:p w14:paraId="6CE89F7F" w14:textId="77777777" w:rsidR="00212A07" w:rsidRPr="00212A07" w:rsidRDefault="00212A07" w:rsidP="00212A07">
            <w:pPr>
              <w:spacing w:after="0" w:line="240" w:lineRule="auto"/>
              <w:rPr>
                <w:rFonts w:eastAsia="Times New Roman" w:cs="Times New Roman"/>
                <w:color w:val="000000"/>
                <w:sz w:val="18"/>
                <w:szCs w:val="18"/>
                <w:lang w:eastAsia="sk-SK"/>
              </w:rPr>
            </w:pPr>
            <w:r w:rsidRPr="00212A07">
              <w:rPr>
                <w:rFonts w:eastAsia="Times New Roman" w:cs="Times New Roman"/>
                <w:color w:val="000000"/>
                <w:sz w:val="18"/>
                <w:szCs w:val="18"/>
                <w:lang w:eastAsia="sk-SK"/>
              </w:rPr>
              <w:t>Rozpočtovej organizácii</w:t>
            </w:r>
          </w:p>
        </w:tc>
        <w:tc>
          <w:tcPr>
            <w:tcW w:w="1134" w:type="dxa"/>
            <w:tcBorders>
              <w:top w:val="nil"/>
              <w:left w:val="nil"/>
              <w:bottom w:val="nil"/>
              <w:right w:val="nil"/>
            </w:tcBorders>
            <w:shd w:val="clear" w:color="auto" w:fill="auto"/>
            <w:vAlign w:val="center"/>
            <w:hideMark/>
          </w:tcPr>
          <w:p w14:paraId="333BC81E"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906 440</w:t>
            </w:r>
          </w:p>
        </w:tc>
        <w:tc>
          <w:tcPr>
            <w:tcW w:w="1134" w:type="dxa"/>
            <w:tcBorders>
              <w:top w:val="nil"/>
              <w:left w:val="nil"/>
              <w:bottom w:val="nil"/>
              <w:right w:val="nil"/>
            </w:tcBorders>
            <w:shd w:val="clear" w:color="000000" w:fill="FFFFFF"/>
            <w:vAlign w:val="center"/>
            <w:hideMark/>
          </w:tcPr>
          <w:p w14:paraId="1778FFD7"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2 043 238</w:t>
            </w:r>
          </w:p>
        </w:tc>
        <w:tc>
          <w:tcPr>
            <w:tcW w:w="993" w:type="dxa"/>
            <w:tcBorders>
              <w:top w:val="nil"/>
              <w:left w:val="nil"/>
              <w:bottom w:val="nil"/>
              <w:right w:val="nil"/>
            </w:tcBorders>
            <w:shd w:val="clear" w:color="auto" w:fill="auto"/>
            <w:vAlign w:val="center"/>
            <w:hideMark/>
          </w:tcPr>
          <w:p w14:paraId="17FBA5E3"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2 149 377</w:t>
            </w:r>
          </w:p>
        </w:tc>
        <w:tc>
          <w:tcPr>
            <w:tcW w:w="992" w:type="dxa"/>
            <w:tcBorders>
              <w:top w:val="nil"/>
              <w:left w:val="nil"/>
              <w:bottom w:val="nil"/>
              <w:right w:val="nil"/>
            </w:tcBorders>
            <w:shd w:val="clear" w:color="auto" w:fill="auto"/>
            <w:vAlign w:val="center"/>
            <w:hideMark/>
          </w:tcPr>
          <w:p w14:paraId="2C17B395"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1 176 278</w:t>
            </w:r>
          </w:p>
        </w:tc>
        <w:tc>
          <w:tcPr>
            <w:tcW w:w="1025" w:type="dxa"/>
            <w:tcBorders>
              <w:top w:val="nil"/>
              <w:left w:val="nil"/>
              <w:bottom w:val="nil"/>
              <w:right w:val="nil"/>
            </w:tcBorders>
            <w:shd w:val="clear" w:color="auto" w:fill="auto"/>
            <w:vAlign w:val="center"/>
            <w:hideMark/>
          </w:tcPr>
          <w:p w14:paraId="245124DC"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-973 099</w:t>
            </w:r>
          </w:p>
        </w:tc>
        <w:tc>
          <w:tcPr>
            <w:tcW w:w="676" w:type="dxa"/>
            <w:tcBorders>
              <w:top w:val="nil"/>
              <w:left w:val="nil"/>
              <w:bottom w:val="nil"/>
              <w:right w:val="nil"/>
            </w:tcBorders>
            <w:shd w:val="clear" w:color="auto" w:fill="auto"/>
            <w:vAlign w:val="center"/>
            <w:hideMark/>
          </w:tcPr>
          <w:p w14:paraId="57FFDB92"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-45,3</w:t>
            </w:r>
          </w:p>
        </w:tc>
      </w:tr>
      <w:tr w:rsidR="00E377E5" w:rsidRPr="00212A07" w14:paraId="79073778" w14:textId="77777777" w:rsidTr="00E377E5">
        <w:trPr>
          <w:trHeight w:val="366"/>
        </w:trPr>
        <w:tc>
          <w:tcPr>
            <w:tcW w:w="3402" w:type="dxa"/>
            <w:tcBorders>
              <w:top w:val="nil"/>
              <w:left w:val="nil"/>
              <w:bottom w:val="nil"/>
              <w:right w:val="nil"/>
            </w:tcBorders>
            <w:shd w:val="clear" w:color="auto" w:fill="auto"/>
            <w:vAlign w:val="center"/>
            <w:hideMark/>
          </w:tcPr>
          <w:p w14:paraId="0075A8DA" w14:textId="77777777" w:rsidR="00212A07" w:rsidRPr="00212A07" w:rsidRDefault="00212A07" w:rsidP="00212A07">
            <w:pPr>
              <w:spacing w:after="0" w:line="240" w:lineRule="auto"/>
              <w:rPr>
                <w:rFonts w:eastAsia="Times New Roman" w:cs="Times New Roman"/>
                <w:color w:val="000000"/>
                <w:sz w:val="18"/>
                <w:szCs w:val="18"/>
                <w:lang w:eastAsia="sk-SK"/>
              </w:rPr>
            </w:pPr>
            <w:r w:rsidRPr="00212A07">
              <w:rPr>
                <w:rFonts w:eastAsia="Times New Roman" w:cs="Times New Roman"/>
                <w:color w:val="000000"/>
                <w:sz w:val="18"/>
                <w:szCs w:val="18"/>
                <w:lang w:eastAsia="sk-SK"/>
              </w:rPr>
              <w:t>Obci na úhradu nákladov preneseného výkonu štátnej správy</w:t>
            </w:r>
          </w:p>
        </w:tc>
        <w:tc>
          <w:tcPr>
            <w:tcW w:w="1134" w:type="dxa"/>
            <w:tcBorders>
              <w:top w:val="nil"/>
              <w:left w:val="nil"/>
              <w:bottom w:val="nil"/>
              <w:right w:val="nil"/>
            </w:tcBorders>
            <w:shd w:val="clear" w:color="auto" w:fill="auto"/>
            <w:vAlign w:val="center"/>
            <w:hideMark/>
          </w:tcPr>
          <w:p w14:paraId="3CDB74D5"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1 203 418</w:t>
            </w:r>
          </w:p>
        </w:tc>
        <w:tc>
          <w:tcPr>
            <w:tcW w:w="1134" w:type="dxa"/>
            <w:tcBorders>
              <w:top w:val="nil"/>
              <w:left w:val="nil"/>
              <w:bottom w:val="nil"/>
              <w:right w:val="nil"/>
            </w:tcBorders>
            <w:shd w:val="clear" w:color="000000" w:fill="FFFFFF"/>
            <w:vAlign w:val="center"/>
            <w:hideMark/>
          </w:tcPr>
          <w:p w14:paraId="4A1DEDB7"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1 270 357</w:t>
            </w:r>
          </w:p>
        </w:tc>
        <w:tc>
          <w:tcPr>
            <w:tcW w:w="993" w:type="dxa"/>
            <w:tcBorders>
              <w:top w:val="nil"/>
              <w:left w:val="nil"/>
              <w:bottom w:val="nil"/>
              <w:right w:val="nil"/>
            </w:tcBorders>
            <w:shd w:val="clear" w:color="auto" w:fill="auto"/>
            <w:vAlign w:val="center"/>
            <w:hideMark/>
          </w:tcPr>
          <w:p w14:paraId="79355EB8"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1 302 727</w:t>
            </w:r>
          </w:p>
        </w:tc>
        <w:tc>
          <w:tcPr>
            <w:tcW w:w="992" w:type="dxa"/>
            <w:tcBorders>
              <w:top w:val="nil"/>
              <w:left w:val="nil"/>
              <w:bottom w:val="nil"/>
              <w:right w:val="nil"/>
            </w:tcBorders>
            <w:shd w:val="clear" w:color="auto" w:fill="auto"/>
            <w:vAlign w:val="center"/>
            <w:hideMark/>
          </w:tcPr>
          <w:p w14:paraId="0F7F9F80"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1 450 171</w:t>
            </w:r>
          </w:p>
        </w:tc>
        <w:tc>
          <w:tcPr>
            <w:tcW w:w="1025" w:type="dxa"/>
            <w:tcBorders>
              <w:top w:val="nil"/>
              <w:left w:val="nil"/>
              <w:bottom w:val="nil"/>
              <w:right w:val="nil"/>
            </w:tcBorders>
            <w:shd w:val="clear" w:color="auto" w:fill="auto"/>
            <w:vAlign w:val="center"/>
            <w:hideMark/>
          </w:tcPr>
          <w:p w14:paraId="2E169F48"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147 444</w:t>
            </w:r>
          </w:p>
        </w:tc>
        <w:tc>
          <w:tcPr>
            <w:tcW w:w="676" w:type="dxa"/>
            <w:tcBorders>
              <w:top w:val="nil"/>
              <w:left w:val="nil"/>
              <w:bottom w:val="nil"/>
              <w:right w:val="nil"/>
            </w:tcBorders>
            <w:shd w:val="clear" w:color="auto" w:fill="auto"/>
            <w:vAlign w:val="center"/>
            <w:hideMark/>
          </w:tcPr>
          <w:p w14:paraId="34E96652"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11,3</w:t>
            </w:r>
          </w:p>
        </w:tc>
      </w:tr>
      <w:tr w:rsidR="00E377E5" w:rsidRPr="00212A07" w14:paraId="3386596E" w14:textId="77777777" w:rsidTr="00E377E5">
        <w:trPr>
          <w:trHeight w:val="243"/>
        </w:trPr>
        <w:tc>
          <w:tcPr>
            <w:tcW w:w="3402" w:type="dxa"/>
            <w:tcBorders>
              <w:top w:val="nil"/>
              <w:left w:val="nil"/>
              <w:bottom w:val="nil"/>
              <w:right w:val="nil"/>
            </w:tcBorders>
            <w:shd w:val="clear" w:color="auto" w:fill="auto"/>
            <w:vAlign w:val="center"/>
            <w:hideMark/>
          </w:tcPr>
          <w:p w14:paraId="24E7F513" w14:textId="77777777" w:rsidR="00212A07" w:rsidRPr="00212A07" w:rsidRDefault="00212A07" w:rsidP="00212A07">
            <w:pPr>
              <w:spacing w:after="0" w:line="240" w:lineRule="auto"/>
              <w:rPr>
                <w:rFonts w:eastAsia="Times New Roman" w:cs="Times New Roman"/>
                <w:color w:val="000000"/>
                <w:sz w:val="18"/>
                <w:szCs w:val="18"/>
                <w:lang w:eastAsia="sk-SK"/>
              </w:rPr>
            </w:pPr>
            <w:r w:rsidRPr="00212A07">
              <w:rPr>
                <w:rFonts w:eastAsia="Times New Roman" w:cs="Times New Roman"/>
                <w:color w:val="000000"/>
                <w:sz w:val="18"/>
                <w:szCs w:val="18"/>
                <w:lang w:eastAsia="sk-SK"/>
              </w:rPr>
              <w:t>Príspevkovej organizácii</w:t>
            </w:r>
          </w:p>
        </w:tc>
        <w:tc>
          <w:tcPr>
            <w:tcW w:w="1134" w:type="dxa"/>
            <w:tcBorders>
              <w:top w:val="nil"/>
              <w:left w:val="nil"/>
              <w:bottom w:val="nil"/>
              <w:right w:val="nil"/>
            </w:tcBorders>
            <w:shd w:val="clear" w:color="auto" w:fill="auto"/>
            <w:vAlign w:val="center"/>
            <w:hideMark/>
          </w:tcPr>
          <w:p w14:paraId="71B1A4C1"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774 977</w:t>
            </w:r>
          </w:p>
        </w:tc>
        <w:tc>
          <w:tcPr>
            <w:tcW w:w="1134" w:type="dxa"/>
            <w:tcBorders>
              <w:top w:val="nil"/>
              <w:left w:val="nil"/>
              <w:bottom w:val="nil"/>
              <w:right w:val="nil"/>
            </w:tcBorders>
            <w:shd w:val="clear" w:color="000000" w:fill="FFFFFF"/>
            <w:vAlign w:val="center"/>
            <w:hideMark/>
          </w:tcPr>
          <w:p w14:paraId="470A6B8F"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854 439</w:t>
            </w:r>
          </w:p>
        </w:tc>
        <w:tc>
          <w:tcPr>
            <w:tcW w:w="993" w:type="dxa"/>
            <w:tcBorders>
              <w:top w:val="nil"/>
              <w:left w:val="nil"/>
              <w:bottom w:val="nil"/>
              <w:right w:val="nil"/>
            </w:tcBorders>
            <w:shd w:val="clear" w:color="auto" w:fill="auto"/>
            <w:vAlign w:val="center"/>
            <w:hideMark/>
          </w:tcPr>
          <w:p w14:paraId="75CD3911"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307 179</w:t>
            </w:r>
          </w:p>
        </w:tc>
        <w:tc>
          <w:tcPr>
            <w:tcW w:w="992" w:type="dxa"/>
            <w:tcBorders>
              <w:top w:val="nil"/>
              <w:left w:val="nil"/>
              <w:bottom w:val="nil"/>
              <w:right w:val="nil"/>
            </w:tcBorders>
            <w:shd w:val="clear" w:color="auto" w:fill="auto"/>
            <w:vAlign w:val="center"/>
            <w:hideMark/>
          </w:tcPr>
          <w:p w14:paraId="5D13457F"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623 870</w:t>
            </w:r>
          </w:p>
        </w:tc>
        <w:tc>
          <w:tcPr>
            <w:tcW w:w="1025" w:type="dxa"/>
            <w:tcBorders>
              <w:top w:val="nil"/>
              <w:left w:val="nil"/>
              <w:bottom w:val="nil"/>
              <w:right w:val="nil"/>
            </w:tcBorders>
            <w:shd w:val="clear" w:color="auto" w:fill="auto"/>
            <w:vAlign w:val="center"/>
            <w:hideMark/>
          </w:tcPr>
          <w:p w14:paraId="475E10F2"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316 691</w:t>
            </w:r>
          </w:p>
        </w:tc>
        <w:tc>
          <w:tcPr>
            <w:tcW w:w="676" w:type="dxa"/>
            <w:tcBorders>
              <w:top w:val="nil"/>
              <w:left w:val="nil"/>
              <w:bottom w:val="nil"/>
              <w:right w:val="nil"/>
            </w:tcBorders>
            <w:shd w:val="clear" w:color="auto" w:fill="auto"/>
            <w:vAlign w:val="center"/>
            <w:hideMark/>
          </w:tcPr>
          <w:p w14:paraId="7EBCFEC2"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103,1</w:t>
            </w:r>
          </w:p>
        </w:tc>
      </w:tr>
      <w:tr w:rsidR="00E377E5" w:rsidRPr="00212A07" w14:paraId="558A00C1" w14:textId="77777777" w:rsidTr="00E377E5">
        <w:trPr>
          <w:trHeight w:val="275"/>
        </w:trPr>
        <w:tc>
          <w:tcPr>
            <w:tcW w:w="3402" w:type="dxa"/>
            <w:tcBorders>
              <w:top w:val="nil"/>
              <w:left w:val="nil"/>
              <w:bottom w:val="nil"/>
              <w:right w:val="nil"/>
            </w:tcBorders>
            <w:shd w:val="clear" w:color="auto" w:fill="auto"/>
            <w:vAlign w:val="center"/>
            <w:hideMark/>
          </w:tcPr>
          <w:p w14:paraId="44219BAA" w14:textId="77777777" w:rsidR="00212A07" w:rsidRPr="00212A07" w:rsidRDefault="00212A07" w:rsidP="00212A07">
            <w:pPr>
              <w:spacing w:after="0" w:line="240" w:lineRule="auto"/>
              <w:rPr>
                <w:rFonts w:eastAsia="Times New Roman" w:cs="Times New Roman"/>
                <w:color w:val="000000"/>
                <w:sz w:val="18"/>
                <w:szCs w:val="18"/>
                <w:lang w:eastAsia="sk-SK"/>
              </w:rPr>
            </w:pPr>
            <w:r w:rsidRPr="00212A07">
              <w:rPr>
                <w:rFonts w:eastAsia="Times New Roman" w:cs="Times New Roman"/>
                <w:color w:val="000000"/>
                <w:sz w:val="18"/>
                <w:szCs w:val="18"/>
                <w:lang w:eastAsia="sk-SK"/>
              </w:rPr>
              <w:t>Verejnej vysokej škole</w:t>
            </w:r>
          </w:p>
        </w:tc>
        <w:tc>
          <w:tcPr>
            <w:tcW w:w="1134" w:type="dxa"/>
            <w:tcBorders>
              <w:top w:val="nil"/>
              <w:left w:val="nil"/>
              <w:bottom w:val="nil"/>
              <w:right w:val="nil"/>
            </w:tcBorders>
            <w:shd w:val="clear" w:color="auto" w:fill="auto"/>
            <w:vAlign w:val="center"/>
            <w:hideMark/>
          </w:tcPr>
          <w:p w14:paraId="585DA644"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683 903</w:t>
            </w:r>
          </w:p>
        </w:tc>
        <w:tc>
          <w:tcPr>
            <w:tcW w:w="1134" w:type="dxa"/>
            <w:tcBorders>
              <w:top w:val="nil"/>
              <w:left w:val="nil"/>
              <w:bottom w:val="nil"/>
              <w:right w:val="nil"/>
            </w:tcBorders>
            <w:shd w:val="clear" w:color="000000" w:fill="FFFFFF"/>
            <w:vAlign w:val="center"/>
            <w:hideMark/>
          </w:tcPr>
          <w:p w14:paraId="1BC072EB"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662 248</w:t>
            </w:r>
          </w:p>
        </w:tc>
        <w:tc>
          <w:tcPr>
            <w:tcW w:w="993" w:type="dxa"/>
            <w:tcBorders>
              <w:top w:val="nil"/>
              <w:left w:val="nil"/>
              <w:bottom w:val="nil"/>
              <w:right w:val="nil"/>
            </w:tcBorders>
            <w:shd w:val="clear" w:color="auto" w:fill="auto"/>
            <w:vAlign w:val="center"/>
            <w:hideMark/>
          </w:tcPr>
          <w:p w14:paraId="410570A5"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708 042</w:t>
            </w:r>
          </w:p>
        </w:tc>
        <w:tc>
          <w:tcPr>
            <w:tcW w:w="992" w:type="dxa"/>
            <w:tcBorders>
              <w:top w:val="nil"/>
              <w:left w:val="nil"/>
              <w:bottom w:val="nil"/>
              <w:right w:val="nil"/>
            </w:tcBorders>
            <w:shd w:val="clear" w:color="auto" w:fill="auto"/>
            <w:vAlign w:val="center"/>
            <w:hideMark/>
          </w:tcPr>
          <w:p w14:paraId="08BF4A87"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746 863</w:t>
            </w:r>
          </w:p>
        </w:tc>
        <w:tc>
          <w:tcPr>
            <w:tcW w:w="1025" w:type="dxa"/>
            <w:tcBorders>
              <w:top w:val="nil"/>
              <w:left w:val="nil"/>
              <w:bottom w:val="nil"/>
              <w:right w:val="nil"/>
            </w:tcBorders>
            <w:shd w:val="clear" w:color="auto" w:fill="auto"/>
            <w:vAlign w:val="center"/>
            <w:hideMark/>
          </w:tcPr>
          <w:p w14:paraId="2D9AD5B1"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38 821</w:t>
            </w:r>
          </w:p>
        </w:tc>
        <w:tc>
          <w:tcPr>
            <w:tcW w:w="676" w:type="dxa"/>
            <w:tcBorders>
              <w:top w:val="nil"/>
              <w:left w:val="nil"/>
              <w:bottom w:val="nil"/>
              <w:right w:val="nil"/>
            </w:tcBorders>
            <w:shd w:val="clear" w:color="auto" w:fill="auto"/>
            <w:vAlign w:val="center"/>
            <w:hideMark/>
          </w:tcPr>
          <w:p w14:paraId="2804A711"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5,5</w:t>
            </w:r>
          </w:p>
        </w:tc>
      </w:tr>
      <w:tr w:rsidR="00E377E5" w:rsidRPr="00212A07" w14:paraId="77E00DCF" w14:textId="77777777" w:rsidTr="00E377E5">
        <w:trPr>
          <w:trHeight w:val="421"/>
        </w:trPr>
        <w:tc>
          <w:tcPr>
            <w:tcW w:w="3402" w:type="dxa"/>
            <w:tcBorders>
              <w:top w:val="nil"/>
              <w:left w:val="nil"/>
              <w:bottom w:val="nil"/>
              <w:right w:val="nil"/>
            </w:tcBorders>
            <w:shd w:val="clear" w:color="auto" w:fill="auto"/>
            <w:vAlign w:val="center"/>
            <w:hideMark/>
          </w:tcPr>
          <w:p w14:paraId="2A4BD431" w14:textId="77777777" w:rsidR="00212A07" w:rsidRPr="00212A07" w:rsidRDefault="00212A07" w:rsidP="00212A07">
            <w:pPr>
              <w:spacing w:after="0" w:line="240" w:lineRule="auto"/>
              <w:rPr>
                <w:rFonts w:eastAsia="Times New Roman" w:cs="Times New Roman"/>
                <w:color w:val="000000"/>
                <w:sz w:val="18"/>
                <w:szCs w:val="18"/>
                <w:lang w:eastAsia="sk-SK"/>
              </w:rPr>
            </w:pPr>
            <w:r w:rsidRPr="00212A07">
              <w:rPr>
                <w:rFonts w:eastAsia="Times New Roman" w:cs="Times New Roman"/>
                <w:color w:val="000000"/>
                <w:sz w:val="18"/>
                <w:szCs w:val="18"/>
                <w:lang w:eastAsia="sk-SK"/>
              </w:rPr>
              <w:t>Vyššiemu územnému celku na úhradu nákladov preneseného výkonu štátnej správy</w:t>
            </w:r>
          </w:p>
        </w:tc>
        <w:tc>
          <w:tcPr>
            <w:tcW w:w="1134" w:type="dxa"/>
            <w:tcBorders>
              <w:top w:val="nil"/>
              <w:left w:val="nil"/>
              <w:bottom w:val="nil"/>
              <w:right w:val="nil"/>
            </w:tcBorders>
            <w:shd w:val="clear" w:color="auto" w:fill="auto"/>
            <w:vAlign w:val="center"/>
            <w:hideMark/>
          </w:tcPr>
          <w:p w14:paraId="3A181ABE"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540 161</w:t>
            </w:r>
          </w:p>
        </w:tc>
        <w:tc>
          <w:tcPr>
            <w:tcW w:w="1134" w:type="dxa"/>
            <w:tcBorders>
              <w:top w:val="nil"/>
              <w:left w:val="nil"/>
              <w:bottom w:val="nil"/>
              <w:right w:val="nil"/>
            </w:tcBorders>
            <w:shd w:val="clear" w:color="000000" w:fill="FFFFFF"/>
            <w:vAlign w:val="center"/>
            <w:hideMark/>
          </w:tcPr>
          <w:p w14:paraId="49C6B4AD"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546 227</w:t>
            </w:r>
          </w:p>
        </w:tc>
        <w:tc>
          <w:tcPr>
            <w:tcW w:w="993" w:type="dxa"/>
            <w:tcBorders>
              <w:top w:val="nil"/>
              <w:left w:val="nil"/>
              <w:bottom w:val="nil"/>
              <w:right w:val="nil"/>
            </w:tcBorders>
            <w:shd w:val="clear" w:color="auto" w:fill="auto"/>
            <w:vAlign w:val="center"/>
            <w:hideMark/>
          </w:tcPr>
          <w:p w14:paraId="670E3FE4"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588 122</w:t>
            </w:r>
          </w:p>
        </w:tc>
        <w:tc>
          <w:tcPr>
            <w:tcW w:w="992" w:type="dxa"/>
            <w:tcBorders>
              <w:top w:val="nil"/>
              <w:left w:val="nil"/>
              <w:bottom w:val="nil"/>
              <w:right w:val="nil"/>
            </w:tcBorders>
            <w:shd w:val="clear" w:color="auto" w:fill="auto"/>
            <w:vAlign w:val="center"/>
            <w:hideMark/>
          </w:tcPr>
          <w:p w14:paraId="28B5EF03"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637 506</w:t>
            </w:r>
          </w:p>
        </w:tc>
        <w:tc>
          <w:tcPr>
            <w:tcW w:w="1025" w:type="dxa"/>
            <w:tcBorders>
              <w:top w:val="nil"/>
              <w:left w:val="nil"/>
              <w:bottom w:val="nil"/>
              <w:right w:val="nil"/>
            </w:tcBorders>
            <w:shd w:val="clear" w:color="auto" w:fill="auto"/>
            <w:vAlign w:val="center"/>
            <w:hideMark/>
          </w:tcPr>
          <w:p w14:paraId="669F101E"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49 384</w:t>
            </w:r>
          </w:p>
        </w:tc>
        <w:tc>
          <w:tcPr>
            <w:tcW w:w="676" w:type="dxa"/>
            <w:tcBorders>
              <w:top w:val="nil"/>
              <w:left w:val="nil"/>
              <w:bottom w:val="nil"/>
              <w:right w:val="nil"/>
            </w:tcBorders>
            <w:shd w:val="clear" w:color="auto" w:fill="auto"/>
            <w:vAlign w:val="center"/>
            <w:hideMark/>
          </w:tcPr>
          <w:p w14:paraId="7F3A3A6B"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8,4</w:t>
            </w:r>
          </w:p>
        </w:tc>
      </w:tr>
      <w:tr w:rsidR="00E377E5" w:rsidRPr="00212A07" w14:paraId="58680B28" w14:textId="77777777" w:rsidTr="00E377E5">
        <w:trPr>
          <w:trHeight w:val="317"/>
        </w:trPr>
        <w:tc>
          <w:tcPr>
            <w:tcW w:w="3402" w:type="dxa"/>
            <w:tcBorders>
              <w:top w:val="nil"/>
              <w:left w:val="nil"/>
              <w:bottom w:val="nil"/>
              <w:right w:val="nil"/>
            </w:tcBorders>
            <w:shd w:val="clear" w:color="auto" w:fill="auto"/>
            <w:vAlign w:val="center"/>
            <w:hideMark/>
          </w:tcPr>
          <w:p w14:paraId="697EB09D" w14:textId="77777777" w:rsidR="00212A07" w:rsidRPr="00212A07" w:rsidRDefault="00212A07" w:rsidP="00212A07">
            <w:pPr>
              <w:spacing w:after="0" w:line="240" w:lineRule="auto"/>
              <w:rPr>
                <w:rFonts w:eastAsia="Times New Roman" w:cs="Times New Roman"/>
                <w:color w:val="000000"/>
                <w:sz w:val="18"/>
                <w:szCs w:val="18"/>
                <w:lang w:eastAsia="sk-SK"/>
              </w:rPr>
            </w:pPr>
            <w:r w:rsidRPr="00212A07">
              <w:rPr>
                <w:rFonts w:eastAsia="Times New Roman" w:cs="Times New Roman"/>
                <w:color w:val="000000"/>
                <w:sz w:val="18"/>
                <w:szCs w:val="18"/>
                <w:lang w:eastAsia="sk-SK"/>
              </w:rPr>
              <w:t xml:space="preserve">Ostatné </w:t>
            </w:r>
          </w:p>
        </w:tc>
        <w:tc>
          <w:tcPr>
            <w:tcW w:w="1134" w:type="dxa"/>
            <w:tcBorders>
              <w:top w:val="nil"/>
              <w:left w:val="nil"/>
              <w:bottom w:val="nil"/>
              <w:right w:val="nil"/>
            </w:tcBorders>
            <w:shd w:val="clear" w:color="auto" w:fill="auto"/>
            <w:vAlign w:val="center"/>
            <w:hideMark/>
          </w:tcPr>
          <w:p w14:paraId="3C4A5EF6"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2 306 962</w:t>
            </w:r>
          </w:p>
        </w:tc>
        <w:tc>
          <w:tcPr>
            <w:tcW w:w="1134" w:type="dxa"/>
            <w:tcBorders>
              <w:top w:val="nil"/>
              <w:left w:val="nil"/>
              <w:bottom w:val="nil"/>
              <w:right w:val="nil"/>
            </w:tcBorders>
            <w:shd w:val="clear" w:color="000000" w:fill="FFFFFF"/>
            <w:vAlign w:val="center"/>
            <w:hideMark/>
          </w:tcPr>
          <w:p w14:paraId="0C29DABD"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1 565 587</w:t>
            </w:r>
          </w:p>
        </w:tc>
        <w:tc>
          <w:tcPr>
            <w:tcW w:w="993" w:type="dxa"/>
            <w:tcBorders>
              <w:top w:val="nil"/>
              <w:left w:val="nil"/>
              <w:bottom w:val="nil"/>
              <w:right w:val="nil"/>
            </w:tcBorders>
            <w:shd w:val="clear" w:color="auto" w:fill="auto"/>
            <w:vAlign w:val="center"/>
            <w:hideMark/>
          </w:tcPr>
          <w:p w14:paraId="3CB93032"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1 097 896</w:t>
            </w:r>
          </w:p>
        </w:tc>
        <w:tc>
          <w:tcPr>
            <w:tcW w:w="992" w:type="dxa"/>
            <w:tcBorders>
              <w:top w:val="nil"/>
              <w:left w:val="nil"/>
              <w:bottom w:val="nil"/>
              <w:right w:val="nil"/>
            </w:tcBorders>
            <w:shd w:val="clear" w:color="auto" w:fill="auto"/>
            <w:vAlign w:val="center"/>
            <w:hideMark/>
          </w:tcPr>
          <w:p w14:paraId="277AB619"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3 091 500</w:t>
            </w:r>
          </w:p>
        </w:tc>
        <w:tc>
          <w:tcPr>
            <w:tcW w:w="1025" w:type="dxa"/>
            <w:tcBorders>
              <w:top w:val="nil"/>
              <w:left w:val="nil"/>
              <w:bottom w:val="nil"/>
              <w:right w:val="nil"/>
            </w:tcBorders>
            <w:shd w:val="clear" w:color="auto" w:fill="auto"/>
            <w:vAlign w:val="center"/>
            <w:hideMark/>
          </w:tcPr>
          <w:p w14:paraId="29A89EF2"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1 993 604</w:t>
            </w:r>
          </w:p>
        </w:tc>
        <w:tc>
          <w:tcPr>
            <w:tcW w:w="676" w:type="dxa"/>
            <w:tcBorders>
              <w:top w:val="nil"/>
              <w:left w:val="nil"/>
              <w:bottom w:val="nil"/>
              <w:right w:val="nil"/>
            </w:tcBorders>
            <w:shd w:val="clear" w:color="auto" w:fill="auto"/>
            <w:vAlign w:val="center"/>
            <w:hideMark/>
          </w:tcPr>
          <w:p w14:paraId="44E676CA" w14:textId="77777777" w:rsidR="00212A07" w:rsidRPr="00212A07" w:rsidRDefault="00212A07" w:rsidP="00212A07">
            <w:pPr>
              <w:spacing w:after="0" w:line="240" w:lineRule="auto"/>
              <w:jc w:val="right"/>
              <w:rPr>
                <w:rFonts w:eastAsia="Times New Roman" w:cs="Times New Roman"/>
                <w:color w:val="000000"/>
                <w:sz w:val="18"/>
                <w:szCs w:val="18"/>
                <w:lang w:eastAsia="sk-SK"/>
              </w:rPr>
            </w:pPr>
            <w:r w:rsidRPr="00212A07">
              <w:rPr>
                <w:rFonts w:eastAsia="Times New Roman" w:cs="Times New Roman"/>
                <w:color w:val="000000"/>
                <w:sz w:val="18"/>
                <w:szCs w:val="18"/>
                <w:lang w:eastAsia="sk-SK"/>
              </w:rPr>
              <w:t>181,6</w:t>
            </w:r>
          </w:p>
        </w:tc>
      </w:tr>
      <w:tr w:rsidR="00E377E5" w:rsidRPr="00212A07" w14:paraId="686913AA" w14:textId="77777777" w:rsidTr="00E377E5">
        <w:trPr>
          <w:trHeight w:val="375"/>
        </w:trPr>
        <w:tc>
          <w:tcPr>
            <w:tcW w:w="3402" w:type="dxa"/>
            <w:tcBorders>
              <w:top w:val="single" w:sz="4" w:space="0" w:color="auto"/>
              <w:left w:val="nil"/>
              <w:bottom w:val="single" w:sz="4" w:space="0" w:color="auto"/>
              <w:right w:val="nil"/>
            </w:tcBorders>
            <w:shd w:val="clear" w:color="auto" w:fill="auto"/>
            <w:vAlign w:val="center"/>
            <w:hideMark/>
          </w:tcPr>
          <w:p w14:paraId="2A80ED53" w14:textId="77777777" w:rsidR="00212A07" w:rsidRPr="00212A07" w:rsidRDefault="00212A07" w:rsidP="00212A07">
            <w:pPr>
              <w:spacing w:after="0" w:line="240" w:lineRule="auto"/>
              <w:jc w:val="left"/>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Spolu</w:t>
            </w:r>
          </w:p>
        </w:tc>
        <w:tc>
          <w:tcPr>
            <w:tcW w:w="1134" w:type="dxa"/>
            <w:tcBorders>
              <w:top w:val="single" w:sz="4" w:space="0" w:color="auto"/>
              <w:left w:val="nil"/>
              <w:bottom w:val="single" w:sz="4" w:space="0" w:color="auto"/>
              <w:right w:val="nil"/>
            </w:tcBorders>
            <w:shd w:val="clear" w:color="auto" w:fill="auto"/>
            <w:vAlign w:val="center"/>
            <w:hideMark/>
          </w:tcPr>
          <w:p w14:paraId="2F1D634B" w14:textId="77777777" w:rsidR="00212A07" w:rsidRPr="00212A07" w:rsidRDefault="00212A07" w:rsidP="00212A07">
            <w:pPr>
              <w:spacing w:after="0" w:line="240" w:lineRule="auto"/>
              <w:jc w:val="right"/>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6 415 861</w:t>
            </w:r>
          </w:p>
        </w:tc>
        <w:tc>
          <w:tcPr>
            <w:tcW w:w="1134" w:type="dxa"/>
            <w:tcBorders>
              <w:top w:val="single" w:sz="4" w:space="0" w:color="auto"/>
              <w:left w:val="nil"/>
              <w:bottom w:val="single" w:sz="4" w:space="0" w:color="auto"/>
              <w:right w:val="nil"/>
            </w:tcBorders>
            <w:shd w:val="clear" w:color="auto" w:fill="auto"/>
            <w:vAlign w:val="center"/>
            <w:hideMark/>
          </w:tcPr>
          <w:p w14:paraId="1576FB6E" w14:textId="77777777" w:rsidR="00212A07" w:rsidRPr="00212A07" w:rsidRDefault="00212A07" w:rsidP="00212A07">
            <w:pPr>
              <w:spacing w:after="0" w:line="240" w:lineRule="auto"/>
              <w:jc w:val="right"/>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6 942 096</w:t>
            </w:r>
          </w:p>
        </w:tc>
        <w:tc>
          <w:tcPr>
            <w:tcW w:w="993" w:type="dxa"/>
            <w:tcBorders>
              <w:top w:val="single" w:sz="4" w:space="0" w:color="auto"/>
              <w:left w:val="nil"/>
              <w:bottom w:val="single" w:sz="4" w:space="0" w:color="auto"/>
              <w:right w:val="nil"/>
            </w:tcBorders>
            <w:shd w:val="clear" w:color="auto" w:fill="auto"/>
            <w:vAlign w:val="center"/>
            <w:hideMark/>
          </w:tcPr>
          <w:p w14:paraId="109873DF" w14:textId="77777777" w:rsidR="00212A07" w:rsidRPr="00212A07" w:rsidRDefault="00212A07" w:rsidP="00212A07">
            <w:pPr>
              <w:spacing w:after="0" w:line="240" w:lineRule="auto"/>
              <w:jc w:val="right"/>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6 153 343</w:t>
            </w:r>
          </w:p>
        </w:tc>
        <w:tc>
          <w:tcPr>
            <w:tcW w:w="992" w:type="dxa"/>
            <w:tcBorders>
              <w:top w:val="single" w:sz="4" w:space="0" w:color="auto"/>
              <w:left w:val="nil"/>
              <w:bottom w:val="single" w:sz="4" w:space="0" w:color="auto"/>
              <w:right w:val="nil"/>
            </w:tcBorders>
            <w:shd w:val="clear" w:color="auto" w:fill="auto"/>
            <w:vAlign w:val="center"/>
            <w:hideMark/>
          </w:tcPr>
          <w:p w14:paraId="43A1DB5F" w14:textId="77777777" w:rsidR="00212A07" w:rsidRPr="00212A07" w:rsidRDefault="00212A07" w:rsidP="00212A07">
            <w:pPr>
              <w:spacing w:after="0" w:line="240" w:lineRule="auto"/>
              <w:jc w:val="right"/>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7 726 188</w:t>
            </w:r>
          </w:p>
        </w:tc>
        <w:tc>
          <w:tcPr>
            <w:tcW w:w="1025" w:type="dxa"/>
            <w:tcBorders>
              <w:top w:val="single" w:sz="4" w:space="0" w:color="auto"/>
              <w:left w:val="nil"/>
              <w:bottom w:val="single" w:sz="4" w:space="0" w:color="auto"/>
              <w:right w:val="nil"/>
            </w:tcBorders>
            <w:shd w:val="clear" w:color="auto" w:fill="auto"/>
            <w:vAlign w:val="center"/>
            <w:hideMark/>
          </w:tcPr>
          <w:p w14:paraId="3369AF8B" w14:textId="77777777" w:rsidR="00212A07" w:rsidRPr="00212A07" w:rsidRDefault="00212A07" w:rsidP="00212A07">
            <w:pPr>
              <w:spacing w:after="0" w:line="240" w:lineRule="auto"/>
              <w:jc w:val="right"/>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1 572 845</w:t>
            </w:r>
          </w:p>
        </w:tc>
        <w:tc>
          <w:tcPr>
            <w:tcW w:w="676" w:type="dxa"/>
            <w:tcBorders>
              <w:top w:val="single" w:sz="4" w:space="0" w:color="auto"/>
              <w:left w:val="nil"/>
              <w:bottom w:val="single" w:sz="4" w:space="0" w:color="auto"/>
              <w:right w:val="nil"/>
            </w:tcBorders>
            <w:shd w:val="clear" w:color="auto" w:fill="auto"/>
            <w:vAlign w:val="center"/>
            <w:hideMark/>
          </w:tcPr>
          <w:p w14:paraId="78802DC7" w14:textId="77777777" w:rsidR="00212A07" w:rsidRPr="00212A07" w:rsidRDefault="00212A07" w:rsidP="00212A07">
            <w:pPr>
              <w:spacing w:after="0" w:line="240" w:lineRule="auto"/>
              <w:jc w:val="right"/>
              <w:rPr>
                <w:rFonts w:eastAsia="Times New Roman" w:cs="Times New Roman"/>
                <w:b/>
                <w:bCs/>
                <w:color w:val="000000"/>
                <w:sz w:val="18"/>
                <w:szCs w:val="18"/>
                <w:lang w:eastAsia="sk-SK"/>
              </w:rPr>
            </w:pPr>
            <w:r w:rsidRPr="00212A07">
              <w:rPr>
                <w:rFonts w:eastAsia="Times New Roman" w:cs="Times New Roman"/>
                <w:b/>
                <w:bCs/>
                <w:color w:val="000000"/>
                <w:sz w:val="18"/>
                <w:szCs w:val="18"/>
                <w:lang w:eastAsia="sk-SK"/>
              </w:rPr>
              <w:t>25,6</w:t>
            </w:r>
          </w:p>
        </w:tc>
      </w:tr>
    </w:tbl>
    <w:p w14:paraId="1E7F0131" w14:textId="4BC376B8" w:rsidR="00212A07" w:rsidRPr="00E377E5" w:rsidRDefault="00E377E5" w:rsidP="00212A07">
      <w:pPr>
        <w:jc w:val="right"/>
        <w:rPr>
          <w:sz w:val="18"/>
          <w:szCs w:val="18"/>
        </w:rPr>
      </w:pPr>
      <w:r w:rsidRPr="00E377E5">
        <w:rPr>
          <w:sz w:val="18"/>
          <w:szCs w:val="18"/>
        </w:rPr>
        <w:t>Zdroj: MF SR</w:t>
      </w:r>
    </w:p>
    <w:p w14:paraId="732D57FB" w14:textId="77777777" w:rsidR="00B768D9" w:rsidRPr="000238AB" w:rsidRDefault="00B768D9" w:rsidP="00E377E5">
      <w:pPr>
        <w:spacing w:line="240" w:lineRule="auto"/>
        <w:rPr>
          <w:rFonts w:eastAsia="Calibri" w:cs="Times New Roman"/>
          <w:b/>
          <w:i/>
          <w:sz w:val="24"/>
          <w:szCs w:val="24"/>
        </w:rPr>
      </w:pPr>
      <w:r w:rsidRPr="009D5B28">
        <w:rPr>
          <w:rFonts w:eastAsia="Times New Roman" w:cs="Times New Roman"/>
          <w:sz w:val="24"/>
          <w:szCs w:val="24"/>
          <w:lang w:eastAsia="sk-SK"/>
        </w:rPr>
        <w:t>Najvyššie</w:t>
      </w:r>
      <w:r w:rsidRPr="009D5B28">
        <w:rPr>
          <w:rFonts w:eastAsia="Calibri" w:cs="Times New Roman"/>
          <w:sz w:val="24"/>
          <w:szCs w:val="24"/>
          <w:lang w:eastAsia="sk-SK"/>
        </w:rPr>
        <w:t xml:space="preserve"> čerpanie </w:t>
      </w:r>
      <w:r w:rsidRPr="009D5B28">
        <w:rPr>
          <w:rFonts w:eastAsia="Calibri" w:cs="Times New Roman"/>
          <w:sz w:val="24"/>
          <w:szCs w:val="24"/>
        </w:rPr>
        <w:t>finančných prostriedkov v rámci položky transfery verejnej správy bolo na</w:t>
      </w:r>
      <w:r>
        <w:rPr>
          <w:rFonts w:eastAsia="Calibri" w:cs="Times New Roman"/>
          <w:sz w:val="24"/>
          <w:szCs w:val="24"/>
        </w:rPr>
        <w:t> </w:t>
      </w:r>
      <w:r w:rsidRPr="009D5B28">
        <w:rPr>
          <w:rFonts w:eastAsia="Calibri" w:cs="Times New Roman"/>
          <w:sz w:val="24"/>
          <w:szCs w:val="24"/>
        </w:rPr>
        <w:t xml:space="preserve">podpoložke </w:t>
      </w:r>
      <w:r w:rsidRPr="009D5B28">
        <w:rPr>
          <w:rFonts w:eastAsia="Calibri" w:cs="Times New Roman"/>
          <w:b/>
          <w:i/>
          <w:sz w:val="24"/>
          <w:szCs w:val="24"/>
        </w:rPr>
        <w:t>transfery obc</w:t>
      </w:r>
      <w:r>
        <w:rPr>
          <w:rFonts w:eastAsia="Calibri" w:cs="Times New Roman"/>
          <w:b/>
          <w:i/>
          <w:sz w:val="24"/>
          <w:szCs w:val="24"/>
        </w:rPr>
        <w:t>iam</w:t>
      </w:r>
      <w:r w:rsidRPr="000238AB">
        <w:rPr>
          <w:rFonts w:eastAsia="Calibri" w:cs="Times New Roman"/>
          <w:b/>
          <w:i/>
          <w:sz w:val="24"/>
          <w:szCs w:val="24"/>
        </w:rPr>
        <w:t>,</w:t>
      </w:r>
      <w:r w:rsidRPr="000238AB">
        <w:rPr>
          <w:rFonts w:eastAsia="Calibri" w:cs="Times New Roman"/>
          <w:i/>
          <w:sz w:val="24"/>
          <w:szCs w:val="24"/>
        </w:rPr>
        <w:t xml:space="preserve"> </w:t>
      </w:r>
      <w:r w:rsidRPr="000238AB">
        <w:rPr>
          <w:rFonts w:eastAsia="Calibri" w:cs="Times New Roman"/>
          <w:sz w:val="24"/>
          <w:szCs w:val="24"/>
        </w:rPr>
        <w:t>a to suma 2 042 605 tis. eur, čo je v porovnaní s rokom 2022 o 557 506 tis. eur viac. Na úhradu nákladov preneseného výkonu štátnej správy sa vyčerpalo</w:t>
      </w:r>
      <w:r w:rsidRPr="00360BCD">
        <w:rPr>
          <w:rFonts w:eastAsia="Calibri" w:cs="Times New Roman"/>
          <w:color w:val="FF0000"/>
          <w:sz w:val="24"/>
          <w:szCs w:val="24"/>
        </w:rPr>
        <w:t xml:space="preserve"> </w:t>
      </w:r>
      <w:r w:rsidRPr="009D5B28">
        <w:rPr>
          <w:rFonts w:eastAsia="Calibri" w:cs="Times New Roman"/>
          <w:sz w:val="24"/>
          <w:szCs w:val="24"/>
        </w:rPr>
        <w:t>1 450 171</w:t>
      </w:r>
      <w:r w:rsidRPr="00360BCD">
        <w:rPr>
          <w:rFonts w:eastAsia="Calibri" w:cs="Times New Roman"/>
          <w:color w:val="FF0000"/>
          <w:sz w:val="24"/>
          <w:szCs w:val="24"/>
        </w:rPr>
        <w:t> </w:t>
      </w:r>
      <w:r w:rsidRPr="000238AB">
        <w:rPr>
          <w:rFonts w:eastAsia="Calibri" w:cs="Times New Roman"/>
          <w:sz w:val="24"/>
          <w:szCs w:val="24"/>
        </w:rPr>
        <w:t xml:space="preserve">tis. eur (2022: 1 270 357 tis. eur) </w:t>
      </w:r>
    </w:p>
    <w:p w14:paraId="2D95402E" w14:textId="77777777" w:rsidR="00B768D9" w:rsidRPr="009D5B28" w:rsidRDefault="00B768D9" w:rsidP="00B768D9">
      <w:pPr>
        <w:shd w:val="clear" w:color="auto" w:fill="FFFFFF"/>
        <w:spacing w:before="120" w:line="240" w:lineRule="auto"/>
        <w:rPr>
          <w:rFonts w:eastAsia="Calibri" w:cs="Times New Roman"/>
          <w:sz w:val="24"/>
          <w:szCs w:val="24"/>
          <w:lang w:eastAsia="sk-SK"/>
        </w:rPr>
      </w:pPr>
      <w:r w:rsidRPr="009D5B28">
        <w:rPr>
          <w:rFonts w:eastAsia="Calibri" w:cs="Times New Roman"/>
          <w:b/>
          <w:i/>
        </w:rPr>
        <w:t>Podrobnejšie údaje o transferoch obciam sú uvedené v časti 3.2.3. Vzťahy štátneho rozpočtu k obciam.</w:t>
      </w:r>
    </w:p>
    <w:p w14:paraId="51CBF243" w14:textId="6F9F5DF3" w:rsidR="00B768D9" w:rsidRPr="000254D0" w:rsidRDefault="008E112F" w:rsidP="00B768D9">
      <w:pPr>
        <w:shd w:val="clear" w:color="auto" w:fill="FFFFFF"/>
        <w:spacing w:before="120" w:line="240" w:lineRule="auto"/>
        <w:rPr>
          <w:rFonts w:eastAsia="Calibri" w:cs="Times New Roman"/>
          <w:sz w:val="24"/>
          <w:szCs w:val="24"/>
          <w:lang w:eastAsia="sk-SK"/>
        </w:rPr>
      </w:pPr>
      <w:r w:rsidRPr="008E112F">
        <w:rPr>
          <w:rFonts w:eastAsia="Calibri" w:cs="Times New Roman"/>
          <w:sz w:val="24"/>
          <w:szCs w:val="24"/>
          <w:lang w:eastAsia="sk-SK"/>
        </w:rPr>
        <w:t xml:space="preserve">Druhé najvyššie čerpanie v rámci transferov verejnej správy dosiahli </w:t>
      </w:r>
      <w:r w:rsidRPr="008E112F">
        <w:rPr>
          <w:rFonts w:eastAsia="Calibri" w:cs="Times New Roman"/>
          <w:b/>
          <w:i/>
          <w:sz w:val="24"/>
          <w:szCs w:val="24"/>
          <w:lang w:eastAsia="sk-SK"/>
        </w:rPr>
        <w:t>transfery rozpočtovej organizácii</w:t>
      </w:r>
      <w:r w:rsidRPr="008E112F">
        <w:rPr>
          <w:rFonts w:eastAsia="Calibri" w:cs="Times New Roman"/>
          <w:sz w:val="24"/>
          <w:szCs w:val="24"/>
          <w:lang w:eastAsia="sk-SK"/>
        </w:rPr>
        <w:t xml:space="preserve"> v sume 1 176 278 tis. eur a to najmä prostredníctvom</w:t>
      </w:r>
      <w:r w:rsidRPr="008E112F">
        <w:rPr>
          <w:rFonts w:eastAsia="Calibri" w:cs="Times New Roman"/>
          <w:color w:val="FF0000"/>
          <w:sz w:val="24"/>
          <w:szCs w:val="24"/>
          <w:lang w:eastAsia="sk-SK"/>
        </w:rPr>
        <w:t xml:space="preserve"> </w:t>
      </w:r>
      <w:r w:rsidRPr="008E112F">
        <w:rPr>
          <w:rFonts w:eastAsia="Calibri" w:cs="Times New Roman"/>
          <w:sz w:val="24"/>
          <w:szCs w:val="24"/>
          <w:lang w:eastAsia="sk-SK"/>
        </w:rPr>
        <w:t>Všeobecnej pokladničnej správy, ktorá čerpala v rámci tejto podpoložky 1 086 765 tis. eur, najmä</w:t>
      </w:r>
      <w:r w:rsidRPr="008E112F">
        <w:rPr>
          <w:rFonts w:eastAsia="Calibri" w:cs="Times New Roman"/>
          <w:color w:val="FF0000"/>
          <w:sz w:val="24"/>
          <w:szCs w:val="24"/>
          <w:lang w:eastAsia="sk-SK"/>
        </w:rPr>
        <w:t xml:space="preserve"> </w:t>
      </w:r>
      <w:r w:rsidRPr="008E112F">
        <w:rPr>
          <w:rFonts w:eastAsia="Calibri" w:cs="Times New Roman"/>
          <w:sz w:val="24"/>
          <w:szCs w:val="24"/>
          <w:lang w:eastAsia="sk-SK"/>
        </w:rPr>
        <w:t>na</w:t>
      </w:r>
      <w:r w:rsidRPr="008E112F">
        <w:rPr>
          <w:rFonts w:eastAsia="Calibri" w:cs="Times New Roman"/>
          <w:sz w:val="24"/>
          <w:szCs w:val="24"/>
        </w:rPr>
        <w:t> </w:t>
      </w:r>
      <w:r w:rsidRPr="008E112F">
        <w:rPr>
          <w:rFonts w:eastAsia="Calibri" w:cs="Times New Roman"/>
          <w:sz w:val="24"/>
          <w:szCs w:val="24"/>
          <w:lang w:eastAsia="sk-SK"/>
        </w:rPr>
        <w:t>dorovnanie zostatku saldo účtu Štátny dlh v sume 1 072 931 tis. eur. Ďalšie výdavky boli na poskytnuté návratné finančné výpomoci, na projekty finančného mechanizmu EHP, výdavky na financovanie N</w:t>
      </w:r>
      <w:r w:rsidR="00147FE6">
        <w:rPr>
          <w:rFonts w:eastAsia="Calibri" w:cs="Times New Roman"/>
          <w:sz w:val="24"/>
          <w:szCs w:val="24"/>
          <w:lang w:eastAsia="sk-SK"/>
        </w:rPr>
        <w:t>órskeho finančného mechanizmu a</w:t>
      </w:r>
      <w:r w:rsidRPr="008E112F">
        <w:rPr>
          <w:rFonts w:eastAsia="Calibri" w:cs="Times New Roman"/>
          <w:sz w:val="24"/>
          <w:szCs w:val="24"/>
          <w:lang w:eastAsia="sk-SK"/>
        </w:rPr>
        <w:t xml:space="preserve"> </w:t>
      </w:r>
      <w:r w:rsidRPr="008E112F">
        <w:rPr>
          <w:rFonts w:eastAsia="Calibri" w:cs="Times New Roman"/>
          <w:bCs/>
          <w:sz w:val="24"/>
          <w:szCs w:val="24"/>
        </w:rPr>
        <w:t>na financovanie Švajčiarskeho mechanizmu.</w:t>
      </w:r>
    </w:p>
    <w:p w14:paraId="1819CE1B" w14:textId="00C07025" w:rsidR="00B768D9" w:rsidRDefault="00B768D9" w:rsidP="00B41352">
      <w:pPr>
        <w:spacing w:line="240" w:lineRule="auto"/>
        <w:rPr>
          <w:rFonts w:eastAsia="Times New Roman" w:cs="Times New Roman"/>
          <w:b/>
          <w:bCs/>
          <w:color w:val="5B9BD5"/>
          <w:sz w:val="20"/>
          <w:szCs w:val="20"/>
          <w:lang w:eastAsia="sk-SK"/>
        </w:rPr>
      </w:pPr>
      <w:r w:rsidRPr="004505B1">
        <w:rPr>
          <w:rFonts w:eastAsia="Times New Roman" w:cs="Times New Roman"/>
          <w:b/>
          <w:bCs/>
          <w:color w:val="5B9BD5"/>
          <w:sz w:val="20"/>
          <w:szCs w:val="20"/>
          <w:lang w:eastAsia="sk-SK"/>
        </w:rPr>
        <w:t>Tabuľka 3</w:t>
      </w:r>
      <w:r w:rsidR="004A6E2F">
        <w:rPr>
          <w:rFonts w:eastAsia="Times New Roman" w:cs="Times New Roman"/>
          <w:b/>
          <w:bCs/>
          <w:color w:val="5B9BD5"/>
          <w:sz w:val="20"/>
          <w:szCs w:val="20"/>
          <w:lang w:eastAsia="sk-SK"/>
        </w:rPr>
        <w:t>6</w:t>
      </w:r>
      <w:r w:rsidRPr="004505B1">
        <w:rPr>
          <w:rFonts w:eastAsia="Times New Roman" w:cs="Times New Roman"/>
          <w:b/>
          <w:bCs/>
          <w:color w:val="5B9BD5"/>
          <w:sz w:val="20"/>
          <w:szCs w:val="20"/>
          <w:lang w:eastAsia="sk-SK"/>
        </w:rPr>
        <w:t xml:space="preserve"> – Výdavky štátneho dlhu</w:t>
      </w:r>
    </w:p>
    <w:tbl>
      <w:tblPr>
        <w:tblW w:w="9175" w:type="dxa"/>
        <w:tblCellMar>
          <w:left w:w="70" w:type="dxa"/>
          <w:right w:w="70" w:type="dxa"/>
        </w:tblCellMar>
        <w:tblLook w:val="04A0" w:firstRow="1" w:lastRow="0" w:firstColumn="1" w:lastColumn="0" w:noHBand="0" w:noVBand="1"/>
      </w:tblPr>
      <w:tblGrid>
        <w:gridCol w:w="2552"/>
        <w:gridCol w:w="1415"/>
        <w:gridCol w:w="1116"/>
        <w:gridCol w:w="1156"/>
        <w:gridCol w:w="1056"/>
        <w:gridCol w:w="996"/>
        <w:gridCol w:w="884"/>
      </w:tblGrid>
      <w:tr w:rsidR="00C07E13" w:rsidRPr="00736668" w14:paraId="1A2EBE80" w14:textId="77777777" w:rsidTr="00C07E13">
        <w:trPr>
          <w:trHeight w:val="286"/>
        </w:trPr>
        <w:tc>
          <w:tcPr>
            <w:tcW w:w="2552" w:type="dxa"/>
            <w:vMerge w:val="restart"/>
            <w:tcBorders>
              <w:top w:val="single" w:sz="4" w:space="0" w:color="auto"/>
              <w:left w:val="nil"/>
              <w:right w:val="nil"/>
            </w:tcBorders>
            <w:shd w:val="clear" w:color="000000" w:fill="FFFFFF"/>
            <w:vAlign w:val="center"/>
            <w:hideMark/>
          </w:tcPr>
          <w:p w14:paraId="59793652" w14:textId="78287EE2" w:rsidR="00C07E13" w:rsidRPr="00736668" w:rsidRDefault="00C07E13" w:rsidP="00C07E13">
            <w:pPr>
              <w:spacing w:after="0" w:line="240" w:lineRule="auto"/>
              <w:jc w:val="lef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v tis. eur</w:t>
            </w:r>
          </w:p>
        </w:tc>
        <w:tc>
          <w:tcPr>
            <w:tcW w:w="1415" w:type="dxa"/>
            <w:tcBorders>
              <w:top w:val="single" w:sz="4" w:space="0" w:color="auto"/>
              <w:left w:val="nil"/>
              <w:bottom w:val="nil"/>
              <w:right w:val="nil"/>
            </w:tcBorders>
            <w:shd w:val="clear" w:color="000000" w:fill="FFFFFF"/>
            <w:vAlign w:val="center"/>
            <w:hideMark/>
          </w:tcPr>
          <w:p w14:paraId="1A25C06F" w14:textId="77777777" w:rsidR="00C07E13" w:rsidRPr="00736668" w:rsidRDefault="00C07E13" w:rsidP="00C56CC4">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2021 S</w:t>
            </w:r>
          </w:p>
        </w:tc>
        <w:tc>
          <w:tcPr>
            <w:tcW w:w="1116" w:type="dxa"/>
            <w:tcBorders>
              <w:top w:val="single" w:sz="4" w:space="0" w:color="auto"/>
              <w:left w:val="nil"/>
              <w:bottom w:val="nil"/>
              <w:right w:val="nil"/>
            </w:tcBorders>
            <w:shd w:val="clear" w:color="000000" w:fill="FFFFFF"/>
            <w:vAlign w:val="center"/>
            <w:hideMark/>
          </w:tcPr>
          <w:p w14:paraId="3554113B" w14:textId="77777777" w:rsidR="00C07E13" w:rsidRPr="00736668" w:rsidRDefault="00C07E13" w:rsidP="00C56CC4">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2022 S</w:t>
            </w:r>
          </w:p>
        </w:tc>
        <w:tc>
          <w:tcPr>
            <w:tcW w:w="1156" w:type="dxa"/>
            <w:tcBorders>
              <w:top w:val="single" w:sz="4" w:space="0" w:color="auto"/>
              <w:left w:val="nil"/>
              <w:bottom w:val="nil"/>
              <w:right w:val="nil"/>
            </w:tcBorders>
            <w:shd w:val="clear" w:color="000000" w:fill="FFFFFF"/>
            <w:vAlign w:val="center"/>
            <w:hideMark/>
          </w:tcPr>
          <w:p w14:paraId="7525D308" w14:textId="77777777" w:rsidR="00C07E13" w:rsidRPr="00736668" w:rsidRDefault="00C07E13" w:rsidP="00C56CC4">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2023 R</w:t>
            </w:r>
          </w:p>
        </w:tc>
        <w:tc>
          <w:tcPr>
            <w:tcW w:w="1056" w:type="dxa"/>
            <w:tcBorders>
              <w:top w:val="single" w:sz="4" w:space="0" w:color="auto"/>
              <w:left w:val="nil"/>
              <w:bottom w:val="nil"/>
              <w:right w:val="nil"/>
            </w:tcBorders>
            <w:shd w:val="clear" w:color="000000" w:fill="FFFFFF"/>
            <w:vAlign w:val="center"/>
            <w:hideMark/>
          </w:tcPr>
          <w:p w14:paraId="471DC880" w14:textId="77777777" w:rsidR="00C07E13" w:rsidRPr="00736668" w:rsidRDefault="00C07E13" w:rsidP="00C56CC4">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2023 S</w:t>
            </w:r>
          </w:p>
        </w:tc>
        <w:tc>
          <w:tcPr>
            <w:tcW w:w="996" w:type="dxa"/>
            <w:tcBorders>
              <w:top w:val="single" w:sz="4" w:space="0" w:color="auto"/>
              <w:left w:val="nil"/>
              <w:bottom w:val="nil"/>
              <w:right w:val="nil"/>
            </w:tcBorders>
            <w:shd w:val="clear" w:color="000000" w:fill="FFFFFF"/>
            <w:vAlign w:val="center"/>
            <w:hideMark/>
          </w:tcPr>
          <w:p w14:paraId="5CA1B43C" w14:textId="77777777" w:rsidR="00C07E13" w:rsidRPr="00736668" w:rsidRDefault="00C07E13" w:rsidP="00C56CC4">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Rozdiel</w:t>
            </w:r>
          </w:p>
        </w:tc>
        <w:tc>
          <w:tcPr>
            <w:tcW w:w="884" w:type="dxa"/>
            <w:tcBorders>
              <w:top w:val="single" w:sz="4" w:space="0" w:color="auto"/>
              <w:left w:val="nil"/>
              <w:bottom w:val="nil"/>
              <w:right w:val="nil"/>
            </w:tcBorders>
            <w:shd w:val="clear" w:color="000000" w:fill="FFFFFF"/>
            <w:vAlign w:val="center"/>
            <w:hideMark/>
          </w:tcPr>
          <w:p w14:paraId="428C448D" w14:textId="77777777" w:rsidR="00C07E13" w:rsidRPr="00736668" w:rsidRDefault="00C07E13" w:rsidP="00C56CC4">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v %</w:t>
            </w:r>
          </w:p>
        </w:tc>
      </w:tr>
      <w:tr w:rsidR="00C07E13" w:rsidRPr="00736668" w14:paraId="306D47D7" w14:textId="77777777" w:rsidTr="00C07E13">
        <w:trPr>
          <w:trHeight w:val="286"/>
        </w:trPr>
        <w:tc>
          <w:tcPr>
            <w:tcW w:w="2552" w:type="dxa"/>
            <w:vMerge/>
            <w:tcBorders>
              <w:left w:val="nil"/>
              <w:bottom w:val="single" w:sz="4" w:space="0" w:color="auto"/>
              <w:right w:val="nil"/>
            </w:tcBorders>
            <w:shd w:val="clear" w:color="000000" w:fill="FFFFFF"/>
            <w:vAlign w:val="center"/>
            <w:hideMark/>
          </w:tcPr>
          <w:p w14:paraId="0E4EEFD9" w14:textId="36115980" w:rsidR="00C07E13" w:rsidRPr="00736668" w:rsidRDefault="00C07E13" w:rsidP="00C56CC4">
            <w:pPr>
              <w:spacing w:after="0" w:line="240" w:lineRule="auto"/>
              <w:jc w:val="center"/>
              <w:rPr>
                <w:rFonts w:eastAsia="Times New Roman" w:cs="Times New Roman"/>
                <w:b/>
                <w:bCs/>
                <w:color w:val="000000"/>
                <w:sz w:val="18"/>
                <w:szCs w:val="18"/>
                <w:lang w:eastAsia="sk-SK"/>
              </w:rPr>
            </w:pPr>
          </w:p>
        </w:tc>
        <w:tc>
          <w:tcPr>
            <w:tcW w:w="1415" w:type="dxa"/>
            <w:tcBorders>
              <w:top w:val="nil"/>
              <w:left w:val="nil"/>
              <w:bottom w:val="single" w:sz="4" w:space="0" w:color="auto"/>
              <w:right w:val="nil"/>
            </w:tcBorders>
            <w:shd w:val="clear" w:color="000000" w:fill="FFFFFF"/>
            <w:vAlign w:val="center"/>
            <w:hideMark/>
          </w:tcPr>
          <w:p w14:paraId="055405EB" w14:textId="77777777" w:rsidR="00C07E13" w:rsidRPr="00736668" w:rsidRDefault="00C07E13" w:rsidP="00C56CC4">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2</w:t>
            </w:r>
          </w:p>
        </w:tc>
        <w:tc>
          <w:tcPr>
            <w:tcW w:w="1116" w:type="dxa"/>
            <w:tcBorders>
              <w:top w:val="nil"/>
              <w:left w:val="nil"/>
              <w:bottom w:val="single" w:sz="4" w:space="0" w:color="auto"/>
              <w:right w:val="nil"/>
            </w:tcBorders>
            <w:shd w:val="clear" w:color="000000" w:fill="FFFFFF"/>
            <w:vAlign w:val="center"/>
            <w:hideMark/>
          </w:tcPr>
          <w:p w14:paraId="0373B0B0" w14:textId="77777777" w:rsidR="00C07E13" w:rsidRPr="00736668" w:rsidRDefault="00C07E13" w:rsidP="00C56CC4">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4</w:t>
            </w:r>
          </w:p>
        </w:tc>
        <w:tc>
          <w:tcPr>
            <w:tcW w:w="1156" w:type="dxa"/>
            <w:tcBorders>
              <w:top w:val="nil"/>
              <w:left w:val="nil"/>
              <w:bottom w:val="single" w:sz="4" w:space="0" w:color="auto"/>
              <w:right w:val="nil"/>
            </w:tcBorders>
            <w:shd w:val="clear" w:color="000000" w:fill="FFFFFF"/>
            <w:vAlign w:val="center"/>
            <w:hideMark/>
          </w:tcPr>
          <w:p w14:paraId="084DF8C7" w14:textId="77777777" w:rsidR="00C07E13" w:rsidRPr="00736668" w:rsidRDefault="00C07E13" w:rsidP="00C56CC4">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3</w:t>
            </w:r>
          </w:p>
        </w:tc>
        <w:tc>
          <w:tcPr>
            <w:tcW w:w="1056" w:type="dxa"/>
            <w:tcBorders>
              <w:top w:val="nil"/>
              <w:left w:val="nil"/>
              <w:bottom w:val="single" w:sz="4" w:space="0" w:color="auto"/>
              <w:right w:val="nil"/>
            </w:tcBorders>
            <w:shd w:val="clear" w:color="000000" w:fill="FFFFFF"/>
            <w:vAlign w:val="center"/>
            <w:hideMark/>
          </w:tcPr>
          <w:p w14:paraId="324D9D8C" w14:textId="77777777" w:rsidR="00C07E13" w:rsidRPr="00736668" w:rsidRDefault="00C07E13" w:rsidP="00C56CC4">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4</w:t>
            </w:r>
          </w:p>
        </w:tc>
        <w:tc>
          <w:tcPr>
            <w:tcW w:w="996" w:type="dxa"/>
            <w:tcBorders>
              <w:top w:val="nil"/>
              <w:left w:val="nil"/>
              <w:bottom w:val="single" w:sz="4" w:space="0" w:color="auto"/>
              <w:right w:val="nil"/>
            </w:tcBorders>
            <w:shd w:val="clear" w:color="000000" w:fill="FFFFFF"/>
            <w:vAlign w:val="center"/>
            <w:hideMark/>
          </w:tcPr>
          <w:p w14:paraId="66A1C0A0" w14:textId="77777777" w:rsidR="00C07E13" w:rsidRPr="00736668" w:rsidRDefault="00C07E13" w:rsidP="00C56CC4">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5=4-3</w:t>
            </w:r>
          </w:p>
        </w:tc>
        <w:tc>
          <w:tcPr>
            <w:tcW w:w="884" w:type="dxa"/>
            <w:tcBorders>
              <w:top w:val="nil"/>
              <w:left w:val="nil"/>
              <w:bottom w:val="single" w:sz="4" w:space="0" w:color="auto"/>
              <w:right w:val="nil"/>
            </w:tcBorders>
            <w:shd w:val="clear" w:color="000000" w:fill="FFFFFF"/>
            <w:vAlign w:val="center"/>
            <w:hideMark/>
          </w:tcPr>
          <w:p w14:paraId="66679FE0" w14:textId="77777777" w:rsidR="00C07E13" w:rsidRPr="00736668" w:rsidRDefault="00C07E13" w:rsidP="00C56CC4">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6=4-3</w:t>
            </w:r>
          </w:p>
        </w:tc>
      </w:tr>
      <w:tr w:rsidR="00C56CC4" w:rsidRPr="00736668" w14:paraId="7E99E8AA" w14:textId="77777777" w:rsidTr="00C56CC4">
        <w:trPr>
          <w:trHeight w:val="298"/>
        </w:trPr>
        <w:tc>
          <w:tcPr>
            <w:tcW w:w="2552" w:type="dxa"/>
            <w:tcBorders>
              <w:top w:val="nil"/>
              <w:left w:val="nil"/>
              <w:bottom w:val="nil"/>
              <w:right w:val="nil"/>
            </w:tcBorders>
            <w:shd w:val="clear" w:color="auto" w:fill="auto"/>
            <w:noWrap/>
            <w:vAlign w:val="center"/>
            <w:hideMark/>
          </w:tcPr>
          <w:p w14:paraId="6B69D96C" w14:textId="77777777" w:rsidR="00C56CC4" w:rsidRPr="00736668" w:rsidRDefault="00C56CC4" w:rsidP="00C56CC4">
            <w:pPr>
              <w:spacing w:after="0" w:line="240" w:lineRule="auto"/>
              <w:rPr>
                <w:rFonts w:eastAsia="Times New Roman" w:cs="Times New Roman"/>
                <w:color w:val="000000"/>
                <w:sz w:val="18"/>
                <w:szCs w:val="18"/>
                <w:lang w:eastAsia="sk-SK"/>
              </w:rPr>
            </w:pPr>
            <w:r w:rsidRPr="00736668">
              <w:rPr>
                <w:rFonts w:eastAsia="Times New Roman" w:cs="Times New Roman"/>
                <w:color w:val="000000"/>
                <w:sz w:val="18"/>
                <w:szCs w:val="18"/>
                <w:lang w:eastAsia="sk-SK"/>
              </w:rPr>
              <w:t>dlhová služba - transfer</w:t>
            </w:r>
          </w:p>
        </w:tc>
        <w:tc>
          <w:tcPr>
            <w:tcW w:w="1415" w:type="dxa"/>
            <w:tcBorders>
              <w:top w:val="nil"/>
              <w:left w:val="nil"/>
              <w:bottom w:val="nil"/>
              <w:right w:val="nil"/>
            </w:tcBorders>
            <w:shd w:val="clear" w:color="auto" w:fill="auto"/>
            <w:vAlign w:val="center"/>
            <w:hideMark/>
          </w:tcPr>
          <w:p w14:paraId="56C6E7AA" w14:textId="77777777" w:rsidR="00C56CC4" w:rsidRPr="00736668" w:rsidRDefault="00C56CC4" w:rsidP="00C56CC4">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657 218</w:t>
            </w:r>
          </w:p>
        </w:tc>
        <w:tc>
          <w:tcPr>
            <w:tcW w:w="1116" w:type="dxa"/>
            <w:tcBorders>
              <w:top w:val="nil"/>
              <w:left w:val="nil"/>
              <w:bottom w:val="nil"/>
              <w:right w:val="nil"/>
            </w:tcBorders>
            <w:shd w:val="clear" w:color="000000" w:fill="FFFFFF"/>
            <w:vAlign w:val="center"/>
            <w:hideMark/>
          </w:tcPr>
          <w:p w14:paraId="27B24019" w14:textId="77777777" w:rsidR="00C56CC4" w:rsidRPr="00736668" w:rsidRDefault="00C56CC4" w:rsidP="00C56CC4">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1 059 061</w:t>
            </w:r>
          </w:p>
        </w:tc>
        <w:tc>
          <w:tcPr>
            <w:tcW w:w="1156" w:type="dxa"/>
            <w:tcBorders>
              <w:top w:val="nil"/>
              <w:left w:val="nil"/>
              <w:bottom w:val="nil"/>
              <w:right w:val="nil"/>
            </w:tcBorders>
            <w:shd w:val="clear" w:color="auto" w:fill="auto"/>
            <w:vAlign w:val="center"/>
            <w:hideMark/>
          </w:tcPr>
          <w:p w14:paraId="7C51C2AA" w14:textId="77777777" w:rsidR="00C56CC4" w:rsidRPr="00736668" w:rsidRDefault="00C56CC4" w:rsidP="00C56CC4">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1 343 208</w:t>
            </w:r>
          </w:p>
        </w:tc>
        <w:tc>
          <w:tcPr>
            <w:tcW w:w="1056" w:type="dxa"/>
            <w:tcBorders>
              <w:top w:val="nil"/>
              <w:left w:val="nil"/>
              <w:bottom w:val="nil"/>
              <w:right w:val="nil"/>
            </w:tcBorders>
            <w:shd w:val="clear" w:color="auto" w:fill="auto"/>
            <w:vAlign w:val="center"/>
            <w:hideMark/>
          </w:tcPr>
          <w:p w14:paraId="67A5EDD0" w14:textId="77777777" w:rsidR="00C56CC4" w:rsidRPr="00736668" w:rsidRDefault="00C56CC4" w:rsidP="00C56CC4">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1 072 931</w:t>
            </w:r>
          </w:p>
        </w:tc>
        <w:tc>
          <w:tcPr>
            <w:tcW w:w="996" w:type="dxa"/>
            <w:tcBorders>
              <w:top w:val="nil"/>
              <w:left w:val="nil"/>
              <w:bottom w:val="nil"/>
              <w:right w:val="nil"/>
            </w:tcBorders>
            <w:shd w:val="clear" w:color="auto" w:fill="auto"/>
            <w:vAlign w:val="center"/>
            <w:hideMark/>
          </w:tcPr>
          <w:p w14:paraId="63A140B8" w14:textId="77777777" w:rsidR="00C56CC4" w:rsidRPr="00736668" w:rsidRDefault="00C56CC4" w:rsidP="00C56CC4">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-270 277</w:t>
            </w:r>
          </w:p>
        </w:tc>
        <w:tc>
          <w:tcPr>
            <w:tcW w:w="884" w:type="dxa"/>
            <w:tcBorders>
              <w:top w:val="nil"/>
              <w:left w:val="nil"/>
              <w:bottom w:val="nil"/>
              <w:right w:val="nil"/>
            </w:tcBorders>
            <w:shd w:val="clear" w:color="auto" w:fill="auto"/>
            <w:vAlign w:val="center"/>
            <w:hideMark/>
          </w:tcPr>
          <w:p w14:paraId="3C3CABDC" w14:textId="77777777" w:rsidR="00C56CC4" w:rsidRPr="00736668" w:rsidRDefault="00C56CC4" w:rsidP="00C56CC4">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-20,1</w:t>
            </w:r>
          </w:p>
        </w:tc>
      </w:tr>
      <w:tr w:rsidR="00C56CC4" w:rsidRPr="00736668" w14:paraId="3829881D" w14:textId="77777777" w:rsidTr="00C56CC4">
        <w:trPr>
          <w:trHeight w:val="298"/>
        </w:trPr>
        <w:tc>
          <w:tcPr>
            <w:tcW w:w="2552" w:type="dxa"/>
            <w:tcBorders>
              <w:top w:val="nil"/>
              <w:left w:val="nil"/>
              <w:bottom w:val="nil"/>
              <w:right w:val="nil"/>
            </w:tcBorders>
            <w:shd w:val="clear" w:color="auto" w:fill="auto"/>
            <w:noWrap/>
            <w:vAlign w:val="center"/>
            <w:hideMark/>
          </w:tcPr>
          <w:p w14:paraId="717FC87A" w14:textId="77777777" w:rsidR="00C56CC4" w:rsidRPr="00736668" w:rsidRDefault="00C56CC4" w:rsidP="00C56CC4">
            <w:pPr>
              <w:spacing w:after="0" w:line="240" w:lineRule="auto"/>
              <w:rPr>
                <w:rFonts w:eastAsia="Times New Roman" w:cs="Times New Roman"/>
                <w:color w:val="000000"/>
                <w:sz w:val="18"/>
                <w:szCs w:val="18"/>
                <w:lang w:eastAsia="sk-SK"/>
              </w:rPr>
            </w:pPr>
            <w:r w:rsidRPr="00736668">
              <w:rPr>
                <w:rFonts w:eastAsia="Times New Roman" w:cs="Times New Roman"/>
                <w:color w:val="000000"/>
                <w:sz w:val="18"/>
                <w:szCs w:val="18"/>
                <w:lang w:eastAsia="sk-SK"/>
              </w:rPr>
              <w:t>manipulačné poplatky</w:t>
            </w:r>
          </w:p>
        </w:tc>
        <w:tc>
          <w:tcPr>
            <w:tcW w:w="1415" w:type="dxa"/>
            <w:tcBorders>
              <w:top w:val="nil"/>
              <w:left w:val="nil"/>
              <w:bottom w:val="nil"/>
              <w:right w:val="nil"/>
            </w:tcBorders>
            <w:shd w:val="clear" w:color="auto" w:fill="auto"/>
            <w:vAlign w:val="center"/>
            <w:hideMark/>
          </w:tcPr>
          <w:p w14:paraId="4E3AE0F0" w14:textId="77777777" w:rsidR="00C56CC4" w:rsidRPr="00736668" w:rsidRDefault="00C56CC4" w:rsidP="00C56CC4">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270</w:t>
            </w:r>
          </w:p>
        </w:tc>
        <w:tc>
          <w:tcPr>
            <w:tcW w:w="1116" w:type="dxa"/>
            <w:tcBorders>
              <w:top w:val="nil"/>
              <w:left w:val="nil"/>
              <w:bottom w:val="nil"/>
              <w:right w:val="nil"/>
            </w:tcBorders>
            <w:shd w:val="clear" w:color="auto" w:fill="auto"/>
            <w:vAlign w:val="center"/>
            <w:hideMark/>
          </w:tcPr>
          <w:p w14:paraId="43D43154" w14:textId="77777777" w:rsidR="00C56CC4" w:rsidRPr="00736668" w:rsidRDefault="00C56CC4" w:rsidP="00C56CC4">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270</w:t>
            </w:r>
          </w:p>
        </w:tc>
        <w:tc>
          <w:tcPr>
            <w:tcW w:w="1156" w:type="dxa"/>
            <w:tcBorders>
              <w:top w:val="nil"/>
              <w:left w:val="nil"/>
              <w:bottom w:val="nil"/>
              <w:right w:val="nil"/>
            </w:tcBorders>
            <w:shd w:val="clear" w:color="auto" w:fill="auto"/>
            <w:vAlign w:val="center"/>
            <w:hideMark/>
          </w:tcPr>
          <w:p w14:paraId="3E752AB3" w14:textId="77777777" w:rsidR="00C56CC4" w:rsidRPr="00736668" w:rsidRDefault="00C56CC4" w:rsidP="00C56CC4">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270</w:t>
            </w:r>
          </w:p>
        </w:tc>
        <w:tc>
          <w:tcPr>
            <w:tcW w:w="1056" w:type="dxa"/>
            <w:tcBorders>
              <w:top w:val="nil"/>
              <w:left w:val="nil"/>
              <w:bottom w:val="nil"/>
              <w:right w:val="nil"/>
            </w:tcBorders>
            <w:shd w:val="clear" w:color="000000" w:fill="FFFFFF"/>
            <w:vAlign w:val="center"/>
            <w:hideMark/>
          </w:tcPr>
          <w:p w14:paraId="2FF3DDEF" w14:textId="77777777" w:rsidR="00C56CC4" w:rsidRPr="00736668" w:rsidRDefault="00C56CC4" w:rsidP="00C56CC4">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258</w:t>
            </w:r>
          </w:p>
        </w:tc>
        <w:tc>
          <w:tcPr>
            <w:tcW w:w="996" w:type="dxa"/>
            <w:tcBorders>
              <w:top w:val="nil"/>
              <w:left w:val="nil"/>
              <w:bottom w:val="nil"/>
              <w:right w:val="nil"/>
            </w:tcBorders>
            <w:shd w:val="clear" w:color="auto" w:fill="auto"/>
            <w:vAlign w:val="center"/>
            <w:hideMark/>
          </w:tcPr>
          <w:p w14:paraId="3995E98C" w14:textId="77777777" w:rsidR="00C56CC4" w:rsidRPr="00736668" w:rsidRDefault="00C56CC4" w:rsidP="00C56CC4">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-12</w:t>
            </w:r>
          </w:p>
        </w:tc>
        <w:tc>
          <w:tcPr>
            <w:tcW w:w="884" w:type="dxa"/>
            <w:tcBorders>
              <w:top w:val="nil"/>
              <w:left w:val="nil"/>
              <w:bottom w:val="nil"/>
              <w:right w:val="nil"/>
            </w:tcBorders>
            <w:shd w:val="clear" w:color="auto" w:fill="auto"/>
            <w:vAlign w:val="center"/>
            <w:hideMark/>
          </w:tcPr>
          <w:p w14:paraId="472D83E3" w14:textId="77777777" w:rsidR="00C56CC4" w:rsidRPr="00736668" w:rsidRDefault="00C56CC4" w:rsidP="00C56CC4">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-4,4</w:t>
            </w:r>
          </w:p>
        </w:tc>
      </w:tr>
      <w:tr w:rsidR="00C56CC4" w:rsidRPr="00736668" w14:paraId="584AA9BC" w14:textId="77777777" w:rsidTr="00C56CC4">
        <w:trPr>
          <w:trHeight w:val="298"/>
        </w:trPr>
        <w:tc>
          <w:tcPr>
            <w:tcW w:w="2552" w:type="dxa"/>
            <w:tcBorders>
              <w:top w:val="single" w:sz="4" w:space="0" w:color="auto"/>
              <w:left w:val="nil"/>
              <w:bottom w:val="single" w:sz="4" w:space="0" w:color="auto"/>
              <w:right w:val="nil"/>
            </w:tcBorders>
            <w:shd w:val="clear" w:color="000000" w:fill="FFFFFF"/>
            <w:vAlign w:val="center"/>
            <w:hideMark/>
          </w:tcPr>
          <w:p w14:paraId="2C57828C" w14:textId="77777777" w:rsidR="00C56CC4" w:rsidRPr="00736668" w:rsidRDefault="00C56CC4" w:rsidP="00C56CC4">
            <w:pPr>
              <w:spacing w:after="0" w:line="240" w:lineRule="auto"/>
              <w:jc w:val="lef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Celkom štátny dlh</w:t>
            </w:r>
          </w:p>
        </w:tc>
        <w:tc>
          <w:tcPr>
            <w:tcW w:w="1415" w:type="dxa"/>
            <w:tcBorders>
              <w:top w:val="single" w:sz="4" w:space="0" w:color="auto"/>
              <w:left w:val="nil"/>
              <w:bottom w:val="single" w:sz="4" w:space="0" w:color="auto"/>
              <w:right w:val="nil"/>
            </w:tcBorders>
            <w:shd w:val="clear" w:color="auto" w:fill="auto"/>
            <w:vAlign w:val="center"/>
            <w:hideMark/>
          </w:tcPr>
          <w:p w14:paraId="34380FAC" w14:textId="77777777" w:rsidR="00C56CC4" w:rsidRPr="00736668" w:rsidRDefault="00C56CC4" w:rsidP="00C56CC4">
            <w:pPr>
              <w:spacing w:after="0" w:line="240" w:lineRule="auto"/>
              <w:jc w:val="righ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657 488</w:t>
            </w:r>
          </w:p>
        </w:tc>
        <w:tc>
          <w:tcPr>
            <w:tcW w:w="1116" w:type="dxa"/>
            <w:tcBorders>
              <w:top w:val="single" w:sz="4" w:space="0" w:color="auto"/>
              <w:left w:val="nil"/>
              <w:bottom w:val="single" w:sz="4" w:space="0" w:color="auto"/>
              <w:right w:val="nil"/>
            </w:tcBorders>
            <w:shd w:val="clear" w:color="auto" w:fill="auto"/>
            <w:vAlign w:val="center"/>
            <w:hideMark/>
          </w:tcPr>
          <w:p w14:paraId="65BE1904" w14:textId="77777777" w:rsidR="00C56CC4" w:rsidRPr="00736668" w:rsidRDefault="00C56CC4" w:rsidP="00C56CC4">
            <w:pPr>
              <w:spacing w:after="0" w:line="240" w:lineRule="auto"/>
              <w:jc w:val="righ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1 059 331</w:t>
            </w:r>
          </w:p>
        </w:tc>
        <w:tc>
          <w:tcPr>
            <w:tcW w:w="1156" w:type="dxa"/>
            <w:tcBorders>
              <w:top w:val="single" w:sz="4" w:space="0" w:color="auto"/>
              <w:left w:val="nil"/>
              <w:bottom w:val="single" w:sz="4" w:space="0" w:color="auto"/>
              <w:right w:val="nil"/>
            </w:tcBorders>
            <w:shd w:val="clear" w:color="auto" w:fill="auto"/>
            <w:vAlign w:val="center"/>
            <w:hideMark/>
          </w:tcPr>
          <w:p w14:paraId="48D29EFF" w14:textId="77777777" w:rsidR="00C56CC4" w:rsidRPr="00736668" w:rsidRDefault="00C56CC4" w:rsidP="00C56CC4">
            <w:pPr>
              <w:spacing w:after="0" w:line="240" w:lineRule="auto"/>
              <w:jc w:val="righ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1 343 478</w:t>
            </w:r>
          </w:p>
        </w:tc>
        <w:tc>
          <w:tcPr>
            <w:tcW w:w="1056" w:type="dxa"/>
            <w:tcBorders>
              <w:top w:val="single" w:sz="4" w:space="0" w:color="auto"/>
              <w:left w:val="nil"/>
              <w:bottom w:val="single" w:sz="4" w:space="0" w:color="auto"/>
              <w:right w:val="nil"/>
            </w:tcBorders>
            <w:shd w:val="clear" w:color="auto" w:fill="auto"/>
            <w:vAlign w:val="center"/>
            <w:hideMark/>
          </w:tcPr>
          <w:p w14:paraId="532A6FBB" w14:textId="77777777" w:rsidR="00C56CC4" w:rsidRPr="00736668" w:rsidRDefault="00C56CC4" w:rsidP="00C56CC4">
            <w:pPr>
              <w:spacing w:after="0" w:line="240" w:lineRule="auto"/>
              <w:jc w:val="righ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1 073 189</w:t>
            </w:r>
          </w:p>
        </w:tc>
        <w:tc>
          <w:tcPr>
            <w:tcW w:w="996" w:type="dxa"/>
            <w:tcBorders>
              <w:top w:val="single" w:sz="4" w:space="0" w:color="auto"/>
              <w:left w:val="nil"/>
              <w:bottom w:val="single" w:sz="4" w:space="0" w:color="auto"/>
              <w:right w:val="nil"/>
            </w:tcBorders>
            <w:shd w:val="clear" w:color="auto" w:fill="auto"/>
            <w:vAlign w:val="center"/>
            <w:hideMark/>
          </w:tcPr>
          <w:p w14:paraId="1E0D43A2" w14:textId="77777777" w:rsidR="00C56CC4" w:rsidRPr="00736668" w:rsidRDefault="00C56CC4" w:rsidP="00C56CC4">
            <w:pPr>
              <w:spacing w:after="0" w:line="240" w:lineRule="auto"/>
              <w:jc w:val="righ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-270 289</w:t>
            </w:r>
          </w:p>
        </w:tc>
        <w:tc>
          <w:tcPr>
            <w:tcW w:w="884" w:type="dxa"/>
            <w:tcBorders>
              <w:top w:val="single" w:sz="4" w:space="0" w:color="auto"/>
              <w:left w:val="nil"/>
              <w:bottom w:val="single" w:sz="4" w:space="0" w:color="auto"/>
              <w:right w:val="nil"/>
            </w:tcBorders>
            <w:shd w:val="clear" w:color="auto" w:fill="auto"/>
            <w:vAlign w:val="center"/>
            <w:hideMark/>
          </w:tcPr>
          <w:p w14:paraId="7DE86A80" w14:textId="77777777" w:rsidR="00C56CC4" w:rsidRPr="00736668" w:rsidRDefault="00C56CC4" w:rsidP="00C56CC4">
            <w:pPr>
              <w:spacing w:after="0" w:line="240" w:lineRule="auto"/>
              <w:jc w:val="righ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-20,1</w:t>
            </w:r>
          </w:p>
        </w:tc>
      </w:tr>
    </w:tbl>
    <w:p w14:paraId="6E756FC1" w14:textId="77777777" w:rsidR="00B768D9" w:rsidRPr="00736668" w:rsidRDefault="00B768D9" w:rsidP="00B768D9">
      <w:pPr>
        <w:shd w:val="clear" w:color="auto" w:fill="FFFFFF"/>
        <w:spacing w:line="240" w:lineRule="auto"/>
        <w:ind w:left="6630" w:firstLine="510"/>
        <w:jc w:val="right"/>
        <w:rPr>
          <w:rFonts w:eastAsia="Calibri" w:cs="Times New Roman"/>
          <w:sz w:val="18"/>
          <w:szCs w:val="18"/>
        </w:rPr>
      </w:pPr>
      <w:r w:rsidRPr="00736668">
        <w:rPr>
          <w:rFonts w:eastAsia="Calibri" w:cs="Times New Roman"/>
          <w:sz w:val="18"/>
          <w:szCs w:val="18"/>
        </w:rPr>
        <w:t>Zdroj: MF SR</w:t>
      </w:r>
    </w:p>
    <w:tbl>
      <w:tblPr>
        <w:tblW w:w="9214" w:type="dxa"/>
        <w:tblCellMar>
          <w:left w:w="70" w:type="dxa"/>
          <w:right w:w="70" w:type="dxa"/>
        </w:tblCellMar>
        <w:tblLook w:val="04A0" w:firstRow="1" w:lastRow="0" w:firstColumn="1" w:lastColumn="0" w:noHBand="0" w:noVBand="1"/>
      </w:tblPr>
      <w:tblGrid>
        <w:gridCol w:w="9214"/>
      </w:tblGrid>
      <w:tr w:rsidR="00B768D9" w:rsidRPr="00360BCD" w14:paraId="6B017C44" w14:textId="77777777" w:rsidTr="00736668">
        <w:trPr>
          <w:trHeight w:val="289"/>
        </w:trPr>
        <w:tc>
          <w:tcPr>
            <w:tcW w:w="9214" w:type="dxa"/>
            <w:tcBorders>
              <w:top w:val="nil"/>
              <w:left w:val="nil"/>
              <w:bottom w:val="nil"/>
              <w:right w:val="nil"/>
            </w:tcBorders>
            <w:shd w:val="clear" w:color="auto" w:fill="auto"/>
            <w:noWrap/>
            <w:vAlign w:val="bottom"/>
            <w:hideMark/>
          </w:tcPr>
          <w:p w14:paraId="2A4D3221" w14:textId="1F2FF83C" w:rsidR="00B768D9" w:rsidRPr="00C15485" w:rsidRDefault="008E112F" w:rsidP="00736668">
            <w:pPr>
              <w:spacing w:line="240" w:lineRule="auto"/>
              <w:rPr>
                <w:rFonts w:eastAsia="Arial Narrow" w:cs="Times New Roman"/>
                <w:b/>
                <w:bCs/>
                <w:noProof/>
                <w:sz w:val="20"/>
                <w:szCs w:val="36"/>
                <w:lang w:eastAsia="sk-SK"/>
              </w:rPr>
            </w:pPr>
            <w:r w:rsidRPr="004F67DE">
              <w:rPr>
                <w:rFonts w:eastAsia="Times New Roman" w:cs="Times New Roman"/>
                <w:sz w:val="24"/>
                <w:szCs w:val="24"/>
                <w:lang w:eastAsia="sk-SK"/>
              </w:rPr>
              <w:t>Na hotovostnom princípe došlo v roku 2023 oproti schválenému rozpočtu výdavkov, spojených so správou štátneho dlhu k úspore v sume 270 276 tis. eur. Na menšie hotovostné saldo čiastočne vplývali inkasované prémie, pri predaji dlhopisov s väčšími kupónmi, ako bol dosiahnutý výnos v aukcii. Na</w:t>
            </w:r>
            <w:r>
              <w:rPr>
                <w:rFonts w:eastAsia="Times New Roman" w:cs="Times New Roman"/>
                <w:sz w:val="24"/>
                <w:szCs w:val="24"/>
                <w:lang w:eastAsia="sk-SK"/>
              </w:rPr>
              <w:t> </w:t>
            </w:r>
            <w:r w:rsidRPr="004F67DE">
              <w:rPr>
                <w:rFonts w:eastAsia="Times New Roman" w:cs="Times New Roman"/>
                <w:sz w:val="24"/>
                <w:szCs w:val="24"/>
                <w:lang w:eastAsia="sk-SK"/>
              </w:rPr>
              <w:t>úsporu hotovostného salda v roku 2023 malo pozitívny vplyv hlavne krátkodobé investovanie dočasných v</w:t>
            </w:r>
            <w:r>
              <w:rPr>
                <w:rFonts w:eastAsia="Times New Roman" w:cs="Times New Roman"/>
                <w:sz w:val="24"/>
                <w:szCs w:val="24"/>
                <w:lang w:eastAsia="sk-SK"/>
              </w:rPr>
              <w:t xml:space="preserve">oľných finančných prostriedkov </w:t>
            </w:r>
            <w:r w:rsidRPr="004F67DE">
              <w:rPr>
                <w:rFonts w:eastAsia="Times New Roman" w:cs="Times New Roman"/>
                <w:sz w:val="24"/>
                <w:szCs w:val="24"/>
                <w:lang w:eastAsia="sk-SK"/>
              </w:rPr>
              <w:t>na peňažnom trhu. V priebehu roka 2023 ECB, prostredníctvom NBS, pokračovala v nákupoch slovenských štátnych dlhopisov, ale v menšej miere, ako boli splatné dlhopisy v jej portfóliu. ECB pod</w:t>
            </w:r>
            <w:r>
              <w:rPr>
                <w:rFonts w:eastAsia="Times New Roman" w:cs="Times New Roman"/>
                <w:sz w:val="24"/>
                <w:szCs w:val="24"/>
                <w:lang w:eastAsia="sk-SK"/>
              </w:rPr>
              <w:t> </w:t>
            </w:r>
            <w:r w:rsidRPr="004F67DE">
              <w:rPr>
                <w:rFonts w:eastAsia="Times New Roman" w:cs="Times New Roman"/>
                <w:sz w:val="24"/>
                <w:szCs w:val="24"/>
                <w:lang w:eastAsia="sk-SK"/>
              </w:rPr>
              <w:t>vplyvom pretrvávajúcej inflácie v</w:t>
            </w:r>
            <w:r>
              <w:rPr>
                <w:rFonts w:eastAsia="Times New Roman" w:cs="Times New Roman"/>
                <w:sz w:val="24"/>
                <w:szCs w:val="24"/>
                <w:lang w:eastAsia="sk-SK"/>
              </w:rPr>
              <w:t xml:space="preserve"> roku</w:t>
            </w:r>
            <w:r w:rsidRPr="004F67DE">
              <w:rPr>
                <w:rFonts w:eastAsia="Times New Roman" w:cs="Times New Roman"/>
                <w:sz w:val="24"/>
                <w:szCs w:val="24"/>
                <w:lang w:eastAsia="sk-SK"/>
              </w:rPr>
              <w:t xml:space="preserve"> 2023 zvýšila svoje úrokové mier</w:t>
            </w:r>
            <w:r>
              <w:rPr>
                <w:rFonts w:eastAsia="Times New Roman" w:cs="Times New Roman"/>
                <w:sz w:val="24"/>
                <w:szCs w:val="24"/>
                <w:lang w:eastAsia="sk-SK"/>
              </w:rPr>
              <w:t>y</w:t>
            </w:r>
            <w:r w:rsidRPr="004F67DE">
              <w:rPr>
                <w:rFonts w:eastAsia="Times New Roman" w:cs="Times New Roman"/>
                <w:sz w:val="24"/>
                <w:szCs w:val="24"/>
                <w:lang w:eastAsia="sk-SK"/>
              </w:rPr>
              <w:t xml:space="preserve"> o 2,00 % p.</w:t>
            </w:r>
            <w:r>
              <w:rPr>
                <w:rFonts w:eastAsia="Times New Roman" w:cs="Times New Roman"/>
                <w:sz w:val="24"/>
                <w:szCs w:val="24"/>
                <w:lang w:eastAsia="sk-SK"/>
              </w:rPr>
              <w:t> </w:t>
            </w:r>
            <w:r w:rsidRPr="004F67DE">
              <w:rPr>
                <w:rFonts w:eastAsia="Times New Roman" w:cs="Times New Roman"/>
                <w:sz w:val="24"/>
                <w:szCs w:val="24"/>
                <w:lang w:eastAsia="sk-SK"/>
              </w:rPr>
              <w:t>a., čo sa prirodzene premietlo aj do výnosov dlhopisov v celej eurozóne.</w:t>
            </w:r>
            <w:r>
              <w:rPr>
                <w:rFonts w:eastAsia="Times New Roman" w:cs="Times New Roman"/>
                <w:sz w:val="24"/>
                <w:szCs w:val="24"/>
                <w:lang w:eastAsia="sk-SK"/>
              </w:rPr>
              <w:t xml:space="preserve"> Vďaka optimálnemu budovaniu </w:t>
            </w:r>
            <w:r w:rsidRPr="004F67DE">
              <w:rPr>
                <w:rFonts w:eastAsia="Times New Roman" w:cs="Times New Roman"/>
                <w:sz w:val="24"/>
                <w:szCs w:val="24"/>
                <w:lang w:eastAsia="sk-SK"/>
              </w:rPr>
              <w:t>a riadeniu rizikových ukazovateľov a priemernej splatnosti d</w:t>
            </w:r>
            <w:r>
              <w:rPr>
                <w:rFonts w:eastAsia="Times New Roman" w:cs="Times New Roman"/>
                <w:sz w:val="24"/>
                <w:szCs w:val="24"/>
                <w:lang w:eastAsia="sk-SK"/>
              </w:rPr>
              <w:t xml:space="preserve">lhového portfólia v minulosti </w:t>
            </w:r>
            <w:r w:rsidRPr="004F67DE">
              <w:rPr>
                <w:rFonts w:eastAsia="Times New Roman" w:cs="Times New Roman"/>
                <w:sz w:val="24"/>
                <w:szCs w:val="24"/>
                <w:lang w:eastAsia="sk-SK"/>
              </w:rPr>
              <w:t>sa pokračujúci rast výnosov v roku 2023 premietol do celkového portfólia dlhu len v</w:t>
            </w:r>
            <w:r>
              <w:rPr>
                <w:rFonts w:eastAsia="Times New Roman" w:cs="Times New Roman"/>
                <w:sz w:val="24"/>
                <w:szCs w:val="24"/>
                <w:lang w:eastAsia="sk-SK"/>
              </w:rPr>
              <w:t> </w:t>
            </w:r>
            <w:r w:rsidRPr="004F67DE">
              <w:rPr>
                <w:rFonts w:eastAsia="Times New Roman" w:cs="Times New Roman"/>
                <w:sz w:val="24"/>
                <w:szCs w:val="24"/>
                <w:lang w:eastAsia="sk-SK"/>
              </w:rPr>
              <w:t>obmedzenej miere. Priemerná vážená úroková sadzba celkových záväzkov štátu vzrástla z</w:t>
            </w:r>
            <w:r>
              <w:rPr>
                <w:rFonts w:eastAsia="Times New Roman" w:cs="Times New Roman"/>
                <w:sz w:val="24"/>
                <w:szCs w:val="24"/>
                <w:lang w:eastAsia="sk-SK"/>
              </w:rPr>
              <w:t> </w:t>
            </w:r>
            <w:r w:rsidRPr="004F67DE">
              <w:rPr>
                <w:rFonts w:eastAsia="Times New Roman" w:cs="Times New Roman"/>
                <w:sz w:val="24"/>
                <w:szCs w:val="24"/>
                <w:lang w:eastAsia="sk-SK"/>
              </w:rPr>
              <w:t>úrovne 1,31 % p. a. v roku 2022 na úroveň 1,82 % p. a. na konci roka 2023. Na správu štátneho dlhu pozitívne vplýval aj systém Š</w:t>
            </w:r>
            <w:r>
              <w:rPr>
                <w:rFonts w:eastAsia="Times New Roman" w:cs="Times New Roman"/>
                <w:sz w:val="24"/>
                <w:szCs w:val="24"/>
                <w:lang w:eastAsia="sk-SK"/>
              </w:rPr>
              <w:t>tátnej pokladnice</w:t>
            </w:r>
            <w:r w:rsidRPr="004F67DE">
              <w:rPr>
                <w:rFonts w:eastAsia="Times New Roman" w:cs="Times New Roman"/>
                <w:sz w:val="24"/>
                <w:szCs w:val="24"/>
                <w:lang w:eastAsia="sk-SK"/>
              </w:rPr>
              <w:t xml:space="preserve">, ktorý zabezpečil, že SR mala k dispozícii stabilné a lacné zdroje financovania, ktoré slúžili </w:t>
            </w:r>
            <w:r>
              <w:rPr>
                <w:rFonts w:eastAsia="Times New Roman" w:cs="Times New Roman"/>
                <w:sz w:val="24"/>
                <w:szCs w:val="24"/>
                <w:lang w:eastAsia="sk-SK"/>
              </w:rPr>
              <w:t xml:space="preserve">hlavne </w:t>
            </w:r>
            <w:r w:rsidRPr="004F67DE">
              <w:rPr>
                <w:rFonts w:eastAsia="Times New Roman" w:cs="Times New Roman"/>
                <w:sz w:val="24"/>
                <w:szCs w:val="24"/>
                <w:lang w:eastAsia="sk-SK"/>
              </w:rPr>
              <w:t>ako hotovostná rezerva v zhoršených časoch na finančnom trhu</w:t>
            </w:r>
            <w:r w:rsidRPr="00C15485">
              <w:rPr>
                <w:rFonts w:eastAsia="Times New Roman" w:cs="Times New Roman"/>
                <w:sz w:val="24"/>
                <w:szCs w:val="24"/>
                <w:lang w:eastAsia="sk-SK"/>
              </w:rPr>
              <w:t>.</w:t>
            </w:r>
          </w:p>
          <w:tbl>
            <w:tblPr>
              <w:tblW w:w="9880" w:type="dxa"/>
              <w:tblCellMar>
                <w:left w:w="70" w:type="dxa"/>
                <w:right w:w="70" w:type="dxa"/>
              </w:tblCellMar>
              <w:tblLook w:val="04A0" w:firstRow="1" w:lastRow="0" w:firstColumn="1" w:lastColumn="0" w:noHBand="0" w:noVBand="1"/>
            </w:tblPr>
            <w:tblGrid>
              <w:gridCol w:w="5347"/>
              <w:gridCol w:w="1291"/>
              <w:gridCol w:w="1200"/>
              <w:gridCol w:w="1236"/>
            </w:tblGrid>
            <w:tr w:rsidR="00B768D9" w:rsidRPr="00893F27" w14:paraId="5D3C95D3" w14:textId="77777777" w:rsidTr="00736668">
              <w:trPr>
                <w:trHeight w:val="420"/>
              </w:trPr>
              <w:tc>
                <w:tcPr>
                  <w:tcW w:w="7240" w:type="dxa"/>
                  <w:gridSpan w:val="2"/>
                  <w:tcBorders>
                    <w:top w:val="nil"/>
                    <w:left w:val="nil"/>
                    <w:bottom w:val="nil"/>
                    <w:right w:val="nil"/>
                  </w:tcBorders>
                  <w:shd w:val="clear" w:color="auto" w:fill="auto"/>
                  <w:noWrap/>
                  <w:vAlign w:val="center"/>
                  <w:hideMark/>
                </w:tcPr>
                <w:p w14:paraId="6E88EEEE" w14:textId="6C763E9A" w:rsidR="00B768D9" w:rsidRPr="00893F27" w:rsidRDefault="00B768D9" w:rsidP="004A6E2F">
                  <w:pPr>
                    <w:spacing w:after="0" w:line="240" w:lineRule="auto"/>
                    <w:rPr>
                      <w:rFonts w:eastAsia="Times New Roman" w:cs="Times New Roman"/>
                      <w:b/>
                      <w:bCs/>
                      <w:color w:val="5B9BD5"/>
                      <w:sz w:val="20"/>
                      <w:szCs w:val="20"/>
                      <w:lang w:eastAsia="sk-SK"/>
                    </w:rPr>
                  </w:pPr>
                  <w:r>
                    <w:rPr>
                      <w:rFonts w:eastAsia="Times New Roman" w:cs="Times New Roman"/>
                      <w:b/>
                      <w:bCs/>
                      <w:color w:val="5B9BD5"/>
                      <w:sz w:val="20"/>
                      <w:szCs w:val="20"/>
                      <w:lang w:eastAsia="sk-SK"/>
                    </w:rPr>
                    <w:lastRenderedPageBreak/>
                    <w:t>Tabuľka 3</w:t>
                  </w:r>
                  <w:r w:rsidR="004A6E2F">
                    <w:rPr>
                      <w:rFonts w:eastAsia="Times New Roman" w:cs="Times New Roman"/>
                      <w:b/>
                      <w:bCs/>
                      <w:color w:val="5B9BD5"/>
                      <w:sz w:val="20"/>
                      <w:szCs w:val="20"/>
                      <w:lang w:eastAsia="sk-SK"/>
                    </w:rPr>
                    <w:t>7</w:t>
                  </w:r>
                  <w:r>
                    <w:rPr>
                      <w:rFonts w:eastAsia="Times New Roman" w:cs="Times New Roman"/>
                      <w:b/>
                      <w:bCs/>
                      <w:color w:val="5B9BD5"/>
                      <w:sz w:val="20"/>
                      <w:szCs w:val="20"/>
                      <w:lang w:eastAsia="sk-SK"/>
                    </w:rPr>
                    <w:t xml:space="preserve"> - </w:t>
                  </w:r>
                  <w:r w:rsidRPr="00893F27">
                    <w:rPr>
                      <w:rFonts w:eastAsia="Times New Roman" w:cs="Times New Roman"/>
                      <w:b/>
                      <w:bCs/>
                      <w:color w:val="5B9BD5"/>
                      <w:sz w:val="20"/>
                      <w:szCs w:val="20"/>
                      <w:lang w:eastAsia="sk-SK"/>
                    </w:rPr>
                    <w:t xml:space="preserve">Prehľad príjmov a výdavkov na saldo účte Štátneho dlhu </w:t>
                  </w:r>
                </w:p>
              </w:tc>
              <w:tc>
                <w:tcPr>
                  <w:tcW w:w="1300" w:type="dxa"/>
                  <w:tcBorders>
                    <w:top w:val="nil"/>
                    <w:left w:val="nil"/>
                    <w:bottom w:val="nil"/>
                    <w:right w:val="nil"/>
                  </w:tcBorders>
                  <w:shd w:val="clear" w:color="auto" w:fill="auto"/>
                  <w:noWrap/>
                  <w:vAlign w:val="bottom"/>
                  <w:hideMark/>
                </w:tcPr>
                <w:p w14:paraId="16432397" w14:textId="77777777" w:rsidR="00B768D9" w:rsidRPr="00893F27" w:rsidRDefault="00B768D9" w:rsidP="00B768D9">
                  <w:pPr>
                    <w:spacing w:after="0" w:line="240" w:lineRule="auto"/>
                    <w:rPr>
                      <w:rFonts w:eastAsia="Times New Roman" w:cs="Times New Roman"/>
                      <w:b/>
                      <w:bCs/>
                      <w:color w:val="5B9BD5"/>
                      <w:sz w:val="20"/>
                      <w:szCs w:val="20"/>
                      <w:lang w:eastAsia="sk-SK"/>
                    </w:rPr>
                  </w:pPr>
                </w:p>
              </w:tc>
              <w:tc>
                <w:tcPr>
                  <w:tcW w:w="1340" w:type="dxa"/>
                  <w:tcBorders>
                    <w:top w:val="nil"/>
                    <w:left w:val="nil"/>
                    <w:bottom w:val="nil"/>
                    <w:right w:val="nil"/>
                  </w:tcBorders>
                  <w:shd w:val="clear" w:color="auto" w:fill="auto"/>
                  <w:noWrap/>
                  <w:vAlign w:val="bottom"/>
                  <w:hideMark/>
                </w:tcPr>
                <w:p w14:paraId="28B9068A" w14:textId="77777777" w:rsidR="00B768D9" w:rsidRPr="00893F27" w:rsidRDefault="00B768D9" w:rsidP="00B768D9">
                  <w:pPr>
                    <w:spacing w:after="0" w:line="240" w:lineRule="auto"/>
                    <w:rPr>
                      <w:rFonts w:eastAsia="Times New Roman" w:cs="Times New Roman"/>
                      <w:sz w:val="20"/>
                      <w:szCs w:val="20"/>
                      <w:lang w:eastAsia="sk-SK"/>
                    </w:rPr>
                  </w:pPr>
                </w:p>
              </w:tc>
            </w:tr>
            <w:tr w:rsidR="00B768D9" w:rsidRPr="00736668" w14:paraId="591329A9" w14:textId="77777777" w:rsidTr="00736668">
              <w:trPr>
                <w:trHeight w:val="390"/>
              </w:trPr>
              <w:tc>
                <w:tcPr>
                  <w:tcW w:w="5840" w:type="dxa"/>
                  <w:tcBorders>
                    <w:top w:val="single" w:sz="4" w:space="0" w:color="auto"/>
                    <w:left w:val="nil"/>
                    <w:bottom w:val="single" w:sz="4" w:space="0" w:color="auto"/>
                    <w:right w:val="nil"/>
                  </w:tcBorders>
                  <w:shd w:val="clear" w:color="auto" w:fill="auto"/>
                  <w:noWrap/>
                  <w:vAlign w:val="center"/>
                  <w:hideMark/>
                </w:tcPr>
                <w:p w14:paraId="784CBA9B" w14:textId="77777777" w:rsidR="00B768D9" w:rsidRPr="00736668" w:rsidRDefault="00B768D9" w:rsidP="00B768D9">
                  <w:pPr>
                    <w:spacing w:after="0" w:line="240" w:lineRule="auto"/>
                    <w:rPr>
                      <w:rFonts w:eastAsia="Times New Roman" w:cs="Times New Roman"/>
                      <w:b/>
                      <w:bCs/>
                      <w:sz w:val="18"/>
                      <w:szCs w:val="18"/>
                      <w:lang w:eastAsia="sk-SK"/>
                    </w:rPr>
                  </w:pPr>
                  <w:r w:rsidRPr="00736668">
                    <w:rPr>
                      <w:rFonts w:eastAsia="Times New Roman" w:cs="Times New Roman"/>
                      <w:b/>
                      <w:bCs/>
                      <w:sz w:val="18"/>
                      <w:szCs w:val="18"/>
                      <w:lang w:eastAsia="sk-SK"/>
                    </w:rPr>
                    <w:t>v tis. eur</w:t>
                  </w:r>
                </w:p>
              </w:tc>
              <w:tc>
                <w:tcPr>
                  <w:tcW w:w="1400" w:type="dxa"/>
                  <w:tcBorders>
                    <w:top w:val="single" w:sz="4" w:space="0" w:color="auto"/>
                    <w:left w:val="nil"/>
                    <w:bottom w:val="single" w:sz="4" w:space="0" w:color="auto"/>
                    <w:right w:val="nil"/>
                  </w:tcBorders>
                  <w:shd w:val="clear" w:color="auto" w:fill="auto"/>
                  <w:noWrap/>
                  <w:vAlign w:val="center"/>
                  <w:hideMark/>
                </w:tcPr>
                <w:p w14:paraId="329FCF49" w14:textId="77777777" w:rsidR="00B768D9" w:rsidRPr="00736668" w:rsidRDefault="00B768D9" w:rsidP="00B768D9">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2021 S</w:t>
                  </w:r>
                </w:p>
              </w:tc>
              <w:tc>
                <w:tcPr>
                  <w:tcW w:w="1300" w:type="dxa"/>
                  <w:tcBorders>
                    <w:top w:val="single" w:sz="4" w:space="0" w:color="auto"/>
                    <w:left w:val="nil"/>
                    <w:bottom w:val="single" w:sz="4" w:space="0" w:color="auto"/>
                    <w:right w:val="nil"/>
                  </w:tcBorders>
                  <w:shd w:val="clear" w:color="auto" w:fill="auto"/>
                  <w:noWrap/>
                  <w:vAlign w:val="center"/>
                  <w:hideMark/>
                </w:tcPr>
                <w:p w14:paraId="37DFEA7A" w14:textId="77777777" w:rsidR="00B768D9" w:rsidRPr="00736668" w:rsidRDefault="00B768D9" w:rsidP="00B768D9">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2022 S</w:t>
                  </w:r>
                </w:p>
              </w:tc>
              <w:tc>
                <w:tcPr>
                  <w:tcW w:w="1340" w:type="dxa"/>
                  <w:tcBorders>
                    <w:top w:val="single" w:sz="4" w:space="0" w:color="auto"/>
                    <w:left w:val="nil"/>
                    <w:bottom w:val="single" w:sz="4" w:space="0" w:color="auto"/>
                    <w:right w:val="nil"/>
                  </w:tcBorders>
                  <w:shd w:val="clear" w:color="auto" w:fill="auto"/>
                  <w:noWrap/>
                  <w:vAlign w:val="center"/>
                  <w:hideMark/>
                </w:tcPr>
                <w:p w14:paraId="243324B0" w14:textId="77777777" w:rsidR="00B768D9" w:rsidRPr="00736668" w:rsidRDefault="00B768D9" w:rsidP="00B768D9">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2023 S</w:t>
                  </w:r>
                </w:p>
              </w:tc>
            </w:tr>
            <w:tr w:rsidR="00B768D9" w:rsidRPr="00736668" w14:paraId="15112155" w14:textId="77777777" w:rsidTr="00B768D9">
              <w:trPr>
                <w:trHeight w:val="276"/>
              </w:trPr>
              <w:tc>
                <w:tcPr>
                  <w:tcW w:w="5840" w:type="dxa"/>
                  <w:tcBorders>
                    <w:top w:val="nil"/>
                    <w:left w:val="nil"/>
                    <w:bottom w:val="nil"/>
                    <w:right w:val="nil"/>
                  </w:tcBorders>
                  <w:shd w:val="clear" w:color="auto" w:fill="auto"/>
                  <w:noWrap/>
                  <w:vAlign w:val="center"/>
                  <w:hideMark/>
                </w:tcPr>
                <w:p w14:paraId="4F321B4D" w14:textId="77777777" w:rsidR="00B768D9" w:rsidRPr="00736668" w:rsidRDefault="00B768D9" w:rsidP="00B768D9">
                  <w:pPr>
                    <w:spacing w:after="0" w:line="240" w:lineRule="auto"/>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Príjmy</w:t>
                  </w:r>
                </w:p>
              </w:tc>
              <w:tc>
                <w:tcPr>
                  <w:tcW w:w="1400" w:type="dxa"/>
                  <w:tcBorders>
                    <w:top w:val="nil"/>
                    <w:left w:val="nil"/>
                    <w:bottom w:val="nil"/>
                    <w:right w:val="nil"/>
                  </w:tcBorders>
                  <w:shd w:val="clear" w:color="auto" w:fill="auto"/>
                  <w:vAlign w:val="center"/>
                  <w:hideMark/>
                </w:tcPr>
                <w:p w14:paraId="504E29D2" w14:textId="77777777" w:rsidR="00B768D9" w:rsidRPr="00736668" w:rsidRDefault="00B768D9" w:rsidP="00B768D9">
                  <w:pPr>
                    <w:spacing w:after="0" w:line="240" w:lineRule="auto"/>
                    <w:jc w:val="righ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575 543</w:t>
                  </w:r>
                </w:p>
              </w:tc>
              <w:tc>
                <w:tcPr>
                  <w:tcW w:w="1300" w:type="dxa"/>
                  <w:tcBorders>
                    <w:top w:val="nil"/>
                    <w:left w:val="nil"/>
                    <w:bottom w:val="nil"/>
                    <w:right w:val="nil"/>
                  </w:tcBorders>
                  <w:shd w:val="clear" w:color="auto" w:fill="auto"/>
                  <w:vAlign w:val="center"/>
                  <w:hideMark/>
                </w:tcPr>
                <w:p w14:paraId="61A736C0" w14:textId="77777777" w:rsidR="00B768D9" w:rsidRPr="00736668" w:rsidRDefault="00B768D9" w:rsidP="00B768D9">
                  <w:pPr>
                    <w:spacing w:after="0" w:line="240" w:lineRule="auto"/>
                    <w:jc w:val="righ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127 184</w:t>
                  </w:r>
                </w:p>
              </w:tc>
              <w:tc>
                <w:tcPr>
                  <w:tcW w:w="1340" w:type="dxa"/>
                  <w:tcBorders>
                    <w:top w:val="nil"/>
                    <w:left w:val="nil"/>
                    <w:bottom w:val="nil"/>
                    <w:right w:val="nil"/>
                  </w:tcBorders>
                  <w:shd w:val="clear" w:color="auto" w:fill="auto"/>
                  <w:vAlign w:val="center"/>
                  <w:hideMark/>
                </w:tcPr>
                <w:p w14:paraId="66EC5F4E" w14:textId="77777777" w:rsidR="00B768D9" w:rsidRPr="00736668" w:rsidRDefault="00B768D9" w:rsidP="00B768D9">
                  <w:pPr>
                    <w:spacing w:after="0" w:line="240" w:lineRule="auto"/>
                    <w:jc w:val="righ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350 500</w:t>
                  </w:r>
                </w:p>
              </w:tc>
            </w:tr>
            <w:tr w:rsidR="00B768D9" w:rsidRPr="00736668" w14:paraId="58DC817F" w14:textId="77777777" w:rsidTr="00B768D9">
              <w:trPr>
                <w:trHeight w:val="276"/>
              </w:trPr>
              <w:tc>
                <w:tcPr>
                  <w:tcW w:w="5840" w:type="dxa"/>
                  <w:tcBorders>
                    <w:top w:val="nil"/>
                    <w:left w:val="nil"/>
                    <w:bottom w:val="nil"/>
                    <w:right w:val="nil"/>
                  </w:tcBorders>
                  <w:shd w:val="clear" w:color="auto" w:fill="auto"/>
                  <w:noWrap/>
                  <w:vAlign w:val="center"/>
                  <w:hideMark/>
                </w:tcPr>
                <w:p w14:paraId="4D38863B" w14:textId="77777777" w:rsidR="00B768D9" w:rsidRPr="00736668" w:rsidRDefault="00B768D9" w:rsidP="00B768D9">
                  <w:pPr>
                    <w:spacing w:after="0" w:line="240" w:lineRule="auto"/>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Výdavky spolu</w:t>
                  </w:r>
                </w:p>
              </w:tc>
              <w:tc>
                <w:tcPr>
                  <w:tcW w:w="1400" w:type="dxa"/>
                  <w:tcBorders>
                    <w:top w:val="nil"/>
                    <w:left w:val="nil"/>
                    <w:bottom w:val="nil"/>
                    <w:right w:val="nil"/>
                  </w:tcBorders>
                  <w:shd w:val="clear" w:color="auto" w:fill="auto"/>
                  <w:vAlign w:val="center"/>
                  <w:hideMark/>
                </w:tcPr>
                <w:p w14:paraId="0C8262CC" w14:textId="77777777" w:rsidR="00B768D9" w:rsidRPr="00736668" w:rsidRDefault="00B768D9" w:rsidP="00B768D9">
                  <w:pPr>
                    <w:spacing w:after="0" w:line="240" w:lineRule="auto"/>
                    <w:jc w:val="righ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1 232 761</w:t>
                  </w:r>
                </w:p>
              </w:tc>
              <w:tc>
                <w:tcPr>
                  <w:tcW w:w="1300" w:type="dxa"/>
                  <w:tcBorders>
                    <w:top w:val="nil"/>
                    <w:left w:val="nil"/>
                    <w:bottom w:val="nil"/>
                    <w:right w:val="nil"/>
                  </w:tcBorders>
                  <w:shd w:val="clear" w:color="auto" w:fill="auto"/>
                  <w:vAlign w:val="center"/>
                  <w:hideMark/>
                </w:tcPr>
                <w:p w14:paraId="0114EC07" w14:textId="77777777" w:rsidR="00B768D9" w:rsidRPr="00736668" w:rsidRDefault="00B768D9" w:rsidP="00B768D9">
                  <w:pPr>
                    <w:spacing w:after="0" w:line="240" w:lineRule="auto"/>
                    <w:jc w:val="righ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1 186 245</w:t>
                  </w:r>
                </w:p>
              </w:tc>
              <w:tc>
                <w:tcPr>
                  <w:tcW w:w="1340" w:type="dxa"/>
                  <w:tcBorders>
                    <w:top w:val="nil"/>
                    <w:left w:val="nil"/>
                    <w:bottom w:val="nil"/>
                    <w:right w:val="nil"/>
                  </w:tcBorders>
                  <w:shd w:val="clear" w:color="auto" w:fill="auto"/>
                  <w:vAlign w:val="center"/>
                  <w:hideMark/>
                </w:tcPr>
                <w:p w14:paraId="1AAF79B3" w14:textId="77777777" w:rsidR="00B768D9" w:rsidRPr="00736668" w:rsidRDefault="00B768D9" w:rsidP="00B768D9">
                  <w:pPr>
                    <w:spacing w:after="0" w:line="240" w:lineRule="auto"/>
                    <w:jc w:val="righ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1 423 431</w:t>
                  </w:r>
                </w:p>
              </w:tc>
            </w:tr>
            <w:tr w:rsidR="00B768D9" w:rsidRPr="00736668" w14:paraId="169AEAFD" w14:textId="77777777" w:rsidTr="00B768D9">
              <w:trPr>
                <w:trHeight w:val="288"/>
              </w:trPr>
              <w:tc>
                <w:tcPr>
                  <w:tcW w:w="5840" w:type="dxa"/>
                  <w:tcBorders>
                    <w:top w:val="nil"/>
                    <w:left w:val="nil"/>
                    <w:bottom w:val="nil"/>
                    <w:right w:val="nil"/>
                  </w:tcBorders>
                  <w:shd w:val="clear" w:color="auto" w:fill="auto"/>
                  <w:noWrap/>
                  <w:vAlign w:val="center"/>
                  <w:hideMark/>
                </w:tcPr>
                <w:p w14:paraId="1E60D6B1" w14:textId="77777777" w:rsidR="00B768D9" w:rsidRPr="00736668" w:rsidRDefault="00B768D9" w:rsidP="00B768D9">
                  <w:pPr>
                    <w:spacing w:after="0" w:line="240" w:lineRule="auto"/>
                    <w:rPr>
                      <w:rFonts w:eastAsia="Times New Roman" w:cs="Times New Roman"/>
                      <w:color w:val="000000"/>
                      <w:sz w:val="18"/>
                      <w:szCs w:val="18"/>
                      <w:lang w:eastAsia="sk-SK"/>
                    </w:rPr>
                  </w:pPr>
                  <w:r w:rsidRPr="00736668">
                    <w:rPr>
                      <w:rFonts w:eastAsia="Times New Roman" w:cs="Times New Roman"/>
                      <w:color w:val="000000"/>
                      <w:sz w:val="18"/>
                      <w:szCs w:val="18"/>
                      <w:lang w:eastAsia="sk-SK"/>
                    </w:rPr>
                    <w:t xml:space="preserve">v tom: </w:t>
                  </w:r>
                </w:p>
              </w:tc>
              <w:tc>
                <w:tcPr>
                  <w:tcW w:w="1400" w:type="dxa"/>
                  <w:tcBorders>
                    <w:top w:val="nil"/>
                    <w:left w:val="nil"/>
                    <w:bottom w:val="nil"/>
                    <w:right w:val="nil"/>
                  </w:tcBorders>
                  <w:shd w:val="clear" w:color="auto" w:fill="auto"/>
                  <w:noWrap/>
                  <w:vAlign w:val="center"/>
                  <w:hideMark/>
                </w:tcPr>
                <w:p w14:paraId="04191587" w14:textId="77777777" w:rsidR="00B768D9" w:rsidRPr="00736668" w:rsidRDefault="00B768D9" w:rsidP="00B768D9">
                  <w:pPr>
                    <w:spacing w:after="0" w:line="240" w:lineRule="auto"/>
                    <w:rPr>
                      <w:rFonts w:eastAsia="Times New Roman" w:cs="Times New Roman"/>
                      <w:color w:val="000000"/>
                      <w:sz w:val="18"/>
                      <w:szCs w:val="18"/>
                      <w:lang w:eastAsia="sk-SK"/>
                    </w:rPr>
                  </w:pPr>
                </w:p>
              </w:tc>
              <w:tc>
                <w:tcPr>
                  <w:tcW w:w="1300" w:type="dxa"/>
                  <w:tcBorders>
                    <w:top w:val="nil"/>
                    <w:left w:val="nil"/>
                    <w:bottom w:val="nil"/>
                    <w:right w:val="nil"/>
                  </w:tcBorders>
                  <w:shd w:val="clear" w:color="auto" w:fill="auto"/>
                  <w:vAlign w:val="center"/>
                  <w:hideMark/>
                </w:tcPr>
                <w:p w14:paraId="515B8B9F" w14:textId="77777777" w:rsidR="00B768D9" w:rsidRPr="00736668" w:rsidRDefault="00B768D9" w:rsidP="00B768D9">
                  <w:pPr>
                    <w:spacing w:after="0" w:line="240" w:lineRule="auto"/>
                    <w:rPr>
                      <w:rFonts w:eastAsia="Times New Roman" w:cs="Times New Roman"/>
                      <w:sz w:val="18"/>
                      <w:szCs w:val="18"/>
                      <w:lang w:eastAsia="sk-SK"/>
                    </w:rPr>
                  </w:pPr>
                </w:p>
              </w:tc>
              <w:tc>
                <w:tcPr>
                  <w:tcW w:w="1340" w:type="dxa"/>
                  <w:tcBorders>
                    <w:top w:val="nil"/>
                    <w:left w:val="nil"/>
                    <w:bottom w:val="nil"/>
                    <w:right w:val="nil"/>
                  </w:tcBorders>
                  <w:shd w:val="clear" w:color="auto" w:fill="auto"/>
                  <w:vAlign w:val="center"/>
                  <w:hideMark/>
                </w:tcPr>
                <w:p w14:paraId="400839B7" w14:textId="77777777" w:rsidR="00B768D9" w:rsidRPr="00736668" w:rsidRDefault="00B768D9" w:rsidP="00B768D9">
                  <w:pPr>
                    <w:spacing w:after="0" w:line="240" w:lineRule="auto"/>
                    <w:rPr>
                      <w:rFonts w:eastAsia="Times New Roman" w:cs="Times New Roman"/>
                      <w:sz w:val="18"/>
                      <w:szCs w:val="18"/>
                      <w:lang w:eastAsia="sk-SK"/>
                    </w:rPr>
                  </w:pPr>
                </w:p>
              </w:tc>
            </w:tr>
            <w:tr w:rsidR="00B768D9" w:rsidRPr="00736668" w14:paraId="180DDE51" w14:textId="77777777" w:rsidTr="00B768D9">
              <w:trPr>
                <w:trHeight w:val="276"/>
              </w:trPr>
              <w:tc>
                <w:tcPr>
                  <w:tcW w:w="5840" w:type="dxa"/>
                  <w:tcBorders>
                    <w:top w:val="nil"/>
                    <w:left w:val="nil"/>
                    <w:bottom w:val="nil"/>
                    <w:right w:val="nil"/>
                  </w:tcBorders>
                  <w:shd w:val="clear" w:color="auto" w:fill="auto"/>
                  <w:noWrap/>
                  <w:vAlign w:val="center"/>
                  <w:hideMark/>
                </w:tcPr>
                <w:p w14:paraId="5035A6A7" w14:textId="77777777" w:rsidR="00B768D9" w:rsidRPr="00736668" w:rsidRDefault="00B768D9" w:rsidP="00B768D9">
                  <w:pPr>
                    <w:spacing w:after="0" w:line="240" w:lineRule="auto"/>
                    <w:rPr>
                      <w:rFonts w:eastAsia="Times New Roman" w:cs="Times New Roman"/>
                      <w:i/>
                      <w:iCs/>
                      <w:color w:val="000000"/>
                      <w:sz w:val="18"/>
                      <w:szCs w:val="18"/>
                      <w:lang w:eastAsia="sk-SK"/>
                    </w:rPr>
                  </w:pPr>
                  <w:r w:rsidRPr="00736668">
                    <w:rPr>
                      <w:rFonts w:eastAsia="Times New Roman" w:cs="Times New Roman"/>
                      <w:i/>
                      <w:iCs/>
                      <w:color w:val="000000"/>
                      <w:sz w:val="18"/>
                      <w:szCs w:val="18"/>
                      <w:lang w:eastAsia="sk-SK"/>
                    </w:rPr>
                    <w:t xml:space="preserve">   úroky zo štátnych dlhopisov + obchodov + úverov</w:t>
                  </w:r>
                </w:p>
              </w:tc>
              <w:tc>
                <w:tcPr>
                  <w:tcW w:w="1400" w:type="dxa"/>
                  <w:tcBorders>
                    <w:top w:val="nil"/>
                    <w:left w:val="nil"/>
                    <w:bottom w:val="nil"/>
                    <w:right w:val="nil"/>
                  </w:tcBorders>
                  <w:shd w:val="clear" w:color="auto" w:fill="auto"/>
                  <w:vAlign w:val="center"/>
                  <w:hideMark/>
                </w:tcPr>
                <w:p w14:paraId="35473E18" w14:textId="77777777" w:rsidR="00B768D9" w:rsidRPr="00736668" w:rsidRDefault="00B768D9" w:rsidP="00B768D9">
                  <w:pPr>
                    <w:spacing w:after="0" w:line="240" w:lineRule="auto"/>
                    <w:jc w:val="right"/>
                    <w:rPr>
                      <w:rFonts w:eastAsia="Times New Roman" w:cs="Times New Roman"/>
                      <w:i/>
                      <w:iCs/>
                      <w:color w:val="000000"/>
                      <w:sz w:val="18"/>
                      <w:szCs w:val="18"/>
                      <w:lang w:eastAsia="sk-SK"/>
                    </w:rPr>
                  </w:pPr>
                  <w:r w:rsidRPr="00736668">
                    <w:rPr>
                      <w:rFonts w:eastAsia="Times New Roman" w:cs="Times New Roman"/>
                      <w:i/>
                      <w:iCs/>
                      <w:color w:val="000000"/>
                      <w:sz w:val="18"/>
                      <w:szCs w:val="18"/>
                      <w:lang w:eastAsia="sk-SK"/>
                    </w:rPr>
                    <w:t>1 189 919</w:t>
                  </w:r>
                </w:p>
              </w:tc>
              <w:tc>
                <w:tcPr>
                  <w:tcW w:w="1300" w:type="dxa"/>
                  <w:tcBorders>
                    <w:top w:val="nil"/>
                    <w:left w:val="nil"/>
                    <w:bottom w:val="nil"/>
                    <w:right w:val="nil"/>
                  </w:tcBorders>
                  <w:shd w:val="clear" w:color="auto" w:fill="auto"/>
                  <w:vAlign w:val="center"/>
                  <w:hideMark/>
                </w:tcPr>
                <w:p w14:paraId="0925E801" w14:textId="77777777" w:rsidR="00B768D9" w:rsidRPr="00736668" w:rsidRDefault="00B768D9" w:rsidP="00B768D9">
                  <w:pPr>
                    <w:spacing w:after="0" w:line="240" w:lineRule="auto"/>
                    <w:jc w:val="right"/>
                    <w:rPr>
                      <w:rFonts w:eastAsia="Times New Roman" w:cs="Times New Roman"/>
                      <w:i/>
                      <w:iCs/>
                      <w:color w:val="000000"/>
                      <w:sz w:val="18"/>
                      <w:szCs w:val="18"/>
                      <w:lang w:eastAsia="sk-SK"/>
                    </w:rPr>
                  </w:pPr>
                  <w:r w:rsidRPr="00736668">
                    <w:rPr>
                      <w:rFonts w:eastAsia="Times New Roman" w:cs="Times New Roman"/>
                      <w:i/>
                      <w:iCs/>
                      <w:color w:val="000000"/>
                      <w:sz w:val="18"/>
                      <w:szCs w:val="18"/>
                      <w:lang w:eastAsia="sk-SK"/>
                    </w:rPr>
                    <w:t>1 142 785</w:t>
                  </w:r>
                </w:p>
              </w:tc>
              <w:tc>
                <w:tcPr>
                  <w:tcW w:w="1340" w:type="dxa"/>
                  <w:tcBorders>
                    <w:top w:val="nil"/>
                    <w:left w:val="nil"/>
                    <w:bottom w:val="nil"/>
                    <w:right w:val="nil"/>
                  </w:tcBorders>
                  <w:shd w:val="clear" w:color="auto" w:fill="auto"/>
                  <w:vAlign w:val="center"/>
                  <w:hideMark/>
                </w:tcPr>
                <w:p w14:paraId="0E421435" w14:textId="77777777" w:rsidR="00B768D9" w:rsidRPr="00736668" w:rsidRDefault="00B768D9" w:rsidP="00B768D9">
                  <w:pPr>
                    <w:spacing w:after="0" w:line="240" w:lineRule="auto"/>
                    <w:jc w:val="right"/>
                    <w:rPr>
                      <w:rFonts w:eastAsia="Times New Roman" w:cs="Times New Roman"/>
                      <w:i/>
                      <w:iCs/>
                      <w:color w:val="000000"/>
                      <w:sz w:val="18"/>
                      <w:szCs w:val="18"/>
                      <w:lang w:eastAsia="sk-SK"/>
                    </w:rPr>
                  </w:pPr>
                  <w:r w:rsidRPr="00736668">
                    <w:rPr>
                      <w:rFonts w:eastAsia="Times New Roman" w:cs="Times New Roman"/>
                      <w:i/>
                      <w:iCs/>
                      <w:color w:val="000000"/>
                      <w:sz w:val="18"/>
                      <w:szCs w:val="18"/>
                      <w:lang w:eastAsia="sk-SK"/>
                    </w:rPr>
                    <w:t>1 165 597</w:t>
                  </w:r>
                </w:p>
              </w:tc>
            </w:tr>
            <w:tr w:rsidR="00B768D9" w:rsidRPr="00736668" w14:paraId="33B96A22" w14:textId="77777777" w:rsidTr="00B768D9">
              <w:trPr>
                <w:trHeight w:val="276"/>
              </w:trPr>
              <w:tc>
                <w:tcPr>
                  <w:tcW w:w="5840" w:type="dxa"/>
                  <w:tcBorders>
                    <w:top w:val="nil"/>
                    <w:left w:val="nil"/>
                    <w:bottom w:val="nil"/>
                    <w:right w:val="nil"/>
                  </w:tcBorders>
                  <w:shd w:val="clear" w:color="auto" w:fill="auto"/>
                  <w:noWrap/>
                  <w:vAlign w:val="center"/>
                  <w:hideMark/>
                </w:tcPr>
                <w:p w14:paraId="67169194" w14:textId="77777777" w:rsidR="00B768D9" w:rsidRPr="00736668" w:rsidRDefault="00B768D9" w:rsidP="00B768D9">
                  <w:pPr>
                    <w:spacing w:after="0" w:line="240" w:lineRule="auto"/>
                    <w:rPr>
                      <w:rFonts w:eastAsia="Times New Roman" w:cs="Times New Roman"/>
                      <w:i/>
                      <w:iCs/>
                      <w:color w:val="000000"/>
                      <w:sz w:val="18"/>
                      <w:szCs w:val="18"/>
                      <w:lang w:eastAsia="sk-SK"/>
                    </w:rPr>
                  </w:pPr>
                  <w:r w:rsidRPr="00736668">
                    <w:rPr>
                      <w:rFonts w:eastAsia="Times New Roman" w:cs="Times New Roman"/>
                      <w:i/>
                      <w:iCs/>
                      <w:color w:val="000000"/>
                      <w:sz w:val="18"/>
                      <w:szCs w:val="18"/>
                      <w:lang w:eastAsia="sk-SK"/>
                    </w:rPr>
                    <w:t xml:space="preserve">   úroky z refinančného systému - ŠP</w:t>
                  </w:r>
                </w:p>
              </w:tc>
              <w:tc>
                <w:tcPr>
                  <w:tcW w:w="1400" w:type="dxa"/>
                  <w:tcBorders>
                    <w:top w:val="nil"/>
                    <w:left w:val="nil"/>
                    <w:bottom w:val="nil"/>
                    <w:right w:val="nil"/>
                  </w:tcBorders>
                  <w:shd w:val="clear" w:color="auto" w:fill="auto"/>
                  <w:vAlign w:val="center"/>
                  <w:hideMark/>
                </w:tcPr>
                <w:p w14:paraId="67DBD7E5" w14:textId="77777777" w:rsidR="00B768D9" w:rsidRPr="00736668" w:rsidRDefault="00B768D9" w:rsidP="00B768D9">
                  <w:pPr>
                    <w:spacing w:after="0" w:line="240" w:lineRule="auto"/>
                    <w:jc w:val="right"/>
                    <w:rPr>
                      <w:rFonts w:eastAsia="Times New Roman" w:cs="Times New Roman"/>
                      <w:i/>
                      <w:iCs/>
                      <w:color w:val="000000"/>
                      <w:sz w:val="18"/>
                      <w:szCs w:val="18"/>
                      <w:lang w:eastAsia="sk-SK"/>
                    </w:rPr>
                  </w:pPr>
                  <w:r w:rsidRPr="00736668">
                    <w:rPr>
                      <w:rFonts w:eastAsia="Times New Roman" w:cs="Times New Roman"/>
                      <w:i/>
                      <w:iCs/>
                      <w:color w:val="000000"/>
                      <w:sz w:val="18"/>
                      <w:szCs w:val="18"/>
                      <w:lang w:eastAsia="sk-SK"/>
                    </w:rPr>
                    <w:t>28 378</w:t>
                  </w:r>
                </w:p>
              </w:tc>
              <w:tc>
                <w:tcPr>
                  <w:tcW w:w="1300" w:type="dxa"/>
                  <w:tcBorders>
                    <w:top w:val="nil"/>
                    <w:left w:val="nil"/>
                    <w:bottom w:val="nil"/>
                    <w:right w:val="nil"/>
                  </w:tcBorders>
                  <w:shd w:val="clear" w:color="auto" w:fill="auto"/>
                  <w:vAlign w:val="center"/>
                  <w:hideMark/>
                </w:tcPr>
                <w:p w14:paraId="77F65311" w14:textId="77777777" w:rsidR="00B768D9" w:rsidRPr="00736668" w:rsidRDefault="00B768D9" w:rsidP="00B768D9">
                  <w:pPr>
                    <w:spacing w:after="0" w:line="240" w:lineRule="auto"/>
                    <w:jc w:val="right"/>
                    <w:rPr>
                      <w:rFonts w:eastAsia="Times New Roman" w:cs="Times New Roman"/>
                      <w:i/>
                      <w:iCs/>
                      <w:color w:val="000000"/>
                      <w:sz w:val="18"/>
                      <w:szCs w:val="18"/>
                      <w:lang w:eastAsia="sk-SK"/>
                    </w:rPr>
                  </w:pPr>
                  <w:r w:rsidRPr="00736668">
                    <w:rPr>
                      <w:rFonts w:eastAsia="Times New Roman" w:cs="Times New Roman"/>
                      <w:i/>
                      <w:iCs/>
                      <w:color w:val="000000"/>
                      <w:sz w:val="18"/>
                      <w:szCs w:val="18"/>
                      <w:lang w:eastAsia="sk-SK"/>
                    </w:rPr>
                    <w:t>25 161</w:t>
                  </w:r>
                </w:p>
              </w:tc>
              <w:tc>
                <w:tcPr>
                  <w:tcW w:w="1340" w:type="dxa"/>
                  <w:tcBorders>
                    <w:top w:val="nil"/>
                    <w:left w:val="nil"/>
                    <w:bottom w:val="nil"/>
                    <w:right w:val="nil"/>
                  </w:tcBorders>
                  <w:shd w:val="clear" w:color="auto" w:fill="auto"/>
                  <w:vAlign w:val="center"/>
                  <w:hideMark/>
                </w:tcPr>
                <w:p w14:paraId="3FDD9C13" w14:textId="77777777" w:rsidR="00B768D9" w:rsidRPr="00736668" w:rsidRDefault="00B768D9" w:rsidP="00B768D9">
                  <w:pPr>
                    <w:spacing w:after="0" w:line="240" w:lineRule="auto"/>
                    <w:jc w:val="right"/>
                    <w:rPr>
                      <w:rFonts w:eastAsia="Times New Roman" w:cs="Times New Roman"/>
                      <w:i/>
                      <w:iCs/>
                      <w:color w:val="000000"/>
                      <w:sz w:val="18"/>
                      <w:szCs w:val="18"/>
                      <w:lang w:eastAsia="sk-SK"/>
                    </w:rPr>
                  </w:pPr>
                  <w:r w:rsidRPr="00736668">
                    <w:rPr>
                      <w:rFonts w:eastAsia="Times New Roman" w:cs="Times New Roman"/>
                      <w:i/>
                      <w:iCs/>
                      <w:color w:val="000000"/>
                      <w:sz w:val="18"/>
                      <w:szCs w:val="18"/>
                      <w:lang w:eastAsia="sk-SK"/>
                    </w:rPr>
                    <w:t>196 996</w:t>
                  </w:r>
                </w:p>
              </w:tc>
            </w:tr>
            <w:tr w:rsidR="00B768D9" w:rsidRPr="00736668" w14:paraId="6FAE5692" w14:textId="77777777" w:rsidTr="00B768D9">
              <w:trPr>
                <w:trHeight w:val="276"/>
              </w:trPr>
              <w:tc>
                <w:tcPr>
                  <w:tcW w:w="5840" w:type="dxa"/>
                  <w:tcBorders>
                    <w:top w:val="nil"/>
                    <w:left w:val="nil"/>
                    <w:bottom w:val="nil"/>
                    <w:right w:val="nil"/>
                  </w:tcBorders>
                  <w:shd w:val="clear" w:color="auto" w:fill="auto"/>
                  <w:noWrap/>
                  <w:vAlign w:val="center"/>
                  <w:hideMark/>
                </w:tcPr>
                <w:p w14:paraId="6B295D09" w14:textId="77777777" w:rsidR="00B768D9" w:rsidRPr="00736668" w:rsidRDefault="00B768D9" w:rsidP="00B768D9">
                  <w:pPr>
                    <w:spacing w:after="0" w:line="240" w:lineRule="auto"/>
                    <w:rPr>
                      <w:rFonts w:eastAsia="Times New Roman" w:cs="Times New Roman"/>
                      <w:i/>
                      <w:iCs/>
                      <w:color w:val="000000"/>
                      <w:sz w:val="18"/>
                      <w:szCs w:val="18"/>
                      <w:lang w:eastAsia="sk-SK"/>
                    </w:rPr>
                  </w:pPr>
                  <w:r w:rsidRPr="00736668">
                    <w:rPr>
                      <w:rFonts w:eastAsia="Times New Roman" w:cs="Times New Roman"/>
                      <w:i/>
                      <w:iCs/>
                      <w:color w:val="000000"/>
                      <w:sz w:val="18"/>
                      <w:szCs w:val="18"/>
                      <w:lang w:eastAsia="sk-SK"/>
                    </w:rPr>
                    <w:t xml:space="preserve">   </w:t>
                  </w:r>
                  <w:proofErr w:type="spellStart"/>
                  <w:r w:rsidRPr="00736668">
                    <w:rPr>
                      <w:rFonts w:eastAsia="Times New Roman" w:cs="Times New Roman"/>
                      <w:i/>
                      <w:iCs/>
                      <w:color w:val="000000"/>
                      <w:sz w:val="18"/>
                      <w:szCs w:val="18"/>
                      <w:lang w:eastAsia="sk-SK"/>
                    </w:rPr>
                    <w:t>disážio</w:t>
                  </w:r>
                  <w:proofErr w:type="spellEnd"/>
                  <w:r w:rsidRPr="00736668">
                    <w:rPr>
                      <w:rFonts w:eastAsia="Times New Roman" w:cs="Times New Roman"/>
                      <w:i/>
                      <w:iCs/>
                      <w:color w:val="000000"/>
                      <w:sz w:val="18"/>
                      <w:szCs w:val="18"/>
                      <w:lang w:eastAsia="sk-SK"/>
                    </w:rPr>
                    <w:t xml:space="preserve"> (diskont CP)</w:t>
                  </w:r>
                </w:p>
              </w:tc>
              <w:tc>
                <w:tcPr>
                  <w:tcW w:w="1400" w:type="dxa"/>
                  <w:tcBorders>
                    <w:top w:val="nil"/>
                    <w:left w:val="nil"/>
                    <w:bottom w:val="nil"/>
                    <w:right w:val="nil"/>
                  </w:tcBorders>
                  <w:shd w:val="clear" w:color="auto" w:fill="auto"/>
                  <w:vAlign w:val="center"/>
                  <w:hideMark/>
                </w:tcPr>
                <w:p w14:paraId="2CE31570" w14:textId="77777777" w:rsidR="00B768D9" w:rsidRPr="00736668" w:rsidRDefault="00B768D9" w:rsidP="00B768D9">
                  <w:pPr>
                    <w:spacing w:after="0" w:line="240" w:lineRule="auto"/>
                    <w:jc w:val="right"/>
                    <w:rPr>
                      <w:rFonts w:eastAsia="Times New Roman" w:cs="Times New Roman"/>
                      <w:i/>
                      <w:iCs/>
                      <w:color w:val="000000"/>
                      <w:sz w:val="18"/>
                      <w:szCs w:val="18"/>
                      <w:lang w:eastAsia="sk-SK"/>
                    </w:rPr>
                  </w:pPr>
                  <w:r w:rsidRPr="00736668">
                    <w:rPr>
                      <w:rFonts w:eastAsia="Times New Roman" w:cs="Times New Roman"/>
                      <w:i/>
                      <w:iCs/>
                      <w:color w:val="000000"/>
                      <w:sz w:val="18"/>
                      <w:szCs w:val="18"/>
                      <w:lang w:eastAsia="sk-SK"/>
                    </w:rPr>
                    <w:t>5 100</w:t>
                  </w:r>
                </w:p>
              </w:tc>
              <w:tc>
                <w:tcPr>
                  <w:tcW w:w="1300" w:type="dxa"/>
                  <w:tcBorders>
                    <w:top w:val="nil"/>
                    <w:left w:val="nil"/>
                    <w:bottom w:val="nil"/>
                    <w:right w:val="nil"/>
                  </w:tcBorders>
                  <w:shd w:val="clear" w:color="auto" w:fill="auto"/>
                  <w:vAlign w:val="center"/>
                  <w:hideMark/>
                </w:tcPr>
                <w:p w14:paraId="1EBA2435" w14:textId="77777777" w:rsidR="00B768D9" w:rsidRPr="00736668" w:rsidRDefault="00B768D9" w:rsidP="00B768D9">
                  <w:pPr>
                    <w:spacing w:after="0" w:line="240" w:lineRule="auto"/>
                    <w:jc w:val="right"/>
                    <w:rPr>
                      <w:rFonts w:eastAsia="Times New Roman" w:cs="Times New Roman"/>
                      <w:i/>
                      <w:iCs/>
                      <w:color w:val="000000"/>
                      <w:sz w:val="18"/>
                      <w:szCs w:val="18"/>
                      <w:lang w:eastAsia="sk-SK"/>
                    </w:rPr>
                  </w:pPr>
                  <w:r w:rsidRPr="00736668">
                    <w:rPr>
                      <w:rFonts w:eastAsia="Times New Roman" w:cs="Times New Roman"/>
                      <w:i/>
                      <w:iCs/>
                      <w:color w:val="000000"/>
                      <w:sz w:val="18"/>
                      <w:szCs w:val="18"/>
                      <w:lang w:eastAsia="sk-SK"/>
                    </w:rPr>
                    <w:t>13 524</w:t>
                  </w:r>
                </w:p>
              </w:tc>
              <w:tc>
                <w:tcPr>
                  <w:tcW w:w="1340" w:type="dxa"/>
                  <w:tcBorders>
                    <w:top w:val="nil"/>
                    <w:left w:val="nil"/>
                    <w:bottom w:val="nil"/>
                    <w:right w:val="nil"/>
                  </w:tcBorders>
                  <w:shd w:val="clear" w:color="auto" w:fill="auto"/>
                  <w:vAlign w:val="center"/>
                  <w:hideMark/>
                </w:tcPr>
                <w:p w14:paraId="660BD9C5" w14:textId="77777777" w:rsidR="00B768D9" w:rsidRPr="00736668" w:rsidRDefault="00B768D9" w:rsidP="00B768D9">
                  <w:pPr>
                    <w:spacing w:after="0" w:line="240" w:lineRule="auto"/>
                    <w:jc w:val="right"/>
                    <w:rPr>
                      <w:rFonts w:eastAsia="Times New Roman" w:cs="Times New Roman"/>
                      <w:i/>
                      <w:iCs/>
                      <w:color w:val="000000"/>
                      <w:sz w:val="18"/>
                      <w:szCs w:val="18"/>
                      <w:lang w:eastAsia="sk-SK"/>
                    </w:rPr>
                  </w:pPr>
                  <w:r w:rsidRPr="00736668">
                    <w:rPr>
                      <w:rFonts w:eastAsia="Times New Roman" w:cs="Times New Roman"/>
                      <w:i/>
                      <w:iCs/>
                      <w:color w:val="000000"/>
                      <w:sz w:val="18"/>
                      <w:szCs w:val="18"/>
                      <w:lang w:eastAsia="sk-SK"/>
                    </w:rPr>
                    <w:t>48 160</w:t>
                  </w:r>
                </w:p>
              </w:tc>
            </w:tr>
            <w:tr w:rsidR="00B768D9" w:rsidRPr="00736668" w14:paraId="338EA708" w14:textId="77777777" w:rsidTr="00B768D9">
              <w:trPr>
                <w:trHeight w:val="276"/>
              </w:trPr>
              <w:tc>
                <w:tcPr>
                  <w:tcW w:w="5840" w:type="dxa"/>
                  <w:tcBorders>
                    <w:top w:val="nil"/>
                    <w:left w:val="nil"/>
                    <w:bottom w:val="nil"/>
                    <w:right w:val="nil"/>
                  </w:tcBorders>
                  <w:shd w:val="clear" w:color="auto" w:fill="auto"/>
                  <w:noWrap/>
                  <w:vAlign w:val="center"/>
                  <w:hideMark/>
                </w:tcPr>
                <w:p w14:paraId="0E3C107C" w14:textId="77777777" w:rsidR="00B768D9" w:rsidRPr="00736668" w:rsidRDefault="00B768D9" w:rsidP="00B768D9">
                  <w:pPr>
                    <w:spacing w:after="0" w:line="240" w:lineRule="auto"/>
                    <w:rPr>
                      <w:rFonts w:eastAsia="Times New Roman" w:cs="Times New Roman"/>
                      <w:i/>
                      <w:iCs/>
                      <w:color w:val="000000"/>
                      <w:sz w:val="18"/>
                      <w:szCs w:val="18"/>
                      <w:lang w:eastAsia="sk-SK"/>
                    </w:rPr>
                  </w:pPr>
                  <w:r w:rsidRPr="00736668">
                    <w:rPr>
                      <w:rFonts w:eastAsia="Times New Roman" w:cs="Times New Roman"/>
                      <w:i/>
                      <w:iCs/>
                      <w:color w:val="000000"/>
                      <w:sz w:val="18"/>
                      <w:szCs w:val="18"/>
                      <w:lang w:eastAsia="sk-SK"/>
                    </w:rPr>
                    <w:t xml:space="preserve">   poplatky </w:t>
                  </w:r>
                </w:p>
              </w:tc>
              <w:tc>
                <w:tcPr>
                  <w:tcW w:w="1400" w:type="dxa"/>
                  <w:tcBorders>
                    <w:top w:val="nil"/>
                    <w:left w:val="nil"/>
                    <w:bottom w:val="single" w:sz="4" w:space="0" w:color="auto"/>
                    <w:right w:val="nil"/>
                  </w:tcBorders>
                  <w:shd w:val="clear" w:color="auto" w:fill="auto"/>
                  <w:vAlign w:val="center"/>
                  <w:hideMark/>
                </w:tcPr>
                <w:p w14:paraId="315118D3" w14:textId="77777777" w:rsidR="00B768D9" w:rsidRPr="00736668" w:rsidRDefault="00B768D9" w:rsidP="00B768D9">
                  <w:pPr>
                    <w:spacing w:after="0" w:line="240" w:lineRule="auto"/>
                    <w:jc w:val="right"/>
                    <w:rPr>
                      <w:rFonts w:eastAsia="Times New Roman" w:cs="Times New Roman"/>
                      <w:i/>
                      <w:iCs/>
                      <w:color w:val="000000"/>
                      <w:sz w:val="18"/>
                      <w:szCs w:val="18"/>
                      <w:lang w:eastAsia="sk-SK"/>
                    </w:rPr>
                  </w:pPr>
                  <w:r w:rsidRPr="00736668">
                    <w:rPr>
                      <w:rFonts w:eastAsia="Times New Roman" w:cs="Times New Roman"/>
                      <w:i/>
                      <w:iCs/>
                      <w:color w:val="000000"/>
                      <w:sz w:val="18"/>
                      <w:szCs w:val="18"/>
                      <w:lang w:eastAsia="sk-SK"/>
                    </w:rPr>
                    <w:t>9 364</w:t>
                  </w:r>
                </w:p>
              </w:tc>
              <w:tc>
                <w:tcPr>
                  <w:tcW w:w="1300" w:type="dxa"/>
                  <w:tcBorders>
                    <w:top w:val="nil"/>
                    <w:left w:val="nil"/>
                    <w:bottom w:val="single" w:sz="4" w:space="0" w:color="auto"/>
                    <w:right w:val="nil"/>
                  </w:tcBorders>
                  <w:shd w:val="clear" w:color="auto" w:fill="auto"/>
                  <w:vAlign w:val="center"/>
                  <w:hideMark/>
                </w:tcPr>
                <w:p w14:paraId="0F321DD6" w14:textId="77777777" w:rsidR="00B768D9" w:rsidRPr="00736668" w:rsidRDefault="00B768D9" w:rsidP="00B768D9">
                  <w:pPr>
                    <w:spacing w:after="0" w:line="240" w:lineRule="auto"/>
                    <w:jc w:val="right"/>
                    <w:rPr>
                      <w:rFonts w:eastAsia="Times New Roman" w:cs="Times New Roman"/>
                      <w:i/>
                      <w:iCs/>
                      <w:color w:val="000000"/>
                      <w:sz w:val="18"/>
                      <w:szCs w:val="18"/>
                      <w:lang w:eastAsia="sk-SK"/>
                    </w:rPr>
                  </w:pPr>
                  <w:r w:rsidRPr="00736668">
                    <w:rPr>
                      <w:rFonts w:eastAsia="Times New Roman" w:cs="Times New Roman"/>
                      <w:i/>
                      <w:iCs/>
                      <w:color w:val="000000"/>
                      <w:sz w:val="18"/>
                      <w:szCs w:val="18"/>
                      <w:lang w:eastAsia="sk-SK"/>
                    </w:rPr>
                    <w:t>4 775</w:t>
                  </w:r>
                </w:p>
              </w:tc>
              <w:tc>
                <w:tcPr>
                  <w:tcW w:w="1340" w:type="dxa"/>
                  <w:tcBorders>
                    <w:top w:val="nil"/>
                    <w:left w:val="nil"/>
                    <w:bottom w:val="nil"/>
                    <w:right w:val="nil"/>
                  </w:tcBorders>
                  <w:shd w:val="clear" w:color="auto" w:fill="auto"/>
                  <w:vAlign w:val="center"/>
                  <w:hideMark/>
                </w:tcPr>
                <w:p w14:paraId="10AF63A7" w14:textId="77777777" w:rsidR="00B768D9" w:rsidRPr="00736668" w:rsidRDefault="00B768D9" w:rsidP="00B768D9">
                  <w:pPr>
                    <w:spacing w:after="0" w:line="240" w:lineRule="auto"/>
                    <w:jc w:val="right"/>
                    <w:rPr>
                      <w:rFonts w:eastAsia="Times New Roman" w:cs="Times New Roman"/>
                      <w:i/>
                      <w:iCs/>
                      <w:color w:val="000000"/>
                      <w:sz w:val="18"/>
                      <w:szCs w:val="18"/>
                      <w:lang w:eastAsia="sk-SK"/>
                    </w:rPr>
                  </w:pPr>
                  <w:r w:rsidRPr="00736668">
                    <w:rPr>
                      <w:rFonts w:eastAsia="Times New Roman" w:cs="Times New Roman"/>
                      <w:i/>
                      <w:iCs/>
                      <w:color w:val="000000"/>
                      <w:sz w:val="18"/>
                      <w:szCs w:val="18"/>
                      <w:lang w:eastAsia="sk-SK"/>
                    </w:rPr>
                    <w:t>12 678</w:t>
                  </w:r>
                </w:p>
              </w:tc>
            </w:tr>
            <w:tr w:rsidR="00B768D9" w:rsidRPr="00736668" w14:paraId="04385031" w14:textId="77777777" w:rsidTr="00B768D9">
              <w:trPr>
                <w:trHeight w:val="276"/>
              </w:trPr>
              <w:tc>
                <w:tcPr>
                  <w:tcW w:w="5840" w:type="dxa"/>
                  <w:tcBorders>
                    <w:top w:val="single" w:sz="4" w:space="0" w:color="auto"/>
                    <w:left w:val="nil"/>
                    <w:bottom w:val="single" w:sz="4" w:space="0" w:color="auto"/>
                    <w:right w:val="nil"/>
                  </w:tcBorders>
                  <w:shd w:val="clear" w:color="auto" w:fill="auto"/>
                  <w:noWrap/>
                  <w:vAlign w:val="center"/>
                  <w:hideMark/>
                </w:tcPr>
                <w:p w14:paraId="02AA9B94" w14:textId="77777777" w:rsidR="00B768D9" w:rsidRPr="00736668" w:rsidRDefault="00B768D9" w:rsidP="00B768D9">
                  <w:pPr>
                    <w:spacing w:after="0" w:line="240" w:lineRule="auto"/>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Spolu saldo</w:t>
                  </w:r>
                </w:p>
              </w:tc>
              <w:tc>
                <w:tcPr>
                  <w:tcW w:w="1400" w:type="dxa"/>
                  <w:tcBorders>
                    <w:top w:val="nil"/>
                    <w:left w:val="nil"/>
                    <w:bottom w:val="single" w:sz="4" w:space="0" w:color="auto"/>
                    <w:right w:val="nil"/>
                  </w:tcBorders>
                  <w:shd w:val="clear" w:color="auto" w:fill="auto"/>
                  <w:vAlign w:val="center"/>
                  <w:hideMark/>
                </w:tcPr>
                <w:p w14:paraId="661F1CAF" w14:textId="2ACF791A" w:rsidR="00B768D9" w:rsidRPr="00736668" w:rsidRDefault="00B768D9" w:rsidP="00B768D9">
                  <w:pPr>
                    <w:spacing w:after="0" w:line="240" w:lineRule="auto"/>
                    <w:jc w:val="righ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657 218</w:t>
                  </w:r>
                </w:p>
              </w:tc>
              <w:tc>
                <w:tcPr>
                  <w:tcW w:w="1300" w:type="dxa"/>
                  <w:tcBorders>
                    <w:top w:val="nil"/>
                    <w:left w:val="nil"/>
                    <w:bottom w:val="single" w:sz="4" w:space="0" w:color="auto"/>
                    <w:right w:val="nil"/>
                  </w:tcBorders>
                  <w:shd w:val="clear" w:color="auto" w:fill="auto"/>
                  <w:vAlign w:val="center"/>
                  <w:hideMark/>
                </w:tcPr>
                <w:p w14:paraId="529C4DF3" w14:textId="4D33EA89" w:rsidR="00B768D9" w:rsidRPr="00736668" w:rsidRDefault="00B768D9" w:rsidP="00B768D9">
                  <w:pPr>
                    <w:spacing w:after="0" w:line="240" w:lineRule="auto"/>
                    <w:jc w:val="righ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1 059</w:t>
                  </w:r>
                  <w:r w:rsidR="00B430BB" w:rsidRPr="00736668">
                    <w:rPr>
                      <w:rFonts w:eastAsia="Times New Roman" w:cs="Times New Roman"/>
                      <w:b/>
                      <w:bCs/>
                      <w:color w:val="000000"/>
                      <w:sz w:val="18"/>
                      <w:szCs w:val="18"/>
                      <w:lang w:eastAsia="sk-SK"/>
                    </w:rPr>
                    <w:t> </w:t>
                  </w:r>
                  <w:r w:rsidRPr="00736668">
                    <w:rPr>
                      <w:rFonts w:eastAsia="Times New Roman" w:cs="Times New Roman"/>
                      <w:b/>
                      <w:bCs/>
                      <w:color w:val="000000"/>
                      <w:sz w:val="18"/>
                      <w:szCs w:val="18"/>
                      <w:lang w:eastAsia="sk-SK"/>
                    </w:rPr>
                    <w:t>061</w:t>
                  </w:r>
                </w:p>
              </w:tc>
              <w:tc>
                <w:tcPr>
                  <w:tcW w:w="1340" w:type="dxa"/>
                  <w:tcBorders>
                    <w:top w:val="single" w:sz="4" w:space="0" w:color="auto"/>
                    <w:left w:val="nil"/>
                    <w:bottom w:val="single" w:sz="4" w:space="0" w:color="auto"/>
                    <w:right w:val="nil"/>
                  </w:tcBorders>
                  <w:shd w:val="clear" w:color="auto" w:fill="auto"/>
                  <w:vAlign w:val="center"/>
                  <w:hideMark/>
                </w:tcPr>
                <w:p w14:paraId="51675518" w14:textId="1B2756DA" w:rsidR="00B768D9" w:rsidRPr="00736668" w:rsidRDefault="00B768D9" w:rsidP="00B768D9">
                  <w:pPr>
                    <w:spacing w:after="0" w:line="240" w:lineRule="auto"/>
                    <w:jc w:val="righ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1 072 931</w:t>
                  </w:r>
                </w:p>
              </w:tc>
            </w:tr>
          </w:tbl>
          <w:p w14:paraId="7C0F1E11" w14:textId="77777777" w:rsidR="00B768D9" w:rsidRPr="00360BCD" w:rsidRDefault="00B768D9" w:rsidP="00736668">
            <w:pPr>
              <w:spacing w:after="0" w:line="240" w:lineRule="auto"/>
              <w:jc w:val="right"/>
              <w:rPr>
                <w:rFonts w:eastAsia="Times New Roman" w:cs="Times New Roman"/>
                <w:color w:val="FF0000"/>
                <w:sz w:val="20"/>
                <w:szCs w:val="20"/>
                <w:lang w:eastAsia="sk-SK"/>
              </w:rPr>
            </w:pPr>
          </w:p>
        </w:tc>
      </w:tr>
    </w:tbl>
    <w:p w14:paraId="2E95B744" w14:textId="77777777" w:rsidR="00736668" w:rsidRPr="00736668" w:rsidRDefault="00736668" w:rsidP="00736668">
      <w:pPr>
        <w:spacing w:after="0" w:line="240" w:lineRule="auto"/>
        <w:jc w:val="right"/>
        <w:rPr>
          <w:rFonts w:eastAsia="Times New Roman" w:cs="Times New Roman"/>
          <w:b/>
          <w:sz w:val="18"/>
          <w:szCs w:val="18"/>
        </w:rPr>
      </w:pPr>
      <w:r w:rsidRPr="00736668">
        <w:rPr>
          <w:rFonts w:eastAsia="Times New Roman" w:cs="Times New Roman"/>
          <w:sz w:val="18"/>
          <w:szCs w:val="18"/>
        </w:rPr>
        <w:lastRenderedPageBreak/>
        <w:t>Zdroj: MF SR</w:t>
      </w:r>
    </w:p>
    <w:p w14:paraId="489A91C7" w14:textId="1E25F07F" w:rsidR="008E112F" w:rsidRPr="008E112F" w:rsidRDefault="008E112F" w:rsidP="008E112F">
      <w:pPr>
        <w:spacing w:line="240" w:lineRule="auto"/>
        <w:rPr>
          <w:rFonts w:eastAsia="Calibri" w:cs="Times New Roman"/>
          <w:sz w:val="24"/>
          <w:szCs w:val="24"/>
        </w:rPr>
      </w:pPr>
      <w:r w:rsidRPr="008E112F">
        <w:rPr>
          <w:rFonts w:eastAsia="Calibri" w:cs="Times New Roman"/>
          <w:b/>
          <w:i/>
          <w:sz w:val="24"/>
          <w:szCs w:val="24"/>
        </w:rPr>
        <w:t>Sociálnej poisťovni a zdravotným poisťovniam</w:t>
      </w:r>
      <w:r w:rsidRPr="008E112F">
        <w:rPr>
          <w:rFonts w:eastAsia="Calibri" w:cs="Times New Roman"/>
          <w:sz w:val="24"/>
          <w:szCs w:val="24"/>
        </w:rPr>
        <w:t xml:space="preserve"> boli poskytnuté finančné prostriedky v sume 1 172 509 tis. eur najmä prostredníctvom Všeobecnej pokladničnej správy, ktorá v dôsledku zvýšených nárokov na štátny rozpočet vyvolané prijímanou legislatívou v Národnej rade, ako aj vo vláde Slovenskej republiky poskytla transfer na dofinancovanie Sociálnej poisťovni v sume 1 160 000 tis. eur. Uvedená podpoložka bola vytvorená v priebehu roka 2023 a rozpočet na nej bol upravený na sumu 1 160 000 tis. eur. Finančné prostriedky boli uvoľnené na základe zabezpečenia platobnej schopnosti Sociálnej poisťovne v nadväznost</w:t>
      </w:r>
      <w:r w:rsidR="00147FE6">
        <w:rPr>
          <w:rFonts w:eastAsia="Calibri" w:cs="Times New Roman"/>
          <w:sz w:val="24"/>
          <w:szCs w:val="24"/>
        </w:rPr>
        <w:t>i na zákon č. 461/2003 Z. z. o </w:t>
      </w:r>
      <w:r w:rsidRPr="008E112F">
        <w:rPr>
          <w:rFonts w:eastAsia="Calibri" w:cs="Times New Roman"/>
          <w:sz w:val="24"/>
          <w:szCs w:val="24"/>
        </w:rPr>
        <w:t>sociálnom poistení v znení neskorších predpisov.</w:t>
      </w:r>
    </w:p>
    <w:p w14:paraId="6CD76172" w14:textId="77777777" w:rsidR="008E112F" w:rsidRPr="008E112F" w:rsidRDefault="008E112F" w:rsidP="008E112F">
      <w:pPr>
        <w:spacing w:line="240" w:lineRule="auto"/>
        <w:rPr>
          <w:rFonts w:eastAsia="Calibri" w:cs="Times New Roman"/>
          <w:sz w:val="24"/>
          <w:szCs w:val="24"/>
        </w:rPr>
      </w:pPr>
      <w:r w:rsidRPr="008E112F">
        <w:rPr>
          <w:rFonts w:eastAsia="Calibri" w:cs="Times New Roman"/>
          <w:b/>
          <w:i/>
          <w:sz w:val="24"/>
          <w:szCs w:val="24"/>
        </w:rPr>
        <w:t>Verejným vysokým školám</w:t>
      </w:r>
      <w:r w:rsidRPr="008E112F">
        <w:rPr>
          <w:rFonts w:eastAsia="Calibri" w:cs="Times New Roman"/>
          <w:sz w:val="24"/>
          <w:szCs w:val="24"/>
        </w:rPr>
        <w:t xml:space="preserve"> boli poskytnuté finančné prostriedky v sume</w:t>
      </w:r>
      <w:r w:rsidRPr="008E112F">
        <w:rPr>
          <w:rFonts w:eastAsia="Calibri" w:cs="Times New Roman"/>
          <w:color w:val="FF0000"/>
          <w:sz w:val="24"/>
          <w:szCs w:val="24"/>
        </w:rPr>
        <w:t xml:space="preserve"> </w:t>
      </w:r>
      <w:r w:rsidRPr="008E112F">
        <w:rPr>
          <w:rFonts w:eastAsia="Calibri" w:cs="Times New Roman"/>
          <w:sz w:val="24"/>
          <w:szCs w:val="24"/>
        </w:rPr>
        <w:t>746 863 tis. eur (2022: 662 248 tis. eur), a to predovšetkým prostredníctvom rezortu</w:t>
      </w:r>
      <w:r w:rsidRPr="008E112F">
        <w:rPr>
          <w:rFonts w:eastAsia="Calibri" w:cs="Times New Roman"/>
          <w:color w:val="FF0000"/>
          <w:sz w:val="24"/>
          <w:szCs w:val="24"/>
        </w:rPr>
        <w:t xml:space="preserve"> </w:t>
      </w:r>
      <w:r w:rsidRPr="008E112F">
        <w:rPr>
          <w:rFonts w:eastAsia="Calibri" w:cs="Times New Roman"/>
          <w:sz w:val="24"/>
          <w:szCs w:val="24"/>
          <w:u w:val="single"/>
        </w:rPr>
        <w:t>Ministerstvo školstva, vedy, výskumu a športu SR</w:t>
      </w:r>
      <w:r w:rsidRPr="008E112F">
        <w:rPr>
          <w:rFonts w:eastAsia="Calibri" w:cs="Times New Roman"/>
          <w:sz w:val="24"/>
          <w:szCs w:val="24"/>
        </w:rPr>
        <w:t xml:space="preserve"> v sume 731 317 tis. eur, najmä na uskutočňovanie akreditovaných študijných programov, na výskumnú, vývojovú a umeleckú činnosť, na rozvoj verejných vysokých škôl a sociálnu podporu študentov, na plnenie záväzkov z medzinárodných zmlúv, na štipendiá zahraničným študentom prijatým na štipendijné pobyty na slovenské vysoké školy, štipendiá študentom z radov Slovákov žijúcich v zahraničí poskytovaných formou vládnych štipendií, na zabezpečenie mobilít a záväzkov v oblasti vzdelávania a tiež na financovanie ukrajinských študentov v zmysle rozvojového projektu na zmiernenie negatívnych dôsledkov vojnového konfliktu na Ukrajine.</w:t>
      </w:r>
    </w:p>
    <w:p w14:paraId="1DC250AC" w14:textId="77777777" w:rsidR="008E112F" w:rsidRPr="008E112F" w:rsidRDefault="008E112F" w:rsidP="008E112F">
      <w:pPr>
        <w:spacing w:line="240" w:lineRule="auto"/>
        <w:rPr>
          <w:rFonts w:eastAsia="Calibri" w:cs="Times New Roman"/>
          <w:sz w:val="24"/>
          <w:szCs w:val="24"/>
        </w:rPr>
      </w:pPr>
      <w:r w:rsidRPr="008E112F">
        <w:rPr>
          <w:rFonts w:eastAsia="Calibri" w:cs="Times New Roman"/>
          <w:b/>
          <w:i/>
          <w:sz w:val="24"/>
          <w:szCs w:val="24"/>
        </w:rPr>
        <w:t>Transfery vyšším územným celkom</w:t>
      </w:r>
      <w:r w:rsidRPr="008E112F">
        <w:rPr>
          <w:rFonts w:eastAsia="Calibri" w:cs="Times New Roman"/>
          <w:sz w:val="24"/>
          <w:szCs w:val="24"/>
        </w:rPr>
        <w:t xml:space="preserve"> dosiahli úhrnom</w:t>
      </w:r>
      <w:r w:rsidRPr="008E112F">
        <w:rPr>
          <w:rFonts w:eastAsia="Calibri" w:cs="Times New Roman"/>
          <w:color w:val="FF0000"/>
          <w:sz w:val="24"/>
          <w:szCs w:val="24"/>
        </w:rPr>
        <w:t xml:space="preserve"> </w:t>
      </w:r>
      <w:r w:rsidRPr="008E112F">
        <w:rPr>
          <w:rFonts w:eastAsia="Calibri" w:cs="Times New Roman"/>
          <w:sz w:val="24"/>
          <w:szCs w:val="24"/>
        </w:rPr>
        <w:t xml:space="preserve">703 903 tis. eur, z toho na úhradu nákladov preneseného výkonu štátnej správy sa vyčerpalo 637 506 tis. eur. </w:t>
      </w:r>
    </w:p>
    <w:p w14:paraId="429D8C82" w14:textId="77777777" w:rsidR="008E112F" w:rsidRPr="008E112F" w:rsidRDefault="008E112F" w:rsidP="008E112F">
      <w:pPr>
        <w:spacing w:line="240" w:lineRule="auto"/>
        <w:rPr>
          <w:rFonts w:eastAsia="Calibri" w:cs="Times New Roman"/>
          <w:sz w:val="24"/>
          <w:szCs w:val="24"/>
        </w:rPr>
      </w:pPr>
      <w:r w:rsidRPr="008E112F">
        <w:rPr>
          <w:rFonts w:eastAsia="Calibri" w:cs="Times New Roman"/>
          <w:b/>
          <w:i/>
        </w:rPr>
        <w:t>Podrobnejšie údaje o transferoch vyšším územným celkom sú uvedené v časti 3.2.4. Vzťahy štátneho rozpočtu k vyšším územným celkom.</w:t>
      </w:r>
    </w:p>
    <w:p w14:paraId="31242FA5" w14:textId="5F8772E5" w:rsidR="008E112F" w:rsidRPr="008E112F" w:rsidRDefault="008E112F" w:rsidP="008E112F">
      <w:pPr>
        <w:spacing w:line="240" w:lineRule="auto"/>
        <w:rPr>
          <w:rFonts w:eastAsia="Calibri" w:cs="Times New Roman"/>
          <w:sz w:val="24"/>
          <w:szCs w:val="24"/>
        </w:rPr>
      </w:pPr>
      <w:r w:rsidRPr="008E112F">
        <w:rPr>
          <w:rFonts w:eastAsia="Calibri" w:cs="Times New Roman"/>
          <w:b/>
          <w:i/>
          <w:sz w:val="24"/>
          <w:szCs w:val="24"/>
        </w:rPr>
        <w:t>Príspevkovej organizácii</w:t>
      </w:r>
      <w:r w:rsidRPr="008E112F">
        <w:rPr>
          <w:rFonts w:eastAsia="Calibri" w:cs="Times New Roman"/>
          <w:sz w:val="24"/>
          <w:szCs w:val="24"/>
        </w:rPr>
        <w:t xml:space="preserve"> boli poukázané rozpočtové prostriedky vo výške</w:t>
      </w:r>
      <w:r w:rsidRPr="008E112F">
        <w:rPr>
          <w:rFonts w:eastAsia="Calibri" w:cs="Times New Roman"/>
          <w:color w:val="FF0000"/>
          <w:sz w:val="24"/>
          <w:szCs w:val="24"/>
        </w:rPr>
        <w:t xml:space="preserve"> </w:t>
      </w:r>
      <w:r w:rsidRPr="008E112F">
        <w:rPr>
          <w:rFonts w:eastAsia="Calibri" w:cs="Times New Roman"/>
          <w:sz w:val="24"/>
          <w:szCs w:val="24"/>
        </w:rPr>
        <w:t>623 870 tis. eur</w:t>
      </w:r>
      <w:r w:rsidRPr="008E112F">
        <w:rPr>
          <w:rFonts w:eastAsia="Calibri" w:cs="Times New Roman"/>
          <w:color w:val="FF0000"/>
          <w:sz w:val="24"/>
          <w:szCs w:val="24"/>
        </w:rPr>
        <w:t xml:space="preserve"> </w:t>
      </w:r>
      <w:r w:rsidRPr="008E112F">
        <w:rPr>
          <w:rFonts w:eastAsia="Calibri" w:cs="Times New Roman"/>
          <w:sz w:val="24"/>
          <w:szCs w:val="24"/>
        </w:rPr>
        <w:t>(2022: 854 439 tis. eur),</w:t>
      </w:r>
      <w:r w:rsidRPr="008E112F">
        <w:rPr>
          <w:rFonts w:eastAsia="Calibri" w:cs="Times New Roman"/>
          <w:color w:val="FF0000"/>
          <w:sz w:val="24"/>
          <w:szCs w:val="24"/>
        </w:rPr>
        <w:t xml:space="preserve"> </w:t>
      </w:r>
      <w:r w:rsidRPr="008E112F">
        <w:rPr>
          <w:rFonts w:eastAsia="Calibri" w:cs="Times New Roman"/>
          <w:sz w:val="24"/>
          <w:szCs w:val="24"/>
        </w:rPr>
        <w:t>čo je medziročný rozdiel o 230 569 tis. eur menej. Ide o čerpanie prostriedkov príspevkových organizácií ústrednej správy, ktoré sú v gescii jednotlivých ministerstiev.</w:t>
      </w:r>
      <w:r w:rsidRPr="008E112F">
        <w:rPr>
          <w:rFonts w:eastAsia="Calibri" w:cs="Times New Roman"/>
          <w:color w:val="FF0000"/>
          <w:sz w:val="24"/>
          <w:szCs w:val="24"/>
        </w:rPr>
        <w:t xml:space="preserve"> </w:t>
      </w:r>
      <w:r w:rsidRPr="008E112F">
        <w:rPr>
          <w:rFonts w:eastAsia="Calibri" w:cs="Times New Roman"/>
          <w:sz w:val="24"/>
          <w:szCs w:val="24"/>
        </w:rPr>
        <w:t>Bežnými transfermi sa spolufinancuje činnosť štátnych príspevkových organizácií v oblasti kultúry, školstva, vedy a výskumu či zdravotníctva.</w:t>
      </w:r>
      <w:r w:rsidRPr="008E112F">
        <w:rPr>
          <w:rFonts w:eastAsia="Calibri" w:cs="Times New Roman"/>
          <w:color w:val="FF0000"/>
          <w:sz w:val="24"/>
          <w:szCs w:val="24"/>
        </w:rPr>
        <w:t xml:space="preserve"> </w:t>
      </w:r>
      <w:r w:rsidRPr="008E112F">
        <w:rPr>
          <w:rFonts w:eastAsia="Calibri" w:cs="Times New Roman"/>
          <w:sz w:val="24"/>
          <w:szCs w:val="24"/>
        </w:rPr>
        <w:t>Skutočné čerpanie transferov príspevkovým organizáciám bolo oproti schválenému rozpočtu vyššie o 316 691 tis. eur,</w:t>
      </w:r>
      <w:r w:rsidRPr="008E112F">
        <w:rPr>
          <w:rFonts w:eastAsia="Calibri" w:cs="Times New Roman"/>
          <w:color w:val="FF0000"/>
          <w:sz w:val="24"/>
          <w:szCs w:val="24"/>
        </w:rPr>
        <w:t xml:space="preserve"> </w:t>
      </w:r>
      <w:r w:rsidRPr="008E112F">
        <w:rPr>
          <w:rFonts w:eastAsia="Calibri" w:cs="Times New Roman"/>
          <w:sz w:val="24"/>
          <w:szCs w:val="24"/>
        </w:rPr>
        <w:t>na čom sa najviac podieľalo</w:t>
      </w:r>
      <w:r w:rsidRPr="008E112F">
        <w:rPr>
          <w:rFonts w:eastAsia="Calibri" w:cs="Times New Roman"/>
          <w:color w:val="FF0000"/>
          <w:sz w:val="24"/>
          <w:szCs w:val="24"/>
        </w:rPr>
        <w:t xml:space="preserve"> </w:t>
      </w:r>
      <w:r w:rsidRPr="008E112F">
        <w:rPr>
          <w:rFonts w:eastAsia="Calibri" w:cs="Times New Roman"/>
          <w:sz w:val="24"/>
          <w:szCs w:val="24"/>
        </w:rPr>
        <w:t>Ministerstvo školstva, vedy, výskumu a športu SR (o 136 988 tis. eur), Ministerstvo životného prostredia SR (o 98 109 tis. eur), Ministerstvo obrany SR (o 22 286 tis. eur) a</w:t>
      </w:r>
      <w:r w:rsidRPr="008E112F">
        <w:rPr>
          <w:rFonts w:eastAsia="Calibri" w:cs="Times New Roman"/>
          <w:color w:val="FF0000"/>
          <w:sz w:val="24"/>
          <w:szCs w:val="24"/>
        </w:rPr>
        <w:t xml:space="preserve"> </w:t>
      </w:r>
      <w:r w:rsidRPr="008E112F">
        <w:rPr>
          <w:rFonts w:eastAsia="Calibri" w:cs="Times New Roman"/>
          <w:sz w:val="24"/>
          <w:szCs w:val="24"/>
        </w:rPr>
        <w:t>Ministerstvo hospodárstva SR (o 17 305 tis. eur).</w:t>
      </w:r>
    </w:p>
    <w:p w14:paraId="54448D4E" w14:textId="77777777" w:rsidR="008E112F" w:rsidRPr="008E112F" w:rsidRDefault="008E112F" w:rsidP="008E112F">
      <w:pPr>
        <w:spacing w:line="240" w:lineRule="auto"/>
        <w:rPr>
          <w:rFonts w:eastAsia="Calibri" w:cs="Times New Roman"/>
          <w:sz w:val="24"/>
          <w:szCs w:val="24"/>
        </w:rPr>
      </w:pPr>
      <w:r w:rsidRPr="008E112F">
        <w:rPr>
          <w:rFonts w:eastAsia="Calibri" w:cs="Times New Roman"/>
          <w:sz w:val="24"/>
          <w:szCs w:val="24"/>
        </w:rPr>
        <w:t>Vyššie čerpanie vyplynulo z rozpočtových opatrení, najmä z potreby dofinancovania činností vyplývajúcich z finančného zabezpečenia povinností vyplývajúcich z osobitných predpisov, ako aj zo zmlúv o poskytnutí nenávratného finančného príspevku v rámci operačných programov.</w:t>
      </w:r>
    </w:p>
    <w:p w14:paraId="64EDC44C" w14:textId="5220F80A" w:rsidR="008E112F" w:rsidRPr="008E112F" w:rsidRDefault="008E112F" w:rsidP="00C07E13">
      <w:pPr>
        <w:spacing w:line="240" w:lineRule="auto"/>
        <w:rPr>
          <w:rFonts w:eastAsia="Calibri" w:cs="Times New Roman"/>
          <w:sz w:val="24"/>
          <w:szCs w:val="24"/>
        </w:rPr>
      </w:pPr>
      <w:r w:rsidRPr="008E112F">
        <w:rPr>
          <w:rFonts w:eastAsia="Calibri" w:cs="Times New Roman"/>
          <w:sz w:val="24"/>
          <w:szCs w:val="24"/>
        </w:rPr>
        <w:t xml:space="preserve">Najvyššiu hodnotu v rámci týchto transferov čerpala kapitola </w:t>
      </w:r>
      <w:r w:rsidRPr="008E112F">
        <w:rPr>
          <w:rFonts w:eastAsia="Calibri" w:cs="Times New Roman"/>
          <w:sz w:val="24"/>
          <w:szCs w:val="24"/>
          <w:u w:val="single"/>
        </w:rPr>
        <w:t>Ministerstvo školstva, vedy, výskumu a športu SR</w:t>
      </w:r>
      <w:r w:rsidRPr="008E112F">
        <w:rPr>
          <w:rFonts w:eastAsia="Calibri" w:cs="Times New Roman"/>
          <w:sz w:val="24"/>
          <w:szCs w:val="24"/>
        </w:rPr>
        <w:t xml:space="preserve"> a vynaložila úhrnom 166 413 tis. eur. </w:t>
      </w:r>
      <w:r w:rsidRPr="008E112F">
        <w:rPr>
          <w:rFonts w:eastAsia="Calibri" w:cs="Times New Roman"/>
          <w:sz w:val="24"/>
          <w:szCs w:val="24"/>
          <w:lang w:eastAsia="sk-SK"/>
        </w:rPr>
        <w:t xml:space="preserve">Platobná jednotka </w:t>
      </w:r>
      <w:r w:rsidRPr="008E112F">
        <w:rPr>
          <w:rFonts w:eastAsia="Calibri" w:cs="Times New Roman"/>
          <w:sz w:val="24"/>
          <w:szCs w:val="24"/>
        </w:rPr>
        <w:t xml:space="preserve">Ministerstva </w:t>
      </w:r>
      <w:r w:rsidRPr="008E112F">
        <w:rPr>
          <w:rFonts w:eastAsia="Calibri" w:cs="Times New Roman"/>
          <w:sz w:val="24"/>
          <w:szCs w:val="24"/>
        </w:rPr>
        <w:lastRenderedPageBreak/>
        <w:t>školstva, vedy, výskumu a športu SR poskytla sumu</w:t>
      </w:r>
      <w:r w:rsidRPr="008E112F">
        <w:rPr>
          <w:rFonts w:eastAsia="Calibri" w:cs="Times New Roman"/>
          <w:sz w:val="24"/>
          <w:szCs w:val="24"/>
          <w:lang w:eastAsia="sk-SK"/>
        </w:rPr>
        <w:t xml:space="preserve"> 119 099 tis. eur na všeobecné služby na základný výskum, výskum a vývoj v oblasti všeobecných verejných služieb a na vyššie sekundárne odborné vzdelávanie štátnym príspevkovým organizáciám, a to najmä Centru vedecko-technických informácií Slovenskej republiky, Ústavu experimentálnej fyziky SAV, Chemickému ústavu SAV, Biomedicínskemu centru SAV, Národnému poľnohospodárskemu a potravinárskemu centru, Národnému lesníckemu centru, Ústavu krajinnej ekológie SAV, Národnému ústavu reumatických chorôb, Slovenskému národnému múzeu, Strednej odbornej škole dopravnej v Trenčíne, Výskumnému ústavu detskej psychológie a patopsychológie, Centru experimentálnej medicíny SAV, Fyzikálnemu ústavu SAV, Národnému inštitútu vzdelávania a mládeže a Ústavu informatiky SAV. Ďalšie finančné prostriedky poskytlo </w:t>
      </w:r>
      <w:r w:rsidRPr="008E112F">
        <w:rPr>
          <w:rFonts w:eastAsia="Calibri" w:cs="Times New Roman"/>
          <w:sz w:val="24"/>
          <w:szCs w:val="24"/>
        </w:rPr>
        <w:t>ministerstvo svojim priamo riadeným príspevkovým organizáciám v sume 31 496 tis. eur na</w:t>
      </w:r>
      <w:r w:rsidRPr="008E112F">
        <w:rPr>
          <w:rFonts w:eastAsia="Calibri" w:cs="Times New Roman"/>
          <w:color w:val="FF0000"/>
          <w:sz w:val="24"/>
          <w:szCs w:val="24"/>
          <w:lang w:eastAsia="sk-SK"/>
        </w:rPr>
        <w:t xml:space="preserve"> </w:t>
      </w:r>
      <w:r w:rsidRPr="008E112F">
        <w:rPr>
          <w:rFonts w:eastAsia="Calibri" w:cs="Times New Roman"/>
          <w:sz w:val="24"/>
          <w:szCs w:val="24"/>
          <w:lang w:eastAsia="sk-SK"/>
        </w:rPr>
        <w:t>výdavky pre školy, školské zariadenia a iné.</w:t>
      </w:r>
    </w:p>
    <w:p w14:paraId="134E3892" w14:textId="77777777" w:rsidR="008E112F" w:rsidRPr="008E112F" w:rsidRDefault="008E112F" w:rsidP="00C07E13">
      <w:pPr>
        <w:spacing w:line="240" w:lineRule="auto"/>
        <w:rPr>
          <w:rFonts w:eastAsia="Calibri" w:cs="Times New Roman"/>
          <w:sz w:val="24"/>
          <w:szCs w:val="24"/>
        </w:rPr>
      </w:pPr>
      <w:r w:rsidRPr="008E112F">
        <w:rPr>
          <w:rFonts w:eastAsia="Calibri" w:cs="Times New Roman"/>
          <w:sz w:val="24"/>
          <w:szCs w:val="24"/>
        </w:rPr>
        <w:t xml:space="preserve">Druhé najvyššie čerpanie v rámci transferov príspevkovej organizácii dosiahla kapitola </w:t>
      </w:r>
      <w:r w:rsidRPr="008E112F">
        <w:rPr>
          <w:rFonts w:eastAsia="Calibri" w:cs="Times New Roman"/>
          <w:sz w:val="24"/>
          <w:szCs w:val="24"/>
          <w:u w:val="single"/>
        </w:rPr>
        <w:t>Ministerstva životného prostredia SR</w:t>
      </w:r>
      <w:r w:rsidRPr="008E112F">
        <w:rPr>
          <w:rFonts w:eastAsia="Calibri" w:cs="Times New Roman"/>
          <w:sz w:val="24"/>
          <w:szCs w:val="24"/>
        </w:rPr>
        <w:t xml:space="preserve"> v sume 133 147 tis. eur. Tieto finančné prostriedky boli určené najmä na úhrady príspevkov na činnosť príspevkovým organizáciám vo svojej zriaďovateľskej pôsobnosti. Najväčší príjemcovia finančných prostriedkov na danej podpoložke sú Slovenská inovačná a energetická agentúra (36 897 tis. eur), Štátna ochrana prírody Slovenskej republiky (29 468 tis. eur) a Slovenská agentúra životného prostredia (7 476 tis. eur). Prostriedky boli okrem iného použité aj na účely podpory inštalácie malých zariadení na využitie obnoviteľných zdrojov energie v domácnostiach, ktorými sú rodinné a bytové domy využívané za účelom bývania, zlepšovania stavu druhov a biotopov európskeho významu vo vybraných ekosystémoch chránených území, vypracovania programov starostlivosti o vybrané chránené územia, zlepšovania informovanosti a poskytovanie poradenstva v oblasti zlepšovania kvality životného prostredia na Slovensku.</w:t>
      </w:r>
    </w:p>
    <w:p w14:paraId="47845FF9" w14:textId="7AE6074D" w:rsidR="008E112F" w:rsidRPr="008E112F" w:rsidRDefault="008E112F" w:rsidP="00C07E13">
      <w:pPr>
        <w:spacing w:line="240" w:lineRule="auto"/>
        <w:rPr>
          <w:rFonts w:eastAsia="Calibri" w:cs="Times New Roman"/>
          <w:sz w:val="24"/>
          <w:szCs w:val="24"/>
        </w:rPr>
      </w:pPr>
      <w:r w:rsidRPr="008E112F">
        <w:rPr>
          <w:rFonts w:eastAsia="Calibri" w:cs="Times New Roman"/>
          <w:sz w:val="24"/>
          <w:szCs w:val="24"/>
        </w:rPr>
        <w:t xml:space="preserve">Kapitola </w:t>
      </w:r>
      <w:r w:rsidRPr="008E112F">
        <w:rPr>
          <w:rFonts w:eastAsia="Calibri" w:cs="Times New Roman"/>
          <w:sz w:val="24"/>
          <w:szCs w:val="24"/>
          <w:u w:val="single"/>
        </w:rPr>
        <w:t>Ministerstva kultúry SR</w:t>
      </w:r>
      <w:r w:rsidRPr="008E112F">
        <w:rPr>
          <w:rFonts w:eastAsia="Calibri" w:cs="Times New Roman"/>
          <w:sz w:val="24"/>
          <w:szCs w:val="24"/>
        </w:rPr>
        <w:t xml:space="preserve"> vynaložila sumu 114 047 tis. eur na bežnú činnosť príspevkových organizácií vo svojej zriaďovateľskej pôsobnosti, najmä na divadelnú činnosť, hudbu, koncertnú činnosť a umelecké súbory, výtvarné umenie, fotografiu, architektúru a dizajn, knižničnú, múzejnú a galerijná činnosť, osvetovú činnosť, tradičnú ľudovú kultúru, ochranu pamiatkového fondu a iné. Uvedená podpoložka taktiež zahŕňa finančné prostriedky na podporu prioritných projektov príspevkových organizácií v oblasti podpory kultúrnych aktivít doma a</w:t>
      </w:r>
      <w:r w:rsidR="00C07E13">
        <w:rPr>
          <w:rFonts w:eastAsia="Calibri" w:cs="Times New Roman"/>
          <w:sz w:val="24"/>
          <w:szCs w:val="24"/>
        </w:rPr>
        <w:t xml:space="preserve"> </w:t>
      </w:r>
      <w:r w:rsidRPr="008E112F">
        <w:rPr>
          <w:rFonts w:eastAsia="Calibri" w:cs="Times New Roman"/>
          <w:sz w:val="24"/>
          <w:szCs w:val="24"/>
        </w:rPr>
        <w:t>v zahraničí.</w:t>
      </w:r>
    </w:p>
    <w:p w14:paraId="3C629D43" w14:textId="158B04CB" w:rsidR="008E112F" w:rsidRPr="008E112F" w:rsidRDefault="008E112F" w:rsidP="008E112F">
      <w:pPr>
        <w:spacing w:line="240" w:lineRule="auto"/>
        <w:rPr>
          <w:rFonts w:eastAsia="Calibri" w:cs="Times New Roman"/>
          <w:sz w:val="24"/>
          <w:szCs w:val="24"/>
          <w:lang w:eastAsia="sk-SK"/>
        </w:rPr>
      </w:pPr>
      <w:r w:rsidRPr="008E112F">
        <w:rPr>
          <w:rFonts w:eastAsia="Calibri" w:cs="Times New Roman"/>
          <w:sz w:val="24"/>
          <w:szCs w:val="24"/>
        </w:rPr>
        <w:t xml:space="preserve">Kapitola </w:t>
      </w:r>
      <w:r w:rsidRPr="008E112F">
        <w:rPr>
          <w:rFonts w:eastAsia="Calibri" w:cs="Times New Roman"/>
          <w:sz w:val="24"/>
          <w:szCs w:val="24"/>
          <w:u w:val="single"/>
        </w:rPr>
        <w:t>Ministerstva zdravotníctva SR</w:t>
      </w:r>
      <w:r w:rsidRPr="008E112F">
        <w:rPr>
          <w:rFonts w:eastAsia="Calibri" w:cs="Times New Roman"/>
          <w:sz w:val="24"/>
          <w:szCs w:val="24"/>
        </w:rPr>
        <w:t xml:space="preserve"> poukázala príspevkovým organizáciám vo svojej zriaďovateľskej pôsobnosti sumu 67 339 tis. eur,</w:t>
      </w:r>
      <w:r w:rsidRPr="008E112F">
        <w:rPr>
          <w:rFonts w:eastAsia="Calibri" w:cs="Times New Roman"/>
          <w:color w:val="FF0000"/>
          <w:sz w:val="24"/>
          <w:szCs w:val="24"/>
        </w:rPr>
        <w:t xml:space="preserve"> </w:t>
      </w:r>
      <w:r w:rsidRPr="008E112F">
        <w:rPr>
          <w:rFonts w:eastAsia="Calibri" w:cs="Times New Roman"/>
          <w:sz w:val="24"/>
          <w:szCs w:val="24"/>
        </w:rPr>
        <w:t xml:space="preserve">najmä na realizáciu plnenia úloh v rámci Akčných plánov Národného onkologického programu, na nákup ANTIDOT do pohotovostnej zásoby pre Národný ústav detských chorôb </w:t>
      </w:r>
      <w:r w:rsidRPr="008E112F">
        <w:rPr>
          <w:rFonts w:eastAsia="Calibri" w:cs="Times New Roman"/>
          <w:sz w:val="24"/>
          <w:szCs w:val="24"/>
          <w:lang w:eastAsia="sk-SK"/>
        </w:rPr>
        <w:t>a Národné toxikologické informačné centrum,</w:t>
      </w:r>
      <w:r w:rsidRPr="008E112F">
        <w:rPr>
          <w:rFonts w:ascii="Calibri" w:eastAsia="Calibri" w:hAnsi="Calibri" w:cs="Times New Roman"/>
        </w:rPr>
        <w:t xml:space="preserve"> </w:t>
      </w:r>
      <w:r w:rsidRPr="008E112F">
        <w:rPr>
          <w:rFonts w:eastAsia="Calibri" w:cs="Times New Roman"/>
          <w:sz w:val="24"/>
          <w:szCs w:val="24"/>
          <w:lang w:eastAsia="sk-SK"/>
        </w:rPr>
        <w:t>na zabezpečenie povinnosti prístupu Slovenskej republiky do Európskej chemickej databázy pre Národné toxikologické informačné centrum, na Konferenciu simulačnej medicíny, na realizovanie pilotnej štúdie skríningu novorodencov pre Detskú fakultnú nemocnicu v Banskej Bystrici,</w:t>
      </w:r>
      <w:r w:rsidRPr="008E112F">
        <w:rPr>
          <w:rFonts w:ascii="Calibri" w:eastAsia="Calibri" w:hAnsi="Calibri" w:cs="Times New Roman"/>
        </w:rPr>
        <w:t xml:space="preserve"> </w:t>
      </w:r>
      <w:r w:rsidRPr="008E112F">
        <w:rPr>
          <w:rFonts w:eastAsia="Calibri" w:cs="Times New Roman"/>
          <w:sz w:val="24"/>
          <w:szCs w:val="24"/>
          <w:lang w:eastAsia="sk-SK"/>
        </w:rPr>
        <w:t>na likvidáciu exspirovaných vakcín proti ochoreniu COVID – 19, na vyplatenie odmeny pre zamestnancov Univerzitnej nemocnice Bratislava, ktorí zabezpečovali služby na urgentnom príjme v nemocnici Malacky, na vykonanie niektorých opatrení hospodárskej mobilizácie vo vzťahu k vyhlásenej mimoriadnej situácii v súvislosti s hromadným prílevom cudzincov na územie Slovenskej republiky, spôsobeným ozbrojeným konfliktom na</w:t>
      </w:r>
      <w:r w:rsidR="003F27EA">
        <w:rPr>
          <w:rFonts w:eastAsia="Calibri" w:cs="Times New Roman"/>
          <w:sz w:val="24"/>
          <w:szCs w:val="24"/>
          <w:lang w:eastAsia="sk-SK"/>
        </w:rPr>
        <w:t> </w:t>
      </w:r>
      <w:r w:rsidRPr="008E112F">
        <w:rPr>
          <w:rFonts w:eastAsia="Calibri" w:cs="Times New Roman"/>
          <w:sz w:val="24"/>
          <w:szCs w:val="24"/>
          <w:lang w:eastAsia="sk-SK"/>
        </w:rPr>
        <w:t>území Ukrajiny, v súvislosti s realizáciou úloh na zabezpečenie radiačnej pripravenosti a</w:t>
      </w:r>
      <w:r w:rsidR="00C07E13">
        <w:rPr>
          <w:rFonts w:eastAsia="Calibri" w:cs="Times New Roman"/>
          <w:sz w:val="24"/>
          <w:szCs w:val="24"/>
          <w:lang w:eastAsia="sk-SK"/>
        </w:rPr>
        <w:t xml:space="preserve"> </w:t>
      </w:r>
      <w:r w:rsidRPr="008E112F">
        <w:rPr>
          <w:rFonts w:eastAsia="Calibri" w:cs="Times New Roman"/>
          <w:sz w:val="24"/>
          <w:szCs w:val="24"/>
          <w:lang w:eastAsia="sk-SK"/>
        </w:rPr>
        <w:t>na</w:t>
      </w:r>
      <w:r w:rsidR="003F27EA">
        <w:rPr>
          <w:rFonts w:eastAsia="Calibri" w:cs="Times New Roman"/>
          <w:sz w:val="24"/>
          <w:szCs w:val="24"/>
          <w:lang w:eastAsia="sk-SK"/>
        </w:rPr>
        <w:t> </w:t>
      </w:r>
      <w:r w:rsidRPr="008E112F">
        <w:rPr>
          <w:rFonts w:eastAsia="Calibri" w:cs="Times New Roman"/>
          <w:sz w:val="24"/>
          <w:szCs w:val="24"/>
          <w:lang w:eastAsia="sk-SK"/>
        </w:rPr>
        <w:t>poskytovanie zdravotnej starostlivosti, vybraným zdravotníckym zariadenia na</w:t>
      </w:r>
      <w:r w:rsidR="003F27EA">
        <w:rPr>
          <w:rFonts w:eastAsia="Calibri" w:cs="Times New Roman"/>
          <w:sz w:val="24"/>
          <w:szCs w:val="24"/>
          <w:lang w:eastAsia="sk-SK"/>
        </w:rPr>
        <w:t> </w:t>
      </w:r>
      <w:r w:rsidRPr="008E112F">
        <w:rPr>
          <w:rFonts w:eastAsia="Calibri" w:cs="Times New Roman"/>
          <w:sz w:val="24"/>
          <w:szCs w:val="24"/>
          <w:lang w:eastAsia="sk-SK"/>
        </w:rPr>
        <w:t xml:space="preserve">zabezpečenie kalibrácie dozimetrických prístrojov na meranie rádioaktivity a nákup príslušného vybavenia. Taktiež bol poskytnutý transfer pre Fakultnú nemocnicu s poliklinikou F. D. Roosevelta Banská Bystrica za účelom preplatenia nákladov súvisiacich s obstaraním piatich kusov </w:t>
      </w:r>
      <w:proofErr w:type="spellStart"/>
      <w:r w:rsidRPr="008E112F">
        <w:rPr>
          <w:rFonts w:eastAsia="Calibri" w:cs="Times New Roman"/>
          <w:sz w:val="24"/>
          <w:szCs w:val="24"/>
          <w:lang w:eastAsia="sk-SK"/>
        </w:rPr>
        <w:t>datalogerov</w:t>
      </w:r>
      <w:proofErr w:type="spellEnd"/>
      <w:r w:rsidRPr="008E112F">
        <w:rPr>
          <w:rFonts w:eastAsia="Calibri" w:cs="Times New Roman"/>
          <w:sz w:val="24"/>
          <w:szCs w:val="24"/>
          <w:lang w:eastAsia="sk-SK"/>
        </w:rPr>
        <w:t xml:space="preserve"> </w:t>
      </w:r>
      <w:r w:rsidRPr="008E112F">
        <w:rPr>
          <w:rFonts w:eastAsia="Calibri" w:cs="Times New Roman"/>
          <w:sz w:val="24"/>
          <w:szCs w:val="24"/>
          <w:lang w:eastAsia="sk-SK"/>
        </w:rPr>
        <w:lastRenderedPageBreak/>
        <w:t>na</w:t>
      </w:r>
      <w:r w:rsidR="003F27EA">
        <w:rPr>
          <w:rFonts w:eastAsia="Calibri" w:cs="Times New Roman"/>
          <w:sz w:val="24"/>
          <w:szCs w:val="24"/>
          <w:lang w:eastAsia="sk-SK"/>
        </w:rPr>
        <w:t> </w:t>
      </w:r>
      <w:r w:rsidRPr="008E112F">
        <w:rPr>
          <w:rFonts w:eastAsia="Calibri" w:cs="Times New Roman"/>
          <w:sz w:val="24"/>
          <w:szCs w:val="24"/>
          <w:lang w:eastAsia="sk-SK"/>
        </w:rPr>
        <w:t>kontinuálne monitorovanie teploty vakcín, ktoré uchovávali na základe Zmluvy o uchovávaní lieku.</w:t>
      </w:r>
    </w:p>
    <w:p w14:paraId="2E37E9F5" w14:textId="2168D7E1" w:rsidR="008E112F" w:rsidRPr="008E112F" w:rsidRDefault="008E112F" w:rsidP="00C07E13">
      <w:pPr>
        <w:spacing w:line="240" w:lineRule="auto"/>
        <w:rPr>
          <w:rFonts w:eastAsia="Calibri" w:cs="Times New Roman"/>
          <w:sz w:val="24"/>
          <w:szCs w:val="24"/>
        </w:rPr>
      </w:pPr>
      <w:r w:rsidRPr="008E112F">
        <w:rPr>
          <w:rFonts w:eastAsia="Calibri" w:cs="Times New Roman"/>
          <w:sz w:val="24"/>
          <w:szCs w:val="24"/>
          <w:u w:val="single"/>
        </w:rPr>
        <w:t>Ministerstvo investícií, regionálneho rozvoja a informatizácie SR</w:t>
      </w:r>
      <w:r w:rsidRPr="008E112F">
        <w:rPr>
          <w:rFonts w:eastAsia="Calibri" w:cs="Times New Roman"/>
          <w:sz w:val="24"/>
          <w:szCs w:val="24"/>
        </w:rPr>
        <w:t xml:space="preserve"> poskytlo bežné transfery príspevkovej organizácii v sume 47 375 tis. eur.</w:t>
      </w:r>
      <w:r w:rsidRPr="008E112F">
        <w:rPr>
          <w:rFonts w:eastAsia="Calibri" w:cs="Times New Roman"/>
          <w:color w:val="FF0000"/>
          <w:sz w:val="24"/>
          <w:szCs w:val="24"/>
        </w:rPr>
        <w:t xml:space="preserve"> </w:t>
      </w:r>
      <w:r w:rsidRPr="008E112F">
        <w:rPr>
          <w:rFonts w:eastAsia="Calibri" w:cs="Times New Roman"/>
          <w:sz w:val="24"/>
          <w:szCs w:val="24"/>
        </w:rPr>
        <w:t>Najväčšiu časť predstavoval transfer pre</w:t>
      </w:r>
      <w:r w:rsidR="00C07E13">
        <w:rPr>
          <w:rFonts w:eastAsia="Calibri" w:cs="Times New Roman"/>
          <w:sz w:val="24"/>
          <w:szCs w:val="24"/>
        </w:rPr>
        <w:t xml:space="preserve"> </w:t>
      </w:r>
      <w:r w:rsidRPr="008E112F">
        <w:rPr>
          <w:rFonts w:eastAsia="Calibri" w:cs="Times New Roman"/>
          <w:sz w:val="24"/>
          <w:szCs w:val="24"/>
        </w:rPr>
        <w:t>príspevkovú organizáciu Národnú agentúru pre sieťové a elektronické služby (39 958 tis. eur), poskytnutý na základe Kontraktu na rok 2023 č. 4418/2022 v znení dodatkov č. 1 a č. 2, použitý najmä na správu, prevádzku a rozvoj vládnej dátovej siete GOVNET, na plnenie úloh národného prevádzkovateľa centrálnej informačnej infraštruktúry a centrálnej komunikačnej infraštruktúry Slovenskej republiky pre verejnú správu, na prevádzku a rozvoj Ústredného portálu verejnej správy portál slovensko.sk a</w:t>
      </w:r>
      <w:r w:rsidR="00C07E13">
        <w:rPr>
          <w:rFonts w:eastAsia="Calibri" w:cs="Times New Roman"/>
          <w:sz w:val="24"/>
          <w:szCs w:val="24"/>
        </w:rPr>
        <w:t xml:space="preserve"> </w:t>
      </w:r>
      <w:r w:rsidRPr="008E112F">
        <w:rPr>
          <w:rFonts w:eastAsia="Calibri" w:cs="Times New Roman"/>
          <w:sz w:val="24"/>
          <w:szCs w:val="24"/>
        </w:rPr>
        <w:t>iné.</w:t>
      </w:r>
    </w:p>
    <w:p w14:paraId="321734F2" w14:textId="30B6D76F" w:rsidR="008E112F" w:rsidRPr="008E112F" w:rsidRDefault="008E112F" w:rsidP="00C07E13">
      <w:pPr>
        <w:spacing w:line="240" w:lineRule="auto"/>
        <w:rPr>
          <w:rFonts w:eastAsia="Calibri" w:cs="Times New Roman"/>
          <w:sz w:val="24"/>
          <w:szCs w:val="24"/>
        </w:rPr>
      </w:pPr>
      <w:r w:rsidRPr="008E112F">
        <w:rPr>
          <w:rFonts w:eastAsia="Calibri" w:cs="Times New Roman"/>
          <w:sz w:val="24"/>
          <w:szCs w:val="24"/>
          <w:u w:val="single"/>
        </w:rPr>
        <w:t>Ministerstvo pôdohospodárstva a</w:t>
      </w:r>
      <w:r w:rsidR="00207B7D">
        <w:rPr>
          <w:rFonts w:eastAsia="Calibri" w:cs="Times New Roman"/>
          <w:sz w:val="24"/>
          <w:szCs w:val="24"/>
          <w:u w:val="single"/>
        </w:rPr>
        <w:t xml:space="preserve"> </w:t>
      </w:r>
      <w:r w:rsidRPr="008E112F">
        <w:rPr>
          <w:rFonts w:eastAsia="Calibri" w:cs="Times New Roman"/>
          <w:sz w:val="24"/>
          <w:szCs w:val="24"/>
          <w:u w:val="single"/>
        </w:rPr>
        <w:t>rozvoja vidieka SR</w:t>
      </w:r>
      <w:r w:rsidRPr="008E112F">
        <w:rPr>
          <w:rFonts w:eastAsia="Calibri" w:cs="Times New Roman"/>
          <w:sz w:val="24"/>
          <w:szCs w:val="24"/>
        </w:rPr>
        <w:t xml:space="preserve"> vynaložilo na bežné transfery príspevkovým organizáciám vo svojej zriaďovateľskej pôsobnosti celkovú sumu 24 741 tis. eur a najvýznamnejšie sumy poskytlo Národnému lesníckemu centru Zvolen (9 731 tis. eur), Národnému poľnohospodárskemu a potravinárskemu centru v Lužiankach (7 614 tis. eur) a Štátnemu veterinárnemu a potravinovému ústavu v Dolnom Kubíne (4 688 tis. eur). </w:t>
      </w:r>
    </w:p>
    <w:p w14:paraId="3F56F2B1" w14:textId="17F87A00" w:rsidR="008E112F" w:rsidRPr="008E112F" w:rsidRDefault="008E112F" w:rsidP="00C07E13">
      <w:pPr>
        <w:spacing w:line="240" w:lineRule="auto"/>
        <w:rPr>
          <w:rFonts w:eastAsia="Calibri" w:cs="Times New Roman"/>
          <w:sz w:val="24"/>
          <w:szCs w:val="24"/>
        </w:rPr>
      </w:pPr>
      <w:r w:rsidRPr="008E112F">
        <w:rPr>
          <w:rFonts w:eastAsia="Calibri" w:cs="Times New Roman"/>
          <w:sz w:val="24"/>
          <w:szCs w:val="24"/>
        </w:rPr>
        <w:t xml:space="preserve">Transfery </w:t>
      </w:r>
      <w:r w:rsidRPr="008E112F">
        <w:rPr>
          <w:rFonts w:eastAsia="Calibri" w:cs="Times New Roman"/>
          <w:b/>
          <w:i/>
          <w:sz w:val="24"/>
          <w:szCs w:val="24"/>
        </w:rPr>
        <w:t>Železniciam SR</w:t>
      </w:r>
      <w:r w:rsidRPr="008E112F">
        <w:rPr>
          <w:rFonts w:eastAsia="Calibri" w:cs="Times New Roman"/>
          <w:b/>
          <w:color w:val="FF0000"/>
          <w:sz w:val="24"/>
          <w:szCs w:val="24"/>
        </w:rPr>
        <w:t xml:space="preserve"> </w:t>
      </w:r>
      <w:r w:rsidRPr="008E112F">
        <w:rPr>
          <w:rFonts w:eastAsia="Calibri" w:cs="Times New Roman"/>
          <w:sz w:val="24"/>
          <w:szCs w:val="24"/>
        </w:rPr>
        <w:t xml:space="preserve">v sume 414 404 tis. eur poskytla výlučne kapitola </w:t>
      </w:r>
      <w:r w:rsidRPr="008E112F">
        <w:rPr>
          <w:rFonts w:eastAsia="Calibri" w:cs="Times New Roman"/>
          <w:sz w:val="24"/>
          <w:szCs w:val="24"/>
          <w:u w:val="single"/>
        </w:rPr>
        <w:t>Ministerstva dopravy SR</w:t>
      </w:r>
      <w:r w:rsidRPr="008E112F">
        <w:rPr>
          <w:rFonts w:eastAsia="Calibri" w:cs="Times New Roman"/>
          <w:sz w:val="24"/>
          <w:szCs w:val="24"/>
        </w:rPr>
        <w:t xml:space="preserve"> na úhrady v rámci podprogramu Podpora verejných služieb a prevádzkovanie dráh na zabezpečenie prevádzky železničnej infraštruktúry a servisných zariadení.</w:t>
      </w:r>
    </w:p>
    <w:p w14:paraId="05A954C9" w14:textId="64FA4EB0" w:rsidR="008E112F" w:rsidRPr="008E112F" w:rsidRDefault="008E112F" w:rsidP="00C07E13">
      <w:pPr>
        <w:spacing w:line="240" w:lineRule="auto"/>
        <w:rPr>
          <w:rFonts w:eastAsia="Calibri" w:cs="Times New Roman"/>
        </w:rPr>
      </w:pPr>
      <w:r w:rsidRPr="008E112F">
        <w:rPr>
          <w:rFonts w:eastAsia="Calibri" w:cs="Times New Roman"/>
          <w:sz w:val="24"/>
          <w:szCs w:val="24"/>
        </w:rPr>
        <w:t xml:space="preserve">Transfery </w:t>
      </w:r>
      <w:r w:rsidRPr="008E112F">
        <w:rPr>
          <w:rFonts w:eastAsia="Calibri" w:cs="Times New Roman"/>
          <w:b/>
          <w:i/>
          <w:iCs/>
          <w:sz w:val="24"/>
          <w:szCs w:val="24"/>
        </w:rPr>
        <w:t xml:space="preserve">Železničnej spoločnosti Slovensko, </w:t>
      </w:r>
      <w:proofErr w:type="spellStart"/>
      <w:r w:rsidR="00837EB9">
        <w:rPr>
          <w:rFonts w:eastAsia="Calibri" w:cs="Times New Roman"/>
          <w:b/>
          <w:i/>
          <w:iCs/>
          <w:sz w:val="24"/>
          <w:szCs w:val="24"/>
        </w:rPr>
        <w:t>a.s</w:t>
      </w:r>
      <w:proofErr w:type="spellEnd"/>
      <w:r w:rsidR="00837EB9">
        <w:rPr>
          <w:rFonts w:eastAsia="Calibri" w:cs="Times New Roman"/>
          <w:b/>
          <w:i/>
          <w:iCs/>
          <w:sz w:val="24"/>
          <w:szCs w:val="24"/>
        </w:rPr>
        <w:t>.</w:t>
      </w:r>
      <w:r w:rsidRPr="008E112F">
        <w:rPr>
          <w:rFonts w:eastAsia="Calibri" w:cs="Times New Roman"/>
          <w:b/>
          <w:i/>
          <w:iCs/>
          <w:sz w:val="24"/>
          <w:szCs w:val="24"/>
        </w:rPr>
        <w:t>,</w:t>
      </w:r>
      <w:r w:rsidRPr="008E112F">
        <w:rPr>
          <w:rFonts w:eastAsia="Calibri" w:cs="Times New Roman"/>
          <w:color w:val="FF0000"/>
          <w:sz w:val="24"/>
          <w:szCs w:val="24"/>
        </w:rPr>
        <w:t xml:space="preserve"> </w:t>
      </w:r>
      <w:r w:rsidRPr="008E112F">
        <w:rPr>
          <w:rFonts w:eastAsia="Calibri" w:cs="Times New Roman"/>
          <w:sz w:val="24"/>
          <w:szCs w:val="24"/>
        </w:rPr>
        <w:t>boli poskytnuté f</w:t>
      </w:r>
      <w:r w:rsidRPr="008E112F">
        <w:rPr>
          <w:rFonts w:eastAsia="Calibri" w:cs="Times New Roman"/>
          <w:sz w:val="24"/>
          <w:szCs w:val="24"/>
          <w:shd w:val="clear" w:color="auto" w:fill="FFFFFF"/>
        </w:rPr>
        <w:t>inančné prostriedky</w:t>
      </w:r>
      <w:r w:rsidRPr="008E112F">
        <w:rPr>
          <w:rFonts w:eastAsia="Calibri" w:cs="Times New Roman"/>
          <w:sz w:val="24"/>
          <w:szCs w:val="24"/>
        </w:rPr>
        <w:t xml:space="preserve"> v sume 411 526 tis. eura, najmä prostredníctvom </w:t>
      </w:r>
      <w:r w:rsidRPr="008E112F">
        <w:rPr>
          <w:rFonts w:eastAsia="Calibri" w:cs="Times New Roman"/>
          <w:sz w:val="24"/>
          <w:szCs w:val="24"/>
          <w:u w:val="single"/>
        </w:rPr>
        <w:t>Ministerstva dopravy SR</w:t>
      </w:r>
      <w:r w:rsidRPr="008E112F">
        <w:rPr>
          <w:rFonts w:eastAsia="Calibri" w:cs="Times New Roman"/>
          <w:color w:val="FF0000"/>
          <w:sz w:val="24"/>
          <w:szCs w:val="24"/>
        </w:rPr>
        <w:t xml:space="preserve"> </w:t>
      </w:r>
      <w:r w:rsidRPr="008E112F">
        <w:rPr>
          <w:rFonts w:eastAsia="Calibri" w:cs="Times New Roman"/>
          <w:sz w:val="24"/>
          <w:szCs w:val="24"/>
        </w:rPr>
        <w:t xml:space="preserve">(411 135 tis. eur) a </w:t>
      </w:r>
      <w:r w:rsidRPr="008E112F">
        <w:rPr>
          <w:rFonts w:eastAsia="Calibri" w:cs="Times New Roman"/>
          <w:sz w:val="24"/>
          <w:szCs w:val="24"/>
          <w:shd w:val="clear" w:color="auto" w:fill="FFFFFF"/>
        </w:rPr>
        <w:t xml:space="preserve">boli použité </w:t>
      </w:r>
      <w:r w:rsidRPr="008E112F">
        <w:rPr>
          <w:rFonts w:eastAsia="Calibri" w:cs="Times New Roman"/>
          <w:sz w:val="24"/>
          <w:szCs w:val="24"/>
        </w:rPr>
        <w:t>na zabezpečenie</w:t>
      </w:r>
      <w:r w:rsidRPr="008E112F">
        <w:rPr>
          <w:rFonts w:eastAsia="Calibri" w:cs="Times New Roman"/>
          <w:sz w:val="24"/>
          <w:szCs w:val="24"/>
          <w:shd w:val="clear" w:color="auto" w:fill="FFFFFF"/>
        </w:rPr>
        <w:t xml:space="preserve"> dopravných služieb vo verejnom záujme pri prevádzkovaní osobnej dopravy na dráhe ZSSK.</w:t>
      </w:r>
    </w:p>
    <w:p w14:paraId="4C264663" w14:textId="77777777" w:rsidR="008E112F" w:rsidRPr="008E112F" w:rsidRDefault="008E112F" w:rsidP="00C07E13">
      <w:pPr>
        <w:spacing w:line="240" w:lineRule="auto"/>
        <w:rPr>
          <w:rFonts w:eastAsia="Calibri" w:cs="Times New Roman"/>
          <w:sz w:val="24"/>
          <w:szCs w:val="24"/>
          <w:lang w:eastAsia="sk-SK"/>
        </w:rPr>
      </w:pPr>
      <w:r w:rsidRPr="008E112F">
        <w:rPr>
          <w:rFonts w:eastAsia="Calibri" w:cs="Times New Roman"/>
          <w:sz w:val="24"/>
          <w:szCs w:val="24"/>
          <w:lang w:eastAsia="sk-SK"/>
        </w:rPr>
        <w:t xml:space="preserve">Transfery </w:t>
      </w:r>
      <w:r w:rsidRPr="008E112F">
        <w:rPr>
          <w:rFonts w:eastAsia="Calibri" w:cs="Times New Roman"/>
          <w:b/>
          <w:i/>
          <w:sz w:val="24"/>
          <w:szCs w:val="24"/>
          <w:lang w:eastAsia="sk-SK"/>
        </w:rPr>
        <w:t>ostatným subjektom verejnej správy</w:t>
      </w:r>
      <w:r w:rsidRPr="008E112F">
        <w:rPr>
          <w:rFonts w:eastAsia="Calibri" w:cs="Times New Roman"/>
          <w:sz w:val="24"/>
          <w:szCs w:val="24"/>
          <w:lang w:eastAsia="sk-SK"/>
        </w:rPr>
        <w:t xml:space="preserve"> predstavovali čerpanie v sume 228 533 tis. eur</w:t>
      </w:r>
      <w:r w:rsidRPr="008E112F">
        <w:rPr>
          <w:rFonts w:eastAsia="Calibri" w:cs="Times New Roman"/>
          <w:color w:val="FF0000"/>
          <w:sz w:val="24"/>
          <w:szCs w:val="24"/>
          <w:lang w:eastAsia="sk-SK"/>
        </w:rPr>
        <w:t xml:space="preserve"> </w:t>
      </w:r>
      <w:r w:rsidRPr="008E112F">
        <w:rPr>
          <w:rFonts w:eastAsia="Calibri" w:cs="Times New Roman"/>
          <w:sz w:val="24"/>
          <w:szCs w:val="24"/>
          <w:lang w:eastAsia="sk-SK"/>
        </w:rPr>
        <w:t xml:space="preserve">a boli realizované najmä </w:t>
      </w:r>
      <w:r w:rsidRPr="008E112F">
        <w:rPr>
          <w:rFonts w:eastAsia="Calibri" w:cs="Times New Roman"/>
          <w:sz w:val="24"/>
          <w:szCs w:val="24"/>
          <w:u w:val="single"/>
          <w:lang w:eastAsia="sk-SK"/>
        </w:rPr>
        <w:t>Ministerstvom kultúry SR</w:t>
      </w:r>
      <w:r w:rsidRPr="008E112F">
        <w:rPr>
          <w:rFonts w:eastAsia="Calibri" w:cs="Times New Roman"/>
          <w:sz w:val="24"/>
          <w:szCs w:val="24"/>
          <w:lang w:eastAsia="sk-SK"/>
        </w:rPr>
        <w:t xml:space="preserve"> (154 190 tis. eur), </w:t>
      </w:r>
      <w:r w:rsidRPr="008E112F">
        <w:rPr>
          <w:rFonts w:eastAsia="Calibri" w:cs="Times New Roman"/>
          <w:sz w:val="24"/>
          <w:szCs w:val="24"/>
        </w:rPr>
        <w:t xml:space="preserve">ktoré ich poskytlo najmä Rozhlasu a televízii Slovenska (81 233 tis. eur), Audiovizuálnemu fondu (40 107 tis. eur), Fondu na podporu umenia (22 300 tis. eur) a Fondu na podporu kultúrnych národnostných menšín (8 300 tis. eur). V rámci tejto podpoložky boli taktiež čerpané finančné prostriedky </w:t>
      </w:r>
      <w:r w:rsidRPr="008E112F">
        <w:rPr>
          <w:rFonts w:eastAsia="Calibri" w:cs="Times New Roman"/>
          <w:sz w:val="24"/>
          <w:szCs w:val="24"/>
          <w:u w:val="single"/>
          <w:lang w:eastAsia="sk-SK"/>
        </w:rPr>
        <w:t>Ministerstvom životného prostredia SR</w:t>
      </w:r>
      <w:r w:rsidRPr="008E112F">
        <w:rPr>
          <w:rFonts w:eastAsia="Calibri" w:cs="Times New Roman"/>
          <w:sz w:val="24"/>
          <w:szCs w:val="24"/>
          <w:lang w:eastAsia="sk-SK"/>
        </w:rPr>
        <w:t xml:space="preserve"> (29 608 tis. eur) a </w:t>
      </w:r>
      <w:r w:rsidRPr="008E112F">
        <w:rPr>
          <w:rFonts w:eastAsia="Calibri" w:cs="Times New Roman"/>
          <w:sz w:val="24"/>
          <w:szCs w:val="24"/>
          <w:u w:val="single"/>
          <w:lang w:eastAsia="sk-SK"/>
        </w:rPr>
        <w:t>Ministerstvom školstva, vedy, výskumu a športu SR</w:t>
      </w:r>
      <w:r w:rsidRPr="008E112F">
        <w:rPr>
          <w:rFonts w:eastAsia="Calibri" w:cs="Times New Roman"/>
          <w:sz w:val="24"/>
          <w:szCs w:val="24"/>
          <w:lang w:eastAsia="sk-SK"/>
        </w:rPr>
        <w:t xml:space="preserve"> (23 425 tis. eur). </w:t>
      </w:r>
    </w:p>
    <w:p w14:paraId="7367139C" w14:textId="77777777" w:rsidR="008E112F" w:rsidRPr="008E112F" w:rsidRDefault="008E112F" w:rsidP="00C07E13">
      <w:pPr>
        <w:spacing w:line="240" w:lineRule="auto"/>
        <w:rPr>
          <w:rFonts w:eastAsia="Calibri" w:cs="Times New Roman"/>
          <w:sz w:val="24"/>
          <w:szCs w:val="24"/>
        </w:rPr>
      </w:pPr>
      <w:r w:rsidRPr="008E112F">
        <w:rPr>
          <w:rFonts w:eastAsia="Calibri" w:cs="Times New Roman"/>
          <w:b/>
          <w:i/>
          <w:sz w:val="24"/>
          <w:szCs w:val="24"/>
          <w:lang w:eastAsia="sk-SK"/>
        </w:rPr>
        <w:t>Verejnej výskumnej inštitúcii</w:t>
      </w:r>
      <w:r w:rsidRPr="008E112F">
        <w:rPr>
          <w:rFonts w:eastAsia="Calibri" w:cs="Times New Roman"/>
          <w:b/>
          <w:i/>
          <w:color w:val="FF0000"/>
          <w:sz w:val="24"/>
          <w:szCs w:val="24"/>
          <w:lang w:eastAsia="sk-SK"/>
        </w:rPr>
        <w:t xml:space="preserve"> </w:t>
      </w:r>
      <w:r w:rsidRPr="008E112F">
        <w:rPr>
          <w:rFonts w:eastAsia="Calibri" w:cs="Times New Roman"/>
          <w:sz w:val="24"/>
          <w:szCs w:val="24"/>
          <w:lang w:eastAsia="sk-SK"/>
        </w:rPr>
        <w:t xml:space="preserve">boli poskytnuté transfery v sume 115 326 tis. eur, najmä prostredníctvom </w:t>
      </w:r>
      <w:r w:rsidRPr="008E112F">
        <w:rPr>
          <w:rFonts w:eastAsia="Calibri" w:cs="Times New Roman"/>
          <w:sz w:val="24"/>
          <w:szCs w:val="24"/>
          <w:u w:val="single"/>
          <w:lang w:eastAsia="sk-SK"/>
        </w:rPr>
        <w:t>Slovenskej akadémie vied</w:t>
      </w:r>
      <w:r w:rsidRPr="008E112F">
        <w:rPr>
          <w:rFonts w:eastAsia="Calibri" w:cs="Times New Roman"/>
          <w:sz w:val="24"/>
          <w:szCs w:val="24"/>
          <w:lang w:eastAsia="sk-SK"/>
        </w:rPr>
        <w:t xml:space="preserve"> (96 465 tis. eur), ktorá ich poskytla verejným výskumným inštitúciám vo svojej pôsobnosti a prostredníctvom </w:t>
      </w:r>
      <w:r w:rsidRPr="008E112F">
        <w:rPr>
          <w:rFonts w:eastAsia="Calibri" w:cs="Times New Roman"/>
          <w:sz w:val="24"/>
          <w:szCs w:val="24"/>
          <w:u w:val="single"/>
          <w:lang w:eastAsia="sk-SK"/>
        </w:rPr>
        <w:t>Ministerstvo školstva, vedy, výskumu a športu SR</w:t>
      </w:r>
      <w:r w:rsidRPr="008E112F">
        <w:rPr>
          <w:rFonts w:eastAsia="Calibri" w:cs="Times New Roman"/>
          <w:sz w:val="24"/>
          <w:szCs w:val="24"/>
          <w:lang w:eastAsia="sk-SK"/>
        </w:rPr>
        <w:t xml:space="preserve"> (16 925 tis. eur), ktoré ich poskytlo najmä Agentúre na podporu výskumu a vývoja (10 425 tis. eur) </w:t>
      </w:r>
      <w:r w:rsidRPr="008E112F">
        <w:rPr>
          <w:rFonts w:eastAsia="Calibri" w:cs="Times New Roman"/>
          <w:sz w:val="24"/>
          <w:szCs w:val="24"/>
        </w:rPr>
        <w:t>a taktiež na základný výskum okrem výskumu v rámci terciárneho vzdelávania a na výskum a vývoj v oblasti všeobecných verejných služieb verejným výskumným inštitúciám, ako napr. Biomedicínskemu centru Slovenskej akadémie vied (ďalej SAV), Centru experimentálnej medicíny SAV, Elektrotechnickému ústavu SAV, Chemickému ústavu SAV, Ústavu experimentálnej fyziky SAV a Ústavu krajinnej ekológie SAV.</w:t>
      </w:r>
    </w:p>
    <w:p w14:paraId="54684B18" w14:textId="2D4476E6" w:rsidR="008E112F" w:rsidRPr="008E112F" w:rsidRDefault="008E112F" w:rsidP="00C07E13">
      <w:pPr>
        <w:spacing w:line="240" w:lineRule="auto"/>
        <w:rPr>
          <w:rFonts w:eastAsia="Times New Roman" w:cs="Times New Roman"/>
          <w:iCs/>
          <w:sz w:val="24"/>
          <w:szCs w:val="24"/>
          <w:lang w:eastAsia="sk-SK"/>
        </w:rPr>
      </w:pPr>
      <w:r w:rsidRPr="008E112F">
        <w:rPr>
          <w:rFonts w:eastAsia="Calibri" w:cs="Times New Roman"/>
          <w:sz w:val="24"/>
          <w:szCs w:val="24"/>
        </w:rPr>
        <w:t xml:space="preserve">Transfery </w:t>
      </w:r>
      <w:r w:rsidRPr="008E112F">
        <w:rPr>
          <w:rFonts w:eastAsia="Calibri" w:cs="Times New Roman"/>
          <w:b/>
          <w:i/>
          <w:sz w:val="24"/>
          <w:szCs w:val="24"/>
        </w:rPr>
        <w:t>štátnym účelovým fondom</w:t>
      </w:r>
      <w:r w:rsidRPr="008E112F">
        <w:rPr>
          <w:rFonts w:eastAsia="Calibri" w:cs="Times New Roman"/>
          <w:color w:val="FF0000"/>
          <w:sz w:val="24"/>
          <w:szCs w:val="24"/>
        </w:rPr>
        <w:t xml:space="preserve"> </w:t>
      </w:r>
      <w:r w:rsidRPr="008E112F">
        <w:rPr>
          <w:rFonts w:eastAsia="Calibri" w:cs="Times New Roman"/>
          <w:sz w:val="24"/>
          <w:szCs w:val="24"/>
        </w:rPr>
        <w:t>boli čerpané v objeme 74 361 tis. eur. Z toho prostredníctvom</w:t>
      </w:r>
      <w:r w:rsidRPr="008E112F">
        <w:rPr>
          <w:rFonts w:eastAsia="Calibri" w:cs="Times New Roman"/>
          <w:color w:val="FF0000"/>
          <w:sz w:val="24"/>
          <w:szCs w:val="24"/>
        </w:rPr>
        <w:t xml:space="preserve"> </w:t>
      </w:r>
      <w:r w:rsidRPr="008E112F">
        <w:rPr>
          <w:rFonts w:eastAsia="Calibri" w:cs="Times New Roman"/>
          <w:sz w:val="24"/>
          <w:szCs w:val="24"/>
          <w:u w:val="single"/>
        </w:rPr>
        <w:t>Ministerstva hospodárstva SR</w:t>
      </w:r>
      <w:r w:rsidRPr="008E112F">
        <w:rPr>
          <w:rFonts w:eastAsia="Calibri" w:cs="Times New Roman"/>
          <w:sz w:val="24"/>
          <w:szCs w:val="24"/>
        </w:rPr>
        <w:t xml:space="preserve"> bolo poskytnutých 42 818 tis. eur výlučne </w:t>
      </w:r>
      <w:r w:rsidRPr="008E112F">
        <w:rPr>
          <w:rFonts w:eastAsia="Times New Roman" w:cs="Times New Roman"/>
          <w:iCs/>
          <w:sz w:val="24"/>
          <w:szCs w:val="24"/>
          <w:lang w:eastAsia="sk-SK"/>
        </w:rPr>
        <w:t>Národnému jadrovému fondu – odvody od prenosovej sústavy a</w:t>
      </w:r>
      <w:r w:rsidR="00207B7D">
        <w:rPr>
          <w:rFonts w:eastAsia="Times New Roman" w:cs="Times New Roman"/>
          <w:iCs/>
          <w:sz w:val="24"/>
          <w:szCs w:val="24"/>
          <w:lang w:eastAsia="sk-SK"/>
        </w:rPr>
        <w:t xml:space="preserve"> </w:t>
      </w:r>
      <w:r w:rsidRPr="008E112F">
        <w:rPr>
          <w:rFonts w:eastAsia="Times New Roman" w:cs="Times New Roman"/>
          <w:iCs/>
          <w:sz w:val="24"/>
          <w:szCs w:val="24"/>
          <w:lang w:eastAsia="sk-SK"/>
        </w:rPr>
        <w:t>distribučných sústav.</w:t>
      </w:r>
    </w:p>
    <w:p w14:paraId="4015C8A3" w14:textId="77777777" w:rsidR="008E112F" w:rsidRPr="008E112F" w:rsidRDefault="008E112F" w:rsidP="008E112F">
      <w:pPr>
        <w:spacing w:before="120" w:line="240" w:lineRule="auto"/>
        <w:rPr>
          <w:rFonts w:eastAsia="Times New Roman" w:cs="Times New Roman"/>
          <w:sz w:val="24"/>
          <w:szCs w:val="24"/>
          <w:lang w:eastAsia="sk-SK"/>
        </w:rPr>
      </w:pPr>
      <w:r w:rsidRPr="008E112F">
        <w:rPr>
          <w:rFonts w:eastAsia="Times New Roman" w:cs="Times New Roman"/>
          <w:sz w:val="24"/>
          <w:szCs w:val="24"/>
          <w:u w:val="single"/>
          <w:lang w:eastAsia="sk-SK"/>
        </w:rPr>
        <w:t>Ministerstvo dopravy SR</w:t>
      </w:r>
      <w:r w:rsidRPr="008E112F">
        <w:rPr>
          <w:rFonts w:eastAsia="Times New Roman" w:cs="Times New Roman"/>
          <w:sz w:val="24"/>
          <w:szCs w:val="24"/>
          <w:lang w:eastAsia="sk-SK"/>
        </w:rPr>
        <w:t xml:space="preserve"> čerpalo v rámci tejto podpoložky 25 000 tis. eur pre Štátny fond rozvoja bývania na financovanie obnovy bytových budov.</w:t>
      </w:r>
    </w:p>
    <w:p w14:paraId="1EBEE4CB" w14:textId="77777777" w:rsidR="008E112F" w:rsidRPr="008E112F" w:rsidRDefault="008E112F" w:rsidP="008E112F">
      <w:pPr>
        <w:spacing w:before="120" w:line="240" w:lineRule="auto"/>
        <w:rPr>
          <w:rFonts w:eastAsia="Times New Roman" w:cs="Times New Roman"/>
          <w:sz w:val="24"/>
          <w:szCs w:val="24"/>
          <w:lang w:eastAsia="sk-SK"/>
        </w:rPr>
      </w:pPr>
      <w:r w:rsidRPr="008E112F">
        <w:rPr>
          <w:rFonts w:eastAsia="Times New Roman" w:cs="Times New Roman"/>
          <w:sz w:val="24"/>
          <w:szCs w:val="24"/>
          <w:u w:val="single"/>
          <w:lang w:eastAsia="sk-SK"/>
        </w:rPr>
        <w:t>Ministerstvo investícií, regionálneho rozvoja a informatizácie SR</w:t>
      </w:r>
      <w:r w:rsidRPr="008E112F">
        <w:rPr>
          <w:rFonts w:eastAsia="Times New Roman" w:cs="Times New Roman"/>
          <w:sz w:val="24"/>
          <w:szCs w:val="24"/>
          <w:lang w:eastAsia="sk-SK"/>
        </w:rPr>
        <w:t xml:space="preserve"> poskytlo </w:t>
      </w:r>
      <w:r w:rsidRPr="008E112F">
        <w:rPr>
          <w:rFonts w:eastAsia="Calibri" w:cs="Times New Roman"/>
          <w:sz w:val="24"/>
          <w:szCs w:val="24"/>
          <w:shd w:val="clear" w:color="auto" w:fill="FFFFFF"/>
        </w:rPr>
        <w:t>v rámci Integrovaného regionálneho operačného programu sumu</w:t>
      </w:r>
      <w:r w:rsidRPr="008E112F">
        <w:rPr>
          <w:rFonts w:eastAsia="Times New Roman" w:cs="Times New Roman"/>
          <w:sz w:val="24"/>
          <w:szCs w:val="24"/>
          <w:lang w:eastAsia="sk-SK"/>
        </w:rPr>
        <w:t xml:space="preserve"> 6 543 tis. eur</w:t>
      </w:r>
      <w:r w:rsidRPr="008E112F">
        <w:rPr>
          <w:rFonts w:eastAsia="Calibri" w:cs="Times New Roman"/>
          <w:sz w:val="24"/>
          <w:szCs w:val="24"/>
          <w:shd w:val="clear" w:color="auto" w:fill="FFFFFF"/>
        </w:rPr>
        <w:t xml:space="preserve"> Štátnemu fondu rozvoja </w:t>
      </w:r>
      <w:r w:rsidRPr="008E112F">
        <w:rPr>
          <w:rFonts w:eastAsia="Calibri" w:cs="Times New Roman"/>
          <w:sz w:val="24"/>
          <w:szCs w:val="24"/>
          <w:shd w:val="clear" w:color="auto" w:fill="FFFFFF"/>
        </w:rPr>
        <w:lastRenderedPageBreak/>
        <w:t>bývania prostredníctvom finančného nástroja zameraného na poskytovanie úverov na zlepšenie energetickej efektívnosti existujúcich bytových domov.</w:t>
      </w:r>
    </w:p>
    <w:p w14:paraId="1C5BEF7A" w14:textId="76FE022B" w:rsidR="008E112F" w:rsidRPr="008E112F" w:rsidRDefault="008E112F" w:rsidP="008E112F">
      <w:pPr>
        <w:spacing w:before="120" w:line="240" w:lineRule="auto"/>
        <w:rPr>
          <w:rFonts w:eastAsia="Times New Roman" w:cs="Times New Roman"/>
          <w:iCs/>
          <w:sz w:val="24"/>
          <w:szCs w:val="24"/>
          <w:lang w:eastAsia="sk-SK"/>
        </w:rPr>
      </w:pPr>
      <w:r w:rsidRPr="008E112F">
        <w:rPr>
          <w:rFonts w:eastAsia="Calibri" w:cs="Times New Roman"/>
          <w:sz w:val="24"/>
          <w:szCs w:val="24"/>
        </w:rPr>
        <w:t xml:space="preserve">Transfery </w:t>
      </w:r>
      <w:r w:rsidRPr="008E112F">
        <w:rPr>
          <w:rFonts w:eastAsia="Calibri" w:cs="Times New Roman"/>
          <w:b/>
          <w:i/>
          <w:iCs/>
          <w:sz w:val="24"/>
          <w:szCs w:val="24"/>
        </w:rPr>
        <w:t xml:space="preserve">Národnej diaľničnej spoločnosti, </w:t>
      </w:r>
      <w:proofErr w:type="spellStart"/>
      <w:r w:rsidR="00837EB9">
        <w:rPr>
          <w:rFonts w:eastAsia="Calibri" w:cs="Times New Roman"/>
          <w:b/>
          <w:i/>
          <w:iCs/>
          <w:sz w:val="24"/>
          <w:szCs w:val="24"/>
        </w:rPr>
        <w:t>a.s</w:t>
      </w:r>
      <w:proofErr w:type="spellEnd"/>
      <w:r w:rsidR="00837EB9">
        <w:rPr>
          <w:rFonts w:eastAsia="Calibri" w:cs="Times New Roman"/>
          <w:b/>
          <w:i/>
          <w:iCs/>
          <w:sz w:val="24"/>
          <w:szCs w:val="24"/>
        </w:rPr>
        <w:t>.</w:t>
      </w:r>
      <w:r w:rsidRPr="008E112F">
        <w:rPr>
          <w:rFonts w:eastAsia="Calibri" w:cs="Times New Roman"/>
          <w:i/>
          <w:iCs/>
          <w:sz w:val="24"/>
          <w:szCs w:val="24"/>
        </w:rPr>
        <w:t>,</w:t>
      </w:r>
      <w:r w:rsidRPr="008E112F">
        <w:rPr>
          <w:rFonts w:eastAsia="Calibri" w:cs="Times New Roman"/>
          <w:sz w:val="24"/>
          <w:szCs w:val="24"/>
        </w:rPr>
        <w:t xml:space="preserve"> boli poskytnuté v sume 15 874 tis. eur na prípravu a realizáciu opráv a údržbu diaľnic a rýchlostných ciest na základe Zmluvy o poskytnutí dotácií z rozpočtovej kapitoly Ministerstva dopravy SR.</w:t>
      </w:r>
    </w:p>
    <w:p w14:paraId="7125B67F" w14:textId="0DFEE9D9" w:rsidR="00B768D9" w:rsidRPr="004B7C1C" w:rsidRDefault="008E112F" w:rsidP="008E112F">
      <w:pPr>
        <w:spacing w:line="240" w:lineRule="auto"/>
        <w:rPr>
          <w:rFonts w:eastAsia="Calibri" w:cs="Times New Roman"/>
          <w:sz w:val="24"/>
          <w:szCs w:val="24"/>
        </w:rPr>
      </w:pPr>
      <w:r w:rsidRPr="008E112F">
        <w:rPr>
          <w:rFonts w:eastAsia="Calibri" w:cs="Times New Roman"/>
          <w:b/>
          <w:sz w:val="24"/>
          <w:szCs w:val="24"/>
        </w:rPr>
        <w:t>Transfery jednotlivcom a neziskovým právnickým osobám</w:t>
      </w:r>
      <w:r w:rsidRPr="008E112F">
        <w:rPr>
          <w:rFonts w:eastAsia="Calibri" w:cs="Times New Roman"/>
          <w:b/>
          <w:color w:val="FF0000"/>
          <w:sz w:val="24"/>
          <w:szCs w:val="24"/>
        </w:rPr>
        <w:t xml:space="preserve"> </w:t>
      </w:r>
      <w:r w:rsidRPr="008E112F">
        <w:rPr>
          <w:rFonts w:eastAsia="Calibri" w:cs="Times New Roman"/>
          <w:sz w:val="24"/>
          <w:szCs w:val="24"/>
        </w:rPr>
        <w:t>boli rozpočtované vo výške 7 001 559 tis. eur a ich skutočné čerpanie predstavovalo 7 105 251 tis. eur, a to najmä na platby vo forme sociálnych príspevkov a dávok, dôchodkov, transferov občianskym združeniam, neziskovým organizáciám, cirkvám a podobne.</w:t>
      </w:r>
    </w:p>
    <w:tbl>
      <w:tblPr>
        <w:tblW w:w="9214" w:type="dxa"/>
        <w:tblCellMar>
          <w:left w:w="70" w:type="dxa"/>
          <w:right w:w="70" w:type="dxa"/>
        </w:tblCellMar>
        <w:tblLook w:val="04A0" w:firstRow="1" w:lastRow="0" w:firstColumn="1" w:lastColumn="0" w:noHBand="0" w:noVBand="1"/>
      </w:tblPr>
      <w:tblGrid>
        <w:gridCol w:w="9214"/>
      </w:tblGrid>
      <w:tr w:rsidR="00736668" w:rsidRPr="00360BCD" w14:paraId="08465343" w14:textId="77777777" w:rsidTr="009B204F">
        <w:trPr>
          <w:trHeight w:val="1129"/>
        </w:trPr>
        <w:tc>
          <w:tcPr>
            <w:tcW w:w="9214" w:type="dxa"/>
            <w:tcBorders>
              <w:top w:val="nil"/>
              <w:left w:val="nil"/>
              <w:bottom w:val="nil"/>
              <w:right w:val="nil"/>
            </w:tcBorders>
            <w:shd w:val="clear" w:color="auto" w:fill="auto"/>
            <w:noWrap/>
            <w:vAlign w:val="center"/>
            <w:hideMark/>
          </w:tcPr>
          <w:p w14:paraId="4ED71913" w14:textId="1B1CF90B" w:rsidR="00736668" w:rsidRPr="00AC68A6" w:rsidRDefault="00736668" w:rsidP="00C07E13">
            <w:pPr>
              <w:spacing w:line="240" w:lineRule="auto"/>
              <w:rPr>
                <w:rFonts w:eastAsia="Times New Roman" w:cs="Times New Roman"/>
                <w:b/>
                <w:bCs/>
                <w:color w:val="5B9BD5"/>
                <w:sz w:val="20"/>
                <w:szCs w:val="20"/>
                <w:lang w:eastAsia="sk-SK"/>
              </w:rPr>
            </w:pPr>
            <w:r w:rsidRPr="00AC68A6">
              <w:rPr>
                <w:rFonts w:eastAsia="Times New Roman" w:cs="Times New Roman"/>
                <w:b/>
                <w:bCs/>
                <w:color w:val="5B9BD5"/>
                <w:sz w:val="20"/>
                <w:szCs w:val="20"/>
                <w:lang w:eastAsia="sk-SK"/>
              </w:rPr>
              <w:t>Tabuľka 3</w:t>
            </w:r>
            <w:r w:rsidR="004A6E2F">
              <w:rPr>
                <w:rFonts w:eastAsia="Times New Roman" w:cs="Times New Roman"/>
                <w:b/>
                <w:bCs/>
                <w:color w:val="5B9BD5"/>
                <w:sz w:val="20"/>
                <w:szCs w:val="20"/>
                <w:lang w:eastAsia="sk-SK"/>
              </w:rPr>
              <w:t>8</w:t>
            </w:r>
            <w:r w:rsidRPr="00AC68A6">
              <w:rPr>
                <w:rFonts w:eastAsia="Times New Roman" w:cs="Times New Roman"/>
                <w:b/>
                <w:bCs/>
                <w:color w:val="5B9BD5"/>
                <w:sz w:val="20"/>
                <w:szCs w:val="20"/>
                <w:lang w:eastAsia="sk-SK"/>
              </w:rPr>
              <w:t xml:space="preserve"> - Transfery jednotlivcom a neziskovým právnickým osobám</w:t>
            </w:r>
          </w:p>
          <w:tbl>
            <w:tblPr>
              <w:tblW w:w="9142" w:type="dxa"/>
              <w:tblCellMar>
                <w:left w:w="70" w:type="dxa"/>
                <w:right w:w="70" w:type="dxa"/>
              </w:tblCellMar>
              <w:tblLook w:val="04A0" w:firstRow="1" w:lastRow="0" w:firstColumn="1" w:lastColumn="0" w:noHBand="0" w:noVBand="1"/>
            </w:tblPr>
            <w:tblGrid>
              <w:gridCol w:w="3189"/>
              <w:gridCol w:w="992"/>
              <w:gridCol w:w="1134"/>
              <w:gridCol w:w="992"/>
              <w:gridCol w:w="992"/>
              <w:gridCol w:w="993"/>
              <w:gridCol w:w="850"/>
            </w:tblGrid>
            <w:tr w:rsidR="00B41352" w:rsidRPr="00736668" w14:paraId="26DC8083" w14:textId="77777777" w:rsidTr="006A0B96">
              <w:trPr>
                <w:trHeight w:val="276"/>
              </w:trPr>
              <w:tc>
                <w:tcPr>
                  <w:tcW w:w="3189" w:type="dxa"/>
                  <w:vMerge w:val="restart"/>
                  <w:tcBorders>
                    <w:top w:val="single" w:sz="4" w:space="0" w:color="auto"/>
                    <w:left w:val="nil"/>
                    <w:right w:val="nil"/>
                  </w:tcBorders>
                  <w:shd w:val="clear" w:color="000000" w:fill="FFFFFF"/>
                  <w:vAlign w:val="center"/>
                  <w:hideMark/>
                </w:tcPr>
                <w:p w14:paraId="2CE9E052" w14:textId="77777777" w:rsidR="00B41352" w:rsidRPr="00736668" w:rsidRDefault="00B41352" w:rsidP="00B768D9">
                  <w:pPr>
                    <w:spacing w:after="0" w:line="240" w:lineRule="auto"/>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v tis. eur</w:t>
                  </w:r>
                </w:p>
              </w:tc>
              <w:tc>
                <w:tcPr>
                  <w:tcW w:w="992" w:type="dxa"/>
                  <w:tcBorders>
                    <w:top w:val="single" w:sz="4" w:space="0" w:color="auto"/>
                    <w:left w:val="nil"/>
                    <w:bottom w:val="nil"/>
                    <w:right w:val="nil"/>
                  </w:tcBorders>
                  <w:shd w:val="clear" w:color="000000" w:fill="FFFFFF"/>
                  <w:noWrap/>
                  <w:vAlign w:val="center"/>
                  <w:hideMark/>
                </w:tcPr>
                <w:p w14:paraId="234F6B47" w14:textId="77777777" w:rsidR="00B41352" w:rsidRPr="00736668" w:rsidRDefault="00B41352" w:rsidP="00B768D9">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2021 S</w:t>
                  </w:r>
                </w:p>
              </w:tc>
              <w:tc>
                <w:tcPr>
                  <w:tcW w:w="1134" w:type="dxa"/>
                  <w:tcBorders>
                    <w:top w:val="single" w:sz="4" w:space="0" w:color="auto"/>
                    <w:left w:val="nil"/>
                    <w:bottom w:val="nil"/>
                    <w:right w:val="nil"/>
                  </w:tcBorders>
                  <w:shd w:val="clear" w:color="000000" w:fill="FFFFFF"/>
                  <w:noWrap/>
                  <w:vAlign w:val="center"/>
                  <w:hideMark/>
                </w:tcPr>
                <w:p w14:paraId="38D35331" w14:textId="77777777" w:rsidR="00B41352" w:rsidRPr="00736668" w:rsidRDefault="00B41352" w:rsidP="00B768D9">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2022 S</w:t>
                  </w:r>
                </w:p>
              </w:tc>
              <w:tc>
                <w:tcPr>
                  <w:tcW w:w="992" w:type="dxa"/>
                  <w:tcBorders>
                    <w:top w:val="single" w:sz="4" w:space="0" w:color="auto"/>
                    <w:left w:val="nil"/>
                    <w:bottom w:val="nil"/>
                    <w:right w:val="nil"/>
                  </w:tcBorders>
                  <w:shd w:val="clear" w:color="000000" w:fill="FFFFFF"/>
                  <w:noWrap/>
                  <w:vAlign w:val="center"/>
                  <w:hideMark/>
                </w:tcPr>
                <w:p w14:paraId="1E2B54D2" w14:textId="77777777" w:rsidR="00B41352" w:rsidRPr="00736668" w:rsidRDefault="00B41352" w:rsidP="00B768D9">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2023 R</w:t>
                  </w:r>
                </w:p>
              </w:tc>
              <w:tc>
                <w:tcPr>
                  <w:tcW w:w="992" w:type="dxa"/>
                  <w:tcBorders>
                    <w:top w:val="single" w:sz="4" w:space="0" w:color="auto"/>
                    <w:left w:val="nil"/>
                    <w:bottom w:val="nil"/>
                    <w:right w:val="nil"/>
                  </w:tcBorders>
                  <w:shd w:val="clear" w:color="000000" w:fill="FFFFFF"/>
                  <w:noWrap/>
                  <w:vAlign w:val="center"/>
                  <w:hideMark/>
                </w:tcPr>
                <w:p w14:paraId="7F61C3D8" w14:textId="77777777" w:rsidR="00B41352" w:rsidRPr="00736668" w:rsidRDefault="00B41352" w:rsidP="00B768D9">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2023 S</w:t>
                  </w:r>
                </w:p>
              </w:tc>
              <w:tc>
                <w:tcPr>
                  <w:tcW w:w="993" w:type="dxa"/>
                  <w:tcBorders>
                    <w:top w:val="single" w:sz="4" w:space="0" w:color="auto"/>
                    <w:left w:val="nil"/>
                    <w:bottom w:val="nil"/>
                    <w:right w:val="nil"/>
                  </w:tcBorders>
                  <w:shd w:val="clear" w:color="000000" w:fill="FFFFFF"/>
                  <w:noWrap/>
                  <w:vAlign w:val="center"/>
                  <w:hideMark/>
                </w:tcPr>
                <w:p w14:paraId="64A32137" w14:textId="77777777" w:rsidR="00B41352" w:rsidRPr="00736668" w:rsidRDefault="00B41352" w:rsidP="00B768D9">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Rozdiel</w:t>
                  </w:r>
                </w:p>
              </w:tc>
              <w:tc>
                <w:tcPr>
                  <w:tcW w:w="850" w:type="dxa"/>
                  <w:tcBorders>
                    <w:top w:val="single" w:sz="4" w:space="0" w:color="auto"/>
                    <w:left w:val="nil"/>
                    <w:bottom w:val="nil"/>
                    <w:right w:val="nil"/>
                  </w:tcBorders>
                  <w:shd w:val="clear" w:color="000000" w:fill="FFFFFF"/>
                  <w:noWrap/>
                  <w:vAlign w:val="center"/>
                  <w:hideMark/>
                </w:tcPr>
                <w:p w14:paraId="613E1C9C" w14:textId="77777777" w:rsidR="00B41352" w:rsidRPr="00736668" w:rsidRDefault="00B41352" w:rsidP="00B768D9">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v %</w:t>
                  </w:r>
                </w:p>
              </w:tc>
            </w:tr>
            <w:tr w:rsidR="00B41352" w:rsidRPr="00736668" w14:paraId="5B9C40A8" w14:textId="77777777" w:rsidTr="006A0B96">
              <w:trPr>
                <w:trHeight w:val="276"/>
              </w:trPr>
              <w:tc>
                <w:tcPr>
                  <w:tcW w:w="3189" w:type="dxa"/>
                  <w:vMerge/>
                  <w:tcBorders>
                    <w:left w:val="nil"/>
                    <w:bottom w:val="single" w:sz="4" w:space="0" w:color="auto"/>
                    <w:right w:val="nil"/>
                  </w:tcBorders>
                  <w:shd w:val="clear" w:color="000000" w:fill="FFFFFF"/>
                  <w:vAlign w:val="center"/>
                  <w:hideMark/>
                </w:tcPr>
                <w:p w14:paraId="743AF462" w14:textId="0E99F43E" w:rsidR="00B41352" w:rsidRPr="00736668" w:rsidRDefault="00B41352" w:rsidP="00B768D9">
                  <w:pPr>
                    <w:spacing w:after="0" w:line="240" w:lineRule="auto"/>
                    <w:jc w:val="center"/>
                    <w:rPr>
                      <w:rFonts w:eastAsia="Times New Roman" w:cs="Times New Roman"/>
                      <w:b/>
                      <w:bCs/>
                      <w:color w:val="000000"/>
                      <w:sz w:val="18"/>
                      <w:szCs w:val="18"/>
                      <w:lang w:eastAsia="sk-SK"/>
                    </w:rPr>
                  </w:pPr>
                </w:p>
              </w:tc>
              <w:tc>
                <w:tcPr>
                  <w:tcW w:w="992" w:type="dxa"/>
                  <w:tcBorders>
                    <w:top w:val="nil"/>
                    <w:left w:val="nil"/>
                    <w:bottom w:val="single" w:sz="4" w:space="0" w:color="auto"/>
                    <w:right w:val="nil"/>
                  </w:tcBorders>
                  <w:shd w:val="clear" w:color="000000" w:fill="FFFFFF"/>
                  <w:noWrap/>
                  <w:vAlign w:val="center"/>
                  <w:hideMark/>
                </w:tcPr>
                <w:p w14:paraId="14BE48CB" w14:textId="77777777" w:rsidR="00B41352" w:rsidRPr="00736668" w:rsidRDefault="00B41352" w:rsidP="00B768D9">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2</w:t>
                  </w:r>
                </w:p>
              </w:tc>
              <w:tc>
                <w:tcPr>
                  <w:tcW w:w="1134" w:type="dxa"/>
                  <w:tcBorders>
                    <w:top w:val="nil"/>
                    <w:left w:val="nil"/>
                    <w:bottom w:val="single" w:sz="4" w:space="0" w:color="auto"/>
                    <w:right w:val="nil"/>
                  </w:tcBorders>
                  <w:shd w:val="clear" w:color="000000" w:fill="FFFFFF"/>
                  <w:noWrap/>
                  <w:vAlign w:val="center"/>
                  <w:hideMark/>
                </w:tcPr>
                <w:p w14:paraId="62FB4A84" w14:textId="77777777" w:rsidR="00B41352" w:rsidRPr="00736668" w:rsidRDefault="00B41352" w:rsidP="00B768D9">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4</w:t>
                  </w:r>
                </w:p>
              </w:tc>
              <w:tc>
                <w:tcPr>
                  <w:tcW w:w="992" w:type="dxa"/>
                  <w:tcBorders>
                    <w:top w:val="nil"/>
                    <w:left w:val="nil"/>
                    <w:bottom w:val="single" w:sz="4" w:space="0" w:color="auto"/>
                    <w:right w:val="nil"/>
                  </w:tcBorders>
                  <w:shd w:val="clear" w:color="000000" w:fill="FFFFFF"/>
                  <w:noWrap/>
                  <w:vAlign w:val="center"/>
                  <w:hideMark/>
                </w:tcPr>
                <w:p w14:paraId="5D66A1B0" w14:textId="77777777" w:rsidR="00B41352" w:rsidRPr="00736668" w:rsidRDefault="00B41352" w:rsidP="00B768D9">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3</w:t>
                  </w:r>
                </w:p>
              </w:tc>
              <w:tc>
                <w:tcPr>
                  <w:tcW w:w="992" w:type="dxa"/>
                  <w:tcBorders>
                    <w:top w:val="nil"/>
                    <w:left w:val="nil"/>
                    <w:bottom w:val="single" w:sz="4" w:space="0" w:color="auto"/>
                    <w:right w:val="nil"/>
                  </w:tcBorders>
                  <w:shd w:val="clear" w:color="000000" w:fill="FFFFFF"/>
                  <w:noWrap/>
                  <w:vAlign w:val="center"/>
                  <w:hideMark/>
                </w:tcPr>
                <w:p w14:paraId="4555C0D1" w14:textId="77777777" w:rsidR="00B41352" w:rsidRPr="00736668" w:rsidRDefault="00B41352" w:rsidP="00B768D9">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4</w:t>
                  </w:r>
                </w:p>
              </w:tc>
              <w:tc>
                <w:tcPr>
                  <w:tcW w:w="993" w:type="dxa"/>
                  <w:tcBorders>
                    <w:top w:val="nil"/>
                    <w:left w:val="nil"/>
                    <w:bottom w:val="single" w:sz="4" w:space="0" w:color="auto"/>
                    <w:right w:val="nil"/>
                  </w:tcBorders>
                  <w:shd w:val="clear" w:color="000000" w:fill="FFFFFF"/>
                  <w:noWrap/>
                  <w:vAlign w:val="center"/>
                  <w:hideMark/>
                </w:tcPr>
                <w:p w14:paraId="05D2F0A4" w14:textId="77777777" w:rsidR="00B41352" w:rsidRPr="00736668" w:rsidRDefault="00B41352" w:rsidP="00B768D9">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5=4-3</w:t>
                  </w:r>
                </w:p>
              </w:tc>
              <w:tc>
                <w:tcPr>
                  <w:tcW w:w="850" w:type="dxa"/>
                  <w:tcBorders>
                    <w:top w:val="nil"/>
                    <w:left w:val="nil"/>
                    <w:bottom w:val="single" w:sz="4" w:space="0" w:color="auto"/>
                    <w:right w:val="nil"/>
                  </w:tcBorders>
                  <w:shd w:val="clear" w:color="000000" w:fill="FFFFFF"/>
                  <w:noWrap/>
                  <w:vAlign w:val="center"/>
                  <w:hideMark/>
                </w:tcPr>
                <w:p w14:paraId="08666779" w14:textId="77777777" w:rsidR="00B41352" w:rsidRPr="00736668" w:rsidRDefault="00B41352" w:rsidP="00B768D9">
                  <w:pPr>
                    <w:spacing w:after="0" w:line="240" w:lineRule="auto"/>
                    <w:jc w:val="center"/>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6=4-3</w:t>
                  </w:r>
                </w:p>
              </w:tc>
            </w:tr>
            <w:tr w:rsidR="00736668" w:rsidRPr="00736668" w14:paraId="025AA3B5" w14:textId="77777777" w:rsidTr="00736668">
              <w:trPr>
                <w:trHeight w:val="345"/>
              </w:trPr>
              <w:tc>
                <w:tcPr>
                  <w:tcW w:w="3189" w:type="dxa"/>
                  <w:tcBorders>
                    <w:top w:val="nil"/>
                    <w:left w:val="nil"/>
                    <w:bottom w:val="nil"/>
                    <w:right w:val="nil"/>
                  </w:tcBorders>
                  <w:shd w:val="clear" w:color="auto" w:fill="auto"/>
                  <w:vAlign w:val="center"/>
                  <w:hideMark/>
                </w:tcPr>
                <w:p w14:paraId="1469539C" w14:textId="33EBAB05" w:rsidR="00736668" w:rsidRPr="00736668" w:rsidRDefault="00736668" w:rsidP="00B768D9">
                  <w:pPr>
                    <w:spacing w:after="0" w:line="240" w:lineRule="auto"/>
                    <w:rPr>
                      <w:rFonts w:eastAsia="Times New Roman" w:cs="Times New Roman"/>
                      <w:color w:val="000000"/>
                      <w:sz w:val="18"/>
                      <w:szCs w:val="18"/>
                      <w:lang w:eastAsia="sk-SK"/>
                    </w:rPr>
                  </w:pPr>
                  <w:bookmarkStart w:id="50" w:name="RANGE!B5"/>
                  <w:r w:rsidRPr="00736668">
                    <w:rPr>
                      <w:rFonts w:eastAsia="Times New Roman" w:cs="Times New Roman"/>
                      <w:color w:val="000000"/>
                      <w:sz w:val="18"/>
                      <w:szCs w:val="18"/>
                      <w:lang w:eastAsia="sk-SK"/>
                    </w:rPr>
                    <w:t>Sociálne dávky</w:t>
                  </w:r>
                  <w:bookmarkEnd w:id="50"/>
                </w:p>
              </w:tc>
              <w:tc>
                <w:tcPr>
                  <w:tcW w:w="992" w:type="dxa"/>
                  <w:tcBorders>
                    <w:top w:val="nil"/>
                    <w:left w:val="nil"/>
                    <w:bottom w:val="nil"/>
                    <w:right w:val="nil"/>
                  </w:tcBorders>
                  <w:shd w:val="clear" w:color="000000" w:fill="FFFFFF"/>
                  <w:vAlign w:val="center"/>
                  <w:hideMark/>
                </w:tcPr>
                <w:p w14:paraId="27B954B3"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2 369 906</w:t>
                  </w:r>
                </w:p>
              </w:tc>
              <w:tc>
                <w:tcPr>
                  <w:tcW w:w="1134" w:type="dxa"/>
                  <w:tcBorders>
                    <w:top w:val="nil"/>
                    <w:left w:val="nil"/>
                    <w:bottom w:val="nil"/>
                    <w:right w:val="nil"/>
                  </w:tcBorders>
                  <w:shd w:val="clear" w:color="auto" w:fill="auto"/>
                  <w:vAlign w:val="center"/>
                  <w:hideMark/>
                </w:tcPr>
                <w:p w14:paraId="0BF32661"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2 473 116</w:t>
                  </w:r>
                </w:p>
              </w:tc>
              <w:tc>
                <w:tcPr>
                  <w:tcW w:w="992" w:type="dxa"/>
                  <w:tcBorders>
                    <w:top w:val="nil"/>
                    <w:left w:val="nil"/>
                    <w:bottom w:val="nil"/>
                    <w:right w:val="nil"/>
                  </w:tcBorders>
                  <w:shd w:val="clear" w:color="auto" w:fill="auto"/>
                  <w:vAlign w:val="center"/>
                  <w:hideMark/>
                </w:tcPr>
                <w:p w14:paraId="0A14186E"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2 445 448</w:t>
                  </w:r>
                </w:p>
              </w:tc>
              <w:tc>
                <w:tcPr>
                  <w:tcW w:w="992" w:type="dxa"/>
                  <w:tcBorders>
                    <w:top w:val="nil"/>
                    <w:left w:val="nil"/>
                    <w:bottom w:val="nil"/>
                    <w:right w:val="nil"/>
                  </w:tcBorders>
                  <w:shd w:val="clear" w:color="000000" w:fill="FFFFFF"/>
                  <w:vAlign w:val="center"/>
                  <w:hideMark/>
                </w:tcPr>
                <w:p w14:paraId="3FF9E87C"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3 160 650</w:t>
                  </w:r>
                </w:p>
              </w:tc>
              <w:tc>
                <w:tcPr>
                  <w:tcW w:w="993" w:type="dxa"/>
                  <w:tcBorders>
                    <w:top w:val="nil"/>
                    <w:left w:val="nil"/>
                    <w:bottom w:val="nil"/>
                    <w:right w:val="nil"/>
                  </w:tcBorders>
                  <w:shd w:val="clear" w:color="auto" w:fill="auto"/>
                  <w:vAlign w:val="center"/>
                  <w:hideMark/>
                </w:tcPr>
                <w:p w14:paraId="7158C38C"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715 202</w:t>
                  </w:r>
                </w:p>
              </w:tc>
              <w:tc>
                <w:tcPr>
                  <w:tcW w:w="850" w:type="dxa"/>
                  <w:tcBorders>
                    <w:top w:val="nil"/>
                    <w:left w:val="nil"/>
                    <w:bottom w:val="nil"/>
                    <w:right w:val="nil"/>
                  </w:tcBorders>
                  <w:shd w:val="clear" w:color="auto" w:fill="auto"/>
                  <w:vAlign w:val="center"/>
                  <w:hideMark/>
                </w:tcPr>
                <w:p w14:paraId="7552BE47"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29,2</w:t>
                  </w:r>
                </w:p>
              </w:tc>
            </w:tr>
            <w:tr w:rsidR="00736668" w:rsidRPr="00736668" w14:paraId="025F37EE" w14:textId="77777777" w:rsidTr="00736668">
              <w:trPr>
                <w:trHeight w:val="630"/>
              </w:trPr>
              <w:tc>
                <w:tcPr>
                  <w:tcW w:w="3189" w:type="dxa"/>
                  <w:tcBorders>
                    <w:top w:val="nil"/>
                    <w:left w:val="nil"/>
                    <w:bottom w:val="nil"/>
                    <w:right w:val="nil"/>
                  </w:tcBorders>
                  <w:shd w:val="clear" w:color="auto" w:fill="auto"/>
                  <w:vAlign w:val="center"/>
                  <w:hideMark/>
                </w:tcPr>
                <w:p w14:paraId="6A46F83F" w14:textId="77777777" w:rsidR="00736668" w:rsidRPr="00736668" w:rsidRDefault="00736668" w:rsidP="00B768D9">
                  <w:pPr>
                    <w:spacing w:after="0" w:line="240" w:lineRule="auto"/>
                    <w:rPr>
                      <w:rFonts w:eastAsia="Times New Roman" w:cs="Times New Roman"/>
                      <w:color w:val="000000"/>
                      <w:sz w:val="18"/>
                      <w:szCs w:val="18"/>
                      <w:lang w:eastAsia="sk-SK"/>
                    </w:rPr>
                  </w:pPr>
                  <w:r w:rsidRPr="00736668">
                    <w:rPr>
                      <w:rFonts w:eastAsia="Times New Roman" w:cs="Times New Roman"/>
                      <w:color w:val="000000"/>
                      <w:sz w:val="18"/>
                      <w:szCs w:val="18"/>
                      <w:lang w:eastAsia="sk-SK"/>
                    </w:rPr>
                    <w:t xml:space="preserve">Transfery na platené poistné za skupiny osôb ustanovené zákonom </w:t>
                  </w:r>
                </w:p>
              </w:tc>
              <w:tc>
                <w:tcPr>
                  <w:tcW w:w="992" w:type="dxa"/>
                  <w:tcBorders>
                    <w:top w:val="nil"/>
                    <w:left w:val="nil"/>
                    <w:bottom w:val="nil"/>
                    <w:right w:val="nil"/>
                  </w:tcBorders>
                  <w:shd w:val="clear" w:color="000000" w:fill="FFFFFF"/>
                  <w:vAlign w:val="center"/>
                  <w:hideMark/>
                </w:tcPr>
                <w:p w14:paraId="3FAE6A25"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1 708 414</w:t>
                  </w:r>
                </w:p>
              </w:tc>
              <w:tc>
                <w:tcPr>
                  <w:tcW w:w="1134" w:type="dxa"/>
                  <w:tcBorders>
                    <w:top w:val="nil"/>
                    <w:left w:val="nil"/>
                    <w:bottom w:val="nil"/>
                    <w:right w:val="nil"/>
                  </w:tcBorders>
                  <w:shd w:val="clear" w:color="auto" w:fill="auto"/>
                  <w:vAlign w:val="center"/>
                  <w:hideMark/>
                </w:tcPr>
                <w:p w14:paraId="212AF572"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1 718 317</w:t>
                  </w:r>
                </w:p>
              </w:tc>
              <w:tc>
                <w:tcPr>
                  <w:tcW w:w="992" w:type="dxa"/>
                  <w:tcBorders>
                    <w:top w:val="nil"/>
                    <w:left w:val="nil"/>
                    <w:bottom w:val="nil"/>
                    <w:right w:val="nil"/>
                  </w:tcBorders>
                  <w:shd w:val="clear" w:color="auto" w:fill="auto"/>
                  <w:vAlign w:val="center"/>
                  <w:hideMark/>
                </w:tcPr>
                <w:p w14:paraId="0816CE64"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2 078 879</w:t>
                  </w:r>
                </w:p>
              </w:tc>
              <w:tc>
                <w:tcPr>
                  <w:tcW w:w="992" w:type="dxa"/>
                  <w:tcBorders>
                    <w:top w:val="nil"/>
                    <w:left w:val="nil"/>
                    <w:bottom w:val="nil"/>
                    <w:right w:val="nil"/>
                  </w:tcBorders>
                  <w:shd w:val="clear" w:color="000000" w:fill="FFFFFF"/>
                  <w:vAlign w:val="center"/>
                  <w:hideMark/>
                </w:tcPr>
                <w:p w14:paraId="6DF879BD"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2 534 129</w:t>
                  </w:r>
                </w:p>
              </w:tc>
              <w:tc>
                <w:tcPr>
                  <w:tcW w:w="993" w:type="dxa"/>
                  <w:tcBorders>
                    <w:top w:val="nil"/>
                    <w:left w:val="nil"/>
                    <w:bottom w:val="nil"/>
                    <w:right w:val="nil"/>
                  </w:tcBorders>
                  <w:shd w:val="clear" w:color="auto" w:fill="auto"/>
                  <w:vAlign w:val="center"/>
                  <w:hideMark/>
                </w:tcPr>
                <w:p w14:paraId="70633654"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455 250</w:t>
                  </w:r>
                </w:p>
              </w:tc>
              <w:tc>
                <w:tcPr>
                  <w:tcW w:w="850" w:type="dxa"/>
                  <w:tcBorders>
                    <w:top w:val="nil"/>
                    <w:left w:val="nil"/>
                    <w:bottom w:val="nil"/>
                    <w:right w:val="nil"/>
                  </w:tcBorders>
                  <w:shd w:val="clear" w:color="auto" w:fill="auto"/>
                  <w:vAlign w:val="center"/>
                  <w:hideMark/>
                </w:tcPr>
                <w:p w14:paraId="2928194C"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21,9</w:t>
                  </w:r>
                </w:p>
              </w:tc>
            </w:tr>
            <w:tr w:rsidR="00736668" w:rsidRPr="00736668" w14:paraId="12BBDE57" w14:textId="77777777" w:rsidTr="00736668">
              <w:trPr>
                <w:trHeight w:val="936"/>
              </w:trPr>
              <w:tc>
                <w:tcPr>
                  <w:tcW w:w="3189" w:type="dxa"/>
                  <w:tcBorders>
                    <w:top w:val="nil"/>
                    <w:left w:val="nil"/>
                    <w:bottom w:val="nil"/>
                    <w:right w:val="nil"/>
                  </w:tcBorders>
                  <w:shd w:val="clear" w:color="auto" w:fill="auto"/>
                  <w:vAlign w:val="center"/>
                  <w:hideMark/>
                </w:tcPr>
                <w:p w14:paraId="19F1453C" w14:textId="77777777" w:rsidR="00736668" w:rsidRPr="00736668" w:rsidRDefault="00736668" w:rsidP="00B768D9">
                  <w:pPr>
                    <w:spacing w:after="0" w:line="240" w:lineRule="auto"/>
                    <w:rPr>
                      <w:rFonts w:eastAsia="Times New Roman" w:cs="Times New Roman"/>
                      <w:color w:val="000000"/>
                      <w:sz w:val="18"/>
                      <w:szCs w:val="18"/>
                      <w:lang w:eastAsia="sk-SK"/>
                    </w:rPr>
                  </w:pPr>
                  <w:r w:rsidRPr="00736668">
                    <w:rPr>
                      <w:rFonts w:eastAsia="Times New Roman" w:cs="Times New Roman"/>
                      <w:color w:val="000000"/>
                      <w:sz w:val="18"/>
                      <w:szCs w:val="18"/>
                      <w:lang w:eastAsia="sk-SK"/>
                    </w:rPr>
                    <w:t>Transfery OZ, nadáciám, neziskovým organizáciám, polit. stranám a hnutiam, odborovým organizáciám, cirkev. a </w:t>
                  </w:r>
                  <w:proofErr w:type="spellStart"/>
                  <w:r w:rsidRPr="00736668">
                    <w:rPr>
                      <w:rFonts w:eastAsia="Times New Roman" w:cs="Times New Roman"/>
                      <w:color w:val="000000"/>
                      <w:sz w:val="18"/>
                      <w:szCs w:val="18"/>
                      <w:lang w:eastAsia="sk-SK"/>
                    </w:rPr>
                    <w:t>súkrom.školám</w:t>
                  </w:r>
                  <w:proofErr w:type="spellEnd"/>
                  <w:r w:rsidRPr="00736668">
                    <w:rPr>
                      <w:rFonts w:eastAsia="Times New Roman" w:cs="Times New Roman"/>
                      <w:color w:val="000000"/>
                      <w:sz w:val="18"/>
                      <w:szCs w:val="18"/>
                      <w:lang w:eastAsia="sk-SK"/>
                    </w:rPr>
                    <w:t>, cirkvám, náboženským spoločnostiam...</w:t>
                  </w:r>
                </w:p>
              </w:tc>
              <w:tc>
                <w:tcPr>
                  <w:tcW w:w="992" w:type="dxa"/>
                  <w:tcBorders>
                    <w:top w:val="nil"/>
                    <w:left w:val="nil"/>
                    <w:bottom w:val="nil"/>
                    <w:right w:val="nil"/>
                  </w:tcBorders>
                  <w:shd w:val="clear" w:color="000000" w:fill="FFFFFF"/>
                  <w:vAlign w:val="center"/>
                  <w:hideMark/>
                </w:tcPr>
                <w:p w14:paraId="57F9C2E0"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630 894</w:t>
                  </w:r>
                </w:p>
              </w:tc>
              <w:tc>
                <w:tcPr>
                  <w:tcW w:w="1134" w:type="dxa"/>
                  <w:tcBorders>
                    <w:top w:val="nil"/>
                    <w:left w:val="nil"/>
                    <w:bottom w:val="nil"/>
                    <w:right w:val="nil"/>
                  </w:tcBorders>
                  <w:shd w:val="clear" w:color="auto" w:fill="auto"/>
                  <w:vAlign w:val="center"/>
                  <w:hideMark/>
                </w:tcPr>
                <w:p w14:paraId="23B5DF12"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696 633</w:t>
                  </w:r>
                </w:p>
              </w:tc>
              <w:tc>
                <w:tcPr>
                  <w:tcW w:w="992" w:type="dxa"/>
                  <w:tcBorders>
                    <w:top w:val="nil"/>
                    <w:left w:val="nil"/>
                    <w:bottom w:val="nil"/>
                    <w:right w:val="nil"/>
                  </w:tcBorders>
                  <w:shd w:val="clear" w:color="auto" w:fill="auto"/>
                  <w:vAlign w:val="center"/>
                  <w:hideMark/>
                </w:tcPr>
                <w:p w14:paraId="133B8B43"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629 326</w:t>
                  </w:r>
                </w:p>
              </w:tc>
              <w:tc>
                <w:tcPr>
                  <w:tcW w:w="992" w:type="dxa"/>
                  <w:tcBorders>
                    <w:top w:val="nil"/>
                    <w:left w:val="nil"/>
                    <w:bottom w:val="nil"/>
                    <w:right w:val="nil"/>
                  </w:tcBorders>
                  <w:shd w:val="clear" w:color="000000" w:fill="FFFFFF"/>
                  <w:vAlign w:val="center"/>
                  <w:hideMark/>
                </w:tcPr>
                <w:p w14:paraId="6E5A3505"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850 315</w:t>
                  </w:r>
                </w:p>
              </w:tc>
              <w:tc>
                <w:tcPr>
                  <w:tcW w:w="993" w:type="dxa"/>
                  <w:tcBorders>
                    <w:top w:val="nil"/>
                    <w:left w:val="nil"/>
                    <w:bottom w:val="nil"/>
                    <w:right w:val="nil"/>
                  </w:tcBorders>
                  <w:shd w:val="clear" w:color="auto" w:fill="auto"/>
                  <w:vAlign w:val="center"/>
                  <w:hideMark/>
                </w:tcPr>
                <w:p w14:paraId="15B0FD0D"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220 989</w:t>
                  </w:r>
                </w:p>
              </w:tc>
              <w:tc>
                <w:tcPr>
                  <w:tcW w:w="850" w:type="dxa"/>
                  <w:tcBorders>
                    <w:top w:val="nil"/>
                    <w:left w:val="nil"/>
                    <w:bottom w:val="nil"/>
                    <w:right w:val="nil"/>
                  </w:tcBorders>
                  <w:shd w:val="clear" w:color="auto" w:fill="auto"/>
                  <w:vAlign w:val="center"/>
                  <w:hideMark/>
                </w:tcPr>
                <w:p w14:paraId="41E8957E"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35,1</w:t>
                  </w:r>
                </w:p>
              </w:tc>
            </w:tr>
            <w:tr w:rsidR="00736668" w:rsidRPr="00736668" w14:paraId="24E100BD" w14:textId="77777777" w:rsidTr="00736668">
              <w:trPr>
                <w:trHeight w:val="384"/>
              </w:trPr>
              <w:tc>
                <w:tcPr>
                  <w:tcW w:w="3189" w:type="dxa"/>
                  <w:tcBorders>
                    <w:top w:val="nil"/>
                    <w:left w:val="nil"/>
                    <w:bottom w:val="nil"/>
                    <w:right w:val="nil"/>
                  </w:tcBorders>
                  <w:shd w:val="clear" w:color="auto" w:fill="auto"/>
                  <w:vAlign w:val="center"/>
                  <w:hideMark/>
                </w:tcPr>
                <w:p w14:paraId="4C4D61BB" w14:textId="77777777" w:rsidR="00736668" w:rsidRPr="00736668" w:rsidRDefault="00736668" w:rsidP="00B768D9">
                  <w:pPr>
                    <w:spacing w:after="0" w:line="240" w:lineRule="auto"/>
                    <w:rPr>
                      <w:rFonts w:eastAsia="Times New Roman" w:cs="Times New Roman"/>
                      <w:color w:val="000000"/>
                      <w:sz w:val="18"/>
                      <w:szCs w:val="18"/>
                      <w:lang w:eastAsia="sk-SK"/>
                    </w:rPr>
                  </w:pPr>
                  <w:r w:rsidRPr="00736668">
                    <w:rPr>
                      <w:rFonts w:eastAsia="Times New Roman" w:cs="Times New Roman"/>
                      <w:color w:val="000000"/>
                      <w:sz w:val="18"/>
                      <w:szCs w:val="18"/>
                      <w:lang w:eastAsia="sk-SK"/>
                    </w:rPr>
                    <w:t>Ostatné transfery</w:t>
                  </w:r>
                </w:p>
              </w:tc>
              <w:tc>
                <w:tcPr>
                  <w:tcW w:w="992" w:type="dxa"/>
                  <w:tcBorders>
                    <w:top w:val="nil"/>
                    <w:left w:val="nil"/>
                    <w:bottom w:val="nil"/>
                    <w:right w:val="nil"/>
                  </w:tcBorders>
                  <w:shd w:val="clear" w:color="000000" w:fill="FFFFFF"/>
                  <w:vAlign w:val="center"/>
                  <w:hideMark/>
                </w:tcPr>
                <w:p w14:paraId="4FAB30A1"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529 899</w:t>
                  </w:r>
                </w:p>
              </w:tc>
              <w:tc>
                <w:tcPr>
                  <w:tcW w:w="1134" w:type="dxa"/>
                  <w:tcBorders>
                    <w:top w:val="nil"/>
                    <w:left w:val="nil"/>
                    <w:bottom w:val="nil"/>
                    <w:right w:val="nil"/>
                  </w:tcBorders>
                  <w:shd w:val="clear" w:color="auto" w:fill="auto"/>
                  <w:vAlign w:val="center"/>
                  <w:hideMark/>
                </w:tcPr>
                <w:p w14:paraId="75756754"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217 775</w:t>
                  </w:r>
                </w:p>
              </w:tc>
              <w:tc>
                <w:tcPr>
                  <w:tcW w:w="992" w:type="dxa"/>
                  <w:tcBorders>
                    <w:top w:val="nil"/>
                    <w:left w:val="nil"/>
                    <w:bottom w:val="nil"/>
                    <w:right w:val="nil"/>
                  </w:tcBorders>
                  <w:shd w:val="clear" w:color="auto" w:fill="auto"/>
                  <w:vAlign w:val="center"/>
                  <w:hideMark/>
                </w:tcPr>
                <w:p w14:paraId="3409EF5D"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1 553 946</w:t>
                  </w:r>
                </w:p>
              </w:tc>
              <w:tc>
                <w:tcPr>
                  <w:tcW w:w="992" w:type="dxa"/>
                  <w:tcBorders>
                    <w:top w:val="nil"/>
                    <w:left w:val="nil"/>
                    <w:bottom w:val="nil"/>
                    <w:right w:val="nil"/>
                  </w:tcBorders>
                  <w:shd w:val="clear" w:color="000000" w:fill="FFFFFF"/>
                  <w:vAlign w:val="center"/>
                  <w:hideMark/>
                </w:tcPr>
                <w:p w14:paraId="7C308159"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224 152</w:t>
                  </w:r>
                </w:p>
              </w:tc>
              <w:tc>
                <w:tcPr>
                  <w:tcW w:w="993" w:type="dxa"/>
                  <w:tcBorders>
                    <w:top w:val="nil"/>
                    <w:left w:val="nil"/>
                    <w:bottom w:val="nil"/>
                    <w:right w:val="nil"/>
                  </w:tcBorders>
                  <w:shd w:val="clear" w:color="auto" w:fill="auto"/>
                  <w:vAlign w:val="center"/>
                  <w:hideMark/>
                </w:tcPr>
                <w:p w14:paraId="6BDF26DE"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-1 329 794</w:t>
                  </w:r>
                </w:p>
              </w:tc>
              <w:tc>
                <w:tcPr>
                  <w:tcW w:w="850" w:type="dxa"/>
                  <w:tcBorders>
                    <w:top w:val="nil"/>
                    <w:left w:val="nil"/>
                    <w:bottom w:val="nil"/>
                    <w:right w:val="nil"/>
                  </w:tcBorders>
                  <w:shd w:val="clear" w:color="auto" w:fill="auto"/>
                  <w:vAlign w:val="center"/>
                  <w:hideMark/>
                </w:tcPr>
                <w:p w14:paraId="6AE31672"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-85,6</w:t>
                  </w:r>
                </w:p>
              </w:tc>
            </w:tr>
            <w:tr w:rsidR="00736668" w:rsidRPr="00736668" w14:paraId="4BB0EE20" w14:textId="77777777" w:rsidTr="00736668">
              <w:trPr>
                <w:trHeight w:val="348"/>
              </w:trPr>
              <w:tc>
                <w:tcPr>
                  <w:tcW w:w="3189" w:type="dxa"/>
                  <w:tcBorders>
                    <w:top w:val="nil"/>
                    <w:left w:val="nil"/>
                    <w:bottom w:val="nil"/>
                    <w:right w:val="nil"/>
                  </w:tcBorders>
                  <w:shd w:val="clear" w:color="auto" w:fill="auto"/>
                  <w:vAlign w:val="center"/>
                  <w:hideMark/>
                </w:tcPr>
                <w:p w14:paraId="66E606BC" w14:textId="77777777" w:rsidR="00736668" w:rsidRPr="00736668" w:rsidRDefault="00736668" w:rsidP="00B768D9">
                  <w:pPr>
                    <w:spacing w:after="0" w:line="240" w:lineRule="auto"/>
                    <w:rPr>
                      <w:rFonts w:eastAsia="Times New Roman" w:cs="Times New Roman"/>
                      <w:color w:val="000000"/>
                      <w:sz w:val="18"/>
                      <w:szCs w:val="18"/>
                      <w:lang w:eastAsia="sk-SK"/>
                    </w:rPr>
                  </w:pPr>
                  <w:r w:rsidRPr="00736668">
                    <w:rPr>
                      <w:rFonts w:eastAsia="Times New Roman" w:cs="Times New Roman"/>
                      <w:color w:val="000000"/>
                      <w:sz w:val="18"/>
                      <w:szCs w:val="18"/>
                      <w:lang w:eastAsia="sk-SK"/>
                    </w:rPr>
                    <w:t>Na aktívne opatrenia trhu práce</w:t>
                  </w:r>
                </w:p>
              </w:tc>
              <w:tc>
                <w:tcPr>
                  <w:tcW w:w="992" w:type="dxa"/>
                  <w:tcBorders>
                    <w:top w:val="nil"/>
                    <w:left w:val="nil"/>
                    <w:bottom w:val="nil"/>
                    <w:right w:val="nil"/>
                  </w:tcBorders>
                  <w:shd w:val="clear" w:color="000000" w:fill="FFFFFF"/>
                  <w:vAlign w:val="center"/>
                  <w:hideMark/>
                </w:tcPr>
                <w:p w14:paraId="219D3D5B"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105 626</w:t>
                  </w:r>
                </w:p>
              </w:tc>
              <w:tc>
                <w:tcPr>
                  <w:tcW w:w="1134" w:type="dxa"/>
                  <w:tcBorders>
                    <w:top w:val="nil"/>
                    <w:left w:val="nil"/>
                    <w:bottom w:val="nil"/>
                    <w:right w:val="nil"/>
                  </w:tcBorders>
                  <w:shd w:val="clear" w:color="auto" w:fill="auto"/>
                  <w:vAlign w:val="center"/>
                  <w:hideMark/>
                </w:tcPr>
                <w:p w14:paraId="2847847B"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143 078</w:t>
                  </w:r>
                </w:p>
              </w:tc>
              <w:tc>
                <w:tcPr>
                  <w:tcW w:w="992" w:type="dxa"/>
                  <w:tcBorders>
                    <w:top w:val="nil"/>
                    <w:left w:val="nil"/>
                    <w:bottom w:val="nil"/>
                    <w:right w:val="nil"/>
                  </w:tcBorders>
                  <w:shd w:val="clear" w:color="auto" w:fill="auto"/>
                  <w:vAlign w:val="center"/>
                  <w:hideMark/>
                </w:tcPr>
                <w:p w14:paraId="5AB233E8"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169 405</w:t>
                  </w:r>
                </w:p>
              </w:tc>
              <w:tc>
                <w:tcPr>
                  <w:tcW w:w="992" w:type="dxa"/>
                  <w:tcBorders>
                    <w:top w:val="nil"/>
                    <w:left w:val="nil"/>
                    <w:bottom w:val="nil"/>
                    <w:right w:val="nil"/>
                  </w:tcBorders>
                  <w:shd w:val="clear" w:color="000000" w:fill="FFFFFF"/>
                  <w:vAlign w:val="center"/>
                  <w:hideMark/>
                </w:tcPr>
                <w:p w14:paraId="017E213A"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187 913</w:t>
                  </w:r>
                </w:p>
              </w:tc>
              <w:tc>
                <w:tcPr>
                  <w:tcW w:w="993" w:type="dxa"/>
                  <w:tcBorders>
                    <w:top w:val="nil"/>
                    <w:left w:val="nil"/>
                    <w:bottom w:val="nil"/>
                    <w:right w:val="nil"/>
                  </w:tcBorders>
                  <w:shd w:val="clear" w:color="auto" w:fill="auto"/>
                  <w:vAlign w:val="center"/>
                  <w:hideMark/>
                </w:tcPr>
                <w:p w14:paraId="5ECD6EA8"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18 508</w:t>
                  </w:r>
                </w:p>
              </w:tc>
              <w:tc>
                <w:tcPr>
                  <w:tcW w:w="850" w:type="dxa"/>
                  <w:tcBorders>
                    <w:top w:val="nil"/>
                    <w:left w:val="nil"/>
                    <w:bottom w:val="nil"/>
                    <w:right w:val="nil"/>
                  </w:tcBorders>
                  <w:shd w:val="clear" w:color="auto" w:fill="auto"/>
                  <w:vAlign w:val="center"/>
                  <w:hideMark/>
                </w:tcPr>
                <w:p w14:paraId="0A1B12E7"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10,9</w:t>
                  </w:r>
                </w:p>
              </w:tc>
            </w:tr>
            <w:tr w:rsidR="00736668" w:rsidRPr="00736668" w14:paraId="0D37608E" w14:textId="77777777" w:rsidTr="00736668">
              <w:trPr>
                <w:trHeight w:val="348"/>
              </w:trPr>
              <w:tc>
                <w:tcPr>
                  <w:tcW w:w="3189" w:type="dxa"/>
                  <w:tcBorders>
                    <w:top w:val="nil"/>
                    <w:left w:val="nil"/>
                    <w:bottom w:val="nil"/>
                    <w:right w:val="nil"/>
                  </w:tcBorders>
                  <w:shd w:val="clear" w:color="auto" w:fill="auto"/>
                  <w:vAlign w:val="center"/>
                  <w:hideMark/>
                </w:tcPr>
                <w:p w14:paraId="5DAC2308" w14:textId="77777777" w:rsidR="00736668" w:rsidRPr="00736668" w:rsidRDefault="00736668" w:rsidP="00B768D9">
                  <w:pPr>
                    <w:spacing w:after="0" w:line="240" w:lineRule="auto"/>
                    <w:rPr>
                      <w:rFonts w:eastAsia="Times New Roman" w:cs="Times New Roman"/>
                      <w:color w:val="000000"/>
                      <w:sz w:val="18"/>
                      <w:szCs w:val="18"/>
                      <w:lang w:eastAsia="sk-SK"/>
                    </w:rPr>
                  </w:pPr>
                  <w:r w:rsidRPr="00736668">
                    <w:rPr>
                      <w:rFonts w:eastAsia="Times New Roman" w:cs="Times New Roman"/>
                      <w:color w:val="000000"/>
                      <w:sz w:val="18"/>
                      <w:szCs w:val="18"/>
                      <w:lang w:eastAsia="sk-SK"/>
                    </w:rPr>
                    <w:t>Jednotlivcom</w:t>
                  </w:r>
                </w:p>
              </w:tc>
              <w:tc>
                <w:tcPr>
                  <w:tcW w:w="992" w:type="dxa"/>
                  <w:tcBorders>
                    <w:top w:val="nil"/>
                    <w:left w:val="nil"/>
                    <w:bottom w:val="nil"/>
                    <w:right w:val="nil"/>
                  </w:tcBorders>
                  <w:shd w:val="clear" w:color="000000" w:fill="FFFFFF"/>
                  <w:vAlign w:val="center"/>
                  <w:hideMark/>
                </w:tcPr>
                <w:p w14:paraId="2FC8C8D7"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428 348</w:t>
                  </w:r>
                </w:p>
              </w:tc>
              <w:tc>
                <w:tcPr>
                  <w:tcW w:w="1134" w:type="dxa"/>
                  <w:tcBorders>
                    <w:top w:val="nil"/>
                    <w:left w:val="nil"/>
                    <w:bottom w:val="nil"/>
                    <w:right w:val="nil"/>
                  </w:tcBorders>
                  <w:shd w:val="clear" w:color="auto" w:fill="auto"/>
                  <w:vAlign w:val="center"/>
                  <w:hideMark/>
                </w:tcPr>
                <w:p w14:paraId="44CDBF44"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97 705</w:t>
                  </w:r>
                </w:p>
              </w:tc>
              <w:tc>
                <w:tcPr>
                  <w:tcW w:w="992" w:type="dxa"/>
                  <w:tcBorders>
                    <w:top w:val="nil"/>
                    <w:left w:val="nil"/>
                    <w:bottom w:val="nil"/>
                    <w:right w:val="nil"/>
                  </w:tcBorders>
                  <w:shd w:val="clear" w:color="auto" w:fill="auto"/>
                  <w:vAlign w:val="center"/>
                  <w:hideMark/>
                </w:tcPr>
                <w:p w14:paraId="242F6168"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55 461</w:t>
                  </w:r>
                </w:p>
              </w:tc>
              <w:tc>
                <w:tcPr>
                  <w:tcW w:w="992" w:type="dxa"/>
                  <w:tcBorders>
                    <w:top w:val="nil"/>
                    <w:left w:val="nil"/>
                    <w:bottom w:val="nil"/>
                    <w:right w:val="nil"/>
                  </w:tcBorders>
                  <w:shd w:val="clear" w:color="000000" w:fill="FFFFFF"/>
                  <w:vAlign w:val="center"/>
                  <w:hideMark/>
                </w:tcPr>
                <w:p w14:paraId="48B8941E"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74 085</w:t>
                  </w:r>
                </w:p>
              </w:tc>
              <w:tc>
                <w:tcPr>
                  <w:tcW w:w="993" w:type="dxa"/>
                  <w:tcBorders>
                    <w:top w:val="nil"/>
                    <w:left w:val="nil"/>
                    <w:bottom w:val="nil"/>
                    <w:right w:val="nil"/>
                  </w:tcBorders>
                  <w:shd w:val="clear" w:color="auto" w:fill="auto"/>
                  <w:vAlign w:val="center"/>
                  <w:hideMark/>
                </w:tcPr>
                <w:p w14:paraId="6C172BB9"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18 624</w:t>
                  </w:r>
                </w:p>
              </w:tc>
              <w:tc>
                <w:tcPr>
                  <w:tcW w:w="850" w:type="dxa"/>
                  <w:tcBorders>
                    <w:top w:val="nil"/>
                    <w:left w:val="nil"/>
                    <w:bottom w:val="nil"/>
                    <w:right w:val="nil"/>
                  </w:tcBorders>
                  <w:shd w:val="clear" w:color="auto" w:fill="auto"/>
                  <w:vAlign w:val="center"/>
                  <w:hideMark/>
                </w:tcPr>
                <w:p w14:paraId="4FF53677"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33,6</w:t>
                  </w:r>
                </w:p>
              </w:tc>
            </w:tr>
            <w:tr w:rsidR="00736668" w:rsidRPr="00736668" w14:paraId="1E74D02F" w14:textId="77777777" w:rsidTr="00736668">
              <w:trPr>
                <w:trHeight w:val="348"/>
              </w:trPr>
              <w:tc>
                <w:tcPr>
                  <w:tcW w:w="3189" w:type="dxa"/>
                  <w:tcBorders>
                    <w:top w:val="nil"/>
                    <w:left w:val="nil"/>
                    <w:bottom w:val="nil"/>
                    <w:right w:val="nil"/>
                  </w:tcBorders>
                  <w:shd w:val="clear" w:color="auto" w:fill="auto"/>
                  <w:vAlign w:val="center"/>
                  <w:hideMark/>
                </w:tcPr>
                <w:p w14:paraId="207FDB97" w14:textId="77777777" w:rsidR="00736668" w:rsidRPr="00736668" w:rsidRDefault="00736668" w:rsidP="00B768D9">
                  <w:pPr>
                    <w:spacing w:after="0" w:line="240" w:lineRule="auto"/>
                    <w:rPr>
                      <w:rFonts w:eastAsia="Times New Roman" w:cs="Times New Roman"/>
                      <w:color w:val="000000"/>
                      <w:sz w:val="18"/>
                      <w:szCs w:val="18"/>
                      <w:lang w:eastAsia="sk-SK"/>
                    </w:rPr>
                  </w:pPr>
                  <w:r w:rsidRPr="00736668">
                    <w:rPr>
                      <w:rFonts w:eastAsia="Times New Roman" w:cs="Times New Roman"/>
                      <w:color w:val="000000"/>
                      <w:sz w:val="18"/>
                      <w:szCs w:val="18"/>
                      <w:lang w:eastAsia="sk-SK"/>
                    </w:rPr>
                    <w:t>Príspevok na osobitný účet</w:t>
                  </w:r>
                </w:p>
              </w:tc>
              <w:tc>
                <w:tcPr>
                  <w:tcW w:w="992" w:type="dxa"/>
                  <w:tcBorders>
                    <w:top w:val="nil"/>
                    <w:left w:val="nil"/>
                    <w:bottom w:val="nil"/>
                    <w:right w:val="nil"/>
                  </w:tcBorders>
                  <w:shd w:val="clear" w:color="000000" w:fill="FFFFFF"/>
                  <w:vAlign w:val="center"/>
                  <w:hideMark/>
                </w:tcPr>
                <w:p w14:paraId="6417E594"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52 293</w:t>
                  </w:r>
                </w:p>
              </w:tc>
              <w:tc>
                <w:tcPr>
                  <w:tcW w:w="1134" w:type="dxa"/>
                  <w:tcBorders>
                    <w:top w:val="nil"/>
                    <w:left w:val="nil"/>
                    <w:bottom w:val="nil"/>
                    <w:right w:val="nil"/>
                  </w:tcBorders>
                  <w:shd w:val="clear" w:color="auto" w:fill="auto"/>
                  <w:vAlign w:val="center"/>
                  <w:hideMark/>
                </w:tcPr>
                <w:p w14:paraId="03CF41AD"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62 669</w:t>
                  </w:r>
                </w:p>
              </w:tc>
              <w:tc>
                <w:tcPr>
                  <w:tcW w:w="992" w:type="dxa"/>
                  <w:tcBorders>
                    <w:top w:val="nil"/>
                    <w:left w:val="nil"/>
                    <w:bottom w:val="nil"/>
                    <w:right w:val="nil"/>
                  </w:tcBorders>
                  <w:shd w:val="clear" w:color="auto" w:fill="auto"/>
                  <w:vAlign w:val="center"/>
                  <w:hideMark/>
                </w:tcPr>
                <w:p w14:paraId="41173455"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69 094</w:t>
                  </w:r>
                </w:p>
              </w:tc>
              <w:tc>
                <w:tcPr>
                  <w:tcW w:w="992" w:type="dxa"/>
                  <w:tcBorders>
                    <w:top w:val="nil"/>
                    <w:left w:val="nil"/>
                    <w:bottom w:val="nil"/>
                    <w:right w:val="nil"/>
                  </w:tcBorders>
                  <w:shd w:val="clear" w:color="000000" w:fill="FFFFFF"/>
                  <w:vAlign w:val="center"/>
                  <w:hideMark/>
                </w:tcPr>
                <w:p w14:paraId="323F7A58"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74 007</w:t>
                  </w:r>
                </w:p>
              </w:tc>
              <w:tc>
                <w:tcPr>
                  <w:tcW w:w="993" w:type="dxa"/>
                  <w:tcBorders>
                    <w:top w:val="nil"/>
                    <w:left w:val="nil"/>
                    <w:bottom w:val="single" w:sz="4" w:space="0" w:color="auto"/>
                    <w:right w:val="nil"/>
                  </w:tcBorders>
                  <w:shd w:val="clear" w:color="auto" w:fill="auto"/>
                  <w:vAlign w:val="center"/>
                  <w:hideMark/>
                </w:tcPr>
                <w:p w14:paraId="48455729"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4 913</w:t>
                  </w:r>
                </w:p>
              </w:tc>
              <w:tc>
                <w:tcPr>
                  <w:tcW w:w="850" w:type="dxa"/>
                  <w:tcBorders>
                    <w:top w:val="nil"/>
                    <w:left w:val="nil"/>
                    <w:bottom w:val="single" w:sz="4" w:space="0" w:color="auto"/>
                    <w:right w:val="nil"/>
                  </w:tcBorders>
                  <w:shd w:val="clear" w:color="auto" w:fill="auto"/>
                  <w:vAlign w:val="center"/>
                  <w:hideMark/>
                </w:tcPr>
                <w:p w14:paraId="272DADE4"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7,1</w:t>
                  </w:r>
                </w:p>
              </w:tc>
            </w:tr>
            <w:tr w:rsidR="00736668" w:rsidRPr="00736668" w14:paraId="35DC9188" w14:textId="77777777" w:rsidTr="00736668">
              <w:trPr>
                <w:trHeight w:val="276"/>
              </w:trPr>
              <w:tc>
                <w:tcPr>
                  <w:tcW w:w="3189" w:type="dxa"/>
                  <w:tcBorders>
                    <w:top w:val="single" w:sz="4" w:space="0" w:color="auto"/>
                    <w:left w:val="nil"/>
                    <w:bottom w:val="single" w:sz="4" w:space="0" w:color="auto"/>
                    <w:right w:val="nil"/>
                  </w:tcBorders>
                  <w:shd w:val="clear" w:color="auto" w:fill="auto"/>
                  <w:vAlign w:val="center"/>
                  <w:hideMark/>
                </w:tcPr>
                <w:p w14:paraId="02635213" w14:textId="77777777" w:rsidR="00736668" w:rsidRPr="00736668" w:rsidRDefault="00736668" w:rsidP="00B768D9">
                  <w:pPr>
                    <w:spacing w:after="0" w:line="240" w:lineRule="auto"/>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Spolu</w:t>
                  </w:r>
                </w:p>
              </w:tc>
              <w:tc>
                <w:tcPr>
                  <w:tcW w:w="992" w:type="dxa"/>
                  <w:tcBorders>
                    <w:top w:val="single" w:sz="4" w:space="0" w:color="auto"/>
                    <w:left w:val="nil"/>
                    <w:bottom w:val="single" w:sz="4" w:space="0" w:color="auto"/>
                    <w:right w:val="nil"/>
                  </w:tcBorders>
                  <w:shd w:val="clear" w:color="auto" w:fill="auto"/>
                  <w:vAlign w:val="center"/>
                  <w:hideMark/>
                </w:tcPr>
                <w:p w14:paraId="375062D1" w14:textId="77777777" w:rsidR="00736668" w:rsidRPr="00736668" w:rsidRDefault="00736668" w:rsidP="00B768D9">
                  <w:pPr>
                    <w:spacing w:after="0" w:line="240" w:lineRule="auto"/>
                    <w:jc w:val="righ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5 825 380</w:t>
                  </w:r>
                </w:p>
              </w:tc>
              <w:tc>
                <w:tcPr>
                  <w:tcW w:w="1134" w:type="dxa"/>
                  <w:tcBorders>
                    <w:top w:val="single" w:sz="4" w:space="0" w:color="auto"/>
                    <w:left w:val="nil"/>
                    <w:bottom w:val="single" w:sz="4" w:space="0" w:color="auto"/>
                    <w:right w:val="nil"/>
                  </w:tcBorders>
                  <w:shd w:val="clear" w:color="auto" w:fill="auto"/>
                  <w:vAlign w:val="center"/>
                  <w:hideMark/>
                </w:tcPr>
                <w:p w14:paraId="21EBC372" w14:textId="77777777" w:rsidR="00736668" w:rsidRPr="00736668" w:rsidRDefault="00736668" w:rsidP="00B768D9">
                  <w:pPr>
                    <w:spacing w:after="0" w:line="240" w:lineRule="auto"/>
                    <w:jc w:val="righ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5 409 293</w:t>
                  </w:r>
                </w:p>
              </w:tc>
              <w:tc>
                <w:tcPr>
                  <w:tcW w:w="992" w:type="dxa"/>
                  <w:tcBorders>
                    <w:top w:val="single" w:sz="4" w:space="0" w:color="auto"/>
                    <w:left w:val="nil"/>
                    <w:bottom w:val="single" w:sz="4" w:space="0" w:color="auto"/>
                    <w:right w:val="nil"/>
                  </w:tcBorders>
                  <w:shd w:val="clear" w:color="auto" w:fill="auto"/>
                  <w:vAlign w:val="center"/>
                  <w:hideMark/>
                </w:tcPr>
                <w:p w14:paraId="6CB5BCE2" w14:textId="77777777" w:rsidR="00736668" w:rsidRPr="00736668" w:rsidRDefault="00736668" w:rsidP="00B768D9">
                  <w:pPr>
                    <w:spacing w:after="0" w:line="240" w:lineRule="auto"/>
                    <w:jc w:val="righ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7 001 559</w:t>
                  </w:r>
                </w:p>
              </w:tc>
              <w:tc>
                <w:tcPr>
                  <w:tcW w:w="992" w:type="dxa"/>
                  <w:tcBorders>
                    <w:top w:val="single" w:sz="4" w:space="0" w:color="auto"/>
                    <w:left w:val="nil"/>
                    <w:bottom w:val="single" w:sz="4" w:space="0" w:color="auto"/>
                    <w:right w:val="nil"/>
                  </w:tcBorders>
                  <w:shd w:val="clear" w:color="auto" w:fill="auto"/>
                  <w:vAlign w:val="center"/>
                  <w:hideMark/>
                </w:tcPr>
                <w:p w14:paraId="131C2D74" w14:textId="77777777" w:rsidR="00736668" w:rsidRPr="00736668" w:rsidRDefault="00736668" w:rsidP="00B768D9">
                  <w:pPr>
                    <w:spacing w:after="0" w:line="240" w:lineRule="auto"/>
                    <w:jc w:val="righ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7 105 251</w:t>
                  </w:r>
                </w:p>
              </w:tc>
              <w:tc>
                <w:tcPr>
                  <w:tcW w:w="993" w:type="dxa"/>
                  <w:tcBorders>
                    <w:top w:val="nil"/>
                    <w:left w:val="nil"/>
                    <w:bottom w:val="single" w:sz="4" w:space="0" w:color="auto"/>
                    <w:right w:val="nil"/>
                  </w:tcBorders>
                  <w:shd w:val="clear" w:color="auto" w:fill="auto"/>
                  <w:vAlign w:val="center"/>
                  <w:hideMark/>
                </w:tcPr>
                <w:p w14:paraId="3B087EA7" w14:textId="77777777" w:rsidR="00736668" w:rsidRPr="00736668" w:rsidRDefault="00736668" w:rsidP="00B768D9">
                  <w:pPr>
                    <w:spacing w:after="0" w:line="240" w:lineRule="auto"/>
                    <w:jc w:val="right"/>
                    <w:rPr>
                      <w:rFonts w:eastAsia="Times New Roman" w:cs="Times New Roman"/>
                      <w:b/>
                      <w:bCs/>
                      <w:color w:val="000000"/>
                      <w:sz w:val="18"/>
                      <w:szCs w:val="18"/>
                      <w:lang w:eastAsia="sk-SK"/>
                    </w:rPr>
                  </w:pPr>
                  <w:r w:rsidRPr="00736668">
                    <w:rPr>
                      <w:rFonts w:eastAsia="Times New Roman" w:cs="Times New Roman"/>
                      <w:b/>
                      <w:bCs/>
                      <w:color w:val="000000"/>
                      <w:sz w:val="18"/>
                      <w:szCs w:val="18"/>
                      <w:lang w:eastAsia="sk-SK"/>
                    </w:rPr>
                    <w:t>103 692</w:t>
                  </w:r>
                </w:p>
              </w:tc>
              <w:tc>
                <w:tcPr>
                  <w:tcW w:w="850" w:type="dxa"/>
                  <w:tcBorders>
                    <w:top w:val="nil"/>
                    <w:left w:val="nil"/>
                    <w:bottom w:val="single" w:sz="4" w:space="0" w:color="auto"/>
                    <w:right w:val="nil"/>
                  </w:tcBorders>
                  <w:shd w:val="clear" w:color="auto" w:fill="auto"/>
                  <w:vAlign w:val="center"/>
                  <w:hideMark/>
                </w:tcPr>
                <w:p w14:paraId="4FEF9965" w14:textId="77777777" w:rsidR="00736668" w:rsidRPr="00736668" w:rsidRDefault="00736668" w:rsidP="00B768D9">
                  <w:pPr>
                    <w:spacing w:after="0" w:line="240" w:lineRule="auto"/>
                    <w:jc w:val="right"/>
                    <w:rPr>
                      <w:rFonts w:eastAsia="Times New Roman" w:cs="Times New Roman"/>
                      <w:color w:val="000000"/>
                      <w:sz w:val="18"/>
                      <w:szCs w:val="18"/>
                      <w:lang w:eastAsia="sk-SK"/>
                    </w:rPr>
                  </w:pPr>
                  <w:r w:rsidRPr="00736668">
                    <w:rPr>
                      <w:rFonts w:eastAsia="Times New Roman" w:cs="Times New Roman"/>
                      <w:color w:val="000000"/>
                      <w:sz w:val="18"/>
                      <w:szCs w:val="18"/>
                      <w:lang w:eastAsia="sk-SK"/>
                    </w:rPr>
                    <w:t>1,5</w:t>
                  </w:r>
                </w:p>
              </w:tc>
            </w:tr>
          </w:tbl>
          <w:p w14:paraId="69C7E013" w14:textId="0910EFBE" w:rsidR="00736668" w:rsidRPr="00736668" w:rsidRDefault="00736668" w:rsidP="006151CA">
            <w:pPr>
              <w:spacing w:line="240" w:lineRule="auto"/>
              <w:jc w:val="right"/>
              <w:rPr>
                <w:rFonts w:eastAsia="Times New Roman" w:cs="Times New Roman"/>
                <w:bCs/>
                <w:sz w:val="18"/>
                <w:szCs w:val="18"/>
                <w:lang w:eastAsia="sk-SK"/>
              </w:rPr>
            </w:pPr>
            <w:r w:rsidRPr="00736668">
              <w:rPr>
                <w:rFonts w:eastAsia="Times New Roman" w:cs="Times New Roman"/>
                <w:bCs/>
                <w:sz w:val="18"/>
                <w:szCs w:val="18"/>
                <w:lang w:eastAsia="sk-SK"/>
              </w:rPr>
              <w:t>Zdroj: MF SR</w:t>
            </w:r>
          </w:p>
        </w:tc>
      </w:tr>
    </w:tbl>
    <w:p w14:paraId="405B319A" w14:textId="51AF8712" w:rsidR="009B204F" w:rsidRPr="009B204F" w:rsidRDefault="009B204F" w:rsidP="009B204F">
      <w:pPr>
        <w:spacing w:before="120" w:line="240" w:lineRule="auto"/>
        <w:rPr>
          <w:rFonts w:eastAsia="Calibri" w:cs="Times New Roman"/>
          <w:sz w:val="24"/>
          <w:szCs w:val="24"/>
        </w:rPr>
      </w:pPr>
      <w:r w:rsidRPr="009B204F">
        <w:rPr>
          <w:rFonts w:eastAsia="Calibri" w:cs="Times New Roman"/>
          <w:b/>
          <w:i/>
          <w:sz w:val="24"/>
          <w:szCs w:val="24"/>
        </w:rPr>
        <w:t>Sociálne dávky</w:t>
      </w:r>
      <w:r w:rsidRPr="009B204F">
        <w:rPr>
          <w:rFonts w:eastAsia="Calibri" w:cs="Times New Roman"/>
          <w:sz w:val="24"/>
          <w:szCs w:val="24"/>
        </w:rPr>
        <w:t xml:space="preserve"> boli čerpané v objeme 3 160 650 tis. eur, čo je v porovnaní s rokom 2022 o 687 534 tis. eur viac. Skutočné čerpanie bolo o 715 202 tis. eur vyššie oproti schválenému rozpočtu, najmä z dôvodu, že v priebehu roka bol rozpočet navýšený v zmysle legislatívnych zmien, ktoré nadobudli účinnosť v priebehu rozpočtového roka, ako aj z dôvodu, že súčasťou schváleného rozpočtu neboli prostriedky Európskej únie, ktoré boli presunuté z roku 2022. Tie prešli až do upraveného rozpočtu. Najväčší objem výdavkov v rámci sociálnych dávok realizovala kapitola </w:t>
      </w:r>
      <w:r w:rsidRPr="009B204F">
        <w:rPr>
          <w:rFonts w:eastAsia="Calibri" w:cs="Times New Roman"/>
          <w:sz w:val="24"/>
          <w:szCs w:val="24"/>
          <w:u w:val="single"/>
        </w:rPr>
        <w:t>Ministerstva práce, sociálnych vecí a rodiny SR</w:t>
      </w:r>
      <w:r w:rsidRPr="009B204F">
        <w:rPr>
          <w:rFonts w:eastAsia="Calibri" w:cs="Times New Roman"/>
          <w:sz w:val="24"/>
          <w:szCs w:val="24"/>
        </w:rPr>
        <w:t>, napríklad</w:t>
      </w:r>
      <w:r w:rsidRPr="009B204F">
        <w:rPr>
          <w:rFonts w:eastAsia="Calibri" w:cs="Times New Roman"/>
          <w:color w:val="FF0000"/>
          <w:sz w:val="24"/>
          <w:szCs w:val="24"/>
        </w:rPr>
        <w:t xml:space="preserve"> </w:t>
      </w:r>
      <w:r w:rsidRPr="009B204F">
        <w:rPr>
          <w:rFonts w:eastAsia="Calibri" w:cs="Times New Roman"/>
          <w:sz w:val="24"/>
          <w:szCs w:val="24"/>
        </w:rPr>
        <w:t xml:space="preserve">na peňažné príspevky na ostatné dávky poskytované štátom (903 810 tis. eur), </w:t>
      </w:r>
      <w:r w:rsidR="00C07E13">
        <w:rPr>
          <w:rFonts w:eastAsia="Calibri" w:cs="Times New Roman"/>
          <w:sz w:val="24"/>
          <w:szCs w:val="24"/>
        </w:rPr>
        <w:t>prídavok na dieťa (778 585 tis. </w:t>
      </w:r>
      <w:r w:rsidRPr="009B204F">
        <w:rPr>
          <w:rFonts w:eastAsia="Calibri" w:cs="Times New Roman"/>
          <w:sz w:val="24"/>
          <w:szCs w:val="24"/>
        </w:rPr>
        <w:t>eur), na</w:t>
      </w:r>
      <w:r w:rsidR="00C07E13">
        <w:rPr>
          <w:rFonts w:eastAsia="Calibri" w:cs="Times New Roman"/>
          <w:sz w:val="24"/>
          <w:szCs w:val="24"/>
        </w:rPr>
        <w:t xml:space="preserve"> </w:t>
      </w:r>
      <w:r w:rsidRPr="009B204F">
        <w:rPr>
          <w:rFonts w:eastAsia="Calibri" w:cs="Times New Roman"/>
          <w:sz w:val="24"/>
          <w:szCs w:val="24"/>
        </w:rPr>
        <w:t>rodičovský príspevok (657 272 tis. eur),</w:t>
      </w:r>
      <w:r w:rsidRPr="009B204F">
        <w:rPr>
          <w:rFonts w:eastAsia="Calibri" w:cs="Times New Roman"/>
          <w:color w:val="FF0000"/>
          <w:sz w:val="24"/>
          <w:szCs w:val="24"/>
        </w:rPr>
        <w:t xml:space="preserve"> </w:t>
      </w:r>
      <w:r w:rsidRPr="009B204F">
        <w:rPr>
          <w:rFonts w:eastAsia="Calibri" w:cs="Times New Roman"/>
          <w:sz w:val="24"/>
          <w:szCs w:val="24"/>
        </w:rPr>
        <w:t>na</w:t>
      </w:r>
      <w:r w:rsidR="00C07E13">
        <w:rPr>
          <w:rFonts w:eastAsia="Calibri" w:cs="Times New Roman"/>
          <w:sz w:val="24"/>
          <w:szCs w:val="24"/>
        </w:rPr>
        <w:t xml:space="preserve"> </w:t>
      </w:r>
      <w:r w:rsidRPr="009B204F">
        <w:rPr>
          <w:rFonts w:eastAsia="Calibri" w:cs="Times New Roman"/>
          <w:sz w:val="24"/>
          <w:szCs w:val="24"/>
        </w:rPr>
        <w:t xml:space="preserve">kompenzáciu (610 040 tis. eur), pričom išlo najmä </w:t>
      </w:r>
      <w:r w:rsidR="00367D9D">
        <w:rPr>
          <w:rFonts w:eastAsia="Calibri" w:cs="Times New Roman"/>
          <w:sz w:val="24"/>
          <w:szCs w:val="24"/>
        </w:rPr>
        <w:t xml:space="preserve">o príspevky na opatrovanie, </w:t>
      </w:r>
      <w:r w:rsidRPr="009B204F">
        <w:rPr>
          <w:rFonts w:eastAsia="Calibri" w:cs="Times New Roman"/>
          <w:sz w:val="24"/>
          <w:szCs w:val="24"/>
        </w:rPr>
        <w:t>o peňažné príspevky na osobnú asistenciu, na kúpu a</w:t>
      </w:r>
      <w:r w:rsidR="00C07E13">
        <w:rPr>
          <w:rFonts w:eastAsia="Calibri" w:cs="Times New Roman"/>
          <w:sz w:val="24"/>
          <w:szCs w:val="24"/>
        </w:rPr>
        <w:t xml:space="preserve"> </w:t>
      </w:r>
      <w:r w:rsidRPr="009B204F">
        <w:rPr>
          <w:rFonts w:eastAsia="Calibri" w:cs="Times New Roman"/>
          <w:sz w:val="24"/>
          <w:szCs w:val="24"/>
        </w:rPr>
        <w:t>úpravu pomôcok, na kúpu zdvíhacieho zariadenia, osobného motorového vozidla, na úpravu bytu, garáže alebo rodinného domu (bezbariérové stavby), na kompenzáciu zvýšených výdavkov na diétne stravovanie, zvýšené výdavky súvisiace so starostlivosťou o psa so špeciálnym výcvikom a</w:t>
      </w:r>
      <w:r w:rsidR="00C07E13">
        <w:rPr>
          <w:rFonts w:eastAsia="Calibri" w:cs="Times New Roman"/>
          <w:sz w:val="24"/>
          <w:szCs w:val="24"/>
        </w:rPr>
        <w:t xml:space="preserve"> </w:t>
      </w:r>
      <w:r w:rsidRPr="009B204F">
        <w:rPr>
          <w:rFonts w:eastAsia="Calibri" w:cs="Times New Roman"/>
          <w:sz w:val="24"/>
          <w:szCs w:val="24"/>
        </w:rPr>
        <w:t>iné. Ďalšiu významnú časť sociálnych dávok tvorí dávka v hmotnej núdzi a príspevky k dávke (118 038 tis. eur), vyplácaná na základe zákona č. 417/2013 Z. z. o pomoci v hmotnej núdzi. Je tu tiež zahrnutý resocializačný príspevok a</w:t>
      </w:r>
      <w:r w:rsidR="00C07E13">
        <w:rPr>
          <w:rFonts w:eastAsia="Calibri" w:cs="Times New Roman"/>
          <w:sz w:val="24"/>
          <w:szCs w:val="24"/>
        </w:rPr>
        <w:t xml:space="preserve"> </w:t>
      </w:r>
      <w:r w:rsidRPr="009B204F">
        <w:rPr>
          <w:rFonts w:eastAsia="Calibri" w:cs="Times New Roman"/>
          <w:sz w:val="24"/>
          <w:szCs w:val="24"/>
        </w:rPr>
        <w:t>osobitný príspevok, ktorý sa poskytuje dlhodobo nezamestnaným osobám, ktoré si nájdu zamestnanie.</w:t>
      </w:r>
    </w:p>
    <w:p w14:paraId="058AADAD" w14:textId="49DE6B54" w:rsidR="009B204F" w:rsidRPr="009B204F" w:rsidRDefault="009B204F" w:rsidP="009B204F">
      <w:pPr>
        <w:spacing w:line="240" w:lineRule="auto"/>
        <w:rPr>
          <w:rFonts w:eastAsia="Calibri" w:cs="Times New Roman"/>
          <w:sz w:val="24"/>
          <w:szCs w:val="24"/>
        </w:rPr>
      </w:pPr>
      <w:r w:rsidRPr="009B204F">
        <w:rPr>
          <w:rFonts w:eastAsia="Calibri" w:cs="Times New Roman"/>
          <w:sz w:val="24"/>
          <w:szCs w:val="24"/>
        </w:rPr>
        <w:t xml:space="preserve">Transfery </w:t>
      </w:r>
      <w:r w:rsidRPr="009B204F">
        <w:rPr>
          <w:rFonts w:eastAsia="Calibri" w:cs="Times New Roman"/>
          <w:b/>
          <w:i/>
          <w:sz w:val="24"/>
          <w:szCs w:val="24"/>
        </w:rPr>
        <w:t>na platené poistné za skupiny osôb ustanovené zákonom</w:t>
      </w:r>
      <w:r w:rsidRPr="009B204F">
        <w:rPr>
          <w:rFonts w:eastAsia="Calibri" w:cs="Times New Roman"/>
          <w:i/>
          <w:sz w:val="24"/>
          <w:szCs w:val="24"/>
          <w:vertAlign w:val="superscript"/>
        </w:rPr>
        <w:footnoteReference w:id="30"/>
      </w:r>
      <w:r w:rsidRPr="009B204F">
        <w:rPr>
          <w:rFonts w:eastAsia="Calibri" w:cs="Times New Roman"/>
          <w:color w:val="FF0000"/>
          <w:sz w:val="24"/>
          <w:szCs w:val="24"/>
        </w:rPr>
        <w:t xml:space="preserve"> </w:t>
      </w:r>
      <w:r w:rsidRPr="009B204F">
        <w:rPr>
          <w:rFonts w:eastAsia="Calibri" w:cs="Times New Roman"/>
          <w:sz w:val="24"/>
          <w:szCs w:val="24"/>
        </w:rPr>
        <w:t>dosiahli súhrnne 2 534 129 tis. eur a boli v prevažnej miere poskytované</w:t>
      </w:r>
      <w:r w:rsidRPr="009B204F">
        <w:rPr>
          <w:rFonts w:eastAsia="Calibri" w:cs="Times New Roman"/>
          <w:color w:val="FF0000"/>
          <w:sz w:val="24"/>
          <w:szCs w:val="24"/>
        </w:rPr>
        <w:t xml:space="preserve"> </w:t>
      </w:r>
      <w:r w:rsidRPr="009B204F">
        <w:rPr>
          <w:rFonts w:eastAsia="Calibri" w:cs="Times New Roman"/>
          <w:sz w:val="24"/>
          <w:szCs w:val="24"/>
        </w:rPr>
        <w:t xml:space="preserve">prostredníctvom </w:t>
      </w:r>
      <w:r w:rsidRPr="009B204F">
        <w:rPr>
          <w:rFonts w:eastAsia="Calibri" w:cs="Times New Roman"/>
          <w:sz w:val="24"/>
          <w:szCs w:val="24"/>
          <w:u w:val="single"/>
        </w:rPr>
        <w:t xml:space="preserve">Ministerstva </w:t>
      </w:r>
      <w:r w:rsidRPr="009B204F">
        <w:rPr>
          <w:rFonts w:eastAsia="Calibri" w:cs="Times New Roman"/>
          <w:sz w:val="24"/>
          <w:szCs w:val="24"/>
          <w:u w:val="single"/>
        </w:rPr>
        <w:lastRenderedPageBreak/>
        <w:t>zdravotníctva SR</w:t>
      </w:r>
      <w:r w:rsidRPr="009B204F">
        <w:rPr>
          <w:rFonts w:eastAsia="Calibri" w:cs="Times New Roman"/>
          <w:sz w:val="24"/>
          <w:szCs w:val="24"/>
        </w:rPr>
        <w:t xml:space="preserve"> v sume 2 081 400 tis. eur na financovanie preddavkov štátom plateného poistného pre zdravotné poisťovne v súlade so zákonom č. 580/2004 Z. z. o zdravotnom poistení a o zmene a doplnení zákona č</w:t>
      </w:r>
      <w:r w:rsidRPr="00C07E13">
        <w:rPr>
          <w:rFonts w:eastAsia="Calibri" w:cs="Times New Roman"/>
          <w:sz w:val="24"/>
          <w:szCs w:val="24"/>
        </w:rPr>
        <w:t>. </w:t>
      </w:r>
      <w:hyperlink r:id="rId18" w:history="1">
        <w:r w:rsidRPr="00C07E13">
          <w:rPr>
            <w:rFonts w:eastAsia="Calibri" w:cs="Times New Roman"/>
            <w:sz w:val="24"/>
            <w:szCs w:val="24"/>
          </w:rPr>
          <w:t>95/2002 Z. z.</w:t>
        </w:r>
      </w:hyperlink>
      <w:r w:rsidRPr="00C07E13">
        <w:rPr>
          <w:rFonts w:eastAsia="Calibri" w:cs="Times New Roman"/>
          <w:sz w:val="24"/>
          <w:szCs w:val="24"/>
        </w:rPr>
        <w:t> o poisťovníctve a o zmene a doplnení niektorých zákonov v znení zákona č. </w:t>
      </w:r>
      <w:hyperlink r:id="rId19" w:history="1">
        <w:r w:rsidRPr="00C07E13">
          <w:rPr>
            <w:rFonts w:eastAsia="Calibri" w:cs="Times New Roman"/>
            <w:sz w:val="24"/>
            <w:szCs w:val="24"/>
          </w:rPr>
          <w:t>718/2004 Z. z.</w:t>
        </w:r>
      </w:hyperlink>
      <w:r w:rsidRPr="009B204F">
        <w:rPr>
          <w:rFonts w:eastAsia="Calibri" w:cs="Times New Roman"/>
          <w:sz w:val="24"/>
          <w:szCs w:val="24"/>
        </w:rPr>
        <w:t>, na úhradu zdravotnej starostlivosti za poistencov štátu, za poistencov, ktorí nie sú zamestnancami alebo samostatne zárobkovo činnými osobami, a to napríklad nezaopatrené deti, fyzické osoby poberajúce dôchodok, fyzické osoby poberajúce rodičovský príspevok, fyzické osoby obvinené vo väzbe alebo vo výkone trestu odňatia slobody a</w:t>
      </w:r>
      <w:r w:rsidR="00C07E13">
        <w:rPr>
          <w:rFonts w:eastAsia="Calibri" w:cs="Times New Roman"/>
          <w:sz w:val="24"/>
          <w:szCs w:val="24"/>
        </w:rPr>
        <w:t xml:space="preserve"> </w:t>
      </w:r>
      <w:r w:rsidRPr="009B204F">
        <w:rPr>
          <w:rFonts w:eastAsia="Calibri" w:cs="Times New Roman"/>
          <w:sz w:val="24"/>
          <w:szCs w:val="24"/>
        </w:rPr>
        <w:t xml:space="preserve">iné. </w:t>
      </w:r>
      <w:r w:rsidRPr="009B204F">
        <w:rPr>
          <w:rFonts w:eastAsia="Calibri" w:cs="Times New Roman"/>
          <w:color w:val="000000"/>
          <w:sz w:val="24"/>
          <w:szCs w:val="24"/>
        </w:rPr>
        <w:t xml:space="preserve">Na nárast skutočnosti oproti schválenému rozpočtu o 455 250 tis. eur mali vplyv prijaté dve rozpočtové opatrenia. Prvým sa povolilo prekročenie limitu výdavkov kapitoly v sume 147 000 tis. eur a tieto prostriedky boli určené na stabilizáciu ambulantného sektora z dôvodu kompenzácie zvýšených výdavkov spôsobených nárastom cien energií. Druhé rozpočtové opatrenie navýšilo výdavky o sumu 316 331 tis. eur. Prostriedky boli určené na dofinancovanie poistného plateného štátom vyplývajúce z reálnych výdavkov zdravotnej starostlivosti, resp. prognóz očakávanej skutočnosti do konca roka 2023 podľa jednotlivých zdravotných poisťovní. Predmetným dofinancovaním sa zároveň mala zabezpečiť stabilizácia finančnej situácie </w:t>
      </w:r>
      <w:proofErr w:type="spellStart"/>
      <w:r w:rsidRPr="009B204F">
        <w:rPr>
          <w:rFonts w:eastAsia="Calibri" w:cs="Times New Roman"/>
          <w:color w:val="000000"/>
          <w:sz w:val="24"/>
          <w:szCs w:val="24"/>
        </w:rPr>
        <w:t>VšZP</w:t>
      </w:r>
      <w:proofErr w:type="spellEnd"/>
      <w:r w:rsidRPr="009B204F">
        <w:rPr>
          <w:rFonts w:eastAsia="Calibri" w:cs="Times New Roman"/>
          <w:color w:val="000000"/>
          <w:sz w:val="24"/>
          <w:szCs w:val="24"/>
        </w:rPr>
        <w:t xml:space="preserve">, </w:t>
      </w:r>
      <w:proofErr w:type="spellStart"/>
      <w:r w:rsidRPr="009B204F">
        <w:rPr>
          <w:rFonts w:eastAsia="Calibri" w:cs="Times New Roman"/>
          <w:color w:val="000000"/>
          <w:sz w:val="24"/>
          <w:szCs w:val="24"/>
        </w:rPr>
        <w:t>a.s</w:t>
      </w:r>
      <w:proofErr w:type="spellEnd"/>
      <w:r w:rsidRPr="009B204F">
        <w:rPr>
          <w:rFonts w:eastAsia="Calibri" w:cs="Times New Roman"/>
          <w:color w:val="000000"/>
          <w:sz w:val="24"/>
          <w:szCs w:val="24"/>
        </w:rPr>
        <w:t>. pre rok 2023. Skutočné plnenie na tejto podpoložke bolo medziročne vyššie o 815 812 tis. eur</w:t>
      </w:r>
      <w:r w:rsidR="00C07E13">
        <w:rPr>
          <w:rFonts w:eastAsia="Calibri" w:cs="Times New Roman"/>
          <w:color w:val="000000"/>
          <w:sz w:val="24"/>
          <w:szCs w:val="24"/>
        </w:rPr>
        <w:t>,</w:t>
      </w:r>
      <w:r w:rsidRPr="009B204F">
        <w:rPr>
          <w:rFonts w:eastAsia="Calibri" w:cs="Times New Roman"/>
          <w:color w:val="000000"/>
          <w:sz w:val="24"/>
          <w:szCs w:val="24"/>
        </w:rPr>
        <w:t xml:space="preserve"> a</w:t>
      </w:r>
      <w:r w:rsidR="00C07E13">
        <w:rPr>
          <w:rFonts w:eastAsia="Calibri" w:cs="Times New Roman"/>
          <w:color w:val="000000"/>
          <w:sz w:val="24"/>
          <w:szCs w:val="24"/>
        </w:rPr>
        <w:t xml:space="preserve"> </w:t>
      </w:r>
      <w:r w:rsidRPr="009B204F">
        <w:rPr>
          <w:rFonts w:eastAsia="Calibri" w:cs="Times New Roman"/>
          <w:color w:val="000000"/>
          <w:sz w:val="24"/>
          <w:szCs w:val="24"/>
        </w:rPr>
        <w:t>to najmä z dôvodu zvyšovania sumy štátom plateného poistného na zdravotné poistenie poistencov štátu, ktorá je určená zákonom o štátnom rozpočte na daný rok.</w:t>
      </w:r>
    </w:p>
    <w:p w14:paraId="34357953" w14:textId="77777777" w:rsidR="009B204F" w:rsidRPr="009B204F" w:rsidRDefault="009B204F" w:rsidP="009B204F">
      <w:pPr>
        <w:spacing w:line="240" w:lineRule="auto"/>
        <w:rPr>
          <w:rFonts w:eastAsia="Calibri" w:cs="Times New Roman"/>
        </w:rPr>
      </w:pPr>
      <w:r w:rsidRPr="009B204F">
        <w:rPr>
          <w:rFonts w:eastAsia="Calibri" w:cs="Times New Roman"/>
          <w:sz w:val="24"/>
          <w:szCs w:val="24"/>
          <w:u w:val="single"/>
        </w:rPr>
        <w:t>Ministerstvo práce, sociálnych vecí a rodiny SR</w:t>
      </w:r>
      <w:r w:rsidRPr="009B204F">
        <w:rPr>
          <w:rFonts w:eastAsia="Calibri" w:cs="Times New Roman"/>
          <w:sz w:val="24"/>
          <w:szCs w:val="24"/>
        </w:rPr>
        <w:t xml:space="preserve"> poskytlo na podpoložke platené poistné za skupiny osôb ustanovené zákonom sumu 451 910 tis. eur.</w:t>
      </w:r>
    </w:p>
    <w:p w14:paraId="027C36D4" w14:textId="7CF16C76" w:rsidR="009B204F" w:rsidRPr="009B204F" w:rsidRDefault="009B204F" w:rsidP="009B204F">
      <w:pPr>
        <w:spacing w:line="240" w:lineRule="auto"/>
        <w:rPr>
          <w:rFonts w:eastAsia="Calibri" w:cs="Times New Roman"/>
          <w:sz w:val="24"/>
          <w:szCs w:val="24"/>
        </w:rPr>
      </w:pPr>
      <w:r w:rsidRPr="009B204F">
        <w:rPr>
          <w:rFonts w:eastAsia="Calibri" w:cs="Times New Roman"/>
          <w:sz w:val="24"/>
          <w:szCs w:val="24"/>
        </w:rPr>
        <w:t xml:space="preserve">Transfery </w:t>
      </w:r>
      <w:r w:rsidRPr="009B204F">
        <w:rPr>
          <w:rFonts w:eastAsia="Calibri" w:cs="Times New Roman"/>
          <w:b/>
          <w:i/>
          <w:sz w:val="24"/>
          <w:szCs w:val="24"/>
        </w:rPr>
        <w:t>občianskym združeniam, nadáciám, neziskovým organizáciám, politickým stranám a</w:t>
      </w:r>
      <w:r w:rsidR="00C07E13">
        <w:rPr>
          <w:rFonts w:eastAsia="Calibri" w:cs="Times New Roman"/>
          <w:b/>
          <w:i/>
          <w:sz w:val="24"/>
          <w:szCs w:val="24"/>
        </w:rPr>
        <w:t xml:space="preserve"> </w:t>
      </w:r>
      <w:r w:rsidRPr="009B204F">
        <w:rPr>
          <w:rFonts w:eastAsia="Calibri" w:cs="Times New Roman"/>
          <w:b/>
          <w:i/>
          <w:sz w:val="24"/>
          <w:szCs w:val="24"/>
        </w:rPr>
        <w:t>hnutiam, odborovým organizáciám, cirkevným a súkromným školám, cirkvám, náboženským spoločnostiam a cirkevnej charite</w:t>
      </w:r>
      <w:r w:rsidRPr="009B204F">
        <w:rPr>
          <w:rFonts w:eastAsia="Calibri" w:cs="Times New Roman"/>
          <w:color w:val="FF0000"/>
          <w:sz w:val="24"/>
          <w:szCs w:val="24"/>
        </w:rPr>
        <w:t xml:space="preserve"> </w:t>
      </w:r>
      <w:r w:rsidRPr="009B204F">
        <w:rPr>
          <w:rFonts w:eastAsia="Calibri" w:cs="Times New Roman"/>
          <w:sz w:val="24"/>
          <w:szCs w:val="24"/>
        </w:rPr>
        <w:t>boli poskytnuté vo výške 850 315 tis. eur, čo je o 220 989 tis. eur viac ako bolo rozpočtované. Z celkovej výšky transferov poskytnutých</w:t>
      </w:r>
      <w:r w:rsidRPr="009B204F">
        <w:rPr>
          <w:rFonts w:eastAsia="Calibri" w:cs="Times New Roman"/>
          <w:color w:val="FF0000"/>
          <w:sz w:val="24"/>
          <w:szCs w:val="24"/>
        </w:rPr>
        <w:t xml:space="preserve"> </w:t>
      </w:r>
      <w:r w:rsidRPr="009B204F">
        <w:rPr>
          <w:rFonts w:eastAsia="Calibri" w:cs="Times New Roman"/>
          <w:sz w:val="24"/>
          <w:szCs w:val="24"/>
        </w:rPr>
        <w:t>občianskym združeniam, nadáciám a neinvestičnému fondu vo výške 246 612 tis. eur bolo vyčerpaných najviac</w:t>
      </w:r>
      <w:r w:rsidRPr="009B204F">
        <w:rPr>
          <w:rFonts w:eastAsia="Calibri" w:cs="Times New Roman"/>
          <w:color w:val="FF0000"/>
          <w:sz w:val="24"/>
          <w:szCs w:val="24"/>
        </w:rPr>
        <w:t xml:space="preserve"> </w:t>
      </w:r>
      <w:r w:rsidRPr="009B204F">
        <w:rPr>
          <w:rFonts w:eastAsia="Calibri" w:cs="Times New Roman"/>
          <w:sz w:val="24"/>
          <w:szCs w:val="24"/>
        </w:rPr>
        <w:t xml:space="preserve">v kapitole </w:t>
      </w:r>
      <w:r w:rsidRPr="009B204F">
        <w:rPr>
          <w:rFonts w:eastAsia="Calibri" w:cs="Times New Roman"/>
          <w:sz w:val="24"/>
          <w:szCs w:val="24"/>
          <w:u w:val="single"/>
        </w:rPr>
        <w:t>Ministerstvo školstva, vedy, výskumu a športu SR</w:t>
      </w:r>
      <w:r w:rsidR="00C07E13">
        <w:rPr>
          <w:rFonts w:eastAsia="Calibri" w:cs="Times New Roman"/>
          <w:sz w:val="24"/>
          <w:szCs w:val="24"/>
          <w:u w:val="single"/>
        </w:rPr>
        <w:t>,</w:t>
      </w:r>
      <w:r w:rsidRPr="009B204F">
        <w:rPr>
          <w:rFonts w:eastAsia="Calibri" w:cs="Times New Roman"/>
          <w:sz w:val="24"/>
          <w:szCs w:val="24"/>
        </w:rPr>
        <w:t xml:space="preserve"> a to 91 980 tis. eur.</w:t>
      </w:r>
      <w:r w:rsidRPr="009B204F">
        <w:rPr>
          <w:rFonts w:eastAsia="Calibri" w:cs="Times New Roman"/>
          <w:color w:val="FF0000"/>
          <w:sz w:val="24"/>
          <w:szCs w:val="24"/>
        </w:rPr>
        <w:t xml:space="preserve"> </w:t>
      </w:r>
      <w:r w:rsidRPr="009B204F">
        <w:rPr>
          <w:rFonts w:eastAsia="Calibri" w:cs="Times New Roman"/>
          <w:sz w:val="24"/>
          <w:szCs w:val="24"/>
        </w:rPr>
        <w:t>Najväčšie sumy boli použité najmä v oblasti športu v sume 78 145 tis. eur, najmä na príspevky uznanému športu, na národný športový projekt a na dotácie poskytnuté</w:t>
      </w:r>
      <w:r w:rsidRPr="009B204F">
        <w:rPr>
          <w:rFonts w:eastAsia="Calibri" w:cs="Times New Roman"/>
          <w:color w:val="FF0000"/>
          <w:sz w:val="24"/>
          <w:szCs w:val="24"/>
        </w:rPr>
        <w:t xml:space="preserve"> </w:t>
      </w:r>
      <w:r w:rsidRPr="009B204F">
        <w:rPr>
          <w:rFonts w:eastAsia="Calibri" w:cs="Times New Roman"/>
          <w:sz w:val="24"/>
          <w:szCs w:val="24"/>
        </w:rPr>
        <w:t>podľa §70 zákona o športe na „MODULY – inovatívne formy vzdelávania na hodinách telesnej výchovy“. Čerpanie finančných prostriedkov na podpoložkách kategórie bežné transfery predstavuje prevody prostriedkov zo zdrojov Európskej únie a štátneho rozpočtu na spolufinancovanie prijímateľom, ktorí si v súlade s platnou legislatívou požiadali prostredníctvom žiadosti o platbu o nenávratný finančný príspevok. Platobná jednotka Ministerstva školstva, vedy, výskumu a</w:t>
      </w:r>
      <w:r w:rsidR="00C07E13">
        <w:rPr>
          <w:rFonts w:eastAsia="Calibri" w:cs="Times New Roman"/>
          <w:sz w:val="24"/>
          <w:szCs w:val="24"/>
        </w:rPr>
        <w:t xml:space="preserve"> </w:t>
      </w:r>
      <w:r w:rsidRPr="009B204F">
        <w:rPr>
          <w:rFonts w:eastAsia="Calibri" w:cs="Times New Roman"/>
          <w:sz w:val="24"/>
          <w:szCs w:val="24"/>
        </w:rPr>
        <w:t>športu SR - EŠIF na začiatku roka rozdeľuje prostriedky štátneho rozpočtu na jednotlivé položky odhadom. Ak v danom roku nepríde žiadna žiadosť o platbu</w:t>
      </w:r>
      <w:r w:rsidR="00C07E13">
        <w:rPr>
          <w:rFonts w:eastAsia="Calibri" w:cs="Times New Roman"/>
          <w:sz w:val="24"/>
          <w:szCs w:val="24"/>
        </w:rPr>
        <w:t xml:space="preserve"> daného prijímateľa, prípadne v </w:t>
      </w:r>
      <w:r w:rsidRPr="009B204F">
        <w:rPr>
          <w:rFonts w:eastAsia="Calibri" w:cs="Times New Roman"/>
          <w:sz w:val="24"/>
          <w:szCs w:val="24"/>
        </w:rPr>
        <w:t>menšom množstve, tieto prostriedky sa prevedú interným rozpočtovým opatrením na</w:t>
      </w:r>
      <w:r w:rsidR="003F27EA">
        <w:rPr>
          <w:rFonts w:eastAsia="Calibri" w:cs="Times New Roman"/>
          <w:sz w:val="24"/>
          <w:szCs w:val="24"/>
        </w:rPr>
        <w:t> </w:t>
      </w:r>
      <w:r w:rsidRPr="009B204F">
        <w:rPr>
          <w:rFonts w:eastAsia="Calibri" w:cs="Times New Roman"/>
          <w:sz w:val="24"/>
          <w:szCs w:val="24"/>
        </w:rPr>
        <w:t xml:space="preserve">inú rozpočtovú položku, na ktorej môže byť čerpanie vyššie alebo nižšie, ako bol nastavený limit na začiatku roka. </w:t>
      </w:r>
    </w:p>
    <w:p w14:paraId="7250160A" w14:textId="32837047" w:rsidR="009B204F" w:rsidRPr="009B204F" w:rsidRDefault="009B204F" w:rsidP="009B204F">
      <w:pPr>
        <w:spacing w:line="240" w:lineRule="auto"/>
        <w:rPr>
          <w:rFonts w:eastAsia="Calibri" w:cs="Times New Roman"/>
          <w:sz w:val="24"/>
          <w:szCs w:val="24"/>
        </w:rPr>
      </w:pPr>
      <w:r w:rsidRPr="009B204F">
        <w:rPr>
          <w:rFonts w:eastAsia="Calibri" w:cs="Times New Roman"/>
          <w:sz w:val="24"/>
          <w:szCs w:val="24"/>
        </w:rPr>
        <w:t xml:space="preserve">Druhé najvyššie čerpanie v rámci tejto podpoložky čerpalo </w:t>
      </w:r>
      <w:r w:rsidRPr="009B204F">
        <w:rPr>
          <w:rFonts w:eastAsia="Calibri" w:cs="Times New Roman"/>
          <w:sz w:val="24"/>
          <w:szCs w:val="24"/>
          <w:u w:val="single"/>
        </w:rPr>
        <w:t>Ministerstvo práce</w:t>
      </w:r>
      <w:r w:rsidR="00C07E13">
        <w:rPr>
          <w:rFonts w:eastAsia="Calibri" w:cs="Times New Roman"/>
          <w:sz w:val="24"/>
          <w:szCs w:val="24"/>
          <w:u w:val="single"/>
        </w:rPr>
        <w:t>,</w:t>
      </w:r>
      <w:r w:rsidRPr="009B204F">
        <w:rPr>
          <w:rFonts w:eastAsia="Calibri" w:cs="Times New Roman"/>
          <w:sz w:val="24"/>
          <w:szCs w:val="24"/>
          <w:u w:val="single"/>
        </w:rPr>
        <w:t xml:space="preserve"> sociálnych vecí a</w:t>
      </w:r>
      <w:r w:rsidR="00C07E13">
        <w:rPr>
          <w:rFonts w:eastAsia="Calibri" w:cs="Times New Roman"/>
          <w:sz w:val="24"/>
          <w:szCs w:val="24"/>
          <w:u w:val="single"/>
        </w:rPr>
        <w:t xml:space="preserve"> </w:t>
      </w:r>
      <w:r w:rsidRPr="009B204F">
        <w:rPr>
          <w:rFonts w:eastAsia="Calibri" w:cs="Times New Roman"/>
          <w:sz w:val="24"/>
          <w:szCs w:val="24"/>
          <w:u w:val="single"/>
        </w:rPr>
        <w:t>rodiny SR</w:t>
      </w:r>
      <w:r w:rsidRPr="009B204F">
        <w:rPr>
          <w:rFonts w:eastAsia="Calibri" w:cs="Times New Roman"/>
          <w:sz w:val="24"/>
          <w:szCs w:val="24"/>
        </w:rPr>
        <w:t xml:space="preserve"> v objeme 70 740 tis. eur najmä na vyplatenie jednorazovej dotácie na podporu humanitárnej pomoci na úhradu stabilizačného príspevku v </w:t>
      </w:r>
      <w:r w:rsidR="00C07E13">
        <w:rPr>
          <w:rFonts w:eastAsia="Calibri" w:cs="Times New Roman"/>
          <w:sz w:val="24"/>
          <w:szCs w:val="24"/>
        </w:rPr>
        <w:t>súlade s uznesením vlády SR č.</w:t>
      </w:r>
      <w:r w:rsidR="00C07E13">
        <w:t> </w:t>
      </w:r>
      <w:r w:rsidRPr="009B204F">
        <w:rPr>
          <w:rFonts w:eastAsia="Calibri" w:cs="Times New Roman"/>
          <w:sz w:val="24"/>
          <w:szCs w:val="24"/>
        </w:rPr>
        <w:t>823/2022 Z. z. pre zamestnancov vybraných zariadení sociálnych služieb, zariadení sociálnoprávnej ochrany detí a sociálnej kurately a domácej opatrovateľskej služby. Ďalej sa finančné prostriedky čerpali na národné programy na rozvoj aktívnej politiky trhu práce a</w:t>
      </w:r>
      <w:r w:rsidR="00C07E13">
        <w:rPr>
          <w:rFonts w:eastAsia="Calibri" w:cs="Times New Roman"/>
          <w:sz w:val="24"/>
          <w:szCs w:val="24"/>
        </w:rPr>
        <w:t xml:space="preserve"> </w:t>
      </w:r>
      <w:r w:rsidRPr="009B204F">
        <w:rPr>
          <w:rFonts w:eastAsia="Calibri" w:cs="Times New Roman"/>
          <w:sz w:val="24"/>
          <w:szCs w:val="24"/>
        </w:rPr>
        <w:t xml:space="preserve">zvýšenie zamestnanosti, na dotácie na podporu výchovy k stravovacím návykom dieťaťa, dotácie na stravu pre dieťa v hmotnej núdzi a dotácie na školské potreby pre dieťa v hmotnej núdzi, príspevky pre neštátne centrá pre deti a rodiny (CDR), na podporu sociálnych služieb, </w:t>
      </w:r>
      <w:r w:rsidRPr="003F27EA">
        <w:lastRenderedPageBreak/>
        <w:t>na</w:t>
      </w:r>
      <w:r w:rsidR="003F27EA">
        <w:t> </w:t>
      </w:r>
      <w:r w:rsidRPr="003F27EA">
        <w:t>protidrogovú</w:t>
      </w:r>
      <w:r w:rsidRPr="009B204F">
        <w:rPr>
          <w:rFonts w:eastAsia="Calibri" w:cs="Times New Roman"/>
          <w:sz w:val="24"/>
          <w:szCs w:val="24"/>
        </w:rPr>
        <w:t xml:space="preserve"> politiku, na prevenciu a sanáciu, na projekty EÚ v oblasti zamestnanosti, sociálneho začlenenia, REACT-EÚ a projekty financované z Európskeho sociálneho fondu.</w:t>
      </w:r>
    </w:p>
    <w:p w14:paraId="056A723A" w14:textId="77777777" w:rsidR="009B204F" w:rsidRPr="009B204F" w:rsidRDefault="009B204F" w:rsidP="009B204F">
      <w:pPr>
        <w:spacing w:line="240" w:lineRule="auto"/>
        <w:rPr>
          <w:rFonts w:eastAsia="Calibri" w:cs="Times New Roman"/>
          <w:sz w:val="24"/>
          <w:szCs w:val="24"/>
        </w:rPr>
      </w:pPr>
      <w:r w:rsidRPr="009B204F">
        <w:rPr>
          <w:rFonts w:eastAsia="Calibri" w:cs="Times New Roman"/>
          <w:sz w:val="24"/>
          <w:szCs w:val="24"/>
        </w:rPr>
        <w:t xml:space="preserve">Na celkovú výšku </w:t>
      </w:r>
      <w:r w:rsidRPr="009B204F">
        <w:rPr>
          <w:rFonts w:eastAsia="Calibri" w:cs="Times New Roman"/>
          <w:b/>
          <w:i/>
          <w:sz w:val="24"/>
          <w:szCs w:val="24"/>
        </w:rPr>
        <w:t>ostatných transferov</w:t>
      </w:r>
      <w:r w:rsidRPr="009B204F">
        <w:rPr>
          <w:rFonts w:eastAsia="Calibri" w:cs="Times New Roman"/>
          <w:sz w:val="24"/>
          <w:szCs w:val="24"/>
        </w:rPr>
        <w:t xml:space="preserve"> 224 152 tis. eur mali podstatný vplyv transfery na peňažné náležitosti v ozbrojených silách a ozbrojených zboroch (83 652 tis. eur), realizované najmä prostredníctvom </w:t>
      </w:r>
      <w:r w:rsidRPr="009B204F">
        <w:rPr>
          <w:rFonts w:eastAsia="Calibri" w:cs="Times New Roman"/>
          <w:sz w:val="24"/>
          <w:szCs w:val="24"/>
          <w:u w:val="single"/>
        </w:rPr>
        <w:t>Ministerstva obrany SR</w:t>
      </w:r>
      <w:r w:rsidRPr="009B204F">
        <w:rPr>
          <w:rFonts w:eastAsia="Calibri" w:cs="Times New Roman"/>
          <w:sz w:val="24"/>
          <w:szCs w:val="24"/>
        </w:rPr>
        <w:t xml:space="preserve"> (58 733 tis. eur), nefinančnej právnickej osobe (37 692 tis. eur), na príplatky a príspevky (26 714 tis. eur), na nemocenské dávky (23 915 tis. eur), na náhradu (19 139 tis. eur), na podpoložke ostatné (7 689 tis. eur) a iné.</w:t>
      </w:r>
    </w:p>
    <w:p w14:paraId="5FACD789" w14:textId="7AD64255" w:rsidR="009B204F" w:rsidRPr="009B204F" w:rsidRDefault="009B204F" w:rsidP="009B204F">
      <w:pPr>
        <w:spacing w:line="240" w:lineRule="auto"/>
        <w:rPr>
          <w:rFonts w:eastAsia="Calibri" w:cs="Times New Roman"/>
          <w:sz w:val="24"/>
          <w:szCs w:val="24"/>
        </w:rPr>
      </w:pPr>
      <w:r w:rsidRPr="009B204F">
        <w:rPr>
          <w:rFonts w:eastAsia="Calibri" w:cs="Times New Roman"/>
          <w:sz w:val="24"/>
          <w:szCs w:val="24"/>
        </w:rPr>
        <w:t xml:space="preserve">Transfery poskytnuté </w:t>
      </w:r>
      <w:r w:rsidRPr="009B204F">
        <w:rPr>
          <w:rFonts w:eastAsia="Calibri" w:cs="Times New Roman"/>
          <w:b/>
          <w:i/>
          <w:sz w:val="24"/>
          <w:szCs w:val="24"/>
        </w:rPr>
        <w:t>na aktívne opatrenia trhu práce</w:t>
      </w:r>
      <w:r w:rsidRPr="009B204F">
        <w:rPr>
          <w:rFonts w:eastAsia="Calibri" w:cs="Times New Roman"/>
          <w:color w:val="FF0000"/>
          <w:sz w:val="24"/>
          <w:szCs w:val="24"/>
        </w:rPr>
        <w:t xml:space="preserve"> </w:t>
      </w:r>
      <w:r w:rsidRPr="009B204F">
        <w:rPr>
          <w:rFonts w:eastAsia="Calibri" w:cs="Times New Roman"/>
          <w:sz w:val="24"/>
          <w:szCs w:val="24"/>
        </w:rPr>
        <w:t xml:space="preserve">boli poskytnuté v sume 187 913 tis. eur, výlučne prostredníctvom </w:t>
      </w:r>
      <w:r w:rsidRPr="009B204F">
        <w:rPr>
          <w:rFonts w:eastAsia="Calibri" w:cs="Times New Roman"/>
          <w:sz w:val="24"/>
          <w:szCs w:val="24"/>
          <w:u w:val="single"/>
        </w:rPr>
        <w:t>Ministerstva práce</w:t>
      </w:r>
      <w:r w:rsidR="00C07E13">
        <w:rPr>
          <w:rFonts w:eastAsia="Calibri" w:cs="Times New Roman"/>
          <w:sz w:val="24"/>
          <w:szCs w:val="24"/>
          <w:u w:val="single"/>
        </w:rPr>
        <w:t>,</w:t>
      </w:r>
      <w:r w:rsidRPr="009B204F">
        <w:rPr>
          <w:rFonts w:eastAsia="Calibri" w:cs="Times New Roman"/>
          <w:sz w:val="24"/>
          <w:szCs w:val="24"/>
          <w:u w:val="single"/>
        </w:rPr>
        <w:t xml:space="preserve"> sociálnych vecí a rodiny SR</w:t>
      </w:r>
      <w:r w:rsidRPr="009B204F">
        <w:rPr>
          <w:rFonts w:eastAsia="Calibri" w:cs="Times New Roman"/>
          <w:sz w:val="24"/>
          <w:szCs w:val="24"/>
        </w:rPr>
        <w:t>, ktoré poskytlo dotácie z prostriedkov najmä v rámci Operačného programu Ľudské zdroje + Európsky sociálny fond REACT-EÚ a na opatrenia trhu práce v súlade so zákonom o službách zamestnanosti.</w:t>
      </w:r>
    </w:p>
    <w:p w14:paraId="04D59304" w14:textId="77777777" w:rsidR="009B204F" w:rsidRPr="009B204F" w:rsidRDefault="009B204F" w:rsidP="009B204F">
      <w:pPr>
        <w:spacing w:after="160" w:line="259" w:lineRule="auto"/>
        <w:rPr>
          <w:rFonts w:eastAsia="Calibri" w:cs="Times New Roman"/>
          <w:sz w:val="24"/>
          <w:szCs w:val="24"/>
          <w:lang w:eastAsia="sk-SK"/>
        </w:rPr>
      </w:pPr>
      <w:r w:rsidRPr="009B204F">
        <w:rPr>
          <w:rFonts w:eastAsia="Calibri" w:cs="Times New Roman"/>
          <w:sz w:val="24"/>
          <w:szCs w:val="24"/>
        </w:rPr>
        <w:t xml:space="preserve">Transfery </w:t>
      </w:r>
      <w:r w:rsidRPr="009B204F">
        <w:rPr>
          <w:rFonts w:eastAsia="Calibri" w:cs="Times New Roman"/>
          <w:b/>
          <w:i/>
          <w:sz w:val="24"/>
          <w:szCs w:val="24"/>
        </w:rPr>
        <w:t>cirkevnej škole</w:t>
      </w:r>
      <w:r w:rsidRPr="009B204F">
        <w:rPr>
          <w:rFonts w:eastAsia="Calibri" w:cs="Times New Roman"/>
          <w:sz w:val="24"/>
          <w:szCs w:val="24"/>
        </w:rPr>
        <w:t xml:space="preserve"> boli poskytnuté v sume v sume 164 358 tis. eur, najmä prostredníctvom</w:t>
      </w:r>
      <w:r w:rsidRPr="009B204F">
        <w:rPr>
          <w:rFonts w:eastAsia="Calibri" w:cs="Times New Roman"/>
          <w:color w:val="FF0000"/>
          <w:sz w:val="24"/>
          <w:szCs w:val="24"/>
        </w:rPr>
        <w:t xml:space="preserve"> </w:t>
      </w:r>
      <w:r w:rsidRPr="009B204F">
        <w:rPr>
          <w:rFonts w:eastAsia="Calibri" w:cs="Times New Roman"/>
          <w:sz w:val="24"/>
          <w:szCs w:val="24"/>
          <w:u w:val="single"/>
        </w:rPr>
        <w:t>Ministerstvo školstva, vedy, výskumu a športu SR</w:t>
      </w:r>
      <w:r w:rsidRPr="009B204F">
        <w:rPr>
          <w:rFonts w:eastAsia="Calibri" w:cs="Times New Roman"/>
          <w:sz w:val="24"/>
          <w:szCs w:val="24"/>
        </w:rPr>
        <w:t xml:space="preserve"> </w:t>
      </w:r>
      <w:r w:rsidRPr="009B204F">
        <w:rPr>
          <w:rFonts w:eastAsia="Calibri" w:cs="Times New Roman"/>
          <w:sz w:val="24"/>
          <w:szCs w:val="24"/>
          <w:lang w:eastAsia="sk-SK"/>
        </w:rPr>
        <w:t xml:space="preserve">pre školy a školské zariadenia v zriaďovateľskej pôsobnosti cirkví (155 052 tis. eur) a na podporu začlenenia detí a žiakov z Ukrajiny v materských, základných a stredných školách a na zabezpečenie jazykových kurzov detí odídencov z Ukrajiny. </w:t>
      </w:r>
    </w:p>
    <w:p w14:paraId="1075B7AE" w14:textId="77777777" w:rsidR="009B204F" w:rsidRPr="009B204F" w:rsidRDefault="009B204F" w:rsidP="009B204F">
      <w:pPr>
        <w:spacing w:after="160" w:line="259" w:lineRule="auto"/>
        <w:rPr>
          <w:rFonts w:eastAsia="Calibri" w:cs="Times New Roman"/>
          <w:sz w:val="24"/>
          <w:szCs w:val="24"/>
          <w:lang w:eastAsia="sk-SK"/>
        </w:rPr>
      </w:pPr>
      <w:r w:rsidRPr="009B204F">
        <w:rPr>
          <w:rFonts w:eastAsia="Calibri" w:cs="Times New Roman"/>
          <w:sz w:val="24"/>
          <w:szCs w:val="24"/>
        </w:rPr>
        <w:t xml:space="preserve">Transfery </w:t>
      </w:r>
      <w:r w:rsidRPr="009B204F">
        <w:rPr>
          <w:rFonts w:eastAsia="Calibri" w:cs="Times New Roman"/>
          <w:b/>
          <w:i/>
          <w:sz w:val="24"/>
          <w:szCs w:val="24"/>
        </w:rPr>
        <w:t>súkromnej škole</w:t>
      </w:r>
      <w:r w:rsidRPr="009B204F">
        <w:rPr>
          <w:rFonts w:eastAsia="Calibri" w:cs="Times New Roman"/>
          <w:sz w:val="24"/>
          <w:szCs w:val="24"/>
        </w:rPr>
        <w:t xml:space="preserve"> vo výške 152 090 tis. eur boli poskytnuté najmä kapitolou </w:t>
      </w:r>
      <w:r w:rsidRPr="009B204F">
        <w:rPr>
          <w:rFonts w:eastAsia="Calibri" w:cs="Times New Roman"/>
          <w:sz w:val="24"/>
          <w:szCs w:val="24"/>
          <w:u w:val="single"/>
        </w:rPr>
        <w:t>Ministerstvo školstva, vedy, výskumu a športu SR</w:t>
      </w:r>
      <w:r w:rsidRPr="009B204F">
        <w:rPr>
          <w:rFonts w:eastAsia="Calibri" w:cs="Times New Roman"/>
          <w:sz w:val="24"/>
          <w:szCs w:val="24"/>
        </w:rPr>
        <w:t xml:space="preserve"> (147 410 tis. eur) na zabezpečenie výchovy a vzdelávania mládeže v základných a stredných školách, na zabezpečenie prevádzky škôl, na financovanie normatívnych výdavkov a na úhradu nenormatívnych výdavkov škôl a školských zariadení (najmä na vzdelávacie poukazy, príspevky pre asistentov učiteľov a príspevky na výchovu a vzdelávanie detí materských škôl).</w:t>
      </w:r>
    </w:p>
    <w:p w14:paraId="0F143CAB" w14:textId="77777777" w:rsidR="009B204F" w:rsidRPr="009B204F" w:rsidRDefault="009B204F" w:rsidP="009B204F">
      <w:pPr>
        <w:spacing w:line="240" w:lineRule="auto"/>
        <w:rPr>
          <w:rFonts w:eastAsia="Calibri" w:cs="Times New Roman"/>
          <w:sz w:val="24"/>
          <w:szCs w:val="24"/>
        </w:rPr>
      </w:pPr>
      <w:r w:rsidRPr="009B204F">
        <w:rPr>
          <w:rFonts w:eastAsia="Calibri" w:cs="Times New Roman"/>
          <w:sz w:val="24"/>
          <w:szCs w:val="24"/>
        </w:rPr>
        <w:t xml:space="preserve">Transfery </w:t>
      </w:r>
      <w:r w:rsidRPr="009B204F">
        <w:rPr>
          <w:rFonts w:eastAsia="Calibri" w:cs="Times New Roman"/>
          <w:b/>
          <w:i/>
          <w:sz w:val="24"/>
          <w:szCs w:val="24"/>
        </w:rPr>
        <w:t>neziskovým organizáciám poskytujúcim všeobecne prospešné služby</w:t>
      </w:r>
      <w:r w:rsidRPr="009B204F">
        <w:rPr>
          <w:rFonts w:eastAsia="Calibri" w:cs="Times New Roman"/>
          <w:color w:val="FF0000"/>
          <w:sz w:val="24"/>
          <w:szCs w:val="24"/>
        </w:rPr>
        <w:t xml:space="preserve"> </w:t>
      </w:r>
      <w:r w:rsidRPr="009B204F">
        <w:rPr>
          <w:rFonts w:eastAsia="Calibri" w:cs="Times New Roman"/>
          <w:sz w:val="24"/>
          <w:szCs w:val="24"/>
        </w:rPr>
        <w:t>boli poskytnuté v celkovej výške 147 440 tis. eur.</w:t>
      </w:r>
      <w:r w:rsidRPr="009B204F">
        <w:rPr>
          <w:rFonts w:eastAsia="Calibri" w:cs="Times New Roman"/>
          <w:color w:val="FF0000"/>
          <w:sz w:val="24"/>
          <w:szCs w:val="24"/>
        </w:rPr>
        <w:t xml:space="preserve"> </w:t>
      </w:r>
      <w:r w:rsidRPr="009B204F">
        <w:rPr>
          <w:rFonts w:eastAsia="Calibri" w:cs="Times New Roman"/>
          <w:sz w:val="24"/>
          <w:szCs w:val="24"/>
        </w:rPr>
        <w:t xml:space="preserve">Najvýznamnejšiu časť výdavkov čerpalo </w:t>
      </w:r>
      <w:r w:rsidRPr="009B204F">
        <w:rPr>
          <w:rFonts w:eastAsia="Calibri" w:cs="Times New Roman"/>
          <w:sz w:val="24"/>
          <w:szCs w:val="24"/>
          <w:u w:val="single"/>
        </w:rPr>
        <w:t>Ministerstvo práce, sociálnych vecí a rodiny SR</w:t>
      </w:r>
      <w:r w:rsidRPr="009B204F">
        <w:rPr>
          <w:rFonts w:eastAsia="Calibri" w:cs="Times New Roman"/>
          <w:sz w:val="24"/>
          <w:szCs w:val="24"/>
        </w:rPr>
        <w:t xml:space="preserve"> (127 376 tis. eur). Boli to finančné príspevky najmä pre neverejných poskytovateľov sociálnych služieb, ako aj na stabilizačný príspevok, a tým sa zabezpečili výdavky na poskytnutie jednorazovej dotácie na podporu humanitárnej pomoci na úhradu stabilizačného príspevku v súlade s uznesením vlády SR č. 823/2022 Z. z. pre zamestnancov vybraných zariadení sociálnych služieb, zariadení sociálnoprávnej ochrany detí a sociálnej kurately a domácej opatrovateľskej služby. Ďalej boli poskytnuté finančné prostriedky pre neštátne centrá pre deti a rodiny (CDR), podporu humanitárnej pomoci, na prevenciu a sanáciu, na národné programy na rozvoj aktívnej politiky trhu práce a zvýšenie zamestnanosti.</w:t>
      </w:r>
      <w:r w:rsidRPr="009B204F">
        <w:rPr>
          <w:rFonts w:ascii="Arial Narrow" w:eastAsia="Calibri" w:hAnsi="Arial Narrow" w:cs="Times New Roman"/>
          <w:color w:val="1F497D"/>
          <w:sz w:val="24"/>
          <w:szCs w:val="24"/>
          <w:lang w:eastAsia="sk-SK"/>
        </w:rPr>
        <w:t xml:space="preserve"> </w:t>
      </w:r>
    </w:p>
    <w:p w14:paraId="16683747" w14:textId="77777777" w:rsidR="009B204F" w:rsidRPr="009B204F" w:rsidRDefault="009B204F" w:rsidP="009B204F">
      <w:pPr>
        <w:spacing w:line="240" w:lineRule="auto"/>
        <w:rPr>
          <w:rFonts w:eastAsia="Calibri" w:cs="Times New Roman"/>
          <w:sz w:val="24"/>
          <w:szCs w:val="24"/>
          <w:shd w:val="clear" w:color="auto" w:fill="FFFFFF"/>
        </w:rPr>
      </w:pPr>
      <w:r w:rsidRPr="009B204F">
        <w:rPr>
          <w:rFonts w:eastAsia="Calibri" w:cs="Times New Roman"/>
          <w:sz w:val="24"/>
          <w:szCs w:val="24"/>
        </w:rPr>
        <w:t xml:space="preserve">Z celkového transferu </w:t>
      </w:r>
      <w:r w:rsidRPr="009B204F">
        <w:rPr>
          <w:rFonts w:eastAsia="Calibri" w:cs="Times New Roman"/>
          <w:b/>
          <w:i/>
          <w:sz w:val="24"/>
          <w:szCs w:val="24"/>
        </w:rPr>
        <w:t>cirkvi, náboženskej spoločnosti a cirkevnej charite</w:t>
      </w:r>
      <w:r w:rsidRPr="009B204F">
        <w:rPr>
          <w:rFonts w:eastAsia="Calibri" w:cs="Times New Roman"/>
          <w:sz w:val="24"/>
          <w:szCs w:val="24"/>
        </w:rPr>
        <w:t xml:space="preserve"> vo výške 85 903 tis. eur boli v najväčšej miere poukázané prostriedky prostredníctvom kapitoly</w:t>
      </w:r>
      <w:r w:rsidRPr="009B204F">
        <w:rPr>
          <w:rFonts w:eastAsia="Calibri" w:cs="Times New Roman"/>
          <w:color w:val="FF0000"/>
          <w:sz w:val="24"/>
          <w:szCs w:val="24"/>
        </w:rPr>
        <w:t xml:space="preserve"> </w:t>
      </w:r>
      <w:r w:rsidRPr="009B204F">
        <w:rPr>
          <w:rFonts w:eastAsia="Calibri" w:cs="Times New Roman"/>
          <w:sz w:val="24"/>
          <w:szCs w:val="24"/>
          <w:u w:val="single"/>
        </w:rPr>
        <w:t>Ministerstva kultúry SR</w:t>
      </w:r>
      <w:r w:rsidRPr="009B204F">
        <w:rPr>
          <w:rFonts w:eastAsia="Calibri" w:cs="Times New Roman"/>
          <w:sz w:val="24"/>
          <w:szCs w:val="24"/>
        </w:rPr>
        <w:t xml:space="preserve"> v sume 60 608 tis. eur </w:t>
      </w:r>
      <w:r w:rsidRPr="009B204F">
        <w:rPr>
          <w:rFonts w:eastAsia="Calibri" w:cs="Times New Roman"/>
          <w:sz w:val="24"/>
          <w:szCs w:val="24"/>
          <w:shd w:val="clear" w:color="auto" w:fill="FFFFFF"/>
        </w:rPr>
        <w:t>na podporu cirkvám a náboženským spoločnostiam na realizáciu náboženských a duchovných potrieb obyvateľstva, starostlivosti a ochrany kultúrneho dedičstva, charitatívnych a sociálnych služieb prostredníctvom realizovaných náboženských úkonov.</w:t>
      </w:r>
    </w:p>
    <w:p w14:paraId="371D5963" w14:textId="77777777" w:rsidR="009B204F" w:rsidRPr="009B204F" w:rsidRDefault="009B204F" w:rsidP="009B204F">
      <w:pPr>
        <w:spacing w:line="240" w:lineRule="auto"/>
        <w:rPr>
          <w:rFonts w:eastAsia="Calibri" w:cs="Times New Roman"/>
          <w:sz w:val="24"/>
          <w:szCs w:val="24"/>
          <w:shd w:val="clear" w:color="auto" w:fill="FFFFFF"/>
        </w:rPr>
      </w:pPr>
      <w:r w:rsidRPr="009B204F">
        <w:rPr>
          <w:rFonts w:eastAsia="Calibri" w:cs="Times New Roman"/>
          <w:sz w:val="24"/>
          <w:szCs w:val="24"/>
        </w:rPr>
        <w:t>Transfery</w:t>
      </w:r>
      <w:r w:rsidRPr="009B204F">
        <w:rPr>
          <w:rFonts w:eastAsia="Calibri" w:cs="Times New Roman"/>
          <w:b/>
          <w:i/>
          <w:sz w:val="24"/>
          <w:szCs w:val="24"/>
        </w:rPr>
        <w:t xml:space="preserve"> jednotlivcovi</w:t>
      </w:r>
      <w:r w:rsidRPr="009B204F">
        <w:rPr>
          <w:rFonts w:eastAsia="Calibri" w:cs="Times New Roman"/>
          <w:color w:val="FF0000"/>
          <w:sz w:val="24"/>
          <w:szCs w:val="24"/>
        </w:rPr>
        <w:t xml:space="preserve"> </w:t>
      </w:r>
      <w:r w:rsidRPr="009B204F">
        <w:rPr>
          <w:rFonts w:eastAsia="Calibri" w:cs="Times New Roman"/>
          <w:sz w:val="24"/>
          <w:szCs w:val="24"/>
        </w:rPr>
        <w:t xml:space="preserve">dosiahli sumu 74 085 tis. eur, najmä prostredníctvom </w:t>
      </w:r>
      <w:r w:rsidRPr="009B204F">
        <w:rPr>
          <w:rFonts w:eastAsia="Calibri" w:cs="Times New Roman"/>
          <w:sz w:val="24"/>
          <w:szCs w:val="24"/>
          <w:u w:val="single"/>
        </w:rPr>
        <w:t>Ministerstva práce, sociálnych vecí a rodiny SR</w:t>
      </w:r>
      <w:r w:rsidRPr="009B204F">
        <w:rPr>
          <w:rFonts w:eastAsia="Calibri" w:cs="Times New Roman"/>
          <w:sz w:val="24"/>
          <w:szCs w:val="24"/>
        </w:rPr>
        <w:t xml:space="preserve"> (23 633 tis. eur).</w:t>
      </w:r>
      <w:r w:rsidRPr="009B204F">
        <w:rPr>
          <w:rFonts w:eastAsia="Calibri" w:cs="Times New Roman"/>
          <w:color w:val="FF0000"/>
          <w:sz w:val="24"/>
          <w:szCs w:val="24"/>
        </w:rPr>
        <w:t xml:space="preserve"> </w:t>
      </w:r>
      <w:r w:rsidRPr="009B204F">
        <w:rPr>
          <w:rFonts w:eastAsia="Calibri" w:cs="Times New Roman"/>
          <w:sz w:val="24"/>
          <w:szCs w:val="24"/>
          <w:shd w:val="clear" w:color="auto" w:fill="FFFFFF"/>
        </w:rPr>
        <w:t>Skutočné čerpanie predstavujú najmä vyplatené dávky v hmotnej núdzi, príspevky na starostlivosť o dieťa pre odídencov z Ukrajiny, príspevky pre profesionálnych náhradných rodičov v Centre pre deti a rodiny a v rámci projektov FEAD REACT pre sociálne začlenenie najodkázanejších osôb.</w:t>
      </w:r>
    </w:p>
    <w:p w14:paraId="7BFB0673" w14:textId="77777777" w:rsidR="009B204F" w:rsidRPr="009B204F" w:rsidRDefault="009B204F" w:rsidP="009B204F">
      <w:pPr>
        <w:spacing w:line="240" w:lineRule="auto"/>
        <w:rPr>
          <w:rFonts w:eastAsia="Calibri" w:cs="Times New Roman"/>
          <w:sz w:val="24"/>
          <w:szCs w:val="24"/>
        </w:rPr>
      </w:pPr>
      <w:r w:rsidRPr="009B204F">
        <w:rPr>
          <w:rFonts w:eastAsia="Calibri" w:cs="Times New Roman"/>
          <w:b/>
          <w:i/>
          <w:sz w:val="24"/>
          <w:szCs w:val="24"/>
        </w:rPr>
        <w:t>Príspevok na osobitný účet</w:t>
      </w:r>
      <w:r w:rsidRPr="009B204F">
        <w:rPr>
          <w:rFonts w:eastAsia="Calibri" w:cs="Times New Roman"/>
          <w:b/>
          <w:i/>
          <w:color w:val="FF0000"/>
          <w:sz w:val="24"/>
          <w:szCs w:val="24"/>
        </w:rPr>
        <w:t xml:space="preserve"> </w:t>
      </w:r>
      <w:r w:rsidRPr="009B204F">
        <w:rPr>
          <w:rFonts w:eastAsia="Calibri" w:cs="Times New Roman"/>
          <w:sz w:val="24"/>
          <w:szCs w:val="24"/>
        </w:rPr>
        <w:t>dosiahol sumu 74 007 tis. eur a bol čerpaný</w:t>
      </w:r>
      <w:r w:rsidRPr="009B204F">
        <w:rPr>
          <w:rFonts w:eastAsia="Calibri" w:cs="Times New Roman"/>
          <w:color w:val="FF0000"/>
          <w:sz w:val="24"/>
          <w:szCs w:val="24"/>
        </w:rPr>
        <w:t xml:space="preserve"> </w:t>
      </w:r>
      <w:r w:rsidRPr="009B204F">
        <w:rPr>
          <w:rFonts w:eastAsia="Calibri" w:cs="Times New Roman"/>
          <w:sz w:val="24"/>
          <w:szCs w:val="24"/>
        </w:rPr>
        <w:t xml:space="preserve">výlučne </w:t>
      </w:r>
      <w:r w:rsidRPr="009B204F">
        <w:rPr>
          <w:rFonts w:eastAsia="Calibri" w:cs="Times New Roman"/>
          <w:sz w:val="24"/>
          <w:szCs w:val="24"/>
          <w:u w:val="single"/>
        </w:rPr>
        <w:t>Ministerstvom obrany SR</w:t>
      </w:r>
      <w:r w:rsidRPr="009B204F">
        <w:rPr>
          <w:rFonts w:eastAsia="Calibri" w:cs="Times New Roman"/>
          <w:sz w:val="24"/>
          <w:szCs w:val="24"/>
        </w:rPr>
        <w:t>, ktoré uskutočňuje úhrady v zmysle § 94 ods. 4 zákona č. 328/2002 Z. z. o sociálnom zabezpečení policajtov a vojakov a o zmene a doplnení niektorých zákonov.</w:t>
      </w:r>
    </w:p>
    <w:p w14:paraId="30EA07C2" w14:textId="04F8584F" w:rsidR="00B768D9" w:rsidRPr="00C15485" w:rsidRDefault="009B204F" w:rsidP="009B204F">
      <w:pPr>
        <w:spacing w:line="240" w:lineRule="auto"/>
        <w:rPr>
          <w:rFonts w:eastAsia="Calibri" w:cs="Times New Roman"/>
          <w:sz w:val="24"/>
          <w:szCs w:val="24"/>
        </w:rPr>
      </w:pPr>
      <w:r w:rsidRPr="009B204F">
        <w:rPr>
          <w:rFonts w:eastAsia="Calibri" w:cs="Times New Roman"/>
          <w:b/>
          <w:sz w:val="24"/>
          <w:szCs w:val="24"/>
        </w:rPr>
        <w:lastRenderedPageBreak/>
        <w:t xml:space="preserve">Transfery nefinančným subjektom </w:t>
      </w:r>
      <w:r w:rsidRPr="009B204F">
        <w:rPr>
          <w:rFonts w:eastAsia="Calibri" w:cs="Times New Roman"/>
          <w:sz w:val="24"/>
          <w:szCs w:val="24"/>
        </w:rPr>
        <w:t>dosiahli skutočné čerpanie hodnotu</w:t>
      </w:r>
      <w:r w:rsidRPr="009B204F">
        <w:rPr>
          <w:rFonts w:eastAsia="Calibri" w:cs="Times New Roman"/>
          <w:color w:val="FF0000"/>
          <w:sz w:val="24"/>
          <w:szCs w:val="24"/>
        </w:rPr>
        <w:t xml:space="preserve"> </w:t>
      </w:r>
      <w:r w:rsidRPr="009B204F">
        <w:rPr>
          <w:rFonts w:eastAsia="Calibri" w:cs="Times New Roman"/>
          <w:sz w:val="24"/>
          <w:szCs w:val="24"/>
        </w:rPr>
        <w:t>4 020 638 tis. eur,</w:t>
      </w:r>
      <w:r w:rsidRPr="009B204F">
        <w:rPr>
          <w:rFonts w:eastAsia="Calibri" w:cs="Times New Roman"/>
          <w:color w:val="FF0000"/>
          <w:sz w:val="24"/>
          <w:szCs w:val="24"/>
        </w:rPr>
        <w:t xml:space="preserve"> </w:t>
      </w:r>
      <w:r w:rsidRPr="009B204F">
        <w:rPr>
          <w:rFonts w:eastAsia="Calibri" w:cs="Times New Roman"/>
          <w:sz w:val="24"/>
          <w:szCs w:val="24"/>
        </w:rPr>
        <w:t>čo bolo v porovnaní s predchádzajúcim rokom o 2 872 789 tis. eur viac.</w:t>
      </w:r>
    </w:p>
    <w:tbl>
      <w:tblPr>
        <w:tblW w:w="9140" w:type="dxa"/>
        <w:tblCellMar>
          <w:left w:w="70" w:type="dxa"/>
          <w:right w:w="70" w:type="dxa"/>
        </w:tblCellMar>
        <w:tblLook w:val="04A0" w:firstRow="1" w:lastRow="0" w:firstColumn="1" w:lastColumn="0" w:noHBand="0" w:noVBand="1"/>
      </w:tblPr>
      <w:tblGrid>
        <w:gridCol w:w="9140"/>
      </w:tblGrid>
      <w:tr w:rsidR="00B768D9" w:rsidRPr="00360BCD" w14:paraId="7801DAF5" w14:textId="77777777" w:rsidTr="00207B7D">
        <w:trPr>
          <w:trHeight w:val="330"/>
        </w:trPr>
        <w:tc>
          <w:tcPr>
            <w:tcW w:w="9140" w:type="dxa"/>
            <w:tcBorders>
              <w:top w:val="nil"/>
              <w:left w:val="nil"/>
              <w:bottom w:val="nil"/>
              <w:right w:val="nil"/>
            </w:tcBorders>
            <w:shd w:val="clear" w:color="auto" w:fill="auto"/>
            <w:noWrap/>
            <w:vAlign w:val="center"/>
            <w:hideMark/>
          </w:tcPr>
          <w:p w14:paraId="1D3865DC" w14:textId="5DE0D970" w:rsidR="00B768D9" w:rsidRDefault="004A6E2F" w:rsidP="006151CA">
            <w:pPr>
              <w:spacing w:line="240" w:lineRule="auto"/>
              <w:rPr>
                <w:rFonts w:eastAsia="Arial Narrow" w:cs="Times New Roman"/>
                <w:b/>
                <w:bCs/>
                <w:noProof/>
                <w:color w:val="5B9BD5" w:themeColor="accent1"/>
                <w:sz w:val="20"/>
                <w:szCs w:val="36"/>
                <w:lang w:eastAsia="sk-SK"/>
              </w:rPr>
            </w:pPr>
            <w:r>
              <w:rPr>
                <w:rFonts w:eastAsia="Arial Narrow" w:cs="Times New Roman"/>
                <w:b/>
                <w:bCs/>
                <w:noProof/>
                <w:color w:val="5B9BD5" w:themeColor="accent1"/>
                <w:sz w:val="20"/>
                <w:szCs w:val="36"/>
                <w:lang w:eastAsia="sk-SK"/>
              </w:rPr>
              <w:t>Tabuľka 39</w:t>
            </w:r>
            <w:r w:rsidR="00B768D9" w:rsidRPr="00D329DA">
              <w:rPr>
                <w:rFonts w:eastAsia="Arial Narrow" w:cs="Times New Roman"/>
                <w:b/>
                <w:bCs/>
                <w:noProof/>
                <w:color w:val="5B9BD5" w:themeColor="accent1"/>
                <w:sz w:val="20"/>
                <w:szCs w:val="36"/>
                <w:lang w:eastAsia="sk-SK"/>
              </w:rPr>
              <w:t xml:space="preserve"> - </w:t>
            </w:r>
            <w:r w:rsidR="00B768D9">
              <w:rPr>
                <w:rFonts w:eastAsia="Arial Narrow" w:cs="Times New Roman"/>
                <w:b/>
                <w:bCs/>
                <w:noProof/>
                <w:color w:val="5B9BD5" w:themeColor="accent1"/>
                <w:sz w:val="20"/>
                <w:szCs w:val="36"/>
                <w:lang w:eastAsia="sk-SK"/>
              </w:rPr>
              <w:t>Transfery nefinančným subjektom</w:t>
            </w:r>
          </w:p>
          <w:tbl>
            <w:tblPr>
              <w:tblW w:w="9000" w:type="dxa"/>
              <w:tblCellMar>
                <w:left w:w="70" w:type="dxa"/>
                <w:right w:w="70" w:type="dxa"/>
              </w:tblCellMar>
              <w:tblLook w:val="04A0" w:firstRow="1" w:lastRow="0" w:firstColumn="1" w:lastColumn="0" w:noHBand="0" w:noVBand="1"/>
            </w:tblPr>
            <w:tblGrid>
              <w:gridCol w:w="2763"/>
              <w:gridCol w:w="1134"/>
              <w:gridCol w:w="993"/>
              <w:gridCol w:w="992"/>
              <w:gridCol w:w="992"/>
              <w:gridCol w:w="1134"/>
              <w:gridCol w:w="992"/>
            </w:tblGrid>
            <w:tr w:rsidR="00B41352" w:rsidRPr="002D4BD7" w14:paraId="1C8CD1F8" w14:textId="77777777" w:rsidTr="006A0B96">
              <w:trPr>
                <w:trHeight w:val="288"/>
              </w:trPr>
              <w:tc>
                <w:tcPr>
                  <w:tcW w:w="2763" w:type="dxa"/>
                  <w:vMerge w:val="restart"/>
                  <w:tcBorders>
                    <w:top w:val="single" w:sz="8" w:space="0" w:color="auto"/>
                    <w:left w:val="nil"/>
                    <w:right w:val="nil"/>
                  </w:tcBorders>
                  <w:shd w:val="clear" w:color="000000" w:fill="FFFFFF"/>
                  <w:vAlign w:val="center"/>
                  <w:hideMark/>
                </w:tcPr>
                <w:p w14:paraId="020B54B1" w14:textId="724CEED2" w:rsidR="00B41352" w:rsidRPr="002D4BD7" w:rsidRDefault="00B41352" w:rsidP="00B41352">
                  <w:pPr>
                    <w:spacing w:line="240" w:lineRule="auto"/>
                    <w:rPr>
                      <w:rFonts w:eastAsia="Times New Roman" w:cs="Times New Roman"/>
                      <w:b/>
                      <w:bCs/>
                      <w:color w:val="000000"/>
                      <w:sz w:val="18"/>
                      <w:szCs w:val="18"/>
                      <w:lang w:eastAsia="sk-SK"/>
                    </w:rPr>
                  </w:pPr>
                  <w:r w:rsidRPr="002D4BD7">
                    <w:rPr>
                      <w:rFonts w:eastAsia="Times New Roman" w:cs="Times New Roman"/>
                      <w:b/>
                      <w:bCs/>
                      <w:color w:val="000000"/>
                      <w:sz w:val="18"/>
                      <w:szCs w:val="18"/>
                      <w:lang w:eastAsia="sk-SK"/>
                    </w:rPr>
                    <w:t>v tis. eur</w:t>
                  </w:r>
                </w:p>
              </w:tc>
              <w:tc>
                <w:tcPr>
                  <w:tcW w:w="1134" w:type="dxa"/>
                  <w:tcBorders>
                    <w:top w:val="single" w:sz="8" w:space="0" w:color="auto"/>
                    <w:left w:val="nil"/>
                    <w:bottom w:val="nil"/>
                    <w:right w:val="nil"/>
                  </w:tcBorders>
                  <w:shd w:val="clear" w:color="000000" w:fill="FFFFFF"/>
                  <w:noWrap/>
                  <w:vAlign w:val="center"/>
                  <w:hideMark/>
                </w:tcPr>
                <w:p w14:paraId="07BCB7DC" w14:textId="77777777" w:rsidR="00B41352" w:rsidRPr="002D4BD7" w:rsidRDefault="00B41352" w:rsidP="006151CA">
                  <w:pPr>
                    <w:spacing w:line="240" w:lineRule="auto"/>
                    <w:jc w:val="center"/>
                    <w:rPr>
                      <w:rFonts w:eastAsia="Times New Roman" w:cs="Times New Roman"/>
                      <w:b/>
                      <w:bCs/>
                      <w:color w:val="000000"/>
                      <w:sz w:val="18"/>
                      <w:szCs w:val="18"/>
                      <w:lang w:eastAsia="sk-SK"/>
                    </w:rPr>
                  </w:pPr>
                  <w:r w:rsidRPr="002D4BD7">
                    <w:rPr>
                      <w:rFonts w:eastAsia="Times New Roman" w:cs="Times New Roman"/>
                      <w:b/>
                      <w:bCs/>
                      <w:color w:val="000000"/>
                      <w:sz w:val="18"/>
                      <w:szCs w:val="18"/>
                      <w:lang w:eastAsia="sk-SK"/>
                    </w:rPr>
                    <w:t>2021 S</w:t>
                  </w:r>
                </w:p>
              </w:tc>
              <w:tc>
                <w:tcPr>
                  <w:tcW w:w="993" w:type="dxa"/>
                  <w:tcBorders>
                    <w:top w:val="single" w:sz="8" w:space="0" w:color="auto"/>
                    <w:left w:val="nil"/>
                    <w:bottom w:val="nil"/>
                    <w:right w:val="nil"/>
                  </w:tcBorders>
                  <w:shd w:val="clear" w:color="000000" w:fill="FFFFFF"/>
                  <w:noWrap/>
                  <w:vAlign w:val="center"/>
                  <w:hideMark/>
                </w:tcPr>
                <w:p w14:paraId="6DE6372E" w14:textId="77777777" w:rsidR="00B41352" w:rsidRPr="002D4BD7" w:rsidRDefault="00B41352" w:rsidP="006151CA">
                  <w:pPr>
                    <w:spacing w:line="240" w:lineRule="auto"/>
                    <w:jc w:val="center"/>
                    <w:rPr>
                      <w:rFonts w:eastAsia="Times New Roman" w:cs="Times New Roman"/>
                      <w:b/>
                      <w:bCs/>
                      <w:color w:val="000000"/>
                      <w:sz w:val="18"/>
                      <w:szCs w:val="18"/>
                      <w:lang w:eastAsia="sk-SK"/>
                    </w:rPr>
                  </w:pPr>
                  <w:r w:rsidRPr="002D4BD7">
                    <w:rPr>
                      <w:rFonts w:eastAsia="Times New Roman" w:cs="Times New Roman"/>
                      <w:b/>
                      <w:bCs/>
                      <w:color w:val="000000"/>
                      <w:sz w:val="18"/>
                      <w:szCs w:val="18"/>
                      <w:lang w:eastAsia="sk-SK"/>
                    </w:rPr>
                    <w:t>2022 S</w:t>
                  </w:r>
                </w:p>
              </w:tc>
              <w:tc>
                <w:tcPr>
                  <w:tcW w:w="992" w:type="dxa"/>
                  <w:tcBorders>
                    <w:top w:val="single" w:sz="8" w:space="0" w:color="auto"/>
                    <w:left w:val="nil"/>
                    <w:bottom w:val="nil"/>
                    <w:right w:val="nil"/>
                  </w:tcBorders>
                  <w:shd w:val="clear" w:color="000000" w:fill="FFFFFF"/>
                  <w:noWrap/>
                  <w:vAlign w:val="center"/>
                  <w:hideMark/>
                </w:tcPr>
                <w:p w14:paraId="33DFE2C1" w14:textId="77777777" w:rsidR="00B41352" w:rsidRPr="002D4BD7" w:rsidRDefault="00B41352" w:rsidP="006151CA">
                  <w:pPr>
                    <w:spacing w:line="240" w:lineRule="auto"/>
                    <w:jc w:val="center"/>
                    <w:rPr>
                      <w:rFonts w:eastAsia="Times New Roman" w:cs="Times New Roman"/>
                      <w:b/>
                      <w:bCs/>
                      <w:color w:val="000000"/>
                      <w:sz w:val="18"/>
                      <w:szCs w:val="18"/>
                      <w:lang w:eastAsia="sk-SK"/>
                    </w:rPr>
                  </w:pPr>
                  <w:r w:rsidRPr="002D4BD7">
                    <w:rPr>
                      <w:rFonts w:eastAsia="Times New Roman" w:cs="Times New Roman"/>
                      <w:b/>
                      <w:bCs/>
                      <w:color w:val="000000"/>
                      <w:sz w:val="18"/>
                      <w:szCs w:val="18"/>
                      <w:lang w:eastAsia="sk-SK"/>
                    </w:rPr>
                    <w:t>2023 R</w:t>
                  </w:r>
                </w:p>
              </w:tc>
              <w:tc>
                <w:tcPr>
                  <w:tcW w:w="992" w:type="dxa"/>
                  <w:tcBorders>
                    <w:top w:val="single" w:sz="8" w:space="0" w:color="auto"/>
                    <w:left w:val="nil"/>
                    <w:bottom w:val="nil"/>
                    <w:right w:val="nil"/>
                  </w:tcBorders>
                  <w:shd w:val="clear" w:color="000000" w:fill="FFFFFF"/>
                  <w:noWrap/>
                  <w:vAlign w:val="center"/>
                  <w:hideMark/>
                </w:tcPr>
                <w:p w14:paraId="2F0AC4D4" w14:textId="77777777" w:rsidR="00B41352" w:rsidRPr="002D4BD7" w:rsidRDefault="00B41352" w:rsidP="006151CA">
                  <w:pPr>
                    <w:spacing w:line="240" w:lineRule="auto"/>
                    <w:jc w:val="center"/>
                    <w:rPr>
                      <w:rFonts w:eastAsia="Times New Roman" w:cs="Times New Roman"/>
                      <w:b/>
                      <w:bCs/>
                      <w:color w:val="000000"/>
                      <w:sz w:val="18"/>
                      <w:szCs w:val="18"/>
                      <w:lang w:eastAsia="sk-SK"/>
                    </w:rPr>
                  </w:pPr>
                  <w:r w:rsidRPr="002D4BD7">
                    <w:rPr>
                      <w:rFonts w:eastAsia="Times New Roman" w:cs="Times New Roman"/>
                      <w:b/>
                      <w:bCs/>
                      <w:color w:val="000000"/>
                      <w:sz w:val="18"/>
                      <w:szCs w:val="18"/>
                      <w:lang w:eastAsia="sk-SK"/>
                    </w:rPr>
                    <w:t>2023 S</w:t>
                  </w:r>
                </w:p>
              </w:tc>
              <w:tc>
                <w:tcPr>
                  <w:tcW w:w="1134" w:type="dxa"/>
                  <w:tcBorders>
                    <w:top w:val="single" w:sz="8" w:space="0" w:color="auto"/>
                    <w:left w:val="nil"/>
                    <w:bottom w:val="nil"/>
                    <w:right w:val="nil"/>
                  </w:tcBorders>
                  <w:shd w:val="clear" w:color="000000" w:fill="FFFFFF"/>
                  <w:noWrap/>
                  <w:vAlign w:val="center"/>
                  <w:hideMark/>
                </w:tcPr>
                <w:p w14:paraId="4B2DD421" w14:textId="77777777" w:rsidR="00B41352" w:rsidRPr="002D4BD7" w:rsidRDefault="00B41352" w:rsidP="006151CA">
                  <w:pPr>
                    <w:spacing w:line="240" w:lineRule="auto"/>
                    <w:jc w:val="center"/>
                    <w:rPr>
                      <w:rFonts w:eastAsia="Times New Roman" w:cs="Times New Roman"/>
                      <w:b/>
                      <w:bCs/>
                      <w:color w:val="000000"/>
                      <w:sz w:val="18"/>
                      <w:szCs w:val="18"/>
                      <w:lang w:eastAsia="sk-SK"/>
                    </w:rPr>
                  </w:pPr>
                  <w:r w:rsidRPr="002D4BD7">
                    <w:rPr>
                      <w:rFonts w:eastAsia="Times New Roman" w:cs="Times New Roman"/>
                      <w:b/>
                      <w:bCs/>
                      <w:color w:val="000000"/>
                      <w:sz w:val="18"/>
                      <w:szCs w:val="18"/>
                      <w:lang w:eastAsia="sk-SK"/>
                    </w:rPr>
                    <w:t>Rozdiel</w:t>
                  </w:r>
                </w:p>
              </w:tc>
              <w:tc>
                <w:tcPr>
                  <w:tcW w:w="992" w:type="dxa"/>
                  <w:tcBorders>
                    <w:top w:val="single" w:sz="8" w:space="0" w:color="auto"/>
                    <w:left w:val="nil"/>
                    <w:bottom w:val="nil"/>
                    <w:right w:val="nil"/>
                  </w:tcBorders>
                  <w:shd w:val="clear" w:color="000000" w:fill="FFFFFF"/>
                  <w:noWrap/>
                  <w:vAlign w:val="center"/>
                  <w:hideMark/>
                </w:tcPr>
                <w:p w14:paraId="382FCB08" w14:textId="77777777" w:rsidR="00B41352" w:rsidRPr="002D4BD7" w:rsidRDefault="00B41352" w:rsidP="006151CA">
                  <w:pPr>
                    <w:spacing w:line="240" w:lineRule="auto"/>
                    <w:jc w:val="center"/>
                    <w:rPr>
                      <w:rFonts w:eastAsia="Times New Roman" w:cs="Times New Roman"/>
                      <w:b/>
                      <w:bCs/>
                      <w:color w:val="000000"/>
                      <w:sz w:val="18"/>
                      <w:szCs w:val="18"/>
                      <w:lang w:eastAsia="sk-SK"/>
                    </w:rPr>
                  </w:pPr>
                  <w:r w:rsidRPr="002D4BD7">
                    <w:rPr>
                      <w:rFonts w:eastAsia="Times New Roman" w:cs="Times New Roman"/>
                      <w:b/>
                      <w:bCs/>
                      <w:color w:val="000000"/>
                      <w:sz w:val="18"/>
                      <w:szCs w:val="18"/>
                      <w:lang w:eastAsia="sk-SK"/>
                    </w:rPr>
                    <w:t>v %</w:t>
                  </w:r>
                </w:p>
              </w:tc>
            </w:tr>
            <w:tr w:rsidR="00B41352" w:rsidRPr="002D4BD7" w14:paraId="794BFAA7" w14:textId="77777777" w:rsidTr="006A0B96">
              <w:trPr>
                <w:trHeight w:val="300"/>
              </w:trPr>
              <w:tc>
                <w:tcPr>
                  <w:tcW w:w="2763" w:type="dxa"/>
                  <w:vMerge/>
                  <w:tcBorders>
                    <w:left w:val="nil"/>
                    <w:bottom w:val="single" w:sz="8" w:space="0" w:color="auto"/>
                    <w:right w:val="nil"/>
                  </w:tcBorders>
                  <w:shd w:val="clear" w:color="000000" w:fill="FFFFFF"/>
                  <w:vAlign w:val="center"/>
                  <w:hideMark/>
                </w:tcPr>
                <w:p w14:paraId="615FC553" w14:textId="377C7562" w:rsidR="00B41352" w:rsidRPr="002D4BD7" w:rsidRDefault="00B41352" w:rsidP="006151CA">
                  <w:pPr>
                    <w:spacing w:line="240" w:lineRule="auto"/>
                    <w:jc w:val="center"/>
                    <w:rPr>
                      <w:rFonts w:eastAsia="Times New Roman" w:cs="Times New Roman"/>
                      <w:b/>
                      <w:bCs/>
                      <w:color w:val="000000"/>
                      <w:sz w:val="18"/>
                      <w:szCs w:val="18"/>
                      <w:lang w:eastAsia="sk-SK"/>
                    </w:rPr>
                  </w:pPr>
                </w:p>
              </w:tc>
              <w:tc>
                <w:tcPr>
                  <w:tcW w:w="1134" w:type="dxa"/>
                  <w:tcBorders>
                    <w:top w:val="nil"/>
                    <w:left w:val="nil"/>
                    <w:bottom w:val="single" w:sz="8" w:space="0" w:color="auto"/>
                    <w:right w:val="nil"/>
                  </w:tcBorders>
                  <w:shd w:val="clear" w:color="000000" w:fill="FFFFFF"/>
                  <w:noWrap/>
                  <w:vAlign w:val="center"/>
                  <w:hideMark/>
                </w:tcPr>
                <w:p w14:paraId="3221DDC4" w14:textId="77777777" w:rsidR="00B41352" w:rsidRPr="002D4BD7" w:rsidRDefault="00B41352" w:rsidP="006151CA">
                  <w:pPr>
                    <w:spacing w:line="240" w:lineRule="auto"/>
                    <w:jc w:val="center"/>
                    <w:rPr>
                      <w:rFonts w:eastAsia="Times New Roman" w:cs="Times New Roman"/>
                      <w:b/>
                      <w:bCs/>
                      <w:color w:val="000000"/>
                      <w:sz w:val="18"/>
                      <w:szCs w:val="18"/>
                      <w:lang w:eastAsia="sk-SK"/>
                    </w:rPr>
                  </w:pPr>
                  <w:r w:rsidRPr="002D4BD7">
                    <w:rPr>
                      <w:rFonts w:eastAsia="Times New Roman" w:cs="Times New Roman"/>
                      <w:b/>
                      <w:bCs/>
                      <w:color w:val="000000"/>
                      <w:sz w:val="18"/>
                      <w:szCs w:val="18"/>
                      <w:lang w:eastAsia="sk-SK"/>
                    </w:rPr>
                    <w:t>1</w:t>
                  </w:r>
                </w:p>
              </w:tc>
              <w:tc>
                <w:tcPr>
                  <w:tcW w:w="993" w:type="dxa"/>
                  <w:tcBorders>
                    <w:top w:val="nil"/>
                    <w:left w:val="nil"/>
                    <w:bottom w:val="single" w:sz="8" w:space="0" w:color="auto"/>
                    <w:right w:val="nil"/>
                  </w:tcBorders>
                  <w:shd w:val="clear" w:color="000000" w:fill="FFFFFF"/>
                  <w:noWrap/>
                  <w:vAlign w:val="center"/>
                  <w:hideMark/>
                </w:tcPr>
                <w:p w14:paraId="58456F29" w14:textId="77777777" w:rsidR="00B41352" w:rsidRPr="002D4BD7" w:rsidRDefault="00B41352" w:rsidP="006151CA">
                  <w:pPr>
                    <w:spacing w:line="240" w:lineRule="auto"/>
                    <w:jc w:val="center"/>
                    <w:rPr>
                      <w:rFonts w:eastAsia="Times New Roman" w:cs="Times New Roman"/>
                      <w:b/>
                      <w:bCs/>
                      <w:color w:val="000000"/>
                      <w:sz w:val="18"/>
                      <w:szCs w:val="18"/>
                      <w:lang w:eastAsia="sk-SK"/>
                    </w:rPr>
                  </w:pPr>
                  <w:r w:rsidRPr="002D4BD7">
                    <w:rPr>
                      <w:rFonts w:eastAsia="Times New Roman" w:cs="Times New Roman"/>
                      <w:b/>
                      <w:bCs/>
                      <w:color w:val="000000"/>
                      <w:sz w:val="18"/>
                      <w:szCs w:val="18"/>
                      <w:lang w:eastAsia="sk-SK"/>
                    </w:rPr>
                    <w:t>2</w:t>
                  </w:r>
                </w:p>
              </w:tc>
              <w:tc>
                <w:tcPr>
                  <w:tcW w:w="992" w:type="dxa"/>
                  <w:tcBorders>
                    <w:top w:val="nil"/>
                    <w:left w:val="nil"/>
                    <w:bottom w:val="single" w:sz="8" w:space="0" w:color="auto"/>
                    <w:right w:val="nil"/>
                  </w:tcBorders>
                  <w:shd w:val="clear" w:color="000000" w:fill="FFFFFF"/>
                  <w:noWrap/>
                  <w:vAlign w:val="center"/>
                  <w:hideMark/>
                </w:tcPr>
                <w:p w14:paraId="7AC65241" w14:textId="77777777" w:rsidR="00B41352" w:rsidRPr="002D4BD7" w:rsidRDefault="00B41352" w:rsidP="006151CA">
                  <w:pPr>
                    <w:spacing w:line="240" w:lineRule="auto"/>
                    <w:jc w:val="center"/>
                    <w:rPr>
                      <w:rFonts w:eastAsia="Times New Roman" w:cs="Times New Roman"/>
                      <w:b/>
                      <w:bCs/>
                      <w:color w:val="000000"/>
                      <w:sz w:val="18"/>
                      <w:szCs w:val="18"/>
                      <w:lang w:eastAsia="sk-SK"/>
                    </w:rPr>
                  </w:pPr>
                  <w:r w:rsidRPr="002D4BD7">
                    <w:rPr>
                      <w:rFonts w:eastAsia="Times New Roman" w:cs="Times New Roman"/>
                      <w:b/>
                      <w:bCs/>
                      <w:color w:val="000000"/>
                      <w:sz w:val="18"/>
                      <w:szCs w:val="18"/>
                      <w:lang w:eastAsia="sk-SK"/>
                    </w:rPr>
                    <w:t>3</w:t>
                  </w:r>
                </w:p>
              </w:tc>
              <w:tc>
                <w:tcPr>
                  <w:tcW w:w="992" w:type="dxa"/>
                  <w:tcBorders>
                    <w:top w:val="nil"/>
                    <w:left w:val="nil"/>
                    <w:bottom w:val="single" w:sz="8" w:space="0" w:color="auto"/>
                    <w:right w:val="nil"/>
                  </w:tcBorders>
                  <w:shd w:val="clear" w:color="000000" w:fill="FFFFFF"/>
                  <w:noWrap/>
                  <w:vAlign w:val="center"/>
                  <w:hideMark/>
                </w:tcPr>
                <w:p w14:paraId="254E8A11" w14:textId="77777777" w:rsidR="00B41352" w:rsidRPr="002D4BD7" w:rsidRDefault="00B41352" w:rsidP="006151CA">
                  <w:pPr>
                    <w:spacing w:line="240" w:lineRule="auto"/>
                    <w:jc w:val="center"/>
                    <w:rPr>
                      <w:rFonts w:eastAsia="Times New Roman" w:cs="Times New Roman"/>
                      <w:b/>
                      <w:bCs/>
                      <w:color w:val="000000"/>
                      <w:sz w:val="18"/>
                      <w:szCs w:val="18"/>
                      <w:lang w:eastAsia="sk-SK"/>
                    </w:rPr>
                  </w:pPr>
                  <w:r w:rsidRPr="002D4BD7">
                    <w:rPr>
                      <w:rFonts w:eastAsia="Times New Roman" w:cs="Times New Roman"/>
                      <w:b/>
                      <w:bCs/>
                      <w:color w:val="000000"/>
                      <w:sz w:val="18"/>
                      <w:szCs w:val="18"/>
                      <w:lang w:eastAsia="sk-SK"/>
                    </w:rPr>
                    <w:t>4</w:t>
                  </w:r>
                </w:p>
              </w:tc>
              <w:tc>
                <w:tcPr>
                  <w:tcW w:w="1134" w:type="dxa"/>
                  <w:tcBorders>
                    <w:top w:val="nil"/>
                    <w:left w:val="nil"/>
                    <w:bottom w:val="single" w:sz="8" w:space="0" w:color="auto"/>
                    <w:right w:val="nil"/>
                  </w:tcBorders>
                  <w:shd w:val="clear" w:color="000000" w:fill="FFFFFF"/>
                  <w:noWrap/>
                  <w:vAlign w:val="center"/>
                  <w:hideMark/>
                </w:tcPr>
                <w:p w14:paraId="51136ACB" w14:textId="77777777" w:rsidR="00B41352" w:rsidRPr="002D4BD7" w:rsidRDefault="00B41352" w:rsidP="006151CA">
                  <w:pPr>
                    <w:spacing w:line="240" w:lineRule="auto"/>
                    <w:jc w:val="center"/>
                    <w:rPr>
                      <w:rFonts w:eastAsia="Times New Roman" w:cs="Times New Roman"/>
                      <w:b/>
                      <w:bCs/>
                      <w:color w:val="000000"/>
                      <w:sz w:val="18"/>
                      <w:szCs w:val="18"/>
                      <w:lang w:eastAsia="sk-SK"/>
                    </w:rPr>
                  </w:pPr>
                  <w:r w:rsidRPr="002D4BD7">
                    <w:rPr>
                      <w:rFonts w:eastAsia="Times New Roman" w:cs="Times New Roman"/>
                      <w:b/>
                      <w:bCs/>
                      <w:color w:val="000000"/>
                      <w:sz w:val="18"/>
                      <w:szCs w:val="18"/>
                      <w:lang w:eastAsia="sk-SK"/>
                    </w:rPr>
                    <w:t>5=4-3</w:t>
                  </w:r>
                </w:p>
              </w:tc>
              <w:tc>
                <w:tcPr>
                  <w:tcW w:w="992" w:type="dxa"/>
                  <w:tcBorders>
                    <w:top w:val="nil"/>
                    <w:left w:val="nil"/>
                    <w:bottom w:val="single" w:sz="8" w:space="0" w:color="auto"/>
                    <w:right w:val="nil"/>
                  </w:tcBorders>
                  <w:shd w:val="clear" w:color="000000" w:fill="FFFFFF"/>
                  <w:noWrap/>
                  <w:vAlign w:val="center"/>
                  <w:hideMark/>
                </w:tcPr>
                <w:p w14:paraId="70F4C58F" w14:textId="77777777" w:rsidR="00B41352" w:rsidRPr="002D4BD7" w:rsidRDefault="00B41352" w:rsidP="006151CA">
                  <w:pPr>
                    <w:spacing w:line="240" w:lineRule="auto"/>
                    <w:jc w:val="center"/>
                    <w:rPr>
                      <w:rFonts w:eastAsia="Times New Roman" w:cs="Times New Roman"/>
                      <w:b/>
                      <w:bCs/>
                      <w:color w:val="000000"/>
                      <w:sz w:val="18"/>
                      <w:szCs w:val="18"/>
                      <w:lang w:eastAsia="sk-SK"/>
                    </w:rPr>
                  </w:pPr>
                  <w:r w:rsidRPr="002D4BD7">
                    <w:rPr>
                      <w:rFonts w:eastAsia="Times New Roman" w:cs="Times New Roman"/>
                      <w:b/>
                      <w:bCs/>
                      <w:color w:val="000000"/>
                      <w:sz w:val="18"/>
                      <w:szCs w:val="18"/>
                      <w:lang w:eastAsia="sk-SK"/>
                    </w:rPr>
                    <w:t>6=4-3</w:t>
                  </w:r>
                </w:p>
              </w:tc>
            </w:tr>
            <w:tr w:rsidR="002D4BD7" w:rsidRPr="002D4BD7" w14:paraId="2313CF70" w14:textId="77777777" w:rsidTr="00556CF0">
              <w:trPr>
                <w:trHeight w:val="288"/>
              </w:trPr>
              <w:tc>
                <w:tcPr>
                  <w:tcW w:w="2763" w:type="dxa"/>
                  <w:tcBorders>
                    <w:top w:val="nil"/>
                    <w:left w:val="nil"/>
                    <w:bottom w:val="nil"/>
                    <w:right w:val="nil"/>
                  </w:tcBorders>
                  <w:shd w:val="clear" w:color="auto" w:fill="auto"/>
                  <w:vAlign w:val="center"/>
                  <w:hideMark/>
                </w:tcPr>
                <w:p w14:paraId="72DBD4AC" w14:textId="77777777" w:rsidR="002D4BD7" w:rsidRPr="002D4BD7" w:rsidRDefault="002D4BD7" w:rsidP="006151CA">
                  <w:pPr>
                    <w:spacing w:line="240" w:lineRule="auto"/>
                    <w:rPr>
                      <w:rFonts w:eastAsia="Times New Roman" w:cs="Times New Roman"/>
                      <w:color w:val="000000"/>
                      <w:sz w:val="18"/>
                      <w:szCs w:val="18"/>
                      <w:lang w:eastAsia="sk-SK"/>
                    </w:rPr>
                  </w:pPr>
                  <w:r w:rsidRPr="002D4BD7">
                    <w:rPr>
                      <w:rFonts w:eastAsia="Times New Roman" w:cs="Times New Roman"/>
                      <w:color w:val="000000"/>
                      <w:sz w:val="18"/>
                      <w:szCs w:val="18"/>
                      <w:lang w:eastAsia="sk-SK"/>
                    </w:rPr>
                    <w:t>Ostatnej právnickej osobe</w:t>
                  </w:r>
                </w:p>
              </w:tc>
              <w:tc>
                <w:tcPr>
                  <w:tcW w:w="1134" w:type="dxa"/>
                  <w:tcBorders>
                    <w:top w:val="nil"/>
                    <w:left w:val="nil"/>
                    <w:bottom w:val="nil"/>
                    <w:right w:val="nil"/>
                  </w:tcBorders>
                  <w:shd w:val="clear" w:color="auto" w:fill="auto"/>
                  <w:vAlign w:val="center"/>
                  <w:hideMark/>
                </w:tcPr>
                <w:p w14:paraId="767ABBFF" w14:textId="77777777" w:rsidR="002D4BD7" w:rsidRPr="002D4BD7" w:rsidRDefault="002D4BD7" w:rsidP="006151CA">
                  <w:pPr>
                    <w:spacing w:line="240" w:lineRule="auto"/>
                    <w:jc w:val="right"/>
                    <w:rPr>
                      <w:rFonts w:eastAsia="Times New Roman" w:cs="Times New Roman"/>
                      <w:color w:val="000000"/>
                      <w:sz w:val="18"/>
                      <w:szCs w:val="18"/>
                      <w:lang w:eastAsia="sk-SK"/>
                    </w:rPr>
                  </w:pPr>
                  <w:r w:rsidRPr="002D4BD7">
                    <w:rPr>
                      <w:rFonts w:eastAsia="Times New Roman" w:cs="Times New Roman"/>
                      <w:color w:val="000000"/>
                      <w:sz w:val="18"/>
                      <w:szCs w:val="18"/>
                      <w:lang w:eastAsia="sk-SK"/>
                    </w:rPr>
                    <w:t>903 469</w:t>
                  </w:r>
                </w:p>
              </w:tc>
              <w:tc>
                <w:tcPr>
                  <w:tcW w:w="993" w:type="dxa"/>
                  <w:tcBorders>
                    <w:top w:val="nil"/>
                    <w:left w:val="nil"/>
                    <w:bottom w:val="nil"/>
                    <w:right w:val="nil"/>
                  </w:tcBorders>
                  <w:shd w:val="clear" w:color="000000" w:fill="FFFFFF"/>
                  <w:vAlign w:val="center"/>
                  <w:hideMark/>
                </w:tcPr>
                <w:p w14:paraId="5D8B2D08" w14:textId="77777777" w:rsidR="002D4BD7" w:rsidRPr="002D4BD7" w:rsidRDefault="002D4BD7" w:rsidP="006151CA">
                  <w:pPr>
                    <w:spacing w:line="240" w:lineRule="auto"/>
                    <w:jc w:val="right"/>
                    <w:rPr>
                      <w:rFonts w:eastAsia="Times New Roman" w:cs="Times New Roman"/>
                      <w:color w:val="000000"/>
                      <w:sz w:val="18"/>
                      <w:szCs w:val="18"/>
                      <w:lang w:eastAsia="sk-SK"/>
                    </w:rPr>
                  </w:pPr>
                  <w:r w:rsidRPr="002D4BD7">
                    <w:rPr>
                      <w:rFonts w:eastAsia="Times New Roman" w:cs="Times New Roman"/>
                      <w:color w:val="000000"/>
                      <w:sz w:val="18"/>
                      <w:szCs w:val="18"/>
                      <w:lang w:eastAsia="sk-SK"/>
                    </w:rPr>
                    <w:t>861 418</w:t>
                  </w:r>
                </w:p>
              </w:tc>
              <w:tc>
                <w:tcPr>
                  <w:tcW w:w="992" w:type="dxa"/>
                  <w:tcBorders>
                    <w:top w:val="nil"/>
                    <w:left w:val="nil"/>
                    <w:bottom w:val="nil"/>
                    <w:right w:val="nil"/>
                  </w:tcBorders>
                  <w:shd w:val="clear" w:color="auto" w:fill="auto"/>
                  <w:vAlign w:val="center"/>
                  <w:hideMark/>
                </w:tcPr>
                <w:p w14:paraId="3F4B6E70" w14:textId="77777777" w:rsidR="002D4BD7" w:rsidRPr="002D4BD7" w:rsidRDefault="002D4BD7" w:rsidP="006151CA">
                  <w:pPr>
                    <w:spacing w:line="240" w:lineRule="auto"/>
                    <w:jc w:val="right"/>
                    <w:rPr>
                      <w:rFonts w:eastAsia="Times New Roman" w:cs="Times New Roman"/>
                      <w:color w:val="000000"/>
                      <w:sz w:val="18"/>
                      <w:szCs w:val="18"/>
                      <w:lang w:eastAsia="sk-SK"/>
                    </w:rPr>
                  </w:pPr>
                  <w:r w:rsidRPr="002D4BD7">
                    <w:rPr>
                      <w:rFonts w:eastAsia="Times New Roman" w:cs="Times New Roman"/>
                      <w:color w:val="000000"/>
                      <w:sz w:val="18"/>
                      <w:szCs w:val="18"/>
                      <w:lang w:eastAsia="sk-SK"/>
                    </w:rPr>
                    <w:t>1 371 668</w:t>
                  </w:r>
                </w:p>
              </w:tc>
              <w:tc>
                <w:tcPr>
                  <w:tcW w:w="992" w:type="dxa"/>
                  <w:tcBorders>
                    <w:top w:val="nil"/>
                    <w:left w:val="nil"/>
                    <w:bottom w:val="nil"/>
                    <w:right w:val="nil"/>
                  </w:tcBorders>
                  <w:shd w:val="clear" w:color="auto" w:fill="auto"/>
                  <w:vAlign w:val="center"/>
                  <w:hideMark/>
                </w:tcPr>
                <w:p w14:paraId="4BD8930E" w14:textId="77777777" w:rsidR="002D4BD7" w:rsidRPr="002D4BD7" w:rsidRDefault="002D4BD7" w:rsidP="006151CA">
                  <w:pPr>
                    <w:spacing w:line="240" w:lineRule="auto"/>
                    <w:jc w:val="right"/>
                    <w:rPr>
                      <w:rFonts w:eastAsia="Times New Roman" w:cs="Times New Roman"/>
                      <w:color w:val="000000"/>
                      <w:sz w:val="18"/>
                      <w:szCs w:val="18"/>
                      <w:lang w:eastAsia="sk-SK"/>
                    </w:rPr>
                  </w:pPr>
                  <w:r w:rsidRPr="002D4BD7">
                    <w:rPr>
                      <w:rFonts w:eastAsia="Times New Roman" w:cs="Times New Roman"/>
                      <w:color w:val="000000"/>
                      <w:sz w:val="18"/>
                      <w:szCs w:val="18"/>
                      <w:lang w:eastAsia="sk-SK"/>
                    </w:rPr>
                    <w:t>3 617 013</w:t>
                  </w:r>
                </w:p>
              </w:tc>
              <w:tc>
                <w:tcPr>
                  <w:tcW w:w="1134" w:type="dxa"/>
                  <w:tcBorders>
                    <w:top w:val="nil"/>
                    <w:left w:val="nil"/>
                    <w:bottom w:val="nil"/>
                    <w:right w:val="nil"/>
                  </w:tcBorders>
                  <w:shd w:val="clear" w:color="auto" w:fill="auto"/>
                  <w:vAlign w:val="center"/>
                  <w:hideMark/>
                </w:tcPr>
                <w:p w14:paraId="4E8E6E28" w14:textId="77777777" w:rsidR="002D4BD7" w:rsidRPr="002D4BD7" w:rsidRDefault="002D4BD7" w:rsidP="006151CA">
                  <w:pPr>
                    <w:spacing w:line="240" w:lineRule="auto"/>
                    <w:jc w:val="right"/>
                    <w:rPr>
                      <w:rFonts w:eastAsia="Times New Roman" w:cs="Times New Roman"/>
                      <w:color w:val="000000"/>
                      <w:sz w:val="18"/>
                      <w:szCs w:val="18"/>
                      <w:lang w:eastAsia="sk-SK"/>
                    </w:rPr>
                  </w:pPr>
                  <w:r w:rsidRPr="002D4BD7">
                    <w:rPr>
                      <w:rFonts w:eastAsia="Times New Roman" w:cs="Times New Roman"/>
                      <w:color w:val="000000"/>
                      <w:sz w:val="18"/>
                      <w:szCs w:val="18"/>
                      <w:lang w:eastAsia="sk-SK"/>
                    </w:rPr>
                    <w:t>2 245 345</w:t>
                  </w:r>
                </w:p>
              </w:tc>
              <w:tc>
                <w:tcPr>
                  <w:tcW w:w="992" w:type="dxa"/>
                  <w:tcBorders>
                    <w:top w:val="nil"/>
                    <w:left w:val="nil"/>
                    <w:bottom w:val="nil"/>
                    <w:right w:val="nil"/>
                  </w:tcBorders>
                  <w:shd w:val="clear" w:color="auto" w:fill="auto"/>
                  <w:vAlign w:val="center"/>
                  <w:hideMark/>
                </w:tcPr>
                <w:p w14:paraId="4924C7DA" w14:textId="77777777" w:rsidR="002D4BD7" w:rsidRPr="002D4BD7" w:rsidRDefault="002D4BD7" w:rsidP="006151CA">
                  <w:pPr>
                    <w:spacing w:line="240" w:lineRule="auto"/>
                    <w:jc w:val="right"/>
                    <w:rPr>
                      <w:rFonts w:eastAsia="Times New Roman" w:cs="Times New Roman"/>
                      <w:color w:val="000000"/>
                      <w:sz w:val="18"/>
                      <w:szCs w:val="18"/>
                      <w:lang w:eastAsia="sk-SK"/>
                    </w:rPr>
                  </w:pPr>
                  <w:r w:rsidRPr="002D4BD7">
                    <w:rPr>
                      <w:rFonts w:eastAsia="Times New Roman" w:cs="Times New Roman"/>
                      <w:color w:val="000000"/>
                      <w:sz w:val="18"/>
                      <w:szCs w:val="18"/>
                      <w:lang w:eastAsia="sk-SK"/>
                    </w:rPr>
                    <w:t>163,7</w:t>
                  </w:r>
                </w:p>
              </w:tc>
            </w:tr>
            <w:tr w:rsidR="002D4BD7" w:rsidRPr="002D4BD7" w14:paraId="5C4203B3" w14:textId="77777777" w:rsidTr="00556CF0">
              <w:trPr>
                <w:trHeight w:val="480"/>
              </w:trPr>
              <w:tc>
                <w:tcPr>
                  <w:tcW w:w="2763" w:type="dxa"/>
                  <w:tcBorders>
                    <w:top w:val="nil"/>
                    <w:left w:val="nil"/>
                    <w:bottom w:val="nil"/>
                    <w:right w:val="nil"/>
                  </w:tcBorders>
                  <w:shd w:val="clear" w:color="auto" w:fill="auto"/>
                  <w:vAlign w:val="center"/>
                  <w:hideMark/>
                </w:tcPr>
                <w:p w14:paraId="4A09BBFA" w14:textId="77777777" w:rsidR="002D4BD7" w:rsidRPr="002D4BD7" w:rsidRDefault="002D4BD7" w:rsidP="006151CA">
                  <w:pPr>
                    <w:spacing w:line="240" w:lineRule="auto"/>
                    <w:rPr>
                      <w:rFonts w:eastAsia="Times New Roman" w:cs="Times New Roman"/>
                      <w:color w:val="000000"/>
                      <w:sz w:val="18"/>
                      <w:szCs w:val="18"/>
                      <w:lang w:eastAsia="sk-SK"/>
                    </w:rPr>
                  </w:pPr>
                  <w:r w:rsidRPr="002D4BD7">
                    <w:rPr>
                      <w:rFonts w:eastAsia="Times New Roman" w:cs="Times New Roman"/>
                      <w:color w:val="000000"/>
                      <w:sz w:val="18"/>
                      <w:szCs w:val="18"/>
                      <w:lang w:eastAsia="sk-SK"/>
                    </w:rPr>
                    <w:t>Právnickej osobe založenej štátom, obcou alebo VÚC</w:t>
                  </w:r>
                </w:p>
              </w:tc>
              <w:tc>
                <w:tcPr>
                  <w:tcW w:w="1134" w:type="dxa"/>
                  <w:tcBorders>
                    <w:top w:val="nil"/>
                    <w:left w:val="nil"/>
                    <w:bottom w:val="nil"/>
                    <w:right w:val="nil"/>
                  </w:tcBorders>
                  <w:shd w:val="clear" w:color="auto" w:fill="auto"/>
                  <w:vAlign w:val="center"/>
                  <w:hideMark/>
                </w:tcPr>
                <w:p w14:paraId="727D39D0" w14:textId="77777777" w:rsidR="002D4BD7" w:rsidRPr="002D4BD7" w:rsidRDefault="002D4BD7" w:rsidP="006151CA">
                  <w:pPr>
                    <w:spacing w:line="240" w:lineRule="auto"/>
                    <w:jc w:val="right"/>
                    <w:rPr>
                      <w:rFonts w:eastAsia="Times New Roman" w:cs="Times New Roman"/>
                      <w:color w:val="000000"/>
                      <w:sz w:val="18"/>
                      <w:szCs w:val="18"/>
                      <w:lang w:eastAsia="sk-SK"/>
                    </w:rPr>
                  </w:pPr>
                  <w:r w:rsidRPr="002D4BD7">
                    <w:rPr>
                      <w:rFonts w:eastAsia="Times New Roman" w:cs="Times New Roman"/>
                      <w:color w:val="000000"/>
                      <w:sz w:val="18"/>
                      <w:szCs w:val="18"/>
                      <w:lang w:eastAsia="sk-SK"/>
                    </w:rPr>
                    <w:t>309 316</w:t>
                  </w:r>
                </w:p>
              </w:tc>
              <w:tc>
                <w:tcPr>
                  <w:tcW w:w="993" w:type="dxa"/>
                  <w:tcBorders>
                    <w:top w:val="nil"/>
                    <w:left w:val="nil"/>
                    <w:bottom w:val="nil"/>
                    <w:right w:val="nil"/>
                  </w:tcBorders>
                  <w:shd w:val="clear" w:color="000000" w:fill="FFFFFF"/>
                  <w:vAlign w:val="center"/>
                  <w:hideMark/>
                </w:tcPr>
                <w:p w14:paraId="491FD227" w14:textId="77777777" w:rsidR="002D4BD7" w:rsidRPr="002D4BD7" w:rsidRDefault="002D4BD7" w:rsidP="006151CA">
                  <w:pPr>
                    <w:spacing w:line="240" w:lineRule="auto"/>
                    <w:jc w:val="right"/>
                    <w:rPr>
                      <w:rFonts w:eastAsia="Times New Roman" w:cs="Times New Roman"/>
                      <w:color w:val="000000"/>
                      <w:sz w:val="18"/>
                      <w:szCs w:val="18"/>
                      <w:lang w:eastAsia="sk-SK"/>
                    </w:rPr>
                  </w:pPr>
                  <w:r w:rsidRPr="002D4BD7">
                    <w:rPr>
                      <w:rFonts w:eastAsia="Times New Roman" w:cs="Times New Roman"/>
                      <w:color w:val="000000"/>
                      <w:sz w:val="18"/>
                      <w:szCs w:val="18"/>
                      <w:lang w:eastAsia="sk-SK"/>
                    </w:rPr>
                    <w:t>190 123</w:t>
                  </w:r>
                </w:p>
              </w:tc>
              <w:tc>
                <w:tcPr>
                  <w:tcW w:w="992" w:type="dxa"/>
                  <w:tcBorders>
                    <w:top w:val="nil"/>
                    <w:left w:val="nil"/>
                    <w:bottom w:val="nil"/>
                    <w:right w:val="nil"/>
                  </w:tcBorders>
                  <w:shd w:val="clear" w:color="auto" w:fill="auto"/>
                  <w:vAlign w:val="center"/>
                  <w:hideMark/>
                </w:tcPr>
                <w:p w14:paraId="64CE0A17" w14:textId="77777777" w:rsidR="002D4BD7" w:rsidRPr="002D4BD7" w:rsidRDefault="002D4BD7" w:rsidP="006151CA">
                  <w:pPr>
                    <w:spacing w:line="240" w:lineRule="auto"/>
                    <w:jc w:val="right"/>
                    <w:rPr>
                      <w:rFonts w:eastAsia="Times New Roman" w:cs="Times New Roman"/>
                      <w:color w:val="000000"/>
                      <w:sz w:val="18"/>
                      <w:szCs w:val="18"/>
                      <w:lang w:eastAsia="sk-SK"/>
                    </w:rPr>
                  </w:pPr>
                  <w:r w:rsidRPr="002D4BD7">
                    <w:rPr>
                      <w:rFonts w:eastAsia="Times New Roman" w:cs="Times New Roman"/>
                      <w:color w:val="000000"/>
                      <w:sz w:val="18"/>
                      <w:szCs w:val="18"/>
                      <w:lang w:eastAsia="sk-SK"/>
                    </w:rPr>
                    <w:t>19 938</w:t>
                  </w:r>
                </w:p>
              </w:tc>
              <w:tc>
                <w:tcPr>
                  <w:tcW w:w="992" w:type="dxa"/>
                  <w:tcBorders>
                    <w:top w:val="nil"/>
                    <w:left w:val="nil"/>
                    <w:bottom w:val="nil"/>
                    <w:right w:val="nil"/>
                  </w:tcBorders>
                  <w:shd w:val="clear" w:color="auto" w:fill="auto"/>
                  <w:vAlign w:val="center"/>
                  <w:hideMark/>
                </w:tcPr>
                <w:p w14:paraId="4F661216" w14:textId="77777777" w:rsidR="002D4BD7" w:rsidRPr="002D4BD7" w:rsidRDefault="002D4BD7" w:rsidP="006151CA">
                  <w:pPr>
                    <w:spacing w:line="240" w:lineRule="auto"/>
                    <w:jc w:val="right"/>
                    <w:rPr>
                      <w:rFonts w:eastAsia="Times New Roman" w:cs="Times New Roman"/>
                      <w:color w:val="000000"/>
                      <w:sz w:val="18"/>
                      <w:szCs w:val="18"/>
                      <w:lang w:eastAsia="sk-SK"/>
                    </w:rPr>
                  </w:pPr>
                  <w:r w:rsidRPr="002D4BD7">
                    <w:rPr>
                      <w:rFonts w:eastAsia="Times New Roman" w:cs="Times New Roman"/>
                      <w:color w:val="000000"/>
                      <w:sz w:val="18"/>
                      <w:szCs w:val="18"/>
                      <w:lang w:eastAsia="sk-SK"/>
                    </w:rPr>
                    <w:t>300 138</w:t>
                  </w:r>
                </w:p>
              </w:tc>
              <w:tc>
                <w:tcPr>
                  <w:tcW w:w="1134" w:type="dxa"/>
                  <w:tcBorders>
                    <w:top w:val="nil"/>
                    <w:left w:val="nil"/>
                    <w:bottom w:val="nil"/>
                    <w:right w:val="nil"/>
                  </w:tcBorders>
                  <w:shd w:val="clear" w:color="auto" w:fill="auto"/>
                  <w:vAlign w:val="center"/>
                  <w:hideMark/>
                </w:tcPr>
                <w:p w14:paraId="19D0A7E4" w14:textId="77777777" w:rsidR="002D4BD7" w:rsidRPr="002D4BD7" w:rsidRDefault="002D4BD7" w:rsidP="006151CA">
                  <w:pPr>
                    <w:spacing w:line="240" w:lineRule="auto"/>
                    <w:jc w:val="right"/>
                    <w:rPr>
                      <w:rFonts w:eastAsia="Times New Roman" w:cs="Times New Roman"/>
                      <w:color w:val="000000"/>
                      <w:sz w:val="18"/>
                      <w:szCs w:val="18"/>
                      <w:lang w:eastAsia="sk-SK"/>
                    </w:rPr>
                  </w:pPr>
                  <w:r w:rsidRPr="002D4BD7">
                    <w:rPr>
                      <w:rFonts w:eastAsia="Times New Roman" w:cs="Times New Roman"/>
                      <w:color w:val="000000"/>
                      <w:sz w:val="18"/>
                      <w:szCs w:val="18"/>
                      <w:lang w:eastAsia="sk-SK"/>
                    </w:rPr>
                    <w:t>280 200</w:t>
                  </w:r>
                </w:p>
              </w:tc>
              <w:tc>
                <w:tcPr>
                  <w:tcW w:w="992" w:type="dxa"/>
                  <w:tcBorders>
                    <w:top w:val="nil"/>
                    <w:left w:val="nil"/>
                    <w:bottom w:val="nil"/>
                    <w:right w:val="nil"/>
                  </w:tcBorders>
                  <w:shd w:val="clear" w:color="auto" w:fill="auto"/>
                  <w:vAlign w:val="center"/>
                  <w:hideMark/>
                </w:tcPr>
                <w:p w14:paraId="74C59DC2" w14:textId="77777777" w:rsidR="002D4BD7" w:rsidRPr="002D4BD7" w:rsidRDefault="002D4BD7" w:rsidP="006151CA">
                  <w:pPr>
                    <w:spacing w:line="240" w:lineRule="auto"/>
                    <w:jc w:val="right"/>
                    <w:rPr>
                      <w:rFonts w:eastAsia="Times New Roman" w:cs="Times New Roman"/>
                      <w:color w:val="000000"/>
                      <w:sz w:val="18"/>
                      <w:szCs w:val="18"/>
                      <w:lang w:eastAsia="sk-SK"/>
                    </w:rPr>
                  </w:pPr>
                  <w:r w:rsidRPr="002D4BD7">
                    <w:rPr>
                      <w:rFonts w:eastAsia="Times New Roman" w:cs="Times New Roman"/>
                      <w:color w:val="000000"/>
                      <w:sz w:val="18"/>
                      <w:szCs w:val="18"/>
                      <w:lang w:eastAsia="sk-SK"/>
                    </w:rPr>
                    <w:t>1405,4</w:t>
                  </w:r>
                </w:p>
              </w:tc>
            </w:tr>
            <w:tr w:rsidR="002D4BD7" w:rsidRPr="002D4BD7" w14:paraId="5433F049" w14:textId="77777777" w:rsidTr="00556CF0">
              <w:trPr>
                <w:trHeight w:val="300"/>
              </w:trPr>
              <w:tc>
                <w:tcPr>
                  <w:tcW w:w="2763" w:type="dxa"/>
                  <w:tcBorders>
                    <w:top w:val="nil"/>
                    <w:left w:val="nil"/>
                    <w:bottom w:val="nil"/>
                    <w:right w:val="nil"/>
                  </w:tcBorders>
                  <w:shd w:val="clear" w:color="auto" w:fill="auto"/>
                  <w:vAlign w:val="center"/>
                  <w:hideMark/>
                </w:tcPr>
                <w:p w14:paraId="6B94DD57" w14:textId="77777777" w:rsidR="002D4BD7" w:rsidRPr="002D4BD7" w:rsidRDefault="002D4BD7" w:rsidP="006151CA">
                  <w:pPr>
                    <w:spacing w:line="240" w:lineRule="auto"/>
                    <w:rPr>
                      <w:rFonts w:eastAsia="Times New Roman" w:cs="Times New Roman"/>
                      <w:color w:val="000000"/>
                      <w:sz w:val="18"/>
                      <w:szCs w:val="18"/>
                      <w:lang w:eastAsia="sk-SK"/>
                    </w:rPr>
                  </w:pPr>
                  <w:r w:rsidRPr="002D4BD7">
                    <w:rPr>
                      <w:rFonts w:eastAsia="Times New Roman" w:cs="Times New Roman"/>
                      <w:color w:val="000000"/>
                      <w:sz w:val="18"/>
                      <w:szCs w:val="18"/>
                      <w:lang w:eastAsia="sk-SK"/>
                    </w:rPr>
                    <w:t>Fyzickej osobe podnikateľovi</w:t>
                  </w:r>
                </w:p>
              </w:tc>
              <w:tc>
                <w:tcPr>
                  <w:tcW w:w="1134" w:type="dxa"/>
                  <w:tcBorders>
                    <w:top w:val="nil"/>
                    <w:left w:val="nil"/>
                    <w:bottom w:val="nil"/>
                    <w:right w:val="nil"/>
                  </w:tcBorders>
                  <w:shd w:val="clear" w:color="auto" w:fill="auto"/>
                  <w:vAlign w:val="center"/>
                  <w:hideMark/>
                </w:tcPr>
                <w:p w14:paraId="48FC4159" w14:textId="77777777" w:rsidR="002D4BD7" w:rsidRPr="002D4BD7" w:rsidRDefault="002D4BD7" w:rsidP="006151CA">
                  <w:pPr>
                    <w:spacing w:line="240" w:lineRule="auto"/>
                    <w:jc w:val="right"/>
                    <w:rPr>
                      <w:rFonts w:eastAsia="Times New Roman" w:cs="Times New Roman"/>
                      <w:color w:val="000000"/>
                      <w:sz w:val="18"/>
                      <w:szCs w:val="18"/>
                      <w:lang w:eastAsia="sk-SK"/>
                    </w:rPr>
                  </w:pPr>
                  <w:r w:rsidRPr="002D4BD7">
                    <w:rPr>
                      <w:rFonts w:eastAsia="Times New Roman" w:cs="Times New Roman"/>
                      <w:color w:val="000000"/>
                      <w:sz w:val="18"/>
                      <w:szCs w:val="18"/>
                      <w:lang w:eastAsia="sk-SK"/>
                    </w:rPr>
                    <w:t>131 243</w:t>
                  </w:r>
                </w:p>
              </w:tc>
              <w:tc>
                <w:tcPr>
                  <w:tcW w:w="993" w:type="dxa"/>
                  <w:tcBorders>
                    <w:top w:val="nil"/>
                    <w:left w:val="nil"/>
                    <w:bottom w:val="nil"/>
                    <w:right w:val="nil"/>
                  </w:tcBorders>
                  <w:shd w:val="clear" w:color="000000" w:fill="FFFFFF"/>
                  <w:vAlign w:val="center"/>
                  <w:hideMark/>
                </w:tcPr>
                <w:p w14:paraId="1063DF28" w14:textId="77777777" w:rsidR="002D4BD7" w:rsidRPr="002D4BD7" w:rsidRDefault="002D4BD7" w:rsidP="006151CA">
                  <w:pPr>
                    <w:spacing w:line="240" w:lineRule="auto"/>
                    <w:jc w:val="right"/>
                    <w:rPr>
                      <w:rFonts w:eastAsia="Times New Roman" w:cs="Times New Roman"/>
                      <w:color w:val="000000"/>
                      <w:sz w:val="18"/>
                      <w:szCs w:val="18"/>
                      <w:lang w:eastAsia="sk-SK"/>
                    </w:rPr>
                  </w:pPr>
                  <w:r w:rsidRPr="002D4BD7">
                    <w:rPr>
                      <w:rFonts w:eastAsia="Times New Roman" w:cs="Times New Roman"/>
                      <w:color w:val="000000"/>
                      <w:sz w:val="18"/>
                      <w:szCs w:val="18"/>
                      <w:lang w:eastAsia="sk-SK"/>
                    </w:rPr>
                    <w:t>96 308</w:t>
                  </w:r>
                </w:p>
              </w:tc>
              <w:tc>
                <w:tcPr>
                  <w:tcW w:w="992" w:type="dxa"/>
                  <w:tcBorders>
                    <w:top w:val="nil"/>
                    <w:left w:val="nil"/>
                    <w:bottom w:val="nil"/>
                    <w:right w:val="nil"/>
                  </w:tcBorders>
                  <w:shd w:val="clear" w:color="auto" w:fill="auto"/>
                  <w:vAlign w:val="center"/>
                  <w:hideMark/>
                </w:tcPr>
                <w:p w14:paraId="6274C39E" w14:textId="77777777" w:rsidR="002D4BD7" w:rsidRPr="002D4BD7" w:rsidRDefault="002D4BD7" w:rsidP="006151CA">
                  <w:pPr>
                    <w:spacing w:line="240" w:lineRule="auto"/>
                    <w:jc w:val="right"/>
                    <w:rPr>
                      <w:rFonts w:eastAsia="Times New Roman" w:cs="Times New Roman"/>
                      <w:color w:val="000000"/>
                      <w:sz w:val="18"/>
                      <w:szCs w:val="18"/>
                      <w:lang w:eastAsia="sk-SK"/>
                    </w:rPr>
                  </w:pPr>
                  <w:r w:rsidRPr="002D4BD7">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vAlign w:val="center"/>
                  <w:hideMark/>
                </w:tcPr>
                <w:p w14:paraId="3481662E" w14:textId="77777777" w:rsidR="002D4BD7" w:rsidRPr="002D4BD7" w:rsidRDefault="002D4BD7" w:rsidP="006151CA">
                  <w:pPr>
                    <w:spacing w:line="240" w:lineRule="auto"/>
                    <w:jc w:val="right"/>
                    <w:rPr>
                      <w:rFonts w:eastAsia="Times New Roman" w:cs="Times New Roman"/>
                      <w:color w:val="000000"/>
                      <w:sz w:val="18"/>
                      <w:szCs w:val="18"/>
                      <w:lang w:eastAsia="sk-SK"/>
                    </w:rPr>
                  </w:pPr>
                  <w:r w:rsidRPr="002D4BD7">
                    <w:rPr>
                      <w:rFonts w:eastAsia="Times New Roman" w:cs="Times New Roman"/>
                      <w:color w:val="000000"/>
                      <w:sz w:val="18"/>
                      <w:szCs w:val="18"/>
                      <w:lang w:eastAsia="sk-SK"/>
                    </w:rPr>
                    <w:t>103 487</w:t>
                  </w:r>
                </w:p>
              </w:tc>
              <w:tc>
                <w:tcPr>
                  <w:tcW w:w="1134" w:type="dxa"/>
                  <w:tcBorders>
                    <w:top w:val="nil"/>
                    <w:left w:val="nil"/>
                    <w:bottom w:val="nil"/>
                    <w:right w:val="nil"/>
                  </w:tcBorders>
                  <w:shd w:val="clear" w:color="auto" w:fill="auto"/>
                  <w:vAlign w:val="center"/>
                  <w:hideMark/>
                </w:tcPr>
                <w:p w14:paraId="6339CE1F" w14:textId="77777777" w:rsidR="002D4BD7" w:rsidRPr="002D4BD7" w:rsidRDefault="002D4BD7" w:rsidP="006151CA">
                  <w:pPr>
                    <w:spacing w:line="240" w:lineRule="auto"/>
                    <w:jc w:val="right"/>
                    <w:rPr>
                      <w:rFonts w:eastAsia="Times New Roman" w:cs="Times New Roman"/>
                      <w:color w:val="000000"/>
                      <w:sz w:val="18"/>
                      <w:szCs w:val="18"/>
                      <w:lang w:eastAsia="sk-SK"/>
                    </w:rPr>
                  </w:pPr>
                  <w:r w:rsidRPr="002D4BD7">
                    <w:rPr>
                      <w:rFonts w:eastAsia="Times New Roman" w:cs="Times New Roman"/>
                      <w:color w:val="000000"/>
                      <w:sz w:val="18"/>
                      <w:szCs w:val="18"/>
                      <w:lang w:eastAsia="sk-SK"/>
                    </w:rPr>
                    <w:t>103 487</w:t>
                  </w:r>
                </w:p>
              </w:tc>
              <w:tc>
                <w:tcPr>
                  <w:tcW w:w="992" w:type="dxa"/>
                  <w:tcBorders>
                    <w:top w:val="nil"/>
                    <w:left w:val="nil"/>
                    <w:bottom w:val="nil"/>
                    <w:right w:val="nil"/>
                  </w:tcBorders>
                  <w:shd w:val="clear" w:color="000000" w:fill="FFFFFF"/>
                  <w:vAlign w:val="center"/>
                  <w:hideMark/>
                </w:tcPr>
                <w:p w14:paraId="3BA56C2E" w14:textId="7CE1238F" w:rsidR="002D4BD7" w:rsidRPr="002D4BD7" w:rsidRDefault="006819C8" w:rsidP="006151CA">
                  <w:pPr>
                    <w:spacing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2D4BD7" w:rsidRPr="002D4BD7" w14:paraId="6C5D7C5E" w14:textId="77777777" w:rsidTr="00556CF0">
              <w:trPr>
                <w:trHeight w:val="300"/>
              </w:trPr>
              <w:tc>
                <w:tcPr>
                  <w:tcW w:w="2763" w:type="dxa"/>
                  <w:tcBorders>
                    <w:top w:val="single" w:sz="8" w:space="0" w:color="auto"/>
                    <w:left w:val="nil"/>
                    <w:bottom w:val="single" w:sz="8" w:space="0" w:color="auto"/>
                    <w:right w:val="nil"/>
                  </w:tcBorders>
                  <w:shd w:val="clear" w:color="auto" w:fill="auto"/>
                  <w:vAlign w:val="center"/>
                  <w:hideMark/>
                </w:tcPr>
                <w:p w14:paraId="6795F69C" w14:textId="77777777" w:rsidR="002D4BD7" w:rsidRPr="002D4BD7" w:rsidRDefault="002D4BD7" w:rsidP="006151CA">
                  <w:pPr>
                    <w:spacing w:line="240" w:lineRule="auto"/>
                    <w:rPr>
                      <w:rFonts w:eastAsia="Times New Roman" w:cs="Times New Roman"/>
                      <w:b/>
                      <w:bCs/>
                      <w:color w:val="000000"/>
                      <w:sz w:val="18"/>
                      <w:szCs w:val="18"/>
                      <w:lang w:eastAsia="sk-SK"/>
                    </w:rPr>
                  </w:pPr>
                  <w:r w:rsidRPr="002D4BD7">
                    <w:rPr>
                      <w:rFonts w:eastAsia="Times New Roman" w:cs="Times New Roman"/>
                      <w:b/>
                      <w:bCs/>
                      <w:color w:val="000000"/>
                      <w:sz w:val="18"/>
                      <w:szCs w:val="18"/>
                      <w:lang w:eastAsia="sk-SK"/>
                    </w:rPr>
                    <w:t>Spolu</w:t>
                  </w:r>
                </w:p>
              </w:tc>
              <w:tc>
                <w:tcPr>
                  <w:tcW w:w="1134" w:type="dxa"/>
                  <w:tcBorders>
                    <w:top w:val="single" w:sz="8" w:space="0" w:color="auto"/>
                    <w:left w:val="nil"/>
                    <w:bottom w:val="single" w:sz="8" w:space="0" w:color="auto"/>
                    <w:right w:val="nil"/>
                  </w:tcBorders>
                  <w:shd w:val="clear" w:color="auto" w:fill="auto"/>
                  <w:noWrap/>
                  <w:vAlign w:val="center"/>
                  <w:hideMark/>
                </w:tcPr>
                <w:p w14:paraId="7F22B38E" w14:textId="77777777" w:rsidR="002D4BD7" w:rsidRPr="002D4BD7" w:rsidRDefault="002D4BD7" w:rsidP="006151CA">
                  <w:pPr>
                    <w:spacing w:line="240" w:lineRule="auto"/>
                    <w:jc w:val="right"/>
                    <w:rPr>
                      <w:rFonts w:eastAsia="Times New Roman" w:cs="Times New Roman"/>
                      <w:b/>
                      <w:bCs/>
                      <w:color w:val="000000"/>
                      <w:sz w:val="18"/>
                      <w:szCs w:val="18"/>
                      <w:lang w:eastAsia="sk-SK"/>
                    </w:rPr>
                  </w:pPr>
                  <w:r w:rsidRPr="002D4BD7">
                    <w:rPr>
                      <w:rFonts w:eastAsia="Times New Roman" w:cs="Times New Roman"/>
                      <w:b/>
                      <w:bCs/>
                      <w:color w:val="000000"/>
                      <w:sz w:val="18"/>
                      <w:szCs w:val="18"/>
                      <w:lang w:eastAsia="sk-SK"/>
                    </w:rPr>
                    <w:t>1 344 028</w:t>
                  </w:r>
                </w:p>
              </w:tc>
              <w:tc>
                <w:tcPr>
                  <w:tcW w:w="993" w:type="dxa"/>
                  <w:tcBorders>
                    <w:top w:val="single" w:sz="8" w:space="0" w:color="auto"/>
                    <w:left w:val="nil"/>
                    <w:bottom w:val="single" w:sz="8" w:space="0" w:color="auto"/>
                    <w:right w:val="nil"/>
                  </w:tcBorders>
                  <w:shd w:val="clear" w:color="auto" w:fill="auto"/>
                  <w:noWrap/>
                  <w:vAlign w:val="center"/>
                  <w:hideMark/>
                </w:tcPr>
                <w:p w14:paraId="714F5C93" w14:textId="77777777" w:rsidR="002D4BD7" w:rsidRPr="002D4BD7" w:rsidRDefault="002D4BD7" w:rsidP="006151CA">
                  <w:pPr>
                    <w:spacing w:line="240" w:lineRule="auto"/>
                    <w:jc w:val="right"/>
                    <w:rPr>
                      <w:rFonts w:eastAsia="Times New Roman" w:cs="Times New Roman"/>
                      <w:b/>
                      <w:bCs/>
                      <w:color w:val="000000"/>
                      <w:sz w:val="18"/>
                      <w:szCs w:val="18"/>
                      <w:lang w:eastAsia="sk-SK"/>
                    </w:rPr>
                  </w:pPr>
                  <w:r w:rsidRPr="002D4BD7">
                    <w:rPr>
                      <w:rFonts w:eastAsia="Times New Roman" w:cs="Times New Roman"/>
                      <w:b/>
                      <w:bCs/>
                      <w:color w:val="000000"/>
                      <w:sz w:val="18"/>
                      <w:szCs w:val="18"/>
                      <w:lang w:eastAsia="sk-SK"/>
                    </w:rPr>
                    <w:t>1 147 849</w:t>
                  </w:r>
                </w:p>
              </w:tc>
              <w:tc>
                <w:tcPr>
                  <w:tcW w:w="992" w:type="dxa"/>
                  <w:tcBorders>
                    <w:top w:val="single" w:sz="8" w:space="0" w:color="auto"/>
                    <w:left w:val="nil"/>
                    <w:bottom w:val="single" w:sz="8" w:space="0" w:color="auto"/>
                    <w:right w:val="nil"/>
                  </w:tcBorders>
                  <w:shd w:val="clear" w:color="auto" w:fill="auto"/>
                  <w:noWrap/>
                  <w:vAlign w:val="center"/>
                  <w:hideMark/>
                </w:tcPr>
                <w:p w14:paraId="0C9F5556" w14:textId="77777777" w:rsidR="002D4BD7" w:rsidRPr="002D4BD7" w:rsidRDefault="002D4BD7" w:rsidP="006151CA">
                  <w:pPr>
                    <w:spacing w:line="240" w:lineRule="auto"/>
                    <w:jc w:val="right"/>
                    <w:rPr>
                      <w:rFonts w:eastAsia="Times New Roman" w:cs="Times New Roman"/>
                      <w:b/>
                      <w:bCs/>
                      <w:color w:val="000000"/>
                      <w:sz w:val="18"/>
                      <w:szCs w:val="18"/>
                      <w:lang w:eastAsia="sk-SK"/>
                    </w:rPr>
                  </w:pPr>
                  <w:r w:rsidRPr="002D4BD7">
                    <w:rPr>
                      <w:rFonts w:eastAsia="Times New Roman" w:cs="Times New Roman"/>
                      <w:b/>
                      <w:bCs/>
                      <w:color w:val="000000"/>
                      <w:sz w:val="18"/>
                      <w:szCs w:val="18"/>
                      <w:lang w:eastAsia="sk-SK"/>
                    </w:rPr>
                    <w:t>1 391 606</w:t>
                  </w:r>
                </w:p>
              </w:tc>
              <w:tc>
                <w:tcPr>
                  <w:tcW w:w="992" w:type="dxa"/>
                  <w:tcBorders>
                    <w:top w:val="single" w:sz="8" w:space="0" w:color="auto"/>
                    <w:left w:val="nil"/>
                    <w:bottom w:val="single" w:sz="8" w:space="0" w:color="auto"/>
                    <w:right w:val="nil"/>
                  </w:tcBorders>
                  <w:shd w:val="clear" w:color="auto" w:fill="auto"/>
                  <w:noWrap/>
                  <w:vAlign w:val="center"/>
                  <w:hideMark/>
                </w:tcPr>
                <w:p w14:paraId="5799874D" w14:textId="77777777" w:rsidR="002D4BD7" w:rsidRPr="002D4BD7" w:rsidRDefault="002D4BD7" w:rsidP="006151CA">
                  <w:pPr>
                    <w:spacing w:line="240" w:lineRule="auto"/>
                    <w:jc w:val="right"/>
                    <w:rPr>
                      <w:rFonts w:eastAsia="Times New Roman" w:cs="Times New Roman"/>
                      <w:b/>
                      <w:bCs/>
                      <w:color w:val="000000"/>
                      <w:sz w:val="18"/>
                      <w:szCs w:val="18"/>
                      <w:lang w:eastAsia="sk-SK"/>
                    </w:rPr>
                  </w:pPr>
                  <w:r w:rsidRPr="002D4BD7">
                    <w:rPr>
                      <w:rFonts w:eastAsia="Times New Roman" w:cs="Times New Roman"/>
                      <w:b/>
                      <w:bCs/>
                      <w:color w:val="000000"/>
                      <w:sz w:val="18"/>
                      <w:szCs w:val="18"/>
                      <w:lang w:eastAsia="sk-SK"/>
                    </w:rPr>
                    <w:t>4 020 638</w:t>
                  </w:r>
                </w:p>
              </w:tc>
              <w:tc>
                <w:tcPr>
                  <w:tcW w:w="1134" w:type="dxa"/>
                  <w:tcBorders>
                    <w:top w:val="single" w:sz="8" w:space="0" w:color="auto"/>
                    <w:left w:val="nil"/>
                    <w:bottom w:val="single" w:sz="8" w:space="0" w:color="auto"/>
                    <w:right w:val="nil"/>
                  </w:tcBorders>
                  <w:shd w:val="clear" w:color="auto" w:fill="auto"/>
                  <w:vAlign w:val="center"/>
                  <w:hideMark/>
                </w:tcPr>
                <w:p w14:paraId="37E8849E" w14:textId="77777777" w:rsidR="002D4BD7" w:rsidRPr="002D4BD7" w:rsidRDefault="002D4BD7" w:rsidP="006151CA">
                  <w:pPr>
                    <w:spacing w:line="240" w:lineRule="auto"/>
                    <w:jc w:val="right"/>
                    <w:rPr>
                      <w:rFonts w:eastAsia="Times New Roman" w:cs="Times New Roman"/>
                      <w:b/>
                      <w:bCs/>
                      <w:color w:val="000000"/>
                      <w:sz w:val="18"/>
                      <w:szCs w:val="18"/>
                      <w:lang w:eastAsia="sk-SK"/>
                    </w:rPr>
                  </w:pPr>
                  <w:r w:rsidRPr="002D4BD7">
                    <w:rPr>
                      <w:rFonts w:eastAsia="Times New Roman" w:cs="Times New Roman"/>
                      <w:b/>
                      <w:bCs/>
                      <w:color w:val="000000"/>
                      <w:sz w:val="18"/>
                      <w:szCs w:val="18"/>
                      <w:lang w:eastAsia="sk-SK"/>
                    </w:rPr>
                    <w:t>2 629 032</w:t>
                  </w:r>
                </w:p>
              </w:tc>
              <w:tc>
                <w:tcPr>
                  <w:tcW w:w="992" w:type="dxa"/>
                  <w:tcBorders>
                    <w:top w:val="single" w:sz="8" w:space="0" w:color="auto"/>
                    <w:left w:val="nil"/>
                    <w:bottom w:val="single" w:sz="8" w:space="0" w:color="auto"/>
                    <w:right w:val="nil"/>
                  </w:tcBorders>
                  <w:shd w:val="clear" w:color="auto" w:fill="auto"/>
                  <w:vAlign w:val="center"/>
                  <w:hideMark/>
                </w:tcPr>
                <w:p w14:paraId="6E346D99" w14:textId="77777777" w:rsidR="002D4BD7" w:rsidRPr="002D4BD7" w:rsidRDefault="002D4BD7" w:rsidP="006151CA">
                  <w:pPr>
                    <w:spacing w:line="240" w:lineRule="auto"/>
                    <w:jc w:val="right"/>
                    <w:rPr>
                      <w:rFonts w:eastAsia="Times New Roman" w:cs="Times New Roman"/>
                      <w:b/>
                      <w:bCs/>
                      <w:color w:val="000000"/>
                      <w:sz w:val="18"/>
                      <w:szCs w:val="18"/>
                      <w:lang w:eastAsia="sk-SK"/>
                    </w:rPr>
                  </w:pPr>
                  <w:r w:rsidRPr="002D4BD7">
                    <w:rPr>
                      <w:rFonts w:eastAsia="Times New Roman" w:cs="Times New Roman"/>
                      <w:b/>
                      <w:bCs/>
                      <w:color w:val="000000"/>
                      <w:sz w:val="18"/>
                      <w:szCs w:val="18"/>
                      <w:lang w:eastAsia="sk-SK"/>
                    </w:rPr>
                    <w:t>188,9</w:t>
                  </w:r>
                </w:p>
              </w:tc>
            </w:tr>
          </w:tbl>
          <w:p w14:paraId="5D2BE520" w14:textId="77777777" w:rsidR="00B768D9" w:rsidRPr="00360BCD" w:rsidRDefault="00B768D9" w:rsidP="006151CA">
            <w:pPr>
              <w:spacing w:line="240" w:lineRule="auto"/>
              <w:rPr>
                <w:rFonts w:eastAsia="Times New Roman" w:cs="Times New Roman"/>
                <w:b/>
                <w:bCs/>
                <w:color w:val="FF0000"/>
                <w:sz w:val="20"/>
                <w:szCs w:val="20"/>
                <w:lang w:eastAsia="sk-SK"/>
              </w:rPr>
            </w:pPr>
          </w:p>
        </w:tc>
      </w:tr>
    </w:tbl>
    <w:p w14:paraId="7A39DD24" w14:textId="00702357" w:rsidR="00B768D9" w:rsidRPr="00AC68A6" w:rsidRDefault="00B768D9" w:rsidP="006151CA">
      <w:pPr>
        <w:spacing w:line="240" w:lineRule="auto"/>
        <w:jc w:val="right"/>
        <w:rPr>
          <w:rFonts w:eastAsia="Calibri" w:cs="Times New Roman"/>
          <w:sz w:val="18"/>
          <w:szCs w:val="18"/>
        </w:rPr>
      </w:pPr>
      <w:r w:rsidRPr="00AC68A6">
        <w:rPr>
          <w:rFonts w:eastAsia="Calibri" w:cs="Times New Roman"/>
          <w:sz w:val="18"/>
          <w:szCs w:val="18"/>
        </w:rPr>
        <w:t>Zdroj</w:t>
      </w:r>
      <w:r w:rsidR="00D60E74" w:rsidRPr="00AC68A6">
        <w:rPr>
          <w:rFonts w:eastAsia="Calibri" w:cs="Times New Roman"/>
          <w:sz w:val="18"/>
          <w:szCs w:val="18"/>
        </w:rPr>
        <w:t>:</w:t>
      </w:r>
      <w:r w:rsidRPr="00AC68A6">
        <w:rPr>
          <w:rFonts w:eastAsia="Calibri" w:cs="Times New Roman"/>
          <w:sz w:val="18"/>
          <w:szCs w:val="18"/>
        </w:rPr>
        <w:t xml:space="preserve"> MF SR</w:t>
      </w:r>
    </w:p>
    <w:p w14:paraId="0F5ACEEE" w14:textId="00B6F2C8" w:rsidR="009B204F" w:rsidRPr="009B204F" w:rsidRDefault="009B204F" w:rsidP="00207B7D">
      <w:pPr>
        <w:spacing w:line="240" w:lineRule="auto"/>
        <w:rPr>
          <w:rFonts w:eastAsia="Calibri" w:cs="Times New Roman"/>
          <w:sz w:val="24"/>
          <w:szCs w:val="24"/>
          <w:shd w:val="clear" w:color="auto" w:fill="FFFFFF"/>
        </w:rPr>
      </w:pPr>
      <w:r w:rsidRPr="009B204F">
        <w:rPr>
          <w:rFonts w:eastAsia="Calibri" w:cs="Times New Roman"/>
          <w:sz w:val="24"/>
          <w:szCs w:val="24"/>
        </w:rPr>
        <w:t xml:space="preserve">Najvyšší podiel tvorili </w:t>
      </w:r>
      <w:r w:rsidRPr="009B204F">
        <w:rPr>
          <w:rFonts w:eastAsia="Calibri" w:cs="Times New Roman"/>
          <w:bCs/>
          <w:sz w:val="24"/>
          <w:szCs w:val="24"/>
        </w:rPr>
        <w:t>transfery</w:t>
      </w:r>
      <w:r w:rsidRPr="009B204F">
        <w:rPr>
          <w:rFonts w:eastAsia="Calibri" w:cs="Times New Roman"/>
          <w:b/>
          <w:bCs/>
          <w:sz w:val="24"/>
          <w:szCs w:val="24"/>
        </w:rPr>
        <w:t xml:space="preserve"> </w:t>
      </w:r>
      <w:r w:rsidRPr="009B204F">
        <w:rPr>
          <w:rFonts w:eastAsia="Calibri" w:cs="Times New Roman"/>
          <w:b/>
          <w:bCs/>
          <w:i/>
          <w:sz w:val="24"/>
          <w:szCs w:val="24"/>
        </w:rPr>
        <w:t>ostatnej právnickej osobe</w:t>
      </w:r>
      <w:r w:rsidRPr="009B204F">
        <w:rPr>
          <w:rFonts w:eastAsia="Calibri" w:cs="Times New Roman"/>
          <w:sz w:val="24"/>
          <w:szCs w:val="24"/>
        </w:rPr>
        <w:t xml:space="preserve"> (3 617 013 tis. eur), ktoré boli v rozhodujúcej miere hradené rezortom </w:t>
      </w:r>
      <w:r w:rsidRPr="009B204F">
        <w:rPr>
          <w:rFonts w:eastAsia="Calibri" w:cs="Times New Roman"/>
          <w:sz w:val="24"/>
          <w:szCs w:val="24"/>
          <w:u w:val="single"/>
        </w:rPr>
        <w:t>Ministerstva hospodárstva SR</w:t>
      </w:r>
      <w:r w:rsidR="00207B7D">
        <w:rPr>
          <w:rFonts w:eastAsia="Calibri" w:cs="Times New Roman"/>
          <w:sz w:val="24"/>
          <w:szCs w:val="24"/>
        </w:rPr>
        <w:t xml:space="preserve"> (2 985 302 tis. eur). </w:t>
      </w:r>
      <w:r w:rsidRPr="009B204F">
        <w:rPr>
          <w:rFonts w:eastAsia="Calibri" w:cs="Times New Roman"/>
          <w:sz w:val="24"/>
          <w:szCs w:val="24"/>
          <w:shd w:val="clear" w:color="auto" w:fill="FFFFFF"/>
        </w:rPr>
        <w:t>Najvýznamnejšia suma 2 914 106 tis. eur bola poskytnutá podľa zákona č. 71/2013 Z. z. o poskytovaní dotácií v pôsobnosti Ministerstva hospodárstva SR v znení neskorších predpisov a Schémy pomoci podľa oddielu 2.1 Dočasného krízového rámca pre opatrenia štátnej pomoci na podporu hospodárstva v dôsledku agresie Ruska proti Ukrajine, ako aj v zmysle nariadení vlády SR na kompenzáciu dodávateľom plynu pre malých odberateľov a pre vybraných zraniteľných odberateľov. Taktiež na kompenzáciu príjmov pre dodávateľov tepla a na kompenzáciu vybraných taríf vybraným účastníkom trhu s elektrinou. Navýšenie skutočnosti oproti rozpočtu spôsobilo najmä uvoľnenie prostriedkov viazaných v roku 2022 podľa § 8 ods. 6 zákona č. 523/2004 Z. z. o rozpočtových pravidlách verejnej správy a o zmene a doplnení niektorých zákonov v znení neskorších predpisov vrátane uvoľnenia prostriedkov určených na kompenzáciu zvýšených nákladov na energie.</w:t>
      </w:r>
    </w:p>
    <w:p w14:paraId="751782AA" w14:textId="38D909B2" w:rsidR="009B204F" w:rsidRPr="009B204F" w:rsidRDefault="009B204F" w:rsidP="00207B7D">
      <w:pPr>
        <w:spacing w:line="240" w:lineRule="auto"/>
        <w:rPr>
          <w:rFonts w:eastAsia="Calibri" w:cs="Times New Roman"/>
          <w:sz w:val="24"/>
          <w:szCs w:val="24"/>
          <w:lang w:eastAsia="sk-SK"/>
        </w:rPr>
      </w:pPr>
      <w:r w:rsidRPr="009B204F">
        <w:rPr>
          <w:rFonts w:eastAsia="Calibri" w:cs="Times New Roman"/>
          <w:sz w:val="24"/>
          <w:szCs w:val="24"/>
          <w:u w:val="single"/>
        </w:rPr>
        <w:t>Ministerstvo pôdohospodárstva a rozvoja vidieka SR</w:t>
      </w:r>
      <w:r w:rsidRPr="009B204F">
        <w:rPr>
          <w:rFonts w:eastAsia="Calibri" w:cs="Times New Roman"/>
          <w:sz w:val="24"/>
          <w:szCs w:val="24"/>
        </w:rPr>
        <w:t xml:space="preserve"> čerpalo v rámci tejto podpoložky 494 437 tis. eur.</w:t>
      </w:r>
      <w:r w:rsidRPr="009B204F">
        <w:rPr>
          <w:rFonts w:eastAsia="Calibri" w:cs="Times New Roman"/>
          <w:color w:val="FF0000"/>
          <w:sz w:val="24"/>
          <w:szCs w:val="24"/>
        </w:rPr>
        <w:t xml:space="preserve"> </w:t>
      </w:r>
      <w:r w:rsidRPr="009B204F">
        <w:rPr>
          <w:rFonts w:eastAsia="Calibri" w:cs="Times New Roman"/>
          <w:sz w:val="24"/>
          <w:szCs w:val="24"/>
        </w:rPr>
        <w:t xml:space="preserve">Najväčší podiel tvorili úhrady </w:t>
      </w:r>
      <w:r w:rsidRPr="009B204F">
        <w:rPr>
          <w:rFonts w:eastAsia="Calibri" w:cs="Times New Roman"/>
          <w:bCs/>
          <w:sz w:val="24"/>
          <w:szCs w:val="24"/>
        </w:rPr>
        <w:t xml:space="preserve">v rámci priamych platieb z Európskeho poľnohospodárskeho záručného fondu (170 385 tis. eur), dotácie vyplatené </w:t>
      </w:r>
      <w:r w:rsidRPr="009B204F">
        <w:rPr>
          <w:rFonts w:eastAsia="Calibri" w:cs="Times New Roman"/>
          <w:sz w:val="24"/>
          <w:szCs w:val="24"/>
        </w:rPr>
        <w:t xml:space="preserve">z </w:t>
      </w:r>
      <w:r w:rsidRPr="009B204F">
        <w:rPr>
          <w:rFonts w:eastAsia="Calibri" w:cs="Times New Roman"/>
          <w:bCs/>
          <w:sz w:val="24"/>
          <w:szCs w:val="24"/>
        </w:rPr>
        <w:t>Európskeho poľnohospodárskeho fondu pre rozvoj vidieka v rámci Programu rozvoja vidieka SR 2014-2022 (125 414 tis. eur) a trhovo orientované výdavky 2014-2020 z Európskeho poľnohospodárskeho záručného fondu (18 726 tis. eur). V rámci Strategického plánu Slovenskej poľnohospodárskej politiky 2021-2027 boli vyplatené priame platby 87 348 tis. eur a platby v rámci Programu rozvoja vidieka v sume 17 570 tis. eur. Na trhovo orientované výdavky mimo rámca Strategického plánu Slovenskej poľnohospodárskej politiky boli vyplatené platby v sume 26 979 tis. eur. Ako š</w:t>
      </w:r>
      <w:r w:rsidRPr="009B204F">
        <w:rPr>
          <w:rFonts w:eastAsia="Calibri" w:cs="Times New Roman"/>
          <w:sz w:val="24"/>
          <w:szCs w:val="24"/>
        </w:rPr>
        <w:t>tátna pomoc nefinančným subjektom podnikajúcim v oblasti pôdohospodárstva</w:t>
      </w:r>
      <w:r w:rsidRPr="009B204F">
        <w:rPr>
          <w:rFonts w:eastAsia="Calibri" w:cs="Times New Roman"/>
          <w:bCs/>
          <w:sz w:val="24"/>
          <w:szCs w:val="24"/>
        </w:rPr>
        <w:t xml:space="preserve"> boli vyplatené finančné prostriedky v sume 47 521 tis. eur.</w:t>
      </w:r>
      <w:r w:rsidRPr="009B204F">
        <w:rPr>
          <w:rFonts w:eastAsia="Calibri" w:cs="Times New Roman"/>
          <w:sz w:val="24"/>
          <w:szCs w:val="24"/>
        </w:rPr>
        <w:t xml:space="preserve"> Najväčšími prijímateľmi dotácií boli napr. </w:t>
      </w:r>
      <w:r w:rsidRPr="009B204F">
        <w:rPr>
          <w:rFonts w:eastAsia="Times New Roman" w:cs="Times New Roman"/>
          <w:color w:val="000000"/>
          <w:sz w:val="24"/>
          <w:szCs w:val="24"/>
          <w:lang w:eastAsia="sk-SK"/>
        </w:rPr>
        <w:t>RAJO</w:t>
      </w:r>
      <w:r w:rsidR="00837EB9">
        <w:rPr>
          <w:rFonts w:eastAsia="Times New Roman" w:cs="Times New Roman"/>
          <w:color w:val="000000"/>
          <w:sz w:val="24"/>
          <w:szCs w:val="24"/>
          <w:lang w:eastAsia="sk-SK"/>
        </w:rPr>
        <w:t>,</w:t>
      </w:r>
      <w:r w:rsidRPr="009B204F">
        <w:rPr>
          <w:rFonts w:eastAsia="Times New Roman" w:cs="Times New Roman"/>
          <w:color w:val="000000"/>
          <w:sz w:val="24"/>
          <w:szCs w:val="24"/>
          <w:lang w:eastAsia="sk-SK"/>
        </w:rPr>
        <w:t xml:space="preserve"> </w:t>
      </w:r>
      <w:proofErr w:type="spellStart"/>
      <w:r w:rsidR="00837EB9">
        <w:rPr>
          <w:rFonts w:eastAsia="Times New Roman" w:cs="Times New Roman"/>
          <w:color w:val="000000"/>
          <w:sz w:val="24"/>
          <w:szCs w:val="24"/>
          <w:lang w:eastAsia="sk-SK"/>
        </w:rPr>
        <w:t>s.r.o</w:t>
      </w:r>
      <w:proofErr w:type="spellEnd"/>
      <w:r w:rsidR="00837EB9">
        <w:rPr>
          <w:rFonts w:eastAsia="Times New Roman" w:cs="Times New Roman"/>
          <w:color w:val="000000"/>
          <w:sz w:val="24"/>
          <w:szCs w:val="24"/>
          <w:lang w:eastAsia="sk-SK"/>
        </w:rPr>
        <w:t>.</w:t>
      </w:r>
      <w:r w:rsidRPr="009B204F">
        <w:rPr>
          <w:rFonts w:eastAsia="Times New Roman" w:cs="Times New Roman"/>
          <w:color w:val="000000"/>
          <w:sz w:val="24"/>
          <w:szCs w:val="24"/>
          <w:lang w:eastAsia="sk-SK"/>
        </w:rPr>
        <w:t xml:space="preserve"> (8 512 tis. eur), </w:t>
      </w:r>
      <w:proofErr w:type="spellStart"/>
      <w:r w:rsidRPr="009B204F">
        <w:rPr>
          <w:rFonts w:eastAsia="Times New Roman" w:cs="Times New Roman"/>
          <w:color w:val="000000"/>
          <w:sz w:val="24"/>
          <w:szCs w:val="24"/>
          <w:lang w:eastAsia="sk-SK"/>
        </w:rPr>
        <w:t>Domäsko</w:t>
      </w:r>
      <w:proofErr w:type="spellEnd"/>
      <w:r w:rsidR="00837EB9">
        <w:rPr>
          <w:rFonts w:eastAsia="Times New Roman" w:cs="Times New Roman"/>
          <w:color w:val="000000"/>
          <w:sz w:val="24"/>
          <w:szCs w:val="24"/>
          <w:lang w:eastAsia="sk-SK"/>
        </w:rPr>
        <w:t>,</w:t>
      </w:r>
      <w:r w:rsidRPr="009B204F">
        <w:rPr>
          <w:rFonts w:eastAsia="Times New Roman" w:cs="Times New Roman"/>
          <w:color w:val="000000"/>
          <w:sz w:val="24"/>
          <w:szCs w:val="24"/>
          <w:lang w:eastAsia="sk-SK"/>
        </w:rPr>
        <w:t xml:space="preserve"> </w:t>
      </w:r>
      <w:proofErr w:type="spellStart"/>
      <w:r w:rsidR="00837EB9">
        <w:rPr>
          <w:rFonts w:eastAsia="Times New Roman" w:cs="Times New Roman"/>
          <w:color w:val="000000"/>
          <w:sz w:val="24"/>
          <w:szCs w:val="24"/>
          <w:lang w:eastAsia="sk-SK"/>
        </w:rPr>
        <w:t>s.r.o</w:t>
      </w:r>
      <w:proofErr w:type="spellEnd"/>
      <w:r w:rsidR="00837EB9">
        <w:rPr>
          <w:rFonts w:eastAsia="Times New Roman" w:cs="Times New Roman"/>
          <w:color w:val="000000"/>
          <w:sz w:val="24"/>
          <w:szCs w:val="24"/>
          <w:lang w:eastAsia="sk-SK"/>
        </w:rPr>
        <w:t>.</w:t>
      </w:r>
      <w:r w:rsidRPr="009B204F">
        <w:rPr>
          <w:rFonts w:eastAsia="Times New Roman" w:cs="Times New Roman"/>
          <w:color w:val="000000"/>
          <w:sz w:val="24"/>
          <w:szCs w:val="24"/>
          <w:lang w:eastAsia="sk-SK"/>
        </w:rPr>
        <w:t xml:space="preserve"> (5 734 tis. eur), </w:t>
      </w:r>
      <w:proofErr w:type="spellStart"/>
      <w:r w:rsidRPr="009B204F">
        <w:rPr>
          <w:rFonts w:eastAsia="Times New Roman" w:cs="Times New Roman"/>
          <w:color w:val="000000"/>
          <w:sz w:val="24"/>
          <w:szCs w:val="24"/>
          <w:lang w:eastAsia="sk-SK"/>
        </w:rPr>
        <w:t>Dan</w:t>
      </w:r>
      <w:proofErr w:type="spellEnd"/>
      <w:r w:rsidRPr="009B204F">
        <w:rPr>
          <w:rFonts w:eastAsia="Times New Roman" w:cs="Times New Roman"/>
          <w:color w:val="000000"/>
          <w:sz w:val="24"/>
          <w:szCs w:val="24"/>
          <w:lang w:eastAsia="sk-SK"/>
        </w:rPr>
        <w:t xml:space="preserve">-Slovakia </w:t>
      </w:r>
      <w:proofErr w:type="spellStart"/>
      <w:r w:rsidRPr="009B204F">
        <w:rPr>
          <w:rFonts w:eastAsia="Times New Roman" w:cs="Times New Roman"/>
          <w:color w:val="000000"/>
          <w:sz w:val="24"/>
          <w:szCs w:val="24"/>
          <w:lang w:eastAsia="sk-SK"/>
        </w:rPr>
        <w:t>Agrar</w:t>
      </w:r>
      <w:proofErr w:type="spellEnd"/>
      <w:r w:rsidRPr="009B204F">
        <w:rPr>
          <w:rFonts w:eastAsia="Times New Roman" w:cs="Times New Roman"/>
          <w:color w:val="000000"/>
          <w:sz w:val="24"/>
          <w:szCs w:val="24"/>
          <w:lang w:eastAsia="sk-SK"/>
        </w:rPr>
        <w:t xml:space="preserve">, </w:t>
      </w:r>
      <w:proofErr w:type="spellStart"/>
      <w:r w:rsidR="00837EB9">
        <w:rPr>
          <w:rFonts w:eastAsia="Times New Roman" w:cs="Times New Roman"/>
          <w:color w:val="000000"/>
          <w:sz w:val="24"/>
          <w:szCs w:val="24"/>
          <w:lang w:eastAsia="sk-SK"/>
        </w:rPr>
        <w:t>a.s</w:t>
      </w:r>
      <w:proofErr w:type="spellEnd"/>
      <w:r w:rsidR="00837EB9">
        <w:rPr>
          <w:rFonts w:eastAsia="Times New Roman" w:cs="Times New Roman"/>
          <w:color w:val="000000"/>
          <w:sz w:val="24"/>
          <w:szCs w:val="24"/>
          <w:lang w:eastAsia="sk-SK"/>
        </w:rPr>
        <w:t>.</w:t>
      </w:r>
      <w:r w:rsidRPr="009B204F">
        <w:rPr>
          <w:rFonts w:eastAsia="Times New Roman" w:cs="Times New Roman"/>
          <w:color w:val="000000"/>
          <w:sz w:val="24"/>
          <w:szCs w:val="24"/>
          <w:lang w:eastAsia="sk-SK"/>
        </w:rPr>
        <w:t xml:space="preserve"> (4 954 tis. eur) a iné.</w:t>
      </w:r>
    </w:p>
    <w:p w14:paraId="76BEB40B" w14:textId="726AB455" w:rsidR="009B204F" w:rsidRPr="009B204F" w:rsidRDefault="009B204F" w:rsidP="00207B7D">
      <w:pPr>
        <w:spacing w:line="240" w:lineRule="auto"/>
        <w:rPr>
          <w:rFonts w:eastAsia="Calibri" w:cs="Times New Roman"/>
          <w:sz w:val="24"/>
          <w:szCs w:val="24"/>
        </w:rPr>
      </w:pPr>
      <w:r w:rsidRPr="009B204F">
        <w:rPr>
          <w:rFonts w:eastAsia="Calibri" w:cs="Times New Roman"/>
          <w:sz w:val="24"/>
          <w:szCs w:val="24"/>
          <w:u w:val="single"/>
        </w:rPr>
        <w:t>Ministerstvo práce, sociálnych vecí a rodiny SR</w:t>
      </w:r>
      <w:r w:rsidRPr="009B204F">
        <w:rPr>
          <w:rFonts w:eastAsia="Calibri" w:cs="Times New Roman"/>
          <w:color w:val="FF0000"/>
          <w:sz w:val="24"/>
          <w:szCs w:val="24"/>
        </w:rPr>
        <w:t xml:space="preserve"> </w:t>
      </w:r>
      <w:r w:rsidRPr="009B204F">
        <w:rPr>
          <w:rFonts w:eastAsia="Calibri" w:cs="Times New Roman"/>
          <w:sz w:val="24"/>
          <w:szCs w:val="24"/>
        </w:rPr>
        <w:t>čerpalo v rámci tejto podpoložky 38 662 tis. eur, vo významnej miere na projekty v oblasti zamestnanosti, sociálneho začlenenia, REACT- EÚ</w:t>
      </w:r>
      <w:r w:rsidR="00207B7D">
        <w:rPr>
          <w:rFonts w:eastAsia="Calibri" w:cs="Times New Roman"/>
          <w:sz w:val="24"/>
          <w:szCs w:val="24"/>
          <w:lang w:eastAsia="sk-SK"/>
        </w:rPr>
        <w:t xml:space="preserve"> a </w:t>
      </w:r>
      <w:r w:rsidRPr="009B204F">
        <w:rPr>
          <w:rFonts w:eastAsia="Calibri" w:cs="Times New Roman"/>
          <w:sz w:val="24"/>
          <w:szCs w:val="24"/>
          <w:u w:val="single"/>
          <w:lang w:eastAsia="sk-SK"/>
        </w:rPr>
        <w:t>Ministerstvo školstva, vedy, výskumu a športu SR</w:t>
      </w:r>
      <w:r w:rsidRPr="009B204F">
        <w:rPr>
          <w:rFonts w:eastAsia="Calibri" w:cs="Times New Roman"/>
          <w:color w:val="FF0000"/>
          <w:sz w:val="24"/>
          <w:szCs w:val="24"/>
          <w:lang w:eastAsia="sk-SK"/>
        </w:rPr>
        <w:t xml:space="preserve"> </w:t>
      </w:r>
      <w:r w:rsidRPr="009B204F">
        <w:rPr>
          <w:rFonts w:eastAsia="Calibri" w:cs="Times New Roman"/>
          <w:sz w:val="24"/>
          <w:szCs w:val="24"/>
          <w:lang w:eastAsia="sk-SK"/>
        </w:rPr>
        <w:t>čerpalo 31 127 tis. eur.</w:t>
      </w:r>
    </w:p>
    <w:p w14:paraId="0D0DF526" w14:textId="08F10544" w:rsidR="009B204F" w:rsidRPr="009B204F" w:rsidRDefault="009B204F" w:rsidP="00207B7D">
      <w:pPr>
        <w:spacing w:line="240" w:lineRule="auto"/>
        <w:rPr>
          <w:rFonts w:eastAsia="Calibri" w:cs="Times New Roman"/>
          <w:sz w:val="24"/>
          <w:szCs w:val="24"/>
        </w:rPr>
      </w:pPr>
      <w:r w:rsidRPr="009B204F">
        <w:rPr>
          <w:rFonts w:eastAsia="Calibri" w:cs="Times New Roman"/>
          <w:sz w:val="24"/>
          <w:szCs w:val="24"/>
        </w:rPr>
        <w:t>Na transferoch</w:t>
      </w:r>
      <w:r w:rsidRPr="009B204F">
        <w:rPr>
          <w:rFonts w:eastAsia="Calibri" w:cs="Times New Roman"/>
          <w:b/>
          <w:sz w:val="24"/>
          <w:szCs w:val="24"/>
        </w:rPr>
        <w:t xml:space="preserve"> </w:t>
      </w:r>
      <w:r w:rsidRPr="009B204F">
        <w:rPr>
          <w:rFonts w:eastAsia="Calibri" w:cs="Times New Roman"/>
          <w:b/>
          <w:i/>
          <w:sz w:val="24"/>
          <w:szCs w:val="24"/>
        </w:rPr>
        <w:t>právnickej osobe založenej štátom</w:t>
      </w:r>
      <w:r w:rsidRPr="009B204F">
        <w:rPr>
          <w:rFonts w:eastAsia="Calibri" w:cs="Times New Roman"/>
          <w:i/>
          <w:color w:val="FF0000"/>
          <w:sz w:val="24"/>
          <w:szCs w:val="24"/>
        </w:rPr>
        <w:t xml:space="preserve"> </w:t>
      </w:r>
      <w:r w:rsidRPr="009B204F">
        <w:rPr>
          <w:rFonts w:eastAsia="Calibri" w:cs="Times New Roman"/>
          <w:sz w:val="24"/>
          <w:szCs w:val="24"/>
        </w:rPr>
        <w:t>(300 </w:t>
      </w:r>
      <w:r w:rsidRPr="00207B7D">
        <w:rPr>
          <w:rFonts w:eastAsia="Calibri" w:cs="Times New Roman"/>
          <w:sz w:val="24"/>
          <w:szCs w:val="24"/>
        </w:rPr>
        <w:t>138 tis. eur), sa v najvyššej miere podieľala kapitola</w:t>
      </w:r>
      <w:r w:rsidRPr="00207B7D">
        <w:rPr>
          <w:rFonts w:eastAsia="Calibri" w:cs="Times New Roman"/>
          <w:color w:val="FF0000"/>
          <w:sz w:val="24"/>
          <w:szCs w:val="24"/>
        </w:rPr>
        <w:t xml:space="preserve"> </w:t>
      </w:r>
      <w:r w:rsidRPr="00207B7D">
        <w:rPr>
          <w:rFonts w:eastAsia="Calibri" w:cs="Times New Roman"/>
          <w:sz w:val="24"/>
          <w:szCs w:val="24"/>
          <w:u w:val="single"/>
        </w:rPr>
        <w:t>Ministerstva hospodárstva SR</w:t>
      </w:r>
      <w:r w:rsidRPr="00207B7D">
        <w:rPr>
          <w:rFonts w:eastAsia="Calibri" w:cs="Times New Roman"/>
          <w:sz w:val="24"/>
          <w:szCs w:val="24"/>
        </w:rPr>
        <w:t xml:space="preserve"> sumou 218 716 tis. eur. Finančné prostriedky boli vynaložené najmä na financovanie Operačného programu Integrovaná infraštruktúra v sume 216 116 tis. eur a</w:t>
      </w:r>
      <w:r w:rsidRPr="00207B7D">
        <w:rPr>
          <w:rFonts w:eastAsia="Calibri" w:cs="Times New Roman"/>
          <w:color w:val="FF0000"/>
          <w:sz w:val="24"/>
          <w:szCs w:val="24"/>
        </w:rPr>
        <w:t xml:space="preserve"> </w:t>
      </w:r>
      <w:r w:rsidRPr="00207B7D">
        <w:rPr>
          <w:rFonts w:eastAsia="Times" w:cs="Times"/>
          <w:sz w:val="24"/>
          <w:szCs w:val="24"/>
        </w:rPr>
        <w:t xml:space="preserve">boli poskytnuté </w:t>
      </w:r>
      <w:proofErr w:type="spellStart"/>
      <w:r w:rsidRPr="00207B7D">
        <w:rPr>
          <w:rFonts w:eastAsia="Times" w:cs="Times"/>
          <w:sz w:val="24"/>
          <w:szCs w:val="24"/>
        </w:rPr>
        <w:t>tranže</w:t>
      </w:r>
      <w:proofErr w:type="spellEnd"/>
      <w:r w:rsidRPr="00207B7D">
        <w:rPr>
          <w:rFonts w:eastAsia="Times" w:cs="Times"/>
          <w:sz w:val="24"/>
          <w:szCs w:val="24"/>
        </w:rPr>
        <w:t xml:space="preserve"> pre prijímateľa Slovak </w:t>
      </w:r>
      <w:proofErr w:type="spellStart"/>
      <w:r w:rsidRPr="00207B7D">
        <w:rPr>
          <w:rFonts w:eastAsia="Times" w:cs="Times"/>
          <w:sz w:val="24"/>
          <w:szCs w:val="24"/>
        </w:rPr>
        <w:t>Investment</w:t>
      </w:r>
      <w:proofErr w:type="spellEnd"/>
      <w:r w:rsidRPr="00207B7D">
        <w:rPr>
          <w:rFonts w:eastAsia="Times" w:cs="Times"/>
          <w:sz w:val="24"/>
          <w:szCs w:val="24"/>
        </w:rPr>
        <w:t xml:space="preserve"> Holding, </w:t>
      </w:r>
      <w:proofErr w:type="spellStart"/>
      <w:r w:rsidR="00837EB9">
        <w:rPr>
          <w:rFonts w:eastAsia="Times" w:cs="Times"/>
          <w:sz w:val="24"/>
          <w:szCs w:val="24"/>
        </w:rPr>
        <w:t>a.s</w:t>
      </w:r>
      <w:proofErr w:type="spellEnd"/>
      <w:r w:rsidR="00837EB9">
        <w:rPr>
          <w:rFonts w:eastAsia="Times" w:cs="Times"/>
          <w:sz w:val="24"/>
          <w:szCs w:val="24"/>
        </w:rPr>
        <w:t>.</w:t>
      </w:r>
      <w:r w:rsidR="00C86460">
        <w:rPr>
          <w:rFonts w:eastAsia="Times" w:cs="Times"/>
          <w:sz w:val="24"/>
          <w:szCs w:val="24"/>
        </w:rPr>
        <w:t xml:space="preserve"> </w:t>
      </w:r>
      <w:r w:rsidRPr="009B204F">
        <w:rPr>
          <w:rFonts w:eastAsia="Calibri" w:cs="Times New Roman"/>
          <w:sz w:val="24"/>
          <w:szCs w:val="24"/>
        </w:rPr>
        <w:t>za</w:t>
      </w:r>
      <w:r w:rsidR="00C86460">
        <w:rPr>
          <w:rFonts w:eastAsia="Calibri" w:cs="Times New Roman"/>
          <w:sz w:val="24"/>
          <w:szCs w:val="24"/>
        </w:rPr>
        <w:t> </w:t>
      </w:r>
      <w:r w:rsidRPr="009B204F">
        <w:rPr>
          <w:rFonts w:eastAsia="Calibri" w:cs="Times New Roman"/>
          <w:sz w:val="24"/>
          <w:szCs w:val="24"/>
        </w:rPr>
        <w:t xml:space="preserve">účelom posilnenia výskumu, technologického rozvoja a inovácií, na zvýšenie konkurencieschopnosti malých a stredných podnikov, na podporu výskumných, vývojových a inovačných kapacít a na rozvoj malého a stredného podnikania. Schválený rozpočet bol </w:t>
      </w:r>
      <w:r w:rsidRPr="009B204F">
        <w:rPr>
          <w:rFonts w:eastAsia="Calibri" w:cs="Times New Roman"/>
          <w:sz w:val="24"/>
          <w:szCs w:val="24"/>
        </w:rPr>
        <w:lastRenderedPageBreak/>
        <w:t>navýšený na základe rozpočtových opatrení z dôvodu financovania projektov na základe predložených žiadostí o platbu prijímateľa.</w:t>
      </w:r>
    </w:p>
    <w:p w14:paraId="6B825CB0" w14:textId="77777777" w:rsidR="009B204F" w:rsidRPr="009B204F" w:rsidRDefault="009B204F" w:rsidP="00207B7D">
      <w:pPr>
        <w:spacing w:line="240" w:lineRule="auto"/>
        <w:rPr>
          <w:rFonts w:eastAsia="Calibri" w:cs="Times New Roman"/>
          <w:sz w:val="24"/>
          <w:szCs w:val="24"/>
        </w:rPr>
      </w:pPr>
      <w:r w:rsidRPr="009B204F">
        <w:rPr>
          <w:rFonts w:eastAsia="Calibri" w:cs="Times New Roman"/>
          <w:sz w:val="24"/>
          <w:szCs w:val="24"/>
          <w:u w:val="single"/>
        </w:rPr>
        <w:t>Ministerstvo vnútra SR</w:t>
      </w:r>
      <w:r w:rsidRPr="009B204F">
        <w:rPr>
          <w:rFonts w:eastAsia="Calibri" w:cs="Times New Roman"/>
          <w:sz w:val="24"/>
          <w:szCs w:val="24"/>
        </w:rPr>
        <w:t xml:space="preserve"> poskytlo transfer právnickej osobe založenej štátom v sume 42 853 tis. eur v rámci Operačného programu Ľudské zdroje na technickú vybavenosť v obciach s prítomnosťou marginalizovaných rómskych komunít na základe žiadostí o platbu. Prijímateľmi boli občianske združenia.</w:t>
      </w:r>
    </w:p>
    <w:p w14:paraId="032ABA63" w14:textId="44CDEB23" w:rsidR="009B204F" w:rsidRPr="009B204F" w:rsidRDefault="009B204F" w:rsidP="00207B7D">
      <w:pPr>
        <w:spacing w:line="240" w:lineRule="auto"/>
        <w:rPr>
          <w:rFonts w:eastAsia="Calibri" w:cs="Times New Roman"/>
          <w:sz w:val="24"/>
          <w:szCs w:val="24"/>
        </w:rPr>
      </w:pPr>
      <w:r w:rsidRPr="009B204F">
        <w:rPr>
          <w:rFonts w:eastAsia="Calibri" w:cs="Times New Roman"/>
          <w:sz w:val="24"/>
          <w:szCs w:val="24"/>
        </w:rPr>
        <w:t xml:space="preserve">Transfery </w:t>
      </w:r>
      <w:r w:rsidRPr="009B204F">
        <w:rPr>
          <w:rFonts w:eastAsia="Calibri" w:cs="Times New Roman"/>
          <w:b/>
          <w:i/>
          <w:sz w:val="24"/>
          <w:szCs w:val="24"/>
        </w:rPr>
        <w:t>fyzickej osobe podnikateľovi</w:t>
      </w:r>
      <w:r w:rsidRPr="009B204F">
        <w:rPr>
          <w:rFonts w:eastAsia="Calibri" w:cs="Times New Roman"/>
          <w:b/>
          <w:sz w:val="24"/>
          <w:szCs w:val="24"/>
        </w:rPr>
        <w:t xml:space="preserve"> </w:t>
      </w:r>
      <w:r w:rsidRPr="009B204F">
        <w:rPr>
          <w:rFonts w:eastAsia="Calibri" w:cs="Times New Roman"/>
          <w:sz w:val="24"/>
          <w:szCs w:val="24"/>
        </w:rPr>
        <w:t>(103 487 tis. eur)</w:t>
      </w:r>
      <w:r w:rsidRPr="009B204F">
        <w:rPr>
          <w:rFonts w:eastAsia="Calibri" w:cs="Times New Roman"/>
          <w:b/>
          <w:sz w:val="24"/>
          <w:szCs w:val="24"/>
        </w:rPr>
        <w:t xml:space="preserve"> </w:t>
      </w:r>
      <w:r w:rsidRPr="009B204F">
        <w:rPr>
          <w:rFonts w:eastAsia="Calibri" w:cs="Times New Roman"/>
          <w:sz w:val="24"/>
          <w:szCs w:val="24"/>
        </w:rPr>
        <w:t xml:space="preserve">boli poskytnuté v rozhodujúcej miere </w:t>
      </w:r>
      <w:r w:rsidRPr="009B204F">
        <w:rPr>
          <w:rFonts w:eastAsia="Calibri" w:cs="Times New Roman"/>
          <w:sz w:val="24"/>
          <w:szCs w:val="24"/>
          <w:u w:val="single"/>
        </w:rPr>
        <w:t>Ministerstvom pôdohospodárstva a rozvoja vidieka SR</w:t>
      </w:r>
      <w:r w:rsidRPr="009B204F">
        <w:rPr>
          <w:rFonts w:eastAsia="Calibri" w:cs="Times New Roman"/>
          <w:sz w:val="24"/>
          <w:szCs w:val="24"/>
        </w:rPr>
        <w:t xml:space="preserve"> v sume 96 564 tis. eur.</w:t>
      </w:r>
      <w:r w:rsidRPr="009B204F">
        <w:rPr>
          <w:rFonts w:eastAsia="Calibri" w:cs="Times New Roman"/>
          <w:color w:val="FF0000"/>
          <w:sz w:val="24"/>
          <w:szCs w:val="24"/>
        </w:rPr>
        <w:t xml:space="preserve"> </w:t>
      </w:r>
      <w:r w:rsidRPr="009B204F">
        <w:rPr>
          <w:rFonts w:eastAsia="Calibri" w:cs="Times New Roman"/>
          <w:bCs/>
          <w:sz w:val="24"/>
          <w:szCs w:val="24"/>
        </w:rPr>
        <w:t>Najvyššie čerpanie finančných prostriedkov predstavovali Priame platby 2014-2020 (42 804 tis. eur) a priame platby v rámci Strategického plánu Spoločnej poľnohospodárskej politiky 2021-2027 (21 824 tis. eur). V rámci priamych platieb bolo najviac prostriedkov poskytnutých v rámci dotačného titulu SAPS (Jednotná platba na plochu), GRE (</w:t>
      </w:r>
      <w:proofErr w:type="spellStart"/>
      <w:r w:rsidRPr="009B204F">
        <w:rPr>
          <w:rFonts w:eastAsia="Calibri" w:cs="Times New Roman"/>
          <w:bCs/>
          <w:sz w:val="24"/>
          <w:szCs w:val="24"/>
        </w:rPr>
        <w:t>Greening</w:t>
      </w:r>
      <w:proofErr w:type="spellEnd"/>
      <w:r w:rsidRPr="009B204F">
        <w:rPr>
          <w:rFonts w:eastAsia="Calibri" w:cs="Times New Roman"/>
          <w:bCs/>
          <w:sz w:val="24"/>
          <w:szCs w:val="24"/>
        </w:rPr>
        <w:t>-poľnohospodárske postupy prospešné pre klímu a životné prostredie) a VDOJ (Platba na kravy chované v systéme s trhovou produkciou mlieka).</w:t>
      </w:r>
      <w:r w:rsidRPr="009B204F">
        <w:rPr>
          <w:rFonts w:ascii="Calibri" w:eastAsia="Calibri" w:hAnsi="Calibri" w:cs="Times New Roman"/>
          <w:bCs/>
        </w:rPr>
        <w:t xml:space="preserve"> </w:t>
      </w:r>
      <w:r w:rsidRPr="009B204F">
        <w:rPr>
          <w:rFonts w:eastAsia="Calibri" w:cs="Times New Roman"/>
          <w:bCs/>
          <w:sz w:val="24"/>
          <w:szCs w:val="24"/>
        </w:rPr>
        <w:t>Ďalšie prostriedky v sume 19 252 tis. eur boli poskytnuté v rámci opatrení Programu rozvoja vidieka SR 2014-2022</w:t>
      </w:r>
      <w:r w:rsidRPr="009B204F">
        <w:rPr>
          <w:rFonts w:eastAsia="Calibri" w:cs="Times New Roman"/>
          <w:sz w:val="24"/>
          <w:szCs w:val="24"/>
        </w:rPr>
        <w:t xml:space="preserve">. </w:t>
      </w:r>
      <w:r w:rsidRPr="009B204F">
        <w:rPr>
          <w:rFonts w:eastAsia="Calibri" w:cs="Times New Roman"/>
          <w:bCs/>
          <w:sz w:val="24"/>
          <w:szCs w:val="24"/>
        </w:rPr>
        <w:t>Finančné prostriedky na tejto podpoložke neboli rozpočtované, nakoľko sú</w:t>
      </w:r>
      <w:r w:rsidRPr="009B204F">
        <w:rPr>
          <w:rFonts w:eastAsia="Calibri" w:cs="Times New Roman"/>
          <w:sz w:val="24"/>
          <w:szCs w:val="24"/>
        </w:rPr>
        <w:t xml:space="preserve"> vyplácané až na základe uzatvorených zmlúv, ako aj z dôvodu vyplácania prostriedkov z prevodov z minulých období, ktoré vstupujú až do upraveného rozpočtu.</w:t>
      </w:r>
    </w:p>
    <w:p w14:paraId="193D118E" w14:textId="2DA8FA0F" w:rsidR="009B204F" w:rsidRPr="009B204F" w:rsidRDefault="009B204F" w:rsidP="00207B7D">
      <w:pPr>
        <w:spacing w:line="240" w:lineRule="auto"/>
        <w:rPr>
          <w:rFonts w:eastAsia="Calibri" w:cs="Times New Roman"/>
          <w:sz w:val="24"/>
          <w:szCs w:val="24"/>
        </w:rPr>
      </w:pPr>
      <w:r w:rsidRPr="009B204F">
        <w:rPr>
          <w:rFonts w:eastAsia="Calibri" w:cs="Times New Roman"/>
          <w:b/>
          <w:bCs/>
          <w:sz w:val="24"/>
          <w:szCs w:val="24"/>
        </w:rPr>
        <w:t xml:space="preserve">Transfery do zahraničia </w:t>
      </w:r>
      <w:r w:rsidRPr="009B204F">
        <w:rPr>
          <w:rFonts w:eastAsia="Calibri" w:cs="Times New Roman"/>
          <w:sz w:val="24"/>
          <w:szCs w:val="24"/>
        </w:rPr>
        <w:t>boli poskytnuté</w:t>
      </w:r>
      <w:r w:rsidRPr="009B204F">
        <w:rPr>
          <w:rFonts w:eastAsia="Calibri" w:cs="Times New Roman"/>
          <w:b/>
          <w:bCs/>
          <w:sz w:val="24"/>
          <w:szCs w:val="24"/>
        </w:rPr>
        <w:t xml:space="preserve"> </w:t>
      </w:r>
      <w:r w:rsidRPr="009B204F">
        <w:rPr>
          <w:rFonts w:eastAsia="Calibri" w:cs="Times New Roman"/>
          <w:sz w:val="24"/>
          <w:szCs w:val="24"/>
        </w:rPr>
        <w:t xml:space="preserve">v celkovom objeme 1 071 926 tis. eur a zahŕňajú najmä </w:t>
      </w:r>
      <w:r w:rsidRPr="009B204F">
        <w:rPr>
          <w:rFonts w:eastAsia="Calibri" w:cs="Times New Roman"/>
          <w:b/>
          <w:i/>
          <w:iCs/>
          <w:sz w:val="24"/>
          <w:szCs w:val="24"/>
        </w:rPr>
        <w:t>odvody Slovenskej republiky do rozpočtu Európskej únie</w:t>
      </w:r>
      <w:r w:rsidRPr="009B204F">
        <w:rPr>
          <w:rFonts w:eastAsia="Calibri" w:cs="Times New Roman"/>
          <w:sz w:val="24"/>
          <w:szCs w:val="24"/>
        </w:rPr>
        <w:t xml:space="preserve"> na financovanie spoločných programov a politík EÚ.</w:t>
      </w:r>
      <w:r w:rsidRPr="009B204F">
        <w:rPr>
          <w:rFonts w:eastAsia="Calibri" w:cs="Times New Roman"/>
          <w:color w:val="FF0000"/>
          <w:sz w:val="24"/>
          <w:szCs w:val="24"/>
        </w:rPr>
        <w:t xml:space="preserve"> </w:t>
      </w:r>
      <w:r w:rsidRPr="009B204F">
        <w:rPr>
          <w:rFonts w:eastAsia="Calibri" w:cs="Times New Roman"/>
          <w:sz w:val="24"/>
          <w:szCs w:val="24"/>
        </w:rPr>
        <w:t xml:space="preserve">Tieto prostriedky boli poskytnuté výlučne prostredníctvom kapitoly Všeobecná pokladničná správa v sume 943 226 tis. eur a pôvodne boli rozpočtované v sume 1 027 581 tis. eur. Zníženie skutočného odvodu SR z vlastných zdrojov do rozpočtu EÚ oproti schválenému rozpočtu bolo ovplyvnené neskorým prijatím opravného rozpočtu č. 5/2022, z 23. novembra 2022, ktorého účinok sa prejavil až v januárovej platbe za rok 2023. Skutočný odvod ovplyvnili aj novely rozpočtu EÚ, ktoré súviseli s technickými zmenami vyplývajúcich z politických dohôd, v súvislosti s niekoľkými legislatívnymi návrhmi (plán </w:t>
      </w:r>
      <w:proofErr w:type="spellStart"/>
      <w:r w:rsidRPr="009B204F">
        <w:rPr>
          <w:rFonts w:eastAsia="Calibri" w:cs="Times New Roman"/>
          <w:sz w:val="24"/>
          <w:szCs w:val="24"/>
        </w:rPr>
        <w:t>REPowerEU</w:t>
      </w:r>
      <w:proofErr w:type="spellEnd"/>
      <w:r w:rsidRPr="009B204F">
        <w:rPr>
          <w:rFonts w:eastAsia="Calibri" w:cs="Times New Roman"/>
          <w:sz w:val="24"/>
          <w:szCs w:val="24"/>
        </w:rPr>
        <w:t xml:space="preserve">, mechanizmus uhlíkovej kompenzácie na hraniciach (CBAM) a Program Únie pre bezpečnú konektivitu), s prebytkom z plnenia rozpočtu v roku 2022 a s úpravou základne vlastných zdrojov podľa najnovších ekonomických prognóz. Nevyčerpané prostriedky boli presunuté v rámci Všeobecnej pokladničnej správy na iný výdavkový titul na použitie v nasledujúcom rozpočtovom roku. </w:t>
      </w:r>
    </w:p>
    <w:p w14:paraId="56D720CB" w14:textId="77777777" w:rsidR="009B204F" w:rsidRPr="009B204F" w:rsidRDefault="009B204F" w:rsidP="00207B7D">
      <w:pPr>
        <w:spacing w:line="240" w:lineRule="auto"/>
        <w:rPr>
          <w:rFonts w:eastAsia="Calibri" w:cs="Times New Roman"/>
          <w:sz w:val="24"/>
          <w:szCs w:val="24"/>
        </w:rPr>
      </w:pPr>
      <w:r w:rsidRPr="009B204F">
        <w:rPr>
          <w:rFonts w:eastAsia="Calibri" w:cs="Times New Roman"/>
          <w:sz w:val="24"/>
          <w:szCs w:val="24"/>
        </w:rPr>
        <w:t xml:space="preserve">V rámci transferov do zahraničia bola poskytnutá </w:t>
      </w:r>
      <w:r w:rsidRPr="009B204F">
        <w:rPr>
          <w:rFonts w:eastAsia="Calibri" w:cs="Times New Roman"/>
          <w:b/>
          <w:i/>
          <w:sz w:val="24"/>
          <w:szCs w:val="24"/>
        </w:rPr>
        <w:t>Medzinárodným organizáciám</w:t>
      </w:r>
      <w:r w:rsidRPr="009B204F">
        <w:rPr>
          <w:rFonts w:eastAsia="Calibri" w:cs="Times New Roman"/>
          <w:sz w:val="24"/>
          <w:szCs w:val="24"/>
        </w:rPr>
        <w:t xml:space="preserve"> suma 113 941 tis. eur, na čom sa podieľalo najmä </w:t>
      </w:r>
      <w:r w:rsidRPr="009B204F">
        <w:rPr>
          <w:rFonts w:eastAsia="Calibri" w:cs="Times New Roman"/>
          <w:sz w:val="24"/>
          <w:szCs w:val="24"/>
          <w:u w:val="single"/>
        </w:rPr>
        <w:t>Ministerstvo obrany SR</w:t>
      </w:r>
      <w:r w:rsidRPr="009B204F">
        <w:rPr>
          <w:rFonts w:eastAsia="Calibri" w:cs="Times New Roman"/>
          <w:sz w:val="24"/>
          <w:szCs w:val="24"/>
        </w:rPr>
        <w:t xml:space="preserve"> sumou 49 996 tis. eur. Išlo o príspevky platené do NATO, Európskej únii, zahraničnej vláde a iným medzinárodným inštitúciám. </w:t>
      </w:r>
      <w:r w:rsidRPr="009B204F">
        <w:rPr>
          <w:rFonts w:eastAsia="Calibri" w:cs="Times New Roman"/>
          <w:sz w:val="24"/>
          <w:szCs w:val="24"/>
          <w:u w:val="single"/>
        </w:rPr>
        <w:t>Ministerstvo zahraničných vecí a európskych záležitostí SR</w:t>
      </w:r>
      <w:r w:rsidRPr="009B204F">
        <w:rPr>
          <w:rFonts w:eastAsia="Calibri" w:cs="Times New Roman"/>
          <w:sz w:val="24"/>
          <w:szCs w:val="24"/>
        </w:rPr>
        <w:t xml:space="preserve"> čerpalo v rámci tejto podpoložky sumu</w:t>
      </w:r>
      <w:r w:rsidRPr="009B204F">
        <w:rPr>
          <w:rFonts w:eastAsia="Calibri" w:cs="Times New Roman"/>
          <w:color w:val="FF0000"/>
          <w:sz w:val="24"/>
          <w:szCs w:val="24"/>
        </w:rPr>
        <w:t xml:space="preserve"> </w:t>
      </w:r>
      <w:r w:rsidRPr="009B204F">
        <w:rPr>
          <w:rFonts w:eastAsia="Calibri" w:cs="Times New Roman"/>
          <w:sz w:val="24"/>
          <w:szCs w:val="24"/>
        </w:rPr>
        <w:t>20 069 tis. eur a realizovalo najmä úhrady</w:t>
      </w:r>
      <w:r w:rsidRPr="009B204F">
        <w:rPr>
          <w:rFonts w:eastAsia="Calibri" w:cs="Times New Roman"/>
          <w:color w:val="FF0000"/>
          <w:sz w:val="24"/>
          <w:szCs w:val="24"/>
        </w:rPr>
        <w:t xml:space="preserve"> </w:t>
      </w:r>
      <w:r w:rsidRPr="009B204F">
        <w:rPr>
          <w:rFonts w:eastAsia="Calibri" w:cs="Times New Roman"/>
          <w:sz w:val="24"/>
          <w:szCs w:val="24"/>
        </w:rPr>
        <w:t>členských príspevkov do medzinárodných organizácií,</w:t>
      </w:r>
      <w:r w:rsidRPr="009B204F">
        <w:rPr>
          <w:rFonts w:eastAsia="Calibri" w:cs="Times New Roman"/>
          <w:color w:val="FF0000"/>
          <w:sz w:val="24"/>
          <w:szCs w:val="24"/>
        </w:rPr>
        <w:t xml:space="preserve"> </w:t>
      </w:r>
      <w:r w:rsidRPr="009B204F">
        <w:rPr>
          <w:rFonts w:eastAsia="Calibri" w:cs="Times New Roman"/>
          <w:sz w:val="24"/>
          <w:szCs w:val="24"/>
        </w:rPr>
        <w:t>ako napríklad OSN, OECD, NATO a iné.</w:t>
      </w:r>
      <w:r w:rsidRPr="009B204F">
        <w:rPr>
          <w:rFonts w:eastAsia="Calibri" w:cs="Times New Roman"/>
          <w:color w:val="FF0000"/>
          <w:sz w:val="24"/>
          <w:szCs w:val="24"/>
        </w:rPr>
        <w:t xml:space="preserve"> </w:t>
      </w:r>
      <w:r w:rsidRPr="009B204F">
        <w:rPr>
          <w:rFonts w:eastAsia="Calibri" w:cs="Times New Roman"/>
          <w:sz w:val="24"/>
          <w:szCs w:val="24"/>
          <w:u w:val="single"/>
        </w:rPr>
        <w:t>Ministerstvo školstva, vedy, výskumu a športu SR</w:t>
      </w:r>
      <w:r w:rsidRPr="009B204F">
        <w:rPr>
          <w:rFonts w:eastAsia="Calibri" w:cs="Times New Roman"/>
          <w:sz w:val="24"/>
          <w:szCs w:val="24"/>
        </w:rPr>
        <w:t xml:space="preserve"> v objeme 17 999 tis. eur, ktoré realizovalo úhrady pravidelných príspevkov na členstvo v medzinárodných organizáciách, ako napr. </w:t>
      </w:r>
      <w:proofErr w:type="spellStart"/>
      <w:r w:rsidRPr="009B204F">
        <w:rPr>
          <w:rFonts w:eastAsia="Calibri" w:cs="Times New Roman"/>
          <w:sz w:val="24"/>
          <w:szCs w:val="24"/>
        </w:rPr>
        <w:t>European</w:t>
      </w:r>
      <w:proofErr w:type="spellEnd"/>
      <w:r w:rsidRPr="009B204F">
        <w:rPr>
          <w:rFonts w:eastAsia="Calibri" w:cs="Times New Roman"/>
          <w:sz w:val="24"/>
          <w:szCs w:val="24"/>
        </w:rPr>
        <w:t xml:space="preserve"> </w:t>
      </w:r>
      <w:proofErr w:type="spellStart"/>
      <w:r w:rsidRPr="009B204F">
        <w:rPr>
          <w:rFonts w:eastAsia="Calibri" w:cs="Times New Roman"/>
          <w:sz w:val="24"/>
          <w:szCs w:val="24"/>
        </w:rPr>
        <w:t>Space</w:t>
      </w:r>
      <w:proofErr w:type="spellEnd"/>
      <w:r w:rsidRPr="009B204F">
        <w:rPr>
          <w:rFonts w:eastAsia="Calibri" w:cs="Times New Roman"/>
          <w:sz w:val="24"/>
          <w:szCs w:val="24"/>
        </w:rPr>
        <w:t xml:space="preserve"> </w:t>
      </w:r>
      <w:proofErr w:type="spellStart"/>
      <w:r w:rsidRPr="009B204F">
        <w:rPr>
          <w:rFonts w:eastAsia="Calibri" w:cs="Times New Roman"/>
          <w:sz w:val="24"/>
          <w:szCs w:val="24"/>
        </w:rPr>
        <w:t>Agency</w:t>
      </w:r>
      <w:proofErr w:type="spellEnd"/>
      <w:r w:rsidRPr="009B204F">
        <w:rPr>
          <w:rFonts w:eastAsia="Calibri" w:cs="Times New Roman"/>
          <w:sz w:val="24"/>
          <w:szCs w:val="24"/>
        </w:rPr>
        <w:t xml:space="preserve"> (ESA) </w:t>
      </w:r>
      <w:proofErr w:type="spellStart"/>
      <w:r w:rsidRPr="009B204F">
        <w:rPr>
          <w:rFonts w:eastAsia="Calibri" w:cs="Times New Roman"/>
          <w:sz w:val="24"/>
          <w:szCs w:val="24"/>
        </w:rPr>
        <w:t>Headquarters</w:t>
      </w:r>
      <w:proofErr w:type="spellEnd"/>
      <w:r w:rsidRPr="009B204F">
        <w:rPr>
          <w:rFonts w:eastAsia="Calibri" w:cs="Times New Roman"/>
          <w:sz w:val="24"/>
          <w:szCs w:val="24"/>
        </w:rPr>
        <w:t xml:space="preserve">–PECS, </w:t>
      </w:r>
      <w:proofErr w:type="spellStart"/>
      <w:r w:rsidRPr="009B204F">
        <w:rPr>
          <w:rFonts w:eastAsia="Calibri" w:cs="Times New Roman"/>
          <w:sz w:val="24"/>
          <w:szCs w:val="24"/>
        </w:rPr>
        <w:t>Paris</w:t>
      </w:r>
      <w:proofErr w:type="spellEnd"/>
      <w:r w:rsidRPr="009B204F">
        <w:rPr>
          <w:rFonts w:eastAsia="Calibri" w:cs="Times New Roman"/>
          <w:sz w:val="24"/>
          <w:szCs w:val="24"/>
        </w:rPr>
        <w:t xml:space="preserve">, </w:t>
      </w:r>
      <w:proofErr w:type="spellStart"/>
      <w:r w:rsidRPr="009B204F">
        <w:rPr>
          <w:rFonts w:eastAsia="Calibri" w:cs="Times New Roman"/>
          <w:sz w:val="24"/>
          <w:szCs w:val="24"/>
        </w:rPr>
        <w:t>France</w:t>
      </w:r>
      <w:proofErr w:type="spellEnd"/>
      <w:r w:rsidRPr="009B204F">
        <w:rPr>
          <w:rFonts w:eastAsia="Calibri" w:cs="Times New Roman"/>
          <w:sz w:val="24"/>
          <w:szCs w:val="24"/>
        </w:rPr>
        <w:t xml:space="preserve">, CERN </w:t>
      </w:r>
      <w:proofErr w:type="spellStart"/>
      <w:r w:rsidRPr="009B204F">
        <w:rPr>
          <w:rFonts w:eastAsia="Calibri" w:cs="Times New Roman"/>
          <w:sz w:val="24"/>
          <w:szCs w:val="24"/>
        </w:rPr>
        <w:t>Finances</w:t>
      </w:r>
      <w:proofErr w:type="spellEnd"/>
      <w:r w:rsidRPr="009B204F">
        <w:rPr>
          <w:rFonts w:eastAsia="Calibri" w:cs="Times New Roman"/>
          <w:sz w:val="24"/>
          <w:szCs w:val="24"/>
        </w:rPr>
        <w:t xml:space="preserve">, </w:t>
      </w:r>
      <w:proofErr w:type="spellStart"/>
      <w:r w:rsidRPr="009B204F">
        <w:rPr>
          <w:rFonts w:eastAsia="Calibri" w:cs="Times New Roman"/>
          <w:sz w:val="24"/>
          <w:szCs w:val="24"/>
        </w:rPr>
        <w:t>Geneve</w:t>
      </w:r>
      <w:proofErr w:type="spellEnd"/>
      <w:r w:rsidRPr="009B204F">
        <w:rPr>
          <w:rFonts w:eastAsia="Calibri" w:cs="Times New Roman"/>
          <w:sz w:val="24"/>
          <w:szCs w:val="24"/>
        </w:rPr>
        <w:t xml:space="preserve">, </w:t>
      </w:r>
      <w:proofErr w:type="spellStart"/>
      <w:r w:rsidRPr="009B204F">
        <w:rPr>
          <w:rFonts w:eastAsia="Calibri" w:cs="Times New Roman"/>
          <w:sz w:val="24"/>
          <w:szCs w:val="24"/>
        </w:rPr>
        <w:t>European</w:t>
      </w:r>
      <w:proofErr w:type="spellEnd"/>
      <w:r w:rsidRPr="009B204F">
        <w:rPr>
          <w:rFonts w:eastAsia="Calibri" w:cs="Times New Roman"/>
          <w:sz w:val="24"/>
          <w:szCs w:val="24"/>
        </w:rPr>
        <w:t xml:space="preserve"> </w:t>
      </w:r>
      <w:proofErr w:type="spellStart"/>
      <w:r w:rsidRPr="009B204F">
        <w:rPr>
          <w:rFonts w:eastAsia="Calibri" w:cs="Times New Roman"/>
          <w:sz w:val="24"/>
          <w:szCs w:val="24"/>
        </w:rPr>
        <w:t>Molecular</w:t>
      </w:r>
      <w:proofErr w:type="spellEnd"/>
      <w:r w:rsidRPr="009B204F">
        <w:rPr>
          <w:rFonts w:eastAsia="Calibri" w:cs="Times New Roman"/>
          <w:sz w:val="24"/>
          <w:szCs w:val="24"/>
        </w:rPr>
        <w:t xml:space="preserve"> </w:t>
      </w:r>
      <w:proofErr w:type="spellStart"/>
      <w:r w:rsidRPr="009B204F">
        <w:rPr>
          <w:rFonts w:eastAsia="Calibri" w:cs="Times New Roman"/>
          <w:sz w:val="24"/>
          <w:szCs w:val="24"/>
        </w:rPr>
        <w:t>Biology</w:t>
      </w:r>
      <w:proofErr w:type="spellEnd"/>
      <w:r w:rsidRPr="009B204F">
        <w:rPr>
          <w:rFonts w:eastAsia="Calibri" w:cs="Times New Roman"/>
          <w:sz w:val="24"/>
          <w:szCs w:val="24"/>
        </w:rPr>
        <w:t xml:space="preserve"> </w:t>
      </w:r>
      <w:proofErr w:type="spellStart"/>
      <w:r w:rsidRPr="009B204F">
        <w:rPr>
          <w:rFonts w:eastAsia="Calibri" w:cs="Times New Roman"/>
          <w:sz w:val="24"/>
          <w:szCs w:val="24"/>
        </w:rPr>
        <w:t>Conference</w:t>
      </w:r>
      <w:proofErr w:type="spellEnd"/>
      <w:r w:rsidRPr="009B204F">
        <w:rPr>
          <w:rFonts w:eastAsia="Calibri" w:cs="Times New Roman"/>
          <w:sz w:val="24"/>
          <w:szCs w:val="24"/>
        </w:rPr>
        <w:t xml:space="preserve"> (EMBC), </w:t>
      </w:r>
      <w:proofErr w:type="spellStart"/>
      <w:r w:rsidRPr="009B204F">
        <w:rPr>
          <w:rFonts w:eastAsia="Calibri" w:cs="Times New Roman"/>
          <w:sz w:val="24"/>
          <w:szCs w:val="24"/>
        </w:rPr>
        <w:t>Molecular</w:t>
      </w:r>
      <w:proofErr w:type="spellEnd"/>
      <w:r w:rsidRPr="009B204F">
        <w:rPr>
          <w:rFonts w:eastAsia="Calibri" w:cs="Times New Roman"/>
          <w:sz w:val="24"/>
          <w:szCs w:val="24"/>
        </w:rPr>
        <w:t xml:space="preserve"> </w:t>
      </w:r>
      <w:proofErr w:type="spellStart"/>
      <w:r w:rsidRPr="009B204F">
        <w:rPr>
          <w:rFonts w:eastAsia="Calibri" w:cs="Times New Roman"/>
          <w:sz w:val="24"/>
          <w:szCs w:val="24"/>
        </w:rPr>
        <w:t>Biology</w:t>
      </w:r>
      <w:proofErr w:type="spellEnd"/>
      <w:r w:rsidRPr="009B204F">
        <w:rPr>
          <w:rFonts w:eastAsia="Calibri" w:cs="Times New Roman"/>
          <w:sz w:val="24"/>
          <w:szCs w:val="24"/>
        </w:rPr>
        <w:t xml:space="preserve"> </w:t>
      </w:r>
      <w:proofErr w:type="spellStart"/>
      <w:r w:rsidRPr="009B204F">
        <w:rPr>
          <w:rFonts w:eastAsia="Calibri" w:cs="Times New Roman"/>
          <w:sz w:val="24"/>
          <w:szCs w:val="24"/>
        </w:rPr>
        <w:t>Laboratory</w:t>
      </w:r>
      <w:proofErr w:type="spellEnd"/>
      <w:r w:rsidRPr="009B204F">
        <w:rPr>
          <w:rFonts w:eastAsia="Calibri" w:cs="Times New Roman"/>
          <w:sz w:val="24"/>
          <w:szCs w:val="24"/>
        </w:rPr>
        <w:t xml:space="preserve"> (EMBL) a iné.</w:t>
      </w:r>
    </w:p>
    <w:p w14:paraId="226E0193" w14:textId="7A551414" w:rsidR="00B768D9" w:rsidRPr="00C15485" w:rsidRDefault="009B204F" w:rsidP="00207B7D">
      <w:pPr>
        <w:spacing w:line="240" w:lineRule="auto"/>
      </w:pPr>
      <w:r w:rsidRPr="009B204F">
        <w:rPr>
          <w:rFonts w:eastAsia="Calibri" w:cs="Times New Roman"/>
          <w:b/>
          <w:bCs/>
          <w:sz w:val="24"/>
          <w:szCs w:val="24"/>
        </w:rPr>
        <w:t>Transfery do tuzemských finančných inštitúcií</w:t>
      </w:r>
      <w:r w:rsidRPr="009B204F">
        <w:rPr>
          <w:rFonts w:eastAsia="Calibri" w:cs="Times New Roman"/>
          <w:sz w:val="24"/>
          <w:szCs w:val="24"/>
        </w:rPr>
        <w:t xml:space="preserve"> boli poskytnuté v celkovej sume 122 161 tis. eur, prevažne </w:t>
      </w:r>
      <w:r w:rsidRPr="009B204F">
        <w:rPr>
          <w:rFonts w:eastAsia="Calibri" w:cs="Times New Roman"/>
          <w:b/>
          <w:i/>
          <w:sz w:val="24"/>
          <w:szCs w:val="24"/>
        </w:rPr>
        <w:t xml:space="preserve">na implementáciu finančných nástrojov </w:t>
      </w:r>
      <w:r w:rsidRPr="009B204F">
        <w:rPr>
          <w:rFonts w:eastAsia="Calibri" w:cs="Times New Roman"/>
          <w:sz w:val="24"/>
          <w:szCs w:val="24"/>
        </w:rPr>
        <w:t xml:space="preserve">v sume 119 127 tis. eur, výlučne prostredníctvom </w:t>
      </w:r>
      <w:r w:rsidRPr="009B204F">
        <w:rPr>
          <w:rFonts w:eastAsia="Calibri" w:cs="Times New Roman"/>
          <w:sz w:val="24"/>
          <w:szCs w:val="24"/>
          <w:u w:val="single"/>
        </w:rPr>
        <w:t>Ministerstva dopravy SR</w:t>
      </w:r>
      <w:r w:rsidRPr="009B204F">
        <w:rPr>
          <w:rFonts w:eastAsia="Calibri" w:cs="Times New Roman"/>
          <w:sz w:val="24"/>
          <w:szCs w:val="24"/>
        </w:rPr>
        <w:t xml:space="preserve">, </w:t>
      </w:r>
      <w:r w:rsidRPr="009B204F">
        <w:rPr>
          <w:rFonts w:eastAsia="Times New Roman" w:cs="Times New Roman"/>
          <w:sz w:val="24"/>
          <w:szCs w:val="24"/>
        </w:rPr>
        <w:t xml:space="preserve">na úhradu výdavkov </w:t>
      </w:r>
      <w:r w:rsidRPr="009B204F">
        <w:rPr>
          <w:rFonts w:eastAsia="Times New Roman" w:cs="Times New Roman"/>
          <w:b/>
          <w:i/>
          <w:sz w:val="24"/>
          <w:szCs w:val="24"/>
        </w:rPr>
        <w:t>na činnosť Kancelárie Rady pre rozpočtovú zodpovednosť</w:t>
      </w:r>
      <w:r w:rsidRPr="009B204F">
        <w:rPr>
          <w:rFonts w:eastAsia="Times New Roman" w:cs="Times New Roman"/>
          <w:sz w:val="24"/>
          <w:szCs w:val="24"/>
        </w:rPr>
        <w:t xml:space="preserve"> v objeme 2 410 tis. eur</w:t>
      </w:r>
      <w:r w:rsidRPr="009B204F">
        <w:rPr>
          <w:rFonts w:eastAsia="Times New Roman" w:cs="Times New Roman"/>
          <w:color w:val="FF0000"/>
          <w:sz w:val="24"/>
          <w:szCs w:val="24"/>
        </w:rPr>
        <w:t xml:space="preserve"> </w:t>
      </w:r>
      <w:r w:rsidRPr="009B204F">
        <w:rPr>
          <w:rFonts w:eastAsia="Calibri" w:cs="Times New Roman"/>
          <w:sz w:val="24"/>
          <w:szCs w:val="24"/>
        </w:rPr>
        <w:t xml:space="preserve">prostredníctvom </w:t>
      </w:r>
      <w:r w:rsidRPr="009B204F">
        <w:rPr>
          <w:rFonts w:eastAsia="Calibri" w:cs="Times New Roman"/>
          <w:sz w:val="24"/>
          <w:szCs w:val="24"/>
          <w:u w:val="single"/>
        </w:rPr>
        <w:t>Ministerstva financií SR</w:t>
      </w:r>
      <w:r w:rsidRPr="009B204F">
        <w:rPr>
          <w:rFonts w:eastAsia="Calibri" w:cs="Times New Roman"/>
          <w:sz w:val="24"/>
          <w:szCs w:val="24"/>
        </w:rPr>
        <w:t xml:space="preserve"> a </w:t>
      </w:r>
      <w:r w:rsidRPr="009B204F">
        <w:rPr>
          <w:rFonts w:eastAsia="Calibri" w:cs="Times New Roman"/>
          <w:b/>
          <w:i/>
          <w:sz w:val="24"/>
          <w:szCs w:val="24"/>
        </w:rPr>
        <w:t>na úhradu majetkovej ujmy</w:t>
      </w:r>
      <w:r w:rsidRPr="009B204F">
        <w:rPr>
          <w:rFonts w:eastAsia="Calibri" w:cs="Times New Roman"/>
          <w:sz w:val="24"/>
          <w:szCs w:val="24"/>
        </w:rPr>
        <w:t xml:space="preserve"> v sume 624 tis. eur.</w:t>
      </w:r>
    </w:p>
    <w:p w14:paraId="1396C814" w14:textId="350A31DF" w:rsidR="0051484D" w:rsidRPr="002B42D8" w:rsidRDefault="0051484D" w:rsidP="002B42D8">
      <w:pPr>
        <w:pStyle w:val="Nadpis4"/>
      </w:pPr>
      <w:bookmarkStart w:id="51" w:name="_Toc164846946"/>
      <w:r w:rsidRPr="002B42D8">
        <w:lastRenderedPageBreak/>
        <w:t>Kapitálové výdavky</w:t>
      </w:r>
      <w:bookmarkEnd w:id="51"/>
    </w:p>
    <w:p w14:paraId="7D329632" w14:textId="77777777" w:rsidR="00060EF5" w:rsidRPr="00663918" w:rsidRDefault="00060EF5" w:rsidP="00060EF5">
      <w:pPr>
        <w:spacing w:line="240" w:lineRule="auto"/>
        <w:rPr>
          <w:sz w:val="24"/>
          <w:szCs w:val="24"/>
        </w:rPr>
      </w:pPr>
      <w:r w:rsidRPr="00663918">
        <w:rPr>
          <w:sz w:val="24"/>
          <w:szCs w:val="24"/>
        </w:rPr>
        <w:t xml:space="preserve">Kapitálové výdavky tvoria výdavky na </w:t>
      </w:r>
      <w:r w:rsidRPr="00663918">
        <w:rPr>
          <w:sz w:val="24"/>
          <w:szCs w:val="24"/>
          <w:u w:val="single"/>
        </w:rPr>
        <w:t>obstaranie hmotného a nehmotného majetku</w:t>
      </w:r>
      <w:r w:rsidRPr="00663918">
        <w:rPr>
          <w:sz w:val="24"/>
          <w:szCs w:val="24"/>
        </w:rPr>
        <w:t>, vrátane výdavkov súvisiacich s obstaraním tohto majetku (napr. projektová dokumentácia, výdavky s prípravou a zabezpečením obstarania majetku) a </w:t>
      </w:r>
      <w:r w:rsidRPr="00663918">
        <w:rPr>
          <w:sz w:val="24"/>
          <w:szCs w:val="24"/>
          <w:u w:val="single"/>
        </w:rPr>
        <w:t>kapitálové transfery</w:t>
      </w:r>
      <w:r w:rsidRPr="00663918">
        <w:rPr>
          <w:sz w:val="24"/>
          <w:szCs w:val="24"/>
        </w:rPr>
        <w:t>, teda platby vykonané s cieľom umožniť príjemcovi nadobudnúť kapitálové aktíva alebo kompenzovať ich poškodenie alebo trvalé zničenie.</w:t>
      </w:r>
    </w:p>
    <w:p w14:paraId="18B90297" w14:textId="332CC405" w:rsidR="00060EF5" w:rsidRPr="00663918" w:rsidRDefault="00060EF5" w:rsidP="00060EF5">
      <w:pPr>
        <w:spacing w:line="240" w:lineRule="auto"/>
        <w:rPr>
          <w:sz w:val="24"/>
          <w:szCs w:val="24"/>
        </w:rPr>
      </w:pPr>
      <w:r w:rsidRPr="00663918">
        <w:rPr>
          <w:sz w:val="24"/>
          <w:szCs w:val="24"/>
        </w:rPr>
        <w:t>Rozpočet kapitálových výdavkov na rok 202</w:t>
      </w:r>
      <w:r>
        <w:rPr>
          <w:sz w:val="24"/>
          <w:szCs w:val="24"/>
        </w:rPr>
        <w:t>3</w:t>
      </w:r>
      <w:r w:rsidRPr="00663918">
        <w:rPr>
          <w:sz w:val="24"/>
          <w:szCs w:val="24"/>
        </w:rPr>
        <w:t xml:space="preserve"> predstavoval sumu </w:t>
      </w:r>
      <w:r>
        <w:rPr>
          <w:sz w:val="24"/>
          <w:szCs w:val="24"/>
        </w:rPr>
        <w:t>5</w:t>
      </w:r>
      <w:r w:rsidRPr="00663918">
        <w:rPr>
          <w:sz w:val="24"/>
          <w:szCs w:val="24"/>
        </w:rPr>
        <w:t> </w:t>
      </w:r>
      <w:r>
        <w:rPr>
          <w:sz w:val="24"/>
          <w:szCs w:val="24"/>
        </w:rPr>
        <w:t>946</w:t>
      </w:r>
      <w:r w:rsidRPr="00663918">
        <w:rPr>
          <w:sz w:val="24"/>
          <w:szCs w:val="24"/>
        </w:rPr>
        <w:t> </w:t>
      </w:r>
      <w:r>
        <w:rPr>
          <w:sz w:val="24"/>
          <w:szCs w:val="24"/>
        </w:rPr>
        <w:t>095</w:t>
      </w:r>
      <w:r w:rsidRPr="00663918">
        <w:rPr>
          <w:sz w:val="24"/>
          <w:szCs w:val="24"/>
        </w:rPr>
        <w:t> tis. eur, ktorá sa rozpočtovými opatreniami znížila o sumu 1 </w:t>
      </w:r>
      <w:r>
        <w:rPr>
          <w:sz w:val="24"/>
          <w:szCs w:val="24"/>
        </w:rPr>
        <w:t>184</w:t>
      </w:r>
      <w:r w:rsidR="00136364">
        <w:rPr>
          <w:sz w:val="24"/>
          <w:szCs w:val="24"/>
        </w:rPr>
        <w:t> </w:t>
      </w:r>
      <w:r>
        <w:rPr>
          <w:sz w:val="24"/>
          <w:szCs w:val="24"/>
        </w:rPr>
        <w:t>732</w:t>
      </w:r>
      <w:r w:rsidR="00136364">
        <w:rPr>
          <w:sz w:val="24"/>
          <w:szCs w:val="24"/>
        </w:rPr>
        <w:t> tis. </w:t>
      </w:r>
      <w:r w:rsidRPr="00663918">
        <w:rPr>
          <w:sz w:val="24"/>
          <w:szCs w:val="24"/>
        </w:rPr>
        <w:t xml:space="preserve">eur na </w:t>
      </w:r>
      <w:r>
        <w:rPr>
          <w:sz w:val="24"/>
          <w:szCs w:val="24"/>
        </w:rPr>
        <w:t>4</w:t>
      </w:r>
      <w:r w:rsidRPr="00663918">
        <w:rPr>
          <w:sz w:val="24"/>
          <w:szCs w:val="24"/>
        </w:rPr>
        <w:t> </w:t>
      </w:r>
      <w:r>
        <w:rPr>
          <w:sz w:val="24"/>
          <w:szCs w:val="24"/>
        </w:rPr>
        <w:t>761</w:t>
      </w:r>
      <w:r w:rsidRPr="00663918">
        <w:rPr>
          <w:sz w:val="24"/>
          <w:szCs w:val="24"/>
        </w:rPr>
        <w:t> </w:t>
      </w:r>
      <w:r>
        <w:rPr>
          <w:sz w:val="24"/>
          <w:szCs w:val="24"/>
        </w:rPr>
        <w:t>363</w:t>
      </w:r>
      <w:r w:rsidRPr="00663918">
        <w:rPr>
          <w:sz w:val="24"/>
          <w:szCs w:val="24"/>
        </w:rPr>
        <w:t xml:space="preserve"> tis. eur. Skutočné </w:t>
      </w:r>
      <w:r w:rsidRPr="00006284">
        <w:rPr>
          <w:sz w:val="24"/>
          <w:szCs w:val="24"/>
        </w:rPr>
        <w:t>čerpanie dosiahlo 4 714 155</w:t>
      </w:r>
      <w:r w:rsidRPr="00663918">
        <w:rPr>
          <w:sz w:val="24"/>
          <w:szCs w:val="24"/>
        </w:rPr>
        <w:t> tis. eur a</w:t>
      </w:r>
      <w:r>
        <w:rPr>
          <w:sz w:val="24"/>
          <w:szCs w:val="24"/>
        </w:rPr>
        <w:t xml:space="preserve"> </w:t>
      </w:r>
      <w:r w:rsidRPr="00663918">
        <w:rPr>
          <w:sz w:val="24"/>
          <w:szCs w:val="24"/>
        </w:rPr>
        <w:t xml:space="preserve">oproti predchádzajúcemu </w:t>
      </w:r>
      <w:r>
        <w:rPr>
          <w:sz w:val="24"/>
          <w:szCs w:val="24"/>
        </w:rPr>
        <w:t>roku bolo vyššie o 2 007 150 tis. </w:t>
      </w:r>
      <w:r w:rsidRPr="00663918">
        <w:rPr>
          <w:sz w:val="24"/>
          <w:szCs w:val="24"/>
        </w:rPr>
        <w:t xml:space="preserve">eur. Podstatné zmeny v upravenom rozpočte vznikli v dôsledku realizácie § 8 zákona o rozpočtových pravidlách. V zmysle uvedeného paragrafu môže Ministerstvo financií SR na konci bežného rozpočtového roka viazať výdavky (znížiť upravený rozpočet) o nevyčerpané prostriedky, ktoré budú v nasledujúcom rozpočtovom roku použité a týmto spôsobom navýšia upravený rozpočet nasledujúceho rozpočtového roka. O sumu viazaných prostriedkov Ministerstvo financií SR môže povoliť prekročenie limitu výdavkov v nasledujúcom rozpočtovom roku. </w:t>
      </w:r>
    </w:p>
    <w:p w14:paraId="0CA5093D" w14:textId="207107D2" w:rsidR="00060EF5" w:rsidRPr="009B68A8" w:rsidRDefault="00060EF5" w:rsidP="00060EF5">
      <w:pPr>
        <w:spacing w:line="240" w:lineRule="auto"/>
        <w:rPr>
          <w:sz w:val="24"/>
          <w:szCs w:val="24"/>
        </w:rPr>
      </w:pPr>
      <w:r w:rsidRPr="009B68A8">
        <w:rPr>
          <w:sz w:val="24"/>
          <w:szCs w:val="24"/>
        </w:rPr>
        <w:t>V roku 202</w:t>
      </w:r>
      <w:r w:rsidR="00136364">
        <w:rPr>
          <w:sz w:val="24"/>
          <w:szCs w:val="24"/>
        </w:rPr>
        <w:t>3</w:t>
      </w:r>
      <w:r w:rsidRPr="009B68A8">
        <w:rPr>
          <w:sz w:val="24"/>
          <w:szCs w:val="24"/>
        </w:rPr>
        <w:t xml:space="preserve"> sa spolu použili kapitálové výdavky rozpočtované pred rokom 2023 v sume </w:t>
      </w:r>
      <w:r>
        <w:rPr>
          <w:sz w:val="24"/>
          <w:szCs w:val="24"/>
        </w:rPr>
        <w:t>335</w:t>
      </w:r>
      <w:r w:rsidRPr="009B68A8">
        <w:rPr>
          <w:sz w:val="24"/>
          <w:szCs w:val="24"/>
        </w:rPr>
        <w:t> </w:t>
      </w:r>
      <w:r>
        <w:rPr>
          <w:sz w:val="24"/>
          <w:szCs w:val="24"/>
        </w:rPr>
        <w:t>309</w:t>
      </w:r>
      <w:r w:rsidRPr="009B68A8">
        <w:rPr>
          <w:sz w:val="24"/>
          <w:szCs w:val="24"/>
        </w:rPr>
        <w:t xml:space="preserve"> tis. eur. </w:t>
      </w:r>
      <w:r w:rsidR="00B420DC">
        <w:rPr>
          <w:sz w:val="24"/>
          <w:szCs w:val="24"/>
        </w:rPr>
        <w:t xml:space="preserve">Do nasledujúceho obdobia </w:t>
      </w:r>
      <w:r>
        <w:rPr>
          <w:sz w:val="24"/>
          <w:szCs w:val="24"/>
        </w:rPr>
        <w:t>sa v roku 2023</w:t>
      </w:r>
      <w:r w:rsidR="00B420DC">
        <w:rPr>
          <w:sz w:val="24"/>
          <w:szCs w:val="24"/>
        </w:rPr>
        <w:t xml:space="preserve"> </w:t>
      </w:r>
      <w:r w:rsidRPr="009B68A8">
        <w:rPr>
          <w:sz w:val="24"/>
          <w:szCs w:val="24"/>
        </w:rPr>
        <w:t>zaviazali kapitálové vý</w:t>
      </w:r>
      <w:r>
        <w:rPr>
          <w:sz w:val="24"/>
          <w:szCs w:val="24"/>
        </w:rPr>
        <w:t>davky rozpočtované v rokoch 2022</w:t>
      </w:r>
      <w:r w:rsidRPr="009B68A8">
        <w:rPr>
          <w:sz w:val="24"/>
          <w:szCs w:val="24"/>
        </w:rPr>
        <w:t xml:space="preserve"> a</w:t>
      </w:r>
      <w:r w:rsidR="00B420DC">
        <w:rPr>
          <w:sz w:val="24"/>
          <w:szCs w:val="24"/>
        </w:rPr>
        <w:t> </w:t>
      </w:r>
      <w:r w:rsidRPr="009B68A8">
        <w:rPr>
          <w:sz w:val="24"/>
          <w:szCs w:val="24"/>
        </w:rPr>
        <w:t>202</w:t>
      </w:r>
      <w:r>
        <w:rPr>
          <w:sz w:val="24"/>
          <w:szCs w:val="24"/>
        </w:rPr>
        <w:t>3</w:t>
      </w:r>
      <w:r w:rsidR="00B420DC">
        <w:rPr>
          <w:sz w:val="24"/>
          <w:szCs w:val="24"/>
        </w:rPr>
        <w:t xml:space="preserve"> v sume</w:t>
      </w:r>
      <w:r w:rsidRPr="009B68A8">
        <w:rPr>
          <w:sz w:val="24"/>
          <w:szCs w:val="24"/>
        </w:rPr>
        <w:t xml:space="preserve"> </w:t>
      </w:r>
      <w:r>
        <w:rPr>
          <w:sz w:val="24"/>
          <w:szCs w:val="24"/>
        </w:rPr>
        <w:t>704</w:t>
      </w:r>
      <w:r w:rsidRPr="009B68A8">
        <w:rPr>
          <w:sz w:val="24"/>
          <w:szCs w:val="24"/>
        </w:rPr>
        <w:t> </w:t>
      </w:r>
      <w:r>
        <w:rPr>
          <w:sz w:val="24"/>
          <w:szCs w:val="24"/>
        </w:rPr>
        <w:t>640</w:t>
      </w:r>
      <w:r w:rsidRPr="009B68A8">
        <w:rPr>
          <w:sz w:val="24"/>
          <w:szCs w:val="24"/>
        </w:rPr>
        <w:t xml:space="preserve"> tis. eur. </w:t>
      </w:r>
    </w:p>
    <w:p w14:paraId="32602D59" w14:textId="0AAAD39B" w:rsidR="00060EF5" w:rsidRPr="009B68A8" w:rsidRDefault="00060EF5" w:rsidP="00060EF5">
      <w:pPr>
        <w:spacing w:line="240" w:lineRule="auto"/>
        <w:rPr>
          <w:sz w:val="24"/>
          <w:szCs w:val="24"/>
        </w:rPr>
      </w:pPr>
      <w:r w:rsidRPr="009B68A8">
        <w:rPr>
          <w:sz w:val="24"/>
          <w:szCs w:val="24"/>
        </w:rPr>
        <w:t>Prostriedky z Plánu obnovy a odolnosti boli použité v roku 2023 z predchádzajúceho obdobia v sume 238 807 tis. eur, z toho prostriedky na úhradu DPH v sume 14 392 tis. eur. V roku 202</w:t>
      </w:r>
      <w:r>
        <w:rPr>
          <w:sz w:val="24"/>
          <w:szCs w:val="24"/>
        </w:rPr>
        <w:t>3</w:t>
      </w:r>
      <w:r w:rsidRPr="009B68A8">
        <w:rPr>
          <w:sz w:val="24"/>
          <w:szCs w:val="24"/>
        </w:rPr>
        <w:t xml:space="preserve"> sa podľa § 8 zákona o rozpočtových pravidlách zaviazali výdavky z Plánu obnovy a odolnosti v sume 3 015 013 tis. eur (v tom kód zdroja 13 v sume </w:t>
      </w:r>
      <w:r>
        <w:rPr>
          <w:sz w:val="24"/>
          <w:szCs w:val="24"/>
        </w:rPr>
        <w:t>1 </w:t>
      </w:r>
      <w:r w:rsidRPr="009B68A8">
        <w:rPr>
          <w:sz w:val="24"/>
          <w:szCs w:val="24"/>
        </w:rPr>
        <w:t xml:space="preserve">153 520 tis. eur a kód zdroja 11 v sume 1 861 492 eur). Prostriedky Plánu obnovy a odolnosti – prostriedky na úhradu DPH </w:t>
      </w:r>
      <w:r w:rsidR="00B420DC">
        <w:rPr>
          <w:sz w:val="24"/>
          <w:szCs w:val="24"/>
        </w:rPr>
        <w:t xml:space="preserve">boli viazané </w:t>
      </w:r>
      <w:r w:rsidRPr="009B68A8">
        <w:rPr>
          <w:sz w:val="24"/>
          <w:szCs w:val="24"/>
        </w:rPr>
        <w:t>v sume 527 695 tis. eur (v tom kód zdroja 13 v sume 196 893 tis. eur a kód zdroja 11 v sume 330 802 tis. eur).</w:t>
      </w:r>
    </w:p>
    <w:tbl>
      <w:tblPr>
        <w:tblW w:w="9214" w:type="dxa"/>
        <w:tblCellMar>
          <w:left w:w="70" w:type="dxa"/>
          <w:right w:w="70" w:type="dxa"/>
        </w:tblCellMar>
        <w:tblLook w:val="04A0" w:firstRow="1" w:lastRow="0" w:firstColumn="1" w:lastColumn="0" w:noHBand="0" w:noVBand="1"/>
      </w:tblPr>
      <w:tblGrid>
        <w:gridCol w:w="2977"/>
        <w:gridCol w:w="1134"/>
        <w:gridCol w:w="1047"/>
        <w:gridCol w:w="1098"/>
        <w:gridCol w:w="1134"/>
        <w:gridCol w:w="1134"/>
        <w:gridCol w:w="690"/>
      </w:tblGrid>
      <w:tr w:rsidR="00060EF5" w:rsidRPr="00006284" w14:paraId="25DE6197" w14:textId="77777777" w:rsidTr="00D2560E">
        <w:trPr>
          <w:trHeight w:val="300"/>
        </w:trPr>
        <w:tc>
          <w:tcPr>
            <w:tcW w:w="9214" w:type="dxa"/>
            <w:gridSpan w:val="7"/>
            <w:tcBorders>
              <w:top w:val="nil"/>
              <w:left w:val="nil"/>
              <w:bottom w:val="single" w:sz="8" w:space="0" w:color="auto"/>
              <w:right w:val="nil"/>
            </w:tcBorders>
            <w:shd w:val="clear" w:color="auto" w:fill="auto"/>
            <w:vAlign w:val="center"/>
            <w:hideMark/>
          </w:tcPr>
          <w:p w14:paraId="771CC5D5" w14:textId="183EB91A" w:rsidR="00060EF5" w:rsidRPr="00006284" w:rsidRDefault="00060EF5" w:rsidP="004A6E2F">
            <w:pPr>
              <w:spacing w:line="240" w:lineRule="auto"/>
              <w:rPr>
                <w:rFonts w:eastAsia="Times New Roman" w:cs="Times New Roman"/>
                <w:b/>
                <w:bCs/>
                <w:color w:val="5B9BD5"/>
                <w:sz w:val="20"/>
                <w:szCs w:val="20"/>
                <w:lang w:eastAsia="sk-SK"/>
              </w:rPr>
            </w:pPr>
            <w:r w:rsidRPr="00006284">
              <w:rPr>
                <w:rFonts w:eastAsia="Times New Roman" w:cs="Times New Roman"/>
                <w:b/>
                <w:bCs/>
                <w:color w:val="5B9BD5"/>
                <w:sz w:val="20"/>
                <w:szCs w:val="20"/>
                <w:lang w:eastAsia="sk-SK"/>
              </w:rPr>
              <w:t xml:space="preserve">Tabuľka </w:t>
            </w:r>
            <w:r>
              <w:rPr>
                <w:rFonts w:eastAsia="Times New Roman" w:cs="Times New Roman"/>
                <w:b/>
                <w:bCs/>
                <w:color w:val="5B9BD5"/>
                <w:sz w:val="20"/>
                <w:szCs w:val="20"/>
                <w:lang w:eastAsia="sk-SK"/>
              </w:rPr>
              <w:t>4</w:t>
            </w:r>
            <w:r w:rsidR="004A6E2F">
              <w:rPr>
                <w:rFonts w:eastAsia="Times New Roman" w:cs="Times New Roman"/>
                <w:b/>
                <w:bCs/>
                <w:color w:val="5B9BD5"/>
                <w:sz w:val="20"/>
                <w:szCs w:val="20"/>
                <w:lang w:eastAsia="sk-SK"/>
              </w:rPr>
              <w:t>0</w:t>
            </w:r>
            <w:r w:rsidRPr="00006284">
              <w:rPr>
                <w:rFonts w:eastAsia="Times New Roman" w:cs="Times New Roman"/>
                <w:b/>
                <w:bCs/>
                <w:color w:val="5B9BD5"/>
                <w:sz w:val="20"/>
                <w:szCs w:val="20"/>
                <w:lang w:eastAsia="sk-SK"/>
              </w:rPr>
              <w:t xml:space="preserve"> - Kapitálové výdavky v základnej ekonomickej štruktúre</w:t>
            </w:r>
          </w:p>
        </w:tc>
      </w:tr>
      <w:tr w:rsidR="00060EF5" w:rsidRPr="00AC68A6" w14:paraId="358A2F97" w14:textId="77777777" w:rsidTr="00D2560E">
        <w:trPr>
          <w:trHeight w:val="288"/>
        </w:trPr>
        <w:tc>
          <w:tcPr>
            <w:tcW w:w="2977" w:type="dxa"/>
            <w:vMerge w:val="restart"/>
            <w:tcBorders>
              <w:top w:val="nil"/>
              <w:left w:val="nil"/>
              <w:bottom w:val="single" w:sz="8" w:space="0" w:color="000000"/>
              <w:right w:val="nil"/>
            </w:tcBorders>
            <w:shd w:val="clear" w:color="auto" w:fill="auto"/>
            <w:vAlign w:val="center"/>
            <w:hideMark/>
          </w:tcPr>
          <w:p w14:paraId="5F52A868" w14:textId="77777777" w:rsidR="00060EF5" w:rsidRPr="00AC68A6" w:rsidRDefault="00060EF5" w:rsidP="00D2560E">
            <w:pPr>
              <w:spacing w:after="0" w:line="240" w:lineRule="auto"/>
              <w:jc w:val="lef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v tis. eur</w:t>
            </w:r>
            <w:r w:rsidRPr="00AC68A6">
              <w:rPr>
                <w:rFonts w:ascii="Arial Narrow" w:eastAsia="Times New Roman" w:hAnsi="Arial Narrow" w:cs="Times New Roman"/>
                <w:b/>
                <w:bCs/>
                <w:color w:val="000000"/>
                <w:sz w:val="18"/>
                <w:szCs w:val="18"/>
                <w:lang w:eastAsia="sk-SK"/>
              </w:rPr>
              <w:t> </w:t>
            </w:r>
          </w:p>
        </w:tc>
        <w:tc>
          <w:tcPr>
            <w:tcW w:w="1134" w:type="dxa"/>
            <w:tcBorders>
              <w:top w:val="nil"/>
              <w:left w:val="nil"/>
              <w:bottom w:val="nil"/>
              <w:right w:val="nil"/>
            </w:tcBorders>
            <w:shd w:val="clear" w:color="auto" w:fill="auto"/>
            <w:vAlign w:val="center"/>
            <w:hideMark/>
          </w:tcPr>
          <w:p w14:paraId="011393B9"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2021 S</w:t>
            </w:r>
          </w:p>
        </w:tc>
        <w:tc>
          <w:tcPr>
            <w:tcW w:w="1047" w:type="dxa"/>
            <w:tcBorders>
              <w:top w:val="nil"/>
              <w:left w:val="nil"/>
              <w:bottom w:val="nil"/>
              <w:right w:val="nil"/>
            </w:tcBorders>
            <w:shd w:val="clear" w:color="auto" w:fill="auto"/>
            <w:vAlign w:val="center"/>
            <w:hideMark/>
          </w:tcPr>
          <w:p w14:paraId="6716CFEF"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2022 S</w:t>
            </w:r>
          </w:p>
        </w:tc>
        <w:tc>
          <w:tcPr>
            <w:tcW w:w="1098" w:type="dxa"/>
            <w:tcBorders>
              <w:top w:val="nil"/>
              <w:left w:val="nil"/>
              <w:bottom w:val="nil"/>
              <w:right w:val="nil"/>
            </w:tcBorders>
            <w:shd w:val="clear" w:color="auto" w:fill="auto"/>
            <w:vAlign w:val="center"/>
            <w:hideMark/>
          </w:tcPr>
          <w:p w14:paraId="7133F8B6"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2023 R</w:t>
            </w:r>
          </w:p>
        </w:tc>
        <w:tc>
          <w:tcPr>
            <w:tcW w:w="1134" w:type="dxa"/>
            <w:tcBorders>
              <w:top w:val="nil"/>
              <w:left w:val="nil"/>
              <w:bottom w:val="nil"/>
              <w:right w:val="nil"/>
            </w:tcBorders>
            <w:shd w:val="clear" w:color="auto" w:fill="auto"/>
            <w:vAlign w:val="center"/>
            <w:hideMark/>
          </w:tcPr>
          <w:p w14:paraId="71D95134"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2023 S</w:t>
            </w:r>
          </w:p>
        </w:tc>
        <w:tc>
          <w:tcPr>
            <w:tcW w:w="1134" w:type="dxa"/>
            <w:tcBorders>
              <w:top w:val="nil"/>
              <w:left w:val="nil"/>
              <w:bottom w:val="nil"/>
              <w:right w:val="nil"/>
            </w:tcBorders>
            <w:shd w:val="clear" w:color="auto" w:fill="auto"/>
            <w:vAlign w:val="center"/>
            <w:hideMark/>
          </w:tcPr>
          <w:p w14:paraId="390D3818"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Rozdiel</w:t>
            </w:r>
          </w:p>
        </w:tc>
        <w:tc>
          <w:tcPr>
            <w:tcW w:w="690" w:type="dxa"/>
            <w:tcBorders>
              <w:top w:val="nil"/>
              <w:left w:val="nil"/>
              <w:bottom w:val="nil"/>
              <w:right w:val="nil"/>
            </w:tcBorders>
            <w:shd w:val="clear" w:color="auto" w:fill="auto"/>
            <w:vAlign w:val="center"/>
            <w:hideMark/>
          </w:tcPr>
          <w:p w14:paraId="4B2DC277"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v %</w:t>
            </w:r>
          </w:p>
        </w:tc>
      </w:tr>
      <w:tr w:rsidR="00060EF5" w:rsidRPr="00AC68A6" w14:paraId="6969E127" w14:textId="77777777" w:rsidTr="00D2560E">
        <w:trPr>
          <w:trHeight w:val="300"/>
        </w:trPr>
        <w:tc>
          <w:tcPr>
            <w:tcW w:w="2977" w:type="dxa"/>
            <w:vMerge/>
            <w:tcBorders>
              <w:top w:val="nil"/>
              <w:left w:val="nil"/>
              <w:bottom w:val="single" w:sz="8" w:space="0" w:color="000000"/>
              <w:right w:val="nil"/>
            </w:tcBorders>
            <w:vAlign w:val="center"/>
            <w:hideMark/>
          </w:tcPr>
          <w:p w14:paraId="11507DF6" w14:textId="77777777" w:rsidR="00060EF5" w:rsidRPr="00AC68A6" w:rsidRDefault="00060EF5" w:rsidP="00D2560E">
            <w:pPr>
              <w:spacing w:after="0" w:line="240" w:lineRule="auto"/>
              <w:jc w:val="left"/>
              <w:rPr>
                <w:rFonts w:eastAsia="Times New Roman" w:cs="Times New Roman"/>
                <w:b/>
                <w:bCs/>
                <w:color w:val="000000"/>
                <w:sz w:val="18"/>
                <w:szCs w:val="18"/>
                <w:lang w:eastAsia="sk-SK"/>
              </w:rPr>
            </w:pPr>
          </w:p>
        </w:tc>
        <w:tc>
          <w:tcPr>
            <w:tcW w:w="1134" w:type="dxa"/>
            <w:tcBorders>
              <w:top w:val="nil"/>
              <w:left w:val="nil"/>
              <w:bottom w:val="single" w:sz="8" w:space="0" w:color="auto"/>
              <w:right w:val="nil"/>
            </w:tcBorders>
            <w:shd w:val="clear" w:color="auto" w:fill="auto"/>
            <w:vAlign w:val="center"/>
            <w:hideMark/>
          </w:tcPr>
          <w:p w14:paraId="57FD127E"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1</w:t>
            </w:r>
          </w:p>
        </w:tc>
        <w:tc>
          <w:tcPr>
            <w:tcW w:w="1047" w:type="dxa"/>
            <w:tcBorders>
              <w:top w:val="nil"/>
              <w:left w:val="nil"/>
              <w:bottom w:val="single" w:sz="8" w:space="0" w:color="auto"/>
              <w:right w:val="nil"/>
            </w:tcBorders>
            <w:shd w:val="clear" w:color="auto" w:fill="auto"/>
            <w:vAlign w:val="center"/>
            <w:hideMark/>
          </w:tcPr>
          <w:p w14:paraId="22BB5A98"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w:t>
            </w:r>
          </w:p>
        </w:tc>
        <w:tc>
          <w:tcPr>
            <w:tcW w:w="1098" w:type="dxa"/>
            <w:tcBorders>
              <w:top w:val="nil"/>
              <w:left w:val="nil"/>
              <w:bottom w:val="single" w:sz="8" w:space="0" w:color="auto"/>
              <w:right w:val="nil"/>
            </w:tcBorders>
            <w:shd w:val="clear" w:color="auto" w:fill="auto"/>
            <w:vAlign w:val="center"/>
            <w:hideMark/>
          </w:tcPr>
          <w:p w14:paraId="088F4580"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3</w:t>
            </w:r>
          </w:p>
        </w:tc>
        <w:tc>
          <w:tcPr>
            <w:tcW w:w="1134" w:type="dxa"/>
            <w:tcBorders>
              <w:top w:val="nil"/>
              <w:left w:val="nil"/>
              <w:bottom w:val="single" w:sz="8" w:space="0" w:color="auto"/>
              <w:right w:val="nil"/>
            </w:tcBorders>
            <w:shd w:val="clear" w:color="auto" w:fill="auto"/>
            <w:vAlign w:val="center"/>
            <w:hideMark/>
          </w:tcPr>
          <w:p w14:paraId="7B69EF87"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4</w:t>
            </w:r>
          </w:p>
        </w:tc>
        <w:tc>
          <w:tcPr>
            <w:tcW w:w="1134" w:type="dxa"/>
            <w:tcBorders>
              <w:top w:val="nil"/>
              <w:left w:val="nil"/>
              <w:bottom w:val="single" w:sz="8" w:space="0" w:color="auto"/>
              <w:right w:val="nil"/>
            </w:tcBorders>
            <w:shd w:val="clear" w:color="auto" w:fill="auto"/>
            <w:vAlign w:val="center"/>
            <w:hideMark/>
          </w:tcPr>
          <w:p w14:paraId="2A16F871"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5=4-3</w:t>
            </w:r>
          </w:p>
        </w:tc>
        <w:tc>
          <w:tcPr>
            <w:tcW w:w="690" w:type="dxa"/>
            <w:tcBorders>
              <w:top w:val="nil"/>
              <w:left w:val="nil"/>
              <w:bottom w:val="single" w:sz="8" w:space="0" w:color="auto"/>
              <w:right w:val="nil"/>
            </w:tcBorders>
            <w:shd w:val="clear" w:color="auto" w:fill="auto"/>
            <w:vAlign w:val="center"/>
            <w:hideMark/>
          </w:tcPr>
          <w:p w14:paraId="4E45DE31"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6=4-3</w:t>
            </w:r>
          </w:p>
        </w:tc>
      </w:tr>
      <w:tr w:rsidR="00060EF5" w:rsidRPr="00AC68A6" w14:paraId="71A7C2E3" w14:textId="77777777" w:rsidTr="00D2560E">
        <w:trPr>
          <w:trHeight w:val="288"/>
        </w:trPr>
        <w:tc>
          <w:tcPr>
            <w:tcW w:w="2977" w:type="dxa"/>
            <w:tcBorders>
              <w:top w:val="nil"/>
              <w:left w:val="nil"/>
              <w:bottom w:val="nil"/>
              <w:right w:val="nil"/>
            </w:tcBorders>
            <w:shd w:val="clear" w:color="auto" w:fill="auto"/>
            <w:vAlign w:val="center"/>
            <w:hideMark/>
          </w:tcPr>
          <w:p w14:paraId="1DEF8FD4" w14:textId="77777777" w:rsidR="00060EF5" w:rsidRPr="00AC68A6" w:rsidRDefault="00060EF5" w:rsidP="00D2560E">
            <w:pPr>
              <w:spacing w:after="0" w:line="240" w:lineRule="auto"/>
              <w:jc w:val="lef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Obstarávanie kapitálových aktív</w:t>
            </w:r>
          </w:p>
        </w:tc>
        <w:tc>
          <w:tcPr>
            <w:tcW w:w="1134" w:type="dxa"/>
            <w:tcBorders>
              <w:top w:val="nil"/>
              <w:left w:val="nil"/>
              <w:bottom w:val="nil"/>
              <w:right w:val="nil"/>
            </w:tcBorders>
            <w:shd w:val="clear" w:color="auto" w:fill="auto"/>
            <w:noWrap/>
            <w:vAlign w:val="center"/>
            <w:hideMark/>
          </w:tcPr>
          <w:p w14:paraId="0A6D78C2"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1 025 607</w:t>
            </w:r>
          </w:p>
        </w:tc>
        <w:tc>
          <w:tcPr>
            <w:tcW w:w="1047" w:type="dxa"/>
            <w:tcBorders>
              <w:top w:val="nil"/>
              <w:left w:val="nil"/>
              <w:bottom w:val="nil"/>
              <w:right w:val="nil"/>
            </w:tcBorders>
            <w:shd w:val="clear" w:color="auto" w:fill="auto"/>
            <w:noWrap/>
            <w:vAlign w:val="center"/>
            <w:hideMark/>
          </w:tcPr>
          <w:p w14:paraId="24BE5B8E"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1 183 010</w:t>
            </w:r>
          </w:p>
        </w:tc>
        <w:tc>
          <w:tcPr>
            <w:tcW w:w="1098" w:type="dxa"/>
            <w:tcBorders>
              <w:top w:val="nil"/>
              <w:left w:val="nil"/>
              <w:bottom w:val="nil"/>
              <w:right w:val="nil"/>
            </w:tcBorders>
            <w:shd w:val="clear" w:color="auto" w:fill="auto"/>
            <w:noWrap/>
            <w:vAlign w:val="center"/>
            <w:hideMark/>
          </w:tcPr>
          <w:p w14:paraId="35CB2F74"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2 451 521</w:t>
            </w:r>
          </w:p>
        </w:tc>
        <w:tc>
          <w:tcPr>
            <w:tcW w:w="1134" w:type="dxa"/>
            <w:tcBorders>
              <w:top w:val="nil"/>
              <w:left w:val="nil"/>
              <w:bottom w:val="nil"/>
              <w:right w:val="nil"/>
            </w:tcBorders>
            <w:shd w:val="clear" w:color="auto" w:fill="auto"/>
            <w:noWrap/>
            <w:vAlign w:val="center"/>
            <w:hideMark/>
          </w:tcPr>
          <w:p w14:paraId="4EE838F3"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1 433 149</w:t>
            </w:r>
          </w:p>
        </w:tc>
        <w:tc>
          <w:tcPr>
            <w:tcW w:w="1134" w:type="dxa"/>
            <w:tcBorders>
              <w:top w:val="nil"/>
              <w:left w:val="nil"/>
              <w:bottom w:val="nil"/>
              <w:right w:val="nil"/>
            </w:tcBorders>
            <w:shd w:val="clear" w:color="auto" w:fill="auto"/>
            <w:noWrap/>
            <w:vAlign w:val="center"/>
            <w:hideMark/>
          </w:tcPr>
          <w:p w14:paraId="3DDDAAE1"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-1 018 372</w:t>
            </w:r>
          </w:p>
        </w:tc>
        <w:tc>
          <w:tcPr>
            <w:tcW w:w="690" w:type="dxa"/>
            <w:tcBorders>
              <w:top w:val="nil"/>
              <w:left w:val="nil"/>
              <w:bottom w:val="nil"/>
              <w:right w:val="nil"/>
            </w:tcBorders>
            <w:shd w:val="clear" w:color="auto" w:fill="auto"/>
            <w:noWrap/>
            <w:vAlign w:val="center"/>
            <w:hideMark/>
          </w:tcPr>
          <w:p w14:paraId="7BF14317"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-41,54</w:t>
            </w:r>
          </w:p>
        </w:tc>
      </w:tr>
      <w:tr w:rsidR="00060EF5" w:rsidRPr="00AC68A6" w14:paraId="774070DA" w14:textId="77777777" w:rsidTr="00D2560E">
        <w:trPr>
          <w:trHeight w:val="528"/>
        </w:trPr>
        <w:tc>
          <w:tcPr>
            <w:tcW w:w="2977" w:type="dxa"/>
            <w:tcBorders>
              <w:top w:val="nil"/>
              <w:left w:val="nil"/>
              <w:bottom w:val="nil"/>
              <w:right w:val="nil"/>
            </w:tcBorders>
            <w:shd w:val="clear" w:color="auto" w:fill="auto"/>
            <w:vAlign w:val="center"/>
            <w:hideMark/>
          </w:tcPr>
          <w:p w14:paraId="4BEC7048"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nákup strojov, prístrojov, zariadení, techniky</w:t>
            </w:r>
          </w:p>
        </w:tc>
        <w:tc>
          <w:tcPr>
            <w:tcW w:w="1134" w:type="dxa"/>
            <w:tcBorders>
              <w:top w:val="nil"/>
              <w:left w:val="nil"/>
              <w:bottom w:val="nil"/>
              <w:right w:val="nil"/>
            </w:tcBorders>
            <w:shd w:val="clear" w:color="auto" w:fill="auto"/>
            <w:noWrap/>
            <w:vAlign w:val="center"/>
            <w:hideMark/>
          </w:tcPr>
          <w:p w14:paraId="489C50B3"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555 046</w:t>
            </w:r>
          </w:p>
        </w:tc>
        <w:tc>
          <w:tcPr>
            <w:tcW w:w="1047" w:type="dxa"/>
            <w:tcBorders>
              <w:top w:val="nil"/>
              <w:left w:val="nil"/>
              <w:bottom w:val="nil"/>
              <w:right w:val="nil"/>
            </w:tcBorders>
            <w:shd w:val="clear" w:color="auto" w:fill="auto"/>
            <w:noWrap/>
            <w:vAlign w:val="center"/>
            <w:hideMark/>
          </w:tcPr>
          <w:p w14:paraId="2FD0B500"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251 175</w:t>
            </w:r>
          </w:p>
        </w:tc>
        <w:tc>
          <w:tcPr>
            <w:tcW w:w="1098" w:type="dxa"/>
            <w:tcBorders>
              <w:top w:val="nil"/>
              <w:left w:val="nil"/>
              <w:bottom w:val="nil"/>
              <w:right w:val="nil"/>
            </w:tcBorders>
            <w:shd w:val="clear" w:color="auto" w:fill="auto"/>
            <w:noWrap/>
            <w:vAlign w:val="center"/>
            <w:hideMark/>
          </w:tcPr>
          <w:p w14:paraId="74BC8FE6"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502 151</w:t>
            </w:r>
          </w:p>
        </w:tc>
        <w:tc>
          <w:tcPr>
            <w:tcW w:w="1134" w:type="dxa"/>
            <w:tcBorders>
              <w:top w:val="nil"/>
              <w:left w:val="nil"/>
              <w:bottom w:val="nil"/>
              <w:right w:val="nil"/>
            </w:tcBorders>
            <w:shd w:val="clear" w:color="auto" w:fill="auto"/>
            <w:noWrap/>
            <w:vAlign w:val="center"/>
            <w:hideMark/>
          </w:tcPr>
          <w:p w14:paraId="00E94EAA"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500 408</w:t>
            </w:r>
          </w:p>
        </w:tc>
        <w:tc>
          <w:tcPr>
            <w:tcW w:w="1134" w:type="dxa"/>
            <w:tcBorders>
              <w:top w:val="nil"/>
              <w:left w:val="nil"/>
              <w:bottom w:val="nil"/>
              <w:right w:val="nil"/>
            </w:tcBorders>
            <w:shd w:val="clear" w:color="auto" w:fill="auto"/>
            <w:noWrap/>
            <w:vAlign w:val="center"/>
            <w:hideMark/>
          </w:tcPr>
          <w:p w14:paraId="117B76A6"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-1 743</w:t>
            </w:r>
          </w:p>
        </w:tc>
        <w:tc>
          <w:tcPr>
            <w:tcW w:w="690" w:type="dxa"/>
            <w:tcBorders>
              <w:top w:val="nil"/>
              <w:left w:val="nil"/>
              <w:bottom w:val="nil"/>
              <w:right w:val="nil"/>
            </w:tcBorders>
            <w:shd w:val="clear" w:color="auto" w:fill="auto"/>
            <w:noWrap/>
            <w:vAlign w:val="center"/>
            <w:hideMark/>
          </w:tcPr>
          <w:p w14:paraId="48837C32"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-0,35</w:t>
            </w:r>
          </w:p>
        </w:tc>
      </w:tr>
      <w:tr w:rsidR="00060EF5" w:rsidRPr="00AC68A6" w14:paraId="19F1BB01" w14:textId="77777777" w:rsidTr="00D2560E">
        <w:trPr>
          <w:trHeight w:val="528"/>
        </w:trPr>
        <w:tc>
          <w:tcPr>
            <w:tcW w:w="2977" w:type="dxa"/>
            <w:tcBorders>
              <w:top w:val="nil"/>
              <w:left w:val="nil"/>
              <w:bottom w:val="nil"/>
              <w:right w:val="nil"/>
            </w:tcBorders>
            <w:shd w:val="clear" w:color="auto" w:fill="auto"/>
            <w:vAlign w:val="center"/>
            <w:hideMark/>
          </w:tcPr>
          <w:p w14:paraId="7E3645E4"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realizácia stavieb a ich technického zhodnotenia</w:t>
            </w:r>
          </w:p>
        </w:tc>
        <w:tc>
          <w:tcPr>
            <w:tcW w:w="1134" w:type="dxa"/>
            <w:tcBorders>
              <w:top w:val="nil"/>
              <w:left w:val="nil"/>
              <w:bottom w:val="nil"/>
              <w:right w:val="nil"/>
            </w:tcBorders>
            <w:shd w:val="clear" w:color="auto" w:fill="auto"/>
            <w:noWrap/>
            <w:vAlign w:val="center"/>
            <w:hideMark/>
          </w:tcPr>
          <w:p w14:paraId="03242ED9"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298 486</w:t>
            </w:r>
          </w:p>
        </w:tc>
        <w:tc>
          <w:tcPr>
            <w:tcW w:w="1047" w:type="dxa"/>
            <w:tcBorders>
              <w:top w:val="nil"/>
              <w:left w:val="nil"/>
              <w:bottom w:val="nil"/>
              <w:right w:val="nil"/>
            </w:tcBorders>
            <w:shd w:val="clear" w:color="auto" w:fill="auto"/>
            <w:noWrap/>
            <w:vAlign w:val="center"/>
            <w:hideMark/>
          </w:tcPr>
          <w:p w14:paraId="1E25E76B"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163 331</w:t>
            </w:r>
          </w:p>
        </w:tc>
        <w:tc>
          <w:tcPr>
            <w:tcW w:w="1098" w:type="dxa"/>
            <w:tcBorders>
              <w:top w:val="nil"/>
              <w:left w:val="nil"/>
              <w:bottom w:val="nil"/>
              <w:right w:val="nil"/>
            </w:tcBorders>
            <w:shd w:val="clear" w:color="auto" w:fill="auto"/>
            <w:noWrap/>
            <w:vAlign w:val="center"/>
            <w:hideMark/>
          </w:tcPr>
          <w:p w14:paraId="2F2BAA46"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693 273</w:t>
            </w:r>
          </w:p>
        </w:tc>
        <w:tc>
          <w:tcPr>
            <w:tcW w:w="1134" w:type="dxa"/>
            <w:tcBorders>
              <w:top w:val="nil"/>
              <w:left w:val="nil"/>
              <w:bottom w:val="nil"/>
              <w:right w:val="nil"/>
            </w:tcBorders>
            <w:shd w:val="clear" w:color="auto" w:fill="auto"/>
            <w:noWrap/>
            <w:vAlign w:val="center"/>
            <w:hideMark/>
          </w:tcPr>
          <w:p w14:paraId="393004F7"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314 795</w:t>
            </w:r>
          </w:p>
        </w:tc>
        <w:tc>
          <w:tcPr>
            <w:tcW w:w="1134" w:type="dxa"/>
            <w:tcBorders>
              <w:top w:val="nil"/>
              <w:left w:val="nil"/>
              <w:bottom w:val="nil"/>
              <w:right w:val="nil"/>
            </w:tcBorders>
            <w:shd w:val="clear" w:color="auto" w:fill="auto"/>
            <w:noWrap/>
            <w:vAlign w:val="center"/>
            <w:hideMark/>
          </w:tcPr>
          <w:p w14:paraId="023B40CA"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-378 478</w:t>
            </w:r>
          </w:p>
        </w:tc>
        <w:tc>
          <w:tcPr>
            <w:tcW w:w="690" w:type="dxa"/>
            <w:tcBorders>
              <w:top w:val="nil"/>
              <w:left w:val="nil"/>
              <w:bottom w:val="nil"/>
              <w:right w:val="nil"/>
            </w:tcBorders>
            <w:shd w:val="clear" w:color="auto" w:fill="auto"/>
            <w:noWrap/>
            <w:vAlign w:val="center"/>
            <w:hideMark/>
          </w:tcPr>
          <w:p w14:paraId="36313CAE"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-54,59</w:t>
            </w:r>
          </w:p>
        </w:tc>
      </w:tr>
      <w:tr w:rsidR="00060EF5" w:rsidRPr="00AC68A6" w14:paraId="18F3D3D0" w14:textId="77777777" w:rsidTr="00D2560E">
        <w:trPr>
          <w:trHeight w:val="288"/>
        </w:trPr>
        <w:tc>
          <w:tcPr>
            <w:tcW w:w="2977" w:type="dxa"/>
            <w:tcBorders>
              <w:top w:val="nil"/>
              <w:left w:val="nil"/>
              <w:bottom w:val="nil"/>
              <w:right w:val="nil"/>
            </w:tcBorders>
            <w:shd w:val="clear" w:color="auto" w:fill="auto"/>
            <w:vAlign w:val="center"/>
            <w:hideMark/>
          </w:tcPr>
          <w:p w14:paraId="699FCD08"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nákup dopravných prostriedkov</w:t>
            </w:r>
          </w:p>
        </w:tc>
        <w:tc>
          <w:tcPr>
            <w:tcW w:w="1134" w:type="dxa"/>
            <w:tcBorders>
              <w:top w:val="nil"/>
              <w:left w:val="nil"/>
              <w:bottom w:val="nil"/>
              <w:right w:val="nil"/>
            </w:tcBorders>
            <w:shd w:val="clear" w:color="auto" w:fill="auto"/>
            <w:noWrap/>
            <w:vAlign w:val="center"/>
            <w:hideMark/>
          </w:tcPr>
          <w:p w14:paraId="3289AA89"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12 708</w:t>
            </w:r>
          </w:p>
        </w:tc>
        <w:tc>
          <w:tcPr>
            <w:tcW w:w="1047" w:type="dxa"/>
            <w:tcBorders>
              <w:top w:val="nil"/>
              <w:left w:val="nil"/>
              <w:bottom w:val="nil"/>
              <w:right w:val="nil"/>
            </w:tcBorders>
            <w:shd w:val="clear" w:color="auto" w:fill="auto"/>
            <w:noWrap/>
            <w:vAlign w:val="center"/>
            <w:hideMark/>
          </w:tcPr>
          <w:p w14:paraId="6660228F"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581 026</w:t>
            </w:r>
          </w:p>
        </w:tc>
        <w:tc>
          <w:tcPr>
            <w:tcW w:w="1098" w:type="dxa"/>
            <w:tcBorders>
              <w:top w:val="nil"/>
              <w:left w:val="nil"/>
              <w:bottom w:val="nil"/>
              <w:right w:val="nil"/>
            </w:tcBorders>
            <w:shd w:val="clear" w:color="auto" w:fill="auto"/>
            <w:noWrap/>
            <w:vAlign w:val="center"/>
            <w:hideMark/>
          </w:tcPr>
          <w:p w14:paraId="111AAB28"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30 494</w:t>
            </w:r>
          </w:p>
        </w:tc>
        <w:tc>
          <w:tcPr>
            <w:tcW w:w="1134" w:type="dxa"/>
            <w:tcBorders>
              <w:top w:val="nil"/>
              <w:left w:val="nil"/>
              <w:bottom w:val="nil"/>
              <w:right w:val="nil"/>
            </w:tcBorders>
            <w:shd w:val="clear" w:color="auto" w:fill="auto"/>
            <w:noWrap/>
            <w:vAlign w:val="center"/>
            <w:hideMark/>
          </w:tcPr>
          <w:p w14:paraId="4724E3E4"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310 454</w:t>
            </w:r>
          </w:p>
        </w:tc>
        <w:tc>
          <w:tcPr>
            <w:tcW w:w="1134" w:type="dxa"/>
            <w:tcBorders>
              <w:top w:val="nil"/>
              <w:left w:val="nil"/>
              <w:bottom w:val="nil"/>
              <w:right w:val="nil"/>
            </w:tcBorders>
            <w:shd w:val="clear" w:color="auto" w:fill="auto"/>
            <w:noWrap/>
            <w:vAlign w:val="center"/>
            <w:hideMark/>
          </w:tcPr>
          <w:p w14:paraId="6D476ACE"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279 960</w:t>
            </w:r>
          </w:p>
        </w:tc>
        <w:tc>
          <w:tcPr>
            <w:tcW w:w="690" w:type="dxa"/>
            <w:tcBorders>
              <w:top w:val="nil"/>
              <w:left w:val="nil"/>
              <w:bottom w:val="nil"/>
              <w:right w:val="nil"/>
            </w:tcBorders>
            <w:shd w:val="clear" w:color="auto" w:fill="auto"/>
            <w:noWrap/>
            <w:vAlign w:val="center"/>
            <w:hideMark/>
          </w:tcPr>
          <w:p w14:paraId="67D95DE4"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918,08</w:t>
            </w:r>
          </w:p>
        </w:tc>
      </w:tr>
      <w:tr w:rsidR="00060EF5" w:rsidRPr="00AC68A6" w14:paraId="581C0063" w14:textId="77777777" w:rsidTr="00D2560E">
        <w:trPr>
          <w:trHeight w:val="288"/>
        </w:trPr>
        <w:tc>
          <w:tcPr>
            <w:tcW w:w="2977" w:type="dxa"/>
            <w:tcBorders>
              <w:top w:val="nil"/>
              <w:left w:val="nil"/>
              <w:bottom w:val="nil"/>
              <w:right w:val="nil"/>
            </w:tcBorders>
            <w:shd w:val="clear" w:color="auto" w:fill="auto"/>
            <w:vAlign w:val="center"/>
            <w:hideMark/>
          </w:tcPr>
          <w:p w14:paraId="5D11A030"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nákup pozemkov a nehmotných aktív</w:t>
            </w:r>
          </w:p>
        </w:tc>
        <w:tc>
          <w:tcPr>
            <w:tcW w:w="1134" w:type="dxa"/>
            <w:tcBorders>
              <w:top w:val="nil"/>
              <w:left w:val="nil"/>
              <w:bottom w:val="nil"/>
              <w:right w:val="nil"/>
            </w:tcBorders>
            <w:shd w:val="clear" w:color="auto" w:fill="auto"/>
            <w:noWrap/>
            <w:vAlign w:val="center"/>
            <w:hideMark/>
          </w:tcPr>
          <w:p w14:paraId="083B322C"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31 546</w:t>
            </w:r>
          </w:p>
        </w:tc>
        <w:tc>
          <w:tcPr>
            <w:tcW w:w="1047" w:type="dxa"/>
            <w:tcBorders>
              <w:top w:val="nil"/>
              <w:left w:val="nil"/>
              <w:bottom w:val="nil"/>
              <w:right w:val="nil"/>
            </w:tcBorders>
            <w:shd w:val="clear" w:color="auto" w:fill="auto"/>
            <w:noWrap/>
            <w:vAlign w:val="center"/>
            <w:hideMark/>
          </w:tcPr>
          <w:p w14:paraId="62008891"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64 679</w:t>
            </w:r>
          </w:p>
        </w:tc>
        <w:tc>
          <w:tcPr>
            <w:tcW w:w="1098" w:type="dxa"/>
            <w:tcBorders>
              <w:top w:val="nil"/>
              <w:left w:val="nil"/>
              <w:bottom w:val="nil"/>
              <w:right w:val="nil"/>
            </w:tcBorders>
            <w:shd w:val="clear" w:color="auto" w:fill="auto"/>
            <w:noWrap/>
            <w:vAlign w:val="center"/>
            <w:hideMark/>
          </w:tcPr>
          <w:p w14:paraId="49840090"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60 791</w:t>
            </w:r>
          </w:p>
        </w:tc>
        <w:tc>
          <w:tcPr>
            <w:tcW w:w="1134" w:type="dxa"/>
            <w:tcBorders>
              <w:top w:val="nil"/>
              <w:left w:val="nil"/>
              <w:bottom w:val="nil"/>
              <w:right w:val="nil"/>
            </w:tcBorders>
            <w:shd w:val="clear" w:color="auto" w:fill="auto"/>
            <w:noWrap/>
            <w:vAlign w:val="center"/>
            <w:hideMark/>
          </w:tcPr>
          <w:p w14:paraId="68165EA4"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148 002</w:t>
            </w:r>
          </w:p>
        </w:tc>
        <w:tc>
          <w:tcPr>
            <w:tcW w:w="1134" w:type="dxa"/>
            <w:tcBorders>
              <w:top w:val="nil"/>
              <w:left w:val="nil"/>
              <w:bottom w:val="nil"/>
              <w:right w:val="nil"/>
            </w:tcBorders>
            <w:shd w:val="clear" w:color="auto" w:fill="auto"/>
            <w:noWrap/>
            <w:vAlign w:val="center"/>
            <w:hideMark/>
          </w:tcPr>
          <w:p w14:paraId="3D399A9C"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87 211</w:t>
            </w:r>
          </w:p>
        </w:tc>
        <w:tc>
          <w:tcPr>
            <w:tcW w:w="690" w:type="dxa"/>
            <w:tcBorders>
              <w:top w:val="nil"/>
              <w:left w:val="nil"/>
              <w:bottom w:val="nil"/>
              <w:right w:val="nil"/>
            </w:tcBorders>
            <w:shd w:val="clear" w:color="auto" w:fill="auto"/>
            <w:noWrap/>
            <w:vAlign w:val="center"/>
            <w:hideMark/>
          </w:tcPr>
          <w:p w14:paraId="65ED3520"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143,46</w:t>
            </w:r>
          </w:p>
        </w:tc>
      </w:tr>
      <w:tr w:rsidR="00060EF5" w:rsidRPr="00AC68A6" w14:paraId="41C735D5" w14:textId="77777777" w:rsidTr="00D2560E">
        <w:trPr>
          <w:trHeight w:val="528"/>
        </w:trPr>
        <w:tc>
          <w:tcPr>
            <w:tcW w:w="2977" w:type="dxa"/>
            <w:tcBorders>
              <w:top w:val="nil"/>
              <w:left w:val="nil"/>
              <w:bottom w:val="nil"/>
              <w:right w:val="nil"/>
            </w:tcBorders>
            <w:shd w:val="clear" w:color="auto" w:fill="auto"/>
            <w:vAlign w:val="center"/>
            <w:hideMark/>
          </w:tcPr>
          <w:p w14:paraId="4547C828"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rekonštrukcia a modernizácia strojov a zariadení</w:t>
            </w:r>
          </w:p>
        </w:tc>
        <w:tc>
          <w:tcPr>
            <w:tcW w:w="1134" w:type="dxa"/>
            <w:tcBorders>
              <w:top w:val="nil"/>
              <w:left w:val="nil"/>
              <w:bottom w:val="nil"/>
              <w:right w:val="nil"/>
            </w:tcBorders>
            <w:shd w:val="clear" w:color="auto" w:fill="auto"/>
            <w:noWrap/>
            <w:vAlign w:val="center"/>
            <w:hideMark/>
          </w:tcPr>
          <w:p w14:paraId="6DD67979" w14:textId="692137CC" w:rsidR="00060EF5" w:rsidRPr="00AC68A6" w:rsidRDefault="00B420DC" w:rsidP="00B420DC">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w:t>
            </w:r>
          </w:p>
        </w:tc>
        <w:tc>
          <w:tcPr>
            <w:tcW w:w="1047" w:type="dxa"/>
            <w:tcBorders>
              <w:top w:val="nil"/>
              <w:left w:val="nil"/>
              <w:bottom w:val="nil"/>
              <w:right w:val="nil"/>
            </w:tcBorders>
            <w:shd w:val="clear" w:color="auto" w:fill="auto"/>
            <w:noWrap/>
            <w:vAlign w:val="center"/>
            <w:hideMark/>
          </w:tcPr>
          <w:p w14:paraId="57FF1A15" w14:textId="20313ED9" w:rsidR="00060EF5" w:rsidRPr="00AC68A6" w:rsidRDefault="00B420DC" w:rsidP="00D2560E">
            <w:pPr>
              <w:spacing w:after="0" w:line="240" w:lineRule="auto"/>
              <w:jc w:val="right"/>
              <w:rPr>
                <w:rFonts w:eastAsia="Times New Roman" w:cs="Times New Roman"/>
                <w:sz w:val="18"/>
                <w:szCs w:val="18"/>
                <w:lang w:eastAsia="sk-SK"/>
              </w:rPr>
            </w:pPr>
            <w:r w:rsidRPr="00AC68A6">
              <w:rPr>
                <w:rFonts w:eastAsia="Times New Roman" w:cs="Times New Roman"/>
                <w:sz w:val="18"/>
                <w:szCs w:val="18"/>
                <w:lang w:eastAsia="sk-SK"/>
              </w:rPr>
              <w:t>-</w:t>
            </w:r>
          </w:p>
        </w:tc>
        <w:tc>
          <w:tcPr>
            <w:tcW w:w="1098" w:type="dxa"/>
            <w:tcBorders>
              <w:top w:val="nil"/>
              <w:left w:val="nil"/>
              <w:bottom w:val="nil"/>
              <w:right w:val="nil"/>
            </w:tcBorders>
            <w:shd w:val="clear" w:color="auto" w:fill="auto"/>
            <w:noWrap/>
            <w:vAlign w:val="center"/>
            <w:hideMark/>
          </w:tcPr>
          <w:p w14:paraId="70986CAB"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78 439</w:t>
            </w:r>
          </w:p>
        </w:tc>
        <w:tc>
          <w:tcPr>
            <w:tcW w:w="1134" w:type="dxa"/>
            <w:tcBorders>
              <w:top w:val="nil"/>
              <w:left w:val="nil"/>
              <w:bottom w:val="nil"/>
              <w:right w:val="nil"/>
            </w:tcBorders>
            <w:shd w:val="clear" w:color="auto" w:fill="auto"/>
            <w:noWrap/>
            <w:vAlign w:val="center"/>
            <w:hideMark/>
          </w:tcPr>
          <w:p w14:paraId="228DE28B"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105 715</w:t>
            </w:r>
          </w:p>
        </w:tc>
        <w:tc>
          <w:tcPr>
            <w:tcW w:w="1134" w:type="dxa"/>
            <w:tcBorders>
              <w:top w:val="nil"/>
              <w:left w:val="nil"/>
              <w:bottom w:val="nil"/>
              <w:right w:val="nil"/>
            </w:tcBorders>
            <w:shd w:val="clear" w:color="auto" w:fill="auto"/>
            <w:noWrap/>
            <w:vAlign w:val="center"/>
            <w:hideMark/>
          </w:tcPr>
          <w:p w14:paraId="3838C33E"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27 276</w:t>
            </w:r>
          </w:p>
        </w:tc>
        <w:tc>
          <w:tcPr>
            <w:tcW w:w="690" w:type="dxa"/>
            <w:tcBorders>
              <w:top w:val="nil"/>
              <w:left w:val="nil"/>
              <w:bottom w:val="nil"/>
              <w:right w:val="nil"/>
            </w:tcBorders>
            <w:shd w:val="clear" w:color="auto" w:fill="auto"/>
            <w:noWrap/>
            <w:vAlign w:val="center"/>
            <w:hideMark/>
          </w:tcPr>
          <w:p w14:paraId="74A6E5B5"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34,77</w:t>
            </w:r>
          </w:p>
        </w:tc>
      </w:tr>
      <w:tr w:rsidR="00060EF5" w:rsidRPr="00AC68A6" w14:paraId="2093209E" w14:textId="77777777" w:rsidTr="00D2560E">
        <w:trPr>
          <w:trHeight w:val="792"/>
        </w:trPr>
        <w:tc>
          <w:tcPr>
            <w:tcW w:w="2977" w:type="dxa"/>
            <w:tcBorders>
              <w:top w:val="nil"/>
              <w:left w:val="nil"/>
              <w:bottom w:val="nil"/>
              <w:right w:val="nil"/>
            </w:tcBorders>
            <w:shd w:val="clear" w:color="auto" w:fill="auto"/>
            <w:vAlign w:val="center"/>
            <w:hideMark/>
          </w:tcPr>
          <w:p w14:paraId="12690792" w14:textId="77777777" w:rsidR="00060EF5" w:rsidRPr="00AC68A6" w:rsidRDefault="00060EF5" w:rsidP="00D2560E">
            <w:pPr>
              <w:spacing w:after="0" w:line="240" w:lineRule="auto"/>
              <w:jc w:val="left"/>
              <w:rPr>
                <w:rFonts w:eastAsia="Times New Roman" w:cs="Times New Roman"/>
                <w:color w:val="000000"/>
                <w:sz w:val="18"/>
                <w:szCs w:val="18"/>
                <w:lang w:eastAsia="sk-SK"/>
              </w:rPr>
            </w:pPr>
            <w:proofErr w:type="spellStart"/>
            <w:r w:rsidRPr="00AC68A6">
              <w:rPr>
                <w:rFonts w:eastAsia="Times New Roman" w:cs="Times New Roman"/>
                <w:color w:val="000000"/>
                <w:sz w:val="18"/>
                <w:szCs w:val="18"/>
                <w:lang w:eastAsia="sk-SK"/>
              </w:rPr>
              <w:t>ost</w:t>
            </w:r>
            <w:proofErr w:type="spellEnd"/>
            <w:r w:rsidRPr="00AC68A6">
              <w:rPr>
                <w:rFonts w:eastAsia="Times New Roman" w:cs="Times New Roman"/>
                <w:color w:val="000000"/>
                <w:sz w:val="18"/>
                <w:szCs w:val="18"/>
                <w:lang w:eastAsia="sk-SK"/>
              </w:rPr>
              <w:t>. kapitálové výdavky (dokumentácia, rekonštrukcia a modernizácia strojov a </w:t>
            </w:r>
            <w:proofErr w:type="spellStart"/>
            <w:r w:rsidRPr="00AC68A6">
              <w:rPr>
                <w:rFonts w:eastAsia="Times New Roman" w:cs="Times New Roman"/>
                <w:color w:val="000000"/>
                <w:sz w:val="18"/>
                <w:szCs w:val="18"/>
                <w:lang w:eastAsia="sk-SK"/>
              </w:rPr>
              <w:t>ost</w:t>
            </w:r>
            <w:proofErr w:type="spellEnd"/>
            <w:r w:rsidRPr="00AC68A6">
              <w:rPr>
                <w:rFonts w:eastAsia="Times New Roman" w:cs="Times New Roman"/>
                <w:color w:val="000000"/>
                <w:sz w:val="18"/>
                <w:szCs w:val="18"/>
                <w:lang w:eastAsia="sk-SK"/>
              </w:rPr>
              <w:t>.)</w:t>
            </w:r>
          </w:p>
        </w:tc>
        <w:tc>
          <w:tcPr>
            <w:tcW w:w="1134" w:type="dxa"/>
            <w:tcBorders>
              <w:top w:val="nil"/>
              <w:left w:val="nil"/>
              <w:bottom w:val="nil"/>
              <w:right w:val="nil"/>
            </w:tcBorders>
            <w:shd w:val="clear" w:color="auto" w:fill="auto"/>
            <w:noWrap/>
            <w:vAlign w:val="center"/>
            <w:hideMark/>
          </w:tcPr>
          <w:p w14:paraId="625421B0"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119 539</w:t>
            </w:r>
          </w:p>
        </w:tc>
        <w:tc>
          <w:tcPr>
            <w:tcW w:w="1047" w:type="dxa"/>
            <w:tcBorders>
              <w:top w:val="nil"/>
              <w:left w:val="nil"/>
              <w:bottom w:val="nil"/>
              <w:right w:val="nil"/>
            </w:tcBorders>
            <w:shd w:val="clear" w:color="auto" w:fill="auto"/>
            <w:noWrap/>
            <w:vAlign w:val="center"/>
            <w:hideMark/>
          </w:tcPr>
          <w:p w14:paraId="509D38E0"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110 501</w:t>
            </w:r>
          </w:p>
        </w:tc>
        <w:tc>
          <w:tcPr>
            <w:tcW w:w="1098" w:type="dxa"/>
            <w:tcBorders>
              <w:top w:val="nil"/>
              <w:left w:val="nil"/>
              <w:bottom w:val="nil"/>
              <w:right w:val="nil"/>
            </w:tcBorders>
            <w:shd w:val="clear" w:color="auto" w:fill="auto"/>
            <w:noWrap/>
            <w:vAlign w:val="center"/>
            <w:hideMark/>
          </w:tcPr>
          <w:p w14:paraId="3A9BBE58"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1 042 766</w:t>
            </w:r>
          </w:p>
        </w:tc>
        <w:tc>
          <w:tcPr>
            <w:tcW w:w="1134" w:type="dxa"/>
            <w:tcBorders>
              <w:top w:val="nil"/>
              <w:left w:val="nil"/>
              <w:bottom w:val="nil"/>
              <w:right w:val="nil"/>
            </w:tcBorders>
            <w:shd w:val="clear" w:color="auto" w:fill="auto"/>
            <w:noWrap/>
            <w:vAlign w:val="center"/>
            <w:hideMark/>
          </w:tcPr>
          <w:p w14:paraId="03E20F10"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32 104</w:t>
            </w:r>
          </w:p>
        </w:tc>
        <w:tc>
          <w:tcPr>
            <w:tcW w:w="1134" w:type="dxa"/>
            <w:tcBorders>
              <w:top w:val="nil"/>
              <w:left w:val="nil"/>
              <w:bottom w:val="nil"/>
              <w:right w:val="nil"/>
            </w:tcBorders>
            <w:shd w:val="clear" w:color="auto" w:fill="auto"/>
            <w:noWrap/>
            <w:vAlign w:val="center"/>
            <w:hideMark/>
          </w:tcPr>
          <w:p w14:paraId="12688B2B"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-1 010 662</w:t>
            </w:r>
          </w:p>
        </w:tc>
        <w:tc>
          <w:tcPr>
            <w:tcW w:w="690" w:type="dxa"/>
            <w:tcBorders>
              <w:top w:val="nil"/>
              <w:left w:val="nil"/>
              <w:bottom w:val="nil"/>
              <w:right w:val="nil"/>
            </w:tcBorders>
            <w:shd w:val="clear" w:color="auto" w:fill="auto"/>
            <w:noWrap/>
            <w:vAlign w:val="center"/>
            <w:hideMark/>
          </w:tcPr>
          <w:p w14:paraId="4FAFA67E"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-96,92</w:t>
            </w:r>
          </w:p>
        </w:tc>
      </w:tr>
      <w:tr w:rsidR="00060EF5" w:rsidRPr="00AC68A6" w14:paraId="133DB378" w14:textId="77777777" w:rsidTr="00D2560E">
        <w:trPr>
          <w:trHeight w:val="288"/>
        </w:trPr>
        <w:tc>
          <w:tcPr>
            <w:tcW w:w="2977" w:type="dxa"/>
            <w:tcBorders>
              <w:top w:val="nil"/>
              <w:left w:val="nil"/>
              <w:bottom w:val="nil"/>
              <w:right w:val="nil"/>
            </w:tcBorders>
            <w:shd w:val="clear" w:color="auto" w:fill="auto"/>
            <w:vAlign w:val="center"/>
            <w:hideMark/>
          </w:tcPr>
          <w:p w14:paraId="47571601"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nákup budov, objektov a ich častí</w:t>
            </w:r>
          </w:p>
        </w:tc>
        <w:tc>
          <w:tcPr>
            <w:tcW w:w="1134" w:type="dxa"/>
            <w:tcBorders>
              <w:top w:val="nil"/>
              <w:left w:val="nil"/>
              <w:bottom w:val="nil"/>
              <w:right w:val="nil"/>
            </w:tcBorders>
            <w:shd w:val="clear" w:color="auto" w:fill="auto"/>
            <w:noWrap/>
            <w:vAlign w:val="center"/>
            <w:hideMark/>
          </w:tcPr>
          <w:p w14:paraId="72F3FE93"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8 282</w:t>
            </w:r>
          </w:p>
        </w:tc>
        <w:tc>
          <w:tcPr>
            <w:tcW w:w="1047" w:type="dxa"/>
            <w:tcBorders>
              <w:top w:val="nil"/>
              <w:left w:val="nil"/>
              <w:bottom w:val="nil"/>
              <w:right w:val="nil"/>
            </w:tcBorders>
            <w:shd w:val="clear" w:color="auto" w:fill="auto"/>
            <w:noWrap/>
            <w:vAlign w:val="center"/>
            <w:hideMark/>
          </w:tcPr>
          <w:p w14:paraId="157A41EB"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12 298</w:t>
            </w:r>
          </w:p>
        </w:tc>
        <w:tc>
          <w:tcPr>
            <w:tcW w:w="1098" w:type="dxa"/>
            <w:tcBorders>
              <w:top w:val="nil"/>
              <w:left w:val="nil"/>
              <w:bottom w:val="nil"/>
              <w:right w:val="nil"/>
            </w:tcBorders>
            <w:shd w:val="clear" w:color="auto" w:fill="auto"/>
            <w:noWrap/>
            <w:vAlign w:val="center"/>
            <w:hideMark/>
          </w:tcPr>
          <w:p w14:paraId="0E3F993C"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43 607</w:t>
            </w:r>
          </w:p>
        </w:tc>
        <w:tc>
          <w:tcPr>
            <w:tcW w:w="1134" w:type="dxa"/>
            <w:tcBorders>
              <w:top w:val="nil"/>
              <w:left w:val="nil"/>
              <w:bottom w:val="nil"/>
              <w:right w:val="nil"/>
            </w:tcBorders>
            <w:shd w:val="clear" w:color="auto" w:fill="auto"/>
            <w:noWrap/>
            <w:vAlign w:val="center"/>
            <w:hideMark/>
          </w:tcPr>
          <w:p w14:paraId="38E64380"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21 671</w:t>
            </w:r>
          </w:p>
        </w:tc>
        <w:tc>
          <w:tcPr>
            <w:tcW w:w="1134" w:type="dxa"/>
            <w:tcBorders>
              <w:top w:val="nil"/>
              <w:left w:val="nil"/>
              <w:bottom w:val="nil"/>
              <w:right w:val="nil"/>
            </w:tcBorders>
            <w:shd w:val="clear" w:color="auto" w:fill="auto"/>
            <w:noWrap/>
            <w:vAlign w:val="center"/>
            <w:hideMark/>
          </w:tcPr>
          <w:p w14:paraId="74B861E2"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-21 936</w:t>
            </w:r>
          </w:p>
        </w:tc>
        <w:tc>
          <w:tcPr>
            <w:tcW w:w="690" w:type="dxa"/>
            <w:tcBorders>
              <w:top w:val="nil"/>
              <w:left w:val="nil"/>
              <w:bottom w:val="nil"/>
              <w:right w:val="nil"/>
            </w:tcBorders>
            <w:shd w:val="clear" w:color="auto" w:fill="auto"/>
            <w:noWrap/>
            <w:vAlign w:val="center"/>
            <w:hideMark/>
          </w:tcPr>
          <w:p w14:paraId="609019E1"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-50,30</w:t>
            </w:r>
          </w:p>
        </w:tc>
      </w:tr>
      <w:tr w:rsidR="00060EF5" w:rsidRPr="00AC68A6" w14:paraId="403BCCBB" w14:textId="77777777" w:rsidTr="00D2560E">
        <w:trPr>
          <w:trHeight w:val="288"/>
        </w:trPr>
        <w:tc>
          <w:tcPr>
            <w:tcW w:w="2977" w:type="dxa"/>
            <w:tcBorders>
              <w:top w:val="nil"/>
              <w:left w:val="nil"/>
              <w:bottom w:val="nil"/>
              <w:right w:val="nil"/>
            </w:tcBorders>
            <w:shd w:val="clear" w:color="auto" w:fill="auto"/>
            <w:vAlign w:val="center"/>
            <w:hideMark/>
          </w:tcPr>
          <w:p w14:paraId="411AB732" w14:textId="77777777" w:rsidR="00060EF5" w:rsidRPr="00AC68A6" w:rsidRDefault="00060EF5" w:rsidP="00D2560E">
            <w:pPr>
              <w:spacing w:after="0" w:line="240" w:lineRule="auto"/>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Kapitálové transfery</w:t>
            </w:r>
          </w:p>
        </w:tc>
        <w:tc>
          <w:tcPr>
            <w:tcW w:w="1134" w:type="dxa"/>
            <w:tcBorders>
              <w:top w:val="nil"/>
              <w:left w:val="nil"/>
              <w:bottom w:val="nil"/>
              <w:right w:val="nil"/>
            </w:tcBorders>
            <w:shd w:val="clear" w:color="auto" w:fill="auto"/>
            <w:noWrap/>
            <w:vAlign w:val="center"/>
            <w:hideMark/>
          </w:tcPr>
          <w:p w14:paraId="38F2C046"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1 414 554</w:t>
            </w:r>
          </w:p>
        </w:tc>
        <w:tc>
          <w:tcPr>
            <w:tcW w:w="1047" w:type="dxa"/>
            <w:tcBorders>
              <w:top w:val="nil"/>
              <w:left w:val="nil"/>
              <w:bottom w:val="nil"/>
              <w:right w:val="nil"/>
            </w:tcBorders>
            <w:shd w:val="clear" w:color="auto" w:fill="auto"/>
            <w:noWrap/>
            <w:vAlign w:val="center"/>
            <w:hideMark/>
          </w:tcPr>
          <w:p w14:paraId="53C6FF5E"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1 523 995</w:t>
            </w:r>
          </w:p>
        </w:tc>
        <w:tc>
          <w:tcPr>
            <w:tcW w:w="1098" w:type="dxa"/>
            <w:tcBorders>
              <w:top w:val="nil"/>
              <w:left w:val="nil"/>
              <w:bottom w:val="nil"/>
              <w:right w:val="nil"/>
            </w:tcBorders>
            <w:shd w:val="clear" w:color="auto" w:fill="auto"/>
            <w:noWrap/>
            <w:vAlign w:val="center"/>
            <w:hideMark/>
          </w:tcPr>
          <w:p w14:paraId="143F8CFF"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3 494 574</w:t>
            </w:r>
          </w:p>
        </w:tc>
        <w:tc>
          <w:tcPr>
            <w:tcW w:w="1134" w:type="dxa"/>
            <w:tcBorders>
              <w:top w:val="nil"/>
              <w:left w:val="nil"/>
              <w:bottom w:val="nil"/>
              <w:right w:val="nil"/>
            </w:tcBorders>
            <w:shd w:val="clear" w:color="auto" w:fill="auto"/>
            <w:noWrap/>
            <w:vAlign w:val="center"/>
            <w:hideMark/>
          </w:tcPr>
          <w:p w14:paraId="6510CFED"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3 281 006</w:t>
            </w:r>
          </w:p>
        </w:tc>
        <w:tc>
          <w:tcPr>
            <w:tcW w:w="1134" w:type="dxa"/>
            <w:tcBorders>
              <w:top w:val="nil"/>
              <w:left w:val="nil"/>
              <w:bottom w:val="nil"/>
              <w:right w:val="nil"/>
            </w:tcBorders>
            <w:shd w:val="clear" w:color="auto" w:fill="auto"/>
            <w:noWrap/>
            <w:vAlign w:val="center"/>
            <w:hideMark/>
          </w:tcPr>
          <w:p w14:paraId="5105A744"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-213 568</w:t>
            </w:r>
          </w:p>
        </w:tc>
        <w:tc>
          <w:tcPr>
            <w:tcW w:w="690" w:type="dxa"/>
            <w:tcBorders>
              <w:top w:val="nil"/>
              <w:left w:val="nil"/>
              <w:bottom w:val="nil"/>
              <w:right w:val="nil"/>
            </w:tcBorders>
            <w:shd w:val="clear" w:color="auto" w:fill="auto"/>
            <w:noWrap/>
            <w:vAlign w:val="center"/>
            <w:hideMark/>
          </w:tcPr>
          <w:p w14:paraId="60EEB252"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-6,11</w:t>
            </w:r>
          </w:p>
        </w:tc>
      </w:tr>
      <w:tr w:rsidR="00060EF5" w:rsidRPr="00AC68A6" w14:paraId="7D54DCC1" w14:textId="77777777" w:rsidTr="00D2560E">
        <w:trPr>
          <w:trHeight w:val="288"/>
        </w:trPr>
        <w:tc>
          <w:tcPr>
            <w:tcW w:w="2977" w:type="dxa"/>
            <w:tcBorders>
              <w:top w:val="nil"/>
              <w:left w:val="nil"/>
              <w:bottom w:val="nil"/>
              <w:right w:val="nil"/>
            </w:tcBorders>
            <w:shd w:val="clear" w:color="auto" w:fill="auto"/>
            <w:vAlign w:val="center"/>
            <w:hideMark/>
          </w:tcPr>
          <w:p w14:paraId="5129ECB6"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v rámci verejnej správy</w:t>
            </w:r>
          </w:p>
        </w:tc>
        <w:tc>
          <w:tcPr>
            <w:tcW w:w="1134" w:type="dxa"/>
            <w:tcBorders>
              <w:top w:val="nil"/>
              <w:left w:val="nil"/>
              <w:bottom w:val="nil"/>
              <w:right w:val="nil"/>
            </w:tcBorders>
            <w:shd w:val="clear" w:color="auto" w:fill="auto"/>
            <w:noWrap/>
            <w:vAlign w:val="center"/>
            <w:hideMark/>
          </w:tcPr>
          <w:p w14:paraId="506AE698"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1 141 823</w:t>
            </w:r>
          </w:p>
        </w:tc>
        <w:tc>
          <w:tcPr>
            <w:tcW w:w="1047" w:type="dxa"/>
            <w:tcBorders>
              <w:top w:val="nil"/>
              <w:left w:val="nil"/>
              <w:bottom w:val="nil"/>
              <w:right w:val="nil"/>
            </w:tcBorders>
            <w:shd w:val="clear" w:color="auto" w:fill="auto"/>
            <w:noWrap/>
            <w:vAlign w:val="center"/>
            <w:hideMark/>
          </w:tcPr>
          <w:p w14:paraId="301D4550"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1 235 685</w:t>
            </w:r>
          </w:p>
        </w:tc>
        <w:tc>
          <w:tcPr>
            <w:tcW w:w="1098" w:type="dxa"/>
            <w:tcBorders>
              <w:top w:val="nil"/>
              <w:left w:val="nil"/>
              <w:bottom w:val="nil"/>
              <w:right w:val="nil"/>
            </w:tcBorders>
            <w:shd w:val="clear" w:color="auto" w:fill="auto"/>
            <w:noWrap/>
            <w:vAlign w:val="center"/>
            <w:hideMark/>
          </w:tcPr>
          <w:p w14:paraId="6DF8DDB5"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623 192</w:t>
            </w:r>
          </w:p>
        </w:tc>
        <w:tc>
          <w:tcPr>
            <w:tcW w:w="1134" w:type="dxa"/>
            <w:tcBorders>
              <w:top w:val="nil"/>
              <w:left w:val="nil"/>
              <w:bottom w:val="nil"/>
              <w:right w:val="nil"/>
            </w:tcBorders>
            <w:shd w:val="clear" w:color="auto" w:fill="auto"/>
            <w:noWrap/>
            <w:vAlign w:val="center"/>
            <w:hideMark/>
          </w:tcPr>
          <w:p w14:paraId="7F5E6C2D"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2 769 589</w:t>
            </w:r>
          </w:p>
        </w:tc>
        <w:tc>
          <w:tcPr>
            <w:tcW w:w="1134" w:type="dxa"/>
            <w:tcBorders>
              <w:top w:val="nil"/>
              <w:left w:val="nil"/>
              <w:bottom w:val="nil"/>
              <w:right w:val="nil"/>
            </w:tcBorders>
            <w:shd w:val="clear" w:color="auto" w:fill="auto"/>
            <w:noWrap/>
            <w:vAlign w:val="center"/>
            <w:hideMark/>
          </w:tcPr>
          <w:p w14:paraId="6468EB43"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2 146 397</w:t>
            </w:r>
          </w:p>
        </w:tc>
        <w:tc>
          <w:tcPr>
            <w:tcW w:w="690" w:type="dxa"/>
            <w:tcBorders>
              <w:top w:val="nil"/>
              <w:left w:val="nil"/>
              <w:bottom w:val="nil"/>
              <w:right w:val="nil"/>
            </w:tcBorders>
            <w:shd w:val="clear" w:color="auto" w:fill="auto"/>
            <w:noWrap/>
            <w:vAlign w:val="center"/>
            <w:hideMark/>
          </w:tcPr>
          <w:p w14:paraId="28165F5B"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344,42</w:t>
            </w:r>
          </w:p>
        </w:tc>
      </w:tr>
      <w:tr w:rsidR="00060EF5" w:rsidRPr="00AC68A6" w14:paraId="7ED058D3" w14:textId="77777777" w:rsidTr="00D2560E">
        <w:trPr>
          <w:trHeight w:val="288"/>
        </w:trPr>
        <w:tc>
          <w:tcPr>
            <w:tcW w:w="2977" w:type="dxa"/>
            <w:tcBorders>
              <w:top w:val="nil"/>
              <w:left w:val="nil"/>
              <w:bottom w:val="nil"/>
              <w:right w:val="nil"/>
            </w:tcBorders>
            <w:shd w:val="clear" w:color="auto" w:fill="auto"/>
            <w:vAlign w:val="center"/>
            <w:hideMark/>
          </w:tcPr>
          <w:p w14:paraId="3BA5C8E2"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 xml:space="preserve">nefinančným subjektom </w:t>
            </w:r>
          </w:p>
        </w:tc>
        <w:tc>
          <w:tcPr>
            <w:tcW w:w="1134" w:type="dxa"/>
            <w:tcBorders>
              <w:top w:val="nil"/>
              <w:left w:val="nil"/>
              <w:bottom w:val="nil"/>
              <w:right w:val="nil"/>
            </w:tcBorders>
            <w:shd w:val="clear" w:color="auto" w:fill="auto"/>
            <w:noWrap/>
            <w:vAlign w:val="center"/>
            <w:hideMark/>
          </w:tcPr>
          <w:p w14:paraId="621847D0"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222 830</w:t>
            </w:r>
          </w:p>
        </w:tc>
        <w:tc>
          <w:tcPr>
            <w:tcW w:w="1047" w:type="dxa"/>
            <w:tcBorders>
              <w:top w:val="nil"/>
              <w:left w:val="nil"/>
              <w:bottom w:val="nil"/>
              <w:right w:val="nil"/>
            </w:tcBorders>
            <w:shd w:val="clear" w:color="auto" w:fill="auto"/>
            <w:noWrap/>
            <w:vAlign w:val="center"/>
            <w:hideMark/>
          </w:tcPr>
          <w:p w14:paraId="5887DBDD"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185 732</w:t>
            </w:r>
          </w:p>
        </w:tc>
        <w:tc>
          <w:tcPr>
            <w:tcW w:w="1098" w:type="dxa"/>
            <w:tcBorders>
              <w:top w:val="nil"/>
              <w:left w:val="nil"/>
              <w:bottom w:val="nil"/>
              <w:right w:val="nil"/>
            </w:tcBorders>
            <w:shd w:val="clear" w:color="auto" w:fill="auto"/>
            <w:noWrap/>
            <w:vAlign w:val="center"/>
            <w:hideMark/>
          </w:tcPr>
          <w:p w14:paraId="6F0A9D4D"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2 785 338</w:t>
            </w:r>
          </w:p>
        </w:tc>
        <w:tc>
          <w:tcPr>
            <w:tcW w:w="1134" w:type="dxa"/>
            <w:tcBorders>
              <w:top w:val="nil"/>
              <w:left w:val="nil"/>
              <w:bottom w:val="nil"/>
              <w:right w:val="nil"/>
            </w:tcBorders>
            <w:shd w:val="clear" w:color="auto" w:fill="auto"/>
            <w:noWrap/>
            <w:vAlign w:val="center"/>
            <w:hideMark/>
          </w:tcPr>
          <w:p w14:paraId="05418205"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414 476</w:t>
            </w:r>
          </w:p>
        </w:tc>
        <w:tc>
          <w:tcPr>
            <w:tcW w:w="1134" w:type="dxa"/>
            <w:tcBorders>
              <w:top w:val="nil"/>
              <w:left w:val="nil"/>
              <w:bottom w:val="nil"/>
              <w:right w:val="nil"/>
            </w:tcBorders>
            <w:shd w:val="clear" w:color="auto" w:fill="auto"/>
            <w:noWrap/>
            <w:vAlign w:val="center"/>
            <w:hideMark/>
          </w:tcPr>
          <w:p w14:paraId="3D25B4C9"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-2 370 862</w:t>
            </w:r>
          </w:p>
        </w:tc>
        <w:tc>
          <w:tcPr>
            <w:tcW w:w="690" w:type="dxa"/>
            <w:tcBorders>
              <w:top w:val="nil"/>
              <w:left w:val="nil"/>
              <w:bottom w:val="nil"/>
              <w:right w:val="nil"/>
            </w:tcBorders>
            <w:shd w:val="clear" w:color="auto" w:fill="auto"/>
            <w:noWrap/>
            <w:vAlign w:val="center"/>
            <w:hideMark/>
          </w:tcPr>
          <w:p w14:paraId="6A955AFC"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-85,12</w:t>
            </w:r>
          </w:p>
        </w:tc>
      </w:tr>
      <w:tr w:rsidR="00060EF5" w:rsidRPr="00AC68A6" w14:paraId="062F3416" w14:textId="77777777" w:rsidTr="00D2560E">
        <w:trPr>
          <w:trHeight w:val="528"/>
        </w:trPr>
        <w:tc>
          <w:tcPr>
            <w:tcW w:w="2977" w:type="dxa"/>
            <w:tcBorders>
              <w:top w:val="nil"/>
              <w:left w:val="nil"/>
              <w:bottom w:val="nil"/>
              <w:right w:val="nil"/>
            </w:tcBorders>
            <w:shd w:val="clear" w:color="auto" w:fill="auto"/>
            <w:vAlign w:val="center"/>
            <w:hideMark/>
          </w:tcPr>
          <w:p w14:paraId="19EC8A58"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jednotlivcom a neziskovým právnickým osobám</w:t>
            </w:r>
          </w:p>
        </w:tc>
        <w:tc>
          <w:tcPr>
            <w:tcW w:w="1134" w:type="dxa"/>
            <w:tcBorders>
              <w:top w:val="nil"/>
              <w:left w:val="nil"/>
              <w:bottom w:val="nil"/>
              <w:right w:val="nil"/>
            </w:tcBorders>
            <w:shd w:val="clear" w:color="auto" w:fill="auto"/>
            <w:noWrap/>
            <w:vAlign w:val="center"/>
            <w:hideMark/>
          </w:tcPr>
          <w:p w14:paraId="228416D4"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41 550</w:t>
            </w:r>
          </w:p>
        </w:tc>
        <w:tc>
          <w:tcPr>
            <w:tcW w:w="1047" w:type="dxa"/>
            <w:tcBorders>
              <w:top w:val="nil"/>
              <w:left w:val="nil"/>
              <w:bottom w:val="nil"/>
              <w:right w:val="nil"/>
            </w:tcBorders>
            <w:shd w:val="clear" w:color="auto" w:fill="auto"/>
            <w:noWrap/>
            <w:vAlign w:val="center"/>
            <w:hideMark/>
          </w:tcPr>
          <w:p w14:paraId="406C9A15"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28 818</w:t>
            </w:r>
          </w:p>
        </w:tc>
        <w:tc>
          <w:tcPr>
            <w:tcW w:w="1098" w:type="dxa"/>
            <w:tcBorders>
              <w:top w:val="nil"/>
              <w:left w:val="nil"/>
              <w:bottom w:val="nil"/>
              <w:right w:val="nil"/>
            </w:tcBorders>
            <w:shd w:val="clear" w:color="auto" w:fill="auto"/>
            <w:noWrap/>
            <w:vAlign w:val="center"/>
            <w:hideMark/>
          </w:tcPr>
          <w:p w14:paraId="215FF405"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86 044</w:t>
            </w:r>
          </w:p>
        </w:tc>
        <w:tc>
          <w:tcPr>
            <w:tcW w:w="1134" w:type="dxa"/>
            <w:tcBorders>
              <w:top w:val="nil"/>
              <w:left w:val="nil"/>
              <w:bottom w:val="nil"/>
              <w:right w:val="nil"/>
            </w:tcBorders>
            <w:shd w:val="clear" w:color="auto" w:fill="auto"/>
            <w:noWrap/>
            <w:vAlign w:val="center"/>
            <w:hideMark/>
          </w:tcPr>
          <w:p w14:paraId="792115DE"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55 358</w:t>
            </w:r>
          </w:p>
        </w:tc>
        <w:tc>
          <w:tcPr>
            <w:tcW w:w="1134" w:type="dxa"/>
            <w:tcBorders>
              <w:top w:val="nil"/>
              <w:left w:val="nil"/>
              <w:bottom w:val="nil"/>
              <w:right w:val="nil"/>
            </w:tcBorders>
            <w:shd w:val="clear" w:color="auto" w:fill="auto"/>
            <w:noWrap/>
            <w:vAlign w:val="center"/>
            <w:hideMark/>
          </w:tcPr>
          <w:p w14:paraId="0550CC61"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-30 686</w:t>
            </w:r>
          </w:p>
        </w:tc>
        <w:tc>
          <w:tcPr>
            <w:tcW w:w="690" w:type="dxa"/>
            <w:tcBorders>
              <w:top w:val="nil"/>
              <w:left w:val="nil"/>
              <w:bottom w:val="nil"/>
              <w:right w:val="nil"/>
            </w:tcBorders>
            <w:shd w:val="clear" w:color="auto" w:fill="auto"/>
            <w:noWrap/>
            <w:vAlign w:val="center"/>
            <w:hideMark/>
          </w:tcPr>
          <w:p w14:paraId="07BD59EB"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-35,66</w:t>
            </w:r>
          </w:p>
        </w:tc>
      </w:tr>
      <w:tr w:rsidR="00060EF5" w:rsidRPr="00AC68A6" w14:paraId="381915A3" w14:textId="77777777" w:rsidTr="00D2560E">
        <w:trPr>
          <w:trHeight w:val="288"/>
        </w:trPr>
        <w:tc>
          <w:tcPr>
            <w:tcW w:w="2977" w:type="dxa"/>
            <w:tcBorders>
              <w:top w:val="nil"/>
              <w:left w:val="nil"/>
              <w:bottom w:val="nil"/>
              <w:right w:val="nil"/>
            </w:tcBorders>
            <w:shd w:val="clear" w:color="auto" w:fill="auto"/>
            <w:vAlign w:val="center"/>
            <w:hideMark/>
          </w:tcPr>
          <w:p w14:paraId="5BEDEDCF"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lastRenderedPageBreak/>
              <w:t>transfery finančným inštitúciám</w:t>
            </w:r>
          </w:p>
        </w:tc>
        <w:tc>
          <w:tcPr>
            <w:tcW w:w="1134" w:type="dxa"/>
            <w:tcBorders>
              <w:top w:val="nil"/>
              <w:left w:val="nil"/>
              <w:bottom w:val="nil"/>
              <w:right w:val="nil"/>
            </w:tcBorders>
            <w:shd w:val="clear" w:color="auto" w:fill="auto"/>
            <w:noWrap/>
            <w:vAlign w:val="center"/>
            <w:hideMark/>
          </w:tcPr>
          <w:p w14:paraId="51C8F26B" w14:textId="77777777" w:rsidR="00060EF5" w:rsidRPr="00AC68A6" w:rsidRDefault="00060EF5" w:rsidP="00D2560E">
            <w:pPr>
              <w:spacing w:after="0" w:line="240" w:lineRule="auto"/>
              <w:jc w:val="left"/>
              <w:rPr>
                <w:rFonts w:eastAsia="Times New Roman" w:cs="Times New Roman"/>
                <w:color w:val="000000"/>
                <w:sz w:val="18"/>
                <w:szCs w:val="18"/>
                <w:lang w:eastAsia="sk-SK"/>
              </w:rPr>
            </w:pPr>
          </w:p>
        </w:tc>
        <w:tc>
          <w:tcPr>
            <w:tcW w:w="1047" w:type="dxa"/>
            <w:tcBorders>
              <w:top w:val="nil"/>
              <w:left w:val="nil"/>
              <w:bottom w:val="nil"/>
              <w:right w:val="nil"/>
            </w:tcBorders>
            <w:shd w:val="clear" w:color="auto" w:fill="auto"/>
            <w:noWrap/>
            <w:vAlign w:val="center"/>
            <w:hideMark/>
          </w:tcPr>
          <w:p w14:paraId="2508D302"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70 669</w:t>
            </w:r>
          </w:p>
        </w:tc>
        <w:tc>
          <w:tcPr>
            <w:tcW w:w="1098" w:type="dxa"/>
            <w:tcBorders>
              <w:top w:val="nil"/>
              <w:left w:val="nil"/>
              <w:bottom w:val="nil"/>
              <w:right w:val="nil"/>
            </w:tcBorders>
            <w:shd w:val="clear" w:color="auto" w:fill="auto"/>
            <w:noWrap/>
            <w:vAlign w:val="center"/>
            <w:hideMark/>
          </w:tcPr>
          <w:p w14:paraId="5E93A8ED"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0</w:t>
            </w:r>
          </w:p>
        </w:tc>
        <w:tc>
          <w:tcPr>
            <w:tcW w:w="1134" w:type="dxa"/>
            <w:tcBorders>
              <w:top w:val="nil"/>
              <w:left w:val="nil"/>
              <w:bottom w:val="nil"/>
              <w:right w:val="nil"/>
            </w:tcBorders>
            <w:shd w:val="clear" w:color="auto" w:fill="auto"/>
            <w:noWrap/>
            <w:vAlign w:val="center"/>
            <w:hideMark/>
          </w:tcPr>
          <w:p w14:paraId="61C46496"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35 334</w:t>
            </w:r>
          </w:p>
        </w:tc>
        <w:tc>
          <w:tcPr>
            <w:tcW w:w="1134" w:type="dxa"/>
            <w:tcBorders>
              <w:top w:val="nil"/>
              <w:left w:val="nil"/>
              <w:bottom w:val="nil"/>
              <w:right w:val="nil"/>
            </w:tcBorders>
            <w:shd w:val="clear" w:color="auto" w:fill="auto"/>
            <w:noWrap/>
            <w:vAlign w:val="center"/>
            <w:hideMark/>
          </w:tcPr>
          <w:p w14:paraId="4653BC30"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35 334</w:t>
            </w:r>
          </w:p>
        </w:tc>
        <w:tc>
          <w:tcPr>
            <w:tcW w:w="690" w:type="dxa"/>
            <w:tcBorders>
              <w:top w:val="nil"/>
              <w:left w:val="nil"/>
              <w:bottom w:val="nil"/>
              <w:right w:val="nil"/>
            </w:tcBorders>
            <w:shd w:val="clear" w:color="auto" w:fill="auto"/>
            <w:noWrap/>
            <w:vAlign w:val="center"/>
            <w:hideMark/>
          </w:tcPr>
          <w:p w14:paraId="15675448" w14:textId="3A8E1B0F" w:rsidR="00060EF5" w:rsidRPr="00AC68A6" w:rsidRDefault="006819C8"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0</w:t>
            </w:r>
          </w:p>
        </w:tc>
      </w:tr>
      <w:tr w:rsidR="00060EF5" w:rsidRPr="00AC68A6" w14:paraId="675B2753" w14:textId="77777777" w:rsidTr="00D2560E">
        <w:trPr>
          <w:trHeight w:val="300"/>
        </w:trPr>
        <w:tc>
          <w:tcPr>
            <w:tcW w:w="2977" w:type="dxa"/>
            <w:tcBorders>
              <w:top w:val="nil"/>
              <w:left w:val="nil"/>
              <w:bottom w:val="single" w:sz="8" w:space="0" w:color="auto"/>
              <w:right w:val="nil"/>
            </w:tcBorders>
            <w:shd w:val="clear" w:color="auto" w:fill="auto"/>
            <w:vAlign w:val="center"/>
            <w:hideMark/>
          </w:tcPr>
          <w:p w14:paraId="355FF2FF"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do zahraničia</w:t>
            </w:r>
          </w:p>
        </w:tc>
        <w:tc>
          <w:tcPr>
            <w:tcW w:w="1134" w:type="dxa"/>
            <w:tcBorders>
              <w:top w:val="nil"/>
              <w:left w:val="nil"/>
              <w:bottom w:val="single" w:sz="8" w:space="0" w:color="auto"/>
              <w:right w:val="nil"/>
            </w:tcBorders>
            <w:shd w:val="clear" w:color="auto" w:fill="auto"/>
            <w:noWrap/>
            <w:vAlign w:val="center"/>
            <w:hideMark/>
          </w:tcPr>
          <w:p w14:paraId="3CF9DFE0"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8 351</w:t>
            </w:r>
          </w:p>
        </w:tc>
        <w:tc>
          <w:tcPr>
            <w:tcW w:w="1047" w:type="dxa"/>
            <w:tcBorders>
              <w:top w:val="nil"/>
              <w:left w:val="nil"/>
              <w:bottom w:val="single" w:sz="8" w:space="0" w:color="auto"/>
              <w:right w:val="nil"/>
            </w:tcBorders>
            <w:shd w:val="clear" w:color="auto" w:fill="auto"/>
            <w:noWrap/>
            <w:vAlign w:val="center"/>
            <w:hideMark/>
          </w:tcPr>
          <w:p w14:paraId="590E79E7"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3 091</w:t>
            </w:r>
          </w:p>
        </w:tc>
        <w:tc>
          <w:tcPr>
            <w:tcW w:w="1098" w:type="dxa"/>
            <w:tcBorders>
              <w:top w:val="nil"/>
              <w:left w:val="nil"/>
              <w:bottom w:val="single" w:sz="8" w:space="0" w:color="auto"/>
              <w:right w:val="nil"/>
            </w:tcBorders>
            <w:shd w:val="clear" w:color="auto" w:fill="auto"/>
            <w:noWrap/>
            <w:vAlign w:val="center"/>
            <w:hideMark/>
          </w:tcPr>
          <w:p w14:paraId="1B67717B"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0</w:t>
            </w:r>
          </w:p>
        </w:tc>
        <w:tc>
          <w:tcPr>
            <w:tcW w:w="1134" w:type="dxa"/>
            <w:tcBorders>
              <w:top w:val="nil"/>
              <w:left w:val="nil"/>
              <w:bottom w:val="single" w:sz="8" w:space="0" w:color="auto"/>
              <w:right w:val="nil"/>
            </w:tcBorders>
            <w:shd w:val="clear" w:color="auto" w:fill="auto"/>
            <w:noWrap/>
            <w:vAlign w:val="center"/>
            <w:hideMark/>
          </w:tcPr>
          <w:p w14:paraId="6A793800"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6 249</w:t>
            </w:r>
          </w:p>
        </w:tc>
        <w:tc>
          <w:tcPr>
            <w:tcW w:w="1134" w:type="dxa"/>
            <w:tcBorders>
              <w:top w:val="nil"/>
              <w:left w:val="nil"/>
              <w:bottom w:val="single" w:sz="8" w:space="0" w:color="auto"/>
              <w:right w:val="nil"/>
            </w:tcBorders>
            <w:shd w:val="clear" w:color="auto" w:fill="auto"/>
            <w:noWrap/>
            <w:vAlign w:val="center"/>
            <w:hideMark/>
          </w:tcPr>
          <w:p w14:paraId="47663A4E"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6 249</w:t>
            </w:r>
          </w:p>
        </w:tc>
        <w:tc>
          <w:tcPr>
            <w:tcW w:w="690" w:type="dxa"/>
            <w:tcBorders>
              <w:top w:val="nil"/>
              <w:left w:val="nil"/>
              <w:bottom w:val="single" w:sz="8" w:space="0" w:color="auto"/>
              <w:right w:val="nil"/>
            </w:tcBorders>
            <w:shd w:val="clear" w:color="auto" w:fill="auto"/>
            <w:noWrap/>
            <w:vAlign w:val="center"/>
            <w:hideMark/>
          </w:tcPr>
          <w:p w14:paraId="37D7A82A" w14:textId="3074CC1E" w:rsidR="00060EF5" w:rsidRPr="00AC68A6" w:rsidRDefault="006819C8"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0</w:t>
            </w:r>
          </w:p>
        </w:tc>
      </w:tr>
      <w:tr w:rsidR="00060EF5" w:rsidRPr="00AC68A6" w14:paraId="43C7BB1F" w14:textId="77777777" w:rsidTr="00D2560E">
        <w:trPr>
          <w:trHeight w:val="300"/>
        </w:trPr>
        <w:tc>
          <w:tcPr>
            <w:tcW w:w="2977" w:type="dxa"/>
            <w:tcBorders>
              <w:top w:val="nil"/>
              <w:left w:val="nil"/>
              <w:bottom w:val="single" w:sz="8" w:space="0" w:color="auto"/>
              <w:right w:val="nil"/>
            </w:tcBorders>
            <w:shd w:val="clear" w:color="auto" w:fill="auto"/>
            <w:vAlign w:val="center"/>
            <w:hideMark/>
          </w:tcPr>
          <w:p w14:paraId="2F0093B7" w14:textId="77777777" w:rsidR="00060EF5" w:rsidRPr="00AC68A6" w:rsidRDefault="00060EF5" w:rsidP="00D2560E">
            <w:pPr>
              <w:spacing w:after="0" w:line="240" w:lineRule="auto"/>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Spolu</w:t>
            </w:r>
          </w:p>
        </w:tc>
        <w:tc>
          <w:tcPr>
            <w:tcW w:w="1134" w:type="dxa"/>
            <w:tcBorders>
              <w:top w:val="nil"/>
              <w:left w:val="nil"/>
              <w:bottom w:val="single" w:sz="8" w:space="0" w:color="auto"/>
              <w:right w:val="nil"/>
            </w:tcBorders>
            <w:shd w:val="clear" w:color="auto" w:fill="auto"/>
            <w:noWrap/>
            <w:vAlign w:val="center"/>
            <w:hideMark/>
          </w:tcPr>
          <w:p w14:paraId="442F90EC"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2 440 161</w:t>
            </w:r>
          </w:p>
        </w:tc>
        <w:tc>
          <w:tcPr>
            <w:tcW w:w="1047" w:type="dxa"/>
            <w:tcBorders>
              <w:top w:val="nil"/>
              <w:left w:val="nil"/>
              <w:bottom w:val="single" w:sz="8" w:space="0" w:color="auto"/>
              <w:right w:val="nil"/>
            </w:tcBorders>
            <w:shd w:val="clear" w:color="auto" w:fill="auto"/>
            <w:noWrap/>
            <w:vAlign w:val="center"/>
            <w:hideMark/>
          </w:tcPr>
          <w:p w14:paraId="6FD78579"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2 707 005</w:t>
            </w:r>
          </w:p>
        </w:tc>
        <w:tc>
          <w:tcPr>
            <w:tcW w:w="1098" w:type="dxa"/>
            <w:tcBorders>
              <w:top w:val="nil"/>
              <w:left w:val="nil"/>
              <w:bottom w:val="single" w:sz="8" w:space="0" w:color="auto"/>
              <w:right w:val="nil"/>
            </w:tcBorders>
            <w:shd w:val="clear" w:color="auto" w:fill="auto"/>
            <w:noWrap/>
            <w:vAlign w:val="center"/>
            <w:hideMark/>
          </w:tcPr>
          <w:p w14:paraId="3A2867B2"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5 946 095</w:t>
            </w:r>
          </w:p>
        </w:tc>
        <w:tc>
          <w:tcPr>
            <w:tcW w:w="1134" w:type="dxa"/>
            <w:tcBorders>
              <w:top w:val="nil"/>
              <w:left w:val="nil"/>
              <w:bottom w:val="single" w:sz="8" w:space="0" w:color="auto"/>
              <w:right w:val="nil"/>
            </w:tcBorders>
            <w:shd w:val="clear" w:color="auto" w:fill="auto"/>
            <w:noWrap/>
            <w:vAlign w:val="center"/>
            <w:hideMark/>
          </w:tcPr>
          <w:p w14:paraId="3B1EF181"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4 714 155</w:t>
            </w:r>
          </w:p>
        </w:tc>
        <w:tc>
          <w:tcPr>
            <w:tcW w:w="1134" w:type="dxa"/>
            <w:tcBorders>
              <w:top w:val="nil"/>
              <w:left w:val="nil"/>
              <w:bottom w:val="single" w:sz="8" w:space="0" w:color="auto"/>
              <w:right w:val="nil"/>
            </w:tcBorders>
            <w:shd w:val="clear" w:color="auto" w:fill="auto"/>
            <w:noWrap/>
            <w:vAlign w:val="center"/>
            <w:hideMark/>
          </w:tcPr>
          <w:p w14:paraId="2D23B389"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-1 231 940</w:t>
            </w:r>
          </w:p>
        </w:tc>
        <w:tc>
          <w:tcPr>
            <w:tcW w:w="690" w:type="dxa"/>
            <w:tcBorders>
              <w:top w:val="nil"/>
              <w:left w:val="nil"/>
              <w:bottom w:val="single" w:sz="8" w:space="0" w:color="auto"/>
              <w:right w:val="nil"/>
            </w:tcBorders>
            <w:shd w:val="clear" w:color="auto" w:fill="auto"/>
            <w:noWrap/>
            <w:vAlign w:val="center"/>
            <w:hideMark/>
          </w:tcPr>
          <w:p w14:paraId="4DAB6829"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-20,72</w:t>
            </w:r>
          </w:p>
        </w:tc>
      </w:tr>
    </w:tbl>
    <w:p w14:paraId="60626003" w14:textId="77777777" w:rsidR="00060EF5" w:rsidRPr="00AC68A6" w:rsidRDefault="00060EF5" w:rsidP="00060EF5">
      <w:pPr>
        <w:spacing w:line="240" w:lineRule="auto"/>
        <w:jc w:val="right"/>
        <w:rPr>
          <w:sz w:val="18"/>
          <w:szCs w:val="18"/>
        </w:rPr>
      </w:pPr>
      <w:r w:rsidRPr="00AC68A6">
        <w:rPr>
          <w:sz w:val="18"/>
          <w:szCs w:val="18"/>
        </w:rPr>
        <w:t>Zdroj: MF SR</w:t>
      </w:r>
    </w:p>
    <w:p w14:paraId="390A456E" w14:textId="77777777" w:rsidR="00060EF5" w:rsidRDefault="00060EF5" w:rsidP="00060EF5">
      <w:pPr>
        <w:spacing w:line="240" w:lineRule="auto"/>
        <w:rPr>
          <w:b/>
          <w:color w:val="5B9BD5" w:themeColor="accent1"/>
          <w:sz w:val="24"/>
          <w:szCs w:val="24"/>
        </w:rPr>
      </w:pPr>
      <w:r w:rsidRPr="007C5FE8">
        <w:rPr>
          <w:b/>
          <w:color w:val="5B9BD5" w:themeColor="accent1"/>
          <w:sz w:val="24"/>
          <w:szCs w:val="24"/>
        </w:rPr>
        <w:t xml:space="preserve">Obstarávanie kapitálových aktív </w:t>
      </w:r>
    </w:p>
    <w:p w14:paraId="5A166DD8" w14:textId="77777777" w:rsidR="00060EF5" w:rsidRPr="00EB5F1E" w:rsidRDefault="00060EF5" w:rsidP="00060EF5">
      <w:pPr>
        <w:spacing w:line="240" w:lineRule="auto"/>
        <w:rPr>
          <w:sz w:val="24"/>
          <w:szCs w:val="24"/>
        </w:rPr>
      </w:pPr>
      <w:r w:rsidRPr="00EB5F1E">
        <w:rPr>
          <w:b/>
          <w:sz w:val="24"/>
          <w:szCs w:val="24"/>
        </w:rPr>
        <w:t xml:space="preserve">Obstarávanie kapitálových aktív </w:t>
      </w:r>
      <w:r w:rsidRPr="00EB5F1E">
        <w:rPr>
          <w:sz w:val="24"/>
          <w:szCs w:val="24"/>
        </w:rPr>
        <w:t>predstavuje obstaranie majetku dlhodobej povahy do vlastníctva štátu dodávateľským spôsobom alebo v rámci vlastných výkonov štátu. Rozpočet na obstarávanie kapitálových aktív bol stanovený sumou 2 </w:t>
      </w:r>
      <w:r>
        <w:rPr>
          <w:sz w:val="24"/>
          <w:szCs w:val="24"/>
        </w:rPr>
        <w:t>451</w:t>
      </w:r>
      <w:r w:rsidRPr="00EB5F1E">
        <w:rPr>
          <w:sz w:val="24"/>
          <w:szCs w:val="24"/>
        </w:rPr>
        <w:t> </w:t>
      </w:r>
      <w:r>
        <w:rPr>
          <w:sz w:val="24"/>
          <w:szCs w:val="24"/>
        </w:rPr>
        <w:t>521</w:t>
      </w:r>
      <w:r w:rsidRPr="00EB5F1E">
        <w:rPr>
          <w:sz w:val="24"/>
          <w:szCs w:val="24"/>
        </w:rPr>
        <w:t> tis. eur, ktorá sa rozpočtovými opa</w:t>
      </w:r>
      <w:r>
        <w:rPr>
          <w:sz w:val="24"/>
          <w:szCs w:val="24"/>
        </w:rPr>
        <w:t>treniami počas roka znížila na 1</w:t>
      </w:r>
      <w:r w:rsidRPr="00EB5F1E">
        <w:rPr>
          <w:sz w:val="24"/>
          <w:szCs w:val="24"/>
        </w:rPr>
        <w:t> </w:t>
      </w:r>
      <w:r>
        <w:rPr>
          <w:sz w:val="24"/>
          <w:szCs w:val="24"/>
        </w:rPr>
        <w:t>469</w:t>
      </w:r>
      <w:r w:rsidRPr="00EB5F1E">
        <w:rPr>
          <w:sz w:val="24"/>
          <w:szCs w:val="24"/>
        </w:rPr>
        <w:t> </w:t>
      </w:r>
      <w:r>
        <w:rPr>
          <w:sz w:val="24"/>
          <w:szCs w:val="24"/>
        </w:rPr>
        <w:t>460</w:t>
      </w:r>
      <w:r w:rsidRPr="00EB5F1E">
        <w:rPr>
          <w:sz w:val="24"/>
          <w:szCs w:val="24"/>
        </w:rPr>
        <w:t> tis. eur. Skutočné čerpanie predstavovalo sumu 1 </w:t>
      </w:r>
      <w:r>
        <w:rPr>
          <w:sz w:val="24"/>
          <w:szCs w:val="24"/>
        </w:rPr>
        <w:t>433</w:t>
      </w:r>
      <w:r w:rsidRPr="00EB5F1E">
        <w:rPr>
          <w:sz w:val="24"/>
          <w:szCs w:val="24"/>
        </w:rPr>
        <w:t> </w:t>
      </w:r>
      <w:r>
        <w:rPr>
          <w:sz w:val="24"/>
          <w:szCs w:val="24"/>
        </w:rPr>
        <w:t>149</w:t>
      </w:r>
      <w:r w:rsidRPr="00EB5F1E">
        <w:rPr>
          <w:sz w:val="24"/>
          <w:szCs w:val="24"/>
        </w:rPr>
        <w:t xml:space="preserve"> tis. eur. </w:t>
      </w:r>
      <w:r w:rsidRPr="00060EF5">
        <w:rPr>
          <w:sz w:val="24"/>
          <w:szCs w:val="24"/>
        </w:rPr>
        <w:t>Z celkovej sumy kapitálových výdavkov bolo zo zdrojov EŠIF použitých 310 856 tis. eur, zo zdroja ŠR 992 199 tis. eur (spolufinancovanie 83 264 tis. eur) a z Plánu obnovy a odolnosti 63 336 tis. eur.</w:t>
      </w:r>
    </w:p>
    <w:p w14:paraId="2980CBFD" w14:textId="77777777" w:rsidR="00060EF5" w:rsidRPr="00AF64A8" w:rsidRDefault="00060EF5" w:rsidP="00060EF5">
      <w:pPr>
        <w:spacing w:line="240" w:lineRule="auto"/>
        <w:rPr>
          <w:sz w:val="24"/>
          <w:szCs w:val="24"/>
        </w:rPr>
      </w:pPr>
      <w:r w:rsidRPr="00EB5F1E">
        <w:rPr>
          <w:b/>
          <w:sz w:val="24"/>
          <w:szCs w:val="24"/>
        </w:rPr>
        <w:t>Nákup strojov, prístrojov, zariadení a techniky</w:t>
      </w:r>
      <w:r w:rsidRPr="00EB5F1E">
        <w:rPr>
          <w:sz w:val="24"/>
          <w:szCs w:val="24"/>
        </w:rPr>
        <w:t xml:space="preserve"> dosiahol v skutočnosti 500 408 tis. eur. V porovnaní s predchádzajúcim rokom išlo o </w:t>
      </w:r>
      <w:r>
        <w:rPr>
          <w:sz w:val="24"/>
          <w:szCs w:val="24"/>
        </w:rPr>
        <w:t>nárast</w:t>
      </w:r>
      <w:r w:rsidRPr="00EB5F1E">
        <w:rPr>
          <w:sz w:val="24"/>
          <w:szCs w:val="24"/>
        </w:rPr>
        <w:t xml:space="preserve"> o </w:t>
      </w:r>
      <w:r>
        <w:rPr>
          <w:sz w:val="24"/>
          <w:szCs w:val="24"/>
        </w:rPr>
        <w:t>249</w:t>
      </w:r>
      <w:r w:rsidRPr="00EB5F1E">
        <w:rPr>
          <w:sz w:val="24"/>
          <w:szCs w:val="24"/>
        </w:rPr>
        <w:t> </w:t>
      </w:r>
      <w:r>
        <w:rPr>
          <w:sz w:val="24"/>
          <w:szCs w:val="24"/>
        </w:rPr>
        <w:t>233</w:t>
      </w:r>
      <w:r w:rsidRPr="00EB5F1E">
        <w:rPr>
          <w:sz w:val="24"/>
          <w:szCs w:val="24"/>
        </w:rPr>
        <w:t xml:space="preserve"> tis. eur. Najväčší </w:t>
      </w:r>
      <w:r>
        <w:rPr>
          <w:sz w:val="24"/>
          <w:szCs w:val="24"/>
        </w:rPr>
        <w:t>nárast</w:t>
      </w:r>
      <w:r w:rsidRPr="00EB5F1E">
        <w:rPr>
          <w:sz w:val="24"/>
          <w:szCs w:val="24"/>
        </w:rPr>
        <w:t xml:space="preserve"> bol </w:t>
      </w:r>
      <w:r w:rsidRPr="006A75BA">
        <w:rPr>
          <w:sz w:val="24"/>
          <w:szCs w:val="24"/>
        </w:rPr>
        <w:t xml:space="preserve">zaznamenaný </w:t>
      </w:r>
      <w:r>
        <w:rPr>
          <w:sz w:val="24"/>
          <w:szCs w:val="24"/>
        </w:rPr>
        <w:t>pri</w:t>
      </w:r>
      <w:r w:rsidRPr="006A75BA">
        <w:rPr>
          <w:sz w:val="24"/>
          <w:szCs w:val="24"/>
        </w:rPr>
        <w:t xml:space="preserve"> </w:t>
      </w:r>
      <w:r>
        <w:rPr>
          <w:b/>
          <w:i/>
          <w:sz w:val="24"/>
          <w:szCs w:val="24"/>
        </w:rPr>
        <w:t>nákupe</w:t>
      </w:r>
      <w:r w:rsidRPr="006A75BA">
        <w:rPr>
          <w:b/>
          <w:i/>
          <w:sz w:val="24"/>
          <w:szCs w:val="24"/>
        </w:rPr>
        <w:t xml:space="preserve"> špeciálnych strojov, prístrojov, zariadení a techniky</w:t>
      </w:r>
      <w:r w:rsidRPr="006A75BA">
        <w:rPr>
          <w:i/>
          <w:sz w:val="24"/>
          <w:szCs w:val="24"/>
        </w:rPr>
        <w:t xml:space="preserve"> </w:t>
      </w:r>
      <w:r w:rsidRPr="006A75BA">
        <w:rPr>
          <w:sz w:val="24"/>
          <w:szCs w:val="24"/>
        </w:rPr>
        <w:t xml:space="preserve">(o 172 013 tis. eur). </w:t>
      </w:r>
      <w:r>
        <w:rPr>
          <w:sz w:val="24"/>
          <w:szCs w:val="24"/>
        </w:rPr>
        <w:t xml:space="preserve">Dosiahnutá skutočnosť predstavovala sumu 352 571 tis. eur. </w:t>
      </w:r>
      <w:r w:rsidRPr="005673B1">
        <w:rPr>
          <w:sz w:val="24"/>
          <w:szCs w:val="24"/>
          <w:u w:val="single"/>
        </w:rPr>
        <w:t>Ministerstvo obrany SR</w:t>
      </w:r>
      <w:r w:rsidRPr="005673B1">
        <w:rPr>
          <w:sz w:val="24"/>
          <w:szCs w:val="24"/>
        </w:rPr>
        <w:t xml:space="preserve"> čerpalo prostriedky v sume 314 278 tis. eur (202</w:t>
      </w:r>
      <w:r>
        <w:rPr>
          <w:sz w:val="24"/>
          <w:szCs w:val="24"/>
        </w:rPr>
        <w:t>2</w:t>
      </w:r>
      <w:r w:rsidRPr="005673B1">
        <w:rPr>
          <w:sz w:val="24"/>
          <w:szCs w:val="24"/>
        </w:rPr>
        <w:t>: </w:t>
      </w:r>
      <w:r w:rsidRPr="00FD3A01">
        <w:rPr>
          <w:sz w:val="24"/>
          <w:szCs w:val="24"/>
        </w:rPr>
        <w:t>160 029 tis. eur</w:t>
      </w:r>
      <w:r w:rsidRPr="005673B1">
        <w:rPr>
          <w:sz w:val="24"/>
          <w:szCs w:val="24"/>
        </w:rPr>
        <w:t xml:space="preserve">), predovšetkým v programe Rozvoj obrany na rozvoj výzbroje, techniky a materiálu a na rozvoj komunikačných a </w:t>
      </w:r>
      <w:r w:rsidRPr="00AF64A8">
        <w:rPr>
          <w:sz w:val="24"/>
          <w:szCs w:val="24"/>
        </w:rPr>
        <w:t xml:space="preserve">informačných systémov. </w:t>
      </w:r>
      <w:r w:rsidRPr="00AF64A8">
        <w:rPr>
          <w:sz w:val="24"/>
          <w:szCs w:val="24"/>
          <w:u w:val="single"/>
        </w:rPr>
        <w:t>Ministerstvo vnútra SR</w:t>
      </w:r>
      <w:r w:rsidRPr="00AF64A8">
        <w:rPr>
          <w:sz w:val="24"/>
          <w:szCs w:val="24"/>
        </w:rPr>
        <w:t xml:space="preserve"> zaznamenalo čerpanie vo výške 34 532 tis. eur v rámci programov Efektívna a spoľahlivá štátna správa a Informačné technológie financované zo štátneho rozpočtu. Najvýznamnejšie výdavky predstavujú budovanie systému včasného varovania</w:t>
      </w:r>
      <w:r>
        <w:rPr>
          <w:sz w:val="24"/>
          <w:szCs w:val="24"/>
        </w:rPr>
        <w:t xml:space="preserve"> (17 514 tis. eur), </w:t>
      </w:r>
      <w:r w:rsidRPr="00AF64A8">
        <w:rPr>
          <w:sz w:val="24"/>
          <w:szCs w:val="24"/>
        </w:rPr>
        <w:t>projekt MUSAR – Pátracie a záchranárske činnosti - posilnen</w:t>
      </w:r>
      <w:r>
        <w:rPr>
          <w:sz w:val="24"/>
          <w:szCs w:val="24"/>
        </w:rPr>
        <w:t>ie intervenčných kapacít HaZZ (</w:t>
      </w:r>
      <w:r w:rsidRPr="00AF64A8">
        <w:rPr>
          <w:sz w:val="24"/>
          <w:szCs w:val="24"/>
        </w:rPr>
        <w:t>3 385 tis. eur), budovanie mod</w:t>
      </w:r>
      <w:r>
        <w:rPr>
          <w:sz w:val="24"/>
          <w:szCs w:val="24"/>
        </w:rPr>
        <w:t>ulu - Dočasný núdzový tábor (2 </w:t>
      </w:r>
      <w:r w:rsidRPr="00AF64A8">
        <w:rPr>
          <w:sz w:val="24"/>
          <w:szCs w:val="24"/>
        </w:rPr>
        <w:t>498 tis. eur</w:t>
      </w:r>
      <w:r>
        <w:rPr>
          <w:sz w:val="24"/>
          <w:szCs w:val="24"/>
        </w:rPr>
        <w:t>) a pod.</w:t>
      </w:r>
    </w:p>
    <w:p w14:paraId="4D1E7E8D" w14:textId="77777777" w:rsidR="00060EF5" w:rsidRDefault="00060EF5" w:rsidP="00060EF5">
      <w:pPr>
        <w:spacing w:line="240" w:lineRule="auto"/>
        <w:rPr>
          <w:sz w:val="24"/>
          <w:szCs w:val="24"/>
        </w:rPr>
      </w:pPr>
      <w:r w:rsidRPr="00D472E9">
        <w:rPr>
          <w:sz w:val="24"/>
          <w:szCs w:val="24"/>
        </w:rPr>
        <w:t xml:space="preserve">Výdavky </w:t>
      </w:r>
      <w:r w:rsidRPr="0057041F">
        <w:rPr>
          <w:b/>
          <w:i/>
          <w:sz w:val="24"/>
          <w:szCs w:val="24"/>
        </w:rPr>
        <w:t>na nákup výpočtovej techniky</w:t>
      </w:r>
      <w:r w:rsidRPr="0057041F">
        <w:rPr>
          <w:sz w:val="24"/>
          <w:szCs w:val="24"/>
        </w:rPr>
        <w:t xml:space="preserve"> </w:t>
      </w:r>
      <w:r w:rsidRPr="00D472E9">
        <w:rPr>
          <w:sz w:val="24"/>
          <w:szCs w:val="24"/>
        </w:rPr>
        <w:t xml:space="preserve">dosiahli sumu 117 510 tis. eur. Najvýznamnejšie finančné prostriedky boli čerpané na </w:t>
      </w:r>
      <w:r w:rsidRPr="0057041F">
        <w:rPr>
          <w:sz w:val="24"/>
          <w:szCs w:val="24"/>
          <w:u w:val="single"/>
        </w:rPr>
        <w:t>Ministerstve financií SR</w:t>
      </w:r>
      <w:r w:rsidRPr="00D472E9">
        <w:rPr>
          <w:sz w:val="24"/>
          <w:szCs w:val="24"/>
        </w:rPr>
        <w:t xml:space="preserve"> (56 623 tis. eur), z toho </w:t>
      </w:r>
      <w:r>
        <w:rPr>
          <w:sz w:val="24"/>
          <w:szCs w:val="24"/>
        </w:rPr>
        <w:t>najviac Datacentrum (</w:t>
      </w:r>
      <w:r w:rsidRPr="0057041F">
        <w:rPr>
          <w:sz w:val="24"/>
          <w:szCs w:val="24"/>
        </w:rPr>
        <w:t xml:space="preserve">39 207 tis. eur) v rámci projektu Rezortný privátny </w:t>
      </w:r>
      <w:proofErr w:type="spellStart"/>
      <w:r w:rsidRPr="0057041F">
        <w:rPr>
          <w:sz w:val="24"/>
          <w:szCs w:val="24"/>
        </w:rPr>
        <w:t>cloud</w:t>
      </w:r>
      <w:proofErr w:type="spellEnd"/>
      <w:r w:rsidRPr="0057041F">
        <w:rPr>
          <w:sz w:val="24"/>
          <w:szCs w:val="24"/>
        </w:rPr>
        <w:t xml:space="preserve"> RPC</w:t>
      </w:r>
      <w:r>
        <w:rPr>
          <w:sz w:val="24"/>
          <w:szCs w:val="24"/>
        </w:rPr>
        <w:t>, ktorý je zameraný na dlhodobú</w:t>
      </w:r>
      <w:r w:rsidRPr="0057041F">
        <w:rPr>
          <w:sz w:val="24"/>
          <w:szCs w:val="24"/>
        </w:rPr>
        <w:t xml:space="preserve"> efektivit</w:t>
      </w:r>
      <w:r>
        <w:rPr>
          <w:sz w:val="24"/>
          <w:szCs w:val="24"/>
        </w:rPr>
        <w:t>u</w:t>
      </w:r>
      <w:r w:rsidRPr="0057041F">
        <w:rPr>
          <w:sz w:val="24"/>
          <w:szCs w:val="24"/>
        </w:rPr>
        <w:t xml:space="preserve"> a ekonomik</w:t>
      </w:r>
      <w:r>
        <w:rPr>
          <w:sz w:val="24"/>
          <w:szCs w:val="24"/>
        </w:rPr>
        <w:t>u</w:t>
      </w:r>
      <w:r w:rsidRPr="0057041F">
        <w:rPr>
          <w:sz w:val="24"/>
          <w:szCs w:val="24"/>
        </w:rPr>
        <w:t xml:space="preserve"> prevádzky informačných systémov</w:t>
      </w:r>
      <w:r>
        <w:rPr>
          <w:sz w:val="24"/>
          <w:szCs w:val="24"/>
        </w:rPr>
        <w:t>.</w:t>
      </w:r>
    </w:p>
    <w:p w14:paraId="25E9D8AA" w14:textId="77777777" w:rsidR="00060EF5" w:rsidRPr="00AF64A8" w:rsidRDefault="00060EF5" w:rsidP="00060EF5">
      <w:pPr>
        <w:spacing w:line="240" w:lineRule="auto"/>
        <w:rPr>
          <w:sz w:val="24"/>
          <w:szCs w:val="24"/>
        </w:rPr>
      </w:pPr>
      <w:r w:rsidRPr="0057041F">
        <w:rPr>
          <w:sz w:val="24"/>
          <w:szCs w:val="24"/>
        </w:rPr>
        <w:t xml:space="preserve">Finančné prostriedky na </w:t>
      </w:r>
      <w:r w:rsidRPr="0057041F">
        <w:rPr>
          <w:sz w:val="24"/>
          <w:szCs w:val="24"/>
          <w:u w:val="single"/>
        </w:rPr>
        <w:t>Ministerstve vnútra SR</w:t>
      </w:r>
      <w:r w:rsidRPr="0057041F">
        <w:rPr>
          <w:sz w:val="24"/>
          <w:szCs w:val="24"/>
        </w:rPr>
        <w:t xml:space="preserve"> (29 458 tis. eur) boli </w:t>
      </w:r>
      <w:r w:rsidRPr="00AF64A8">
        <w:rPr>
          <w:sz w:val="24"/>
          <w:szCs w:val="24"/>
        </w:rPr>
        <w:t xml:space="preserve">čerpané </w:t>
      </w:r>
      <w:r>
        <w:rPr>
          <w:sz w:val="24"/>
          <w:szCs w:val="24"/>
        </w:rPr>
        <w:t>v rámci operačného programu I</w:t>
      </w:r>
      <w:r w:rsidRPr="00AF64A8">
        <w:rPr>
          <w:sz w:val="24"/>
          <w:szCs w:val="24"/>
        </w:rPr>
        <w:t xml:space="preserve">ntegrovaná infraštruktúra na obstaranie výpočtovej techniky, </w:t>
      </w:r>
      <w:r>
        <w:rPr>
          <w:sz w:val="24"/>
          <w:szCs w:val="24"/>
        </w:rPr>
        <w:t>hardvérových a softvérových</w:t>
      </w:r>
      <w:r w:rsidRPr="00AF64A8">
        <w:rPr>
          <w:sz w:val="24"/>
          <w:szCs w:val="24"/>
        </w:rPr>
        <w:t xml:space="preserve"> komponentov, serverov, kabeláže, diskov</w:t>
      </w:r>
      <w:r>
        <w:rPr>
          <w:sz w:val="24"/>
          <w:szCs w:val="24"/>
        </w:rPr>
        <w:t>ých polí</w:t>
      </w:r>
      <w:r w:rsidRPr="00AF64A8">
        <w:rPr>
          <w:sz w:val="24"/>
          <w:szCs w:val="24"/>
        </w:rPr>
        <w:t xml:space="preserve"> a</w:t>
      </w:r>
      <w:r>
        <w:rPr>
          <w:sz w:val="24"/>
          <w:szCs w:val="24"/>
        </w:rPr>
        <w:t xml:space="preserve"> pod. Išlo o racionalizáciu</w:t>
      </w:r>
      <w:r w:rsidRPr="00AF64A8">
        <w:rPr>
          <w:sz w:val="24"/>
          <w:szCs w:val="24"/>
        </w:rPr>
        <w:t xml:space="preserve"> prevádzky informačných systémov pomocou </w:t>
      </w:r>
      <w:proofErr w:type="spellStart"/>
      <w:r w:rsidRPr="00AF64A8">
        <w:rPr>
          <w:sz w:val="24"/>
          <w:szCs w:val="24"/>
        </w:rPr>
        <w:t>eGovernment</w:t>
      </w:r>
      <w:proofErr w:type="spellEnd"/>
      <w:r w:rsidRPr="00AF64A8">
        <w:rPr>
          <w:sz w:val="24"/>
          <w:szCs w:val="24"/>
        </w:rPr>
        <w:t xml:space="preserve"> </w:t>
      </w:r>
      <w:proofErr w:type="spellStart"/>
      <w:r w:rsidRPr="00AF64A8">
        <w:rPr>
          <w:sz w:val="24"/>
          <w:szCs w:val="24"/>
        </w:rPr>
        <w:t>cloudu</w:t>
      </w:r>
      <w:proofErr w:type="spellEnd"/>
      <w:r>
        <w:rPr>
          <w:sz w:val="24"/>
          <w:szCs w:val="24"/>
        </w:rPr>
        <w:t xml:space="preserve"> a</w:t>
      </w:r>
      <w:r w:rsidRPr="00AF64A8">
        <w:rPr>
          <w:sz w:val="24"/>
          <w:szCs w:val="24"/>
        </w:rPr>
        <w:t xml:space="preserve"> zvýšenie kapacity vládneho </w:t>
      </w:r>
      <w:proofErr w:type="spellStart"/>
      <w:r w:rsidRPr="00AF64A8">
        <w:rPr>
          <w:sz w:val="24"/>
          <w:szCs w:val="24"/>
        </w:rPr>
        <w:t>cloudu</w:t>
      </w:r>
      <w:proofErr w:type="spellEnd"/>
      <w:r w:rsidRPr="00AF64A8">
        <w:rPr>
          <w:sz w:val="24"/>
          <w:szCs w:val="24"/>
        </w:rPr>
        <w:t xml:space="preserve"> v</w:t>
      </w:r>
      <w:r>
        <w:rPr>
          <w:sz w:val="24"/>
          <w:szCs w:val="24"/>
        </w:rPr>
        <w:t> </w:t>
      </w:r>
      <w:r w:rsidRPr="00AF64A8">
        <w:rPr>
          <w:sz w:val="24"/>
          <w:szCs w:val="24"/>
        </w:rPr>
        <w:t>Datacentre</w:t>
      </w:r>
      <w:r>
        <w:rPr>
          <w:sz w:val="24"/>
          <w:szCs w:val="24"/>
        </w:rPr>
        <w:t>.</w:t>
      </w:r>
    </w:p>
    <w:p w14:paraId="1729CBC0" w14:textId="77777777" w:rsidR="00060EF5" w:rsidRDefault="00060EF5" w:rsidP="00060EF5">
      <w:pPr>
        <w:spacing w:line="240" w:lineRule="auto"/>
        <w:rPr>
          <w:sz w:val="24"/>
          <w:szCs w:val="24"/>
        </w:rPr>
      </w:pPr>
      <w:r w:rsidRPr="00821C82">
        <w:rPr>
          <w:sz w:val="24"/>
          <w:szCs w:val="24"/>
          <w:u w:val="single"/>
        </w:rPr>
        <w:t>Ministerstvo spravodlivosti SR</w:t>
      </w:r>
      <w:r>
        <w:rPr>
          <w:sz w:val="24"/>
          <w:szCs w:val="24"/>
        </w:rPr>
        <w:t xml:space="preserve"> zaznamenalo výdavky na nákup výpočtovej techniky v sume 12 </w:t>
      </w:r>
      <w:r w:rsidRPr="00521D7D">
        <w:rPr>
          <w:sz w:val="24"/>
          <w:szCs w:val="24"/>
        </w:rPr>
        <w:t>428</w:t>
      </w:r>
      <w:r>
        <w:rPr>
          <w:sz w:val="24"/>
          <w:szCs w:val="24"/>
        </w:rPr>
        <w:t> </w:t>
      </w:r>
      <w:r w:rsidRPr="00521D7D">
        <w:rPr>
          <w:sz w:val="24"/>
          <w:szCs w:val="24"/>
        </w:rPr>
        <w:t xml:space="preserve">tis. eur, išlo </w:t>
      </w:r>
      <w:r>
        <w:rPr>
          <w:sz w:val="24"/>
          <w:szCs w:val="24"/>
        </w:rPr>
        <w:t xml:space="preserve">napr. </w:t>
      </w:r>
      <w:r w:rsidRPr="00521D7D">
        <w:rPr>
          <w:sz w:val="24"/>
          <w:szCs w:val="24"/>
        </w:rPr>
        <w:t xml:space="preserve">o </w:t>
      </w:r>
      <w:r>
        <w:rPr>
          <w:sz w:val="24"/>
          <w:szCs w:val="24"/>
        </w:rPr>
        <w:t>b</w:t>
      </w:r>
      <w:r w:rsidRPr="00521D7D">
        <w:rPr>
          <w:sz w:val="24"/>
          <w:szCs w:val="24"/>
        </w:rPr>
        <w:t xml:space="preserve">ezpečnostný systém </w:t>
      </w:r>
      <w:r>
        <w:rPr>
          <w:sz w:val="24"/>
          <w:szCs w:val="24"/>
        </w:rPr>
        <w:t xml:space="preserve">pre </w:t>
      </w:r>
      <w:r w:rsidRPr="00521D7D">
        <w:rPr>
          <w:sz w:val="24"/>
          <w:szCs w:val="24"/>
        </w:rPr>
        <w:t>Zb</w:t>
      </w:r>
      <w:r>
        <w:rPr>
          <w:sz w:val="24"/>
          <w:szCs w:val="24"/>
        </w:rPr>
        <w:t>or</w:t>
      </w:r>
      <w:r w:rsidRPr="00521D7D">
        <w:rPr>
          <w:sz w:val="24"/>
          <w:szCs w:val="24"/>
        </w:rPr>
        <w:t xml:space="preserve"> väzenskej a justičnej stráže </w:t>
      </w:r>
      <w:r>
        <w:rPr>
          <w:sz w:val="24"/>
          <w:szCs w:val="24"/>
        </w:rPr>
        <w:t>(</w:t>
      </w:r>
      <w:r w:rsidRPr="00521D7D">
        <w:rPr>
          <w:sz w:val="24"/>
          <w:szCs w:val="24"/>
        </w:rPr>
        <w:t>servery a výpočtovú techniku</w:t>
      </w:r>
      <w:r>
        <w:rPr>
          <w:sz w:val="24"/>
          <w:szCs w:val="24"/>
        </w:rPr>
        <w:t>) a</w:t>
      </w:r>
      <w:r w:rsidRPr="00521D7D">
        <w:rPr>
          <w:sz w:val="24"/>
          <w:szCs w:val="24"/>
        </w:rPr>
        <w:t xml:space="preserve"> </w:t>
      </w:r>
      <w:r>
        <w:rPr>
          <w:sz w:val="24"/>
          <w:szCs w:val="24"/>
        </w:rPr>
        <w:t>výpočtovú</w:t>
      </w:r>
      <w:r w:rsidRPr="00521D7D">
        <w:rPr>
          <w:sz w:val="24"/>
          <w:szCs w:val="24"/>
        </w:rPr>
        <w:t xml:space="preserve"> techniku </w:t>
      </w:r>
      <w:r>
        <w:rPr>
          <w:sz w:val="24"/>
          <w:szCs w:val="24"/>
        </w:rPr>
        <w:t xml:space="preserve">pre </w:t>
      </w:r>
      <w:r w:rsidRPr="00521D7D">
        <w:rPr>
          <w:sz w:val="24"/>
          <w:szCs w:val="24"/>
        </w:rPr>
        <w:t>Ústav na výkon väzby a Ústav na výkon trestu odňatia slobody</w:t>
      </w:r>
      <w:r>
        <w:rPr>
          <w:sz w:val="24"/>
          <w:szCs w:val="24"/>
        </w:rPr>
        <w:t>.</w:t>
      </w:r>
      <w:r w:rsidRPr="00521D7D">
        <w:rPr>
          <w:sz w:val="24"/>
          <w:szCs w:val="24"/>
        </w:rPr>
        <w:t xml:space="preserve"> </w:t>
      </w:r>
    </w:p>
    <w:p w14:paraId="397A3DFF" w14:textId="77777777" w:rsidR="00060EF5" w:rsidRPr="004E72F7" w:rsidRDefault="00060EF5" w:rsidP="00060EF5">
      <w:pPr>
        <w:spacing w:line="240" w:lineRule="auto"/>
        <w:rPr>
          <w:sz w:val="24"/>
          <w:szCs w:val="24"/>
        </w:rPr>
      </w:pPr>
      <w:r w:rsidRPr="00521D7D">
        <w:rPr>
          <w:sz w:val="24"/>
          <w:szCs w:val="24"/>
        </w:rPr>
        <w:t xml:space="preserve">Pokles medzi schváleným rozpočtom a skutočne vyčerpanými prostriedkami bol </w:t>
      </w:r>
      <w:r>
        <w:rPr>
          <w:sz w:val="24"/>
          <w:szCs w:val="24"/>
        </w:rPr>
        <w:t xml:space="preserve">najvyšší </w:t>
      </w:r>
      <w:r w:rsidRPr="00521D7D">
        <w:rPr>
          <w:sz w:val="24"/>
          <w:szCs w:val="24"/>
        </w:rPr>
        <w:t xml:space="preserve">na kapitole </w:t>
      </w:r>
      <w:r w:rsidRPr="00521D7D">
        <w:rPr>
          <w:sz w:val="24"/>
          <w:szCs w:val="24"/>
          <w:u w:val="single"/>
        </w:rPr>
        <w:t>Ministerstva školstva, vedy, výskumu a športu SR</w:t>
      </w:r>
      <w:r w:rsidRPr="00521D7D">
        <w:rPr>
          <w:sz w:val="24"/>
          <w:szCs w:val="24"/>
        </w:rPr>
        <w:t xml:space="preserve"> </w:t>
      </w:r>
      <w:r w:rsidRPr="004E72F7">
        <w:rPr>
          <w:sz w:val="24"/>
          <w:szCs w:val="24"/>
        </w:rPr>
        <w:t>(45 589 tis. eur) z dôvodu viazania prostriedkov z Plánu obnovy a odolnosti a ich prenos do</w:t>
      </w:r>
      <w:r w:rsidRPr="00521D7D">
        <w:rPr>
          <w:sz w:val="24"/>
          <w:szCs w:val="24"/>
        </w:rPr>
        <w:t xml:space="preserve"> </w:t>
      </w:r>
      <w:r w:rsidRPr="004E72F7">
        <w:rPr>
          <w:sz w:val="24"/>
          <w:szCs w:val="24"/>
        </w:rPr>
        <w:t xml:space="preserve">roka 2024 </w:t>
      </w:r>
      <w:r>
        <w:rPr>
          <w:sz w:val="24"/>
          <w:szCs w:val="24"/>
        </w:rPr>
        <w:t xml:space="preserve">napr. </w:t>
      </w:r>
      <w:r w:rsidRPr="004E72F7">
        <w:rPr>
          <w:sz w:val="24"/>
          <w:szCs w:val="24"/>
        </w:rPr>
        <w:t>na projekt Centrálne koordinované obstarávanie relevantného digitálneho vybavenia.</w:t>
      </w:r>
    </w:p>
    <w:p w14:paraId="21A930C9" w14:textId="77777777" w:rsidR="00060EF5" w:rsidRDefault="00060EF5" w:rsidP="00060EF5">
      <w:pPr>
        <w:spacing w:line="240" w:lineRule="auto"/>
        <w:rPr>
          <w:sz w:val="24"/>
          <w:szCs w:val="24"/>
          <w:highlight w:val="yellow"/>
        </w:rPr>
      </w:pPr>
      <w:r w:rsidRPr="0090449A">
        <w:rPr>
          <w:iCs/>
          <w:sz w:val="24"/>
          <w:szCs w:val="24"/>
        </w:rPr>
        <w:t xml:space="preserve">Na </w:t>
      </w:r>
      <w:r w:rsidRPr="0090449A">
        <w:rPr>
          <w:b/>
          <w:i/>
          <w:iCs/>
          <w:sz w:val="24"/>
          <w:szCs w:val="24"/>
        </w:rPr>
        <w:t>nákup prevádzkových strojov, prístrojov, zariadení a techniky</w:t>
      </w:r>
      <w:r w:rsidRPr="0090449A">
        <w:rPr>
          <w:i/>
          <w:iCs/>
          <w:sz w:val="24"/>
          <w:szCs w:val="24"/>
        </w:rPr>
        <w:t xml:space="preserve"> </w:t>
      </w:r>
      <w:r w:rsidRPr="0090449A">
        <w:rPr>
          <w:iCs/>
          <w:sz w:val="24"/>
          <w:szCs w:val="24"/>
        </w:rPr>
        <w:t xml:space="preserve">bolo použitých </w:t>
      </w:r>
      <w:r>
        <w:rPr>
          <w:iCs/>
          <w:sz w:val="24"/>
          <w:szCs w:val="24"/>
        </w:rPr>
        <w:t>13</w:t>
      </w:r>
      <w:r w:rsidRPr="0090449A">
        <w:rPr>
          <w:iCs/>
          <w:sz w:val="24"/>
          <w:szCs w:val="24"/>
        </w:rPr>
        <w:t> </w:t>
      </w:r>
      <w:r>
        <w:rPr>
          <w:iCs/>
          <w:sz w:val="24"/>
          <w:szCs w:val="24"/>
        </w:rPr>
        <w:t>541</w:t>
      </w:r>
      <w:r w:rsidRPr="0090449A">
        <w:rPr>
          <w:iCs/>
          <w:sz w:val="24"/>
          <w:szCs w:val="24"/>
        </w:rPr>
        <w:t> tis. eur, najvýznamnejšie výdavky boli u </w:t>
      </w:r>
      <w:r w:rsidRPr="0090449A">
        <w:rPr>
          <w:iCs/>
          <w:sz w:val="24"/>
          <w:szCs w:val="24"/>
          <w:u w:val="single"/>
        </w:rPr>
        <w:t>Slovenskej akadémie vied</w:t>
      </w:r>
      <w:r>
        <w:rPr>
          <w:iCs/>
          <w:sz w:val="24"/>
          <w:szCs w:val="24"/>
        </w:rPr>
        <w:t xml:space="preserve"> (4</w:t>
      </w:r>
      <w:r w:rsidRPr="0090449A">
        <w:rPr>
          <w:iCs/>
          <w:sz w:val="24"/>
          <w:szCs w:val="24"/>
        </w:rPr>
        <w:t> </w:t>
      </w:r>
      <w:r>
        <w:rPr>
          <w:iCs/>
          <w:sz w:val="24"/>
          <w:szCs w:val="24"/>
        </w:rPr>
        <w:t>204</w:t>
      </w:r>
      <w:r w:rsidRPr="0090449A">
        <w:rPr>
          <w:iCs/>
          <w:sz w:val="24"/>
          <w:szCs w:val="24"/>
        </w:rPr>
        <w:t xml:space="preserve"> tis. eur</w:t>
      </w:r>
      <w:r w:rsidRPr="0090449A">
        <w:rPr>
          <w:sz w:val="24"/>
          <w:szCs w:val="24"/>
        </w:rPr>
        <w:t xml:space="preserve">) na nákup prístrojového vybavenia pre Centrum pre využitie pokročilých materiálov. Na </w:t>
      </w:r>
      <w:r w:rsidRPr="0090449A">
        <w:rPr>
          <w:sz w:val="24"/>
          <w:szCs w:val="24"/>
          <w:u w:val="single"/>
        </w:rPr>
        <w:t>Ministerstve obrany SR</w:t>
      </w:r>
      <w:r w:rsidRPr="0090449A">
        <w:rPr>
          <w:sz w:val="24"/>
          <w:szCs w:val="24"/>
        </w:rPr>
        <w:t xml:space="preserve"> (4 072 tis. eur), išlo o výdavky </w:t>
      </w:r>
      <w:r>
        <w:rPr>
          <w:sz w:val="24"/>
          <w:szCs w:val="24"/>
        </w:rPr>
        <w:t xml:space="preserve">v rámci programu Obrana pre </w:t>
      </w:r>
      <w:r w:rsidRPr="0090449A">
        <w:rPr>
          <w:sz w:val="24"/>
          <w:szCs w:val="24"/>
        </w:rPr>
        <w:t>Ústav na výkon väzby a Ústav na výkon trestu odňatia slobody</w:t>
      </w:r>
      <w:r>
        <w:rPr>
          <w:sz w:val="24"/>
          <w:szCs w:val="24"/>
        </w:rPr>
        <w:t>.</w:t>
      </w:r>
      <w:r w:rsidRPr="002D69FC">
        <w:rPr>
          <w:sz w:val="24"/>
          <w:szCs w:val="24"/>
          <w:highlight w:val="yellow"/>
        </w:rPr>
        <w:t xml:space="preserve"> </w:t>
      </w:r>
    </w:p>
    <w:p w14:paraId="72C15DFE" w14:textId="77777777" w:rsidR="00060EF5" w:rsidRDefault="00060EF5" w:rsidP="00060EF5">
      <w:pPr>
        <w:spacing w:line="240" w:lineRule="auto"/>
        <w:rPr>
          <w:sz w:val="24"/>
          <w:szCs w:val="24"/>
        </w:rPr>
      </w:pPr>
      <w:r w:rsidRPr="00430EAD">
        <w:rPr>
          <w:b/>
          <w:sz w:val="24"/>
          <w:szCs w:val="24"/>
        </w:rPr>
        <w:lastRenderedPageBreak/>
        <w:t>Realizácia stavieb a ich technického zhodnotenia</w:t>
      </w:r>
      <w:r w:rsidRPr="00430EAD">
        <w:rPr>
          <w:sz w:val="24"/>
          <w:szCs w:val="24"/>
        </w:rPr>
        <w:t xml:space="preserve"> predstavovala výdavky v</w:t>
      </w:r>
      <w:r>
        <w:rPr>
          <w:sz w:val="24"/>
          <w:szCs w:val="24"/>
        </w:rPr>
        <w:t> </w:t>
      </w:r>
      <w:r w:rsidRPr="00430EAD">
        <w:rPr>
          <w:sz w:val="24"/>
          <w:szCs w:val="24"/>
        </w:rPr>
        <w:t>hodnote</w:t>
      </w:r>
      <w:r>
        <w:rPr>
          <w:sz w:val="24"/>
          <w:szCs w:val="24"/>
        </w:rPr>
        <w:t xml:space="preserve"> 314 795 tis. eur</w:t>
      </w:r>
      <w:r w:rsidRPr="00430EAD">
        <w:rPr>
          <w:sz w:val="24"/>
          <w:szCs w:val="24"/>
        </w:rPr>
        <w:t>. V porovnaní s rokom 202</w:t>
      </w:r>
      <w:r>
        <w:rPr>
          <w:sz w:val="24"/>
          <w:szCs w:val="24"/>
        </w:rPr>
        <w:t>2</w:t>
      </w:r>
      <w:r w:rsidRPr="00430EAD">
        <w:rPr>
          <w:sz w:val="24"/>
          <w:szCs w:val="24"/>
        </w:rPr>
        <w:t xml:space="preserve"> došlo k z</w:t>
      </w:r>
      <w:r>
        <w:rPr>
          <w:sz w:val="24"/>
          <w:szCs w:val="24"/>
        </w:rPr>
        <w:t>výšeniu</w:t>
      </w:r>
      <w:r w:rsidRPr="00430EAD">
        <w:rPr>
          <w:sz w:val="24"/>
          <w:szCs w:val="24"/>
        </w:rPr>
        <w:t xml:space="preserve"> výdavkov o</w:t>
      </w:r>
      <w:r>
        <w:rPr>
          <w:sz w:val="24"/>
          <w:szCs w:val="24"/>
        </w:rPr>
        <w:t> 151 464</w:t>
      </w:r>
      <w:r w:rsidRPr="00430EAD">
        <w:rPr>
          <w:sz w:val="24"/>
          <w:szCs w:val="24"/>
        </w:rPr>
        <w:t> tis. eur</w:t>
      </w:r>
      <w:r>
        <w:rPr>
          <w:sz w:val="24"/>
          <w:szCs w:val="24"/>
        </w:rPr>
        <w:t>,</w:t>
      </w:r>
      <w:r w:rsidRPr="00430EAD">
        <w:rPr>
          <w:sz w:val="24"/>
          <w:szCs w:val="24"/>
        </w:rPr>
        <w:t xml:space="preserve"> a</w:t>
      </w:r>
      <w:r>
        <w:rPr>
          <w:sz w:val="24"/>
          <w:szCs w:val="24"/>
        </w:rPr>
        <w:t xml:space="preserve">le </w:t>
      </w:r>
      <w:r w:rsidRPr="00430EAD">
        <w:rPr>
          <w:sz w:val="24"/>
          <w:szCs w:val="24"/>
        </w:rPr>
        <w:t>k nižšiemu čerpaniu oproti schválenému rozpočtu o 378 478 tis. eur. Dôvodom medziročného nárastu bolo zvýšenie výdavkov na rekonštrukciu a modernizáciu na kapitole Ministerstva dopravy SR o 123 876 tis. eur.</w:t>
      </w:r>
      <w:r>
        <w:rPr>
          <w:sz w:val="24"/>
          <w:szCs w:val="24"/>
        </w:rPr>
        <w:t xml:space="preserve"> Dôvodom poklesu medzi schváleným rozpočtom a skutočne čerpanými prostriedkami bol pokles na Ministerstve dopravy SR pri realizácii nových stavieb o 379 906 tis. eur.</w:t>
      </w:r>
    </w:p>
    <w:p w14:paraId="7F3FC458" w14:textId="77777777" w:rsidR="00060EF5" w:rsidRPr="00064D49" w:rsidRDefault="00060EF5" w:rsidP="00060EF5">
      <w:pPr>
        <w:spacing w:line="240" w:lineRule="auto"/>
        <w:rPr>
          <w:sz w:val="24"/>
          <w:szCs w:val="24"/>
        </w:rPr>
      </w:pPr>
      <w:r w:rsidRPr="00064D49">
        <w:rPr>
          <w:sz w:val="24"/>
          <w:szCs w:val="24"/>
        </w:rPr>
        <w:t>Najvyšší podiel na výdavkoch mala kapitola Ministerstva dopravy SR (196 057</w:t>
      </w:r>
      <w:r>
        <w:rPr>
          <w:sz w:val="24"/>
          <w:szCs w:val="24"/>
        </w:rPr>
        <w:t xml:space="preserve"> tis. eur) a </w:t>
      </w:r>
      <w:r w:rsidRPr="00064D49">
        <w:rPr>
          <w:sz w:val="24"/>
          <w:szCs w:val="24"/>
        </w:rPr>
        <w:t>Ministerstva obrany SR (75 525 tis. eur).</w:t>
      </w:r>
    </w:p>
    <w:p w14:paraId="4C5C5389" w14:textId="77777777" w:rsidR="00060EF5" w:rsidRPr="00E8012D" w:rsidRDefault="00060EF5" w:rsidP="00060EF5">
      <w:pPr>
        <w:spacing w:line="240" w:lineRule="auto"/>
        <w:rPr>
          <w:sz w:val="24"/>
          <w:szCs w:val="24"/>
        </w:rPr>
      </w:pPr>
      <w:r w:rsidRPr="00064D49">
        <w:rPr>
          <w:sz w:val="24"/>
          <w:szCs w:val="24"/>
        </w:rPr>
        <w:t xml:space="preserve">Výdavky </w:t>
      </w:r>
      <w:r w:rsidRPr="00064D49">
        <w:rPr>
          <w:b/>
          <w:i/>
          <w:sz w:val="24"/>
          <w:szCs w:val="24"/>
        </w:rPr>
        <w:t>na rekonštrukciu a modernizáciu</w:t>
      </w:r>
      <w:r w:rsidRPr="00064D49">
        <w:rPr>
          <w:i/>
          <w:sz w:val="24"/>
          <w:szCs w:val="24"/>
        </w:rPr>
        <w:t xml:space="preserve"> </w:t>
      </w:r>
      <w:r w:rsidRPr="00064D49">
        <w:rPr>
          <w:sz w:val="24"/>
          <w:szCs w:val="24"/>
        </w:rPr>
        <w:t xml:space="preserve">tvorili 255 262 tis. eur. Najvyššie výdavky boli na </w:t>
      </w:r>
      <w:r w:rsidRPr="00064D49">
        <w:rPr>
          <w:sz w:val="24"/>
          <w:szCs w:val="24"/>
          <w:u w:val="single"/>
        </w:rPr>
        <w:t>Ministerstve dopravy SR</w:t>
      </w:r>
      <w:r w:rsidRPr="00064D49">
        <w:rPr>
          <w:sz w:val="24"/>
          <w:szCs w:val="24"/>
        </w:rPr>
        <w:t xml:space="preserve"> (</w:t>
      </w:r>
      <w:r>
        <w:rPr>
          <w:sz w:val="24"/>
          <w:szCs w:val="24"/>
        </w:rPr>
        <w:t>167</w:t>
      </w:r>
      <w:r w:rsidRPr="00064D49">
        <w:rPr>
          <w:sz w:val="24"/>
          <w:szCs w:val="24"/>
        </w:rPr>
        <w:t> </w:t>
      </w:r>
      <w:r>
        <w:rPr>
          <w:sz w:val="24"/>
          <w:szCs w:val="24"/>
        </w:rPr>
        <w:t>936</w:t>
      </w:r>
      <w:r w:rsidRPr="00064D49">
        <w:rPr>
          <w:sz w:val="24"/>
          <w:szCs w:val="24"/>
        </w:rPr>
        <w:t xml:space="preserve"> tis. eur), boli to </w:t>
      </w:r>
      <w:r w:rsidRPr="00563EDD">
        <w:rPr>
          <w:sz w:val="24"/>
          <w:szCs w:val="24"/>
        </w:rPr>
        <w:t xml:space="preserve">výdavky Slovenskej správy ciest, napr. na zvyšovanie pasívnej bezpečnosti na cestách I. triedy v Žilinskom a Trenčianskom kraji 2. etapa (17 962 tis. eur), modernizácia vybraných úsekov na cestách I. triedy v Banskobystrickom kraji, I. etapa (16 016 tis. eur) a na zvyšovanie pasívnej bezpečnosti na cestách I. triedy v Banskobystrickom kraji 2. etapa (11 924 tis. eur). Projekty boli financované kombináciou zdrojov zo štátneho rozpočtu a prostriedkami z Európskej únie a spolufinancovania k nim (systém </w:t>
      </w:r>
      <w:proofErr w:type="spellStart"/>
      <w:r w:rsidRPr="00563EDD">
        <w:rPr>
          <w:sz w:val="24"/>
          <w:szCs w:val="24"/>
        </w:rPr>
        <w:t>predfinancovania</w:t>
      </w:r>
      <w:proofErr w:type="spellEnd"/>
      <w:r w:rsidRPr="00563EDD">
        <w:rPr>
          <w:sz w:val="24"/>
          <w:szCs w:val="24"/>
        </w:rPr>
        <w:t xml:space="preserve"> a refundácie). </w:t>
      </w:r>
      <w:r>
        <w:rPr>
          <w:sz w:val="24"/>
          <w:szCs w:val="24"/>
        </w:rPr>
        <w:t>Dôvodom n</w:t>
      </w:r>
      <w:r w:rsidRPr="00E8012D">
        <w:rPr>
          <w:sz w:val="24"/>
          <w:szCs w:val="24"/>
        </w:rPr>
        <w:t>árast</w:t>
      </w:r>
      <w:r>
        <w:rPr>
          <w:sz w:val="24"/>
          <w:szCs w:val="24"/>
        </w:rPr>
        <w:t>u</w:t>
      </w:r>
      <w:r w:rsidRPr="00E8012D">
        <w:rPr>
          <w:sz w:val="24"/>
          <w:szCs w:val="24"/>
        </w:rPr>
        <w:t xml:space="preserve"> skutočnosti oproti schválenému rozpočtu o 107 280 tis. </w:t>
      </w:r>
      <w:r w:rsidRPr="00563EDD">
        <w:rPr>
          <w:sz w:val="24"/>
          <w:szCs w:val="24"/>
        </w:rPr>
        <w:t>eur bolo realizovanie presunov</w:t>
      </w:r>
      <w:r>
        <w:rPr>
          <w:sz w:val="24"/>
          <w:szCs w:val="24"/>
        </w:rPr>
        <w:t xml:space="preserve"> </w:t>
      </w:r>
      <w:r w:rsidRPr="00563EDD">
        <w:rPr>
          <w:sz w:val="24"/>
          <w:szCs w:val="24"/>
        </w:rPr>
        <w:t>v súlade so zatriedením príslušného výdavku v zmysle ekonomickej klasifikácie rozpočtovej klasifikácie</w:t>
      </w:r>
      <w:r>
        <w:rPr>
          <w:sz w:val="24"/>
          <w:szCs w:val="24"/>
        </w:rPr>
        <w:t>.</w:t>
      </w:r>
    </w:p>
    <w:p w14:paraId="0CFD9A72" w14:textId="77777777" w:rsidR="00060EF5" w:rsidRPr="000D60E6" w:rsidRDefault="00060EF5" w:rsidP="00060EF5">
      <w:pPr>
        <w:spacing w:line="240" w:lineRule="auto"/>
        <w:rPr>
          <w:sz w:val="24"/>
          <w:szCs w:val="24"/>
        </w:rPr>
      </w:pPr>
      <w:r w:rsidRPr="006F2191">
        <w:rPr>
          <w:sz w:val="24"/>
          <w:szCs w:val="24"/>
        </w:rPr>
        <w:t xml:space="preserve">Výdavky na </w:t>
      </w:r>
      <w:r w:rsidRPr="000D60E6">
        <w:rPr>
          <w:sz w:val="24"/>
          <w:szCs w:val="24"/>
          <w:u w:val="single"/>
        </w:rPr>
        <w:t>Ministerstve obrany SR</w:t>
      </w:r>
      <w:r w:rsidRPr="006F2191">
        <w:rPr>
          <w:sz w:val="24"/>
          <w:szCs w:val="24"/>
        </w:rPr>
        <w:t xml:space="preserve"> boli vo výške 53 044 tis. eur</w:t>
      </w:r>
      <w:r>
        <w:rPr>
          <w:sz w:val="24"/>
          <w:szCs w:val="24"/>
        </w:rPr>
        <w:t>, išlo</w:t>
      </w:r>
      <w:r w:rsidRPr="000D60E6">
        <w:rPr>
          <w:sz w:val="24"/>
          <w:szCs w:val="24"/>
        </w:rPr>
        <w:t xml:space="preserve"> o rekonštrukcie a</w:t>
      </w:r>
      <w:r>
        <w:rPr>
          <w:sz w:val="24"/>
          <w:szCs w:val="24"/>
        </w:rPr>
        <w:t xml:space="preserve"> </w:t>
      </w:r>
      <w:r w:rsidRPr="000D60E6">
        <w:rPr>
          <w:sz w:val="24"/>
          <w:szCs w:val="24"/>
        </w:rPr>
        <w:t xml:space="preserve">modernizácie objektov Ozbrojených síl SR (napr. </w:t>
      </w:r>
      <w:r>
        <w:rPr>
          <w:sz w:val="24"/>
          <w:szCs w:val="24"/>
        </w:rPr>
        <w:t xml:space="preserve">rekonštrukcia strelnice, </w:t>
      </w:r>
      <w:r w:rsidRPr="000D60E6">
        <w:rPr>
          <w:sz w:val="24"/>
          <w:szCs w:val="24"/>
        </w:rPr>
        <w:t>skladov munície, laboratória</w:t>
      </w:r>
      <w:r>
        <w:rPr>
          <w:sz w:val="24"/>
          <w:szCs w:val="24"/>
        </w:rPr>
        <w:t>)</w:t>
      </w:r>
      <w:r w:rsidRPr="000D60E6">
        <w:rPr>
          <w:sz w:val="24"/>
          <w:szCs w:val="24"/>
        </w:rPr>
        <w:t xml:space="preserve"> a projekty v Akadémii ozbrojených síl Liptovský Mikuláš </w:t>
      </w:r>
      <w:r>
        <w:rPr>
          <w:sz w:val="24"/>
          <w:szCs w:val="24"/>
        </w:rPr>
        <w:t>(</w:t>
      </w:r>
      <w:r w:rsidRPr="000D60E6">
        <w:rPr>
          <w:sz w:val="24"/>
          <w:szCs w:val="24"/>
        </w:rPr>
        <w:t>rekonštrukcia kuchynsko-jedálenského bloku a zníženie energetickej náročnosti budov a</w:t>
      </w:r>
      <w:r>
        <w:rPr>
          <w:sz w:val="24"/>
          <w:szCs w:val="24"/>
        </w:rPr>
        <w:t> </w:t>
      </w:r>
      <w:r w:rsidRPr="000D60E6">
        <w:rPr>
          <w:sz w:val="24"/>
          <w:szCs w:val="24"/>
        </w:rPr>
        <w:t>objektov</w:t>
      </w:r>
      <w:r>
        <w:rPr>
          <w:sz w:val="24"/>
          <w:szCs w:val="24"/>
        </w:rPr>
        <w:t>)</w:t>
      </w:r>
      <w:r w:rsidRPr="000D60E6">
        <w:rPr>
          <w:sz w:val="24"/>
          <w:szCs w:val="24"/>
        </w:rPr>
        <w:t>.</w:t>
      </w:r>
    </w:p>
    <w:p w14:paraId="781ABB90" w14:textId="77777777" w:rsidR="00060EF5" w:rsidRPr="00E8012D" w:rsidRDefault="00060EF5" w:rsidP="00060EF5">
      <w:pPr>
        <w:spacing w:line="240" w:lineRule="auto"/>
        <w:rPr>
          <w:sz w:val="24"/>
          <w:szCs w:val="24"/>
        </w:rPr>
      </w:pPr>
      <w:r w:rsidRPr="004E72F7">
        <w:rPr>
          <w:sz w:val="24"/>
          <w:szCs w:val="24"/>
          <w:u w:val="single"/>
        </w:rPr>
        <w:t>Ministerstvo školstva, vedy, výskumu a športu SR</w:t>
      </w:r>
      <w:r>
        <w:rPr>
          <w:sz w:val="24"/>
          <w:szCs w:val="24"/>
        </w:rPr>
        <w:t xml:space="preserve"> čerpalo prostriedky vo výške 7 816 </w:t>
      </w:r>
      <w:r w:rsidRPr="00E8012D">
        <w:rPr>
          <w:sz w:val="24"/>
          <w:szCs w:val="24"/>
        </w:rPr>
        <w:t xml:space="preserve">tis. eur, </w:t>
      </w:r>
      <w:r w:rsidRPr="004E72F7">
        <w:rPr>
          <w:sz w:val="24"/>
          <w:szCs w:val="24"/>
        </w:rPr>
        <w:t>išlo o</w:t>
      </w:r>
      <w:r w:rsidRPr="00E8012D">
        <w:rPr>
          <w:sz w:val="24"/>
          <w:szCs w:val="24"/>
        </w:rPr>
        <w:t xml:space="preserve"> </w:t>
      </w:r>
      <w:r w:rsidRPr="004E72F7">
        <w:rPr>
          <w:sz w:val="24"/>
          <w:szCs w:val="24"/>
        </w:rPr>
        <w:t>výdavky na odstránenie havarijných situácií na školách v zriaďovateľskej pôsobnosti regionálnych úradov školskej správy</w:t>
      </w:r>
      <w:r>
        <w:rPr>
          <w:sz w:val="24"/>
          <w:szCs w:val="24"/>
        </w:rPr>
        <w:t xml:space="preserve"> a </w:t>
      </w:r>
      <w:r w:rsidRPr="00E77F59">
        <w:rPr>
          <w:sz w:val="24"/>
          <w:szCs w:val="24"/>
        </w:rPr>
        <w:t>na rekonštrukcie a m</w:t>
      </w:r>
      <w:r>
        <w:rPr>
          <w:sz w:val="24"/>
          <w:szCs w:val="24"/>
        </w:rPr>
        <w:t>odernizácie školských objektov.</w:t>
      </w:r>
    </w:p>
    <w:p w14:paraId="349A6D56" w14:textId="77777777" w:rsidR="00060EF5" w:rsidRPr="004034FE" w:rsidRDefault="00060EF5" w:rsidP="00060EF5">
      <w:pPr>
        <w:spacing w:line="240" w:lineRule="auto"/>
        <w:rPr>
          <w:sz w:val="24"/>
          <w:szCs w:val="24"/>
        </w:rPr>
      </w:pPr>
      <w:r w:rsidRPr="000D60E6">
        <w:rPr>
          <w:sz w:val="24"/>
          <w:szCs w:val="24"/>
        </w:rPr>
        <w:t xml:space="preserve">Čerpanie výdavkov </w:t>
      </w:r>
      <w:r w:rsidRPr="000D60E6">
        <w:rPr>
          <w:b/>
          <w:i/>
          <w:sz w:val="24"/>
          <w:szCs w:val="24"/>
        </w:rPr>
        <w:t>na realizáciu nových stavieb</w:t>
      </w:r>
      <w:r w:rsidRPr="000D60E6">
        <w:rPr>
          <w:sz w:val="24"/>
          <w:szCs w:val="24"/>
        </w:rPr>
        <w:t xml:space="preserve"> </w:t>
      </w:r>
      <w:r w:rsidRPr="004034FE">
        <w:rPr>
          <w:sz w:val="24"/>
          <w:szCs w:val="24"/>
        </w:rPr>
        <w:t xml:space="preserve">bolo vo výške 55 739 tis. eur. Najvyššie boli výdavky </w:t>
      </w:r>
      <w:r w:rsidRPr="004034FE">
        <w:rPr>
          <w:sz w:val="24"/>
          <w:szCs w:val="24"/>
          <w:u w:val="single"/>
        </w:rPr>
        <w:t>Ministerstva dopravy SR</w:t>
      </w:r>
      <w:r w:rsidRPr="004034FE">
        <w:rPr>
          <w:sz w:val="24"/>
          <w:szCs w:val="24"/>
        </w:rPr>
        <w:t xml:space="preserve"> </w:t>
      </w:r>
      <w:r>
        <w:rPr>
          <w:sz w:val="24"/>
          <w:szCs w:val="24"/>
        </w:rPr>
        <w:t>(</w:t>
      </w:r>
      <w:r w:rsidRPr="004034FE">
        <w:rPr>
          <w:sz w:val="24"/>
          <w:szCs w:val="24"/>
        </w:rPr>
        <w:t>28 121 tis. eur</w:t>
      </w:r>
      <w:r>
        <w:rPr>
          <w:sz w:val="24"/>
          <w:szCs w:val="24"/>
        </w:rPr>
        <w:t>)</w:t>
      </w:r>
      <w:r w:rsidRPr="004034FE">
        <w:rPr>
          <w:sz w:val="24"/>
          <w:szCs w:val="24"/>
        </w:rPr>
        <w:t>, čerpané Slovenskou správou ciest na dofinancovanie projektov realizovaných v rámci Operačného programu Integrovaná infraštruktúra (</w:t>
      </w:r>
      <w:r>
        <w:rPr>
          <w:sz w:val="24"/>
          <w:szCs w:val="24"/>
        </w:rPr>
        <w:t>p</w:t>
      </w:r>
      <w:r w:rsidRPr="004034FE">
        <w:rPr>
          <w:sz w:val="24"/>
          <w:szCs w:val="24"/>
        </w:rPr>
        <w:t>ríprava (</w:t>
      </w:r>
      <w:r>
        <w:rPr>
          <w:sz w:val="24"/>
          <w:szCs w:val="24"/>
        </w:rPr>
        <w:t>projektová dokumentácia a majetkovo – právne vysporiadanie</w:t>
      </w:r>
      <w:r w:rsidRPr="004034FE">
        <w:rPr>
          <w:sz w:val="24"/>
          <w:szCs w:val="24"/>
        </w:rPr>
        <w:t>) – I/66 Brezno – obchvat</w:t>
      </w:r>
      <w:r>
        <w:rPr>
          <w:sz w:val="24"/>
          <w:szCs w:val="24"/>
        </w:rPr>
        <w:t>, 2. etapa, I. úsek (11 790 </w:t>
      </w:r>
      <w:r w:rsidRPr="004034FE">
        <w:rPr>
          <w:sz w:val="24"/>
          <w:szCs w:val="24"/>
        </w:rPr>
        <w:t>tis.</w:t>
      </w:r>
      <w:r>
        <w:rPr>
          <w:sz w:val="24"/>
          <w:szCs w:val="24"/>
        </w:rPr>
        <w:t> </w:t>
      </w:r>
      <w:r w:rsidRPr="004034FE">
        <w:rPr>
          <w:sz w:val="24"/>
          <w:szCs w:val="24"/>
        </w:rPr>
        <w:t>eur</w:t>
      </w:r>
      <w:r>
        <w:rPr>
          <w:sz w:val="24"/>
          <w:szCs w:val="24"/>
        </w:rPr>
        <w:t>), I</w:t>
      </w:r>
      <w:r w:rsidRPr="004034FE">
        <w:rPr>
          <w:sz w:val="24"/>
          <w:szCs w:val="24"/>
        </w:rPr>
        <w:t>/68 Plavni</w:t>
      </w:r>
      <w:r>
        <w:rPr>
          <w:sz w:val="24"/>
          <w:szCs w:val="24"/>
        </w:rPr>
        <w:t>ca, preložka cesty (11 481 tis. </w:t>
      </w:r>
      <w:r w:rsidRPr="004034FE">
        <w:rPr>
          <w:sz w:val="24"/>
          <w:szCs w:val="24"/>
        </w:rPr>
        <w:t>eur</w:t>
      </w:r>
      <w:r>
        <w:rPr>
          <w:sz w:val="24"/>
          <w:szCs w:val="24"/>
        </w:rPr>
        <w:t>)</w:t>
      </w:r>
      <w:r w:rsidRPr="004034FE">
        <w:rPr>
          <w:sz w:val="24"/>
          <w:szCs w:val="24"/>
        </w:rPr>
        <w:t xml:space="preserve">, I/66 Brezno – obchvat, II. etapa, 1. úsek </w:t>
      </w:r>
      <w:r>
        <w:rPr>
          <w:sz w:val="24"/>
          <w:szCs w:val="24"/>
        </w:rPr>
        <w:t>(</w:t>
      </w:r>
      <w:r w:rsidRPr="004034FE">
        <w:rPr>
          <w:sz w:val="24"/>
          <w:szCs w:val="24"/>
        </w:rPr>
        <w:t>2</w:t>
      </w:r>
      <w:r>
        <w:rPr>
          <w:sz w:val="24"/>
          <w:szCs w:val="24"/>
        </w:rPr>
        <w:t> </w:t>
      </w:r>
      <w:r w:rsidRPr="004034FE">
        <w:rPr>
          <w:sz w:val="24"/>
          <w:szCs w:val="24"/>
        </w:rPr>
        <w:t>924</w:t>
      </w:r>
      <w:r>
        <w:rPr>
          <w:sz w:val="24"/>
          <w:szCs w:val="24"/>
        </w:rPr>
        <w:t> </w:t>
      </w:r>
      <w:r w:rsidRPr="004034FE">
        <w:rPr>
          <w:sz w:val="24"/>
          <w:szCs w:val="24"/>
        </w:rPr>
        <w:t>tis.</w:t>
      </w:r>
      <w:r>
        <w:rPr>
          <w:sz w:val="24"/>
          <w:szCs w:val="24"/>
        </w:rPr>
        <w:t> </w:t>
      </w:r>
      <w:r w:rsidRPr="004034FE">
        <w:rPr>
          <w:sz w:val="24"/>
          <w:szCs w:val="24"/>
        </w:rPr>
        <w:t>eur</w:t>
      </w:r>
      <w:r>
        <w:rPr>
          <w:sz w:val="24"/>
          <w:szCs w:val="24"/>
        </w:rPr>
        <w:t>).</w:t>
      </w:r>
    </w:p>
    <w:p w14:paraId="236156FB" w14:textId="77777777" w:rsidR="00060EF5" w:rsidRDefault="00060EF5" w:rsidP="00060EF5">
      <w:pPr>
        <w:spacing w:line="240" w:lineRule="auto"/>
        <w:rPr>
          <w:sz w:val="24"/>
          <w:szCs w:val="24"/>
        </w:rPr>
      </w:pPr>
      <w:r w:rsidRPr="000D60E6">
        <w:rPr>
          <w:sz w:val="24"/>
          <w:szCs w:val="24"/>
        </w:rPr>
        <w:t xml:space="preserve">Výdavky </w:t>
      </w:r>
      <w:r w:rsidRPr="000D60E6">
        <w:rPr>
          <w:sz w:val="24"/>
          <w:szCs w:val="24"/>
          <w:u w:val="single"/>
        </w:rPr>
        <w:t>Ministerstva obrany SR</w:t>
      </w:r>
      <w:r w:rsidRPr="000D60E6">
        <w:rPr>
          <w:sz w:val="24"/>
          <w:szCs w:val="24"/>
        </w:rPr>
        <w:t xml:space="preserve"> dosiahli sumu 22 481 tis. eur</w:t>
      </w:r>
      <w:r>
        <w:rPr>
          <w:sz w:val="24"/>
          <w:szCs w:val="24"/>
        </w:rPr>
        <w:t xml:space="preserve">, išlo </w:t>
      </w:r>
      <w:r w:rsidRPr="00E8012D">
        <w:rPr>
          <w:sz w:val="24"/>
          <w:szCs w:val="24"/>
        </w:rPr>
        <w:t>o rekonštrukcie a</w:t>
      </w:r>
      <w:r>
        <w:rPr>
          <w:sz w:val="24"/>
          <w:szCs w:val="24"/>
        </w:rPr>
        <w:t xml:space="preserve"> </w:t>
      </w:r>
      <w:r w:rsidRPr="00E8012D">
        <w:rPr>
          <w:sz w:val="24"/>
          <w:szCs w:val="24"/>
        </w:rPr>
        <w:t>modernizácie objektov Ozbrojených síl SR (napr. rekonštrukcia vodovodného potrubia</w:t>
      </w:r>
      <w:r>
        <w:rPr>
          <w:sz w:val="24"/>
          <w:szCs w:val="24"/>
        </w:rPr>
        <w:t xml:space="preserve"> a</w:t>
      </w:r>
      <w:r w:rsidRPr="00E8012D">
        <w:rPr>
          <w:sz w:val="24"/>
          <w:szCs w:val="24"/>
        </w:rPr>
        <w:t xml:space="preserve"> hangár</w:t>
      </w:r>
      <w:r>
        <w:rPr>
          <w:sz w:val="24"/>
          <w:szCs w:val="24"/>
        </w:rPr>
        <w:t>u</w:t>
      </w:r>
      <w:r w:rsidRPr="00E8012D">
        <w:rPr>
          <w:sz w:val="24"/>
          <w:szCs w:val="24"/>
        </w:rPr>
        <w:t xml:space="preserve"> ľahkej konštrukcie) a</w:t>
      </w:r>
      <w:r>
        <w:rPr>
          <w:sz w:val="24"/>
          <w:szCs w:val="24"/>
        </w:rPr>
        <w:t xml:space="preserve"> </w:t>
      </w:r>
      <w:r w:rsidRPr="00E8012D">
        <w:rPr>
          <w:sz w:val="24"/>
          <w:szCs w:val="24"/>
        </w:rPr>
        <w:t>Vojenského histo</w:t>
      </w:r>
      <w:r>
        <w:rPr>
          <w:sz w:val="24"/>
          <w:szCs w:val="24"/>
        </w:rPr>
        <w:t>rického ústavu (projekt výstavby</w:t>
      </w:r>
      <w:r w:rsidRPr="00E8012D">
        <w:rPr>
          <w:sz w:val="24"/>
          <w:szCs w:val="24"/>
        </w:rPr>
        <w:t xml:space="preserve"> ha</w:t>
      </w:r>
      <w:r>
        <w:rPr>
          <w:sz w:val="24"/>
          <w:szCs w:val="24"/>
        </w:rPr>
        <w:t xml:space="preserve">ly </w:t>
      </w:r>
      <w:proofErr w:type="spellStart"/>
      <w:r>
        <w:rPr>
          <w:sz w:val="24"/>
          <w:szCs w:val="24"/>
        </w:rPr>
        <w:t>veľkorozmerových</w:t>
      </w:r>
      <w:proofErr w:type="spellEnd"/>
      <w:r>
        <w:rPr>
          <w:sz w:val="24"/>
          <w:szCs w:val="24"/>
        </w:rPr>
        <w:t xml:space="preserve"> priestorov) v rámci programu Rozvoj obrany a Obrana. </w:t>
      </w:r>
    </w:p>
    <w:p w14:paraId="6852B3BF" w14:textId="768944F5" w:rsidR="00060EF5" w:rsidRPr="000B47A7" w:rsidRDefault="00060EF5" w:rsidP="00060EF5">
      <w:pPr>
        <w:tabs>
          <w:tab w:val="left" w:pos="284"/>
        </w:tabs>
        <w:spacing w:line="240" w:lineRule="auto"/>
        <w:rPr>
          <w:sz w:val="24"/>
          <w:szCs w:val="24"/>
        </w:rPr>
      </w:pPr>
      <w:r w:rsidRPr="000B47A7">
        <w:rPr>
          <w:sz w:val="24"/>
          <w:szCs w:val="24"/>
        </w:rPr>
        <w:t xml:space="preserve">Pokles skutočnosti oproti schválenému rozpočtu o 511 340 tis. eur bol spôsobený </w:t>
      </w:r>
      <w:r w:rsidRPr="00576D8E">
        <w:rPr>
          <w:sz w:val="24"/>
          <w:szCs w:val="24"/>
        </w:rPr>
        <w:t xml:space="preserve">poklesom z dôvodu viazania prostriedkov do budúceho obdobia na kapitole </w:t>
      </w:r>
      <w:r w:rsidRPr="00576D8E">
        <w:rPr>
          <w:sz w:val="24"/>
          <w:szCs w:val="24"/>
          <w:u w:val="single"/>
        </w:rPr>
        <w:t>Ministerstva dopravy SR</w:t>
      </w:r>
      <w:r w:rsidRPr="00576D8E">
        <w:rPr>
          <w:sz w:val="24"/>
          <w:szCs w:val="24"/>
        </w:rPr>
        <w:t xml:space="preserve"> (o 379 906 tis. eur) a </w:t>
      </w:r>
      <w:r w:rsidRPr="00576D8E">
        <w:rPr>
          <w:sz w:val="24"/>
          <w:szCs w:val="24"/>
          <w:u w:val="single"/>
        </w:rPr>
        <w:t>Ministerstva spravodlivosti SR</w:t>
      </w:r>
      <w:r w:rsidRPr="00576D8E">
        <w:rPr>
          <w:sz w:val="24"/>
          <w:szCs w:val="24"/>
        </w:rPr>
        <w:t xml:space="preserve"> (o 137 324 tis. eur) spôsobený viazaním</w:t>
      </w:r>
      <w:r w:rsidRPr="00E77F59">
        <w:rPr>
          <w:sz w:val="24"/>
          <w:szCs w:val="24"/>
        </w:rPr>
        <w:t xml:space="preserve"> výdavkov Plánu obnovy a odolnosti. Dôvodom poklesu na </w:t>
      </w:r>
      <w:r w:rsidRPr="00E77F59">
        <w:rPr>
          <w:sz w:val="24"/>
          <w:szCs w:val="24"/>
          <w:u w:val="single"/>
        </w:rPr>
        <w:t>Ministerstve spravodlivosti SR</w:t>
      </w:r>
      <w:r w:rsidRPr="00E77F59">
        <w:rPr>
          <w:sz w:val="24"/>
          <w:szCs w:val="24"/>
        </w:rPr>
        <w:t xml:space="preserve"> bolo</w:t>
      </w:r>
      <w:r w:rsidRPr="000B47A7">
        <w:rPr>
          <w:sz w:val="24"/>
          <w:szCs w:val="24"/>
        </w:rPr>
        <w:t xml:space="preserve"> viazanie prostriedkov v zmysle zákona o rozpočtových pravidlách na použitie v roku 202</w:t>
      </w:r>
      <w:r>
        <w:rPr>
          <w:sz w:val="24"/>
          <w:szCs w:val="24"/>
        </w:rPr>
        <w:t>4</w:t>
      </w:r>
      <w:r w:rsidRPr="000B47A7">
        <w:rPr>
          <w:sz w:val="24"/>
          <w:szCs w:val="24"/>
        </w:rPr>
        <w:t xml:space="preserve">, ktoré boli určené </w:t>
      </w:r>
      <w:r>
        <w:rPr>
          <w:sz w:val="24"/>
          <w:szCs w:val="24"/>
        </w:rPr>
        <w:t xml:space="preserve">napr. </w:t>
      </w:r>
      <w:r w:rsidRPr="000B47A7">
        <w:rPr>
          <w:sz w:val="24"/>
          <w:szCs w:val="24"/>
        </w:rPr>
        <w:t xml:space="preserve">na </w:t>
      </w:r>
      <w:r>
        <w:rPr>
          <w:sz w:val="24"/>
          <w:szCs w:val="24"/>
        </w:rPr>
        <w:t>výstavbu nových budov</w:t>
      </w:r>
      <w:r w:rsidRPr="000B47A7">
        <w:rPr>
          <w:sz w:val="24"/>
          <w:szCs w:val="24"/>
        </w:rPr>
        <w:t xml:space="preserve"> </w:t>
      </w:r>
      <w:r w:rsidR="002B42D8">
        <w:rPr>
          <w:sz w:val="24"/>
          <w:szCs w:val="24"/>
        </w:rPr>
        <w:t xml:space="preserve">zo zdroja </w:t>
      </w:r>
      <w:r>
        <w:rPr>
          <w:sz w:val="24"/>
          <w:szCs w:val="24"/>
        </w:rPr>
        <w:t>Plán</w:t>
      </w:r>
      <w:r w:rsidRPr="000B47A7">
        <w:rPr>
          <w:sz w:val="24"/>
          <w:szCs w:val="24"/>
        </w:rPr>
        <w:t xml:space="preserve"> obnovy a odolnosti SR pre súdnictvo.</w:t>
      </w:r>
    </w:p>
    <w:p w14:paraId="47C69B0D" w14:textId="77777777" w:rsidR="00060EF5" w:rsidRPr="002D69FC" w:rsidRDefault="00060EF5" w:rsidP="00060EF5">
      <w:pPr>
        <w:spacing w:line="240" w:lineRule="auto"/>
        <w:rPr>
          <w:sz w:val="24"/>
          <w:szCs w:val="24"/>
          <w:highlight w:val="yellow"/>
        </w:rPr>
      </w:pPr>
      <w:r w:rsidRPr="004C3906">
        <w:rPr>
          <w:b/>
          <w:sz w:val="24"/>
          <w:szCs w:val="24"/>
        </w:rPr>
        <w:t>Nákup dopravných prostriedkov</w:t>
      </w:r>
      <w:r w:rsidRPr="004C3906">
        <w:rPr>
          <w:b/>
          <w:i/>
          <w:sz w:val="24"/>
          <w:szCs w:val="24"/>
        </w:rPr>
        <w:t xml:space="preserve"> </w:t>
      </w:r>
      <w:r w:rsidRPr="004C3906">
        <w:rPr>
          <w:sz w:val="24"/>
          <w:szCs w:val="24"/>
        </w:rPr>
        <w:t>dosiahol 310 454 tis. </w:t>
      </w:r>
      <w:r w:rsidRPr="00711F20">
        <w:rPr>
          <w:sz w:val="24"/>
          <w:szCs w:val="24"/>
        </w:rPr>
        <w:t xml:space="preserve">eur. Najväčší podiel výdavkov tvorila kapitola Ministerstva obrany SR 221 044 tis. eur a Ministerstva vnútra SR 77 091 tis. eur. Medziročný </w:t>
      </w:r>
      <w:r>
        <w:rPr>
          <w:sz w:val="24"/>
          <w:szCs w:val="24"/>
        </w:rPr>
        <w:t>pokles</w:t>
      </w:r>
      <w:r w:rsidRPr="00711F20">
        <w:rPr>
          <w:sz w:val="24"/>
          <w:szCs w:val="24"/>
        </w:rPr>
        <w:t xml:space="preserve"> o </w:t>
      </w:r>
      <w:r>
        <w:rPr>
          <w:sz w:val="24"/>
          <w:szCs w:val="24"/>
        </w:rPr>
        <w:t>270</w:t>
      </w:r>
      <w:r w:rsidRPr="00711F20">
        <w:rPr>
          <w:sz w:val="24"/>
          <w:szCs w:val="24"/>
        </w:rPr>
        <w:t> </w:t>
      </w:r>
      <w:r>
        <w:rPr>
          <w:sz w:val="24"/>
          <w:szCs w:val="24"/>
        </w:rPr>
        <w:t>572</w:t>
      </w:r>
      <w:r w:rsidRPr="00711F20">
        <w:rPr>
          <w:sz w:val="24"/>
          <w:szCs w:val="24"/>
        </w:rPr>
        <w:t xml:space="preserve"> tis. eur </w:t>
      </w:r>
      <w:r w:rsidRPr="005D7382">
        <w:rPr>
          <w:sz w:val="24"/>
          <w:szCs w:val="24"/>
        </w:rPr>
        <w:t>bol spôsobený znížením výdavkov na nákup špeciálnych automobilov u Ministerstva obrany SR o 356 204 tis. eur.</w:t>
      </w:r>
    </w:p>
    <w:p w14:paraId="29371472" w14:textId="4072E4C7" w:rsidR="00060EF5" w:rsidRPr="00094048" w:rsidRDefault="00060EF5" w:rsidP="00060EF5">
      <w:pPr>
        <w:spacing w:line="240" w:lineRule="auto"/>
        <w:rPr>
          <w:sz w:val="24"/>
          <w:szCs w:val="24"/>
        </w:rPr>
      </w:pPr>
      <w:r w:rsidRPr="00BF2B01">
        <w:rPr>
          <w:sz w:val="24"/>
          <w:szCs w:val="24"/>
        </w:rPr>
        <w:lastRenderedPageBreak/>
        <w:t xml:space="preserve">Výdavky </w:t>
      </w:r>
      <w:r w:rsidRPr="00BF2B01">
        <w:rPr>
          <w:sz w:val="24"/>
          <w:szCs w:val="24"/>
          <w:u w:val="single"/>
        </w:rPr>
        <w:t>Ministerstva obrany SR</w:t>
      </w:r>
      <w:r w:rsidRPr="00BF2B01">
        <w:rPr>
          <w:sz w:val="24"/>
          <w:szCs w:val="24"/>
        </w:rPr>
        <w:t xml:space="preserve"> </w:t>
      </w:r>
      <w:r w:rsidRPr="001827AB">
        <w:rPr>
          <w:sz w:val="24"/>
          <w:szCs w:val="24"/>
        </w:rPr>
        <w:t xml:space="preserve">tvorili predovšetkým výdavky na </w:t>
      </w:r>
      <w:r w:rsidRPr="001827AB">
        <w:rPr>
          <w:b/>
          <w:i/>
          <w:sz w:val="24"/>
          <w:szCs w:val="24"/>
        </w:rPr>
        <w:t>nákup špeciálnych automobilov</w:t>
      </w:r>
      <w:r w:rsidRPr="001827AB">
        <w:rPr>
          <w:i/>
          <w:sz w:val="24"/>
          <w:szCs w:val="24"/>
        </w:rPr>
        <w:t xml:space="preserve"> </w:t>
      </w:r>
      <w:r w:rsidRPr="001827AB">
        <w:rPr>
          <w:sz w:val="24"/>
          <w:szCs w:val="24"/>
        </w:rPr>
        <w:t xml:space="preserve">vo výške 180 396 tis. eur na pásové bojové vozidlá pre Ozbrojené sily SR. Nárast skutočnosti oproti schválenému rozpočtu (o 535 591 tis. eur) súvisel najmä s uvoľnením prostriedkov alokovaných v kapitole VPS pre ministerstvo. </w:t>
      </w:r>
      <w:r w:rsidRPr="001827AB">
        <w:rPr>
          <w:b/>
          <w:i/>
          <w:sz w:val="24"/>
          <w:szCs w:val="24"/>
        </w:rPr>
        <w:t>Nákup dopravných lietadiel, vrtuľníkov</w:t>
      </w:r>
      <w:r w:rsidRPr="001827AB">
        <w:rPr>
          <w:i/>
          <w:sz w:val="24"/>
          <w:szCs w:val="24"/>
        </w:rPr>
        <w:t xml:space="preserve"> </w:t>
      </w:r>
      <w:r w:rsidRPr="001827AB">
        <w:rPr>
          <w:sz w:val="24"/>
          <w:szCs w:val="24"/>
        </w:rPr>
        <w:t>predstavoval sumu 31 804 tis. eur, prostriedky boli čerpané v programe Rozvoj obrany na viacúčelov</w:t>
      </w:r>
      <w:r w:rsidR="00AC4A47">
        <w:rPr>
          <w:sz w:val="24"/>
          <w:szCs w:val="24"/>
        </w:rPr>
        <w:t>é vrtuľníky pre špeciálne úlohy</w:t>
      </w:r>
      <w:r w:rsidRPr="001827AB">
        <w:rPr>
          <w:sz w:val="24"/>
          <w:szCs w:val="24"/>
        </w:rPr>
        <w:t xml:space="preserve">. Na </w:t>
      </w:r>
      <w:r w:rsidRPr="001827AB">
        <w:rPr>
          <w:b/>
          <w:i/>
          <w:sz w:val="24"/>
          <w:szCs w:val="24"/>
        </w:rPr>
        <w:t>nákup nákladných vozidiel, ťahačov, prípojných vozidiel, dopravných pracovných strojov, traktorov</w:t>
      </w:r>
      <w:r w:rsidRPr="001827AB">
        <w:rPr>
          <w:sz w:val="24"/>
          <w:szCs w:val="24"/>
        </w:rPr>
        <w:t xml:space="preserve"> bolo vynaložených 3 392 tis. eur, išlo o prostriedky</w:t>
      </w:r>
      <w:r w:rsidRPr="00BF2B01">
        <w:rPr>
          <w:sz w:val="24"/>
          <w:szCs w:val="24"/>
        </w:rPr>
        <w:t xml:space="preserve"> čerpan</w:t>
      </w:r>
      <w:r w:rsidRPr="00094048">
        <w:rPr>
          <w:sz w:val="24"/>
          <w:szCs w:val="24"/>
        </w:rPr>
        <w:t xml:space="preserve">é </w:t>
      </w:r>
      <w:r w:rsidRPr="009A4FA9">
        <w:rPr>
          <w:sz w:val="24"/>
          <w:szCs w:val="24"/>
        </w:rPr>
        <w:t xml:space="preserve">v programe Obrana na špeciálu techniku pre Ozbrojené sily SR. </w:t>
      </w:r>
    </w:p>
    <w:p w14:paraId="41182145" w14:textId="77777777" w:rsidR="00060EF5" w:rsidRDefault="00060EF5" w:rsidP="00060EF5">
      <w:pPr>
        <w:spacing w:line="240" w:lineRule="auto"/>
        <w:rPr>
          <w:sz w:val="24"/>
          <w:szCs w:val="24"/>
        </w:rPr>
      </w:pPr>
      <w:r w:rsidRPr="00094048">
        <w:rPr>
          <w:sz w:val="24"/>
          <w:szCs w:val="24"/>
          <w:u w:val="single"/>
        </w:rPr>
        <w:t>Ministerstvo vnútra SR</w:t>
      </w:r>
      <w:r w:rsidRPr="00094048">
        <w:rPr>
          <w:sz w:val="24"/>
          <w:szCs w:val="24"/>
        </w:rPr>
        <w:t xml:space="preserve"> čerpalo výdavky na </w:t>
      </w:r>
      <w:r w:rsidRPr="00094048">
        <w:rPr>
          <w:b/>
          <w:i/>
          <w:sz w:val="24"/>
          <w:szCs w:val="24"/>
        </w:rPr>
        <w:t>nákup osobných automobilov</w:t>
      </w:r>
      <w:r w:rsidRPr="00094048">
        <w:rPr>
          <w:sz w:val="24"/>
          <w:szCs w:val="24"/>
        </w:rPr>
        <w:t xml:space="preserve"> </w:t>
      </w:r>
      <w:r>
        <w:rPr>
          <w:sz w:val="24"/>
          <w:szCs w:val="24"/>
        </w:rPr>
        <w:t>v sume</w:t>
      </w:r>
      <w:r w:rsidRPr="00094048">
        <w:rPr>
          <w:sz w:val="24"/>
          <w:szCs w:val="24"/>
        </w:rPr>
        <w:t xml:space="preserve"> </w:t>
      </w:r>
      <w:r>
        <w:rPr>
          <w:sz w:val="24"/>
          <w:szCs w:val="24"/>
        </w:rPr>
        <w:t>66</w:t>
      </w:r>
      <w:r w:rsidRPr="00094048">
        <w:rPr>
          <w:sz w:val="24"/>
          <w:szCs w:val="24"/>
        </w:rPr>
        <w:t> </w:t>
      </w:r>
      <w:r>
        <w:rPr>
          <w:sz w:val="24"/>
          <w:szCs w:val="24"/>
        </w:rPr>
        <w:t>961</w:t>
      </w:r>
      <w:r w:rsidRPr="00094048">
        <w:rPr>
          <w:sz w:val="24"/>
          <w:szCs w:val="24"/>
        </w:rPr>
        <w:t xml:space="preserve"> tis. eur, </w:t>
      </w:r>
      <w:r w:rsidRPr="0045368E">
        <w:rPr>
          <w:sz w:val="24"/>
          <w:szCs w:val="24"/>
        </w:rPr>
        <w:t xml:space="preserve">išlo o nákup osobných automobilov a príslušenstva a vybavenia na úpravu služobných vozidiel pre potreby výkonu policajných a záchranných zložiek a rôznych útvarov ministerstva. </w:t>
      </w:r>
      <w:r w:rsidRPr="00094048">
        <w:rPr>
          <w:sz w:val="24"/>
          <w:szCs w:val="24"/>
        </w:rPr>
        <w:t>Na</w:t>
      </w:r>
      <w:r w:rsidRPr="00094048">
        <w:rPr>
          <w:b/>
          <w:i/>
          <w:sz w:val="24"/>
          <w:szCs w:val="24"/>
        </w:rPr>
        <w:t xml:space="preserve"> nákup špeciálnych automobilov</w:t>
      </w:r>
      <w:r w:rsidRPr="00094048">
        <w:rPr>
          <w:i/>
          <w:sz w:val="24"/>
          <w:szCs w:val="24"/>
        </w:rPr>
        <w:t xml:space="preserve"> </w:t>
      </w:r>
      <w:r w:rsidRPr="00094048">
        <w:rPr>
          <w:sz w:val="24"/>
          <w:szCs w:val="24"/>
        </w:rPr>
        <w:t>v sume 7 934 tis. eur, išlo o </w:t>
      </w:r>
      <w:r w:rsidRPr="0045368E">
        <w:rPr>
          <w:sz w:val="24"/>
          <w:szCs w:val="24"/>
        </w:rPr>
        <w:t>posilnenie intervenčných kapacít H</w:t>
      </w:r>
      <w:r>
        <w:rPr>
          <w:sz w:val="24"/>
          <w:szCs w:val="24"/>
        </w:rPr>
        <w:t>aZZ, z</w:t>
      </w:r>
      <w:r w:rsidRPr="0045368E">
        <w:rPr>
          <w:sz w:val="24"/>
          <w:szCs w:val="24"/>
        </w:rPr>
        <w:t xml:space="preserve">výšenie efektívnosti manažmentu mimoriadnych udalostí ovplyvnených zmenou klímy, na obstaranie terénnych </w:t>
      </w:r>
      <w:proofErr w:type="spellStart"/>
      <w:r w:rsidRPr="0045368E">
        <w:rPr>
          <w:sz w:val="24"/>
          <w:szCs w:val="24"/>
        </w:rPr>
        <w:t>štvorkoliek</w:t>
      </w:r>
      <w:proofErr w:type="spellEnd"/>
      <w:r w:rsidRPr="0045368E">
        <w:rPr>
          <w:sz w:val="24"/>
          <w:szCs w:val="24"/>
        </w:rPr>
        <w:t>, cisternových automobilových striekačiek na hasenie lesných požiarov</w:t>
      </w:r>
      <w:r>
        <w:rPr>
          <w:sz w:val="24"/>
          <w:szCs w:val="24"/>
        </w:rPr>
        <w:t>.</w:t>
      </w:r>
    </w:p>
    <w:p w14:paraId="55C13553" w14:textId="77777777" w:rsidR="00060EF5" w:rsidRPr="002D69FC" w:rsidRDefault="00060EF5" w:rsidP="00060EF5">
      <w:pPr>
        <w:spacing w:line="240" w:lineRule="auto"/>
        <w:rPr>
          <w:sz w:val="24"/>
          <w:szCs w:val="24"/>
          <w:highlight w:val="yellow"/>
        </w:rPr>
      </w:pPr>
      <w:r w:rsidRPr="00D9506A">
        <w:rPr>
          <w:b/>
          <w:sz w:val="24"/>
          <w:szCs w:val="24"/>
        </w:rPr>
        <w:t>Nákup pozemkov a</w:t>
      </w:r>
      <w:r>
        <w:rPr>
          <w:b/>
          <w:sz w:val="24"/>
          <w:szCs w:val="24"/>
        </w:rPr>
        <w:t xml:space="preserve"> </w:t>
      </w:r>
      <w:r w:rsidRPr="00D9506A">
        <w:rPr>
          <w:b/>
          <w:sz w:val="24"/>
          <w:szCs w:val="24"/>
        </w:rPr>
        <w:t>nehmotných aktív</w:t>
      </w:r>
      <w:r w:rsidRPr="00D9506A">
        <w:rPr>
          <w:sz w:val="24"/>
          <w:szCs w:val="24"/>
        </w:rPr>
        <w:t xml:space="preserve"> predstavoval sumu 148 002 tis. eur (2022: 64 679 tis. eur). Z týchto výdavkov boli najvyššie výdavky na </w:t>
      </w:r>
      <w:r w:rsidRPr="00D9506A">
        <w:rPr>
          <w:b/>
          <w:i/>
          <w:sz w:val="24"/>
          <w:szCs w:val="24"/>
        </w:rPr>
        <w:t xml:space="preserve">nákup </w:t>
      </w:r>
      <w:r w:rsidRPr="00C439C3">
        <w:rPr>
          <w:b/>
          <w:i/>
          <w:sz w:val="24"/>
          <w:szCs w:val="24"/>
        </w:rPr>
        <w:t>softvéru</w:t>
      </w:r>
      <w:r w:rsidRPr="00C439C3">
        <w:rPr>
          <w:sz w:val="24"/>
          <w:szCs w:val="24"/>
        </w:rPr>
        <w:t xml:space="preserve"> 130 042 tis. eur (2022: </w:t>
      </w:r>
      <w:r>
        <w:rPr>
          <w:sz w:val="24"/>
          <w:szCs w:val="24"/>
        </w:rPr>
        <w:t>47</w:t>
      </w:r>
      <w:r w:rsidRPr="00C439C3">
        <w:rPr>
          <w:sz w:val="24"/>
          <w:szCs w:val="24"/>
        </w:rPr>
        <w:t> </w:t>
      </w:r>
      <w:r>
        <w:rPr>
          <w:sz w:val="24"/>
          <w:szCs w:val="24"/>
        </w:rPr>
        <w:t>067</w:t>
      </w:r>
      <w:r w:rsidRPr="00C439C3">
        <w:rPr>
          <w:sz w:val="24"/>
          <w:szCs w:val="24"/>
        </w:rPr>
        <w:t xml:space="preserve"> tis. eur) a </w:t>
      </w:r>
      <w:r w:rsidRPr="00C439C3">
        <w:rPr>
          <w:b/>
          <w:i/>
          <w:sz w:val="24"/>
          <w:szCs w:val="24"/>
        </w:rPr>
        <w:t>nákup licencií</w:t>
      </w:r>
      <w:r w:rsidRPr="00C439C3">
        <w:rPr>
          <w:i/>
          <w:sz w:val="24"/>
          <w:szCs w:val="24"/>
        </w:rPr>
        <w:t xml:space="preserve"> </w:t>
      </w:r>
      <w:r w:rsidRPr="00C439C3">
        <w:rPr>
          <w:sz w:val="24"/>
          <w:szCs w:val="24"/>
        </w:rPr>
        <w:t>7 670 tis. eur (2022: 7 954 tis. eur).</w:t>
      </w:r>
    </w:p>
    <w:p w14:paraId="70278226" w14:textId="4D8E9D57" w:rsidR="00060EF5" w:rsidRPr="004B5478" w:rsidRDefault="00060EF5" w:rsidP="00060EF5">
      <w:pPr>
        <w:spacing w:line="240" w:lineRule="auto"/>
        <w:rPr>
          <w:sz w:val="24"/>
          <w:szCs w:val="24"/>
        </w:rPr>
      </w:pPr>
      <w:r w:rsidRPr="00C439C3">
        <w:rPr>
          <w:sz w:val="24"/>
          <w:szCs w:val="24"/>
        </w:rPr>
        <w:t xml:space="preserve">Výdavky na </w:t>
      </w:r>
      <w:r w:rsidRPr="00C439C3">
        <w:rPr>
          <w:b/>
          <w:i/>
          <w:sz w:val="24"/>
          <w:szCs w:val="24"/>
        </w:rPr>
        <w:t>softvér</w:t>
      </w:r>
      <w:r>
        <w:rPr>
          <w:sz w:val="24"/>
          <w:szCs w:val="24"/>
        </w:rPr>
        <w:t xml:space="preserve"> </w:t>
      </w:r>
      <w:r w:rsidR="002B42D8">
        <w:rPr>
          <w:sz w:val="24"/>
          <w:szCs w:val="24"/>
        </w:rPr>
        <w:t>na</w:t>
      </w:r>
      <w:r>
        <w:rPr>
          <w:sz w:val="24"/>
          <w:szCs w:val="24"/>
        </w:rPr>
        <w:t xml:space="preserve"> </w:t>
      </w:r>
      <w:r w:rsidR="002B42D8">
        <w:rPr>
          <w:sz w:val="24"/>
          <w:szCs w:val="24"/>
          <w:u w:val="single"/>
        </w:rPr>
        <w:t>Ministerstve</w:t>
      </w:r>
      <w:r w:rsidRPr="00C439C3">
        <w:rPr>
          <w:sz w:val="24"/>
          <w:szCs w:val="24"/>
          <w:u w:val="single"/>
        </w:rPr>
        <w:t xml:space="preserve"> vnútra SR</w:t>
      </w:r>
      <w:r w:rsidRPr="00C439C3">
        <w:rPr>
          <w:sz w:val="24"/>
          <w:szCs w:val="24"/>
        </w:rPr>
        <w:t xml:space="preserve"> boli čerpané vo výške </w:t>
      </w:r>
      <w:r>
        <w:rPr>
          <w:sz w:val="24"/>
          <w:szCs w:val="24"/>
        </w:rPr>
        <w:t>26 116</w:t>
      </w:r>
      <w:r w:rsidRPr="00C439C3">
        <w:rPr>
          <w:sz w:val="24"/>
          <w:szCs w:val="24"/>
        </w:rPr>
        <w:t xml:space="preserve"> tis. eur, </w:t>
      </w:r>
      <w:r w:rsidRPr="004B5478">
        <w:rPr>
          <w:sz w:val="24"/>
          <w:szCs w:val="24"/>
        </w:rPr>
        <w:t>najmä na vývoj a implementáciu IT riešení, napr. v rámci operačného programu</w:t>
      </w:r>
      <w:r>
        <w:rPr>
          <w:sz w:val="24"/>
          <w:szCs w:val="24"/>
        </w:rPr>
        <w:t xml:space="preserve"> I</w:t>
      </w:r>
      <w:r w:rsidRPr="004B5478">
        <w:rPr>
          <w:sz w:val="24"/>
          <w:szCs w:val="24"/>
        </w:rPr>
        <w:t xml:space="preserve">ntegrovaná infraštruktúra – racionalizácia prevádzky informačných systémov pomocou </w:t>
      </w:r>
      <w:proofErr w:type="spellStart"/>
      <w:r w:rsidRPr="004B5478">
        <w:rPr>
          <w:sz w:val="24"/>
          <w:szCs w:val="24"/>
        </w:rPr>
        <w:t>eGovernment</w:t>
      </w:r>
      <w:proofErr w:type="spellEnd"/>
      <w:r w:rsidRPr="004B5478">
        <w:rPr>
          <w:sz w:val="24"/>
          <w:szCs w:val="24"/>
        </w:rPr>
        <w:t xml:space="preserve"> </w:t>
      </w:r>
      <w:proofErr w:type="spellStart"/>
      <w:r w:rsidRPr="004B5478">
        <w:rPr>
          <w:sz w:val="24"/>
          <w:szCs w:val="24"/>
        </w:rPr>
        <w:t>cloudu</w:t>
      </w:r>
      <w:proofErr w:type="spellEnd"/>
      <w:r w:rsidRPr="004B5478">
        <w:rPr>
          <w:sz w:val="24"/>
          <w:szCs w:val="24"/>
        </w:rPr>
        <w:t xml:space="preserve">, zvýšenie kapacity vládneho </w:t>
      </w:r>
      <w:proofErr w:type="spellStart"/>
      <w:r w:rsidRPr="004B5478">
        <w:rPr>
          <w:sz w:val="24"/>
          <w:szCs w:val="24"/>
        </w:rPr>
        <w:t>cloudu</w:t>
      </w:r>
      <w:proofErr w:type="spellEnd"/>
      <w:r>
        <w:rPr>
          <w:sz w:val="24"/>
          <w:szCs w:val="24"/>
        </w:rPr>
        <w:t xml:space="preserve">, na </w:t>
      </w:r>
      <w:r w:rsidRPr="004B5478">
        <w:rPr>
          <w:sz w:val="24"/>
          <w:szCs w:val="24"/>
        </w:rPr>
        <w:t xml:space="preserve">nákup </w:t>
      </w:r>
      <w:proofErr w:type="spellStart"/>
      <w:r w:rsidRPr="004B5478">
        <w:rPr>
          <w:sz w:val="24"/>
          <w:szCs w:val="24"/>
        </w:rPr>
        <w:t>softtvérových</w:t>
      </w:r>
      <w:proofErr w:type="spellEnd"/>
      <w:r w:rsidRPr="004B5478">
        <w:rPr>
          <w:sz w:val="24"/>
          <w:szCs w:val="24"/>
        </w:rPr>
        <w:t xml:space="preserve"> licencií, zabezpečenie hardvérovej a softvérovej infraštruktúry napr. v programe Zavedenie služieb </w:t>
      </w:r>
      <w:proofErr w:type="spellStart"/>
      <w:r w:rsidRPr="004B5478">
        <w:rPr>
          <w:sz w:val="24"/>
          <w:szCs w:val="24"/>
        </w:rPr>
        <w:t>Platform</w:t>
      </w:r>
      <w:proofErr w:type="spellEnd"/>
      <w:r w:rsidRPr="004B5478">
        <w:rPr>
          <w:sz w:val="24"/>
          <w:szCs w:val="24"/>
        </w:rPr>
        <w:t xml:space="preserve"> as a</w:t>
      </w:r>
      <w:r>
        <w:rPr>
          <w:sz w:val="24"/>
          <w:szCs w:val="24"/>
        </w:rPr>
        <w:t> </w:t>
      </w:r>
      <w:r w:rsidRPr="004B5478">
        <w:rPr>
          <w:sz w:val="24"/>
          <w:szCs w:val="24"/>
        </w:rPr>
        <w:t>Service</w:t>
      </w:r>
      <w:r>
        <w:rPr>
          <w:sz w:val="24"/>
          <w:szCs w:val="24"/>
        </w:rPr>
        <w:t>.</w:t>
      </w:r>
    </w:p>
    <w:p w14:paraId="36B8D335" w14:textId="77777777" w:rsidR="00060EF5" w:rsidRPr="000127B7" w:rsidRDefault="00060EF5" w:rsidP="00060EF5">
      <w:pPr>
        <w:spacing w:line="240" w:lineRule="auto"/>
        <w:rPr>
          <w:sz w:val="24"/>
          <w:szCs w:val="24"/>
        </w:rPr>
      </w:pPr>
      <w:r w:rsidRPr="000127B7">
        <w:rPr>
          <w:sz w:val="24"/>
          <w:szCs w:val="24"/>
          <w:u w:val="single"/>
        </w:rPr>
        <w:t>Ministerstvo obrany SR</w:t>
      </w:r>
      <w:r w:rsidRPr="000127B7">
        <w:rPr>
          <w:sz w:val="24"/>
          <w:szCs w:val="24"/>
        </w:rPr>
        <w:t xml:space="preserve"> čerpalo výdavky v sume 17 881 tis. eur, najmä na rozvoj komunikačných a informačných systémov na projekty súvisiace s rozvojom Integrovaného informačného systému ministerstva a zabezpečením softvéru pre vojenské účely.</w:t>
      </w:r>
    </w:p>
    <w:p w14:paraId="6B8B6534" w14:textId="353049DD" w:rsidR="00060EF5" w:rsidRDefault="00060EF5" w:rsidP="00060EF5">
      <w:pPr>
        <w:spacing w:line="240" w:lineRule="auto"/>
        <w:rPr>
          <w:sz w:val="24"/>
          <w:szCs w:val="24"/>
        </w:rPr>
      </w:pPr>
      <w:r w:rsidRPr="00C439C3">
        <w:rPr>
          <w:sz w:val="24"/>
          <w:szCs w:val="24"/>
        </w:rPr>
        <w:t xml:space="preserve">Finančné prostriedky </w:t>
      </w:r>
      <w:r w:rsidRPr="00C439C3">
        <w:rPr>
          <w:sz w:val="24"/>
          <w:szCs w:val="24"/>
          <w:u w:val="single"/>
        </w:rPr>
        <w:t>Ministerstva financií SR</w:t>
      </w:r>
      <w:r w:rsidRPr="00C439C3">
        <w:rPr>
          <w:sz w:val="24"/>
          <w:szCs w:val="24"/>
        </w:rPr>
        <w:t xml:space="preserve"> tvorili sumu 1</w:t>
      </w:r>
      <w:r>
        <w:rPr>
          <w:sz w:val="24"/>
          <w:szCs w:val="24"/>
        </w:rPr>
        <w:t>0</w:t>
      </w:r>
      <w:r w:rsidRPr="00C439C3">
        <w:rPr>
          <w:sz w:val="24"/>
          <w:szCs w:val="24"/>
        </w:rPr>
        <w:t> </w:t>
      </w:r>
      <w:r>
        <w:rPr>
          <w:sz w:val="24"/>
          <w:szCs w:val="24"/>
        </w:rPr>
        <w:t>948</w:t>
      </w:r>
      <w:r w:rsidRPr="00C439C3">
        <w:rPr>
          <w:sz w:val="24"/>
          <w:szCs w:val="24"/>
        </w:rPr>
        <w:t xml:space="preserve"> tis. eur, išlo </w:t>
      </w:r>
      <w:r w:rsidR="002B42D8">
        <w:rPr>
          <w:sz w:val="24"/>
          <w:szCs w:val="24"/>
        </w:rPr>
        <w:t xml:space="preserve">najmä </w:t>
      </w:r>
      <w:r w:rsidRPr="00C439C3">
        <w:rPr>
          <w:sz w:val="24"/>
          <w:szCs w:val="24"/>
        </w:rPr>
        <w:t xml:space="preserve">o výdavky na </w:t>
      </w:r>
      <w:r>
        <w:rPr>
          <w:sz w:val="24"/>
          <w:szCs w:val="24"/>
        </w:rPr>
        <w:t xml:space="preserve">projekt </w:t>
      </w:r>
      <w:r w:rsidRPr="00C439C3">
        <w:rPr>
          <w:sz w:val="24"/>
          <w:szCs w:val="24"/>
        </w:rPr>
        <w:t>Centrálny ekonomický systém (</w:t>
      </w:r>
      <w:r>
        <w:rPr>
          <w:sz w:val="24"/>
          <w:szCs w:val="24"/>
        </w:rPr>
        <w:t>8</w:t>
      </w:r>
      <w:r w:rsidRPr="00C439C3">
        <w:rPr>
          <w:sz w:val="24"/>
          <w:szCs w:val="24"/>
        </w:rPr>
        <w:t> 79</w:t>
      </w:r>
      <w:r>
        <w:rPr>
          <w:sz w:val="24"/>
          <w:szCs w:val="24"/>
        </w:rPr>
        <w:t>6</w:t>
      </w:r>
      <w:r w:rsidRPr="00C439C3">
        <w:rPr>
          <w:sz w:val="24"/>
          <w:szCs w:val="24"/>
        </w:rPr>
        <w:t> tis. eur).</w:t>
      </w:r>
    </w:p>
    <w:p w14:paraId="5DB66AA2" w14:textId="77777777" w:rsidR="00060EF5" w:rsidRDefault="00060EF5" w:rsidP="00060EF5">
      <w:pPr>
        <w:spacing w:line="240" w:lineRule="auto"/>
        <w:rPr>
          <w:sz w:val="24"/>
          <w:szCs w:val="24"/>
        </w:rPr>
      </w:pPr>
      <w:r w:rsidRPr="000127B7">
        <w:rPr>
          <w:sz w:val="24"/>
          <w:szCs w:val="24"/>
          <w:u w:val="single"/>
        </w:rPr>
        <w:t>Ministerstvo spravodlivosti SR</w:t>
      </w:r>
      <w:r>
        <w:rPr>
          <w:sz w:val="24"/>
          <w:szCs w:val="24"/>
        </w:rPr>
        <w:t xml:space="preserve"> vykázalo hodnotu výdavkov na softvér 13 692 tis. eur, išlo napr. o</w:t>
      </w:r>
      <w:r w:rsidRPr="000127B7">
        <w:rPr>
          <w:sz w:val="24"/>
          <w:szCs w:val="24"/>
        </w:rPr>
        <w:t xml:space="preserve"> projekt Optimalizácie procesov riadenia a prevádzky </w:t>
      </w:r>
      <w:r>
        <w:rPr>
          <w:sz w:val="24"/>
          <w:szCs w:val="24"/>
        </w:rPr>
        <w:t>a financovanie manažmentu údajov</w:t>
      </w:r>
      <w:r w:rsidRPr="000127B7">
        <w:rPr>
          <w:sz w:val="24"/>
          <w:szCs w:val="24"/>
        </w:rPr>
        <w:t xml:space="preserve"> Z</w:t>
      </w:r>
      <w:r>
        <w:rPr>
          <w:sz w:val="24"/>
          <w:szCs w:val="24"/>
        </w:rPr>
        <w:t xml:space="preserve">boru väzenskej a justičnej stráže. </w:t>
      </w:r>
    </w:p>
    <w:p w14:paraId="3A25B4AD" w14:textId="18BD2AB2" w:rsidR="00060EF5" w:rsidRDefault="00060EF5" w:rsidP="00060EF5">
      <w:pPr>
        <w:spacing w:line="240" w:lineRule="auto"/>
        <w:rPr>
          <w:sz w:val="24"/>
          <w:szCs w:val="24"/>
        </w:rPr>
      </w:pPr>
      <w:r w:rsidRPr="00EF4E43">
        <w:rPr>
          <w:sz w:val="24"/>
          <w:szCs w:val="24"/>
        </w:rPr>
        <w:t xml:space="preserve">Najvýznamnejšie výdavky na </w:t>
      </w:r>
      <w:r w:rsidRPr="00EF4E43">
        <w:rPr>
          <w:b/>
          <w:i/>
          <w:sz w:val="24"/>
          <w:szCs w:val="24"/>
        </w:rPr>
        <w:t>nákup licencií</w:t>
      </w:r>
      <w:r w:rsidRPr="00EF4E43">
        <w:rPr>
          <w:sz w:val="24"/>
          <w:szCs w:val="24"/>
        </w:rPr>
        <w:t xml:space="preserve"> malo </w:t>
      </w:r>
      <w:r w:rsidRPr="00EF4E43">
        <w:rPr>
          <w:sz w:val="24"/>
          <w:szCs w:val="24"/>
          <w:u w:val="single"/>
        </w:rPr>
        <w:t>Ministerstvo p</w:t>
      </w:r>
      <w:r w:rsidR="00115076">
        <w:rPr>
          <w:sz w:val="24"/>
          <w:szCs w:val="24"/>
          <w:u w:val="single"/>
        </w:rPr>
        <w:t xml:space="preserve">ráce, sociálnych vecí a rodiny </w:t>
      </w:r>
      <w:r w:rsidRPr="00EF4E43">
        <w:rPr>
          <w:sz w:val="24"/>
          <w:szCs w:val="24"/>
          <w:u w:val="single"/>
        </w:rPr>
        <w:t xml:space="preserve">SR </w:t>
      </w:r>
      <w:r w:rsidRPr="00EF4E43">
        <w:rPr>
          <w:sz w:val="24"/>
          <w:szCs w:val="24"/>
        </w:rPr>
        <w:t>(3 217 tis. eur)</w:t>
      </w:r>
      <w:r>
        <w:rPr>
          <w:sz w:val="24"/>
          <w:szCs w:val="24"/>
        </w:rPr>
        <w:t xml:space="preserve"> </w:t>
      </w:r>
      <w:r w:rsidRPr="00641675">
        <w:rPr>
          <w:sz w:val="24"/>
          <w:szCs w:val="24"/>
        </w:rPr>
        <w:t>na rozšírenie licenčných oprávnení v oblasti prevádzkovania a rozvoja informačného systému Služieb zamestnanosti</w:t>
      </w:r>
      <w:r>
        <w:rPr>
          <w:sz w:val="24"/>
          <w:szCs w:val="24"/>
        </w:rPr>
        <w:t xml:space="preserve"> a </w:t>
      </w:r>
      <w:r w:rsidRPr="00641675">
        <w:rPr>
          <w:sz w:val="24"/>
          <w:szCs w:val="24"/>
        </w:rPr>
        <w:t>na rozvoj a zvýšenie informačnej a kybernetickej bezpečnosti ministerstva</w:t>
      </w:r>
      <w:r>
        <w:rPr>
          <w:sz w:val="24"/>
          <w:szCs w:val="24"/>
        </w:rPr>
        <w:t>.</w:t>
      </w:r>
    </w:p>
    <w:p w14:paraId="539112EF" w14:textId="77777777" w:rsidR="00060EF5" w:rsidRPr="00FC73AC" w:rsidRDefault="00060EF5" w:rsidP="00060EF5">
      <w:pPr>
        <w:spacing w:line="240" w:lineRule="auto"/>
        <w:rPr>
          <w:sz w:val="24"/>
          <w:szCs w:val="24"/>
        </w:rPr>
      </w:pPr>
      <w:r w:rsidRPr="00094048">
        <w:rPr>
          <w:sz w:val="24"/>
          <w:szCs w:val="24"/>
        </w:rPr>
        <w:t xml:space="preserve">Na </w:t>
      </w:r>
      <w:r w:rsidRPr="00094048">
        <w:rPr>
          <w:b/>
          <w:sz w:val="24"/>
          <w:szCs w:val="24"/>
        </w:rPr>
        <w:t>rekonštrukciu a modernizáciu strojov</w:t>
      </w:r>
      <w:r w:rsidRPr="00094048">
        <w:rPr>
          <w:sz w:val="24"/>
          <w:szCs w:val="24"/>
        </w:rPr>
        <w:t xml:space="preserve"> </w:t>
      </w:r>
      <w:r w:rsidRPr="00094048">
        <w:rPr>
          <w:b/>
          <w:sz w:val="24"/>
          <w:szCs w:val="24"/>
        </w:rPr>
        <w:t>a zariadení, výpočtovej a telekomunikačnej techniky, softvéru a komunikačnej infraštruktúry</w:t>
      </w:r>
      <w:r w:rsidRPr="00094048">
        <w:rPr>
          <w:sz w:val="24"/>
          <w:szCs w:val="24"/>
        </w:rPr>
        <w:t xml:space="preserve"> boli použité kapitálové výdavky</w:t>
      </w:r>
      <w:r w:rsidRPr="00094048">
        <w:rPr>
          <w:i/>
          <w:sz w:val="24"/>
          <w:szCs w:val="24"/>
        </w:rPr>
        <w:t xml:space="preserve"> </w:t>
      </w:r>
      <w:r w:rsidRPr="00094048">
        <w:rPr>
          <w:sz w:val="24"/>
          <w:szCs w:val="24"/>
        </w:rPr>
        <w:t>v hodnote 105 715 tis. eur, z toho jednoznačne prevládali</w:t>
      </w:r>
      <w:r>
        <w:rPr>
          <w:sz w:val="24"/>
          <w:szCs w:val="24"/>
        </w:rPr>
        <w:t>,</w:t>
      </w:r>
      <w:r w:rsidRPr="00094048">
        <w:rPr>
          <w:sz w:val="24"/>
          <w:szCs w:val="24"/>
        </w:rPr>
        <w:t xml:space="preserve"> ako v rozpočte tak aj v</w:t>
      </w:r>
      <w:r>
        <w:rPr>
          <w:sz w:val="24"/>
          <w:szCs w:val="24"/>
        </w:rPr>
        <w:t> </w:t>
      </w:r>
      <w:r w:rsidRPr="00094048">
        <w:rPr>
          <w:sz w:val="24"/>
          <w:szCs w:val="24"/>
        </w:rPr>
        <w:t>plnení</w:t>
      </w:r>
      <w:r>
        <w:rPr>
          <w:sz w:val="24"/>
          <w:szCs w:val="24"/>
        </w:rPr>
        <w:t>,</w:t>
      </w:r>
      <w:r w:rsidRPr="00094048">
        <w:rPr>
          <w:sz w:val="24"/>
          <w:szCs w:val="24"/>
        </w:rPr>
        <w:t xml:space="preserve"> výdavky </w:t>
      </w:r>
      <w:r>
        <w:rPr>
          <w:sz w:val="24"/>
          <w:szCs w:val="24"/>
        </w:rPr>
        <w:t xml:space="preserve">týkajúce sa </w:t>
      </w:r>
      <w:r>
        <w:rPr>
          <w:b/>
          <w:i/>
          <w:sz w:val="24"/>
          <w:szCs w:val="24"/>
        </w:rPr>
        <w:t>softvéru</w:t>
      </w:r>
      <w:r w:rsidRPr="00094048">
        <w:rPr>
          <w:sz w:val="24"/>
          <w:szCs w:val="24"/>
        </w:rPr>
        <w:t xml:space="preserve"> </w:t>
      </w:r>
      <w:r>
        <w:rPr>
          <w:sz w:val="24"/>
          <w:szCs w:val="24"/>
        </w:rPr>
        <w:t>(</w:t>
      </w:r>
      <w:r w:rsidRPr="00094048">
        <w:rPr>
          <w:sz w:val="24"/>
          <w:szCs w:val="24"/>
        </w:rPr>
        <w:t>70 547 tis. eur</w:t>
      </w:r>
      <w:r>
        <w:rPr>
          <w:sz w:val="24"/>
          <w:szCs w:val="24"/>
        </w:rPr>
        <w:t>)</w:t>
      </w:r>
      <w:r w:rsidRPr="00094048">
        <w:rPr>
          <w:sz w:val="24"/>
          <w:szCs w:val="24"/>
        </w:rPr>
        <w:t>. Z pohľadu kapitol boli najvýznamnejšie sumy čerpané v kapitole</w:t>
      </w:r>
      <w:r w:rsidRPr="00094048">
        <w:rPr>
          <w:color w:val="FF0000"/>
          <w:sz w:val="24"/>
          <w:szCs w:val="24"/>
        </w:rPr>
        <w:t xml:space="preserve"> </w:t>
      </w:r>
      <w:r w:rsidRPr="00094048">
        <w:rPr>
          <w:sz w:val="24"/>
          <w:szCs w:val="24"/>
        </w:rPr>
        <w:t>Ministerstva vnútra SR</w:t>
      </w:r>
      <w:r w:rsidRPr="00094048">
        <w:rPr>
          <w:color w:val="FF0000"/>
          <w:sz w:val="24"/>
          <w:szCs w:val="24"/>
        </w:rPr>
        <w:t xml:space="preserve"> </w:t>
      </w:r>
      <w:r w:rsidRPr="00094048">
        <w:rPr>
          <w:sz w:val="24"/>
          <w:szCs w:val="24"/>
        </w:rPr>
        <w:t>(</w:t>
      </w:r>
      <w:r>
        <w:rPr>
          <w:sz w:val="24"/>
          <w:szCs w:val="24"/>
        </w:rPr>
        <w:t>31 887 </w:t>
      </w:r>
      <w:r w:rsidRPr="00094048">
        <w:rPr>
          <w:sz w:val="24"/>
          <w:szCs w:val="24"/>
        </w:rPr>
        <w:t>tis. eur)</w:t>
      </w:r>
      <w:r>
        <w:rPr>
          <w:sz w:val="24"/>
          <w:szCs w:val="24"/>
        </w:rPr>
        <w:t>,</w:t>
      </w:r>
      <w:r w:rsidRPr="00094048">
        <w:rPr>
          <w:sz w:val="24"/>
          <w:szCs w:val="24"/>
        </w:rPr>
        <w:t xml:space="preserve"> Ministerstva financií SR (2</w:t>
      </w:r>
      <w:r>
        <w:rPr>
          <w:sz w:val="24"/>
          <w:szCs w:val="24"/>
        </w:rPr>
        <w:t>5</w:t>
      </w:r>
      <w:r w:rsidRPr="00094048">
        <w:rPr>
          <w:sz w:val="24"/>
          <w:szCs w:val="24"/>
        </w:rPr>
        <w:t> </w:t>
      </w:r>
      <w:r>
        <w:rPr>
          <w:sz w:val="24"/>
          <w:szCs w:val="24"/>
        </w:rPr>
        <w:t>597</w:t>
      </w:r>
      <w:r w:rsidRPr="00094048">
        <w:rPr>
          <w:sz w:val="24"/>
          <w:szCs w:val="24"/>
        </w:rPr>
        <w:t xml:space="preserve"> tis. eur) a Ministerstva investícií, regionálneho rozvoja a informatizácie </w:t>
      </w:r>
      <w:r w:rsidRPr="00FC73AC">
        <w:rPr>
          <w:sz w:val="24"/>
          <w:szCs w:val="24"/>
        </w:rPr>
        <w:t>SR (23 156 tis. eur).</w:t>
      </w:r>
    </w:p>
    <w:p w14:paraId="7F903C9A" w14:textId="3FB44266" w:rsidR="00060EF5" w:rsidRPr="009A368E" w:rsidRDefault="00060EF5" w:rsidP="00060EF5">
      <w:pPr>
        <w:spacing w:line="240" w:lineRule="auto"/>
        <w:rPr>
          <w:sz w:val="24"/>
          <w:szCs w:val="24"/>
        </w:rPr>
      </w:pPr>
      <w:r w:rsidRPr="00DD3348">
        <w:rPr>
          <w:sz w:val="24"/>
          <w:szCs w:val="24"/>
        </w:rPr>
        <w:t xml:space="preserve">Výdavky </w:t>
      </w:r>
      <w:r w:rsidRPr="00DD3348">
        <w:rPr>
          <w:b/>
          <w:i/>
          <w:sz w:val="24"/>
          <w:szCs w:val="24"/>
        </w:rPr>
        <w:t>na rekonštrukciu a modernizáciu softvéru</w:t>
      </w:r>
      <w:r w:rsidRPr="00DD3348">
        <w:rPr>
          <w:sz w:val="24"/>
          <w:szCs w:val="24"/>
        </w:rPr>
        <w:t xml:space="preserve"> čerpalo </w:t>
      </w:r>
      <w:r>
        <w:rPr>
          <w:sz w:val="24"/>
          <w:szCs w:val="24"/>
        </w:rPr>
        <w:t xml:space="preserve">predovšetkým </w:t>
      </w:r>
      <w:r w:rsidRPr="00DD3348">
        <w:rPr>
          <w:sz w:val="24"/>
          <w:szCs w:val="24"/>
          <w:u w:val="single"/>
        </w:rPr>
        <w:t>Ministerstvo financií SR</w:t>
      </w:r>
      <w:r>
        <w:rPr>
          <w:sz w:val="24"/>
          <w:szCs w:val="24"/>
          <w:u w:val="single"/>
        </w:rPr>
        <w:t xml:space="preserve"> (25 081 tis. eur)</w:t>
      </w:r>
      <w:r w:rsidRPr="00DD3348">
        <w:rPr>
          <w:sz w:val="24"/>
          <w:szCs w:val="24"/>
        </w:rPr>
        <w:t xml:space="preserve">, </w:t>
      </w:r>
      <w:r w:rsidRPr="00EB4AB7">
        <w:rPr>
          <w:sz w:val="24"/>
          <w:szCs w:val="24"/>
        </w:rPr>
        <w:t>a to predovšetkým úrad ministerstva napr. na</w:t>
      </w:r>
      <w:r>
        <w:rPr>
          <w:sz w:val="24"/>
          <w:szCs w:val="24"/>
        </w:rPr>
        <w:t xml:space="preserve"> </w:t>
      </w:r>
      <w:r w:rsidRPr="009A368E">
        <w:rPr>
          <w:sz w:val="24"/>
          <w:szCs w:val="24"/>
        </w:rPr>
        <w:t xml:space="preserve">Centrálny elektronický priečinok (5 578 tis. eur), </w:t>
      </w:r>
      <w:r w:rsidRPr="00D9506A">
        <w:rPr>
          <w:sz w:val="24"/>
          <w:szCs w:val="24"/>
        </w:rPr>
        <w:t xml:space="preserve">na projekt </w:t>
      </w:r>
      <w:r>
        <w:rPr>
          <w:sz w:val="24"/>
          <w:szCs w:val="24"/>
        </w:rPr>
        <w:t>Rozvoj jadra informačného systému štátnej pokladnice (1 7</w:t>
      </w:r>
      <w:r w:rsidR="005C3A16">
        <w:rPr>
          <w:sz w:val="24"/>
          <w:szCs w:val="24"/>
        </w:rPr>
        <w:t>09</w:t>
      </w:r>
      <w:r>
        <w:rPr>
          <w:sz w:val="24"/>
          <w:szCs w:val="24"/>
        </w:rPr>
        <w:t> </w:t>
      </w:r>
      <w:r w:rsidRPr="00D9506A">
        <w:rPr>
          <w:sz w:val="24"/>
          <w:szCs w:val="24"/>
        </w:rPr>
        <w:t>tis. eur</w:t>
      </w:r>
      <w:r>
        <w:rPr>
          <w:sz w:val="24"/>
          <w:szCs w:val="24"/>
        </w:rPr>
        <w:t xml:space="preserve">) a </w:t>
      </w:r>
      <w:r w:rsidRPr="00D9506A">
        <w:rPr>
          <w:sz w:val="24"/>
          <w:szCs w:val="24"/>
        </w:rPr>
        <w:t>I</w:t>
      </w:r>
      <w:r>
        <w:rPr>
          <w:sz w:val="24"/>
          <w:szCs w:val="24"/>
        </w:rPr>
        <w:t>ntegrova</w:t>
      </w:r>
      <w:r w:rsidRPr="00D9506A">
        <w:rPr>
          <w:sz w:val="24"/>
          <w:szCs w:val="24"/>
        </w:rPr>
        <w:t xml:space="preserve">ný systém finančnej správy </w:t>
      </w:r>
      <w:r>
        <w:rPr>
          <w:sz w:val="24"/>
          <w:szCs w:val="24"/>
        </w:rPr>
        <w:t xml:space="preserve">– správa daní </w:t>
      </w:r>
      <w:r w:rsidRPr="00D9506A">
        <w:rPr>
          <w:sz w:val="24"/>
          <w:szCs w:val="24"/>
        </w:rPr>
        <w:t xml:space="preserve">(1 729 tis. eur). </w:t>
      </w:r>
      <w:r w:rsidRPr="00D9506A">
        <w:rPr>
          <w:sz w:val="24"/>
          <w:szCs w:val="24"/>
          <w:u w:val="single"/>
        </w:rPr>
        <w:t>Finančné</w:t>
      </w:r>
      <w:r w:rsidRPr="009A368E">
        <w:rPr>
          <w:sz w:val="24"/>
          <w:szCs w:val="24"/>
          <w:u w:val="single"/>
        </w:rPr>
        <w:t xml:space="preserve"> </w:t>
      </w:r>
      <w:r w:rsidRPr="009A368E">
        <w:rPr>
          <w:sz w:val="24"/>
          <w:szCs w:val="24"/>
          <w:u w:val="single"/>
        </w:rPr>
        <w:lastRenderedPageBreak/>
        <w:t>riaditeľstvo SR</w:t>
      </w:r>
      <w:r w:rsidRPr="009A368E">
        <w:rPr>
          <w:sz w:val="24"/>
          <w:szCs w:val="24"/>
        </w:rPr>
        <w:t xml:space="preserve"> čerpalo výdavky najmä na Deklaračný systém (</w:t>
      </w:r>
      <w:r w:rsidR="00FE69FA">
        <w:rPr>
          <w:sz w:val="24"/>
          <w:szCs w:val="24"/>
        </w:rPr>
        <w:t>1</w:t>
      </w:r>
      <w:r w:rsidRPr="009A368E">
        <w:rPr>
          <w:sz w:val="24"/>
          <w:szCs w:val="24"/>
        </w:rPr>
        <w:t> </w:t>
      </w:r>
      <w:r w:rsidR="00FE69FA">
        <w:rPr>
          <w:sz w:val="24"/>
          <w:szCs w:val="24"/>
        </w:rPr>
        <w:t>333</w:t>
      </w:r>
      <w:r>
        <w:rPr>
          <w:sz w:val="24"/>
          <w:szCs w:val="24"/>
        </w:rPr>
        <w:t> tis. eur)</w:t>
      </w:r>
      <w:r w:rsidR="00FE69FA">
        <w:rPr>
          <w:sz w:val="24"/>
          <w:szCs w:val="24"/>
        </w:rPr>
        <w:t>, Tranzitný informačný systém (1</w:t>
      </w:r>
      <w:r w:rsidRPr="009A368E">
        <w:rPr>
          <w:sz w:val="24"/>
          <w:szCs w:val="24"/>
        </w:rPr>
        <w:t> </w:t>
      </w:r>
      <w:r w:rsidR="00FE69FA">
        <w:rPr>
          <w:sz w:val="24"/>
          <w:szCs w:val="24"/>
        </w:rPr>
        <w:t>238</w:t>
      </w:r>
      <w:r>
        <w:rPr>
          <w:sz w:val="24"/>
          <w:szCs w:val="24"/>
        </w:rPr>
        <w:t xml:space="preserve"> tis. eur) </w:t>
      </w:r>
      <w:r w:rsidRPr="00D9506A">
        <w:rPr>
          <w:sz w:val="24"/>
          <w:szCs w:val="24"/>
        </w:rPr>
        <w:t>a</w:t>
      </w:r>
      <w:r>
        <w:rPr>
          <w:sz w:val="24"/>
          <w:szCs w:val="24"/>
        </w:rPr>
        <w:t xml:space="preserve"> na </w:t>
      </w:r>
      <w:r w:rsidRPr="00D9506A">
        <w:rPr>
          <w:sz w:val="24"/>
          <w:szCs w:val="24"/>
        </w:rPr>
        <w:t>Aplikačné programové vybavenie pre Systém pre správu spotrebných nepriamych daní (1 </w:t>
      </w:r>
      <w:r w:rsidR="00FE69FA">
        <w:rPr>
          <w:sz w:val="24"/>
          <w:szCs w:val="24"/>
        </w:rPr>
        <w:t>202</w:t>
      </w:r>
      <w:r w:rsidRPr="00D9506A">
        <w:rPr>
          <w:sz w:val="24"/>
          <w:szCs w:val="24"/>
        </w:rPr>
        <w:t> tis. eur)</w:t>
      </w:r>
      <w:r>
        <w:rPr>
          <w:sz w:val="24"/>
          <w:szCs w:val="24"/>
        </w:rPr>
        <w:t>.</w:t>
      </w:r>
    </w:p>
    <w:p w14:paraId="5B71E1B8" w14:textId="77777777" w:rsidR="00060EF5" w:rsidRPr="009E6D34" w:rsidRDefault="00060EF5" w:rsidP="00060EF5">
      <w:pPr>
        <w:spacing w:line="240" w:lineRule="auto"/>
        <w:rPr>
          <w:sz w:val="24"/>
          <w:szCs w:val="24"/>
        </w:rPr>
      </w:pPr>
      <w:r w:rsidRPr="009A368E">
        <w:rPr>
          <w:sz w:val="24"/>
          <w:szCs w:val="24"/>
        </w:rPr>
        <w:t xml:space="preserve">Výdavky </w:t>
      </w:r>
      <w:r w:rsidRPr="009A368E">
        <w:rPr>
          <w:sz w:val="24"/>
          <w:szCs w:val="24"/>
          <w:u w:val="single"/>
        </w:rPr>
        <w:t>Ministerstva vnútra SR</w:t>
      </w:r>
      <w:r w:rsidRPr="009A368E">
        <w:rPr>
          <w:sz w:val="24"/>
          <w:szCs w:val="24"/>
        </w:rPr>
        <w:t xml:space="preserve"> boli použité na </w:t>
      </w:r>
      <w:r w:rsidRPr="009E6D34">
        <w:rPr>
          <w:sz w:val="24"/>
          <w:szCs w:val="24"/>
        </w:rPr>
        <w:t>rekonštrukciu a modernizáciu už existujúcich softvérov a aplikácií, najmä na upgrade rádiokomunikačnej siete SITNO</w:t>
      </w:r>
      <w:r>
        <w:rPr>
          <w:sz w:val="24"/>
          <w:szCs w:val="24"/>
        </w:rPr>
        <w:t>.</w:t>
      </w:r>
    </w:p>
    <w:p w14:paraId="3AED40C3" w14:textId="77777777" w:rsidR="00060EF5" w:rsidRDefault="00060EF5" w:rsidP="00060EF5">
      <w:pPr>
        <w:spacing w:line="240" w:lineRule="auto"/>
        <w:rPr>
          <w:sz w:val="24"/>
          <w:szCs w:val="24"/>
        </w:rPr>
      </w:pPr>
      <w:r w:rsidRPr="009A368E">
        <w:rPr>
          <w:sz w:val="24"/>
          <w:szCs w:val="24"/>
        </w:rPr>
        <w:t xml:space="preserve">Výdavky </w:t>
      </w:r>
      <w:r w:rsidRPr="009A368E">
        <w:rPr>
          <w:sz w:val="24"/>
          <w:szCs w:val="24"/>
          <w:u w:val="single"/>
        </w:rPr>
        <w:t>Ministerstva investícií, regionálneho rozvoja a informatizácie SR</w:t>
      </w:r>
      <w:r w:rsidRPr="009A368E">
        <w:rPr>
          <w:sz w:val="24"/>
          <w:szCs w:val="24"/>
        </w:rPr>
        <w:t xml:space="preserve"> </w:t>
      </w:r>
      <w:r w:rsidRPr="00E77F59">
        <w:rPr>
          <w:sz w:val="24"/>
          <w:szCs w:val="24"/>
        </w:rPr>
        <w:t>boli čerpané najmä na výdavky spojené s projektom Dátová integrácia – sprístupnenie údajovej základne verejnej správy</w:t>
      </w:r>
      <w:r>
        <w:rPr>
          <w:sz w:val="24"/>
          <w:szCs w:val="24"/>
        </w:rPr>
        <w:t>, ďalej na rozvoj Platformy integrácie údajov (centrálna integračná platforma) a pod.</w:t>
      </w:r>
    </w:p>
    <w:p w14:paraId="3ADA486A" w14:textId="668AFA0D" w:rsidR="00060EF5" w:rsidRDefault="00060EF5" w:rsidP="00060EF5">
      <w:pPr>
        <w:spacing w:line="240" w:lineRule="auto"/>
        <w:rPr>
          <w:sz w:val="24"/>
          <w:szCs w:val="24"/>
        </w:rPr>
      </w:pPr>
      <w:r w:rsidRPr="00F9228D">
        <w:rPr>
          <w:sz w:val="24"/>
          <w:szCs w:val="24"/>
        </w:rPr>
        <w:t xml:space="preserve">Pri </w:t>
      </w:r>
      <w:r w:rsidRPr="00F9228D">
        <w:rPr>
          <w:b/>
          <w:sz w:val="24"/>
          <w:szCs w:val="24"/>
        </w:rPr>
        <w:t>nákupe budov, objektov alebo ich častí</w:t>
      </w:r>
      <w:r w:rsidRPr="00F9228D">
        <w:rPr>
          <w:b/>
          <w:i/>
          <w:sz w:val="24"/>
          <w:szCs w:val="24"/>
        </w:rPr>
        <w:t xml:space="preserve"> </w:t>
      </w:r>
      <w:r w:rsidRPr="00F9228D">
        <w:rPr>
          <w:sz w:val="24"/>
          <w:szCs w:val="24"/>
        </w:rPr>
        <w:t xml:space="preserve">výdavky dosiahli hodnotu 21 671 tis. eur. </w:t>
      </w:r>
      <w:r w:rsidRPr="00F9228D">
        <w:rPr>
          <w:sz w:val="24"/>
          <w:szCs w:val="24"/>
          <w:u w:val="single"/>
        </w:rPr>
        <w:t>Ministerstvo spravodlivosti SR</w:t>
      </w:r>
      <w:r>
        <w:rPr>
          <w:sz w:val="24"/>
          <w:szCs w:val="24"/>
        </w:rPr>
        <w:t xml:space="preserve"> (15</w:t>
      </w:r>
      <w:r w:rsidRPr="00F9228D">
        <w:rPr>
          <w:sz w:val="24"/>
          <w:szCs w:val="24"/>
        </w:rPr>
        <w:t> </w:t>
      </w:r>
      <w:r>
        <w:rPr>
          <w:sz w:val="24"/>
          <w:szCs w:val="24"/>
        </w:rPr>
        <w:t>965</w:t>
      </w:r>
      <w:r w:rsidRPr="00F9228D">
        <w:rPr>
          <w:sz w:val="24"/>
          <w:szCs w:val="24"/>
        </w:rPr>
        <w:t xml:space="preserve"> tis. eur) čerpalo výdavky na </w:t>
      </w:r>
      <w:r>
        <w:rPr>
          <w:sz w:val="24"/>
          <w:szCs w:val="24"/>
        </w:rPr>
        <w:t>o</w:t>
      </w:r>
      <w:r w:rsidRPr="00F9228D">
        <w:rPr>
          <w:sz w:val="24"/>
          <w:szCs w:val="24"/>
        </w:rPr>
        <w:t>bstaranie budovy pre Okresný súd Žilina zo zdroja</w:t>
      </w:r>
      <w:r w:rsidR="00AC4A47">
        <w:rPr>
          <w:sz w:val="24"/>
          <w:szCs w:val="24"/>
        </w:rPr>
        <w:t xml:space="preserve"> pre Plán obnovy a odolnosti SR.</w:t>
      </w:r>
    </w:p>
    <w:p w14:paraId="6318E099" w14:textId="77777777" w:rsidR="00060EF5" w:rsidRPr="002D69FC" w:rsidRDefault="00060EF5" w:rsidP="00060EF5">
      <w:pPr>
        <w:spacing w:line="240" w:lineRule="auto"/>
        <w:rPr>
          <w:sz w:val="24"/>
          <w:szCs w:val="24"/>
          <w:highlight w:val="yellow"/>
          <w:u w:val="single"/>
        </w:rPr>
      </w:pPr>
      <w:r w:rsidRPr="0076026A">
        <w:rPr>
          <w:b/>
          <w:sz w:val="24"/>
          <w:szCs w:val="24"/>
        </w:rPr>
        <w:t>Ostatné kapitálové výdavky</w:t>
      </w:r>
      <w:r w:rsidRPr="0076026A">
        <w:rPr>
          <w:b/>
          <w:i/>
          <w:sz w:val="24"/>
          <w:szCs w:val="24"/>
        </w:rPr>
        <w:t xml:space="preserve"> </w:t>
      </w:r>
      <w:r w:rsidRPr="0076026A">
        <w:rPr>
          <w:sz w:val="24"/>
          <w:szCs w:val="24"/>
        </w:rPr>
        <w:t xml:space="preserve">16 006 tis. eur (2022: 12 778 tis. eur) tvoria predovšetkým výdavky </w:t>
      </w:r>
      <w:r>
        <w:rPr>
          <w:sz w:val="24"/>
          <w:szCs w:val="24"/>
        </w:rPr>
        <w:t xml:space="preserve">na </w:t>
      </w:r>
      <w:r w:rsidRPr="0076026A">
        <w:rPr>
          <w:sz w:val="24"/>
          <w:szCs w:val="24"/>
        </w:rPr>
        <w:t xml:space="preserve">tvorbu hmotných a mobilizačných rezerv </w:t>
      </w:r>
      <w:r w:rsidRPr="0076026A">
        <w:rPr>
          <w:sz w:val="24"/>
          <w:szCs w:val="24"/>
          <w:u w:val="single"/>
        </w:rPr>
        <w:t>Správy štátnych hmotných rezerv SR</w:t>
      </w:r>
      <w:r w:rsidRPr="0076026A">
        <w:rPr>
          <w:sz w:val="24"/>
          <w:szCs w:val="24"/>
        </w:rPr>
        <w:t xml:space="preserve"> </w:t>
      </w:r>
      <w:r>
        <w:rPr>
          <w:sz w:val="24"/>
          <w:szCs w:val="24"/>
        </w:rPr>
        <w:t>v sume 7 868 tis. eur.</w:t>
      </w:r>
    </w:p>
    <w:p w14:paraId="4C6D4278" w14:textId="7E472CA5" w:rsidR="00060EF5" w:rsidRPr="00610499" w:rsidRDefault="00060EF5" w:rsidP="00060EF5">
      <w:pPr>
        <w:spacing w:after="0" w:line="240" w:lineRule="auto"/>
        <w:rPr>
          <w:sz w:val="24"/>
          <w:szCs w:val="24"/>
        </w:rPr>
      </w:pPr>
      <w:r w:rsidRPr="0058648F">
        <w:rPr>
          <w:sz w:val="24"/>
          <w:szCs w:val="24"/>
        </w:rPr>
        <w:t>Z pohľadu rozpočtu roku 2023 bola významná suma kapitálových výdavkov rozpočtovaná vo Všeobecnej pokladničnej správe. Spolu s ostatnými bežnými výdavkami išlo o skupinu výdavkov, ktoré z hľadiska ich prierezového charakteru nebolo možné rozpočtovať na úrovni jednotlivých kapitol alebo o také výdavky, ktoré majú neisté časové vymedzenie alebo výšku ich použitia</w:t>
      </w:r>
      <w:r w:rsidRPr="00610499">
        <w:rPr>
          <w:sz w:val="24"/>
          <w:szCs w:val="24"/>
        </w:rPr>
        <w:t>. Za 5</w:t>
      </w:r>
      <w:r w:rsidR="00C80201">
        <w:rPr>
          <w:sz w:val="24"/>
          <w:szCs w:val="24"/>
        </w:rPr>
        <w:t>54</w:t>
      </w:r>
      <w:r w:rsidRPr="00610499">
        <w:rPr>
          <w:sz w:val="24"/>
          <w:szCs w:val="24"/>
        </w:rPr>
        <w:t> </w:t>
      </w:r>
      <w:r w:rsidR="000F2C29">
        <w:rPr>
          <w:sz w:val="24"/>
          <w:szCs w:val="24"/>
        </w:rPr>
        <w:t>060</w:t>
      </w:r>
      <w:r w:rsidRPr="00610499">
        <w:rPr>
          <w:sz w:val="24"/>
          <w:szCs w:val="24"/>
        </w:rPr>
        <w:t xml:space="preserve"> tis. eur išlo o výdavky na vybrané investície kapitol. Investície a projekty investičného charakteru nad 1 mil. eur prechádzajú v súlade s uznesením vlády</w:t>
      </w:r>
      <w:r w:rsidRPr="00610499">
        <w:rPr>
          <w:sz w:val="24"/>
          <w:szCs w:val="24"/>
        </w:rPr>
        <w:br/>
        <w:t>č. 649/2020 ekonomickým hodnotením Ministerstva financií SR a do rozpočtu príslušných kapitol boli zaradené po zohľadnení rozpočtových možností a po preukázaní ich pripravenosti a ekonomickej návratnosti.</w:t>
      </w:r>
    </w:p>
    <w:p w14:paraId="169BDD39" w14:textId="773FD3F2" w:rsidR="00060EF5" w:rsidRDefault="00060EF5" w:rsidP="00060EF5">
      <w:pPr>
        <w:spacing w:line="240" w:lineRule="auto"/>
        <w:rPr>
          <w:sz w:val="24"/>
          <w:szCs w:val="24"/>
        </w:rPr>
      </w:pPr>
      <w:r w:rsidRPr="005F254D">
        <w:rPr>
          <w:sz w:val="24"/>
          <w:szCs w:val="24"/>
        </w:rPr>
        <w:t>Z uvedeného výdavkového titulu boli po zohľadnení rozpočtových možností a po preukázaní pripravenosti a ekonomickej návratnosti uvoľnené prostriedky jednotlivým kapitolám štátneho rozpočtu v sume 482 518 tis. eur. Z dôvodu zabezpečenia finančného krytia výdavkov vyplývajúcich z požiadaviek iných rezortov boli z uvedeného výdavkového titulu presunuté prostriedky v celkovej sume 51 382 tis. eur</w:t>
      </w:r>
      <w:r>
        <w:rPr>
          <w:sz w:val="24"/>
          <w:szCs w:val="24"/>
        </w:rPr>
        <w:t xml:space="preserve">. </w:t>
      </w:r>
      <w:r w:rsidRPr="005F254D">
        <w:rPr>
          <w:sz w:val="24"/>
          <w:szCs w:val="24"/>
        </w:rPr>
        <w:t>Nevyčerpaný zostatok v sume 60 766 </w:t>
      </w:r>
      <w:r w:rsidR="00AC4A47">
        <w:rPr>
          <w:sz w:val="24"/>
          <w:szCs w:val="24"/>
        </w:rPr>
        <w:t>tis.</w:t>
      </w:r>
      <w:r w:rsidRPr="005F254D">
        <w:rPr>
          <w:sz w:val="24"/>
          <w:szCs w:val="24"/>
        </w:rPr>
        <w:t xml:space="preserve"> eur bol presunutý na použitie v nasledujúcom rozpočtovom roku.</w:t>
      </w:r>
    </w:p>
    <w:p w14:paraId="74828F32" w14:textId="77777777" w:rsidR="00060EF5" w:rsidRPr="0076026A" w:rsidRDefault="00060EF5" w:rsidP="00060EF5">
      <w:pPr>
        <w:spacing w:line="240" w:lineRule="auto"/>
        <w:rPr>
          <w:sz w:val="24"/>
          <w:szCs w:val="24"/>
        </w:rPr>
      </w:pPr>
      <w:r w:rsidRPr="00E64CF3">
        <w:rPr>
          <w:sz w:val="24"/>
          <w:szCs w:val="24"/>
        </w:rPr>
        <w:t xml:space="preserve">Na znížení sa podieľalo aj </w:t>
      </w:r>
      <w:r w:rsidRPr="00E64CF3">
        <w:rPr>
          <w:sz w:val="24"/>
          <w:szCs w:val="24"/>
          <w:u w:val="single"/>
        </w:rPr>
        <w:t>Ministerstvo zdravotníctva SR</w:t>
      </w:r>
      <w:r w:rsidRPr="00E64CF3">
        <w:rPr>
          <w:sz w:val="24"/>
          <w:szCs w:val="24"/>
        </w:rPr>
        <w:t xml:space="preserve"> (o 43</w:t>
      </w:r>
      <w:r>
        <w:rPr>
          <w:sz w:val="24"/>
          <w:szCs w:val="24"/>
        </w:rPr>
        <w:t>6</w:t>
      </w:r>
      <w:r w:rsidRPr="00E64CF3">
        <w:rPr>
          <w:sz w:val="24"/>
          <w:szCs w:val="24"/>
        </w:rPr>
        <w:t> </w:t>
      </w:r>
      <w:r>
        <w:rPr>
          <w:sz w:val="24"/>
          <w:szCs w:val="24"/>
        </w:rPr>
        <w:t>050</w:t>
      </w:r>
      <w:r w:rsidRPr="00E64CF3">
        <w:rPr>
          <w:sz w:val="24"/>
          <w:szCs w:val="24"/>
        </w:rPr>
        <w:t> tis. eur) z dôvodu viazania nevyčerpaných finančných prostriedkov do nasledujúceho rozpočtového roka, išlo o finančné prostriedky z Plánu obnovy a odolnosti.</w:t>
      </w:r>
      <w:r w:rsidRPr="0076026A">
        <w:rPr>
          <w:sz w:val="24"/>
          <w:szCs w:val="24"/>
        </w:rPr>
        <w:t xml:space="preserve"> </w:t>
      </w:r>
    </w:p>
    <w:p w14:paraId="19F8AAB9" w14:textId="25FB6D3C" w:rsidR="00151971" w:rsidRDefault="00151971" w:rsidP="00060EF5">
      <w:pPr>
        <w:spacing w:line="240" w:lineRule="auto"/>
        <w:rPr>
          <w:b/>
          <w:color w:val="5B9BD5" w:themeColor="accent1"/>
          <w:sz w:val="24"/>
          <w:szCs w:val="24"/>
        </w:rPr>
      </w:pPr>
      <w:r w:rsidRPr="0004591C">
        <w:rPr>
          <w:b/>
          <w:color w:val="5B9BD5" w:themeColor="accent1"/>
          <w:sz w:val="24"/>
          <w:szCs w:val="24"/>
        </w:rPr>
        <w:t>Kapitálové transfery</w:t>
      </w:r>
    </w:p>
    <w:p w14:paraId="66AC5C02" w14:textId="68148849" w:rsidR="00060EF5" w:rsidRPr="00E718D2" w:rsidRDefault="00060EF5" w:rsidP="00060EF5">
      <w:pPr>
        <w:spacing w:line="240" w:lineRule="auto"/>
        <w:rPr>
          <w:sz w:val="24"/>
          <w:szCs w:val="24"/>
        </w:rPr>
      </w:pPr>
      <w:r w:rsidRPr="000C12A5">
        <w:rPr>
          <w:b/>
          <w:sz w:val="24"/>
          <w:szCs w:val="24"/>
        </w:rPr>
        <w:t>Kapitálové transfery</w:t>
      </w:r>
      <w:r w:rsidRPr="000C12A5">
        <w:rPr>
          <w:sz w:val="24"/>
          <w:szCs w:val="24"/>
        </w:rPr>
        <w:t xml:space="preserve"> zahŕňajú platby vykonávané s cieľom umožniť príjemcovi nadobudnúť kapitálové aktíva alebo kompenzovať ich poškodenie alebo zničenie. Schválený rozpočet pre rok 202</w:t>
      </w:r>
      <w:r>
        <w:rPr>
          <w:sz w:val="24"/>
          <w:szCs w:val="24"/>
        </w:rPr>
        <w:t>3</w:t>
      </w:r>
      <w:r w:rsidRPr="000C12A5">
        <w:rPr>
          <w:sz w:val="24"/>
          <w:szCs w:val="24"/>
        </w:rPr>
        <w:t xml:space="preserve"> bol stanovený sumou </w:t>
      </w:r>
      <w:r>
        <w:rPr>
          <w:sz w:val="24"/>
          <w:szCs w:val="24"/>
        </w:rPr>
        <w:t>3</w:t>
      </w:r>
      <w:r w:rsidRPr="000C12A5">
        <w:rPr>
          <w:sz w:val="24"/>
          <w:szCs w:val="24"/>
        </w:rPr>
        <w:t> </w:t>
      </w:r>
      <w:r>
        <w:rPr>
          <w:sz w:val="24"/>
          <w:szCs w:val="24"/>
        </w:rPr>
        <w:t>494</w:t>
      </w:r>
      <w:r w:rsidRPr="000C12A5">
        <w:rPr>
          <w:sz w:val="24"/>
          <w:szCs w:val="24"/>
        </w:rPr>
        <w:t> </w:t>
      </w:r>
      <w:r>
        <w:rPr>
          <w:sz w:val="24"/>
          <w:szCs w:val="24"/>
        </w:rPr>
        <w:t>574</w:t>
      </w:r>
      <w:r w:rsidRPr="000C12A5">
        <w:rPr>
          <w:sz w:val="24"/>
          <w:szCs w:val="24"/>
        </w:rPr>
        <w:t xml:space="preserve"> tis. eur. V skutočnosti kapitálové transfery boli vo výške </w:t>
      </w:r>
      <w:r>
        <w:rPr>
          <w:sz w:val="24"/>
          <w:szCs w:val="24"/>
        </w:rPr>
        <w:t>3 281 006 </w:t>
      </w:r>
      <w:r w:rsidRPr="000C12A5">
        <w:rPr>
          <w:sz w:val="24"/>
          <w:szCs w:val="24"/>
        </w:rPr>
        <w:t>tis. eur (202</w:t>
      </w:r>
      <w:r>
        <w:rPr>
          <w:sz w:val="24"/>
          <w:szCs w:val="24"/>
        </w:rPr>
        <w:t>2</w:t>
      </w:r>
      <w:r w:rsidRPr="000C12A5">
        <w:rPr>
          <w:sz w:val="24"/>
          <w:szCs w:val="24"/>
        </w:rPr>
        <w:t xml:space="preserve">: 1 523 995 tis. eur) a tvoria </w:t>
      </w:r>
      <w:r>
        <w:rPr>
          <w:sz w:val="24"/>
          <w:szCs w:val="24"/>
        </w:rPr>
        <w:t>69</w:t>
      </w:r>
      <w:r w:rsidRPr="000C12A5">
        <w:rPr>
          <w:sz w:val="24"/>
          <w:szCs w:val="24"/>
        </w:rPr>
        <w:t>,</w:t>
      </w:r>
      <w:r>
        <w:rPr>
          <w:sz w:val="24"/>
          <w:szCs w:val="24"/>
        </w:rPr>
        <w:t>6</w:t>
      </w:r>
      <w:r w:rsidRPr="000C12A5">
        <w:rPr>
          <w:sz w:val="24"/>
          <w:szCs w:val="24"/>
        </w:rPr>
        <w:t xml:space="preserve"> % z celkových kapitálových výdavkov. </w:t>
      </w:r>
      <w:r w:rsidRPr="00D60E74">
        <w:rPr>
          <w:sz w:val="24"/>
          <w:szCs w:val="24"/>
        </w:rPr>
        <w:t>Z celkovej sumy kapitálových transferov bolo zo zdrojov EŠIF použitých 2 136 522 tis. eur, z</w:t>
      </w:r>
      <w:r w:rsidR="00AC4A47">
        <w:rPr>
          <w:sz w:val="24"/>
          <w:szCs w:val="24"/>
        </w:rPr>
        <w:t>o zdroja ŠR 617 963 tis. eur (</w:t>
      </w:r>
      <w:r w:rsidRPr="00D60E74">
        <w:rPr>
          <w:sz w:val="24"/>
          <w:szCs w:val="24"/>
        </w:rPr>
        <w:t>spolufinancovanie v sume 320 774 tis. eur) z Plánu obnovy a odolnosti 203 625 tis. eur.</w:t>
      </w:r>
    </w:p>
    <w:tbl>
      <w:tblPr>
        <w:tblW w:w="9498" w:type="dxa"/>
        <w:tblCellMar>
          <w:left w:w="70" w:type="dxa"/>
          <w:right w:w="70" w:type="dxa"/>
        </w:tblCellMar>
        <w:tblLook w:val="04A0" w:firstRow="1" w:lastRow="0" w:firstColumn="1" w:lastColumn="0" w:noHBand="0" w:noVBand="1"/>
      </w:tblPr>
      <w:tblGrid>
        <w:gridCol w:w="3120"/>
        <w:gridCol w:w="960"/>
        <w:gridCol w:w="960"/>
        <w:gridCol w:w="960"/>
        <w:gridCol w:w="1260"/>
        <w:gridCol w:w="1260"/>
        <w:gridCol w:w="978"/>
      </w:tblGrid>
      <w:tr w:rsidR="00060EF5" w:rsidRPr="000C12A5" w14:paraId="665CF8DC" w14:textId="77777777" w:rsidTr="00D2560E">
        <w:trPr>
          <w:trHeight w:val="300"/>
        </w:trPr>
        <w:tc>
          <w:tcPr>
            <w:tcW w:w="9498" w:type="dxa"/>
            <w:gridSpan w:val="7"/>
            <w:tcBorders>
              <w:top w:val="nil"/>
              <w:left w:val="nil"/>
              <w:bottom w:val="single" w:sz="8" w:space="0" w:color="auto"/>
              <w:right w:val="nil"/>
            </w:tcBorders>
            <w:shd w:val="clear" w:color="auto" w:fill="auto"/>
            <w:vAlign w:val="center"/>
            <w:hideMark/>
          </w:tcPr>
          <w:p w14:paraId="7D52A3A5" w14:textId="47457A00" w:rsidR="00060EF5" w:rsidRPr="000C12A5" w:rsidRDefault="00060EF5" w:rsidP="004A6E2F">
            <w:pPr>
              <w:spacing w:line="240" w:lineRule="auto"/>
              <w:rPr>
                <w:rFonts w:eastAsia="Times New Roman" w:cs="Times New Roman"/>
                <w:b/>
                <w:bCs/>
                <w:color w:val="5B9BD5"/>
                <w:sz w:val="20"/>
                <w:szCs w:val="20"/>
                <w:lang w:eastAsia="sk-SK"/>
              </w:rPr>
            </w:pPr>
            <w:r w:rsidRPr="000C12A5">
              <w:rPr>
                <w:rFonts w:eastAsia="Times New Roman" w:cs="Times New Roman"/>
                <w:b/>
                <w:bCs/>
                <w:color w:val="5B9BD5"/>
                <w:sz w:val="20"/>
                <w:szCs w:val="20"/>
                <w:lang w:eastAsia="sk-SK"/>
              </w:rPr>
              <w:t xml:space="preserve">Tabuľka </w:t>
            </w:r>
            <w:r>
              <w:rPr>
                <w:rFonts w:eastAsia="Times New Roman" w:cs="Times New Roman"/>
                <w:b/>
                <w:bCs/>
                <w:color w:val="5B9BD5"/>
                <w:sz w:val="20"/>
                <w:szCs w:val="20"/>
                <w:lang w:eastAsia="sk-SK"/>
              </w:rPr>
              <w:t>4</w:t>
            </w:r>
            <w:r w:rsidR="004A6E2F">
              <w:rPr>
                <w:rFonts w:eastAsia="Times New Roman" w:cs="Times New Roman"/>
                <w:b/>
                <w:bCs/>
                <w:color w:val="5B9BD5"/>
                <w:sz w:val="20"/>
                <w:szCs w:val="20"/>
                <w:lang w:eastAsia="sk-SK"/>
              </w:rPr>
              <w:t>1</w:t>
            </w:r>
            <w:r w:rsidRPr="000C12A5">
              <w:rPr>
                <w:rFonts w:eastAsia="Times New Roman" w:cs="Times New Roman"/>
                <w:b/>
                <w:bCs/>
                <w:color w:val="5B9BD5"/>
                <w:sz w:val="20"/>
                <w:szCs w:val="20"/>
                <w:lang w:eastAsia="sk-SK"/>
              </w:rPr>
              <w:t xml:space="preserve"> - Kapitálové transfery </w:t>
            </w:r>
          </w:p>
        </w:tc>
      </w:tr>
      <w:tr w:rsidR="00060EF5" w:rsidRPr="00AC68A6" w14:paraId="5C98DD9B" w14:textId="77777777" w:rsidTr="00D2560E">
        <w:trPr>
          <w:trHeight w:val="288"/>
        </w:trPr>
        <w:tc>
          <w:tcPr>
            <w:tcW w:w="3120" w:type="dxa"/>
            <w:vMerge w:val="restart"/>
            <w:tcBorders>
              <w:top w:val="nil"/>
              <w:left w:val="nil"/>
              <w:bottom w:val="single" w:sz="8" w:space="0" w:color="000000"/>
              <w:right w:val="nil"/>
            </w:tcBorders>
            <w:shd w:val="clear" w:color="auto" w:fill="auto"/>
            <w:vAlign w:val="center"/>
            <w:hideMark/>
          </w:tcPr>
          <w:p w14:paraId="17C3FCF2" w14:textId="77777777" w:rsidR="00060EF5" w:rsidRPr="00AC68A6" w:rsidRDefault="00060EF5" w:rsidP="00D2560E">
            <w:pPr>
              <w:spacing w:after="0" w:line="240" w:lineRule="auto"/>
              <w:jc w:val="lef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v tis. eur</w:t>
            </w:r>
          </w:p>
        </w:tc>
        <w:tc>
          <w:tcPr>
            <w:tcW w:w="960" w:type="dxa"/>
            <w:tcBorders>
              <w:top w:val="nil"/>
              <w:left w:val="nil"/>
              <w:bottom w:val="nil"/>
              <w:right w:val="nil"/>
            </w:tcBorders>
            <w:shd w:val="clear" w:color="auto" w:fill="auto"/>
            <w:vAlign w:val="center"/>
            <w:hideMark/>
          </w:tcPr>
          <w:p w14:paraId="54CB8E67"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2021 S</w:t>
            </w:r>
          </w:p>
        </w:tc>
        <w:tc>
          <w:tcPr>
            <w:tcW w:w="960" w:type="dxa"/>
            <w:tcBorders>
              <w:top w:val="nil"/>
              <w:left w:val="nil"/>
              <w:bottom w:val="nil"/>
              <w:right w:val="nil"/>
            </w:tcBorders>
            <w:shd w:val="clear" w:color="auto" w:fill="auto"/>
            <w:vAlign w:val="center"/>
            <w:hideMark/>
          </w:tcPr>
          <w:p w14:paraId="2022F1FE"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2022 S</w:t>
            </w:r>
          </w:p>
        </w:tc>
        <w:tc>
          <w:tcPr>
            <w:tcW w:w="960" w:type="dxa"/>
            <w:tcBorders>
              <w:top w:val="nil"/>
              <w:left w:val="nil"/>
              <w:bottom w:val="nil"/>
              <w:right w:val="nil"/>
            </w:tcBorders>
            <w:shd w:val="clear" w:color="auto" w:fill="auto"/>
            <w:vAlign w:val="center"/>
            <w:hideMark/>
          </w:tcPr>
          <w:p w14:paraId="77AA5850"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2023 R</w:t>
            </w:r>
          </w:p>
        </w:tc>
        <w:tc>
          <w:tcPr>
            <w:tcW w:w="1260" w:type="dxa"/>
            <w:tcBorders>
              <w:top w:val="nil"/>
              <w:left w:val="nil"/>
              <w:bottom w:val="nil"/>
              <w:right w:val="nil"/>
            </w:tcBorders>
            <w:shd w:val="clear" w:color="auto" w:fill="auto"/>
            <w:vAlign w:val="center"/>
            <w:hideMark/>
          </w:tcPr>
          <w:p w14:paraId="5D0AFA5C"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2023 S</w:t>
            </w:r>
          </w:p>
        </w:tc>
        <w:tc>
          <w:tcPr>
            <w:tcW w:w="1260" w:type="dxa"/>
            <w:tcBorders>
              <w:top w:val="nil"/>
              <w:left w:val="nil"/>
              <w:bottom w:val="nil"/>
              <w:right w:val="nil"/>
            </w:tcBorders>
            <w:shd w:val="clear" w:color="auto" w:fill="auto"/>
            <w:vAlign w:val="center"/>
            <w:hideMark/>
          </w:tcPr>
          <w:p w14:paraId="09337AA9"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Rozdiel</w:t>
            </w:r>
          </w:p>
        </w:tc>
        <w:tc>
          <w:tcPr>
            <w:tcW w:w="978" w:type="dxa"/>
            <w:tcBorders>
              <w:top w:val="nil"/>
              <w:left w:val="nil"/>
              <w:bottom w:val="nil"/>
              <w:right w:val="nil"/>
            </w:tcBorders>
            <w:shd w:val="clear" w:color="auto" w:fill="auto"/>
            <w:vAlign w:val="center"/>
            <w:hideMark/>
          </w:tcPr>
          <w:p w14:paraId="16F553B4"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v %</w:t>
            </w:r>
          </w:p>
        </w:tc>
      </w:tr>
      <w:tr w:rsidR="00060EF5" w:rsidRPr="00AC68A6" w14:paraId="4EAC47AA" w14:textId="77777777" w:rsidTr="00D2560E">
        <w:trPr>
          <w:trHeight w:val="300"/>
        </w:trPr>
        <w:tc>
          <w:tcPr>
            <w:tcW w:w="3120" w:type="dxa"/>
            <w:vMerge/>
            <w:tcBorders>
              <w:top w:val="nil"/>
              <w:left w:val="nil"/>
              <w:bottom w:val="single" w:sz="8" w:space="0" w:color="000000"/>
              <w:right w:val="nil"/>
            </w:tcBorders>
            <w:vAlign w:val="center"/>
            <w:hideMark/>
          </w:tcPr>
          <w:p w14:paraId="6F7A6C81" w14:textId="77777777" w:rsidR="00060EF5" w:rsidRPr="00AC68A6" w:rsidRDefault="00060EF5" w:rsidP="00D2560E">
            <w:pPr>
              <w:spacing w:after="0" w:line="240" w:lineRule="auto"/>
              <w:jc w:val="left"/>
              <w:rPr>
                <w:rFonts w:eastAsia="Times New Roman" w:cs="Times New Roman"/>
                <w:b/>
                <w:bCs/>
                <w:color w:val="000000"/>
                <w:sz w:val="18"/>
                <w:szCs w:val="18"/>
                <w:lang w:eastAsia="sk-SK"/>
              </w:rPr>
            </w:pPr>
          </w:p>
        </w:tc>
        <w:tc>
          <w:tcPr>
            <w:tcW w:w="960" w:type="dxa"/>
            <w:tcBorders>
              <w:top w:val="nil"/>
              <w:left w:val="nil"/>
              <w:bottom w:val="single" w:sz="8" w:space="0" w:color="auto"/>
              <w:right w:val="nil"/>
            </w:tcBorders>
            <w:shd w:val="clear" w:color="auto" w:fill="auto"/>
            <w:vAlign w:val="center"/>
            <w:hideMark/>
          </w:tcPr>
          <w:p w14:paraId="46A191F7"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1</w:t>
            </w:r>
          </w:p>
        </w:tc>
        <w:tc>
          <w:tcPr>
            <w:tcW w:w="960" w:type="dxa"/>
            <w:tcBorders>
              <w:top w:val="nil"/>
              <w:left w:val="nil"/>
              <w:bottom w:val="single" w:sz="8" w:space="0" w:color="auto"/>
              <w:right w:val="nil"/>
            </w:tcBorders>
            <w:shd w:val="clear" w:color="auto" w:fill="auto"/>
            <w:vAlign w:val="center"/>
            <w:hideMark/>
          </w:tcPr>
          <w:p w14:paraId="3F69895F"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w:t>
            </w:r>
          </w:p>
        </w:tc>
        <w:tc>
          <w:tcPr>
            <w:tcW w:w="960" w:type="dxa"/>
            <w:tcBorders>
              <w:top w:val="nil"/>
              <w:left w:val="nil"/>
              <w:bottom w:val="single" w:sz="8" w:space="0" w:color="auto"/>
              <w:right w:val="nil"/>
            </w:tcBorders>
            <w:shd w:val="clear" w:color="auto" w:fill="auto"/>
            <w:vAlign w:val="center"/>
            <w:hideMark/>
          </w:tcPr>
          <w:p w14:paraId="4EC7D6C8"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3</w:t>
            </w:r>
          </w:p>
        </w:tc>
        <w:tc>
          <w:tcPr>
            <w:tcW w:w="1260" w:type="dxa"/>
            <w:tcBorders>
              <w:top w:val="nil"/>
              <w:left w:val="nil"/>
              <w:bottom w:val="single" w:sz="8" w:space="0" w:color="auto"/>
              <w:right w:val="nil"/>
            </w:tcBorders>
            <w:shd w:val="clear" w:color="auto" w:fill="auto"/>
            <w:vAlign w:val="center"/>
            <w:hideMark/>
          </w:tcPr>
          <w:p w14:paraId="63878541"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4</w:t>
            </w:r>
          </w:p>
        </w:tc>
        <w:tc>
          <w:tcPr>
            <w:tcW w:w="1260" w:type="dxa"/>
            <w:tcBorders>
              <w:top w:val="nil"/>
              <w:left w:val="nil"/>
              <w:bottom w:val="single" w:sz="8" w:space="0" w:color="auto"/>
              <w:right w:val="nil"/>
            </w:tcBorders>
            <w:shd w:val="clear" w:color="auto" w:fill="auto"/>
            <w:vAlign w:val="center"/>
            <w:hideMark/>
          </w:tcPr>
          <w:p w14:paraId="610FFD35"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5=4-3</w:t>
            </w:r>
          </w:p>
        </w:tc>
        <w:tc>
          <w:tcPr>
            <w:tcW w:w="978" w:type="dxa"/>
            <w:tcBorders>
              <w:top w:val="nil"/>
              <w:left w:val="nil"/>
              <w:bottom w:val="single" w:sz="8" w:space="0" w:color="auto"/>
              <w:right w:val="nil"/>
            </w:tcBorders>
            <w:shd w:val="clear" w:color="auto" w:fill="auto"/>
            <w:vAlign w:val="center"/>
            <w:hideMark/>
          </w:tcPr>
          <w:p w14:paraId="3D71B7FD"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6=4-3</w:t>
            </w:r>
          </w:p>
        </w:tc>
      </w:tr>
      <w:tr w:rsidR="00060EF5" w:rsidRPr="00AC68A6" w14:paraId="0F857703" w14:textId="77777777" w:rsidTr="00D2560E">
        <w:trPr>
          <w:trHeight w:val="288"/>
        </w:trPr>
        <w:tc>
          <w:tcPr>
            <w:tcW w:w="3120" w:type="dxa"/>
            <w:tcBorders>
              <w:top w:val="nil"/>
              <w:left w:val="nil"/>
              <w:bottom w:val="nil"/>
              <w:right w:val="nil"/>
            </w:tcBorders>
            <w:shd w:val="clear" w:color="auto" w:fill="auto"/>
            <w:vAlign w:val="center"/>
            <w:hideMark/>
          </w:tcPr>
          <w:p w14:paraId="42462E08"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v rámci verejnej správy</w:t>
            </w:r>
          </w:p>
        </w:tc>
        <w:tc>
          <w:tcPr>
            <w:tcW w:w="960" w:type="dxa"/>
            <w:tcBorders>
              <w:top w:val="nil"/>
              <w:left w:val="nil"/>
              <w:bottom w:val="nil"/>
              <w:right w:val="nil"/>
            </w:tcBorders>
            <w:shd w:val="clear" w:color="auto" w:fill="auto"/>
            <w:noWrap/>
            <w:vAlign w:val="center"/>
            <w:hideMark/>
          </w:tcPr>
          <w:p w14:paraId="1960CA9E"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1 141 823</w:t>
            </w:r>
          </w:p>
        </w:tc>
        <w:tc>
          <w:tcPr>
            <w:tcW w:w="960" w:type="dxa"/>
            <w:tcBorders>
              <w:top w:val="nil"/>
              <w:left w:val="nil"/>
              <w:bottom w:val="nil"/>
              <w:right w:val="nil"/>
            </w:tcBorders>
            <w:shd w:val="clear" w:color="auto" w:fill="auto"/>
            <w:noWrap/>
            <w:vAlign w:val="center"/>
            <w:hideMark/>
          </w:tcPr>
          <w:p w14:paraId="3149BD7B"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1 235 685</w:t>
            </w:r>
          </w:p>
        </w:tc>
        <w:tc>
          <w:tcPr>
            <w:tcW w:w="960" w:type="dxa"/>
            <w:tcBorders>
              <w:top w:val="nil"/>
              <w:left w:val="nil"/>
              <w:bottom w:val="nil"/>
              <w:right w:val="nil"/>
            </w:tcBorders>
            <w:shd w:val="clear" w:color="auto" w:fill="auto"/>
            <w:noWrap/>
            <w:vAlign w:val="center"/>
            <w:hideMark/>
          </w:tcPr>
          <w:p w14:paraId="74F6E65B"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623 192</w:t>
            </w:r>
          </w:p>
        </w:tc>
        <w:tc>
          <w:tcPr>
            <w:tcW w:w="1260" w:type="dxa"/>
            <w:tcBorders>
              <w:top w:val="nil"/>
              <w:left w:val="nil"/>
              <w:bottom w:val="nil"/>
              <w:right w:val="nil"/>
            </w:tcBorders>
            <w:shd w:val="clear" w:color="auto" w:fill="auto"/>
            <w:noWrap/>
            <w:vAlign w:val="center"/>
            <w:hideMark/>
          </w:tcPr>
          <w:p w14:paraId="3EF0269F"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2 769 589</w:t>
            </w:r>
          </w:p>
        </w:tc>
        <w:tc>
          <w:tcPr>
            <w:tcW w:w="1260" w:type="dxa"/>
            <w:tcBorders>
              <w:top w:val="nil"/>
              <w:left w:val="nil"/>
              <w:bottom w:val="nil"/>
              <w:right w:val="nil"/>
            </w:tcBorders>
            <w:shd w:val="clear" w:color="auto" w:fill="auto"/>
            <w:noWrap/>
            <w:vAlign w:val="center"/>
            <w:hideMark/>
          </w:tcPr>
          <w:p w14:paraId="1E067B74"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2 146 397</w:t>
            </w:r>
          </w:p>
        </w:tc>
        <w:tc>
          <w:tcPr>
            <w:tcW w:w="978" w:type="dxa"/>
            <w:tcBorders>
              <w:top w:val="nil"/>
              <w:left w:val="nil"/>
              <w:bottom w:val="nil"/>
              <w:right w:val="nil"/>
            </w:tcBorders>
            <w:shd w:val="clear" w:color="auto" w:fill="auto"/>
            <w:noWrap/>
            <w:vAlign w:val="center"/>
            <w:hideMark/>
          </w:tcPr>
          <w:p w14:paraId="79BAD4DF"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344</w:t>
            </w:r>
          </w:p>
        </w:tc>
      </w:tr>
      <w:tr w:rsidR="00060EF5" w:rsidRPr="00AC68A6" w14:paraId="4AB825FC" w14:textId="77777777" w:rsidTr="00D2560E">
        <w:trPr>
          <w:trHeight w:val="288"/>
        </w:trPr>
        <w:tc>
          <w:tcPr>
            <w:tcW w:w="3120" w:type="dxa"/>
            <w:tcBorders>
              <w:top w:val="nil"/>
              <w:left w:val="nil"/>
              <w:bottom w:val="nil"/>
              <w:right w:val="nil"/>
            </w:tcBorders>
            <w:shd w:val="clear" w:color="auto" w:fill="auto"/>
            <w:vAlign w:val="center"/>
            <w:hideMark/>
          </w:tcPr>
          <w:p w14:paraId="0E335548"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 xml:space="preserve">nefinančným subjektom </w:t>
            </w:r>
          </w:p>
        </w:tc>
        <w:tc>
          <w:tcPr>
            <w:tcW w:w="960" w:type="dxa"/>
            <w:tcBorders>
              <w:top w:val="nil"/>
              <w:left w:val="nil"/>
              <w:bottom w:val="nil"/>
              <w:right w:val="nil"/>
            </w:tcBorders>
            <w:shd w:val="clear" w:color="auto" w:fill="auto"/>
            <w:noWrap/>
            <w:vAlign w:val="center"/>
            <w:hideMark/>
          </w:tcPr>
          <w:p w14:paraId="625B5E8E"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222 830</w:t>
            </w:r>
          </w:p>
        </w:tc>
        <w:tc>
          <w:tcPr>
            <w:tcW w:w="960" w:type="dxa"/>
            <w:tcBorders>
              <w:top w:val="nil"/>
              <w:left w:val="nil"/>
              <w:bottom w:val="nil"/>
              <w:right w:val="nil"/>
            </w:tcBorders>
            <w:shd w:val="clear" w:color="auto" w:fill="auto"/>
            <w:noWrap/>
            <w:vAlign w:val="center"/>
            <w:hideMark/>
          </w:tcPr>
          <w:p w14:paraId="66475EA7"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185 732</w:t>
            </w:r>
          </w:p>
        </w:tc>
        <w:tc>
          <w:tcPr>
            <w:tcW w:w="960" w:type="dxa"/>
            <w:tcBorders>
              <w:top w:val="nil"/>
              <w:left w:val="nil"/>
              <w:bottom w:val="nil"/>
              <w:right w:val="nil"/>
            </w:tcBorders>
            <w:shd w:val="clear" w:color="auto" w:fill="auto"/>
            <w:noWrap/>
            <w:vAlign w:val="center"/>
            <w:hideMark/>
          </w:tcPr>
          <w:p w14:paraId="5B070A2D"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2 785 338</w:t>
            </w:r>
          </w:p>
        </w:tc>
        <w:tc>
          <w:tcPr>
            <w:tcW w:w="1260" w:type="dxa"/>
            <w:tcBorders>
              <w:top w:val="nil"/>
              <w:left w:val="nil"/>
              <w:bottom w:val="nil"/>
              <w:right w:val="nil"/>
            </w:tcBorders>
            <w:shd w:val="clear" w:color="auto" w:fill="auto"/>
            <w:noWrap/>
            <w:vAlign w:val="center"/>
            <w:hideMark/>
          </w:tcPr>
          <w:p w14:paraId="381E5490"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414 476</w:t>
            </w:r>
          </w:p>
        </w:tc>
        <w:tc>
          <w:tcPr>
            <w:tcW w:w="1260" w:type="dxa"/>
            <w:tcBorders>
              <w:top w:val="nil"/>
              <w:left w:val="nil"/>
              <w:bottom w:val="nil"/>
              <w:right w:val="nil"/>
            </w:tcBorders>
            <w:shd w:val="clear" w:color="auto" w:fill="auto"/>
            <w:noWrap/>
            <w:vAlign w:val="center"/>
            <w:hideMark/>
          </w:tcPr>
          <w:p w14:paraId="7E9EE795"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-2 370 862</w:t>
            </w:r>
          </w:p>
        </w:tc>
        <w:tc>
          <w:tcPr>
            <w:tcW w:w="978" w:type="dxa"/>
            <w:tcBorders>
              <w:top w:val="nil"/>
              <w:left w:val="nil"/>
              <w:bottom w:val="nil"/>
              <w:right w:val="nil"/>
            </w:tcBorders>
            <w:shd w:val="clear" w:color="auto" w:fill="auto"/>
            <w:noWrap/>
            <w:vAlign w:val="center"/>
            <w:hideMark/>
          </w:tcPr>
          <w:p w14:paraId="31274613"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-85</w:t>
            </w:r>
          </w:p>
        </w:tc>
      </w:tr>
      <w:tr w:rsidR="00060EF5" w:rsidRPr="00AC68A6" w14:paraId="5838D1F7" w14:textId="77777777" w:rsidTr="00D2560E">
        <w:trPr>
          <w:trHeight w:val="528"/>
        </w:trPr>
        <w:tc>
          <w:tcPr>
            <w:tcW w:w="3120" w:type="dxa"/>
            <w:tcBorders>
              <w:top w:val="nil"/>
              <w:left w:val="nil"/>
              <w:bottom w:val="nil"/>
              <w:right w:val="nil"/>
            </w:tcBorders>
            <w:shd w:val="clear" w:color="auto" w:fill="auto"/>
            <w:vAlign w:val="center"/>
            <w:hideMark/>
          </w:tcPr>
          <w:p w14:paraId="159621A5"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lastRenderedPageBreak/>
              <w:t>jednotlivcom a neziskovým právnickým osobám</w:t>
            </w:r>
          </w:p>
        </w:tc>
        <w:tc>
          <w:tcPr>
            <w:tcW w:w="960" w:type="dxa"/>
            <w:tcBorders>
              <w:top w:val="nil"/>
              <w:left w:val="nil"/>
              <w:bottom w:val="nil"/>
              <w:right w:val="nil"/>
            </w:tcBorders>
            <w:shd w:val="clear" w:color="auto" w:fill="auto"/>
            <w:noWrap/>
            <w:vAlign w:val="center"/>
            <w:hideMark/>
          </w:tcPr>
          <w:p w14:paraId="3B957C67"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41 550</w:t>
            </w:r>
          </w:p>
        </w:tc>
        <w:tc>
          <w:tcPr>
            <w:tcW w:w="960" w:type="dxa"/>
            <w:tcBorders>
              <w:top w:val="nil"/>
              <w:left w:val="nil"/>
              <w:bottom w:val="nil"/>
              <w:right w:val="nil"/>
            </w:tcBorders>
            <w:shd w:val="clear" w:color="auto" w:fill="auto"/>
            <w:noWrap/>
            <w:vAlign w:val="center"/>
            <w:hideMark/>
          </w:tcPr>
          <w:p w14:paraId="70D23D81"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28 818</w:t>
            </w:r>
          </w:p>
        </w:tc>
        <w:tc>
          <w:tcPr>
            <w:tcW w:w="960" w:type="dxa"/>
            <w:tcBorders>
              <w:top w:val="nil"/>
              <w:left w:val="nil"/>
              <w:bottom w:val="nil"/>
              <w:right w:val="nil"/>
            </w:tcBorders>
            <w:shd w:val="clear" w:color="auto" w:fill="auto"/>
            <w:noWrap/>
            <w:vAlign w:val="center"/>
            <w:hideMark/>
          </w:tcPr>
          <w:p w14:paraId="4C8E5FA5"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86 044</w:t>
            </w:r>
          </w:p>
        </w:tc>
        <w:tc>
          <w:tcPr>
            <w:tcW w:w="1260" w:type="dxa"/>
            <w:tcBorders>
              <w:top w:val="nil"/>
              <w:left w:val="nil"/>
              <w:bottom w:val="nil"/>
              <w:right w:val="nil"/>
            </w:tcBorders>
            <w:shd w:val="clear" w:color="auto" w:fill="auto"/>
            <w:noWrap/>
            <w:vAlign w:val="center"/>
            <w:hideMark/>
          </w:tcPr>
          <w:p w14:paraId="0CF8186F"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55 358</w:t>
            </w:r>
          </w:p>
        </w:tc>
        <w:tc>
          <w:tcPr>
            <w:tcW w:w="1260" w:type="dxa"/>
            <w:tcBorders>
              <w:top w:val="nil"/>
              <w:left w:val="nil"/>
              <w:bottom w:val="nil"/>
              <w:right w:val="nil"/>
            </w:tcBorders>
            <w:shd w:val="clear" w:color="auto" w:fill="auto"/>
            <w:noWrap/>
            <w:vAlign w:val="center"/>
            <w:hideMark/>
          </w:tcPr>
          <w:p w14:paraId="24CE057C"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-30 686</w:t>
            </w:r>
          </w:p>
        </w:tc>
        <w:tc>
          <w:tcPr>
            <w:tcW w:w="978" w:type="dxa"/>
            <w:tcBorders>
              <w:top w:val="nil"/>
              <w:left w:val="nil"/>
              <w:bottom w:val="nil"/>
              <w:right w:val="nil"/>
            </w:tcBorders>
            <w:shd w:val="clear" w:color="auto" w:fill="auto"/>
            <w:noWrap/>
            <w:vAlign w:val="center"/>
            <w:hideMark/>
          </w:tcPr>
          <w:p w14:paraId="0EB53181"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-36</w:t>
            </w:r>
          </w:p>
        </w:tc>
      </w:tr>
      <w:tr w:rsidR="00060EF5" w:rsidRPr="00AC68A6" w14:paraId="49B4F350" w14:textId="77777777" w:rsidTr="00D2560E">
        <w:trPr>
          <w:trHeight w:val="288"/>
        </w:trPr>
        <w:tc>
          <w:tcPr>
            <w:tcW w:w="3120" w:type="dxa"/>
            <w:tcBorders>
              <w:top w:val="nil"/>
              <w:left w:val="nil"/>
              <w:bottom w:val="nil"/>
              <w:right w:val="nil"/>
            </w:tcBorders>
            <w:shd w:val="clear" w:color="auto" w:fill="auto"/>
            <w:vAlign w:val="center"/>
            <w:hideMark/>
          </w:tcPr>
          <w:p w14:paraId="16DBE21A"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transfery finančným inštitúciám</w:t>
            </w:r>
          </w:p>
        </w:tc>
        <w:tc>
          <w:tcPr>
            <w:tcW w:w="960" w:type="dxa"/>
            <w:tcBorders>
              <w:top w:val="nil"/>
              <w:left w:val="nil"/>
              <w:bottom w:val="nil"/>
              <w:right w:val="nil"/>
            </w:tcBorders>
            <w:shd w:val="clear" w:color="auto" w:fill="auto"/>
            <w:noWrap/>
            <w:vAlign w:val="center"/>
            <w:hideMark/>
          </w:tcPr>
          <w:p w14:paraId="0C7DAC1B"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w:t>
            </w:r>
          </w:p>
        </w:tc>
        <w:tc>
          <w:tcPr>
            <w:tcW w:w="960" w:type="dxa"/>
            <w:tcBorders>
              <w:top w:val="nil"/>
              <w:left w:val="nil"/>
              <w:bottom w:val="nil"/>
              <w:right w:val="nil"/>
            </w:tcBorders>
            <w:shd w:val="clear" w:color="auto" w:fill="auto"/>
            <w:noWrap/>
            <w:vAlign w:val="center"/>
            <w:hideMark/>
          </w:tcPr>
          <w:p w14:paraId="4C40452D"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70 669</w:t>
            </w:r>
          </w:p>
        </w:tc>
        <w:tc>
          <w:tcPr>
            <w:tcW w:w="960" w:type="dxa"/>
            <w:tcBorders>
              <w:top w:val="nil"/>
              <w:left w:val="nil"/>
              <w:bottom w:val="nil"/>
              <w:right w:val="nil"/>
            </w:tcBorders>
            <w:shd w:val="clear" w:color="auto" w:fill="auto"/>
            <w:noWrap/>
            <w:vAlign w:val="center"/>
            <w:hideMark/>
          </w:tcPr>
          <w:p w14:paraId="58AAA01F"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0</w:t>
            </w:r>
          </w:p>
        </w:tc>
        <w:tc>
          <w:tcPr>
            <w:tcW w:w="1260" w:type="dxa"/>
            <w:tcBorders>
              <w:top w:val="nil"/>
              <w:left w:val="nil"/>
              <w:bottom w:val="nil"/>
              <w:right w:val="nil"/>
            </w:tcBorders>
            <w:shd w:val="clear" w:color="auto" w:fill="auto"/>
            <w:noWrap/>
            <w:vAlign w:val="center"/>
            <w:hideMark/>
          </w:tcPr>
          <w:p w14:paraId="24CD97C2"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35 334</w:t>
            </w:r>
          </w:p>
        </w:tc>
        <w:tc>
          <w:tcPr>
            <w:tcW w:w="1260" w:type="dxa"/>
            <w:tcBorders>
              <w:top w:val="nil"/>
              <w:left w:val="nil"/>
              <w:bottom w:val="nil"/>
              <w:right w:val="nil"/>
            </w:tcBorders>
            <w:shd w:val="clear" w:color="auto" w:fill="auto"/>
            <w:noWrap/>
            <w:vAlign w:val="center"/>
            <w:hideMark/>
          </w:tcPr>
          <w:p w14:paraId="7E43C6CA"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35 334</w:t>
            </w:r>
          </w:p>
        </w:tc>
        <w:tc>
          <w:tcPr>
            <w:tcW w:w="978" w:type="dxa"/>
            <w:tcBorders>
              <w:top w:val="nil"/>
              <w:left w:val="nil"/>
              <w:bottom w:val="nil"/>
              <w:right w:val="nil"/>
            </w:tcBorders>
            <w:shd w:val="clear" w:color="auto" w:fill="auto"/>
            <w:noWrap/>
            <w:vAlign w:val="center"/>
            <w:hideMark/>
          </w:tcPr>
          <w:p w14:paraId="092E2102"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0</w:t>
            </w:r>
          </w:p>
        </w:tc>
      </w:tr>
      <w:tr w:rsidR="00060EF5" w:rsidRPr="00AC68A6" w14:paraId="41B244C3" w14:textId="77777777" w:rsidTr="00D2560E">
        <w:trPr>
          <w:trHeight w:val="300"/>
        </w:trPr>
        <w:tc>
          <w:tcPr>
            <w:tcW w:w="3120" w:type="dxa"/>
            <w:tcBorders>
              <w:top w:val="nil"/>
              <w:left w:val="nil"/>
              <w:bottom w:val="single" w:sz="8" w:space="0" w:color="auto"/>
              <w:right w:val="nil"/>
            </w:tcBorders>
            <w:shd w:val="clear" w:color="auto" w:fill="auto"/>
            <w:vAlign w:val="center"/>
            <w:hideMark/>
          </w:tcPr>
          <w:p w14:paraId="3DE716A2"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do zahraničia</w:t>
            </w:r>
          </w:p>
        </w:tc>
        <w:tc>
          <w:tcPr>
            <w:tcW w:w="960" w:type="dxa"/>
            <w:tcBorders>
              <w:top w:val="nil"/>
              <w:left w:val="nil"/>
              <w:bottom w:val="single" w:sz="8" w:space="0" w:color="auto"/>
              <w:right w:val="nil"/>
            </w:tcBorders>
            <w:shd w:val="clear" w:color="auto" w:fill="auto"/>
            <w:noWrap/>
            <w:vAlign w:val="center"/>
            <w:hideMark/>
          </w:tcPr>
          <w:p w14:paraId="655C2522"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8 351</w:t>
            </w:r>
          </w:p>
        </w:tc>
        <w:tc>
          <w:tcPr>
            <w:tcW w:w="960" w:type="dxa"/>
            <w:tcBorders>
              <w:top w:val="nil"/>
              <w:left w:val="nil"/>
              <w:bottom w:val="single" w:sz="8" w:space="0" w:color="auto"/>
              <w:right w:val="nil"/>
            </w:tcBorders>
            <w:shd w:val="clear" w:color="auto" w:fill="auto"/>
            <w:noWrap/>
            <w:vAlign w:val="center"/>
            <w:hideMark/>
          </w:tcPr>
          <w:p w14:paraId="1B0972DA"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3 091</w:t>
            </w:r>
          </w:p>
        </w:tc>
        <w:tc>
          <w:tcPr>
            <w:tcW w:w="960" w:type="dxa"/>
            <w:tcBorders>
              <w:top w:val="nil"/>
              <w:left w:val="nil"/>
              <w:bottom w:val="single" w:sz="8" w:space="0" w:color="auto"/>
              <w:right w:val="nil"/>
            </w:tcBorders>
            <w:shd w:val="clear" w:color="auto" w:fill="auto"/>
            <w:noWrap/>
            <w:vAlign w:val="center"/>
            <w:hideMark/>
          </w:tcPr>
          <w:p w14:paraId="5487E571"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0</w:t>
            </w:r>
          </w:p>
        </w:tc>
        <w:tc>
          <w:tcPr>
            <w:tcW w:w="1260" w:type="dxa"/>
            <w:tcBorders>
              <w:top w:val="nil"/>
              <w:left w:val="nil"/>
              <w:bottom w:val="single" w:sz="8" w:space="0" w:color="auto"/>
              <w:right w:val="nil"/>
            </w:tcBorders>
            <w:shd w:val="clear" w:color="auto" w:fill="auto"/>
            <w:noWrap/>
            <w:vAlign w:val="center"/>
            <w:hideMark/>
          </w:tcPr>
          <w:p w14:paraId="7C7A0E7E"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6 249</w:t>
            </w:r>
          </w:p>
        </w:tc>
        <w:tc>
          <w:tcPr>
            <w:tcW w:w="1260" w:type="dxa"/>
            <w:tcBorders>
              <w:top w:val="nil"/>
              <w:left w:val="nil"/>
              <w:bottom w:val="single" w:sz="8" w:space="0" w:color="auto"/>
              <w:right w:val="nil"/>
            </w:tcBorders>
            <w:shd w:val="clear" w:color="auto" w:fill="auto"/>
            <w:noWrap/>
            <w:vAlign w:val="center"/>
            <w:hideMark/>
          </w:tcPr>
          <w:p w14:paraId="718AEDEF"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6 249</w:t>
            </w:r>
          </w:p>
        </w:tc>
        <w:tc>
          <w:tcPr>
            <w:tcW w:w="978" w:type="dxa"/>
            <w:tcBorders>
              <w:top w:val="nil"/>
              <w:left w:val="nil"/>
              <w:bottom w:val="single" w:sz="8" w:space="0" w:color="auto"/>
              <w:right w:val="nil"/>
            </w:tcBorders>
            <w:shd w:val="clear" w:color="auto" w:fill="auto"/>
            <w:noWrap/>
            <w:vAlign w:val="center"/>
            <w:hideMark/>
          </w:tcPr>
          <w:p w14:paraId="79D6D4E5"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0</w:t>
            </w:r>
          </w:p>
        </w:tc>
      </w:tr>
      <w:tr w:rsidR="00060EF5" w:rsidRPr="00AC68A6" w14:paraId="4CDD16C0" w14:textId="77777777" w:rsidTr="00D2560E">
        <w:trPr>
          <w:trHeight w:val="300"/>
        </w:trPr>
        <w:tc>
          <w:tcPr>
            <w:tcW w:w="3120" w:type="dxa"/>
            <w:tcBorders>
              <w:top w:val="nil"/>
              <w:left w:val="nil"/>
              <w:bottom w:val="single" w:sz="8" w:space="0" w:color="auto"/>
              <w:right w:val="nil"/>
            </w:tcBorders>
            <w:shd w:val="clear" w:color="auto" w:fill="auto"/>
            <w:vAlign w:val="center"/>
            <w:hideMark/>
          </w:tcPr>
          <w:p w14:paraId="6F04B225" w14:textId="77777777" w:rsidR="00060EF5" w:rsidRPr="00AC68A6" w:rsidRDefault="00060EF5" w:rsidP="00D2560E">
            <w:pPr>
              <w:spacing w:after="0" w:line="240" w:lineRule="auto"/>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Spolu</w:t>
            </w:r>
          </w:p>
        </w:tc>
        <w:tc>
          <w:tcPr>
            <w:tcW w:w="960" w:type="dxa"/>
            <w:tcBorders>
              <w:top w:val="nil"/>
              <w:left w:val="nil"/>
              <w:bottom w:val="single" w:sz="8" w:space="0" w:color="auto"/>
              <w:right w:val="nil"/>
            </w:tcBorders>
            <w:shd w:val="clear" w:color="auto" w:fill="auto"/>
            <w:noWrap/>
            <w:vAlign w:val="center"/>
            <w:hideMark/>
          </w:tcPr>
          <w:p w14:paraId="22333652"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1 414 554</w:t>
            </w:r>
          </w:p>
        </w:tc>
        <w:tc>
          <w:tcPr>
            <w:tcW w:w="960" w:type="dxa"/>
            <w:tcBorders>
              <w:top w:val="nil"/>
              <w:left w:val="nil"/>
              <w:bottom w:val="single" w:sz="8" w:space="0" w:color="auto"/>
              <w:right w:val="nil"/>
            </w:tcBorders>
            <w:shd w:val="clear" w:color="auto" w:fill="auto"/>
            <w:noWrap/>
            <w:vAlign w:val="center"/>
            <w:hideMark/>
          </w:tcPr>
          <w:p w14:paraId="21B7AB74"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1 523 995</w:t>
            </w:r>
          </w:p>
        </w:tc>
        <w:tc>
          <w:tcPr>
            <w:tcW w:w="960" w:type="dxa"/>
            <w:tcBorders>
              <w:top w:val="nil"/>
              <w:left w:val="nil"/>
              <w:bottom w:val="single" w:sz="8" w:space="0" w:color="auto"/>
              <w:right w:val="nil"/>
            </w:tcBorders>
            <w:shd w:val="clear" w:color="auto" w:fill="auto"/>
            <w:noWrap/>
            <w:vAlign w:val="center"/>
            <w:hideMark/>
          </w:tcPr>
          <w:p w14:paraId="1E393571"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3 494 574</w:t>
            </w:r>
          </w:p>
        </w:tc>
        <w:tc>
          <w:tcPr>
            <w:tcW w:w="1260" w:type="dxa"/>
            <w:tcBorders>
              <w:top w:val="nil"/>
              <w:left w:val="nil"/>
              <w:bottom w:val="single" w:sz="8" w:space="0" w:color="auto"/>
              <w:right w:val="nil"/>
            </w:tcBorders>
            <w:shd w:val="clear" w:color="auto" w:fill="auto"/>
            <w:noWrap/>
            <w:vAlign w:val="center"/>
            <w:hideMark/>
          </w:tcPr>
          <w:p w14:paraId="13C401A7"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3 281 006</w:t>
            </w:r>
          </w:p>
        </w:tc>
        <w:tc>
          <w:tcPr>
            <w:tcW w:w="1260" w:type="dxa"/>
            <w:tcBorders>
              <w:top w:val="nil"/>
              <w:left w:val="nil"/>
              <w:bottom w:val="single" w:sz="8" w:space="0" w:color="auto"/>
              <w:right w:val="nil"/>
            </w:tcBorders>
            <w:shd w:val="clear" w:color="auto" w:fill="auto"/>
            <w:noWrap/>
            <w:vAlign w:val="center"/>
            <w:hideMark/>
          </w:tcPr>
          <w:p w14:paraId="61800FB9"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-213 568</w:t>
            </w:r>
          </w:p>
        </w:tc>
        <w:tc>
          <w:tcPr>
            <w:tcW w:w="978" w:type="dxa"/>
            <w:tcBorders>
              <w:top w:val="nil"/>
              <w:left w:val="nil"/>
              <w:bottom w:val="single" w:sz="8" w:space="0" w:color="auto"/>
              <w:right w:val="nil"/>
            </w:tcBorders>
            <w:shd w:val="clear" w:color="auto" w:fill="auto"/>
            <w:noWrap/>
            <w:vAlign w:val="center"/>
            <w:hideMark/>
          </w:tcPr>
          <w:p w14:paraId="08E824EC"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-6</w:t>
            </w:r>
          </w:p>
        </w:tc>
      </w:tr>
    </w:tbl>
    <w:p w14:paraId="58BE933F" w14:textId="77777777" w:rsidR="00060EF5" w:rsidRPr="00AC68A6" w:rsidRDefault="00060EF5" w:rsidP="00060EF5">
      <w:pPr>
        <w:tabs>
          <w:tab w:val="left" w:pos="7938"/>
        </w:tabs>
        <w:jc w:val="right"/>
        <w:rPr>
          <w:sz w:val="18"/>
          <w:szCs w:val="18"/>
        </w:rPr>
      </w:pPr>
      <w:r w:rsidRPr="00AC68A6">
        <w:rPr>
          <w:sz w:val="18"/>
          <w:szCs w:val="18"/>
        </w:rPr>
        <w:t>Zdroj: MF SR</w:t>
      </w:r>
    </w:p>
    <w:p w14:paraId="2223CD60" w14:textId="74E2C0B3" w:rsidR="00060EF5" w:rsidRPr="00B7577D" w:rsidRDefault="00060EF5" w:rsidP="00207B7D">
      <w:pPr>
        <w:spacing w:line="240" w:lineRule="auto"/>
        <w:rPr>
          <w:sz w:val="24"/>
          <w:szCs w:val="24"/>
        </w:rPr>
      </w:pPr>
      <w:r w:rsidRPr="00B7577D">
        <w:rPr>
          <w:b/>
          <w:sz w:val="24"/>
          <w:szCs w:val="24"/>
        </w:rPr>
        <w:t>Transfery v rámci verejnej správy</w:t>
      </w:r>
      <w:r w:rsidRPr="00B7577D">
        <w:rPr>
          <w:sz w:val="24"/>
          <w:szCs w:val="24"/>
        </w:rPr>
        <w:t xml:space="preserve"> tvorili 2 769 589 tis. eur (2022: 1 235 685 tis. eur), čo predstavuje až 84,4 % z celkových kapitálových transferov. </w:t>
      </w:r>
      <w:r w:rsidRPr="00B7577D">
        <w:rPr>
          <w:sz w:val="24"/>
          <w:szCs w:val="24"/>
          <w:u w:val="single"/>
        </w:rPr>
        <w:t>Ministerstvo dopravy SR</w:t>
      </w:r>
      <w:r w:rsidRPr="00B7577D">
        <w:rPr>
          <w:sz w:val="24"/>
          <w:szCs w:val="24"/>
        </w:rPr>
        <w:t xml:space="preserve"> poskytlo transfery v celkovej hodnote 1 214 905 tis. eur, a to najmä Národnej diaľničnej spoločnosti (482 116 tis. eur), </w:t>
      </w:r>
      <w:proofErr w:type="spellStart"/>
      <w:r w:rsidR="00837EB9">
        <w:rPr>
          <w:sz w:val="24"/>
          <w:szCs w:val="24"/>
        </w:rPr>
        <w:t>a.s</w:t>
      </w:r>
      <w:proofErr w:type="spellEnd"/>
      <w:r w:rsidR="00837EB9">
        <w:rPr>
          <w:sz w:val="24"/>
          <w:szCs w:val="24"/>
        </w:rPr>
        <w:t>.</w:t>
      </w:r>
      <w:r w:rsidRPr="00B7577D">
        <w:rPr>
          <w:sz w:val="24"/>
          <w:szCs w:val="24"/>
        </w:rPr>
        <w:t>, Železniciam SR (26</w:t>
      </w:r>
      <w:r>
        <w:rPr>
          <w:sz w:val="24"/>
          <w:szCs w:val="24"/>
        </w:rPr>
        <w:t>3</w:t>
      </w:r>
      <w:r w:rsidRPr="00B7577D">
        <w:rPr>
          <w:sz w:val="24"/>
          <w:szCs w:val="24"/>
        </w:rPr>
        <w:t xml:space="preserve"> 154 tis. eur), Železničnej spoločnosti Slovensko, </w:t>
      </w:r>
      <w:proofErr w:type="spellStart"/>
      <w:r w:rsidR="00837EB9">
        <w:rPr>
          <w:sz w:val="24"/>
          <w:szCs w:val="24"/>
        </w:rPr>
        <w:t>a.s</w:t>
      </w:r>
      <w:proofErr w:type="spellEnd"/>
      <w:r w:rsidR="00837EB9">
        <w:rPr>
          <w:sz w:val="24"/>
          <w:szCs w:val="24"/>
        </w:rPr>
        <w:t>.</w:t>
      </w:r>
      <w:r w:rsidRPr="00B7577D">
        <w:rPr>
          <w:sz w:val="24"/>
          <w:szCs w:val="24"/>
        </w:rPr>
        <w:t xml:space="preserve"> (255 </w:t>
      </w:r>
      <w:r>
        <w:rPr>
          <w:sz w:val="24"/>
          <w:szCs w:val="24"/>
        </w:rPr>
        <w:t>42</w:t>
      </w:r>
      <w:r w:rsidRPr="00B7577D">
        <w:rPr>
          <w:sz w:val="24"/>
          <w:szCs w:val="24"/>
        </w:rPr>
        <w:t>0 tis. eur) a dopravným podnikom (176 126 tis. eur).</w:t>
      </w:r>
    </w:p>
    <w:p w14:paraId="528AAE85" w14:textId="38E492D8" w:rsidR="00060EF5" w:rsidRDefault="00060EF5" w:rsidP="00207B7D">
      <w:pPr>
        <w:spacing w:line="240" w:lineRule="auto"/>
        <w:rPr>
          <w:sz w:val="24"/>
          <w:szCs w:val="24"/>
        </w:rPr>
      </w:pPr>
      <w:r w:rsidRPr="00824CF4">
        <w:rPr>
          <w:sz w:val="24"/>
          <w:szCs w:val="24"/>
        </w:rPr>
        <w:t xml:space="preserve">Transfery určené </w:t>
      </w:r>
      <w:r w:rsidRPr="00824CF4">
        <w:rPr>
          <w:b/>
          <w:i/>
          <w:sz w:val="24"/>
          <w:szCs w:val="24"/>
        </w:rPr>
        <w:t xml:space="preserve">Národnej diaľničnej spoločnosti, </w:t>
      </w:r>
      <w:proofErr w:type="spellStart"/>
      <w:r w:rsidR="00837EB9">
        <w:rPr>
          <w:b/>
          <w:i/>
          <w:sz w:val="24"/>
          <w:szCs w:val="24"/>
        </w:rPr>
        <w:t>a.s</w:t>
      </w:r>
      <w:proofErr w:type="spellEnd"/>
      <w:r w:rsidR="00837EB9">
        <w:rPr>
          <w:b/>
          <w:i/>
          <w:sz w:val="24"/>
          <w:szCs w:val="24"/>
        </w:rPr>
        <w:t>.</w:t>
      </w:r>
      <w:r w:rsidRPr="00824CF4">
        <w:rPr>
          <w:sz w:val="24"/>
          <w:szCs w:val="24"/>
        </w:rPr>
        <w:t xml:space="preserve"> boli určené najmä na financovanie prípravy a pokračujúcej výstavby di</w:t>
      </w:r>
      <w:r>
        <w:rPr>
          <w:sz w:val="24"/>
          <w:szCs w:val="24"/>
        </w:rPr>
        <w:t>aľnic a rýchlostných ciest</w:t>
      </w:r>
      <w:r w:rsidRPr="00824CF4">
        <w:rPr>
          <w:sz w:val="24"/>
          <w:szCs w:val="24"/>
        </w:rPr>
        <w:t xml:space="preserve"> na </w:t>
      </w:r>
      <w:r>
        <w:rPr>
          <w:sz w:val="24"/>
          <w:szCs w:val="24"/>
        </w:rPr>
        <w:t>projekt D1 Hubová - Ivachnová (128</w:t>
      </w:r>
      <w:r w:rsidRPr="00824CF4">
        <w:rPr>
          <w:sz w:val="24"/>
          <w:szCs w:val="24"/>
        </w:rPr>
        <w:t> </w:t>
      </w:r>
      <w:r>
        <w:rPr>
          <w:sz w:val="24"/>
          <w:szCs w:val="24"/>
        </w:rPr>
        <w:t>606</w:t>
      </w:r>
      <w:r w:rsidRPr="00824CF4">
        <w:rPr>
          <w:sz w:val="24"/>
          <w:szCs w:val="24"/>
        </w:rPr>
        <w:t> tis. eur), R2 Kriváň – Lovinobaňa (95 323 tis. eur), R4 Prešov – Severný obchvat (32 550</w:t>
      </w:r>
      <w:r>
        <w:rPr>
          <w:sz w:val="24"/>
          <w:szCs w:val="24"/>
        </w:rPr>
        <w:t xml:space="preserve"> tis. eur), </w:t>
      </w:r>
      <w:r w:rsidRPr="00824CF4">
        <w:rPr>
          <w:sz w:val="24"/>
          <w:szCs w:val="24"/>
        </w:rPr>
        <w:t>D1 Lietavská L</w:t>
      </w:r>
      <w:r>
        <w:rPr>
          <w:sz w:val="24"/>
          <w:szCs w:val="24"/>
        </w:rPr>
        <w:t>účka-Višňové-</w:t>
      </w:r>
      <w:proofErr w:type="spellStart"/>
      <w:r>
        <w:rPr>
          <w:sz w:val="24"/>
          <w:szCs w:val="24"/>
        </w:rPr>
        <w:t>Dubná</w:t>
      </w:r>
      <w:proofErr w:type="spellEnd"/>
      <w:r>
        <w:rPr>
          <w:sz w:val="24"/>
          <w:szCs w:val="24"/>
        </w:rPr>
        <w:t xml:space="preserve"> skala (</w:t>
      </w:r>
      <w:r w:rsidRPr="00824CF4">
        <w:rPr>
          <w:sz w:val="24"/>
          <w:szCs w:val="24"/>
        </w:rPr>
        <w:t>31</w:t>
      </w:r>
      <w:r>
        <w:rPr>
          <w:sz w:val="24"/>
          <w:szCs w:val="24"/>
        </w:rPr>
        <w:t> </w:t>
      </w:r>
      <w:r w:rsidRPr="00824CF4">
        <w:rPr>
          <w:sz w:val="24"/>
          <w:szCs w:val="24"/>
        </w:rPr>
        <w:t>50</w:t>
      </w:r>
      <w:r>
        <w:rPr>
          <w:sz w:val="24"/>
          <w:szCs w:val="24"/>
        </w:rPr>
        <w:t>9 tis. eur)</w:t>
      </w:r>
      <w:r w:rsidRPr="00824CF4">
        <w:rPr>
          <w:sz w:val="24"/>
          <w:szCs w:val="24"/>
        </w:rPr>
        <w:t>.</w:t>
      </w:r>
      <w:r>
        <w:rPr>
          <w:sz w:val="24"/>
          <w:szCs w:val="24"/>
        </w:rPr>
        <w:t xml:space="preserve"> </w:t>
      </w:r>
      <w:r w:rsidRPr="00824CF4">
        <w:rPr>
          <w:sz w:val="24"/>
          <w:szCs w:val="24"/>
        </w:rPr>
        <w:t xml:space="preserve">Ďalej boli finančné prostriedky použité na dofinancovanie projektov financovaných z prostriedkov Operačného programu Integrovaná infraštruktúra, a to </w:t>
      </w:r>
      <w:r>
        <w:rPr>
          <w:sz w:val="24"/>
          <w:szCs w:val="24"/>
        </w:rPr>
        <w:t xml:space="preserve">predovšetkým </w:t>
      </w:r>
      <w:r w:rsidRPr="00824CF4">
        <w:rPr>
          <w:sz w:val="24"/>
          <w:szCs w:val="24"/>
        </w:rPr>
        <w:t>projektu D1</w:t>
      </w:r>
      <w:r>
        <w:rPr>
          <w:sz w:val="24"/>
          <w:szCs w:val="24"/>
        </w:rPr>
        <w:t xml:space="preserve"> </w:t>
      </w:r>
      <w:r w:rsidRPr="00824CF4">
        <w:rPr>
          <w:sz w:val="24"/>
          <w:szCs w:val="24"/>
        </w:rPr>
        <w:t xml:space="preserve">Lietavská Lúčka – Višňové – </w:t>
      </w:r>
      <w:proofErr w:type="spellStart"/>
      <w:r w:rsidRPr="00824CF4">
        <w:rPr>
          <w:sz w:val="24"/>
          <w:szCs w:val="24"/>
        </w:rPr>
        <w:t>Dubná</w:t>
      </w:r>
      <w:proofErr w:type="spellEnd"/>
      <w:r w:rsidRPr="00824CF4">
        <w:rPr>
          <w:sz w:val="24"/>
          <w:szCs w:val="24"/>
        </w:rPr>
        <w:t xml:space="preserve"> skala (44 285 tis. eur), R2 Košice, Šaca – Košické Oľšany (2. úsek) v sume 39</w:t>
      </w:r>
      <w:r>
        <w:rPr>
          <w:sz w:val="24"/>
          <w:szCs w:val="24"/>
        </w:rPr>
        <w:t> </w:t>
      </w:r>
      <w:r w:rsidRPr="00824CF4">
        <w:rPr>
          <w:sz w:val="24"/>
          <w:szCs w:val="24"/>
        </w:rPr>
        <w:t>234</w:t>
      </w:r>
      <w:r>
        <w:rPr>
          <w:sz w:val="24"/>
          <w:szCs w:val="24"/>
        </w:rPr>
        <w:t> tis. </w:t>
      </w:r>
      <w:r w:rsidRPr="00824CF4">
        <w:rPr>
          <w:sz w:val="24"/>
          <w:szCs w:val="24"/>
        </w:rPr>
        <w:t>eu</w:t>
      </w:r>
      <w:r>
        <w:rPr>
          <w:sz w:val="24"/>
          <w:szCs w:val="24"/>
        </w:rPr>
        <w:t>r.</w:t>
      </w:r>
    </w:p>
    <w:p w14:paraId="2D560B92" w14:textId="77777777" w:rsidR="00060EF5" w:rsidRDefault="00060EF5" w:rsidP="00207B7D">
      <w:pPr>
        <w:spacing w:line="240" w:lineRule="auto"/>
        <w:rPr>
          <w:sz w:val="24"/>
          <w:szCs w:val="24"/>
        </w:rPr>
      </w:pPr>
      <w:r w:rsidRPr="00B7577D">
        <w:rPr>
          <w:b/>
          <w:i/>
          <w:sz w:val="24"/>
          <w:szCs w:val="24"/>
        </w:rPr>
        <w:t>Železniciam SR</w:t>
      </w:r>
      <w:r w:rsidRPr="00B7577D">
        <w:rPr>
          <w:sz w:val="24"/>
          <w:szCs w:val="24"/>
        </w:rPr>
        <w:t xml:space="preserve"> boli poskytnuté transfery </w:t>
      </w:r>
      <w:r w:rsidRPr="00FD3CA3">
        <w:rPr>
          <w:sz w:val="24"/>
          <w:szCs w:val="24"/>
        </w:rPr>
        <w:t xml:space="preserve">na modernizáciu a rozvoj železničnej dopravnej cesty, vrátane modernizácie a rekonštrukcie železničných priecestí. </w:t>
      </w:r>
    </w:p>
    <w:p w14:paraId="59069F0D" w14:textId="77777777" w:rsidR="00060EF5" w:rsidRPr="003171D1" w:rsidRDefault="00060EF5" w:rsidP="00207B7D">
      <w:pPr>
        <w:spacing w:line="240" w:lineRule="auto"/>
        <w:rPr>
          <w:sz w:val="24"/>
          <w:szCs w:val="24"/>
        </w:rPr>
      </w:pPr>
      <w:r w:rsidRPr="00D66269">
        <w:rPr>
          <w:sz w:val="24"/>
          <w:szCs w:val="24"/>
        </w:rPr>
        <w:t xml:space="preserve">V rámci </w:t>
      </w:r>
      <w:r>
        <w:rPr>
          <w:sz w:val="24"/>
          <w:szCs w:val="24"/>
        </w:rPr>
        <w:t xml:space="preserve">operačného programu </w:t>
      </w:r>
      <w:r w:rsidRPr="00824CF4">
        <w:rPr>
          <w:sz w:val="24"/>
          <w:szCs w:val="24"/>
        </w:rPr>
        <w:t>Integrovaná infraštruktúra</w:t>
      </w:r>
      <w:r w:rsidRPr="00D66269">
        <w:rPr>
          <w:sz w:val="24"/>
          <w:szCs w:val="24"/>
        </w:rPr>
        <w:t xml:space="preserve"> boli po</w:t>
      </w:r>
      <w:r>
        <w:rPr>
          <w:sz w:val="24"/>
          <w:szCs w:val="24"/>
        </w:rPr>
        <w:t>skytnuté finančné prostriedky v </w:t>
      </w:r>
      <w:r w:rsidRPr="00D66269">
        <w:rPr>
          <w:sz w:val="24"/>
          <w:szCs w:val="24"/>
        </w:rPr>
        <w:t>celkovej výške 196</w:t>
      </w:r>
      <w:r>
        <w:rPr>
          <w:sz w:val="24"/>
          <w:szCs w:val="24"/>
        </w:rPr>
        <w:t> </w:t>
      </w:r>
      <w:r w:rsidRPr="00D66269">
        <w:rPr>
          <w:sz w:val="24"/>
          <w:szCs w:val="24"/>
        </w:rPr>
        <w:t>324</w:t>
      </w:r>
      <w:r>
        <w:rPr>
          <w:sz w:val="24"/>
          <w:szCs w:val="24"/>
        </w:rPr>
        <w:t> </w:t>
      </w:r>
      <w:r w:rsidRPr="00D66269">
        <w:rPr>
          <w:sz w:val="24"/>
          <w:szCs w:val="24"/>
        </w:rPr>
        <w:t>tis</w:t>
      </w:r>
      <w:r>
        <w:rPr>
          <w:sz w:val="24"/>
          <w:szCs w:val="24"/>
        </w:rPr>
        <w:t>. </w:t>
      </w:r>
      <w:r w:rsidRPr="00D66269">
        <w:rPr>
          <w:sz w:val="24"/>
          <w:szCs w:val="24"/>
        </w:rPr>
        <w:t>eur, a to na projekty Dostavba zriaďovacej stanice Žilina - Teplička a nadväzujúcej železničnej infraštruktúry v uzle Žilina, I. etapa</w:t>
      </w:r>
      <w:r>
        <w:rPr>
          <w:sz w:val="24"/>
          <w:szCs w:val="24"/>
        </w:rPr>
        <w:t xml:space="preserve"> (66 909 tis. </w:t>
      </w:r>
      <w:r w:rsidRPr="00D66269">
        <w:rPr>
          <w:sz w:val="24"/>
          <w:szCs w:val="24"/>
        </w:rPr>
        <w:t>eur</w:t>
      </w:r>
      <w:r>
        <w:rPr>
          <w:sz w:val="24"/>
          <w:szCs w:val="24"/>
        </w:rPr>
        <w:t>)</w:t>
      </w:r>
      <w:r w:rsidRPr="00D66269">
        <w:rPr>
          <w:sz w:val="24"/>
          <w:szCs w:val="24"/>
        </w:rPr>
        <w:t>, modernizácia koľaje č. 1 a č. 2 ŽST Trn</w:t>
      </w:r>
      <w:r>
        <w:rPr>
          <w:sz w:val="24"/>
          <w:szCs w:val="24"/>
        </w:rPr>
        <w:t>ovec nad Váhom - ŽST Tvrdošovce</w:t>
      </w:r>
      <w:r w:rsidRPr="00D66269">
        <w:rPr>
          <w:sz w:val="24"/>
          <w:szCs w:val="24"/>
        </w:rPr>
        <w:t xml:space="preserve"> </w:t>
      </w:r>
      <w:r>
        <w:rPr>
          <w:sz w:val="24"/>
          <w:szCs w:val="24"/>
        </w:rPr>
        <w:t>(</w:t>
      </w:r>
      <w:r w:rsidRPr="00D66269">
        <w:rPr>
          <w:sz w:val="24"/>
          <w:szCs w:val="24"/>
        </w:rPr>
        <w:t>32</w:t>
      </w:r>
      <w:r>
        <w:rPr>
          <w:sz w:val="24"/>
          <w:szCs w:val="24"/>
        </w:rPr>
        <w:t> </w:t>
      </w:r>
      <w:r w:rsidRPr="00D66269">
        <w:rPr>
          <w:sz w:val="24"/>
          <w:szCs w:val="24"/>
        </w:rPr>
        <w:t>378</w:t>
      </w:r>
      <w:r>
        <w:rPr>
          <w:sz w:val="24"/>
          <w:szCs w:val="24"/>
        </w:rPr>
        <w:t> tis. </w:t>
      </w:r>
      <w:r w:rsidRPr="00D66269">
        <w:rPr>
          <w:sz w:val="24"/>
          <w:szCs w:val="24"/>
        </w:rPr>
        <w:t>eur</w:t>
      </w:r>
      <w:r>
        <w:rPr>
          <w:sz w:val="24"/>
          <w:szCs w:val="24"/>
        </w:rPr>
        <w:t>)</w:t>
      </w:r>
      <w:r w:rsidRPr="00D66269">
        <w:rPr>
          <w:sz w:val="24"/>
          <w:szCs w:val="24"/>
        </w:rPr>
        <w:t>,</w:t>
      </w:r>
      <w:r>
        <w:rPr>
          <w:sz w:val="24"/>
          <w:szCs w:val="24"/>
        </w:rPr>
        <w:t xml:space="preserve"> </w:t>
      </w:r>
      <w:r w:rsidRPr="006964C8">
        <w:rPr>
          <w:sz w:val="24"/>
          <w:szCs w:val="24"/>
        </w:rPr>
        <w:t xml:space="preserve">modernizácia koľaje č. 1 a č. 2 </w:t>
      </w:r>
      <w:r w:rsidRPr="00D66269">
        <w:rPr>
          <w:sz w:val="24"/>
          <w:szCs w:val="24"/>
        </w:rPr>
        <w:t>ŽST Nové Zámky - ŽST</w:t>
      </w:r>
      <w:r w:rsidRPr="006964C8">
        <w:rPr>
          <w:sz w:val="24"/>
          <w:szCs w:val="24"/>
        </w:rPr>
        <w:t xml:space="preserve"> Palárikovo, </w:t>
      </w:r>
      <w:r>
        <w:rPr>
          <w:sz w:val="24"/>
          <w:szCs w:val="24"/>
        </w:rPr>
        <w:t>(</w:t>
      </w:r>
      <w:r w:rsidRPr="006964C8">
        <w:rPr>
          <w:sz w:val="24"/>
          <w:szCs w:val="24"/>
        </w:rPr>
        <w:t>22</w:t>
      </w:r>
      <w:r>
        <w:rPr>
          <w:sz w:val="24"/>
          <w:szCs w:val="24"/>
        </w:rPr>
        <w:t> </w:t>
      </w:r>
      <w:r w:rsidRPr="006964C8">
        <w:rPr>
          <w:sz w:val="24"/>
          <w:szCs w:val="24"/>
        </w:rPr>
        <w:t>948</w:t>
      </w:r>
      <w:r>
        <w:rPr>
          <w:sz w:val="24"/>
          <w:szCs w:val="24"/>
        </w:rPr>
        <w:t> </w:t>
      </w:r>
      <w:r w:rsidRPr="006964C8">
        <w:rPr>
          <w:sz w:val="24"/>
          <w:szCs w:val="24"/>
        </w:rPr>
        <w:t>tis.</w:t>
      </w:r>
      <w:r>
        <w:rPr>
          <w:sz w:val="24"/>
          <w:szCs w:val="24"/>
        </w:rPr>
        <w:t> </w:t>
      </w:r>
      <w:r w:rsidRPr="006964C8">
        <w:rPr>
          <w:sz w:val="24"/>
          <w:szCs w:val="24"/>
        </w:rPr>
        <w:t>eur</w:t>
      </w:r>
      <w:r>
        <w:rPr>
          <w:sz w:val="24"/>
          <w:szCs w:val="24"/>
        </w:rPr>
        <w:t>), e</w:t>
      </w:r>
      <w:r w:rsidRPr="00D66269">
        <w:rPr>
          <w:sz w:val="24"/>
          <w:szCs w:val="24"/>
        </w:rPr>
        <w:t>lektrifikácia trate Haniska pri Košiciach - Moldava nad Bodvo</w:t>
      </w:r>
      <w:r>
        <w:rPr>
          <w:sz w:val="24"/>
          <w:szCs w:val="24"/>
        </w:rPr>
        <w:t>u</w:t>
      </w:r>
      <w:r w:rsidRPr="00D66269">
        <w:rPr>
          <w:sz w:val="24"/>
          <w:szCs w:val="24"/>
        </w:rPr>
        <w:t xml:space="preserve"> </w:t>
      </w:r>
      <w:r>
        <w:rPr>
          <w:sz w:val="24"/>
          <w:szCs w:val="24"/>
        </w:rPr>
        <w:t>(</w:t>
      </w:r>
      <w:r w:rsidRPr="00D66269">
        <w:rPr>
          <w:sz w:val="24"/>
          <w:szCs w:val="24"/>
        </w:rPr>
        <w:t>22 443,40 tis. eur</w:t>
      </w:r>
      <w:r>
        <w:rPr>
          <w:sz w:val="24"/>
          <w:szCs w:val="24"/>
        </w:rPr>
        <w:t>)</w:t>
      </w:r>
      <w:r w:rsidRPr="006964C8">
        <w:rPr>
          <w:sz w:val="24"/>
          <w:szCs w:val="24"/>
        </w:rPr>
        <w:t xml:space="preserve">, </w:t>
      </w:r>
      <w:r>
        <w:rPr>
          <w:sz w:val="24"/>
          <w:szCs w:val="24"/>
        </w:rPr>
        <w:t>m</w:t>
      </w:r>
      <w:r w:rsidRPr="00D66269">
        <w:rPr>
          <w:sz w:val="24"/>
          <w:szCs w:val="24"/>
        </w:rPr>
        <w:t>odernizácia železničnej trate Púchov-Žilina pre traťovú rýchlosť do 160 km/hod</w:t>
      </w:r>
      <w:r>
        <w:rPr>
          <w:sz w:val="24"/>
          <w:szCs w:val="24"/>
        </w:rPr>
        <w:t xml:space="preserve"> (</w:t>
      </w:r>
      <w:r w:rsidRPr="00D66269">
        <w:rPr>
          <w:sz w:val="24"/>
          <w:szCs w:val="24"/>
        </w:rPr>
        <w:t>19</w:t>
      </w:r>
      <w:r>
        <w:rPr>
          <w:sz w:val="24"/>
          <w:szCs w:val="24"/>
        </w:rPr>
        <w:t> </w:t>
      </w:r>
      <w:r w:rsidRPr="00D66269">
        <w:rPr>
          <w:sz w:val="24"/>
          <w:szCs w:val="24"/>
        </w:rPr>
        <w:t>863</w:t>
      </w:r>
      <w:r>
        <w:rPr>
          <w:sz w:val="24"/>
          <w:szCs w:val="24"/>
        </w:rPr>
        <w:t> tis. </w:t>
      </w:r>
      <w:r w:rsidRPr="00D66269">
        <w:rPr>
          <w:sz w:val="24"/>
          <w:szCs w:val="24"/>
        </w:rPr>
        <w:t>eur</w:t>
      </w:r>
      <w:r>
        <w:rPr>
          <w:sz w:val="24"/>
          <w:szCs w:val="24"/>
        </w:rPr>
        <w:t xml:space="preserve">). </w:t>
      </w:r>
      <w:r w:rsidRPr="00FD3CA3">
        <w:rPr>
          <w:sz w:val="24"/>
          <w:szCs w:val="24"/>
        </w:rPr>
        <w:t>V rámci ŠR boli poskytnuté finančné prostriedky v celkovej sume 66 829 tis. </w:t>
      </w:r>
      <w:r>
        <w:rPr>
          <w:sz w:val="24"/>
          <w:szCs w:val="24"/>
        </w:rPr>
        <w:t>eur. V</w:t>
      </w:r>
      <w:r w:rsidRPr="00D66269">
        <w:rPr>
          <w:sz w:val="24"/>
          <w:szCs w:val="24"/>
        </w:rPr>
        <w:t xml:space="preserve"> rámci Nástroja na prepájanie Európy (CEF) boli výdavky čerpané hlavne na </w:t>
      </w:r>
      <w:r>
        <w:rPr>
          <w:sz w:val="24"/>
          <w:szCs w:val="24"/>
        </w:rPr>
        <w:t>m</w:t>
      </w:r>
      <w:r w:rsidRPr="00D66269">
        <w:rPr>
          <w:sz w:val="24"/>
          <w:szCs w:val="24"/>
        </w:rPr>
        <w:t>odernizáci</w:t>
      </w:r>
      <w:r>
        <w:rPr>
          <w:sz w:val="24"/>
          <w:szCs w:val="24"/>
        </w:rPr>
        <w:t>u</w:t>
      </w:r>
      <w:r w:rsidRPr="00D66269">
        <w:rPr>
          <w:sz w:val="24"/>
          <w:szCs w:val="24"/>
        </w:rPr>
        <w:t xml:space="preserve"> železničného úseku Váh - Varín - Strečno </w:t>
      </w:r>
      <w:r>
        <w:rPr>
          <w:sz w:val="24"/>
          <w:szCs w:val="24"/>
        </w:rPr>
        <w:t>(15 452 </w:t>
      </w:r>
      <w:r w:rsidRPr="00D66269">
        <w:rPr>
          <w:sz w:val="24"/>
          <w:szCs w:val="24"/>
        </w:rPr>
        <w:t>tis.</w:t>
      </w:r>
      <w:r>
        <w:rPr>
          <w:sz w:val="24"/>
          <w:szCs w:val="24"/>
        </w:rPr>
        <w:t> </w:t>
      </w:r>
      <w:r w:rsidRPr="00D66269">
        <w:rPr>
          <w:sz w:val="24"/>
          <w:szCs w:val="24"/>
        </w:rPr>
        <w:t>eur</w:t>
      </w:r>
      <w:r>
        <w:rPr>
          <w:sz w:val="24"/>
          <w:szCs w:val="24"/>
        </w:rPr>
        <w:t xml:space="preserve">), </w:t>
      </w:r>
      <w:r w:rsidRPr="00D66269">
        <w:rPr>
          <w:sz w:val="24"/>
          <w:szCs w:val="24"/>
        </w:rPr>
        <w:t>Modernizácia železničnej trate Žilina – Košice, úsek L</w:t>
      </w:r>
      <w:r>
        <w:rPr>
          <w:sz w:val="24"/>
          <w:szCs w:val="24"/>
        </w:rPr>
        <w:t>iptovský Mikuláš – Poprad Tatry</w:t>
      </w:r>
      <w:r w:rsidRPr="00D66269">
        <w:rPr>
          <w:sz w:val="24"/>
          <w:szCs w:val="24"/>
        </w:rPr>
        <w:t xml:space="preserve">, 1.etapa </w:t>
      </w:r>
      <w:r>
        <w:rPr>
          <w:sz w:val="24"/>
          <w:szCs w:val="24"/>
        </w:rPr>
        <w:t>(</w:t>
      </w:r>
      <w:r w:rsidRPr="00D66269">
        <w:rPr>
          <w:sz w:val="24"/>
          <w:szCs w:val="24"/>
        </w:rPr>
        <w:t>12 </w:t>
      </w:r>
      <w:r w:rsidRPr="003171D1">
        <w:rPr>
          <w:sz w:val="24"/>
          <w:szCs w:val="24"/>
        </w:rPr>
        <w:t xml:space="preserve">103 tis. eur). </w:t>
      </w:r>
    </w:p>
    <w:p w14:paraId="6E10ACB5" w14:textId="4F2EB56A" w:rsidR="00060EF5" w:rsidRPr="003171D1" w:rsidRDefault="00060EF5" w:rsidP="00060EF5">
      <w:pPr>
        <w:spacing w:line="240" w:lineRule="auto"/>
        <w:rPr>
          <w:sz w:val="24"/>
          <w:szCs w:val="24"/>
        </w:rPr>
      </w:pPr>
      <w:r w:rsidRPr="003171D1">
        <w:rPr>
          <w:b/>
          <w:i/>
          <w:sz w:val="24"/>
          <w:szCs w:val="24"/>
        </w:rPr>
        <w:t xml:space="preserve">Železničnej spoločnosti Slovensko, </w:t>
      </w:r>
      <w:proofErr w:type="spellStart"/>
      <w:r w:rsidR="00837EB9">
        <w:rPr>
          <w:b/>
          <w:i/>
          <w:sz w:val="24"/>
          <w:szCs w:val="24"/>
        </w:rPr>
        <w:t>a.s</w:t>
      </w:r>
      <w:proofErr w:type="spellEnd"/>
      <w:r w:rsidR="00837EB9">
        <w:rPr>
          <w:b/>
          <w:i/>
          <w:sz w:val="24"/>
          <w:szCs w:val="24"/>
        </w:rPr>
        <w:t>.</w:t>
      </w:r>
      <w:r w:rsidRPr="003171D1">
        <w:rPr>
          <w:i/>
          <w:sz w:val="24"/>
          <w:szCs w:val="24"/>
        </w:rPr>
        <w:t xml:space="preserve"> </w:t>
      </w:r>
      <w:r w:rsidRPr="003171D1">
        <w:rPr>
          <w:sz w:val="24"/>
          <w:szCs w:val="24"/>
        </w:rPr>
        <w:t>sa poskytli finančné prostriedky EÚ a príslušné spolufinancovanie zo ŠR v rámci Operačného programu Integrovaná infraštruktúra, najmä na modernizáciu vozového parku železničných koľajových vozidiel v súhrnnej výške 255 400 tis. eur v rámci prioritnej osi č. 1- Železničná infraštruktúra (TEN-T CORE) a obnovu mobilných prostriedkov a prioritnej osi č. 5- Železničná infraštruktúra a obnova mobilných prostriedkov.</w:t>
      </w:r>
    </w:p>
    <w:p w14:paraId="10BE86AE" w14:textId="77777777" w:rsidR="00060EF5" w:rsidRPr="002D69FC" w:rsidRDefault="00060EF5" w:rsidP="00060EF5">
      <w:pPr>
        <w:spacing w:line="240" w:lineRule="auto"/>
        <w:rPr>
          <w:sz w:val="24"/>
          <w:szCs w:val="24"/>
          <w:highlight w:val="yellow"/>
        </w:rPr>
      </w:pPr>
      <w:r w:rsidRPr="00B7577D">
        <w:rPr>
          <w:sz w:val="24"/>
          <w:szCs w:val="24"/>
          <w:u w:val="single"/>
        </w:rPr>
        <w:t>Kapitálové transfery územnej samospráv</w:t>
      </w:r>
      <w:r>
        <w:rPr>
          <w:sz w:val="24"/>
          <w:szCs w:val="24"/>
          <w:u w:val="single"/>
        </w:rPr>
        <w:t>y</w:t>
      </w:r>
      <w:r w:rsidRPr="00B7577D">
        <w:rPr>
          <w:sz w:val="24"/>
          <w:szCs w:val="24"/>
          <w:u w:val="single"/>
        </w:rPr>
        <w:t xml:space="preserve"> tvoria druhú najväčšiu skupinu výdavkov z tejto skupiny.</w:t>
      </w:r>
      <w:r w:rsidRPr="00B7577D">
        <w:rPr>
          <w:sz w:val="24"/>
          <w:szCs w:val="24"/>
        </w:rPr>
        <w:t xml:space="preserve"> </w:t>
      </w:r>
      <w:r w:rsidRPr="00B7577D">
        <w:rPr>
          <w:b/>
          <w:i/>
          <w:sz w:val="24"/>
          <w:szCs w:val="24"/>
        </w:rPr>
        <w:t>Obciam</w:t>
      </w:r>
      <w:r w:rsidRPr="00B7577D">
        <w:rPr>
          <w:sz w:val="24"/>
          <w:szCs w:val="24"/>
        </w:rPr>
        <w:t xml:space="preserve"> bolo poskytnutých 577</w:t>
      </w:r>
      <w:r>
        <w:rPr>
          <w:sz w:val="24"/>
          <w:szCs w:val="24"/>
        </w:rPr>
        <w:t> </w:t>
      </w:r>
      <w:r w:rsidRPr="00B7577D">
        <w:rPr>
          <w:sz w:val="24"/>
          <w:szCs w:val="24"/>
        </w:rPr>
        <w:t>263</w:t>
      </w:r>
      <w:r>
        <w:rPr>
          <w:sz w:val="24"/>
          <w:szCs w:val="24"/>
        </w:rPr>
        <w:t> </w:t>
      </w:r>
      <w:r w:rsidRPr="00B7577D">
        <w:rPr>
          <w:sz w:val="24"/>
          <w:szCs w:val="24"/>
        </w:rPr>
        <w:t>tis. eur (2022: 216 793 tis. eur). Najvyššími sumami sa na transferoch obciam podieľali Ministerstvo investícií, regionálneho rozvoja a informatizácie SR (261 340 tis. eur), Ministerstvo životného prostredia SR (</w:t>
      </w:r>
      <w:r>
        <w:rPr>
          <w:sz w:val="24"/>
          <w:szCs w:val="24"/>
        </w:rPr>
        <w:t>178</w:t>
      </w:r>
      <w:r w:rsidRPr="00B7577D">
        <w:rPr>
          <w:sz w:val="24"/>
          <w:szCs w:val="24"/>
        </w:rPr>
        <w:t> </w:t>
      </w:r>
      <w:r>
        <w:rPr>
          <w:sz w:val="24"/>
          <w:szCs w:val="24"/>
        </w:rPr>
        <w:t>950</w:t>
      </w:r>
      <w:r w:rsidRPr="00B7577D">
        <w:rPr>
          <w:sz w:val="24"/>
          <w:szCs w:val="24"/>
        </w:rPr>
        <w:t xml:space="preserve"> tis. eur), </w:t>
      </w:r>
      <w:r w:rsidRPr="003171D1">
        <w:rPr>
          <w:sz w:val="24"/>
          <w:szCs w:val="24"/>
        </w:rPr>
        <w:t>Ministerstvo vnútra SR</w:t>
      </w:r>
      <w:r w:rsidRPr="00B7577D">
        <w:rPr>
          <w:sz w:val="24"/>
          <w:szCs w:val="24"/>
        </w:rPr>
        <w:t xml:space="preserve"> (64 360 tis. eur)</w:t>
      </w:r>
      <w:r>
        <w:rPr>
          <w:sz w:val="24"/>
          <w:szCs w:val="24"/>
        </w:rPr>
        <w:t xml:space="preserve"> a </w:t>
      </w:r>
      <w:r w:rsidRPr="00DC6E50">
        <w:rPr>
          <w:sz w:val="24"/>
          <w:szCs w:val="24"/>
        </w:rPr>
        <w:t>Ministerstvo dopravy SR (38 074 tis. eur)</w:t>
      </w:r>
      <w:r>
        <w:rPr>
          <w:sz w:val="24"/>
          <w:szCs w:val="24"/>
        </w:rPr>
        <w:t xml:space="preserve">. </w:t>
      </w:r>
      <w:r w:rsidRPr="00151FAB">
        <w:rPr>
          <w:sz w:val="24"/>
          <w:szCs w:val="24"/>
        </w:rPr>
        <w:t>Z celkovej poskytnutej sumy tvorili prostriedky z rozpočtu EÚ 469 817 tis. eur, z toho najmä z Európskeho fondu regionálneho rozvoja (240 072</w:t>
      </w:r>
      <w:r>
        <w:rPr>
          <w:sz w:val="24"/>
          <w:szCs w:val="24"/>
        </w:rPr>
        <w:t> tis. </w:t>
      </w:r>
      <w:r w:rsidRPr="00151FAB">
        <w:rPr>
          <w:sz w:val="24"/>
          <w:szCs w:val="24"/>
        </w:rPr>
        <w:t xml:space="preserve">eur), Kohézneho fondu (135 850 tis. eur) a z Európskeho poľnohospodárskeho fondu pre rozvoj vidieka (9 161 tis. eur). </w:t>
      </w:r>
    </w:p>
    <w:p w14:paraId="78417C7A" w14:textId="77777777" w:rsidR="00060EF5" w:rsidRPr="003171D1" w:rsidRDefault="00060EF5" w:rsidP="00060EF5">
      <w:pPr>
        <w:spacing w:line="240" w:lineRule="auto"/>
        <w:rPr>
          <w:sz w:val="24"/>
          <w:szCs w:val="24"/>
        </w:rPr>
      </w:pPr>
      <w:r w:rsidRPr="00DC6E50">
        <w:rPr>
          <w:sz w:val="24"/>
          <w:szCs w:val="24"/>
        </w:rPr>
        <w:lastRenderedPageBreak/>
        <w:t xml:space="preserve">Transfery </w:t>
      </w:r>
      <w:r w:rsidRPr="00DC6E50">
        <w:rPr>
          <w:sz w:val="24"/>
          <w:szCs w:val="24"/>
          <w:u w:val="single"/>
        </w:rPr>
        <w:t>Ministerstva investícií, regionálneho rozvoja a informatizácie SR</w:t>
      </w:r>
      <w:r w:rsidRPr="00DC6E50">
        <w:rPr>
          <w:sz w:val="24"/>
          <w:szCs w:val="24"/>
        </w:rPr>
        <w:t xml:space="preserve"> boli </w:t>
      </w:r>
      <w:r w:rsidRPr="00E77F59">
        <w:rPr>
          <w:sz w:val="24"/>
          <w:szCs w:val="24"/>
        </w:rPr>
        <w:t xml:space="preserve">poskytnuté predovšetkým z Integrovaného regionálneho operačného programu na zlepšenie kvality života v regiónoch s dôrazom na životné prostredie, na modernizáciu zdravotníckej a vzdelávacej infraštruktúry a zvyšovanie energetickej efektívnosti budov, zvyšovanie kapacity budov a pod. </w:t>
      </w:r>
      <w:r w:rsidRPr="00E77F59">
        <w:rPr>
          <w:sz w:val="24"/>
          <w:szCs w:val="24"/>
          <w:u w:val="single"/>
        </w:rPr>
        <w:t>Ministerstvo</w:t>
      </w:r>
      <w:r w:rsidRPr="00DC6E50">
        <w:rPr>
          <w:sz w:val="24"/>
          <w:szCs w:val="24"/>
          <w:u w:val="single"/>
        </w:rPr>
        <w:t xml:space="preserve"> životného prostredia SR</w:t>
      </w:r>
      <w:r w:rsidRPr="00DC6E50">
        <w:rPr>
          <w:sz w:val="24"/>
          <w:szCs w:val="24"/>
        </w:rPr>
        <w:t xml:space="preserve"> poskytlo prostriedky na rozšírenie kanalizácie a čističiek odpadových vôd, na zníženie energetickej náročnosti </w:t>
      </w:r>
      <w:r>
        <w:rPr>
          <w:sz w:val="24"/>
          <w:szCs w:val="24"/>
        </w:rPr>
        <w:t xml:space="preserve">a zvýšenie energetickej účinnosti </w:t>
      </w:r>
      <w:r w:rsidRPr="00DC6E50">
        <w:rPr>
          <w:sz w:val="24"/>
          <w:szCs w:val="24"/>
        </w:rPr>
        <w:t xml:space="preserve">budov v mestách a obciach, </w:t>
      </w:r>
      <w:r>
        <w:rPr>
          <w:sz w:val="24"/>
          <w:szCs w:val="24"/>
        </w:rPr>
        <w:t>na vybudovanie</w:t>
      </w:r>
      <w:r w:rsidRPr="00DC6E50">
        <w:rPr>
          <w:sz w:val="24"/>
          <w:szCs w:val="24"/>
        </w:rPr>
        <w:t xml:space="preserve"> zberných dvorov, </w:t>
      </w:r>
      <w:proofErr w:type="spellStart"/>
      <w:r w:rsidRPr="00DC6E50">
        <w:rPr>
          <w:sz w:val="24"/>
          <w:szCs w:val="24"/>
        </w:rPr>
        <w:t>kompostární</w:t>
      </w:r>
      <w:proofErr w:type="spellEnd"/>
      <w:r w:rsidRPr="00DC6E50">
        <w:rPr>
          <w:sz w:val="24"/>
          <w:szCs w:val="24"/>
        </w:rPr>
        <w:t xml:space="preserve">, zhodnocovania biologicky rozložiteľného komunálneho </w:t>
      </w:r>
      <w:r>
        <w:rPr>
          <w:sz w:val="24"/>
          <w:szCs w:val="24"/>
        </w:rPr>
        <w:t xml:space="preserve">odpadu a na </w:t>
      </w:r>
      <w:proofErr w:type="spellStart"/>
      <w:r>
        <w:rPr>
          <w:sz w:val="24"/>
          <w:szCs w:val="24"/>
        </w:rPr>
        <w:t>vodozádržné</w:t>
      </w:r>
      <w:proofErr w:type="spellEnd"/>
      <w:r>
        <w:rPr>
          <w:sz w:val="24"/>
          <w:szCs w:val="24"/>
        </w:rPr>
        <w:t xml:space="preserve"> opatrenia v </w:t>
      </w:r>
      <w:r w:rsidRPr="00DC6E50">
        <w:rPr>
          <w:sz w:val="24"/>
          <w:szCs w:val="24"/>
        </w:rPr>
        <w:t>intraviláne miest a</w:t>
      </w:r>
      <w:r>
        <w:rPr>
          <w:sz w:val="24"/>
          <w:szCs w:val="24"/>
        </w:rPr>
        <w:t> </w:t>
      </w:r>
      <w:r w:rsidRPr="00DC6E50">
        <w:rPr>
          <w:sz w:val="24"/>
          <w:szCs w:val="24"/>
        </w:rPr>
        <w:t>obcí</w:t>
      </w:r>
      <w:r>
        <w:rPr>
          <w:sz w:val="24"/>
          <w:szCs w:val="24"/>
        </w:rPr>
        <w:t xml:space="preserve">. </w:t>
      </w:r>
      <w:r w:rsidRPr="00DC6E50">
        <w:rPr>
          <w:sz w:val="24"/>
          <w:szCs w:val="24"/>
        </w:rPr>
        <w:t xml:space="preserve">Najväčší príjemcovia boli </w:t>
      </w:r>
      <w:r>
        <w:rPr>
          <w:sz w:val="24"/>
          <w:szCs w:val="24"/>
        </w:rPr>
        <w:t>o</w:t>
      </w:r>
      <w:r w:rsidRPr="00DC6E50">
        <w:rPr>
          <w:sz w:val="24"/>
          <w:szCs w:val="24"/>
        </w:rPr>
        <w:t>bec Drahovce (7</w:t>
      </w:r>
      <w:r>
        <w:rPr>
          <w:sz w:val="24"/>
          <w:szCs w:val="24"/>
        </w:rPr>
        <w:t> 900 tis. eur), obec Bánov (6 </w:t>
      </w:r>
      <w:r w:rsidRPr="00DC6E50">
        <w:rPr>
          <w:sz w:val="24"/>
          <w:szCs w:val="24"/>
        </w:rPr>
        <w:t>709</w:t>
      </w:r>
      <w:r>
        <w:rPr>
          <w:sz w:val="24"/>
          <w:szCs w:val="24"/>
        </w:rPr>
        <w:t> tis. eur) a m</w:t>
      </w:r>
      <w:r w:rsidRPr="00284665">
        <w:rPr>
          <w:sz w:val="24"/>
          <w:szCs w:val="24"/>
        </w:rPr>
        <w:t xml:space="preserve">esto Želiezovce (5 203 tis. eur). </w:t>
      </w:r>
      <w:r w:rsidRPr="00284665">
        <w:rPr>
          <w:sz w:val="24"/>
          <w:szCs w:val="24"/>
          <w:u w:val="single"/>
        </w:rPr>
        <w:t xml:space="preserve">Ministerstvo vnútra SR </w:t>
      </w:r>
      <w:r w:rsidRPr="00284665">
        <w:rPr>
          <w:sz w:val="24"/>
          <w:szCs w:val="24"/>
        </w:rPr>
        <w:t xml:space="preserve">poskytlo dotácie obciam v rámci Operačného programu </w:t>
      </w:r>
      <w:r>
        <w:rPr>
          <w:sz w:val="24"/>
          <w:szCs w:val="24"/>
        </w:rPr>
        <w:t>Ľ</w:t>
      </w:r>
      <w:r w:rsidRPr="00284665">
        <w:rPr>
          <w:sz w:val="24"/>
          <w:szCs w:val="24"/>
        </w:rPr>
        <w:t xml:space="preserve">udské zdroje </w:t>
      </w:r>
      <w:r>
        <w:rPr>
          <w:sz w:val="24"/>
          <w:szCs w:val="24"/>
        </w:rPr>
        <w:t>na t</w:t>
      </w:r>
      <w:r w:rsidRPr="00284665">
        <w:rPr>
          <w:sz w:val="24"/>
          <w:szCs w:val="24"/>
        </w:rPr>
        <w:t>echnick</w:t>
      </w:r>
      <w:r>
        <w:rPr>
          <w:sz w:val="24"/>
          <w:szCs w:val="24"/>
        </w:rPr>
        <w:t>ú</w:t>
      </w:r>
      <w:r w:rsidRPr="00284665">
        <w:rPr>
          <w:sz w:val="24"/>
          <w:szCs w:val="24"/>
        </w:rPr>
        <w:t xml:space="preserve"> vybavenosť v obciach </w:t>
      </w:r>
      <w:r>
        <w:rPr>
          <w:sz w:val="24"/>
          <w:szCs w:val="24"/>
        </w:rPr>
        <w:t xml:space="preserve">evidovaných v Atlase </w:t>
      </w:r>
      <w:r w:rsidRPr="00284665">
        <w:rPr>
          <w:sz w:val="24"/>
          <w:szCs w:val="24"/>
        </w:rPr>
        <w:t xml:space="preserve">rómskych komunít s prítomnosťou </w:t>
      </w:r>
      <w:r w:rsidRPr="003171D1">
        <w:rPr>
          <w:sz w:val="24"/>
          <w:szCs w:val="24"/>
        </w:rPr>
        <w:t xml:space="preserve">marginalizovaných rómskych komunít. Dotácie </w:t>
      </w:r>
      <w:r w:rsidRPr="003171D1">
        <w:rPr>
          <w:sz w:val="24"/>
          <w:szCs w:val="24"/>
          <w:u w:val="single"/>
        </w:rPr>
        <w:t xml:space="preserve">Ministerstva dopravy SR </w:t>
      </w:r>
      <w:r w:rsidRPr="003171D1">
        <w:rPr>
          <w:sz w:val="24"/>
          <w:szCs w:val="24"/>
        </w:rPr>
        <w:t xml:space="preserve">boli určené najmä na obstaranie nájomných bytov a na obstaranie technickej vybavenosti v rámci podprogramu Výstavba a obnova bytového fondu. </w:t>
      </w:r>
    </w:p>
    <w:p w14:paraId="0351482A" w14:textId="77777777" w:rsidR="00060EF5" w:rsidRPr="00DC6E50" w:rsidRDefault="00060EF5" w:rsidP="00060EF5">
      <w:pPr>
        <w:spacing w:line="240" w:lineRule="auto"/>
        <w:rPr>
          <w:b/>
          <w:i/>
        </w:rPr>
      </w:pPr>
      <w:r w:rsidRPr="003171D1">
        <w:rPr>
          <w:b/>
          <w:i/>
        </w:rPr>
        <w:t>Bližší popis vzťahov štátneho rozpočtu a obcí je v kapitole 3.2.3.</w:t>
      </w:r>
    </w:p>
    <w:p w14:paraId="604A1FD7" w14:textId="71808057" w:rsidR="00060EF5" w:rsidRPr="00AA0F74" w:rsidRDefault="00060EF5" w:rsidP="00060EF5">
      <w:pPr>
        <w:spacing w:line="240" w:lineRule="auto"/>
        <w:rPr>
          <w:sz w:val="24"/>
          <w:szCs w:val="24"/>
        </w:rPr>
      </w:pPr>
      <w:r w:rsidRPr="00DC6E50">
        <w:rPr>
          <w:b/>
          <w:i/>
          <w:sz w:val="24"/>
          <w:szCs w:val="24"/>
        </w:rPr>
        <w:t>Vyšším územným celkom</w:t>
      </w:r>
      <w:r w:rsidRPr="00DC6E50">
        <w:rPr>
          <w:sz w:val="24"/>
          <w:szCs w:val="24"/>
        </w:rPr>
        <w:t xml:space="preserve"> boli poskytnuté transfery v celkovej hodnote </w:t>
      </w:r>
      <w:r>
        <w:rPr>
          <w:sz w:val="24"/>
          <w:szCs w:val="24"/>
        </w:rPr>
        <w:t>308 </w:t>
      </w:r>
      <w:r w:rsidRPr="00DC6E50">
        <w:rPr>
          <w:sz w:val="24"/>
          <w:szCs w:val="24"/>
        </w:rPr>
        <w:t xml:space="preserve">456 tis. eur, </w:t>
      </w:r>
      <w:r w:rsidRPr="002003C0">
        <w:rPr>
          <w:sz w:val="24"/>
          <w:szCs w:val="24"/>
        </w:rPr>
        <w:t>z toho zo zdrojov EÚ bolo 2</w:t>
      </w:r>
      <w:r>
        <w:rPr>
          <w:sz w:val="24"/>
          <w:szCs w:val="24"/>
        </w:rPr>
        <w:t>6</w:t>
      </w:r>
      <w:r w:rsidRPr="002003C0">
        <w:rPr>
          <w:sz w:val="24"/>
          <w:szCs w:val="24"/>
        </w:rPr>
        <w:t xml:space="preserve">9 365 tis. eur. </w:t>
      </w:r>
      <w:r w:rsidRPr="002003C0">
        <w:rPr>
          <w:sz w:val="24"/>
          <w:szCs w:val="24"/>
          <w:u w:val="single"/>
        </w:rPr>
        <w:t>Ministerstvo investícií, regionálneho rozvoja a informatizácie SR</w:t>
      </w:r>
      <w:r w:rsidRPr="002003C0">
        <w:rPr>
          <w:sz w:val="24"/>
          <w:szCs w:val="24"/>
        </w:rPr>
        <w:t xml:space="preserve"> poskytlo dotáciu v sume 294 034 </w:t>
      </w:r>
      <w:r>
        <w:rPr>
          <w:sz w:val="24"/>
          <w:szCs w:val="24"/>
        </w:rPr>
        <w:t xml:space="preserve">tis. eur </w:t>
      </w:r>
      <w:r w:rsidRPr="002003C0">
        <w:rPr>
          <w:sz w:val="24"/>
          <w:szCs w:val="24"/>
        </w:rPr>
        <w:t>(2022: 34 475 tis. eur)</w:t>
      </w:r>
      <w:r>
        <w:rPr>
          <w:sz w:val="24"/>
          <w:szCs w:val="24"/>
        </w:rPr>
        <w:t>. Išlo najmä o </w:t>
      </w:r>
      <w:r w:rsidRPr="002003C0">
        <w:rPr>
          <w:sz w:val="24"/>
          <w:szCs w:val="24"/>
        </w:rPr>
        <w:t>projekty</w:t>
      </w:r>
      <w:r w:rsidRPr="00AA0F74">
        <w:rPr>
          <w:sz w:val="24"/>
          <w:szCs w:val="24"/>
        </w:rPr>
        <w:t xml:space="preserve"> v oblasti zlepšovania bezpečnosti a ekológie dopravy v regiónoch</w:t>
      </w:r>
      <w:r>
        <w:rPr>
          <w:sz w:val="24"/>
          <w:szCs w:val="24"/>
        </w:rPr>
        <w:t xml:space="preserve"> vrátane rekonštrukcie ciest 1. </w:t>
      </w:r>
      <w:r w:rsidRPr="00AA0F74">
        <w:rPr>
          <w:sz w:val="24"/>
          <w:szCs w:val="24"/>
        </w:rPr>
        <w:t>a</w:t>
      </w:r>
      <w:r>
        <w:rPr>
          <w:sz w:val="24"/>
          <w:szCs w:val="24"/>
        </w:rPr>
        <w:t xml:space="preserve"> </w:t>
      </w:r>
      <w:r w:rsidRPr="00AA0F74">
        <w:rPr>
          <w:sz w:val="24"/>
          <w:szCs w:val="24"/>
        </w:rPr>
        <w:t>2. triedy a obnovy dopravných prostr</w:t>
      </w:r>
      <w:r>
        <w:rPr>
          <w:sz w:val="24"/>
          <w:szCs w:val="24"/>
        </w:rPr>
        <w:t>iedkov verejnej osobn</w:t>
      </w:r>
      <w:r w:rsidR="00115076">
        <w:rPr>
          <w:sz w:val="24"/>
          <w:szCs w:val="24"/>
        </w:rPr>
        <w:t xml:space="preserve">ej dopravy, </w:t>
      </w:r>
      <w:r>
        <w:rPr>
          <w:sz w:val="24"/>
          <w:szCs w:val="24"/>
        </w:rPr>
        <w:t>z toho najviac pre</w:t>
      </w:r>
      <w:r w:rsidRPr="00AA0F74">
        <w:rPr>
          <w:sz w:val="24"/>
          <w:szCs w:val="24"/>
        </w:rPr>
        <w:t xml:space="preserve"> </w:t>
      </w:r>
      <w:r w:rsidRPr="001E4438">
        <w:rPr>
          <w:sz w:val="24"/>
          <w:szCs w:val="24"/>
        </w:rPr>
        <w:t xml:space="preserve">Trenčiansky samosprávny kraj </w:t>
      </w:r>
      <w:r>
        <w:rPr>
          <w:sz w:val="24"/>
          <w:szCs w:val="24"/>
        </w:rPr>
        <w:t>(</w:t>
      </w:r>
      <w:r w:rsidRPr="001E4438">
        <w:rPr>
          <w:sz w:val="24"/>
          <w:szCs w:val="24"/>
        </w:rPr>
        <w:t>70 213 tis. eur)</w:t>
      </w:r>
      <w:r>
        <w:rPr>
          <w:sz w:val="24"/>
          <w:szCs w:val="24"/>
        </w:rPr>
        <w:t>, P</w:t>
      </w:r>
      <w:r w:rsidRPr="001E4438">
        <w:rPr>
          <w:sz w:val="24"/>
          <w:szCs w:val="24"/>
        </w:rPr>
        <w:t>rešovsk</w:t>
      </w:r>
      <w:r>
        <w:rPr>
          <w:sz w:val="24"/>
          <w:szCs w:val="24"/>
        </w:rPr>
        <w:t>ý</w:t>
      </w:r>
      <w:r w:rsidRPr="001E4438">
        <w:rPr>
          <w:sz w:val="24"/>
          <w:szCs w:val="24"/>
        </w:rPr>
        <w:t xml:space="preserve"> samosprávn</w:t>
      </w:r>
      <w:r>
        <w:rPr>
          <w:sz w:val="24"/>
          <w:szCs w:val="24"/>
        </w:rPr>
        <w:t>y</w:t>
      </w:r>
      <w:r w:rsidRPr="001E4438">
        <w:rPr>
          <w:sz w:val="24"/>
          <w:szCs w:val="24"/>
        </w:rPr>
        <w:t xml:space="preserve"> kraj </w:t>
      </w:r>
      <w:r>
        <w:rPr>
          <w:sz w:val="24"/>
          <w:szCs w:val="24"/>
        </w:rPr>
        <w:t>(</w:t>
      </w:r>
      <w:r w:rsidRPr="001E4438">
        <w:rPr>
          <w:sz w:val="24"/>
          <w:szCs w:val="24"/>
        </w:rPr>
        <w:t>56</w:t>
      </w:r>
      <w:r>
        <w:rPr>
          <w:sz w:val="24"/>
          <w:szCs w:val="24"/>
        </w:rPr>
        <w:t> </w:t>
      </w:r>
      <w:r w:rsidRPr="001E4438">
        <w:rPr>
          <w:sz w:val="24"/>
          <w:szCs w:val="24"/>
        </w:rPr>
        <w:t>408</w:t>
      </w:r>
      <w:r>
        <w:rPr>
          <w:sz w:val="24"/>
          <w:szCs w:val="24"/>
        </w:rPr>
        <w:t xml:space="preserve"> tis. eur) a </w:t>
      </w:r>
      <w:r w:rsidRPr="001E4438">
        <w:rPr>
          <w:sz w:val="24"/>
          <w:szCs w:val="24"/>
        </w:rPr>
        <w:t>Banskobystrick</w:t>
      </w:r>
      <w:r>
        <w:rPr>
          <w:sz w:val="24"/>
          <w:szCs w:val="24"/>
        </w:rPr>
        <w:t>ý</w:t>
      </w:r>
      <w:r w:rsidRPr="001E4438">
        <w:rPr>
          <w:sz w:val="24"/>
          <w:szCs w:val="24"/>
        </w:rPr>
        <w:t xml:space="preserve"> </w:t>
      </w:r>
      <w:r>
        <w:rPr>
          <w:sz w:val="24"/>
          <w:szCs w:val="24"/>
        </w:rPr>
        <w:t>samosprávny kraj (</w:t>
      </w:r>
      <w:r w:rsidRPr="001E4438">
        <w:rPr>
          <w:sz w:val="24"/>
          <w:szCs w:val="24"/>
        </w:rPr>
        <w:t>7</w:t>
      </w:r>
      <w:r>
        <w:rPr>
          <w:sz w:val="24"/>
          <w:szCs w:val="24"/>
        </w:rPr>
        <w:t> </w:t>
      </w:r>
      <w:r w:rsidRPr="001E4438">
        <w:rPr>
          <w:sz w:val="24"/>
          <w:szCs w:val="24"/>
        </w:rPr>
        <w:t>37</w:t>
      </w:r>
      <w:r>
        <w:rPr>
          <w:sz w:val="24"/>
          <w:szCs w:val="24"/>
        </w:rPr>
        <w:t>5 tis. eur). Ministerstvo</w:t>
      </w:r>
      <w:r w:rsidRPr="00AA0F74">
        <w:rPr>
          <w:sz w:val="24"/>
          <w:szCs w:val="24"/>
        </w:rPr>
        <w:t xml:space="preserve"> podporilo implementáciu projektov </w:t>
      </w:r>
      <w:r w:rsidRPr="00B3776A">
        <w:rPr>
          <w:sz w:val="24"/>
          <w:szCs w:val="24"/>
        </w:rPr>
        <w:t xml:space="preserve">samosprávnymi krajmi </w:t>
      </w:r>
      <w:r>
        <w:rPr>
          <w:sz w:val="24"/>
          <w:szCs w:val="24"/>
        </w:rPr>
        <w:t xml:space="preserve">v oblasti ochrany prírodného a </w:t>
      </w:r>
      <w:r w:rsidRPr="00AA0F74">
        <w:rPr>
          <w:sz w:val="24"/>
          <w:szCs w:val="24"/>
        </w:rPr>
        <w:t>kultúrneho dedičstva a na podporu udržateľných dopravných riešení z programov INTERREG V-A SK-AT, INTERREG V-A SK-CZ INTERREG V-A PL-SK a INTERREG V-A HU-SK.</w:t>
      </w:r>
    </w:p>
    <w:p w14:paraId="16B457DF" w14:textId="77777777" w:rsidR="00060EF5" w:rsidRPr="00DC6E50" w:rsidRDefault="00060EF5" w:rsidP="00060EF5">
      <w:pPr>
        <w:spacing w:line="240" w:lineRule="auto"/>
        <w:rPr>
          <w:b/>
          <w:i/>
        </w:rPr>
      </w:pPr>
      <w:r w:rsidRPr="00DC6E50">
        <w:rPr>
          <w:b/>
          <w:i/>
        </w:rPr>
        <w:t>Bližší popis vzťahov štátneho rozpočtu a VÚC je v kapitole 3.2.4.</w:t>
      </w:r>
    </w:p>
    <w:p w14:paraId="1F9BCB8C" w14:textId="77777777" w:rsidR="00060EF5" w:rsidRDefault="00060EF5" w:rsidP="00207B7D">
      <w:pPr>
        <w:spacing w:line="240" w:lineRule="auto"/>
        <w:rPr>
          <w:sz w:val="24"/>
          <w:szCs w:val="24"/>
        </w:rPr>
      </w:pPr>
      <w:r w:rsidRPr="00495572">
        <w:rPr>
          <w:b/>
          <w:i/>
          <w:sz w:val="24"/>
          <w:szCs w:val="24"/>
        </w:rPr>
        <w:t>Príspevkovým organizáciám</w:t>
      </w:r>
      <w:r w:rsidRPr="00495572">
        <w:rPr>
          <w:sz w:val="24"/>
          <w:szCs w:val="24"/>
        </w:rPr>
        <w:t xml:space="preserve"> bolo poskytnutých </w:t>
      </w:r>
      <w:r>
        <w:rPr>
          <w:sz w:val="24"/>
          <w:szCs w:val="24"/>
        </w:rPr>
        <w:t>4</w:t>
      </w:r>
      <w:r w:rsidRPr="00495572">
        <w:rPr>
          <w:sz w:val="24"/>
          <w:szCs w:val="24"/>
        </w:rPr>
        <w:t xml:space="preserve">43 076 tis. eur. Najviac prostriedkov poskytlo </w:t>
      </w:r>
      <w:r>
        <w:rPr>
          <w:sz w:val="24"/>
          <w:szCs w:val="24"/>
        </w:rPr>
        <w:t>Ministerstvo životného prostredia SR (228 369 </w:t>
      </w:r>
      <w:r>
        <w:t xml:space="preserve">tis. eur), </w:t>
      </w:r>
      <w:r w:rsidRPr="00495572">
        <w:rPr>
          <w:sz w:val="24"/>
          <w:szCs w:val="24"/>
        </w:rPr>
        <w:t>Ministerstvo investícií, regionálneho rozvoja a informatizácie SR (117 231 tis. eur)</w:t>
      </w:r>
      <w:r>
        <w:rPr>
          <w:sz w:val="24"/>
          <w:szCs w:val="24"/>
        </w:rPr>
        <w:t xml:space="preserve"> a </w:t>
      </w:r>
      <w:r w:rsidRPr="00495572">
        <w:rPr>
          <w:sz w:val="24"/>
          <w:szCs w:val="24"/>
        </w:rPr>
        <w:t>Ministerstvo zdravotníctva SR (34 085</w:t>
      </w:r>
      <w:r>
        <w:rPr>
          <w:sz w:val="24"/>
          <w:szCs w:val="24"/>
        </w:rPr>
        <w:t> tis. eur)</w:t>
      </w:r>
      <w:r w:rsidRPr="00495572">
        <w:rPr>
          <w:sz w:val="24"/>
          <w:szCs w:val="24"/>
        </w:rPr>
        <w:t>.</w:t>
      </w:r>
    </w:p>
    <w:p w14:paraId="36DC82EA" w14:textId="5348A26B" w:rsidR="00060EF5" w:rsidRPr="00495572" w:rsidRDefault="00060EF5" w:rsidP="00207B7D">
      <w:pPr>
        <w:spacing w:line="240" w:lineRule="auto"/>
        <w:rPr>
          <w:sz w:val="24"/>
          <w:szCs w:val="24"/>
        </w:rPr>
      </w:pPr>
      <w:r w:rsidRPr="00495572">
        <w:rPr>
          <w:sz w:val="24"/>
          <w:szCs w:val="24"/>
        </w:rPr>
        <w:t>Transfery</w:t>
      </w:r>
      <w:r w:rsidRPr="00512DAF">
        <w:rPr>
          <w:sz w:val="24"/>
          <w:szCs w:val="24"/>
        </w:rPr>
        <w:t xml:space="preserve"> </w:t>
      </w:r>
      <w:r>
        <w:rPr>
          <w:sz w:val="24"/>
          <w:szCs w:val="24"/>
          <w:u w:val="single"/>
        </w:rPr>
        <w:t>Ministerstva</w:t>
      </w:r>
      <w:r w:rsidRPr="00495572">
        <w:rPr>
          <w:sz w:val="24"/>
          <w:szCs w:val="24"/>
          <w:u w:val="single"/>
        </w:rPr>
        <w:t xml:space="preserve"> životného prostredia SR</w:t>
      </w:r>
      <w:r>
        <w:rPr>
          <w:sz w:val="24"/>
          <w:szCs w:val="24"/>
          <w:u w:val="single"/>
        </w:rPr>
        <w:t xml:space="preserve"> </w:t>
      </w:r>
      <w:r w:rsidRPr="00495572">
        <w:rPr>
          <w:sz w:val="24"/>
          <w:szCs w:val="24"/>
        </w:rPr>
        <w:t>boli použit</w:t>
      </w:r>
      <w:r>
        <w:rPr>
          <w:sz w:val="24"/>
          <w:szCs w:val="24"/>
        </w:rPr>
        <w:t>é</w:t>
      </w:r>
      <w:r w:rsidRPr="00495572">
        <w:rPr>
          <w:sz w:val="24"/>
          <w:szCs w:val="24"/>
        </w:rPr>
        <w:t xml:space="preserve"> na účely zníženia energetickej náročnosti budov v mestá</w:t>
      </w:r>
      <w:r>
        <w:rPr>
          <w:sz w:val="24"/>
          <w:szCs w:val="24"/>
        </w:rPr>
        <w:t>ch a obciach, na zhodnocovanie</w:t>
      </w:r>
      <w:r w:rsidRPr="00495572">
        <w:rPr>
          <w:sz w:val="24"/>
          <w:szCs w:val="24"/>
        </w:rPr>
        <w:t xml:space="preserve"> bioodpadu a </w:t>
      </w:r>
      <w:r>
        <w:rPr>
          <w:sz w:val="24"/>
          <w:szCs w:val="24"/>
        </w:rPr>
        <w:t>stavebného odpadu, monitorovanie</w:t>
      </w:r>
      <w:r w:rsidRPr="00495572">
        <w:rPr>
          <w:sz w:val="24"/>
          <w:szCs w:val="24"/>
        </w:rPr>
        <w:t xml:space="preserve"> a hodnoteni</w:t>
      </w:r>
      <w:r>
        <w:rPr>
          <w:sz w:val="24"/>
          <w:szCs w:val="24"/>
        </w:rPr>
        <w:t>e</w:t>
      </w:r>
      <w:r w:rsidRPr="00495572">
        <w:rPr>
          <w:sz w:val="24"/>
          <w:szCs w:val="24"/>
        </w:rPr>
        <w:t xml:space="preserve"> množstva a režimu povrchových a podzemných vôd, inštalácie malých zariadení na využitie obnoviteľných </w:t>
      </w:r>
      <w:r>
        <w:rPr>
          <w:sz w:val="24"/>
          <w:szCs w:val="24"/>
        </w:rPr>
        <w:t xml:space="preserve">zdrojov energie v domácnostiach a ďalšie. </w:t>
      </w:r>
      <w:r w:rsidRPr="00495572">
        <w:rPr>
          <w:sz w:val="24"/>
          <w:szCs w:val="24"/>
        </w:rPr>
        <w:t xml:space="preserve">Najväčší príjemcovia finančných prostriedkov </w:t>
      </w:r>
      <w:r>
        <w:rPr>
          <w:sz w:val="24"/>
          <w:szCs w:val="24"/>
        </w:rPr>
        <w:t>boli</w:t>
      </w:r>
      <w:r w:rsidRPr="00495572">
        <w:rPr>
          <w:sz w:val="24"/>
          <w:szCs w:val="24"/>
        </w:rPr>
        <w:t xml:space="preserve"> Štátna ochrana príro</w:t>
      </w:r>
      <w:r>
        <w:rPr>
          <w:sz w:val="24"/>
          <w:szCs w:val="24"/>
        </w:rPr>
        <w:t>dy (12 533 tis</w:t>
      </w:r>
      <w:r w:rsidR="00512DAF">
        <w:rPr>
          <w:sz w:val="24"/>
          <w:szCs w:val="24"/>
        </w:rPr>
        <w:t>.</w:t>
      </w:r>
      <w:r>
        <w:rPr>
          <w:sz w:val="24"/>
          <w:szCs w:val="24"/>
        </w:rPr>
        <w:t> eur)</w:t>
      </w:r>
      <w:r w:rsidRPr="00495572">
        <w:rPr>
          <w:sz w:val="24"/>
          <w:szCs w:val="24"/>
        </w:rPr>
        <w:t>, Slovenský hy</w:t>
      </w:r>
      <w:r>
        <w:rPr>
          <w:sz w:val="24"/>
          <w:szCs w:val="24"/>
        </w:rPr>
        <w:t>drometeorologický ústav (12 289 tis. eur</w:t>
      </w:r>
      <w:r w:rsidRPr="00495572">
        <w:rPr>
          <w:sz w:val="24"/>
          <w:szCs w:val="24"/>
        </w:rPr>
        <w:t>) a</w:t>
      </w:r>
      <w:r>
        <w:rPr>
          <w:sz w:val="24"/>
          <w:szCs w:val="24"/>
        </w:rPr>
        <w:t xml:space="preserve"> </w:t>
      </w:r>
      <w:r w:rsidRPr="00495572">
        <w:rPr>
          <w:sz w:val="24"/>
          <w:szCs w:val="24"/>
        </w:rPr>
        <w:t>Štátny geologický ústav Dionýza Štúra (3</w:t>
      </w:r>
      <w:r>
        <w:rPr>
          <w:sz w:val="24"/>
          <w:szCs w:val="24"/>
        </w:rPr>
        <w:t> </w:t>
      </w:r>
      <w:r w:rsidRPr="00495572">
        <w:rPr>
          <w:sz w:val="24"/>
          <w:szCs w:val="24"/>
        </w:rPr>
        <w:t>69</w:t>
      </w:r>
      <w:r>
        <w:rPr>
          <w:sz w:val="24"/>
          <w:szCs w:val="24"/>
        </w:rPr>
        <w:t>9 tis. eur</w:t>
      </w:r>
      <w:r w:rsidRPr="00495572">
        <w:rPr>
          <w:sz w:val="24"/>
          <w:szCs w:val="24"/>
        </w:rPr>
        <w:t xml:space="preserve">). </w:t>
      </w:r>
    </w:p>
    <w:p w14:paraId="449728AB" w14:textId="77777777" w:rsidR="00060EF5" w:rsidRPr="00AA0F74" w:rsidRDefault="00060EF5" w:rsidP="00207B7D">
      <w:pPr>
        <w:spacing w:line="240" w:lineRule="auto"/>
        <w:rPr>
          <w:sz w:val="24"/>
          <w:szCs w:val="24"/>
        </w:rPr>
      </w:pPr>
      <w:r w:rsidRPr="00AA0F74">
        <w:rPr>
          <w:sz w:val="24"/>
          <w:szCs w:val="24"/>
          <w:u w:val="single"/>
        </w:rPr>
        <w:t>Ministerstvo investícií, regionálneho rozvoja a informatizácie SR</w:t>
      </w:r>
      <w:r w:rsidRPr="00495572">
        <w:rPr>
          <w:sz w:val="24"/>
          <w:szCs w:val="24"/>
        </w:rPr>
        <w:t xml:space="preserve"> poskytlo </w:t>
      </w:r>
      <w:r w:rsidRPr="00AA0F74">
        <w:rPr>
          <w:sz w:val="24"/>
          <w:szCs w:val="24"/>
        </w:rPr>
        <w:t>finančné prostriedky z Integrovaného regionálneho operačného programu</w:t>
      </w:r>
      <w:r>
        <w:rPr>
          <w:sz w:val="24"/>
          <w:szCs w:val="24"/>
        </w:rPr>
        <w:t xml:space="preserve"> n</w:t>
      </w:r>
      <w:r w:rsidRPr="00AA0F74">
        <w:rPr>
          <w:sz w:val="24"/>
          <w:szCs w:val="24"/>
        </w:rPr>
        <w:t>ajmä nemocniciam, zdravotníckym zariadeniam a záchrannej službe na zlepšovanie služieb, poskytovanie kvalitnejšej zdravotnej starostlivosti a na zníženie dopadov pandémie COVID-19.</w:t>
      </w:r>
      <w:r>
        <w:rPr>
          <w:sz w:val="24"/>
          <w:szCs w:val="24"/>
        </w:rPr>
        <w:t xml:space="preserve"> </w:t>
      </w:r>
    </w:p>
    <w:p w14:paraId="760003E8" w14:textId="77777777" w:rsidR="00060EF5" w:rsidRPr="002D69FC" w:rsidRDefault="00060EF5" w:rsidP="00207B7D">
      <w:pPr>
        <w:spacing w:after="0" w:line="240" w:lineRule="auto"/>
        <w:rPr>
          <w:sz w:val="24"/>
          <w:szCs w:val="24"/>
        </w:rPr>
      </w:pPr>
      <w:r w:rsidRPr="00495572">
        <w:rPr>
          <w:sz w:val="24"/>
          <w:szCs w:val="24"/>
          <w:u w:val="single"/>
        </w:rPr>
        <w:t>Ministerstvo zdravotníctva SR</w:t>
      </w:r>
      <w:r w:rsidRPr="00495572">
        <w:rPr>
          <w:sz w:val="24"/>
          <w:szCs w:val="24"/>
        </w:rPr>
        <w:t xml:space="preserve"> </w:t>
      </w:r>
      <w:r w:rsidRPr="00495572">
        <w:rPr>
          <w:sz w:val="24"/>
          <w:szCs w:val="24"/>
          <w:lang w:eastAsia="sk-SK"/>
        </w:rPr>
        <w:t xml:space="preserve">poskytlo transfery predovšetkým príspevkovým organizáciám </w:t>
      </w:r>
      <w:r>
        <w:rPr>
          <w:sz w:val="24"/>
          <w:szCs w:val="24"/>
          <w:lang w:eastAsia="sk-SK"/>
        </w:rPr>
        <w:t>v pôsobnosti ministerstva</w:t>
      </w:r>
      <w:r w:rsidRPr="00153D59">
        <w:rPr>
          <w:sz w:val="24"/>
          <w:szCs w:val="24"/>
          <w:lang w:eastAsia="sk-SK"/>
        </w:rPr>
        <w:t xml:space="preserve"> na financovanie havarijných stavov v zdravotníckych zariadeniach v pôsobnosti ministerstva, na obstaranie nového prístrojového vybavenia zdravotníckych zariadení, na rekonštrukciu, stavebné úpravy a modernizáciu priestorov a budov zdravotníckych zariadení. </w:t>
      </w:r>
    </w:p>
    <w:p w14:paraId="79A2C8AC" w14:textId="77777777" w:rsidR="00060EF5" w:rsidRDefault="00060EF5" w:rsidP="00207B7D">
      <w:pPr>
        <w:spacing w:line="240" w:lineRule="auto"/>
        <w:rPr>
          <w:sz w:val="24"/>
          <w:szCs w:val="24"/>
        </w:rPr>
      </w:pPr>
      <w:r w:rsidRPr="00CE03D0">
        <w:rPr>
          <w:sz w:val="24"/>
          <w:szCs w:val="24"/>
        </w:rPr>
        <w:t>Najviac prostriedkov išlo pre Univerzitn</w:t>
      </w:r>
      <w:r>
        <w:rPr>
          <w:sz w:val="24"/>
          <w:szCs w:val="24"/>
        </w:rPr>
        <w:t>ú nemocnicu</w:t>
      </w:r>
      <w:r w:rsidRPr="00CE03D0">
        <w:rPr>
          <w:sz w:val="24"/>
          <w:szCs w:val="24"/>
        </w:rPr>
        <w:t xml:space="preserve"> Martin</w:t>
      </w:r>
      <w:r>
        <w:rPr>
          <w:sz w:val="24"/>
          <w:szCs w:val="24"/>
        </w:rPr>
        <w:t xml:space="preserve"> (7 853 tis. eur), </w:t>
      </w:r>
      <w:r w:rsidRPr="00CE03D0">
        <w:rPr>
          <w:sz w:val="24"/>
          <w:szCs w:val="24"/>
        </w:rPr>
        <w:t>Národné centrum zdravotníckych informácií (6 76</w:t>
      </w:r>
      <w:r>
        <w:rPr>
          <w:sz w:val="24"/>
          <w:szCs w:val="24"/>
        </w:rPr>
        <w:t>3 tis. eur) a</w:t>
      </w:r>
      <w:r w:rsidRPr="00CE03D0">
        <w:rPr>
          <w:sz w:val="24"/>
          <w:szCs w:val="24"/>
        </w:rPr>
        <w:t xml:space="preserve"> Univerzitnú nemocnicu Bratislava (6 430 tis. eur)</w:t>
      </w:r>
      <w:r>
        <w:rPr>
          <w:sz w:val="24"/>
          <w:szCs w:val="24"/>
        </w:rPr>
        <w:t>.</w:t>
      </w:r>
    </w:p>
    <w:p w14:paraId="74F9762D" w14:textId="77777777" w:rsidR="00060EF5" w:rsidRPr="001207C9" w:rsidRDefault="00060EF5" w:rsidP="00060EF5">
      <w:pPr>
        <w:spacing w:after="0" w:line="240" w:lineRule="auto"/>
        <w:rPr>
          <w:sz w:val="24"/>
          <w:szCs w:val="24"/>
        </w:rPr>
      </w:pPr>
      <w:r w:rsidRPr="00495572">
        <w:rPr>
          <w:sz w:val="24"/>
          <w:szCs w:val="24"/>
        </w:rPr>
        <w:lastRenderedPageBreak/>
        <w:t xml:space="preserve">Transfery </w:t>
      </w:r>
      <w:r w:rsidRPr="00495572">
        <w:rPr>
          <w:b/>
          <w:i/>
          <w:sz w:val="24"/>
          <w:szCs w:val="24"/>
        </w:rPr>
        <w:t>verejným vysokým školám</w:t>
      </w:r>
      <w:r w:rsidRPr="00495572">
        <w:rPr>
          <w:sz w:val="24"/>
          <w:szCs w:val="24"/>
        </w:rPr>
        <w:t xml:space="preserve"> boli v sume </w:t>
      </w:r>
      <w:r>
        <w:rPr>
          <w:sz w:val="24"/>
          <w:szCs w:val="24"/>
        </w:rPr>
        <w:t>131 859 </w:t>
      </w:r>
      <w:r w:rsidRPr="00495572">
        <w:rPr>
          <w:sz w:val="24"/>
          <w:szCs w:val="24"/>
        </w:rPr>
        <w:t xml:space="preserve">tis. eur, z toho najviac poskytla </w:t>
      </w:r>
      <w:r w:rsidRPr="001D310E">
        <w:rPr>
          <w:sz w:val="24"/>
          <w:szCs w:val="24"/>
        </w:rPr>
        <w:t xml:space="preserve">kapitola </w:t>
      </w:r>
      <w:r w:rsidRPr="001D310E">
        <w:rPr>
          <w:sz w:val="24"/>
          <w:szCs w:val="24"/>
          <w:u w:val="single"/>
        </w:rPr>
        <w:t>Ministerstva školstva, vedy, výskumu a športu SR</w:t>
      </w:r>
      <w:r w:rsidRPr="001D310E">
        <w:rPr>
          <w:sz w:val="24"/>
          <w:szCs w:val="24"/>
        </w:rPr>
        <w:t xml:space="preserve"> (115 183 tis. eur), napr. pre Slovenskú technickú univerzitu v Bratislave (77 835 tis. eur) na strategický výskum v oblasti SMART monitoringu, liečby a preventívnej ochrany pred </w:t>
      </w:r>
      <w:proofErr w:type="spellStart"/>
      <w:r w:rsidRPr="001D310E">
        <w:rPr>
          <w:sz w:val="24"/>
          <w:szCs w:val="24"/>
        </w:rPr>
        <w:t>koronavírusom</w:t>
      </w:r>
      <w:proofErr w:type="spellEnd"/>
      <w:r w:rsidRPr="001D310E">
        <w:rPr>
          <w:sz w:val="24"/>
          <w:szCs w:val="24"/>
        </w:rPr>
        <w:t>, na projekt ACCORD (</w:t>
      </w:r>
      <w:proofErr w:type="spellStart"/>
      <w:r w:rsidRPr="001D310E">
        <w:rPr>
          <w:sz w:val="24"/>
          <w:szCs w:val="24"/>
        </w:rPr>
        <w:t>Advancing</w:t>
      </w:r>
      <w:proofErr w:type="spellEnd"/>
      <w:r w:rsidRPr="001D310E">
        <w:rPr>
          <w:sz w:val="24"/>
          <w:szCs w:val="24"/>
        </w:rPr>
        <w:t xml:space="preserve"> </w:t>
      </w:r>
      <w:proofErr w:type="spellStart"/>
      <w:r w:rsidRPr="001D310E">
        <w:rPr>
          <w:sz w:val="24"/>
          <w:szCs w:val="24"/>
        </w:rPr>
        <w:t>University</w:t>
      </w:r>
      <w:proofErr w:type="spellEnd"/>
      <w:r w:rsidRPr="001D310E">
        <w:rPr>
          <w:sz w:val="24"/>
          <w:szCs w:val="24"/>
        </w:rPr>
        <w:t xml:space="preserve"> </w:t>
      </w:r>
      <w:proofErr w:type="spellStart"/>
      <w:r w:rsidRPr="001D310E">
        <w:rPr>
          <w:sz w:val="24"/>
          <w:szCs w:val="24"/>
        </w:rPr>
        <w:t>Capacity</w:t>
      </w:r>
      <w:proofErr w:type="spellEnd"/>
      <w:r w:rsidRPr="001D310E">
        <w:rPr>
          <w:sz w:val="24"/>
          <w:szCs w:val="24"/>
        </w:rPr>
        <w:t xml:space="preserve"> and </w:t>
      </w:r>
      <w:proofErr w:type="spellStart"/>
      <w:r w:rsidRPr="001D310E">
        <w:rPr>
          <w:sz w:val="24"/>
          <w:szCs w:val="24"/>
        </w:rPr>
        <w:t>Competence</w:t>
      </w:r>
      <w:proofErr w:type="spellEnd"/>
      <w:r w:rsidRPr="001D310E">
        <w:rPr>
          <w:sz w:val="24"/>
          <w:szCs w:val="24"/>
        </w:rPr>
        <w:t xml:space="preserve"> in </w:t>
      </w:r>
      <w:proofErr w:type="spellStart"/>
      <w:r w:rsidRPr="001D310E">
        <w:rPr>
          <w:sz w:val="24"/>
          <w:szCs w:val="24"/>
        </w:rPr>
        <w:t>Research</w:t>
      </w:r>
      <w:proofErr w:type="spellEnd"/>
      <w:r w:rsidRPr="001D310E">
        <w:rPr>
          <w:sz w:val="24"/>
          <w:szCs w:val="24"/>
        </w:rPr>
        <w:t xml:space="preserve">, </w:t>
      </w:r>
      <w:proofErr w:type="spellStart"/>
      <w:r w:rsidRPr="001D310E">
        <w:rPr>
          <w:sz w:val="24"/>
          <w:szCs w:val="24"/>
        </w:rPr>
        <w:t>Development</w:t>
      </w:r>
      <w:proofErr w:type="spellEnd"/>
      <w:r w:rsidRPr="001D310E">
        <w:rPr>
          <w:sz w:val="24"/>
          <w:szCs w:val="24"/>
        </w:rPr>
        <w:t xml:space="preserve"> and </w:t>
      </w:r>
      <w:proofErr w:type="spellStart"/>
      <w:r w:rsidRPr="001D310E">
        <w:rPr>
          <w:sz w:val="24"/>
          <w:szCs w:val="24"/>
        </w:rPr>
        <w:t>Innova</w:t>
      </w:r>
      <w:r>
        <w:rPr>
          <w:sz w:val="24"/>
          <w:szCs w:val="24"/>
        </w:rPr>
        <w:t>tion</w:t>
      </w:r>
      <w:proofErr w:type="spellEnd"/>
      <w:r>
        <w:rPr>
          <w:sz w:val="24"/>
          <w:szCs w:val="24"/>
        </w:rPr>
        <w:t>)</w:t>
      </w:r>
      <w:r w:rsidRPr="001D310E">
        <w:rPr>
          <w:sz w:val="24"/>
          <w:szCs w:val="24"/>
        </w:rPr>
        <w:t xml:space="preserve"> a na vedeckovýskumné centrum </w:t>
      </w:r>
      <w:proofErr w:type="spellStart"/>
      <w:r w:rsidRPr="001D310E">
        <w:rPr>
          <w:sz w:val="24"/>
          <w:szCs w:val="24"/>
        </w:rPr>
        <w:t>excelentnosti</w:t>
      </w:r>
      <w:proofErr w:type="spellEnd"/>
      <w:r w:rsidRPr="001D310E">
        <w:rPr>
          <w:sz w:val="24"/>
          <w:szCs w:val="24"/>
        </w:rPr>
        <w:t xml:space="preserve"> </w:t>
      </w:r>
      <w:proofErr w:type="spellStart"/>
      <w:r w:rsidRPr="001D310E">
        <w:rPr>
          <w:sz w:val="24"/>
          <w:szCs w:val="24"/>
        </w:rPr>
        <w:t>SlovakION</w:t>
      </w:r>
      <w:proofErr w:type="spellEnd"/>
      <w:r w:rsidRPr="001D310E">
        <w:rPr>
          <w:sz w:val="24"/>
          <w:szCs w:val="24"/>
        </w:rPr>
        <w:t xml:space="preserve"> pre materiálový a interdisciplinárny výskum. Žilinská univerzita v Žiline čerpala finančné prostriedky (9 212 tis. eur) na</w:t>
      </w:r>
      <w:r w:rsidRPr="001D310E">
        <w:rPr>
          <w:rFonts w:eastAsia="Times New Roman"/>
          <w:bCs/>
          <w:sz w:val="24"/>
          <w:szCs w:val="24"/>
        </w:rPr>
        <w:t xml:space="preserve"> v</w:t>
      </w:r>
      <w:r w:rsidRPr="001D310E">
        <w:rPr>
          <w:rFonts w:eastAsia="Times New Roman"/>
          <w:sz w:val="24"/>
          <w:szCs w:val="24"/>
        </w:rPr>
        <w:t xml:space="preserve">ytvorenie digitálnej </w:t>
      </w:r>
      <w:proofErr w:type="spellStart"/>
      <w:r w:rsidRPr="001D310E">
        <w:rPr>
          <w:rFonts w:eastAsia="Times New Roman"/>
          <w:sz w:val="24"/>
          <w:szCs w:val="24"/>
        </w:rPr>
        <w:t>biobanky</w:t>
      </w:r>
      <w:proofErr w:type="spellEnd"/>
      <w:r w:rsidRPr="001D310E">
        <w:rPr>
          <w:rFonts w:eastAsia="Times New Roman"/>
          <w:sz w:val="24"/>
          <w:szCs w:val="24"/>
        </w:rPr>
        <w:t xml:space="preserve"> na podporu systémovej verejnej </w:t>
      </w:r>
      <w:r w:rsidRPr="001D310E">
        <w:rPr>
          <w:sz w:val="24"/>
          <w:szCs w:val="24"/>
        </w:rPr>
        <w:t>výskumnej infraštruktúry, na inovatívne riešenia pohonných, energetických a bezpečnostných komponentov dopravných prostriedkov a ďalšie. Univerzita Komenského</w:t>
      </w:r>
      <w:r w:rsidRPr="00D74311">
        <w:rPr>
          <w:sz w:val="24"/>
          <w:szCs w:val="24"/>
        </w:rPr>
        <w:t xml:space="preserve"> v Bratislave (8 991 tis. eur) dostala dotácie napr. na projekt Systémová verejná výskumná infraštruktúra – </w:t>
      </w:r>
      <w:proofErr w:type="spellStart"/>
      <w:r w:rsidRPr="00D74311">
        <w:rPr>
          <w:sz w:val="24"/>
          <w:szCs w:val="24"/>
        </w:rPr>
        <w:t>biobanka</w:t>
      </w:r>
      <w:proofErr w:type="spellEnd"/>
      <w:r w:rsidRPr="00D74311">
        <w:rPr>
          <w:sz w:val="24"/>
          <w:szCs w:val="24"/>
        </w:rPr>
        <w:t xml:space="preserve"> pre nádorové a zriedkavé ochorenia, </w:t>
      </w:r>
      <w:r w:rsidRPr="001207C9">
        <w:rPr>
          <w:sz w:val="24"/>
          <w:szCs w:val="24"/>
        </w:rPr>
        <w:t xml:space="preserve">Univerzita Pavla Jozefa Šafárika v Košiciach čerpala finančné prostriedky </w:t>
      </w:r>
      <w:r>
        <w:rPr>
          <w:sz w:val="24"/>
          <w:szCs w:val="24"/>
        </w:rPr>
        <w:t>(</w:t>
      </w:r>
      <w:r w:rsidRPr="001207C9">
        <w:rPr>
          <w:sz w:val="24"/>
          <w:szCs w:val="24"/>
        </w:rPr>
        <w:t>5 654 </w:t>
      </w:r>
      <w:r>
        <w:rPr>
          <w:sz w:val="24"/>
          <w:szCs w:val="24"/>
        </w:rPr>
        <w:t>tis. eur)</w:t>
      </w:r>
      <w:r w:rsidRPr="001207C9">
        <w:rPr>
          <w:sz w:val="24"/>
          <w:szCs w:val="24"/>
        </w:rPr>
        <w:t xml:space="preserve"> </w:t>
      </w:r>
      <w:r>
        <w:rPr>
          <w:sz w:val="24"/>
          <w:szCs w:val="24"/>
        </w:rPr>
        <w:t xml:space="preserve">napr. na </w:t>
      </w:r>
      <w:r w:rsidRPr="001207C9">
        <w:rPr>
          <w:sz w:val="24"/>
          <w:szCs w:val="24"/>
        </w:rPr>
        <w:t xml:space="preserve">projekt Analýza kardiovaskulárnej a imunologickej odpovede pacientov po prekonaní COVID-19 so zameraním na výskum nových diagnostických </w:t>
      </w:r>
      <w:proofErr w:type="spellStart"/>
      <w:r w:rsidRPr="001207C9">
        <w:rPr>
          <w:sz w:val="24"/>
          <w:szCs w:val="24"/>
        </w:rPr>
        <w:t>markero</w:t>
      </w:r>
      <w:r>
        <w:rPr>
          <w:sz w:val="24"/>
          <w:szCs w:val="24"/>
        </w:rPr>
        <w:t>v</w:t>
      </w:r>
      <w:proofErr w:type="spellEnd"/>
      <w:r>
        <w:rPr>
          <w:sz w:val="24"/>
          <w:szCs w:val="24"/>
        </w:rPr>
        <w:t xml:space="preserve"> a terapeutických prostriedkov a pod.</w:t>
      </w:r>
    </w:p>
    <w:p w14:paraId="21379AC1" w14:textId="77777777" w:rsidR="00060EF5" w:rsidRDefault="00060EF5" w:rsidP="00060EF5">
      <w:pPr>
        <w:spacing w:before="120" w:line="240" w:lineRule="auto"/>
        <w:rPr>
          <w:sz w:val="24"/>
          <w:szCs w:val="24"/>
        </w:rPr>
      </w:pPr>
      <w:r w:rsidRPr="00495572">
        <w:rPr>
          <w:b/>
          <w:i/>
          <w:sz w:val="24"/>
          <w:szCs w:val="24"/>
        </w:rPr>
        <w:t>Ostatným subjektom verejnej správy</w:t>
      </w:r>
      <w:r w:rsidRPr="00495572">
        <w:rPr>
          <w:sz w:val="24"/>
          <w:szCs w:val="24"/>
        </w:rPr>
        <w:t xml:space="preserve"> boli poskytnuté finančné prostriedky v celkovej sume 72 738 tis. eur</w:t>
      </w:r>
      <w:r>
        <w:rPr>
          <w:sz w:val="24"/>
          <w:szCs w:val="24"/>
        </w:rPr>
        <w:t>.</w:t>
      </w:r>
      <w:r w:rsidRPr="00495572">
        <w:rPr>
          <w:sz w:val="24"/>
          <w:szCs w:val="24"/>
        </w:rPr>
        <w:t xml:space="preserve"> </w:t>
      </w:r>
      <w:r>
        <w:rPr>
          <w:sz w:val="24"/>
          <w:szCs w:val="24"/>
        </w:rPr>
        <w:t>N</w:t>
      </w:r>
      <w:r w:rsidRPr="00495572">
        <w:rPr>
          <w:sz w:val="24"/>
          <w:szCs w:val="24"/>
        </w:rPr>
        <w:t xml:space="preserve">ajviac poskytlo </w:t>
      </w:r>
      <w:r w:rsidRPr="00153D59">
        <w:rPr>
          <w:sz w:val="24"/>
          <w:szCs w:val="24"/>
          <w:u w:val="single"/>
        </w:rPr>
        <w:t>Ministerstvo životného prostredia SR</w:t>
      </w:r>
      <w:r w:rsidRPr="00495572">
        <w:rPr>
          <w:sz w:val="24"/>
          <w:szCs w:val="24"/>
        </w:rPr>
        <w:t xml:space="preserve"> (40 475 tis. eur) </w:t>
      </w:r>
      <w:r w:rsidRPr="00D016AD">
        <w:rPr>
          <w:sz w:val="24"/>
          <w:szCs w:val="24"/>
        </w:rPr>
        <w:t>Slovenskému vodohospodárskemu podniku (</w:t>
      </w:r>
      <w:r>
        <w:rPr>
          <w:sz w:val="24"/>
          <w:szCs w:val="24"/>
        </w:rPr>
        <w:t>12</w:t>
      </w:r>
      <w:r w:rsidRPr="00D016AD">
        <w:rPr>
          <w:sz w:val="24"/>
          <w:szCs w:val="24"/>
        </w:rPr>
        <w:t> 5</w:t>
      </w:r>
      <w:r>
        <w:rPr>
          <w:sz w:val="24"/>
          <w:szCs w:val="24"/>
        </w:rPr>
        <w:t>02</w:t>
      </w:r>
      <w:r w:rsidRPr="00D016AD">
        <w:rPr>
          <w:sz w:val="24"/>
          <w:szCs w:val="24"/>
        </w:rPr>
        <w:t> tis. eur) v rámci Operačného programu Kvalita životného prostredia na účely zabezpečenia predchádzaniu vzniku biologicky rozložiteľného komunálneho odpadu, budovanie kanalizácie a ČOV, protipovodňové opatrenia</w:t>
      </w:r>
      <w:r>
        <w:rPr>
          <w:sz w:val="24"/>
          <w:szCs w:val="24"/>
        </w:rPr>
        <w:t xml:space="preserve"> a pod.</w:t>
      </w:r>
    </w:p>
    <w:tbl>
      <w:tblPr>
        <w:tblW w:w="9214" w:type="dxa"/>
        <w:tblCellMar>
          <w:left w:w="70" w:type="dxa"/>
          <w:right w:w="70" w:type="dxa"/>
        </w:tblCellMar>
        <w:tblLook w:val="04A0" w:firstRow="1" w:lastRow="0" w:firstColumn="1" w:lastColumn="0" w:noHBand="0" w:noVBand="1"/>
      </w:tblPr>
      <w:tblGrid>
        <w:gridCol w:w="3320"/>
        <w:gridCol w:w="960"/>
        <w:gridCol w:w="960"/>
        <w:gridCol w:w="960"/>
        <w:gridCol w:w="960"/>
        <w:gridCol w:w="980"/>
        <w:gridCol w:w="1074"/>
      </w:tblGrid>
      <w:tr w:rsidR="00060EF5" w:rsidRPr="002956F1" w14:paraId="30AE8314" w14:textId="77777777" w:rsidTr="00D2560E">
        <w:trPr>
          <w:trHeight w:val="300"/>
        </w:trPr>
        <w:tc>
          <w:tcPr>
            <w:tcW w:w="9214" w:type="dxa"/>
            <w:gridSpan w:val="7"/>
            <w:tcBorders>
              <w:top w:val="nil"/>
              <w:left w:val="nil"/>
              <w:bottom w:val="single" w:sz="8" w:space="0" w:color="auto"/>
              <w:right w:val="nil"/>
            </w:tcBorders>
            <w:shd w:val="clear" w:color="auto" w:fill="auto"/>
            <w:vAlign w:val="center"/>
            <w:hideMark/>
          </w:tcPr>
          <w:p w14:paraId="6D38A212" w14:textId="5EB2592D" w:rsidR="00060EF5" w:rsidRPr="002956F1" w:rsidRDefault="00060EF5" w:rsidP="004A6E2F">
            <w:pPr>
              <w:spacing w:after="0" w:line="240" w:lineRule="auto"/>
              <w:rPr>
                <w:rFonts w:eastAsia="Times New Roman" w:cs="Times New Roman"/>
                <w:b/>
                <w:bCs/>
                <w:color w:val="5B9BD5"/>
                <w:sz w:val="20"/>
                <w:szCs w:val="20"/>
                <w:lang w:eastAsia="sk-SK"/>
              </w:rPr>
            </w:pPr>
            <w:r w:rsidRPr="002956F1">
              <w:rPr>
                <w:rFonts w:eastAsia="Times New Roman" w:cs="Times New Roman"/>
                <w:b/>
                <w:bCs/>
                <w:color w:val="5B9BD5"/>
                <w:sz w:val="20"/>
                <w:szCs w:val="20"/>
                <w:lang w:eastAsia="sk-SK"/>
              </w:rPr>
              <w:t xml:space="preserve">Tabuľka </w:t>
            </w:r>
            <w:r>
              <w:rPr>
                <w:rFonts w:eastAsia="Times New Roman" w:cs="Times New Roman"/>
                <w:b/>
                <w:bCs/>
                <w:color w:val="5B9BD5"/>
                <w:sz w:val="20"/>
                <w:szCs w:val="20"/>
                <w:lang w:eastAsia="sk-SK"/>
              </w:rPr>
              <w:t>4</w:t>
            </w:r>
            <w:r w:rsidR="004A6E2F">
              <w:rPr>
                <w:rFonts w:eastAsia="Times New Roman" w:cs="Times New Roman"/>
                <w:b/>
                <w:bCs/>
                <w:color w:val="5B9BD5"/>
                <w:sz w:val="20"/>
                <w:szCs w:val="20"/>
                <w:lang w:eastAsia="sk-SK"/>
              </w:rPr>
              <w:t>2</w:t>
            </w:r>
            <w:r w:rsidRPr="002956F1">
              <w:rPr>
                <w:rFonts w:eastAsia="Times New Roman" w:cs="Times New Roman"/>
                <w:b/>
                <w:bCs/>
                <w:color w:val="5B9BD5"/>
                <w:sz w:val="20"/>
                <w:szCs w:val="20"/>
                <w:lang w:eastAsia="sk-SK"/>
              </w:rPr>
              <w:t xml:space="preserve"> - Transfery v rámci verejnej správy</w:t>
            </w:r>
          </w:p>
        </w:tc>
      </w:tr>
      <w:tr w:rsidR="00060EF5" w:rsidRPr="002956F1" w14:paraId="11EF25D9" w14:textId="77777777" w:rsidTr="00D2560E">
        <w:trPr>
          <w:trHeight w:val="288"/>
        </w:trPr>
        <w:tc>
          <w:tcPr>
            <w:tcW w:w="3320" w:type="dxa"/>
            <w:vMerge w:val="restart"/>
            <w:tcBorders>
              <w:top w:val="nil"/>
              <w:left w:val="nil"/>
              <w:bottom w:val="single" w:sz="8" w:space="0" w:color="000000"/>
              <w:right w:val="nil"/>
            </w:tcBorders>
            <w:shd w:val="clear" w:color="auto" w:fill="auto"/>
            <w:vAlign w:val="center"/>
            <w:hideMark/>
          </w:tcPr>
          <w:p w14:paraId="31E75788" w14:textId="77777777" w:rsidR="00060EF5" w:rsidRPr="002956F1" w:rsidRDefault="00060EF5" w:rsidP="00D2560E">
            <w:pPr>
              <w:spacing w:after="0" w:line="240" w:lineRule="auto"/>
              <w:jc w:val="left"/>
              <w:rPr>
                <w:rFonts w:eastAsia="Times New Roman" w:cs="Times New Roman"/>
                <w:b/>
                <w:bCs/>
                <w:color w:val="000000"/>
                <w:sz w:val="20"/>
                <w:szCs w:val="20"/>
                <w:lang w:eastAsia="sk-SK"/>
              </w:rPr>
            </w:pPr>
            <w:r w:rsidRPr="002956F1">
              <w:rPr>
                <w:rFonts w:eastAsia="Times New Roman" w:cs="Times New Roman"/>
                <w:b/>
                <w:bCs/>
                <w:color w:val="000000"/>
                <w:sz w:val="20"/>
                <w:szCs w:val="20"/>
                <w:lang w:eastAsia="sk-SK"/>
              </w:rPr>
              <w:t>v tis. eur</w:t>
            </w:r>
          </w:p>
        </w:tc>
        <w:tc>
          <w:tcPr>
            <w:tcW w:w="960" w:type="dxa"/>
            <w:tcBorders>
              <w:top w:val="nil"/>
              <w:left w:val="nil"/>
              <w:bottom w:val="nil"/>
              <w:right w:val="nil"/>
            </w:tcBorders>
            <w:shd w:val="clear" w:color="auto" w:fill="auto"/>
            <w:vAlign w:val="center"/>
            <w:hideMark/>
          </w:tcPr>
          <w:p w14:paraId="1315B7E7" w14:textId="77777777" w:rsidR="00060EF5" w:rsidRPr="002956F1" w:rsidRDefault="00060EF5" w:rsidP="00D2560E">
            <w:pPr>
              <w:spacing w:after="0" w:line="240" w:lineRule="auto"/>
              <w:jc w:val="center"/>
              <w:rPr>
                <w:rFonts w:eastAsia="Times New Roman" w:cs="Times New Roman"/>
                <w:b/>
                <w:bCs/>
                <w:color w:val="000000"/>
                <w:sz w:val="20"/>
                <w:szCs w:val="20"/>
                <w:lang w:eastAsia="sk-SK"/>
              </w:rPr>
            </w:pPr>
            <w:r w:rsidRPr="002956F1">
              <w:rPr>
                <w:rFonts w:eastAsia="Times New Roman" w:cs="Times New Roman"/>
                <w:b/>
                <w:bCs/>
                <w:color w:val="000000"/>
                <w:sz w:val="20"/>
                <w:szCs w:val="20"/>
                <w:lang w:eastAsia="sk-SK"/>
              </w:rPr>
              <w:t>2021 S</w:t>
            </w:r>
          </w:p>
        </w:tc>
        <w:tc>
          <w:tcPr>
            <w:tcW w:w="960" w:type="dxa"/>
            <w:tcBorders>
              <w:top w:val="nil"/>
              <w:left w:val="nil"/>
              <w:bottom w:val="nil"/>
              <w:right w:val="nil"/>
            </w:tcBorders>
            <w:shd w:val="clear" w:color="auto" w:fill="auto"/>
            <w:vAlign w:val="center"/>
            <w:hideMark/>
          </w:tcPr>
          <w:p w14:paraId="433CD4F0" w14:textId="77777777" w:rsidR="00060EF5" w:rsidRPr="002956F1" w:rsidRDefault="00060EF5" w:rsidP="00D2560E">
            <w:pPr>
              <w:spacing w:after="0" w:line="240" w:lineRule="auto"/>
              <w:jc w:val="center"/>
              <w:rPr>
                <w:rFonts w:eastAsia="Times New Roman" w:cs="Times New Roman"/>
                <w:b/>
                <w:bCs/>
                <w:color w:val="000000"/>
                <w:sz w:val="20"/>
                <w:szCs w:val="20"/>
                <w:lang w:eastAsia="sk-SK"/>
              </w:rPr>
            </w:pPr>
            <w:r w:rsidRPr="002956F1">
              <w:rPr>
                <w:rFonts w:eastAsia="Times New Roman" w:cs="Times New Roman"/>
                <w:b/>
                <w:bCs/>
                <w:color w:val="000000"/>
                <w:sz w:val="20"/>
                <w:szCs w:val="20"/>
                <w:lang w:eastAsia="sk-SK"/>
              </w:rPr>
              <w:t>2022 S</w:t>
            </w:r>
          </w:p>
        </w:tc>
        <w:tc>
          <w:tcPr>
            <w:tcW w:w="960" w:type="dxa"/>
            <w:tcBorders>
              <w:top w:val="nil"/>
              <w:left w:val="nil"/>
              <w:bottom w:val="nil"/>
              <w:right w:val="nil"/>
            </w:tcBorders>
            <w:shd w:val="clear" w:color="auto" w:fill="auto"/>
            <w:vAlign w:val="center"/>
            <w:hideMark/>
          </w:tcPr>
          <w:p w14:paraId="0FC1C1A0" w14:textId="77777777" w:rsidR="00060EF5" w:rsidRPr="002956F1" w:rsidRDefault="00060EF5" w:rsidP="00D2560E">
            <w:pPr>
              <w:spacing w:after="0" w:line="240" w:lineRule="auto"/>
              <w:jc w:val="center"/>
              <w:rPr>
                <w:rFonts w:eastAsia="Times New Roman" w:cs="Times New Roman"/>
                <w:b/>
                <w:bCs/>
                <w:color w:val="000000"/>
                <w:sz w:val="20"/>
                <w:szCs w:val="20"/>
                <w:lang w:eastAsia="sk-SK"/>
              </w:rPr>
            </w:pPr>
            <w:r w:rsidRPr="002956F1">
              <w:rPr>
                <w:rFonts w:eastAsia="Times New Roman" w:cs="Times New Roman"/>
                <w:b/>
                <w:bCs/>
                <w:color w:val="000000"/>
                <w:sz w:val="20"/>
                <w:szCs w:val="20"/>
                <w:lang w:eastAsia="sk-SK"/>
              </w:rPr>
              <w:t>2023 R</w:t>
            </w:r>
          </w:p>
        </w:tc>
        <w:tc>
          <w:tcPr>
            <w:tcW w:w="960" w:type="dxa"/>
            <w:tcBorders>
              <w:top w:val="nil"/>
              <w:left w:val="nil"/>
              <w:bottom w:val="nil"/>
              <w:right w:val="nil"/>
            </w:tcBorders>
            <w:shd w:val="clear" w:color="auto" w:fill="auto"/>
            <w:vAlign w:val="center"/>
            <w:hideMark/>
          </w:tcPr>
          <w:p w14:paraId="172DC0B7" w14:textId="77777777" w:rsidR="00060EF5" w:rsidRPr="002956F1" w:rsidRDefault="00060EF5" w:rsidP="00D2560E">
            <w:pPr>
              <w:spacing w:after="0" w:line="240" w:lineRule="auto"/>
              <w:jc w:val="center"/>
              <w:rPr>
                <w:rFonts w:eastAsia="Times New Roman" w:cs="Times New Roman"/>
                <w:b/>
                <w:bCs/>
                <w:color w:val="000000"/>
                <w:sz w:val="20"/>
                <w:szCs w:val="20"/>
                <w:lang w:eastAsia="sk-SK"/>
              </w:rPr>
            </w:pPr>
            <w:r w:rsidRPr="002956F1">
              <w:rPr>
                <w:rFonts w:eastAsia="Times New Roman" w:cs="Times New Roman"/>
                <w:b/>
                <w:bCs/>
                <w:color w:val="000000"/>
                <w:sz w:val="20"/>
                <w:szCs w:val="20"/>
                <w:lang w:eastAsia="sk-SK"/>
              </w:rPr>
              <w:t>2023 S</w:t>
            </w:r>
          </w:p>
        </w:tc>
        <w:tc>
          <w:tcPr>
            <w:tcW w:w="980" w:type="dxa"/>
            <w:tcBorders>
              <w:top w:val="nil"/>
              <w:left w:val="nil"/>
              <w:bottom w:val="nil"/>
              <w:right w:val="nil"/>
            </w:tcBorders>
            <w:shd w:val="clear" w:color="auto" w:fill="auto"/>
            <w:vAlign w:val="center"/>
            <w:hideMark/>
          </w:tcPr>
          <w:p w14:paraId="5146D8B0" w14:textId="77777777" w:rsidR="00060EF5" w:rsidRPr="002956F1" w:rsidRDefault="00060EF5" w:rsidP="00D2560E">
            <w:pPr>
              <w:spacing w:after="0" w:line="240" w:lineRule="auto"/>
              <w:jc w:val="center"/>
              <w:rPr>
                <w:rFonts w:eastAsia="Times New Roman" w:cs="Times New Roman"/>
                <w:b/>
                <w:bCs/>
                <w:color w:val="000000"/>
                <w:sz w:val="20"/>
                <w:szCs w:val="20"/>
                <w:lang w:eastAsia="sk-SK"/>
              </w:rPr>
            </w:pPr>
            <w:r w:rsidRPr="002956F1">
              <w:rPr>
                <w:rFonts w:eastAsia="Times New Roman" w:cs="Times New Roman"/>
                <w:b/>
                <w:bCs/>
                <w:color w:val="000000"/>
                <w:sz w:val="20"/>
                <w:szCs w:val="20"/>
                <w:lang w:eastAsia="sk-SK"/>
              </w:rPr>
              <w:t>Rozdiel</w:t>
            </w:r>
          </w:p>
        </w:tc>
        <w:tc>
          <w:tcPr>
            <w:tcW w:w="1074" w:type="dxa"/>
            <w:tcBorders>
              <w:top w:val="nil"/>
              <w:left w:val="nil"/>
              <w:bottom w:val="nil"/>
              <w:right w:val="nil"/>
            </w:tcBorders>
            <w:shd w:val="clear" w:color="auto" w:fill="auto"/>
            <w:vAlign w:val="center"/>
            <w:hideMark/>
          </w:tcPr>
          <w:p w14:paraId="25F3B839" w14:textId="77777777" w:rsidR="00060EF5" w:rsidRPr="002956F1" w:rsidRDefault="00060EF5" w:rsidP="00D2560E">
            <w:pPr>
              <w:spacing w:after="0" w:line="240" w:lineRule="auto"/>
              <w:jc w:val="center"/>
              <w:rPr>
                <w:rFonts w:eastAsia="Times New Roman" w:cs="Times New Roman"/>
                <w:b/>
                <w:bCs/>
                <w:color w:val="000000"/>
                <w:sz w:val="20"/>
                <w:szCs w:val="20"/>
                <w:lang w:eastAsia="sk-SK"/>
              </w:rPr>
            </w:pPr>
            <w:r w:rsidRPr="002956F1">
              <w:rPr>
                <w:rFonts w:eastAsia="Times New Roman" w:cs="Times New Roman"/>
                <w:b/>
                <w:bCs/>
                <w:color w:val="000000"/>
                <w:sz w:val="20"/>
                <w:szCs w:val="20"/>
                <w:lang w:eastAsia="sk-SK"/>
              </w:rPr>
              <w:t>v %</w:t>
            </w:r>
          </w:p>
        </w:tc>
      </w:tr>
      <w:tr w:rsidR="00060EF5" w:rsidRPr="002956F1" w14:paraId="41EED319" w14:textId="77777777" w:rsidTr="00D2560E">
        <w:trPr>
          <w:trHeight w:val="300"/>
        </w:trPr>
        <w:tc>
          <w:tcPr>
            <w:tcW w:w="3320" w:type="dxa"/>
            <w:vMerge/>
            <w:tcBorders>
              <w:top w:val="nil"/>
              <w:left w:val="nil"/>
              <w:bottom w:val="single" w:sz="8" w:space="0" w:color="000000"/>
              <w:right w:val="nil"/>
            </w:tcBorders>
            <w:vAlign w:val="center"/>
            <w:hideMark/>
          </w:tcPr>
          <w:p w14:paraId="1E8B9FB8" w14:textId="77777777" w:rsidR="00060EF5" w:rsidRPr="002956F1" w:rsidRDefault="00060EF5" w:rsidP="00D2560E">
            <w:pPr>
              <w:spacing w:after="0" w:line="240" w:lineRule="auto"/>
              <w:jc w:val="left"/>
              <w:rPr>
                <w:rFonts w:eastAsia="Times New Roman" w:cs="Times New Roman"/>
                <w:b/>
                <w:bCs/>
                <w:color w:val="000000"/>
                <w:sz w:val="20"/>
                <w:szCs w:val="20"/>
                <w:lang w:eastAsia="sk-SK"/>
              </w:rPr>
            </w:pPr>
          </w:p>
        </w:tc>
        <w:tc>
          <w:tcPr>
            <w:tcW w:w="960" w:type="dxa"/>
            <w:tcBorders>
              <w:top w:val="nil"/>
              <w:left w:val="nil"/>
              <w:bottom w:val="single" w:sz="8" w:space="0" w:color="auto"/>
              <w:right w:val="nil"/>
            </w:tcBorders>
            <w:shd w:val="clear" w:color="auto" w:fill="auto"/>
            <w:vAlign w:val="center"/>
            <w:hideMark/>
          </w:tcPr>
          <w:p w14:paraId="6D7B1DEC" w14:textId="77777777" w:rsidR="00060EF5" w:rsidRPr="002956F1" w:rsidRDefault="00060EF5" w:rsidP="00D2560E">
            <w:pPr>
              <w:spacing w:after="0" w:line="240" w:lineRule="auto"/>
              <w:jc w:val="center"/>
              <w:rPr>
                <w:rFonts w:eastAsia="Times New Roman" w:cs="Times New Roman"/>
                <w:b/>
                <w:bCs/>
                <w:color w:val="000000"/>
                <w:sz w:val="20"/>
                <w:szCs w:val="20"/>
                <w:lang w:eastAsia="sk-SK"/>
              </w:rPr>
            </w:pPr>
            <w:r w:rsidRPr="002956F1">
              <w:rPr>
                <w:rFonts w:eastAsia="Times New Roman" w:cs="Times New Roman"/>
                <w:b/>
                <w:bCs/>
                <w:color w:val="000000"/>
                <w:sz w:val="20"/>
                <w:szCs w:val="20"/>
                <w:lang w:eastAsia="sk-SK"/>
              </w:rPr>
              <w:t>1</w:t>
            </w:r>
          </w:p>
        </w:tc>
        <w:tc>
          <w:tcPr>
            <w:tcW w:w="960" w:type="dxa"/>
            <w:tcBorders>
              <w:top w:val="nil"/>
              <w:left w:val="nil"/>
              <w:bottom w:val="single" w:sz="8" w:space="0" w:color="auto"/>
              <w:right w:val="nil"/>
            </w:tcBorders>
            <w:shd w:val="clear" w:color="auto" w:fill="auto"/>
            <w:vAlign w:val="center"/>
            <w:hideMark/>
          </w:tcPr>
          <w:p w14:paraId="2737DCE6" w14:textId="77777777" w:rsidR="00060EF5" w:rsidRPr="002956F1" w:rsidRDefault="00060EF5" w:rsidP="00D2560E">
            <w:pPr>
              <w:spacing w:after="0" w:line="240" w:lineRule="auto"/>
              <w:jc w:val="center"/>
              <w:rPr>
                <w:rFonts w:eastAsia="Times New Roman" w:cs="Times New Roman"/>
                <w:b/>
                <w:bCs/>
                <w:color w:val="000000"/>
                <w:sz w:val="20"/>
                <w:szCs w:val="20"/>
                <w:lang w:eastAsia="sk-SK"/>
              </w:rPr>
            </w:pPr>
            <w:r w:rsidRPr="002956F1">
              <w:rPr>
                <w:rFonts w:eastAsia="Times New Roman" w:cs="Times New Roman"/>
                <w:b/>
                <w:bCs/>
                <w:color w:val="000000"/>
                <w:sz w:val="20"/>
                <w:szCs w:val="20"/>
                <w:lang w:eastAsia="sk-SK"/>
              </w:rPr>
              <w:t>2</w:t>
            </w:r>
          </w:p>
        </w:tc>
        <w:tc>
          <w:tcPr>
            <w:tcW w:w="960" w:type="dxa"/>
            <w:tcBorders>
              <w:top w:val="nil"/>
              <w:left w:val="nil"/>
              <w:bottom w:val="single" w:sz="8" w:space="0" w:color="auto"/>
              <w:right w:val="nil"/>
            </w:tcBorders>
            <w:shd w:val="clear" w:color="auto" w:fill="auto"/>
            <w:vAlign w:val="center"/>
            <w:hideMark/>
          </w:tcPr>
          <w:p w14:paraId="25222844" w14:textId="77777777" w:rsidR="00060EF5" w:rsidRPr="002956F1" w:rsidRDefault="00060EF5" w:rsidP="00D2560E">
            <w:pPr>
              <w:spacing w:after="0" w:line="240" w:lineRule="auto"/>
              <w:jc w:val="center"/>
              <w:rPr>
                <w:rFonts w:eastAsia="Times New Roman" w:cs="Times New Roman"/>
                <w:b/>
                <w:bCs/>
                <w:color w:val="000000"/>
                <w:sz w:val="20"/>
                <w:szCs w:val="20"/>
                <w:lang w:eastAsia="sk-SK"/>
              </w:rPr>
            </w:pPr>
            <w:r w:rsidRPr="002956F1">
              <w:rPr>
                <w:rFonts w:eastAsia="Times New Roman" w:cs="Times New Roman"/>
                <w:b/>
                <w:bCs/>
                <w:color w:val="000000"/>
                <w:sz w:val="20"/>
                <w:szCs w:val="20"/>
                <w:lang w:eastAsia="sk-SK"/>
              </w:rPr>
              <w:t>3</w:t>
            </w:r>
          </w:p>
        </w:tc>
        <w:tc>
          <w:tcPr>
            <w:tcW w:w="960" w:type="dxa"/>
            <w:tcBorders>
              <w:top w:val="nil"/>
              <w:left w:val="nil"/>
              <w:bottom w:val="single" w:sz="8" w:space="0" w:color="auto"/>
              <w:right w:val="nil"/>
            </w:tcBorders>
            <w:shd w:val="clear" w:color="auto" w:fill="auto"/>
            <w:vAlign w:val="center"/>
            <w:hideMark/>
          </w:tcPr>
          <w:p w14:paraId="2A6F81D6" w14:textId="77777777" w:rsidR="00060EF5" w:rsidRPr="002956F1" w:rsidRDefault="00060EF5" w:rsidP="00D2560E">
            <w:pPr>
              <w:spacing w:after="0" w:line="240" w:lineRule="auto"/>
              <w:jc w:val="center"/>
              <w:rPr>
                <w:rFonts w:eastAsia="Times New Roman" w:cs="Times New Roman"/>
                <w:b/>
                <w:bCs/>
                <w:color w:val="000000"/>
                <w:sz w:val="20"/>
                <w:szCs w:val="20"/>
                <w:lang w:eastAsia="sk-SK"/>
              </w:rPr>
            </w:pPr>
            <w:r w:rsidRPr="002956F1">
              <w:rPr>
                <w:rFonts w:eastAsia="Times New Roman" w:cs="Times New Roman"/>
                <w:b/>
                <w:bCs/>
                <w:color w:val="000000"/>
                <w:sz w:val="20"/>
                <w:szCs w:val="20"/>
                <w:lang w:eastAsia="sk-SK"/>
              </w:rPr>
              <w:t>4</w:t>
            </w:r>
          </w:p>
        </w:tc>
        <w:tc>
          <w:tcPr>
            <w:tcW w:w="980" w:type="dxa"/>
            <w:tcBorders>
              <w:top w:val="nil"/>
              <w:left w:val="nil"/>
              <w:bottom w:val="single" w:sz="8" w:space="0" w:color="auto"/>
              <w:right w:val="nil"/>
            </w:tcBorders>
            <w:shd w:val="clear" w:color="auto" w:fill="auto"/>
            <w:vAlign w:val="center"/>
            <w:hideMark/>
          </w:tcPr>
          <w:p w14:paraId="12D4AD03" w14:textId="77777777" w:rsidR="00060EF5" w:rsidRPr="002956F1" w:rsidRDefault="00060EF5" w:rsidP="00D2560E">
            <w:pPr>
              <w:spacing w:after="0" w:line="240" w:lineRule="auto"/>
              <w:jc w:val="center"/>
              <w:rPr>
                <w:rFonts w:eastAsia="Times New Roman" w:cs="Times New Roman"/>
                <w:b/>
                <w:bCs/>
                <w:color w:val="000000"/>
                <w:sz w:val="20"/>
                <w:szCs w:val="20"/>
                <w:lang w:eastAsia="sk-SK"/>
              </w:rPr>
            </w:pPr>
            <w:r w:rsidRPr="002956F1">
              <w:rPr>
                <w:rFonts w:eastAsia="Times New Roman" w:cs="Times New Roman"/>
                <w:b/>
                <w:bCs/>
                <w:color w:val="000000"/>
                <w:sz w:val="20"/>
                <w:szCs w:val="20"/>
                <w:lang w:eastAsia="sk-SK"/>
              </w:rPr>
              <w:t>5=4-3</w:t>
            </w:r>
          </w:p>
        </w:tc>
        <w:tc>
          <w:tcPr>
            <w:tcW w:w="1074" w:type="dxa"/>
            <w:tcBorders>
              <w:top w:val="nil"/>
              <w:left w:val="nil"/>
              <w:bottom w:val="single" w:sz="8" w:space="0" w:color="auto"/>
              <w:right w:val="nil"/>
            </w:tcBorders>
            <w:shd w:val="clear" w:color="auto" w:fill="auto"/>
            <w:vAlign w:val="center"/>
            <w:hideMark/>
          </w:tcPr>
          <w:p w14:paraId="03FDFD66" w14:textId="77777777" w:rsidR="00060EF5" w:rsidRPr="002956F1" w:rsidRDefault="00060EF5" w:rsidP="00D2560E">
            <w:pPr>
              <w:spacing w:after="0" w:line="240" w:lineRule="auto"/>
              <w:jc w:val="center"/>
              <w:rPr>
                <w:rFonts w:eastAsia="Times New Roman" w:cs="Times New Roman"/>
                <w:b/>
                <w:bCs/>
                <w:color w:val="000000"/>
                <w:sz w:val="20"/>
                <w:szCs w:val="20"/>
                <w:lang w:eastAsia="sk-SK"/>
              </w:rPr>
            </w:pPr>
            <w:r w:rsidRPr="002956F1">
              <w:rPr>
                <w:rFonts w:eastAsia="Times New Roman" w:cs="Times New Roman"/>
                <w:b/>
                <w:bCs/>
                <w:color w:val="000000"/>
                <w:sz w:val="20"/>
                <w:szCs w:val="20"/>
                <w:lang w:eastAsia="sk-SK"/>
              </w:rPr>
              <w:t>6=4-3</w:t>
            </w:r>
          </w:p>
        </w:tc>
      </w:tr>
      <w:tr w:rsidR="00060EF5" w:rsidRPr="002956F1" w14:paraId="44D952F9" w14:textId="77777777" w:rsidTr="00D2560E">
        <w:trPr>
          <w:trHeight w:val="288"/>
        </w:trPr>
        <w:tc>
          <w:tcPr>
            <w:tcW w:w="3320" w:type="dxa"/>
            <w:tcBorders>
              <w:top w:val="nil"/>
              <w:left w:val="nil"/>
              <w:bottom w:val="nil"/>
              <w:right w:val="nil"/>
            </w:tcBorders>
            <w:shd w:val="clear" w:color="auto" w:fill="auto"/>
            <w:vAlign w:val="center"/>
            <w:hideMark/>
          </w:tcPr>
          <w:p w14:paraId="022543E5" w14:textId="77777777" w:rsidR="00060EF5" w:rsidRPr="002956F1" w:rsidRDefault="00060EF5" w:rsidP="00D2560E">
            <w:pPr>
              <w:spacing w:after="0" w:line="240" w:lineRule="auto"/>
              <w:jc w:val="left"/>
              <w:rPr>
                <w:rFonts w:eastAsia="Times New Roman" w:cs="Times New Roman"/>
                <w:color w:val="000000"/>
                <w:sz w:val="20"/>
                <w:szCs w:val="20"/>
                <w:lang w:eastAsia="sk-SK"/>
              </w:rPr>
            </w:pPr>
            <w:r w:rsidRPr="002956F1">
              <w:rPr>
                <w:rFonts w:eastAsia="Times New Roman" w:cs="Times New Roman"/>
                <w:color w:val="000000"/>
                <w:sz w:val="20"/>
                <w:szCs w:val="20"/>
                <w:lang w:eastAsia="sk-SK"/>
              </w:rPr>
              <w:t>Národnej diaľničnej spoločnosti</w:t>
            </w:r>
          </w:p>
        </w:tc>
        <w:tc>
          <w:tcPr>
            <w:tcW w:w="960" w:type="dxa"/>
            <w:tcBorders>
              <w:top w:val="nil"/>
              <w:left w:val="nil"/>
              <w:bottom w:val="nil"/>
              <w:right w:val="nil"/>
            </w:tcBorders>
            <w:shd w:val="clear" w:color="auto" w:fill="auto"/>
            <w:noWrap/>
            <w:vAlign w:val="center"/>
            <w:hideMark/>
          </w:tcPr>
          <w:p w14:paraId="6AAA6B8D"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371 887</w:t>
            </w:r>
          </w:p>
        </w:tc>
        <w:tc>
          <w:tcPr>
            <w:tcW w:w="960" w:type="dxa"/>
            <w:tcBorders>
              <w:top w:val="nil"/>
              <w:left w:val="nil"/>
              <w:bottom w:val="nil"/>
              <w:right w:val="nil"/>
            </w:tcBorders>
            <w:shd w:val="clear" w:color="auto" w:fill="auto"/>
            <w:noWrap/>
            <w:vAlign w:val="center"/>
            <w:hideMark/>
          </w:tcPr>
          <w:p w14:paraId="26ECE561"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441 132</w:t>
            </w:r>
          </w:p>
        </w:tc>
        <w:tc>
          <w:tcPr>
            <w:tcW w:w="960" w:type="dxa"/>
            <w:tcBorders>
              <w:top w:val="nil"/>
              <w:left w:val="nil"/>
              <w:bottom w:val="nil"/>
              <w:right w:val="nil"/>
            </w:tcBorders>
            <w:shd w:val="clear" w:color="auto" w:fill="auto"/>
            <w:noWrap/>
            <w:vAlign w:val="center"/>
            <w:hideMark/>
          </w:tcPr>
          <w:p w14:paraId="69288CF5"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0</w:t>
            </w:r>
          </w:p>
        </w:tc>
        <w:tc>
          <w:tcPr>
            <w:tcW w:w="960" w:type="dxa"/>
            <w:tcBorders>
              <w:top w:val="nil"/>
              <w:left w:val="nil"/>
              <w:bottom w:val="nil"/>
              <w:right w:val="nil"/>
            </w:tcBorders>
            <w:shd w:val="clear" w:color="auto" w:fill="auto"/>
            <w:noWrap/>
            <w:vAlign w:val="center"/>
            <w:hideMark/>
          </w:tcPr>
          <w:p w14:paraId="53B48139"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482 116</w:t>
            </w:r>
          </w:p>
        </w:tc>
        <w:tc>
          <w:tcPr>
            <w:tcW w:w="980" w:type="dxa"/>
            <w:tcBorders>
              <w:top w:val="nil"/>
              <w:left w:val="nil"/>
              <w:bottom w:val="nil"/>
              <w:right w:val="nil"/>
            </w:tcBorders>
            <w:shd w:val="clear" w:color="auto" w:fill="auto"/>
            <w:noWrap/>
            <w:vAlign w:val="center"/>
            <w:hideMark/>
          </w:tcPr>
          <w:p w14:paraId="4ECE48F7"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482 116</w:t>
            </w:r>
          </w:p>
        </w:tc>
        <w:tc>
          <w:tcPr>
            <w:tcW w:w="1074" w:type="dxa"/>
            <w:tcBorders>
              <w:top w:val="nil"/>
              <w:left w:val="nil"/>
              <w:bottom w:val="nil"/>
              <w:right w:val="nil"/>
            </w:tcBorders>
            <w:shd w:val="clear" w:color="auto" w:fill="auto"/>
            <w:noWrap/>
            <w:vAlign w:val="center"/>
            <w:hideMark/>
          </w:tcPr>
          <w:p w14:paraId="5AD1FCBA"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0,00</w:t>
            </w:r>
          </w:p>
        </w:tc>
      </w:tr>
      <w:tr w:rsidR="00060EF5" w:rsidRPr="002956F1" w14:paraId="1F6F7CDE" w14:textId="77777777" w:rsidTr="00D2560E">
        <w:trPr>
          <w:trHeight w:val="288"/>
        </w:trPr>
        <w:tc>
          <w:tcPr>
            <w:tcW w:w="3320" w:type="dxa"/>
            <w:tcBorders>
              <w:top w:val="nil"/>
              <w:left w:val="nil"/>
              <w:bottom w:val="nil"/>
              <w:right w:val="nil"/>
            </w:tcBorders>
            <w:shd w:val="clear" w:color="auto" w:fill="auto"/>
            <w:vAlign w:val="center"/>
            <w:hideMark/>
          </w:tcPr>
          <w:p w14:paraId="6050E768" w14:textId="77777777" w:rsidR="00060EF5" w:rsidRPr="002956F1" w:rsidRDefault="00060EF5" w:rsidP="00D2560E">
            <w:pPr>
              <w:spacing w:after="0" w:line="240" w:lineRule="auto"/>
              <w:jc w:val="left"/>
              <w:rPr>
                <w:rFonts w:eastAsia="Times New Roman" w:cs="Times New Roman"/>
                <w:color w:val="000000"/>
                <w:sz w:val="20"/>
                <w:szCs w:val="20"/>
                <w:lang w:eastAsia="sk-SK"/>
              </w:rPr>
            </w:pPr>
            <w:r w:rsidRPr="002956F1">
              <w:rPr>
                <w:rFonts w:eastAsia="Times New Roman" w:cs="Times New Roman"/>
                <w:color w:val="000000"/>
                <w:sz w:val="20"/>
                <w:szCs w:val="20"/>
                <w:lang w:eastAsia="sk-SK"/>
              </w:rPr>
              <w:t>Obciam</w:t>
            </w:r>
          </w:p>
        </w:tc>
        <w:tc>
          <w:tcPr>
            <w:tcW w:w="960" w:type="dxa"/>
            <w:tcBorders>
              <w:top w:val="nil"/>
              <w:left w:val="nil"/>
              <w:bottom w:val="nil"/>
              <w:right w:val="nil"/>
            </w:tcBorders>
            <w:shd w:val="clear" w:color="auto" w:fill="auto"/>
            <w:noWrap/>
            <w:vAlign w:val="center"/>
            <w:hideMark/>
          </w:tcPr>
          <w:p w14:paraId="1ACA6F87"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214 362</w:t>
            </w:r>
          </w:p>
        </w:tc>
        <w:tc>
          <w:tcPr>
            <w:tcW w:w="960" w:type="dxa"/>
            <w:tcBorders>
              <w:top w:val="nil"/>
              <w:left w:val="nil"/>
              <w:bottom w:val="nil"/>
              <w:right w:val="nil"/>
            </w:tcBorders>
            <w:shd w:val="clear" w:color="auto" w:fill="auto"/>
            <w:noWrap/>
            <w:vAlign w:val="center"/>
            <w:hideMark/>
          </w:tcPr>
          <w:p w14:paraId="6325535A"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216 793</w:t>
            </w:r>
          </w:p>
        </w:tc>
        <w:tc>
          <w:tcPr>
            <w:tcW w:w="960" w:type="dxa"/>
            <w:tcBorders>
              <w:top w:val="nil"/>
              <w:left w:val="nil"/>
              <w:bottom w:val="nil"/>
              <w:right w:val="nil"/>
            </w:tcBorders>
            <w:shd w:val="clear" w:color="auto" w:fill="auto"/>
            <w:noWrap/>
            <w:vAlign w:val="center"/>
            <w:hideMark/>
          </w:tcPr>
          <w:p w14:paraId="29FB7E36"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144 684</w:t>
            </w:r>
          </w:p>
        </w:tc>
        <w:tc>
          <w:tcPr>
            <w:tcW w:w="960" w:type="dxa"/>
            <w:tcBorders>
              <w:top w:val="nil"/>
              <w:left w:val="nil"/>
              <w:bottom w:val="nil"/>
              <w:right w:val="nil"/>
            </w:tcBorders>
            <w:shd w:val="clear" w:color="auto" w:fill="auto"/>
            <w:noWrap/>
            <w:vAlign w:val="center"/>
            <w:hideMark/>
          </w:tcPr>
          <w:p w14:paraId="3025A147"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577 263</w:t>
            </w:r>
          </w:p>
        </w:tc>
        <w:tc>
          <w:tcPr>
            <w:tcW w:w="980" w:type="dxa"/>
            <w:tcBorders>
              <w:top w:val="nil"/>
              <w:left w:val="nil"/>
              <w:bottom w:val="nil"/>
              <w:right w:val="nil"/>
            </w:tcBorders>
            <w:shd w:val="clear" w:color="auto" w:fill="auto"/>
            <w:noWrap/>
            <w:vAlign w:val="center"/>
            <w:hideMark/>
          </w:tcPr>
          <w:p w14:paraId="2EA8FB75"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432 579</w:t>
            </w:r>
          </w:p>
        </w:tc>
        <w:tc>
          <w:tcPr>
            <w:tcW w:w="1074" w:type="dxa"/>
            <w:tcBorders>
              <w:top w:val="nil"/>
              <w:left w:val="nil"/>
              <w:bottom w:val="nil"/>
              <w:right w:val="nil"/>
            </w:tcBorders>
            <w:shd w:val="clear" w:color="auto" w:fill="auto"/>
            <w:noWrap/>
            <w:vAlign w:val="center"/>
            <w:hideMark/>
          </w:tcPr>
          <w:p w14:paraId="23C3891A"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298,98</w:t>
            </w:r>
          </w:p>
        </w:tc>
      </w:tr>
      <w:tr w:rsidR="00060EF5" w:rsidRPr="002956F1" w14:paraId="333EB05A" w14:textId="77777777" w:rsidTr="00D2560E">
        <w:trPr>
          <w:trHeight w:val="288"/>
        </w:trPr>
        <w:tc>
          <w:tcPr>
            <w:tcW w:w="3320" w:type="dxa"/>
            <w:tcBorders>
              <w:top w:val="nil"/>
              <w:left w:val="nil"/>
              <w:bottom w:val="nil"/>
              <w:right w:val="nil"/>
            </w:tcBorders>
            <w:shd w:val="clear" w:color="auto" w:fill="auto"/>
            <w:vAlign w:val="center"/>
            <w:hideMark/>
          </w:tcPr>
          <w:p w14:paraId="131622FF" w14:textId="77777777" w:rsidR="00060EF5" w:rsidRPr="002956F1" w:rsidRDefault="00060EF5" w:rsidP="00D2560E">
            <w:pPr>
              <w:spacing w:after="0" w:line="240" w:lineRule="auto"/>
              <w:jc w:val="left"/>
              <w:rPr>
                <w:rFonts w:eastAsia="Times New Roman" w:cs="Times New Roman"/>
                <w:color w:val="000000"/>
                <w:sz w:val="20"/>
                <w:szCs w:val="20"/>
                <w:lang w:eastAsia="sk-SK"/>
              </w:rPr>
            </w:pPr>
            <w:r w:rsidRPr="002956F1">
              <w:rPr>
                <w:rFonts w:eastAsia="Times New Roman" w:cs="Times New Roman"/>
                <w:color w:val="000000"/>
                <w:sz w:val="20"/>
                <w:szCs w:val="20"/>
                <w:lang w:eastAsia="sk-SK"/>
              </w:rPr>
              <w:t>Železniciam SR</w:t>
            </w:r>
          </w:p>
        </w:tc>
        <w:tc>
          <w:tcPr>
            <w:tcW w:w="960" w:type="dxa"/>
            <w:tcBorders>
              <w:top w:val="nil"/>
              <w:left w:val="nil"/>
              <w:bottom w:val="nil"/>
              <w:right w:val="nil"/>
            </w:tcBorders>
            <w:shd w:val="clear" w:color="auto" w:fill="auto"/>
            <w:noWrap/>
            <w:vAlign w:val="center"/>
            <w:hideMark/>
          </w:tcPr>
          <w:p w14:paraId="53495C04"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130 654</w:t>
            </w:r>
          </w:p>
        </w:tc>
        <w:tc>
          <w:tcPr>
            <w:tcW w:w="960" w:type="dxa"/>
            <w:tcBorders>
              <w:top w:val="nil"/>
              <w:left w:val="nil"/>
              <w:bottom w:val="nil"/>
              <w:right w:val="nil"/>
            </w:tcBorders>
            <w:shd w:val="clear" w:color="auto" w:fill="auto"/>
            <w:noWrap/>
            <w:vAlign w:val="center"/>
            <w:hideMark/>
          </w:tcPr>
          <w:p w14:paraId="405BD4F4"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195 484</w:t>
            </w:r>
          </w:p>
        </w:tc>
        <w:tc>
          <w:tcPr>
            <w:tcW w:w="960" w:type="dxa"/>
            <w:tcBorders>
              <w:top w:val="nil"/>
              <w:left w:val="nil"/>
              <w:bottom w:val="nil"/>
              <w:right w:val="nil"/>
            </w:tcBorders>
            <w:shd w:val="clear" w:color="auto" w:fill="auto"/>
            <w:noWrap/>
            <w:vAlign w:val="center"/>
            <w:hideMark/>
          </w:tcPr>
          <w:p w14:paraId="1E0563C4"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210 731</w:t>
            </w:r>
          </w:p>
        </w:tc>
        <w:tc>
          <w:tcPr>
            <w:tcW w:w="960" w:type="dxa"/>
            <w:tcBorders>
              <w:top w:val="nil"/>
              <w:left w:val="nil"/>
              <w:bottom w:val="nil"/>
              <w:right w:val="nil"/>
            </w:tcBorders>
            <w:shd w:val="clear" w:color="auto" w:fill="auto"/>
            <w:noWrap/>
            <w:vAlign w:val="center"/>
            <w:hideMark/>
          </w:tcPr>
          <w:p w14:paraId="4FD128D9"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263 154</w:t>
            </w:r>
          </w:p>
        </w:tc>
        <w:tc>
          <w:tcPr>
            <w:tcW w:w="980" w:type="dxa"/>
            <w:tcBorders>
              <w:top w:val="nil"/>
              <w:left w:val="nil"/>
              <w:bottom w:val="nil"/>
              <w:right w:val="nil"/>
            </w:tcBorders>
            <w:shd w:val="clear" w:color="auto" w:fill="auto"/>
            <w:noWrap/>
            <w:vAlign w:val="center"/>
            <w:hideMark/>
          </w:tcPr>
          <w:p w14:paraId="2618F416"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52 423</w:t>
            </w:r>
          </w:p>
        </w:tc>
        <w:tc>
          <w:tcPr>
            <w:tcW w:w="1074" w:type="dxa"/>
            <w:tcBorders>
              <w:top w:val="nil"/>
              <w:left w:val="nil"/>
              <w:bottom w:val="nil"/>
              <w:right w:val="nil"/>
            </w:tcBorders>
            <w:shd w:val="clear" w:color="auto" w:fill="auto"/>
            <w:noWrap/>
            <w:vAlign w:val="center"/>
            <w:hideMark/>
          </w:tcPr>
          <w:p w14:paraId="2658AF02"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0,00</w:t>
            </w:r>
          </w:p>
        </w:tc>
      </w:tr>
      <w:tr w:rsidR="00060EF5" w:rsidRPr="002956F1" w14:paraId="0C14381D" w14:textId="77777777" w:rsidTr="00D2560E">
        <w:trPr>
          <w:trHeight w:val="288"/>
        </w:trPr>
        <w:tc>
          <w:tcPr>
            <w:tcW w:w="3320" w:type="dxa"/>
            <w:tcBorders>
              <w:top w:val="nil"/>
              <w:left w:val="nil"/>
              <w:bottom w:val="nil"/>
              <w:right w:val="nil"/>
            </w:tcBorders>
            <w:shd w:val="clear" w:color="auto" w:fill="auto"/>
            <w:vAlign w:val="center"/>
            <w:hideMark/>
          </w:tcPr>
          <w:p w14:paraId="07003142" w14:textId="77777777" w:rsidR="00060EF5" w:rsidRPr="002956F1" w:rsidRDefault="00060EF5" w:rsidP="00D2560E">
            <w:pPr>
              <w:spacing w:after="0" w:line="240" w:lineRule="auto"/>
              <w:jc w:val="left"/>
              <w:rPr>
                <w:rFonts w:eastAsia="Times New Roman" w:cs="Times New Roman"/>
                <w:color w:val="000000"/>
                <w:sz w:val="20"/>
                <w:szCs w:val="20"/>
                <w:lang w:eastAsia="sk-SK"/>
              </w:rPr>
            </w:pPr>
            <w:r w:rsidRPr="002956F1">
              <w:rPr>
                <w:rFonts w:eastAsia="Times New Roman" w:cs="Times New Roman"/>
                <w:color w:val="000000"/>
                <w:sz w:val="20"/>
                <w:szCs w:val="20"/>
                <w:lang w:eastAsia="sk-SK"/>
              </w:rPr>
              <w:t>Štátnym príspevkovým organizáciám</w:t>
            </w:r>
          </w:p>
        </w:tc>
        <w:tc>
          <w:tcPr>
            <w:tcW w:w="960" w:type="dxa"/>
            <w:tcBorders>
              <w:top w:val="nil"/>
              <w:left w:val="nil"/>
              <w:bottom w:val="nil"/>
              <w:right w:val="nil"/>
            </w:tcBorders>
            <w:shd w:val="clear" w:color="auto" w:fill="auto"/>
            <w:noWrap/>
            <w:vAlign w:val="center"/>
            <w:hideMark/>
          </w:tcPr>
          <w:p w14:paraId="2D6E6C2C"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123 507</w:t>
            </w:r>
          </w:p>
        </w:tc>
        <w:tc>
          <w:tcPr>
            <w:tcW w:w="960" w:type="dxa"/>
            <w:tcBorders>
              <w:top w:val="nil"/>
              <w:left w:val="nil"/>
              <w:bottom w:val="nil"/>
              <w:right w:val="nil"/>
            </w:tcBorders>
            <w:shd w:val="clear" w:color="auto" w:fill="auto"/>
            <w:noWrap/>
            <w:vAlign w:val="center"/>
            <w:hideMark/>
          </w:tcPr>
          <w:p w14:paraId="00389A7F"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139 919</w:t>
            </w:r>
          </w:p>
        </w:tc>
        <w:tc>
          <w:tcPr>
            <w:tcW w:w="960" w:type="dxa"/>
            <w:tcBorders>
              <w:top w:val="nil"/>
              <w:left w:val="nil"/>
              <w:bottom w:val="nil"/>
              <w:right w:val="nil"/>
            </w:tcBorders>
            <w:shd w:val="clear" w:color="auto" w:fill="auto"/>
            <w:noWrap/>
            <w:vAlign w:val="center"/>
            <w:hideMark/>
          </w:tcPr>
          <w:p w14:paraId="168BAAB1"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23 202</w:t>
            </w:r>
          </w:p>
        </w:tc>
        <w:tc>
          <w:tcPr>
            <w:tcW w:w="960" w:type="dxa"/>
            <w:tcBorders>
              <w:top w:val="nil"/>
              <w:left w:val="nil"/>
              <w:bottom w:val="nil"/>
              <w:right w:val="nil"/>
            </w:tcBorders>
            <w:shd w:val="clear" w:color="auto" w:fill="auto"/>
            <w:noWrap/>
            <w:vAlign w:val="center"/>
            <w:hideMark/>
          </w:tcPr>
          <w:p w14:paraId="072016C2"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443 076</w:t>
            </w:r>
          </w:p>
        </w:tc>
        <w:tc>
          <w:tcPr>
            <w:tcW w:w="980" w:type="dxa"/>
            <w:tcBorders>
              <w:top w:val="nil"/>
              <w:left w:val="nil"/>
              <w:bottom w:val="nil"/>
              <w:right w:val="nil"/>
            </w:tcBorders>
            <w:shd w:val="clear" w:color="auto" w:fill="auto"/>
            <w:noWrap/>
            <w:vAlign w:val="center"/>
            <w:hideMark/>
          </w:tcPr>
          <w:p w14:paraId="7515B2C6"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419 874</w:t>
            </w:r>
          </w:p>
        </w:tc>
        <w:tc>
          <w:tcPr>
            <w:tcW w:w="1074" w:type="dxa"/>
            <w:tcBorders>
              <w:top w:val="nil"/>
              <w:left w:val="nil"/>
              <w:bottom w:val="nil"/>
              <w:right w:val="nil"/>
            </w:tcBorders>
            <w:shd w:val="clear" w:color="auto" w:fill="auto"/>
            <w:noWrap/>
            <w:vAlign w:val="center"/>
            <w:hideMark/>
          </w:tcPr>
          <w:p w14:paraId="5C783EF6"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1 809,65</w:t>
            </w:r>
          </w:p>
        </w:tc>
      </w:tr>
      <w:tr w:rsidR="00060EF5" w:rsidRPr="002956F1" w14:paraId="1C90336A" w14:textId="77777777" w:rsidTr="00D2560E">
        <w:trPr>
          <w:trHeight w:val="288"/>
        </w:trPr>
        <w:tc>
          <w:tcPr>
            <w:tcW w:w="3320" w:type="dxa"/>
            <w:tcBorders>
              <w:top w:val="nil"/>
              <w:left w:val="nil"/>
              <w:bottom w:val="nil"/>
              <w:right w:val="nil"/>
            </w:tcBorders>
            <w:shd w:val="clear" w:color="auto" w:fill="auto"/>
            <w:vAlign w:val="center"/>
            <w:hideMark/>
          </w:tcPr>
          <w:p w14:paraId="7EB974B7" w14:textId="77777777" w:rsidR="00060EF5" w:rsidRPr="002956F1" w:rsidRDefault="00060EF5" w:rsidP="00D2560E">
            <w:pPr>
              <w:spacing w:after="0" w:line="240" w:lineRule="auto"/>
              <w:jc w:val="left"/>
              <w:rPr>
                <w:rFonts w:eastAsia="Times New Roman" w:cs="Times New Roman"/>
                <w:color w:val="000000"/>
                <w:sz w:val="20"/>
                <w:szCs w:val="20"/>
                <w:lang w:eastAsia="sk-SK"/>
              </w:rPr>
            </w:pPr>
            <w:r w:rsidRPr="002956F1">
              <w:rPr>
                <w:rFonts w:eastAsia="Times New Roman" w:cs="Times New Roman"/>
                <w:color w:val="000000"/>
                <w:sz w:val="20"/>
                <w:szCs w:val="20"/>
                <w:lang w:eastAsia="sk-SK"/>
              </w:rPr>
              <w:t>Železničnej spoločnosti Slovensko</w:t>
            </w:r>
          </w:p>
        </w:tc>
        <w:tc>
          <w:tcPr>
            <w:tcW w:w="960" w:type="dxa"/>
            <w:tcBorders>
              <w:top w:val="nil"/>
              <w:left w:val="nil"/>
              <w:bottom w:val="nil"/>
              <w:right w:val="nil"/>
            </w:tcBorders>
            <w:shd w:val="clear" w:color="auto" w:fill="auto"/>
            <w:noWrap/>
            <w:vAlign w:val="center"/>
            <w:hideMark/>
          </w:tcPr>
          <w:p w14:paraId="2BBF9BEC"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173 863</w:t>
            </w:r>
          </w:p>
        </w:tc>
        <w:tc>
          <w:tcPr>
            <w:tcW w:w="960" w:type="dxa"/>
            <w:tcBorders>
              <w:top w:val="nil"/>
              <w:left w:val="nil"/>
              <w:bottom w:val="nil"/>
              <w:right w:val="nil"/>
            </w:tcBorders>
            <w:shd w:val="clear" w:color="auto" w:fill="auto"/>
            <w:noWrap/>
            <w:vAlign w:val="center"/>
            <w:hideMark/>
          </w:tcPr>
          <w:p w14:paraId="70CD87EB"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87 304</w:t>
            </w:r>
          </w:p>
        </w:tc>
        <w:tc>
          <w:tcPr>
            <w:tcW w:w="960" w:type="dxa"/>
            <w:tcBorders>
              <w:top w:val="nil"/>
              <w:left w:val="nil"/>
              <w:bottom w:val="nil"/>
              <w:right w:val="nil"/>
            </w:tcBorders>
            <w:shd w:val="clear" w:color="auto" w:fill="auto"/>
            <w:noWrap/>
            <w:vAlign w:val="center"/>
            <w:hideMark/>
          </w:tcPr>
          <w:p w14:paraId="17E444C0"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102 223</w:t>
            </w:r>
          </w:p>
        </w:tc>
        <w:tc>
          <w:tcPr>
            <w:tcW w:w="960" w:type="dxa"/>
            <w:tcBorders>
              <w:top w:val="nil"/>
              <w:left w:val="nil"/>
              <w:bottom w:val="nil"/>
              <w:right w:val="nil"/>
            </w:tcBorders>
            <w:shd w:val="clear" w:color="auto" w:fill="auto"/>
            <w:noWrap/>
            <w:vAlign w:val="center"/>
            <w:hideMark/>
          </w:tcPr>
          <w:p w14:paraId="2B2E2F53"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255 420</w:t>
            </w:r>
          </w:p>
        </w:tc>
        <w:tc>
          <w:tcPr>
            <w:tcW w:w="980" w:type="dxa"/>
            <w:tcBorders>
              <w:top w:val="nil"/>
              <w:left w:val="nil"/>
              <w:bottom w:val="nil"/>
              <w:right w:val="nil"/>
            </w:tcBorders>
            <w:shd w:val="clear" w:color="auto" w:fill="auto"/>
            <w:noWrap/>
            <w:vAlign w:val="center"/>
            <w:hideMark/>
          </w:tcPr>
          <w:p w14:paraId="25DA581F"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153 197</w:t>
            </w:r>
          </w:p>
        </w:tc>
        <w:tc>
          <w:tcPr>
            <w:tcW w:w="1074" w:type="dxa"/>
            <w:tcBorders>
              <w:top w:val="nil"/>
              <w:left w:val="nil"/>
              <w:bottom w:val="nil"/>
              <w:right w:val="nil"/>
            </w:tcBorders>
            <w:shd w:val="clear" w:color="auto" w:fill="auto"/>
            <w:noWrap/>
            <w:vAlign w:val="center"/>
            <w:hideMark/>
          </w:tcPr>
          <w:p w14:paraId="4473765A"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149,87</w:t>
            </w:r>
          </w:p>
        </w:tc>
      </w:tr>
      <w:tr w:rsidR="00060EF5" w:rsidRPr="002956F1" w14:paraId="7E44AF5B" w14:textId="77777777" w:rsidTr="00D2560E">
        <w:trPr>
          <w:trHeight w:val="288"/>
        </w:trPr>
        <w:tc>
          <w:tcPr>
            <w:tcW w:w="3320" w:type="dxa"/>
            <w:tcBorders>
              <w:top w:val="nil"/>
              <w:left w:val="nil"/>
              <w:bottom w:val="nil"/>
              <w:right w:val="nil"/>
            </w:tcBorders>
            <w:shd w:val="clear" w:color="auto" w:fill="auto"/>
            <w:vAlign w:val="center"/>
            <w:hideMark/>
          </w:tcPr>
          <w:p w14:paraId="63111F61" w14:textId="77777777" w:rsidR="00060EF5" w:rsidRPr="002956F1" w:rsidRDefault="00060EF5" w:rsidP="00D2560E">
            <w:pPr>
              <w:spacing w:after="0" w:line="240" w:lineRule="auto"/>
              <w:jc w:val="left"/>
              <w:rPr>
                <w:rFonts w:eastAsia="Times New Roman" w:cs="Times New Roman"/>
                <w:color w:val="000000"/>
                <w:sz w:val="20"/>
                <w:szCs w:val="20"/>
                <w:lang w:eastAsia="sk-SK"/>
              </w:rPr>
            </w:pPr>
            <w:r w:rsidRPr="002956F1">
              <w:rPr>
                <w:rFonts w:eastAsia="Times New Roman" w:cs="Times New Roman"/>
                <w:color w:val="000000"/>
                <w:sz w:val="20"/>
                <w:szCs w:val="20"/>
                <w:lang w:eastAsia="sk-SK"/>
              </w:rPr>
              <w:t>Verejným vysokým školám</w:t>
            </w:r>
          </w:p>
        </w:tc>
        <w:tc>
          <w:tcPr>
            <w:tcW w:w="960" w:type="dxa"/>
            <w:tcBorders>
              <w:top w:val="nil"/>
              <w:left w:val="nil"/>
              <w:bottom w:val="nil"/>
              <w:right w:val="nil"/>
            </w:tcBorders>
            <w:shd w:val="clear" w:color="auto" w:fill="auto"/>
            <w:noWrap/>
            <w:vAlign w:val="center"/>
            <w:hideMark/>
          </w:tcPr>
          <w:p w14:paraId="22EDBD15"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35 030</w:t>
            </w:r>
          </w:p>
        </w:tc>
        <w:tc>
          <w:tcPr>
            <w:tcW w:w="960" w:type="dxa"/>
            <w:tcBorders>
              <w:top w:val="nil"/>
              <w:left w:val="nil"/>
              <w:bottom w:val="nil"/>
              <w:right w:val="nil"/>
            </w:tcBorders>
            <w:shd w:val="clear" w:color="auto" w:fill="auto"/>
            <w:noWrap/>
            <w:vAlign w:val="center"/>
            <w:hideMark/>
          </w:tcPr>
          <w:p w14:paraId="157B973D"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63 219</w:t>
            </w:r>
          </w:p>
        </w:tc>
        <w:tc>
          <w:tcPr>
            <w:tcW w:w="960" w:type="dxa"/>
            <w:tcBorders>
              <w:top w:val="nil"/>
              <w:left w:val="nil"/>
              <w:bottom w:val="nil"/>
              <w:right w:val="nil"/>
            </w:tcBorders>
            <w:shd w:val="clear" w:color="auto" w:fill="auto"/>
            <w:noWrap/>
            <w:vAlign w:val="center"/>
            <w:hideMark/>
          </w:tcPr>
          <w:p w14:paraId="4165B303"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89 296</w:t>
            </w:r>
          </w:p>
        </w:tc>
        <w:tc>
          <w:tcPr>
            <w:tcW w:w="960" w:type="dxa"/>
            <w:tcBorders>
              <w:top w:val="nil"/>
              <w:left w:val="nil"/>
              <w:bottom w:val="nil"/>
              <w:right w:val="nil"/>
            </w:tcBorders>
            <w:shd w:val="clear" w:color="auto" w:fill="auto"/>
            <w:noWrap/>
            <w:vAlign w:val="center"/>
            <w:hideMark/>
          </w:tcPr>
          <w:p w14:paraId="7591483D"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131 859</w:t>
            </w:r>
          </w:p>
        </w:tc>
        <w:tc>
          <w:tcPr>
            <w:tcW w:w="980" w:type="dxa"/>
            <w:tcBorders>
              <w:top w:val="nil"/>
              <w:left w:val="nil"/>
              <w:bottom w:val="nil"/>
              <w:right w:val="nil"/>
            </w:tcBorders>
            <w:shd w:val="clear" w:color="auto" w:fill="auto"/>
            <w:noWrap/>
            <w:vAlign w:val="center"/>
            <w:hideMark/>
          </w:tcPr>
          <w:p w14:paraId="618D374E"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42 563</w:t>
            </w:r>
          </w:p>
        </w:tc>
        <w:tc>
          <w:tcPr>
            <w:tcW w:w="1074" w:type="dxa"/>
            <w:tcBorders>
              <w:top w:val="nil"/>
              <w:left w:val="nil"/>
              <w:bottom w:val="nil"/>
              <w:right w:val="nil"/>
            </w:tcBorders>
            <w:shd w:val="clear" w:color="auto" w:fill="auto"/>
            <w:noWrap/>
            <w:vAlign w:val="center"/>
            <w:hideMark/>
          </w:tcPr>
          <w:p w14:paraId="018FA1F4" w14:textId="77777777" w:rsidR="00060EF5" w:rsidRPr="002956F1" w:rsidRDefault="00060EF5" w:rsidP="00D2560E">
            <w:pPr>
              <w:spacing w:after="0" w:line="240" w:lineRule="auto"/>
              <w:jc w:val="right"/>
              <w:rPr>
                <w:rFonts w:eastAsia="Times New Roman" w:cs="Times New Roman"/>
                <w:color w:val="000000"/>
                <w:sz w:val="20"/>
                <w:szCs w:val="20"/>
                <w:lang w:eastAsia="sk-SK"/>
              </w:rPr>
            </w:pPr>
            <w:r w:rsidRPr="002956F1">
              <w:rPr>
                <w:rFonts w:eastAsia="Times New Roman" w:cs="Times New Roman"/>
                <w:color w:val="000000"/>
                <w:sz w:val="20"/>
                <w:szCs w:val="20"/>
                <w:lang w:eastAsia="sk-SK"/>
              </w:rPr>
              <w:t>47,67</w:t>
            </w:r>
          </w:p>
        </w:tc>
      </w:tr>
      <w:tr w:rsidR="00060EF5" w:rsidRPr="00060EF5" w14:paraId="17372226" w14:textId="77777777" w:rsidTr="00D2560E">
        <w:trPr>
          <w:trHeight w:val="288"/>
        </w:trPr>
        <w:tc>
          <w:tcPr>
            <w:tcW w:w="3320" w:type="dxa"/>
            <w:tcBorders>
              <w:top w:val="nil"/>
              <w:left w:val="nil"/>
              <w:bottom w:val="nil"/>
              <w:right w:val="nil"/>
            </w:tcBorders>
            <w:shd w:val="clear" w:color="auto" w:fill="auto"/>
            <w:vAlign w:val="center"/>
            <w:hideMark/>
          </w:tcPr>
          <w:p w14:paraId="2C082C39" w14:textId="77777777" w:rsidR="00060EF5" w:rsidRPr="00060EF5" w:rsidRDefault="00060EF5" w:rsidP="00D2560E">
            <w:pPr>
              <w:spacing w:after="0" w:line="240" w:lineRule="auto"/>
              <w:jc w:val="left"/>
              <w:rPr>
                <w:rFonts w:eastAsia="Times New Roman" w:cs="Times New Roman"/>
                <w:color w:val="000000"/>
                <w:sz w:val="20"/>
                <w:szCs w:val="20"/>
                <w:lang w:eastAsia="sk-SK"/>
              </w:rPr>
            </w:pPr>
            <w:r w:rsidRPr="00060EF5">
              <w:rPr>
                <w:rFonts w:eastAsia="Times New Roman" w:cs="Times New Roman"/>
                <w:color w:val="000000"/>
                <w:sz w:val="20"/>
                <w:szCs w:val="20"/>
                <w:lang w:eastAsia="sk-SK"/>
              </w:rPr>
              <w:t>Vyšším územným celkom</w:t>
            </w:r>
          </w:p>
        </w:tc>
        <w:tc>
          <w:tcPr>
            <w:tcW w:w="960" w:type="dxa"/>
            <w:tcBorders>
              <w:top w:val="nil"/>
              <w:left w:val="nil"/>
              <w:bottom w:val="nil"/>
              <w:right w:val="nil"/>
            </w:tcBorders>
            <w:shd w:val="clear" w:color="auto" w:fill="auto"/>
            <w:noWrap/>
            <w:vAlign w:val="center"/>
            <w:hideMark/>
          </w:tcPr>
          <w:p w14:paraId="509556F4" w14:textId="77777777" w:rsidR="00060EF5" w:rsidRPr="00060EF5" w:rsidRDefault="00060EF5" w:rsidP="00D2560E">
            <w:pPr>
              <w:spacing w:after="0" w:line="240" w:lineRule="auto"/>
              <w:jc w:val="right"/>
              <w:rPr>
                <w:rFonts w:eastAsia="Times New Roman" w:cs="Times New Roman"/>
                <w:color w:val="000000"/>
                <w:sz w:val="20"/>
                <w:szCs w:val="20"/>
                <w:lang w:eastAsia="sk-SK"/>
              </w:rPr>
            </w:pPr>
            <w:r w:rsidRPr="00060EF5">
              <w:rPr>
                <w:rFonts w:eastAsia="Times New Roman" w:cs="Times New Roman"/>
                <w:color w:val="000000"/>
                <w:sz w:val="20"/>
                <w:szCs w:val="20"/>
                <w:lang w:eastAsia="sk-SK"/>
              </w:rPr>
              <w:t>33 966</w:t>
            </w:r>
          </w:p>
        </w:tc>
        <w:tc>
          <w:tcPr>
            <w:tcW w:w="960" w:type="dxa"/>
            <w:tcBorders>
              <w:top w:val="nil"/>
              <w:left w:val="nil"/>
              <w:bottom w:val="nil"/>
              <w:right w:val="nil"/>
            </w:tcBorders>
            <w:shd w:val="clear" w:color="auto" w:fill="auto"/>
            <w:noWrap/>
            <w:vAlign w:val="center"/>
            <w:hideMark/>
          </w:tcPr>
          <w:p w14:paraId="0C35BD17" w14:textId="77777777" w:rsidR="00060EF5" w:rsidRPr="00060EF5" w:rsidRDefault="00060EF5" w:rsidP="00D2560E">
            <w:pPr>
              <w:spacing w:after="0" w:line="240" w:lineRule="auto"/>
              <w:jc w:val="right"/>
              <w:rPr>
                <w:rFonts w:eastAsia="Times New Roman" w:cs="Times New Roman"/>
                <w:color w:val="000000"/>
                <w:sz w:val="20"/>
                <w:szCs w:val="20"/>
                <w:lang w:eastAsia="sk-SK"/>
              </w:rPr>
            </w:pPr>
            <w:r w:rsidRPr="00060EF5">
              <w:rPr>
                <w:rFonts w:eastAsia="Times New Roman" w:cs="Times New Roman"/>
                <w:color w:val="000000"/>
                <w:sz w:val="20"/>
                <w:szCs w:val="20"/>
                <w:lang w:eastAsia="sk-SK"/>
              </w:rPr>
              <w:t>36 475</w:t>
            </w:r>
          </w:p>
        </w:tc>
        <w:tc>
          <w:tcPr>
            <w:tcW w:w="960" w:type="dxa"/>
            <w:tcBorders>
              <w:top w:val="nil"/>
              <w:left w:val="nil"/>
              <w:bottom w:val="nil"/>
              <w:right w:val="nil"/>
            </w:tcBorders>
            <w:shd w:val="clear" w:color="auto" w:fill="auto"/>
            <w:noWrap/>
            <w:vAlign w:val="center"/>
            <w:hideMark/>
          </w:tcPr>
          <w:p w14:paraId="04A3C4CB" w14:textId="77777777" w:rsidR="00060EF5" w:rsidRPr="00060EF5" w:rsidRDefault="00060EF5" w:rsidP="00D2560E">
            <w:pPr>
              <w:spacing w:after="0" w:line="240" w:lineRule="auto"/>
              <w:jc w:val="right"/>
              <w:rPr>
                <w:rFonts w:eastAsia="Times New Roman" w:cs="Times New Roman"/>
                <w:color w:val="000000"/>
                <w:sz w:val="20"/>
                <w:szCs w:val="20"/>
                <w:lang w:eastAsia="sk-SK"/>
              </w:rPr>
            </w:pPr>
            <w:r w:rsidRPr="00060EF5">
              <w:rPr>
                <w:rFonts w:eastAsia="Times New Roman" w:cs="Times New Roman"/>
                <w:color w:val="000000"/>
                <w:sz w:val="20"/>
                <w:szCs w:val="20"/>
                <w:lang w:eastAsia="sk-SK"/>
              </w:rPr>
              <w:t>300</w:t>
            </w:r>
          </w:p>
        </w:tc>
        <w:tc>
          <w:tcPr>
            <w:tcW w:w="960" w:type="dxa"/>
            <w:tcBorders>
              <w:top w:val="nil"/>
              <w:left w:val="nil"/>
              <w:bottom w:val="nil"/>
              <w:right w:val="nil"/>
            </w:tcBorders>
            <w:shd w:val="clear" w:color="auto" w:fill="auto"/>
            <w:noWrap/>
            <w:vAlign w:val="center"/>
            <w:hideMark/>
          </w:tcPr>
          <w:p w14:paraId="19C16462" w14:textId="77777777" w:rsidR="00060EF5" w:rsidRPr="00060EF5" w:rsidRDefault="00060EF5" w:rsidP="00D2560E">
            <w:pPr>
              <w:spacing w:after="0" w:line="240" w:lineRule="auto"/>
              <w:jc w:val="right"/>
              <w:rPr>
                <w:rFonts w:eastAsia="Times New Roman" w:cs="Times New Roman"/>
                <w:color w:val="000000"/>
                <w:sz w:val="20"/>
                <w:szCs w:val="20"/>
                <w:lang w:eastAsia="sk-SK"/>
              </w:rPr>
            </w:pPr>
            <w:r w:rsidRPr="00060EF5">
              <w:rPr>
                <w:rFonts w:eastAsia="Times New Roman" w:cs="Times New Roman"/>
                <w:color w:val="000000"/>
                <w:sz w:val="20"/>
                <w:szCs w:val="20"/>
                <w:lang w:eastAsia="sk-SK"/>
              </w:rPr>
              <w:t>308 456</w:t>
            </w:r>
          </w:p>
        </w:tc>
        <w:tc>
          <w:tcPr>
            <w:tcW w:w="980" w:type="dxa"/>
            <w:tcBorders>
              <w:top w:val="nil"/>
              <w:left w:val="nil"/>
              <w:bottom w:val="nil"/>
              <w:right w:val="nil"/>
            </w:tcBorders>
            <w:shd w:val="clear" w:color="auto" w:fill="auto"/>
            <w:noWrap/>
            <w:vAlign w:val="center"/>
            <w:hideMark/>
          </w:tcPr>
          <w:p w14:paraId="2B34C5C4" w14:textId="77777777" w:rsidR="00060EF5" w:rsidRPr="00060EF5" w:rsidRDefault="00060EF5" w:rsidP="00D2560E">
            <w:pPr>
              <w:spacing w:after="0" w:line="240" w:lineRule="auto"/>
              <w:jc w:val="right"/>
              <w:rPr>
                <w:rFonts w:eastAsia="Times New Roman" w:cs="Times New Roman"/>
                <w:color w:val="000000"/>
                <w:sz w:val="20"/>
                <w:szCs w:val="20"/>
                <w:lang w:eastAsia="sk-SK"/>
              </w:rPr>
            </w:pPr>
            <w:r w:rsidRPr="00060EF5">
              <w:rPr>
                <w:rFonts w:eastAsia="Times New Roman" w:cs="Times New Roman"/>
                <w:color w:val="000000"/>
                <w:sz w:val="20"/>
                <w:szCs w:val="20"/>
                <w:lang w:eastAsia="sk-SK"/>
              </w:rPr>
              <w:t>308 156</w:t>
            </w:r>
          </w:p>
        </w:tc>
        <w:tc>
          <w:tcPr>
            <w:tcW w:w="1074" w:type="dxa"/>
            <w:tcBorders>
              <w:top w:val="nil"/>
              <w:left w:val="nil"/>
              <w:bottom w:val="nil"/>
              <w:right w:val="nil"/>
            </w:tcBorders>
            <w:shd w:val="clear" w:color="auto" w:fill="auto"/>
            <w:noWrap/>
            <w:vAlign w:val="center"/>
            <w:hideMark/>
          </w:tcPr>
          <w:p w14:paraId="2293B297" w14:textId="77777777" w:rsidR="00060EF5" w:rsidRPr="00060EF5" w:rsidRDefault="00060EF5" w:rsidP="00D2560E">
            <w:pPr>
              <w:spacing w:after="0" w:line="240" w:lineRule="auto"/>
              <w:jc w:val="right"/>
              <w:rPr>
                <w:rFonts w:eastAsia="Times New Roman" w:cs="Times New Roman"/>
                <w:color w:val="000000"/>
                <w:sz w:val="20"/>
                <w:szCs w:val="20"/>
                <w:lang w:eastAsia="sk-SK"/>
              </w:rPr>
            </w:pPr>
            <w:r w:rsidRPr="00060EF5">
              <w:rPr>
                <w:rFonts w:eastAsia="Times New Roman" w:cs="Times New Roman"/>
                <w:color w:val="000000"/>
                <w:sz w:val="20"/>
                <w:szCs w:val="20"/>
                <w:lang w:eastAsia="sk-SK"/>
              </w:rPr>
              <w:t>102 718,67</w:t>
            </w:r>
          </w:p>
        </w:tc>
      </w:tr>
      <w:tr w:rsidR="00060EF5" w:rsidRPr="00060EF5" w14:paraId="32EEAA48" w14:textId="77777777" w:rsidTr="00060EF5">
        <w:trPr>
          <w:trHeight w:val="300"/>
        </w:trPr>
        <w:tc>
          <w:tcPr>
            <w:tcW w:w="3320" w:type="dxa"/>
            <w:tcBorders>
              <w:top w:val="nil"/>
              <w:left w:val="nil"/>
              <w:bottom w:val="single" w:sz="8" w:space="0" w:color="auto"/>
              <w:right w:val="nil"/>
            </w:tcBorders>
            <w:shd w:val="clear" w:color="auto" w:fill="auto"/>
            <w:vAlign w:val="center"/>
            <w:hideMark/>
          </w:tcPr>
          <w:p w14:paraId="3925D6BC" w14:textId="77777777" w:rsidR="00060EF5" w:rsidRPr="00060EF5" w:rsidRDefault="00060EF5" w:rsidP="00D2560E">
            <w:pPr>
              <w:spacing w:after="0" w:line="240" w:lineRule="auto"/>
              <w:jc w:val="left"/>
              <w:rPr>
                <w:rFonts w:eastAsia="Times New Roman" w:cs="Times New Roman"/>
                <w:color w:val="000000"/>
                <w:sz w:val="20"/>
                <w:szCs w:val="20"/>
                <w:lang w:eastAsia="sk-SK"/>
              </w:rPr>
            </w:pPr>
            <w:r w:rsidRPr="00060EF5">
              <w:rPr>
                <w:rFonts w:eastAsia="Times New Roman" w:cs="Times New Roman"/>
                <w:color w:val="000000"/>
                <w:sz w:val="20"/>
                <w:szCs w:val="20"/>
                <w:lang w:eastAsia="sk-SK"/>
              </w:rPr>
              <w:t>Ostatné</w:t>
            </w:r>
          </w:p>
        </w:tc>
        <w:tc>
          <w:tcPr>
            <w:tcW w:w="960" w:type="dxa"/>
            <w:tcBorders>
              <w:top w:val="nil"/>
              <w:left w:val="nil"/>
              <w:bottom w:val="single" w:sz="8" w:space="0" w:color="auto"/>
              <w:right w:val="nil"/>
            </w:tcBorders>
            <w:shd w:val="clear" w:color="auto" w:fill="auto"/>
            <w:noWrap/>
            <w:vAlign w:val="center"/>
            <w:hideMark/>
          </w:tcPr>
          <w:p w14:paraId="7BABB659" w14:textId="77777777" w:rsidR="00060EF5" w:rsidRPr="00060EF5" w:rsidRDefault="00060EF5" w:rsidP="00D2560E">
            <w:pPr>
              <w:spacing w:after="0" w:line="240" w:lineRule="auto"/>
              <w:jc w:val="right"/>
              <w:rPr>
                <w:rFonts w:eastAsia="Times New Roman" w:cs="Times New Roman"/>
                <w:color w:val="000000"/>
                <w:sz w:val="20"/>
                <w:szCs w:val="20"/>
                <w:lang w:eastAsia="sk-SK"/>
              </w:rPr>
            </w:pPr>
            <w:r w:rsidRPr="00060EF5">
              <w:rPr>
                <w:rFonts w:eastAsia="Times New Roman" w:cs="Times New Roman"/>
                <w:color w:val="000000"/>
                <w:sz w:val="20"/>
                <w:szCs w:val="20"/>
                <w:lang w:eastAsia="sk-SK"/>
              </w:rPr>
              <w:t>58 554</w:t>
            </w:r>
          </w:p>
        </w:tc>
        <w:tc>
          <w:tcPr>
            <w:tcW w:w="960" w:type="dxa"/>
            <w:tcBorders>
              <w:top w:val="nil"/>
              <w:left w:val="nil"/>
              <w:bottom w:val="single" w:sz="8" w:space="0" w:color="auto"/>
              <w:right w:val="nil"/>
            </w:tcBorders>
            <w:shd w:val="clear" w:color="auto" w:fill="auto"/>
            <w:noWrap/>
            <w:vAlign w:val="center"/>
            <w:hideMark/>
          </w:tcPr>
          <w:p w14:paraId="057F5C30" w14:textId="77777777" w:rsidR="00060EF5" w:rsidRPr="00060EF5" w:rsidRDefault="00060EF5" w:rsidP="00D2560E">
            <w:pPr>
              <w:spacing w:after="0" w:line="240" w:lineRule="auto"/>
              <w:jc w:val="right"/>
              <w:rPr>
                <w:rFonts w:eastAsia="Times New Roman" w:cs="Times New Roman"/>
                <w:color w:val="000000"/>
                <w:sz w:val="20"/>
                <w:szCs w:val="20"/>
                <w:lang w:eastAsia="sk-SK"/>
              </w:rPr>
            </w:pPr>
            <w:r w:rsidRPr="00060EF5">
              <w:rPr>
                <w:rFonts w:eastAsia="Times New Roman" w:cs="Times New Roman"/>
                <w:color w:val="000000"/>
                <w:sz w:val="20"/>
                <w:szCs w:val="20"/>
                <w:lang w:eastAsia="sk-SK"/>
              </w:rPr>
              <w:t>55 359</w:t>
            </w:r>
          </w:p>
        </w:tc>
        <w:tc>
          <w:tcPr>
            <w:tcW w:w="960" w:type="dxa"/>
            <w:tcBorders>
              <w:top w:val="nil"/>
              <w:left w:val="nil"/>
              <w:bottom w:val="single" w:sz="8" w:space="0" w:color="auto"/>
              <w:right w:val="nil"/>
            </w:tcBorders>
            <w:shd w:val="clear" w:color="auto" w:fill="auto"/>
            <w:noWrap/>
            <w:vAlign w:val="center"/>
            <w:hideMark/>
          </w:tcPr>
          <w:p w14:paraId="020047A0" w14:textId="77777777" w:rsidR="00060EF5" w:rsidRPr="00060EF5" w:rsidRDefault="00060EF5" w:rsidP="00D2560E">
            <w:pPr>
              <w:spacing w:after="0" w:line="240" w:lineRule="auto"/>
              <w:jc w:val="right"/>
              <w:rPr>
                <w:rFonts w:eastAsia="Times New Roman" w:cs="Times New Roman"/>
                <w:color w:val="000000"/>
                <w:sz w:val="20"/>
                <w:szCs w:val="20"/>
                <w:lang w:eastAsia="sk-SK"/>
              </w:rPr>
            </w:pPr>
            <w:r w:rsidRPr="00060EF5">
              <w:rPr>
                <w:rFonts w:eastAsia="Times New Roman" w:cs="Times New Roman"/>
                <w:color w:val="000000"/>
                <w:sz w:val="20"/>
                <w:szCs w:val="20"/>
                <w:lang w:eastAsia="sk-SK"/>
              </w:rPr>
              <w:t>52 755</w:t>
            </w:r>
          </w:p>
        </w:tc>
        <w:tc>
          <w:tcPr>
            <w:tcW w:w="960" w:type="dxa"/>
            <w:tcBorders>
              <w:top w:val="nil"/>
              <w:left w:val="nil"/>
              <w:bottom w:val="single" w:sz="8" w:space="0" w:color="auto"/>
              <w:right w:val="nil"/>
            </w:tcBorders>
            <w:shd w:val="clear" w:color="auto" w:fill="auto"/>
            <w:noWrap/>
            <w:vAlign w:val="center"/>
            <w:hideMark/>
          </w:tcPr>
          <w:p w14:paraId="5FC882B7" w14:textId="77777777" w:rsidR="00060EF5" w:rsidRPr="00060EF5" w:rsidRDefault="00060EF5" w:rsidP="00D2560E">
            <w:pPr>
              <w:spacing w:after="0" w:line="240" w:lineRule="auto"/>
              <w:jc w:val="right"/>
              <w:rPr>
                <w:rFonts w:eastAsia="Times New Roman" w:cs="Times New Roman"/>
                <w:color w:val="000000"/>
                <w:sz w:val="20"/>
                <w:szCs w:val="20"/>
                <w:lang w:eastAsia="sk-SK"/>
              </w:rPr>
            </w:pPr>
            <w:r w:rsidRPr="00060EF5">
              <w:rPr>
                <w:rFonts w:eastAsia="Times New Roman" w:cs="Times New Roman"/>
                <w:color w:val="000000"/>
                <w:sz w:val="20"/>
                <w:szCs w:val="20"/>
                <w:lang w:eastAsia="sk-SK"/>
              </w:rPr>
              <w:t>308 244</w:t>
            </w:r>
          </w:p>
        </w:tc>
        <w:tc>
          <w:tcPr>
            <w:tcW w:w="980" w:type="dxa"/>
            <w:tcBorders>
              <w:top w:val="nil"/>
              <w:left w:val="nil"/>
              <w:bottom w:val="single" w:sz="8" w:space="0" w:color="auto"/>
              <w:right w:val="nil"/>
            </w:tcBorders>
            <w:shd w:val="clear" w:color="auto" w:fill="auto"/>
            <w:noWrap/>
            <w:vAlign w:val="center"/>
            <w:hideMark/>
          </w:tcPr>
          <w:p w14:paraId="2A4B8C2A" w14:textId="77777777" w:rsidR="00060EF5" w:rsidRPr="00060EF5" w:rsidRDefault="00060EF5" w:rsidP="00D2560E">
            <w:pPr>
              <w:spacing w:after="0" w:line="240" w:lineRule="auto"/>
              <w:jc w:val="right"/>
              <w:rPr>
                <w:rFonts w:eastAsia="Times New Roman" w:cs="Times New Roman"/>
                <w:color w:val="000000"/>
                <w:sz w:val="20"/>
                <w:szCs w:val="20"/>
                <w:lang w:eastAsia="sk-SK"/>
              </w:rPr>
            </w:pPr>
            <w:r w:rsidRPr="00060EF5">
              <w:rPr>
                <w:rFonts w:eastAsia="Times New Roman" w:cs="Times New Roman"/>
                <w:color w:val="000000"/>
                <w:sz w:val="20"/>
                <w:szCs w:val="20"/>
                <w:lang w:eastAsia="sk-SK"/>
              </w:rPr>
              <w:t>255 489</w:t>
            </w:r>
          </w:p>
        </w:tc>
        <w:tc>
          <w:tcPr>
            <w:tcW w:w="1074" w:type="dxa"/>
            <w:tcBorders>
              <w:top w:val="nil"/>
              <w:left w:val="nil"/>
              <w:bottom w:val="single" w:sz="8" w:space="0" w:color="auto"/>
              <w:right w:val="nil"/>
            </w:tcBorders>
            <w:shd w:val="clear" w:color="auto" w:fill="auto"/>
            <w:noWrap/>
            <w:vAlign w:val="center"/>
            <w:hideMark/>
          </w:tcPr>
          <w:p w14:paraId="2F4CDE08" w14:textId="77777777" w:rsidR="00060EF5" w:rsidRPr="00060EF5" w:rsidRDefault="00060EF5" w:rsidP="00D2560E">
            <w:pPr>
              <w:spacing w:after="0" w:line="240" w:lineRule="auto"/>
              <w:jc w:val="right"/>
              <w:rPr>
                <w:rFonts w:eastAsia="Times New Roman" w:cs="Times New Roman"/>
                <w:color w:val="000000"/>
                <w:sz w:val="20"/>
                <w:szCs w:val="20"/>
                <w:lang w:eastAsia="sk-SK"/>
              </w:rPr>
            </w:pPr>
            <w:r w:rsidRPr="00060EF5">
              <w:rPr>
                <w:rFonts w:eastAsia="Times New Roman" w:cs="Times New Roman"/>
                <w:color w:val="000000"/>
                <w:sz w:val="20"/>
                <w:szCs w:val="20"/>
                <w:lang w:eastAsia="sk-SK"/>
              </w:rPr>
              <w:t>484,29</w:t>
            </w:r>
          </w:p>
        </w:tc>
      </w:tr>
      <w:tr w:rsidR="00060EF5" w:rsidRPr="00060EF5" w14:paraId="448D928B" w14:textId="77777777" w:rsidTr="00D2560E">
        <w:trPr>
          <w:trHeight w:val="300"/>
        </w:trPr>
        <w:tc>
          <w:tcPr>
            <w:tcW w:w="3320" w:type="dxa"/>
            <w:tcBorders>
              <w:top w:val="nil"/>
              <w:left w:val="nil"/>
              <w:bottom w:val="single" w:sz="8" w:space="0" w:color="auto"/>
              <w:right w:val="nil"/>
            </w:tcBorders>
            <w:shd w:val="clear" w:color="auto" w:fill="auto"/>
            <w:vAlign w:val="center"/>
            <w:hideMark/>
          </w:tcPr>
          <w:p w14:paraId="090749AD" w14:textId="4D2AF4E7" w:rsidR="00060EF5" w:rsidRPr="00060EF5" w:rsidRDefault="00AC68A6" w:rsidP="00D2560E">
            <w:pPr>
              <w:spacing w:after="0" w:line="240" w:lineRule="auto"/>
              <w:rPr>
                <w:rFonts w:eastAsia="Times New Roman" w:cs="Times New Roman"/>
                <w:b/>
                <w:bCs/>
                <w:color w:val="000000"/>
                <w:sz w:val="20"/>
                <w:szCs w:val="20"/>
                <w:lang w:eastAsia="sk-SK"/>
              </w:rPr>
            </w:pPr>
            <w:r>
              <w:rPr>
                <w:rFonts w:eastAsia="Times New Roman" w:cs="Times New Roman"/>
                <w:b/>
                <w:bCs/>
                <w:color w:val="000000"/>
                <w:sz w:val="20"/>
                <w:szCs w:val="20"/>
                <w:lang w:eastAsia="sk-SK"/>
              </w:rPr>
              <w:t>S</w:t>
            </w:r>
            <w:r w:rsidR="00060EF5" w:rsidRPr="00060EF5">
              <w:rPr>
                <w:rFonts w:eastAsia="Times New Roman" w:cs="Times New Roman"/>
                <w:b/>
                <w:bCs/>
                <w:color w:val="000000"/>
                <w:sz w:val="20"/>
                <w:szCs w:val="20"/>
                <w:lang w:eastAsia="sk-SK"/>
              </w:rPr>
              <w:t>polu</w:t>
            </w:r>
          </w:p>
        </w:tc>
        <w:tc>
          <w:tcPr>
            <w:tcW w:w="960" w:type="dxa"/>
            <w:tcBorders>
              <w:top w:val="nil"/>
              <w:left w:val="nil"/>
              <w:bottom w:val="single" w:sz="8" w:space="0" w:color="auto"/>
              <w:right w:val="nil"/>
            </w:tcBorders>
            <w:shd w:val="clear" w:color="auto" w:fill="auto"/>
            <w:noWrap/>
            <w:vAlign w:val="center"/>
            <w:hideMark/>
          </w:tcPr>
          <w:p w14:paraId="77A22A31" w14:textId="77777777" w:rsidR="00060EF5" w:rsidRPr="00060EF5" w:rsidRDefault="00060EF5" w:rsidP="00D2560E">
            <w:pPr>
              <w:spacing w:after="0" w:line="240" w:lineRule="auto"/>
              <w:jc w:val="right"/>
              <w:rPr>
                <w:rFonts w:eastAsia="Times New Roman" w:cs="Times New Roman"/>
                <w:b/>
                <w:bCs/>
                <w:color w:val="000000"/>
                <w:sz w:val="20"/>
                <w:szCs w:val="20"/>
                <w:lang w:eastAsia="sk-SK"/>
              </w:rPr>
            </w:pPr>
            <w:r w:rsidRPr="00060EF5">
              <w:rPr>
                <w:rFonts w:eastAsia="Times New Roman" w:cs="Times New Roman"/>
                <w:b/>
                <w:bCs/>
                <w:color w:val="000000"/>
                <w:sz w:val="20"/>
                <w:szCs w:val="20"/>
                <w:lang w:eastAsia="sk-SK"/>
              </w:rPr>
              <w:t>1 141 823</w:t>
            </w:r>
          </w:p>
        </w:tc>
        <w:tc>
          <w:tcPr>
            <w:tcW w:w="960" w:type="dxa"/>
            <w:tcBorders>
              <w:top w:val="nil"/>
              <w:left w:val="nil"/>
              <w:bottom w:val="single" w:sz="8" w:space="0" w:color="auto"/>
              <w:right w:val="nil"/>
            </w:tcBorders>
            <w:shd w:val="clear" w:color="auto" w:fill="auto"/>
            <w:noWrap/>
            <w:vAlign w:val="center"/>
            <w:hideMark/>
          </w:tcPr>
          <w:p w14:paraId="23398A6C" w14:textId="77777777" w:rsidR="00060EF5" w:rsidRPr="00060EF5" w:rsidRDefault="00060EF5" w:rsidP="00D2560E">
            <w:pPr>
              <w:spacing w:after="0" w:line="240" w:lineRule="auto"/>
              <w:jc w:val="right"/>
              <w:rPr>
                <w:rFonts w:eastAsia="Times New Roman" w:cs="Times New Roman"/>
                <w:b/>
                <w:bCs/>
                <w:color w:val="000000"/>
                <w:sz w:val="20"/>
                <w:szCs w:val="20"/>
                <w:lang w:eastAsia="sk-SK"/>
              </w:rPr>
            </w:pPr>
            <w:r w:rsidRPr="00060EF5">
              <w:rPr>
                <w:rFonts w:eastAsia="Times New Roman" w:cs="Times New Roman"/>
                <w:b/>
                <w:bCs/>
                <w:color w:val="000000"/>
                <w:sz w:val="20"/>
                <w:szCs w:val="20"/>
                <w:lang w:eastAsia="sk-SK"/>
              </w:rPr>
              <w:t>1 235 685</w:t>
            </w:r>
          </w:p>
        </w:tc>
        <w:tc>
          <w:tcPr>
            <w:tcW w:w="960" w:type="dxa"/>
            <w:tcBorders>
              <w:top w:val="nil"/>
              <w:left w:val="nil"/>
              <w:bottom w:val="single" w:sz="8" w:space="0" w:color="auto"/>
              <w:right w:val="nil"/>
            </w:tcBorders>
            <w:shd w:val="clear" w:color="auto" w:fill="auto"/>
            <w:noWrap/>
            <w:vAlign w:val="center"/>
            <w:hideMark/>
          </w:tcPr>
          <w:p w14:paraId="71800502" w14:textId="77777777" w:rsidR="00060EF5" w:rsidRPr="00060EF5" w:rsidRDefault="00060EF5" w:rsidP="00D2560E">
            <w:pPr>
              <w:spacing w:after="0" w:line="240" w:lineRule="auto"/>
              <w:jc w:val="right"/>
              <w:rPr>
                <w:rFonts w:eastAsia="Times New Roman" w:cs="Times New Roman"/>
                <w:b/>
                <w:bCs/>
                <w:color w:val="000000"/>
                <w:sz w:val="20"/>
                <w:szCs w:val="20"/>
                <w:lang w:eastAsia="sk-SK"/>
              </w:rPr>
            </w:pPr>
            <w:r w:rsidRPr="00060EF5">
              <w:rPr>
                <w:rFonts w:eastAsia="Times New Roman" w:cs="Times New Roman"/>
                <w:b/>
                <w:bCs/>
                <w:color w:val="000000"/>
                <w:sz w:val="20"/>
                <w:szCs w:val="20"/>
                <w:lang w:eastAsia="sk-SK"/>
              </w:rPr>
              <w:t>623 191</w:t>
            </w:r>
          </w:p>
        </w:tc>
        <w:tc>
          <w:tcPr>
            <w:tcW w:w="960" w:type="dxa"/>
            <w:tcBorders>
              <w:top w:val="nil"/>
              <w:left w:val="nil"/>
              <w:bottom w:val="single" w:sz="8" w:space="0" w:color="auto"/>
              <w:right w:val="nil"/>
            </w:tcBorders>
            <w:shd w:val="clear" w:color="auto" w:fill="auto"/>
            <w:noWrap/>
            <w:vAlign w:val="center"/>
            <w:hideMark/>
          </w:tcPr>
          <w:p w14:paraId="574D0B45" w14:textId="77777777" w:rsidR="00060EF5" w:rsidRPr="00060EF5" w:rsidRDefault="00060EF5" w:rsidP="00D2560E">
            <w:pPr>
              <w:spacing w:after="0" w:line="240" w:lineRule="auto"/>
              <w:jc w:val="right"/>
              <w:rPr>
                <w:rFonts w:eastAsia="Times New Roman" w:cs="Times New Roman"/>
                <w:b/>
                <w:bCs/>
                <w:color w:val="000000"/>
                <w:sz w:val="20"/>
                <w:szCs w:val="20"/>
                <w:lang w:eastAsia="sk-SK"/>
              </w:rPr>
            </w:pPr>
            <w:r w:rsidRPr="00060EF5">
              <w:rPr>
                <w:rFonts w:eastAsia="Times New Roman" w:cs="Times New Roman"/>
                <w:b/>
                <w:bCs/>
                <w:color w:val="000000"/>
                <w:sz w:val="20"/>
                <w:szCs w:val="20"/>
                <w:lang w:eastAsia="sk-SK"/>
              </w:rPr>
              <w:t>2 769 588</w:t>
            </w:r>
          </w:p>
        </w:tc>
        <w:tc>
          <w:tcPr>
            <w:tcW w:w="980" w:type="dxa"/>
            <w:tcBorders>
              <w:top w:val="nil"/>
              <w:left w:val="nil"/>
              <w:bottom w:val="single" w:sz="8" w:space="0" w:color="auto"/>
              <w:right w:val="nil"/>
            </w:tcBorders>
            <w:shd w:val="clear" w:color="auto" w:fill="auto"/>
            <w:noWrap/>
            <w:vAlign w:val="center"/>
            <w:hideMark/>
          </w:tcPr>
          <w:p w14:paraId="41B6457C" w14:textId="77777777" w:rsidR="00060EF5" w:rsidRPr="00060EF5" w:rsidRDefault="00060EF5" w:rsidP="00D2560E">
            <w:pPr>
              <w:spacing w:after="0" w:line="240" w:lineRule="auto"/>
              <w:jc w:val="right"/>
              <w:rPr>
                <w:rFonts w:eastAsia="Times New Roman" w:cs="Times New Roman"/>
                <w:b/>
                <w:bCs/>
                <w:color w:val="000000"/>
                <w:sz w:val="20"/>
                <w:szCs w:val="20"/>
                <w:lang w:eastAsia="sk-SK"/>
              </w:rPr>
            </w:pPr>
            <w:r w:rsidRPr="00060EF5">
              <w:rPr>
                <w:rFonts w:eastAsia="Times New Roman" w:cs="Times New Roman"/>
                <w:b/>
                <w:bCs/>
                <w:color w:val="000000"/>
                <w:sz w:val="20"/>
                <w:szCs w:val="20"/>
                <w:lang w:eastAsia="sk-SK"/>
              </w:rPr>
              <w:t>2 146 397</w:t>
            </w:r>
          </w:p>
        </w:tc>
        <w:tc>
          <w:tcPr>
            <w:tcW w:w="1074" w:type="dxa"/>
            <w:tcBorders>
              <w:top w:val="nil"/>
              <w:left w:val="nil"/>
              <w:bottom w:val="single" w:sz="8" w:space="0" w:color="auto"/>
              <w:right w:val="nil"/>
            </w:tcBorders>
            <w:shd w:val="clear" w:color="auto" w:fill="auto"/>
            <w:noWrap/>
            <w:vAlign w:val="center"/>
            <w:hideMark/>
          </w:tcPr>
          <w:p w14:paraId="089483B6" w14:textId="77777777" w:rsidR="00060EF5" w:rsidRPr="00060EF5" w:rsidRDefault="00060EF5" w:rsidP="00D2560E">
            <w:pPr>
              <w:spacing w:after="0" w:line="240" w:lineRule="auto"/>
              <w:jc w:val="right"/>
              <w:rPr>
                <w:rFonts w:eastAsia="Times New Roman" w:cs="Times New Roman"/>
                <w:b/>
                <w:bCs/>
                <w:color w:val="000000"/>
                <w:sz w:val="20"/>
                <w:szCs w:val="20"/>
                <w:lang w:eastAsia="sk-SK"/>
              </w:rPr>
            </w:pPr>
            <w:r w:rsidRPr="00060EF5">
              <w:rPr>
                <w:rFonts w:eastAsia="Times New Roman" w:cs="Times New Roman"/>
                <w:b/>
                <w:bCs/>
                <w:color w:val="000000"/>
                <w:sz w:val="20"/>
                <w:szCs w:val="20"/>
                <w:lang w:eastAsia="sk-SK"/>
              </w:rPr>
              <w:t>344,42</w:t>
            </w:r>
          </w:p>
        </w:tc>
      </w:tr>
    </w:tbl>
    <w:p w14:paraId="063BA588" w14:textId="77777777" w:rsidR="00060EF5" w:rsidRPr="00060EF5" w:rsidRDefault="00060EF5" w:rsidP="00060EF5">
      <w:pPr>
        <w:spacing w:line="240" w:lineRule="auto"/>
        <w:jc w:val="right"/>
        <w:rPr>
          <w:sz w:val="18"/>
          <w:szCs w:val="18"/>
        </w:rPr>
      </w:pPr>
      <w:r w:rsidRPr="00060EF5">
        <w:rPr>
          <w:sz w:val="20"/>
          <w:szCs w:val="20"/>
        </w:rPr>
        <w:t>Zdroj: MF SR</w:t>
      </w:r>
    </w:p>
    <w:p w14:paraId="394A0D60" w14:textId="77777777" w:rsidR="00060EF5" w:rsidRPr="00060EF5" w:rsidRDefault="00060EF5" w:rsidP="00060EF5">
      <w:pPr>
        <w:spacing w:line="240" w:lineRule="auto"/>
        <w:rPr>
          <w:sz w:val="24"/>
          <w:szCs w:val="24"/>
        </w:rPr>
      </w:pPr>
      <w:r w:rsidRPr="00060EF5">
        <w:rPr>
          <w:sz w:val="24"/>
          <w:szCs w:val="24"/>
        </w:rPr>
        <w:t>Transfery</w:t>
      </w:r>
      <w:r w:rsidRPr="00060EF5">
        <w:rPr>
          <w:b/>
          <w:i/>
          <w:sz w:val="24"/>
          <w:szCs w:val="24"/>
        </w:rPr>
        <w:t xml:space="preserve"> </w:t>
      </w:r>
      <w:r w:rsidRPr="00060EF5">
        <w:rPr>
          <w:b/>
          <w:sz w:val="24"/>
          <w:szCs w:val="24"/>
        </w:rPr>
        <w:t>nefinančným subjektom</w:t>
      </w:r>
      <w:r w:rsidRPr="00060EF5">
        <w:rPr>
          <w:b/>
          <w:i/>
          <w:sz w:val="24"/>
          <w:szCs w:val="24"/>
        </w:rPr>
        <w:t xml:space="preserve"> </w:t>
      </w:r>
      <w:r w:rsidRPr="00060EF5">
        <w:rPr>
          <w:sz w:val="24"/>
          <w:szCs w:val="24"/>
        </w:rPr>
        <w:t>tvorili 414 476 tis. eur, čo predstavuje 12,6 % z celkovej výšky kapitálových transferov. Najvyššiu hodnotu vykazovali kapitoly Ministerstva životného prostredia SR (130 365 tis. eur), Ministerstva investícií, regionálneho rozvoja a informatizácie SR (112 970 tis. eur) a Ministerstva hospodárstva SR (102 761 tis. eur). Pôvodne rozpočtovaná suma 2 785 338 tis. eur predpokladala výdavky Ministerstva životného prostredia SR a Ministerstva dopravy SR Ostatnej právnickej osobe.</w:t>
      </w:r>
    </w:p>
    <w:p w14:paraId="68EFF3D7" w14:textId="77777777" w:rsidR="00060EF5" w:rsidRPr="004E77D1" w:rsidRDefault="00060EF5" w:rsidP="00060EF5">
      <w:pPr>
        <w:spacing w:line="240" w:lineRule="auto"/>
        <w:rPr>
          <w:sz w:val="24"/>
          <w:szCs w:val="24"/>
        </w:rPr>
      </w:pPr>
      <w:r w:rsidRPr="00060EF5">
        <w:rPr>
          <w:b/>
          <w:i/>
          <w:sz w:val="24"/>
          <w:szCs w:val="24"/>
        </w:rPr>
        <w:t>Ostatným právnickým osobám</w:t>
      </w:r>
      <w:r w:rsidRPr="00060EF5">
        <w:rPr>
          <w:sz w:val="24"/>
          <w:szCs w:val="24"/>
        </w:rPr>
        <w:t xml:space="preserve"> boli poskytnuté transfery v celkovej výške 295 159 tis. eur.</w:t>
      </w:r>
      <w:r w:rsidRPr="004E77D1">
        <w:rPr>
          <w:sz w:val="24"/>
          <w:szCs w:val="24"/>
        </w:rPr>
        <w:t xml:space="preserve"> Najvýznamnejšie prostriedky poskytlo </w:t>
      </w:r>
      <w:r w:rsidRPr="00153D59">
        <w:rPr>
          <w:sz w:val="24"/>
          <w:szCs w:val="24"/>
          <w:u w:val="single"/>
        </w:rPr>
        <w:t>Ministerstvo investícií, regionálneho rozvoja a informatizácie SR</w:t>
      </w:r>
      <w:r w:rsidRPr="004E77D1">
        <w:rPr>
          <w:sz w:val="24"/>
          <w:szCs w:val="24"/>
        </w:rPr>
        <w:t xml:space="preserve"> vo výške 102 592 tis. </w:t>
      </w:r>
      <w:r w:rsidRPr="003C5B4D">
        <w:rPr>
          <w:sz w:val="24"/>
          <w:szCs w:val="24"/>
        </w:rPr>
        <w:t>eur</w:t>
      </w:r>
      <w:r>
        <w:rPr>
          <w:sz w:val="24"/>
          <w:szCs w:val="24"/>
        </w:rPr>
        <w:t>,</w:t>
      </w:r>
      <w:r w:rsidRPr="003C5B4D">
        <w:rPr>
          <w:sz w:val="24"/>
          <w:szCs w:val="24"/>
          <w:lang w:eastAsia="sk-SK"/>
        </w:rPr>
        <w:t xml:space="preserve"> z toho najviac (98 130 tis. eur) v rámci Integrovaného regionálneho operačného programu na implementáciu projektov v oblasti bezpečnej a ekologickej dopravy v regiónoch, zlepšovania efektívnosti a kvality služieb, mobilizácie kreatívneho potenciálu v regiónoch, zlepšovania kvality života v regiónoch s dôrazom na životné prostredie a pod. Kapitola poskytla regionálne príspevky v sume </w:t>
      </w:r>
      <w:r w:rsidRPr="003C5B4D">
        <w:rPr>
          <w:sz w:val="24"/>
          <w:szCs w:val="24"/>
          <w:lang w:eastAsia="sk-SK"/>
        </w:rPr>
        <w:lastRenderedPageBreak/>
        <w:t>4 462 tis. eur pre najmenej rozvinuté okresy v zmysle zákona č. 336/2015 Z. z. O podpore najmenej rozvinutých okresov a o zmene a doplnení niektorých zákonov.</w:t>
      </w:r>
    </w:p>
    <w:p w14:paraId="586A6262" w14:textId="77777777" w:rsidR="00060EF5" w:rsidRPr="004E77D1" w:rsidRDefault="00060EF5" w:rsidP="00060EF5">
      <w:pPr>
        <w:spacing w:line="240" w:lineRule="auto"/>
        <w:rPr>
          <w:sz w:val="24"/>
          <w:szCs w:val="24"/>
          <w:lang w:eastAsia="sk-SK"/>
        </w:rPr>
      </w:pPr>
      <w:r w:rsidRPr="004E77D1">
        <w:rPr>
          <w:sz w:val="24"/>
          <w:szCs w:val="24"/>
          <w:u w:val="single"/>
        </w:rPr>
        <w:t>Ministerstvo hospodárstva SR</w:t>
      </w:r>
      <w:r w:rsidRPr="004E77D1">
        <w:rPr>
          <w:sz w:val="24"/>
          <w:szCs w:val="24"/>
        </w:rPr>
        <w:t xml:space="preserve"> vykázalo </w:t>
      </w:r>
      <w:r w:rsidRPr="004E77D1">
        <w:rPr>
          <w:sz w:val="24"/>
          <w:szCs w:val="24"/>
          <w:lang w:eastAsia="sk-SK"/>
        </w:rPr>
        <w:t>transfery v sume 99 177 tis. eur</w:t>
      </w:r>
      <w:r w:rsidRPr="004E77D1">
        <w:rPr>
          <w:sz w:val="24"/>
          <w:szCs w:val="24"/>
        </w:rPr>
        <w:t xml:space="preserve">. </w:t>
      </w:r>
      <w:r w:rsidRPr="004E77D1">
        <w:rPr>
          <w:sz w:val="24"/>
          <w:szCs w:val="24"/>
          <w:lang w:eastAsia="sk-SK"/>
        </w:rPr>
        <w:t xml:space="preserve">Z toho </w:t>
      </w:r>
      <w:r>
        <w:rPr>
          <w:sz w:val="24"/>
          <w:szCs w:val="24"/>
          <w:lang w:eastAsia="sk-SK"/>
        </w:rPr>
        <w:t>96</w:t>
      </w:r>
      <w:r w:rsidRPr="004E77D1">
        <w:rPr>
          <w:sz w:val="24"/>
          <w:szCs w:val="24"/>
          <w:lang w:eastAsia="sk-SK"/>
        </w:rPr>
        <w:t> </w:t>
      </w:r>
      <w:r>
        <w:rPr>
          <w:sz w:val="24"/>
          <w:szCs w:val="24"/>
          <w:lang w:eastAsia="sk-SK"/>
        </w:rPr>
        <w:t>808</w:t>
      </w:r>
      <w:r w:rsidRPr="004E77D1">
        <w:rPr>
          <w:sz w:val="24"/>
          <w:szCs w:val="24"/>
          <w:lang w:eastAsia="sk-SK"/>
        </w:rPr>
        <w:t xml:space="preserve"> tis. eur bolo použitých v rámci operačného programu Integrovaná infraštruktúra na podporu trvalo udržateľnej mobility, hospodárskeho rastu, posilnenie výskumu, technologického rozvoja a inovácií a zvýšenie konkurencieschopnosti malých a stredných podnikov, prostredníctvom rozvoja dopravnej infraštruktúry, verejnej osobnej dopravy, informačnej spoločnosti, podpory výskumných, vývojových a inovačných kapacít a rozvoja malého a stredného podnikania. </w:t>
      </w:r>
    </w:p>
    <w:p w14:paraId="044D3D4B" w14:textId="77777777" w:rsidR="00060EF5" w:rsidRPr="002D69FC" w:rsidRDefault="00060EF5" w:rsidP="00060EF5">
      <w:pPr>
        <w:spacing w:line="240" w:lineRule="auto"/>
        <w:rPr>
          <w:sz w:val="24"/>
          <w:szCs w:val="24"/>
          <w:highlight w:val="yellow"/>
          <w:lang w:eastAsia="sk-SK"/>
        </w:rPr>
      </w:pPr>
      <w:r w:rsidRPr="004E77D1">
        <w:rPr>
          <w:sz w:val="24"/>
          <w:szCs w:val="24"/>
          <w:u w:val="single"/>
        </w:rPr>
        <w:t>Ministerstvo životného prostredia SR</w:t>
      </w:r>
      <w:r w:rsidRPr="004E77D1">
        <w:rPr>
          <w:sz w:val="24"/>
          <w:szCs w:val="24"/>
        </w:rPr>
        <w:t xml:space="preserve"> poskytlo transfery v sume </w:t>
      </w:r>
      <w:r>
        <w:rPr>
          <w:sz w:val="24"/>
          <w:szCs w:val="24"/>
        </w:rPr>
        <w:t>49 429</w:t>
      </w:r>
      <w:r w:rsidRPr="004E77D1">
        <w:rPr>
          <w:sz w:val="24"/>
          <w:szCs w:val="24"/>
        </w:rPr>
        <w:t> tis. eur v rámci programu Kvalita životného prostredia na účely zníženia energetickej náročnosti a zvýšenia využívania obnoviteľných zdrojov energie budov v podnikoch a spoločnostiach, zhodnocovanie od</w:t>
      </w:r>
      <w:r>
        <w:rPr>
          <w:sz w:val="24"/>
          <w:szCs w:val="24"/>
        </w:rPr>
        <w:t>padov, vybudovanie kanalizačnej</w:t>
      </w:r>
      <w:r w:rsidRPr="004E77D1">
        <w:rPr>
          <w:sz w:val="24"/>
          <w:szCs w:val="24"/>
        </w:rPr>
        <w:t xml:space="preserve"> infraštruktúry</w:t>
      </w:r>
      <w:r>
        <w:rPr>
          <w:sz w:val="24"/>
          <w:szCs w:val="24"/>
        </w:rPr>
        <w:t xml:space="preserve"> a pod. </w:t>
      </w:r>
      <w:r w:rsidRPr="004E77D1">
        <w:rPr>
          <w:sz w:val="24"/>
          <w:szCs w:val="24"/>
          <w:lang w:eastAsia="sk-SK"/>
        </w:rPr>
        <w:t xml:space="preserve">Najväčší príjemcovia finančných prostriedkov boli: Oravská vodárenská spoločnosť, </w:t>
      </w:r>
      <w:proofErr w:type="spellStart"/>
      <w:r w:rsidRPr="004E77D1">
        <w:rPr>
          <w:sz w:val="24"/>
          <w:szCs w:val="24"/>
          <w:lang w:eastAsia="sk-SK"/>
        </w:rPr>
        <w:t>a.s</w:t>
      </w:r>
      <w:proofErr w:type="spellEnd"/>
      <w:r w:rsidRPr="004E77D1">
        <w:rPr>
          <w:sz w:val="24"/>
          <w:szCs w:val="24"/>
          <w:lang w:eastAsia="sk-SK"/>
        </w:rPr>
        <w:t xml:space="preserve">. (9 395 tis. eur), </w:t>
      </w:r>
      <w:r w:rsidRPr="00DB0759">
        <w:rPr>
          <w:sz w:val="24"/>
          <w:szCs w:val="24"/>
          <w:lang w:eastAsia="sk-SK"/>
        </w:rPr>
        <w:t xml:space="preserve">A.N.T. Prešov, </w:t>
      </w:r>
      <w:proofErr w:type="spellStart"/>
      <w:r w:rsidRPr="00DB0759">
        <w:rPr>
          <w:sz w:val="24"/>
          <w:szCs w:val="24"/>
          <w:lang w:eastAsia="sk-SK"/>
        </w:rPr>
        <w:t>s</w:t>
      </w:r>
      <w:r>
        <w:rPr>
          <w:sz w:val="24"/>
          <w:szCs w:val="24"/>
          <w:lang w:eastAsia="sk-SK"/>
        </w:rPr>
        <w:t>.r.o</w:t>
      </w:r>
      <w:proofErr w:type="spellEnd"/>
      <w:r>
        <w:rPr>
          <w:sz w:val="24"/>
          <w:szCs w:val="24"/>
          <w:lang w:eastAsia="sk-SK"/>
        </w:rPr>
        <w:t>. (7 </w:t>
      </w:r>
      <w:r w:rsidRPr="00DB0759">
        <w:rPr>
          <w:sz w:val="24"/>
          <w:szCs w:val="24"/>
          <w:lang w:eastAsia="sk-SK"/>
        </w:rPr>
        <w:t>68</w:t>
      </w:r>
      <w:r>
        <w:rPr>
          <w:sz w:val="24"/>
          <w:szCs w:val="24"/>
          <w:lang w:eastAsia="sk-SK"/>
        </w:rPr>
        <w:t xml:space="preserve">5 tis. eur) a BUKOCEL, </w:t>
      </w:r>
      <w:proofErr w:type="spellStart"/>
      <w:r>
        <w:rPr>
          <w:sz w:val="24"/>
          <w:szCs w:val="24"/>
          <w:lang w:eastAsia="sk-SK"/>
        </w:rPr>
        <w:t>a.s</w:t>
      </w:r>
      <w:proofErr w:type="spellEnd"/>
      <w:r>
        <w:rPr>
          <w:sz w:val="24"/>
          <w:szCs w:val="24"/>
          <w:lang w:eastAsia="sk-SK"/>
        </w:rPr>
        <w:t>. (3 445 tis. eur</w:t>
      </w:r>
      <w:r w:rsidRPr="00DB0759">
        <w:rPr>
          <w:sz w:val="24"/>
          <w:szCs w:val="24"/>
          <w:lang w:eastAsia="sk-SK"/>
        </w:rPr>
        <w:t>)</w:t>
      </w:r>
      <w:r>
        <w:rPr>
          <w:sz w:val="24"/>
          <w:szCs w:val="24"/>
          <w:lang w:eastAsia="sk-SK"/>
        </w:rPr>
        <w:t>.</w:t>
      </w:r>
    </w:p>
    <w:p w14:paraId="22352B1B" w14:textId="515CF10D" w:rsidR="00060EF5" w:rsidRPr="003171D1" w:rsidRDefault="00060EF5" w:rsidP="00060EF5">
      <w:pPr>
        <w:spacing w:line="240" w:lineRule="auto"/>
        <w:rPr>
          <w:sz w:val="24"/>
          <w:szCs w:val="24"/>
        </w:rPr>
      </w:pPr>
      <w:r w:rsidRPr="00512097">
        <w:rPr>
          <w:sz w:val="24"/>
          <w:szCs w:val="24"/>
          <w:u w:val="single"/>
        </w:rPr>
        <w:t xml:space="preserve">Ministerstvo životného prostredia SR </w:t>
      </w:r>
      <w:r w:rsidRPr="00512097">
        <w:rPr>
          <w:sz w:val="24"/>
          <w:szCs w:val="24"/>
        </w:rPr>
        <w:t xml:space="preserve">zaznamenalo významný pokles skutočnosti oproti schválenému rozpočtu (o 1 464 154 tis. eur), vzhľadom na </w:t>
      </w:r>
      <w:r w:rsidR="006151CA">
        <w:rPr>
          <w:sz w:val="24"/>
          <w:szCs w:val="24"/>
        </w:rPr>
        <w:t xml:space="preserve">zmenu štruktúry vykazovania skutočnosti v rámci Platobnej jednotky. </w:t>
      </w:r>
      <w:r w:rsidRPr="00512097">
        <w:rPr>
          <w:sz w:val="24"/>
          <w:szCs w:val="24"/>
          <w:u w:val="single"/>
        </w:rPr>
        <w:t>Ministerstvo dopravy SR</w:t>
      </w:r>
      <w:r w:rsidRPr="00512097">
        <w:rPr>
          <w:sz w:val="24"/>
          <w:szCs w:val="24"/>
        </w:rPr>
        <w:t xml:space="preserve"> nezaznamenalo významné poskytnutie transferov, avšak významný bol pokles vykázanej skutočnosti oproti schválenému rozpočtu v sume 142 232 tis. eur, išlo </w:t>
      </w:r>
      <w:r w:rsidRPr="003171D1">
        <w:rPr>
          <w:sz w:val="24"/>
          <w:szCs w:val="24"/>
        </w:rPr>
        <w:t xml:space="preserve">o presun prostriedkov </w:t>
      </w:r>
      <w:r>
        <w:rPr>
          <w:sz w:val="24"/>
          <w:szCs w:val="24"/>
        </w:rPr>
        <w:t>medzi ekonomickými podpoložkami</w:t>
      </w:r>
      <w:r w:rsidRPr="003171D1">
        <w:rPr>
          <w:sz w:val="24"/>
          <w:szCs w:val="24"/>
        </w:rPr>
        <w:t xml:space="preserve"> a viazanie výdavkov na použitie do nasledujúceho rozpočtového roka.</w:t>
      </w:r>
    </w:p>
    <w:p w14:paraId="6CC381DF" w14:textId="77777777" w:rsidR="00060EF5" w:rsidRPr="00E949AC" w:rsidRDefault="00060EF5" w:rsidP="00060EF5">
      <w:pPr>
        <w:spacing w:line="240" w:lineRule="auto"/>
        <w:rPr>
          <w:sz w:val="24"/>
          <w:szCs w:val="24"/>
        </w:rPr>
      </w:pPr>
      <w:r w:rsidRPr="00512097">
        <w:rPr>
          <w:sz w:val="24"/>
          <w:szCs w:val="24"/>
        </w:rPr>
        <w:t xml:space="preserve">Transfery </w:t>
      </w:r>
      <w:r w:rsidRPr="00512097">
        <w:rPr>
          <w:b/>
          <w:i/>
          <w:sz w:val="24"/>
          <w:szCs w:val="24"/>
        </w:rPr>
        <w:t>právnickým osobám založeným štátom, obcou, alebo vyšším územným celkom</w:t>
      </w:r>
      <w:r w:rsidRPr="00512097">
        <w:rPr>
          <w:i/>
          <w:sz w:val="24"/>
          <w:szCs w:val="24"/>
        </w:rPr>
        <w:t xml:space="preserve"> </w:t>
      </w:r>
      <w:r w:rsidRPr="00512097">
        <w:rPr>
          <w:sz w:val="24"/>
          <w:szCs w:val="24"/>
        </w:rPr>
        <w:t xml:space="preserve">boli vykázané vo výške 109 547 tis. eur, najviac poskytlo </w:t>
      </w:r>
      <w:r w:rsidRPr="00512097">
        <w:rPr>
          <w:sz w:val="24"/>
          <w:szCs w:val="24"/>
          <w:u w:val="single"/>
        </w:rPr>
        <w:t>Ministerstvo životného prostredia SR</w:t>
      </w:r>
      <w:r w:rsidRPr="00512097">
        <w:rPr>
          <w:sz w:val="24"/>
          <w:szCs w:val="24"/>
        </w:rPr>
        <w:t xml:space="preserve"> (80 635 tis. eur), na modernizácie rozvodov tepla, technológiu úpravy zmesového komunálneho odpadu pre jeho ďalšie využitie, zlepšenie odvádzania a čistenia komunálnych odpadových vôd, protipovodňové opatrenia a pod. </w:t>
      </w:r>
      <w:r w:rsidRPr="00E949AC">
        <w:rPr>
          <w:sz w:val="24"/>
          <w:szCs w:val="24"/>
        </w:rPr>
        <w:t xml:space="preserve">Išlo o spoločnosti </w:t>
      </w:r>
      <w:r w:rsidRPr="00512097">
        <w:rPr>
          <w:sz w:val="24"/>
          <w:szCs w:val="24"/>
        </w:rPr>
        <w:t>Prievidzské</w:t>
      </w:r>
      <w:r>
        <w:rPr>
          <w:sz w:val="24"/>
          <w:szCs w:val="24"/>
        </w:rPr>
        <w:t xml:space="preserve"> tepelné hospodárstvo, </w:t>
      </w:r>
      <w:proofErr w:type="spellStart"/>
      <w:r>
        <w:rPr>
          <w:sz w:val="24"/>
          <w:szCs w:val="24"/>
        </w:rPr>
        <w:t>a.s</w:t>
      </w:r>
      <w:proofErr w:type="spellEnd"/>
      <w:r>
        <w:rPr>
          <w:sz w:val="24"/>
          <w:szCs w:val="24"/>
        </w:rPr>
        <w:t>. (18 138 tis. eur),</w:t>
      </w:r>
      <w:r w:rsidRPr="00512097">
        <w:rPr>
          <w:sz w:val="24"/>
          <w:szCs w:val="24"/>
        </w:rPr>
        <w:t xml:space="preserve"> </w:t>
      </w:r>
      <w:r w:rsidRPr="00E949AC">
        <w:rPr>
          <w:sz w:val="24"/>
          <w:szCs w:val="24"/>
        </w:rPr>
        <w:t xml:space="preserve">Západoslovenská vodárenská spoločnosť, </w:t>
      </w:r>
      <w:proofErr w:type="spellStart"/>
      <w:r w:rsidRPr="00E949AC">
        <w:rPr>
          <w:sz w:val="24"/>
          <w:szCs w:val="24"/>
        </w:rPr>
        <w:t>a.s</w:t>
      </w:r>
      <w:proofErr w:type="spellEnd"/>
      <w:r w:rsidRPr="00E949AC">
        <w:rPr>
          <w:sz w:val="24"/>
          <w:szCs w:val="24"/>
        </w:rPr>
        <w:t>. (17 374 tis. eur) a</w:t>
      </w:r>
      <w:r w:rsidRPr="00512097">
        <w:rPr>
          <w:sz w:val="24"/>
          <w:szCs w:val="24"/>
        </w:rPr>
        <w:t xml:space="preserve"> Stredoslovenská vodárenská spoločnosť, </w:t>
      </w:r>
      <w:proofErr w:type="spellStart"/>
      <w:r w:rsidRPr="00512097">
        <w:rPr>
          <w:sz w:val="24"/>
          <w:szCs w:val="24"/>
        </w:rPr>
        <w:t>a.s</w:t>
      </w:r>
      <w:proofErr w:type="spellEnd"/>
      <w:r w:rsidRPr="00512097">
        <w:rPr>
          <w:sz w:val="24"/>
          <w:szCs w:val="24"/>
        </w:rPr>
        <w:t>. (1</w:t>
      </w:r>
      <w:r>
        <w:rPr>
          <w:sz w:val="24"/>
          <w:szCs w:val="24"/>
        </w:rPr>
        <w:t>2</w:t>
      </w:r>
      <w:r w:rsidRPr="00512097">
        <w:rPr>
          <w:sz w:val="24"/>
          <w:szCs w:val="24"/>
        </w:rPr>
        <w:t> </w:t>
      </w:r>
      <w:r>
        <w:rPr>
          <w:sz w:val="24"/>
          <w:szCs w:val="24"/>
        </w:rPr>
        <w:t>415 tis. eur).</w:t>
      </w:r>
    </w:p>
    <w:p w14:paraId="235A4AC3" w14:textId="77777777" w:rsidR="00060EF5" w:rsidRPr="00E949AC" w:rsidRDefault="00060EF5" w:rsidP="00060EF5">
      <w:pPr>
        <w:spacing w:line="240" w:lineRule="auto"/>
        <w:rPr>
          <w:sz w:val="24"/>
          <w:szCs w:val="24"/>
        </w:rPr>
      </w:pPr>
      <w:r w:rsidRPr="00E949AC">
        <w:rPr>
          <w:b/>
          <w:sz w:val="24"/>
          <w:szCs w:val="24"/>
        </w:rPr>
        <w:t>Transfery finančným inštitúciám</w:t>
      </w:r>
      <w:r w:rsidRPr="00E949AC">
        <w:rPr>
          <w:b/>
          <w:i/>
          <w:sz w:val="24"/>
          <w:szCs w:val="24"/>
        </w:rPr>
        <w:t xml:space="preserve"> </w:t>
      </w:r>
      <w:r w:rsidRPr="00E949AC">
        <w:rPr>
          <w:sz w:val="24"/>
          <w:szCs w:val="24"/>
        </w:rPr>
        <w:t xml:space="preserve">tvorili 35 334 tis. eur, z toho celú sumu vykazovalo </w:t>
      </w:r>
      <w:r w:rsidRPr="00E949AC">
        <w:rPr>
          <w:sz w:val="24"/>
          <w:szCs w:val="24"/>
          <w:u w:val="single"/>
        </w:rPr>
        <w:t>Ministerstvo životného prostredia SR</w:t>
      </w:r>
      <w:r w:rsidRPr="00E949AC">
        <w:rPr>
          <w:sz w:val="24"/>
          <w:szCs w:val="24"/>
        </w:rPr>
        <w:t xml:space="preserve"> v rámci operačného programu Kvalita životného prostredia. Príjemcom finančných prostriedkov bol</w:t>
      </w:r>
      <w:r>
        <w:rPr>
          <w:sz w:val="24"/>
          <w:szCs w:val="24"/>
        </w:rPr>
        <w:t xml:space="preserve">a spoločnosť Slovak </w:t>
      </w:r>
      <w:proofErr w:type="spellStart"/>
      <w:r>
        <w:rPr>
          <w:sz w:val="24"/>
          <w:szCs w:val="24"/>
        </w:rPr>
        <w:t>Investment</w:t>
      </w:r>
      <w:proofErr w:type="spellEnd"/>
      <w:r>
        <w:rPr>
          <w:sz w:val="24"/>
          <w:szCs w:val="24"/>
        </w:rPr>
        <w:t xml:space="preserve"> Holding, </w:t>
      </w:r>
      <w:proofErr w:type="spellStart"/>
      <w:r>
        <w:rPr>
          <w:sz w:val="24"/>
          <w:szCs w:val="24"/>
        </w:rPr>
        <w:t>a.</w:t>
      </w:r>
      <w:r w:rsidRPr="00E949AC">
        <w:rPr>
          <w:sz w:val="24"/>
          <w:szCs w:val="24"/>
        </w:rPr>
        <w:t>s</w:t>
      </w:r>
      <w:proofErr w:type="spellEnd"/>
      <w:r w:rsidRPr="00E949AC">
        <w:rPr>
          <w:sz w:val="24"/>
          <w:szCs w:val="24"/>
        </w:rPr>
        <w:t>.</w:t>
      </w:r>
      <w:r>
        <w:rPr>
          <w:sz w:val="24"/>
          <w:szCs w:val="24"/>
        </w:rPr>
        <w:t xml:space="preserve"> a</w:t>
      </w:r>
      <w:r w:rsidRPr="00E949AC">
        <w:rPr>
          <w:sz w:val="24"/>
          <w:szCs w:val="24"/>
        </w:rPr>
        <w:t xml:space="preserve"> prostriedky boli použité na podporu prechodu na </w:t>
      </w:r>
      <w:proofErr w:type="spellStart"/>
      <w:r w:rsidRPr="00E949AC">
        <w:rPr>
          <w:sz w:val="24"/>
          <w:szCs w:val="24"/>
        </w:rPr>
        <w:t>nízkouhlíkové</w:t>
      </w:r>
      <w:proofErr w:type="spellEnd"/>
      <w:r w:rsidRPr="00E949AC">
        <w:rPr>
          <w:sz w:val="24"/>
          <w:szCs w:val="24"/>
        </w:rPr>
        <w:t xml:space="preserve"> hospodárstvo, na podpor</w:t>
      </w:r>
      <w:r>
        <w:rPr>
          <w:sz w:val="24"/>
          <w:szCs w:val="24"/>
        </w:rPr>
        <w:t>u</w:t>
      </w:r>
      <w:r w:rsidRPr="00E949AC">
        <w:rPr>
          <w:sz w:val="24"/>
          <w:szCs w:val="24"/>
        </w:rPr>
        <w:t xml:space="preserve"> udržateľného a efektívneho využívania </w:t>
      </w:r>
      <w:r>
        <w:rPr>
          <w:sz w:val="24"/>
          <w:szCs w:val="24"/>
        </w:rPr>
        <w:t>energetických zdrojov a zvýšenie</w:t>
      </w:r>
      <w:r w:rsidRPr="00E949AC">
        <w:rPr>
          <w:sz w:val="24"/>
          <w:szCs w:val="24"/>
        </w:rPr>
        <w:t xml:space="preserve"> miery zhodnocovania odpadov so zameraním na ich prípravu na opätovné použitie a recykláciu a podporu predchádzania vzniku biologicky rozložiteľných komunálnych odpadov</w:t>
      </w:r>
    </w:p>
    <w:p w14:paraId="59F2F354" w14:textId="77777777" w:rsidR="00060EF5" w:rsidRPr="008411DA" w:rsidRDefault="00060EF5" w:rsidP="00E32B29">
      <w:pPr>
        <w:spacing w:line="240" w:lineRule="auto"/>
        <w:rPr>
          <w:sz w:val="24"/>
          <w:szCs w:val="24"/>
        </w:rPr>
      </w:pPr>
      <w:r w:rsidRPr="00E949AC">
        <w:rPr>
          <w:b/>
          <w:sz w:val="24"/>
          <w:szCs w:val="24"/>
        </w:rPr>
        <w:t>Transfery jednotlivcom a neziskovým právnickým osobám</w:t>
      </w:r>
      <w:r w:rsidRPr="00E949AC">
        <w:rPr>
          <w:sz w:val="24"/>
          <w:szCs w:val="24"/>
        </w:rPr>
        <w:t xml:space="preserve"> boli poskytnuté vo výške</w:t>
      </w:r>
      <w:r>
        <w:rPr>
          <w:sz w:val="24"/>
          <w:szCs w:val="24"/>
        </w:rPr>
        <w:t xml:space="preserve"> </w:t>
      </w:r>
      <w:r w:rsidRPr="00E949AC">
        <w:rPr>
          <w:sz w:val="24"/>
          <w:szCs w:val="24"/>
        </w:rPr>
        <w:t xml:space="preserve">55 358 tis. eur (2022: 28 818 tis. eur), z toho </w:t>
      </w:r>
      <w:r w:rsidRPr="00E949AC">
        <w:rPr>
          <w:b/>
          <w:i/>
          <w:sz w:val="24"/>
          <w:szCs w:val="24"/>
        </w:rPr>
        <w:t>neziskovej právnickej osobe</w:t>
      </w:r>
      <w:r w:rsidRPr="00E949AC">
        <w:rPr>
          <w:sz w:val="24"/>
          <w:szCs w:val="24"/>
        </w:rPr>
        <w:t xml:space="preserve"> 33 472 tis. eur a </w:t>
      </w:r>
      <w:r w:rsidRPr="00E949AC">
        <w:rPr>
          <w:b/>
          <w:i/>
          <w:sz w:val="24"/>
          <w:szCs w:val="24"/>
        </w:rPr>
        <w:t>občianskym združeniam, nadáciám a neinvestičným fondom</w:t>
      </w:r>
      <w:r w:rsidRPr="00E949AC">
        <w:rPr>
          <w:sz w:val="24"/>
          <w:szCs w:val="24"/>
        </w:rPr>
        <w:t xml:space="preserve"> boli poskytnuté vo výške 14 254 tis. eur. </w:t>
      </w:r>
      <w:r w:rsidRPr="008411DA">
        <w:rPr>
          <w:sz w:val="24"/>
          <w:szCs w:val="24"/>
        </w:rPr>
        <w:t>Neziskovej právnickej osobe</w:t>
      </w:r>
      <w:r>
        <w:rPr>
          <w:sz w:val="24"/>
          <w:szCs w:val="24"/>
        </w:rPr>
        <w:t xml:space="preserve"> poskytlo </w:t>
      </w:r>
      <w:r w:rsidRPr="006D6FAE">
        <w:rPr>
          <w:sz w:val="24"/>
          <w:szCs w:val="24"/>
          <w:u w:val="single"/>
        </w:rPr>
        <w:t>Ministerstvo investícií, regionálneho rozvoja a informatizácie SR</w:t>
      </w:r>
      <w:r>
        <w:rPr>
          <w:sz w:val="24"/>
          <w:szCs w:val="24"/>
        </w:rPr>
        <w:t xml:space="preserve"> transfery v celkovej sume 23 829 tis. eur, išlo napr. o </w:t>
      </w:r>
      <w:r w:rsidRPr="006D6FAE">
        <w:rPr>
          <w:sz w:val="24"/>
          <w:szCs w:val="24"/>
        </w:rPr>
        <w:t>projekty zamerané najmä na rekonštrukcie zdravotníckych zariadení, zariadení sociálnych služieb, na zníženie dopadov pandémie COVID-19 v zdravotníckych zariadeniach, zvyšovanie kapacít žiakov stredných škôl na praktickom vyučovaní, zvýšenie atraktivity cyklistickej dopravy</w:t>
      </w:r>
      <w:r>
        <w:rPr>
          <w:sz w:val="24"/>
          <w:szCs w:val="24"/>
        </w:rPr>
        <w:t xml:space="preserve"> a pod. </w:t>
      </w:r>
    </w:p>
    <w:p w14:paraId="586DCB36" w14:textId="17E4ABD7" w:rsidR="00060EF5" w:rsidRPr="003C5B4D" w:rsidRDefault="00060EF5" w:rsidP="00E32B29">
      <w:pPr>
        <w:spacing w:line="240" w:lineRule="auto"/>
        <w:rPr>
          <w:sz w:val="24"/>
          <w:szCs w:val="24"/>
        </w:rPr>
      </w:pPr>
      <w:r w:rsidRPr="008411DA">
        <w:rPr>
          <w:sz w:val="24"/>
          <w:szCs w:val="24"/>
        </w:rPr>
        <w:t>Najviac prostriedkov občianskym združeniam, nadáciám a neinvestičným fondom</w:t>
      </w:r>
      <w:r w:rsidRPr="00E949AC">
        <w:rPr>
          <w:sz w:val="24"/>
          <w:szCs w:val="24"/>
        </w:rPr>
        <w:t xml:space="preserve"> poskytlo </w:t>
      </w:r>
      <w:r w:rsidRPr="001B67FC">
        <w:rPr>
          <w:sz w:val="24"/>
          <w:szCs w:val="24"/>
          <w:u w:val="single"/>
        </w:rPr>
        <w:t>Ministerstvo investícií, regionálneho rozvoja a informatizácie SR (8 </w:t>
      </w:r>
      <w:r>
        <w:rPr>
          <w:sz w:val="24"/>
          <w:szCs w:val="24"/>
          <w:u w:val="single"/>
        </w:rPr>
        <w:t>079</w:t>
      </w:r>
      <w:r w:rsidRPr="001B67FC">
        <w:rPr>
          <w:sz w:val="24"/>
          <w:szCs w:val="24"/>
          <w:u w:val="single"/>
        </w:rPr>
        <w:t> tis. eur)</w:t>
      </w:r>
      <w:r w:rsidR="00010D90">
        <w:rPr>
          <w:sz w:val="24"/>
          <w:szCs w:val="24"/>
        </w:rPr>
        <w:t xml:space="preserve"> z </w:t>
      </w:r>
      <w:r w:rsidRPr="001B67FC">
        <w:rPr>
          <w:sz w:val="24"/>
          <w:szCs w:val="24"/>
        </w:rPr>
        <w:t>In</w:t>
      </w:r>
      <w:r w:rsidRPr="003C5B4D">
        <w:rPr>
          <w:sz w:val="24"/>
          <w:szCs w:val="24"/>
        </w:rPr>
        <w:t>tegrovaného regionálneho operačného programu na projekty v oblasti poskytovania sociálnych služieb a sociálnoprávnej ochrany detí a sociálnej kurately v zariadeniach na komunitnej úrovni</w:t>
      </w:r>
      <w:r>
        <w:rPr>
          <w:sz w:val="24"/>
          <w:szCs w:val="24"/>
        </w:rPr>
        <w:t>.</w:t>
      </w:r>
    </w:p>
    <w:p w14:paraId="0719AD76" w14:textId="77777777" w:rsidR="00060EF5" w:rsidRDefault="00060EF5" w:rsidP="00E32B29">
      <w:pPr>
        <w:spacing w:line="240" w:lineRule="auto"/>
        <w:rPr>
          <w:sz w:val="24"/>
          <w:szCs w:val="24"/>
        </w:rPr>
      </w:pPr>
      <w:r w:rsidRPr="001B67FC">
        <w:rPr>
          <w:sz w:val="24"/>
          <w:szCs w:val="24"/>
          <w:u w:val="single"/>
        </w:rPr>
        <w:lastRenderedPageBreak/>
        <w:t>Ministerstvo životného prostredia SR</w:t>
      </w:r>
      <w:r w:rsidRPr="001B67FC">
        <w:rPr>
          <w:sz w:val="24"/>
          <w:szCs w:val="24"/>
        </w:rPr>
        <w:t xml:space="preserve"> poskytlo transfer (2 876 tis. eur) </w:t>
      </w:r>
      <w:r>
        <w:rPr>
          <w:sz w:val="24"/>
          <w:szCs w:val="24"/>
        </w:rPr>
        <w:t xml:space="preserve">najmä </w:t>
      </w:r>
      <w:r w:rsidRPr="001B67FC">
        <w:rPr>
          <w:sz w:val="24"/>
          <w:szCs w:val="24"/>
        </w:rPr>
        <w:t>na účely vybudovania nového Environmentálneho centra za účelom re</w:t>
      </w:r>
      <w:r>
        <w:rPr>
          <w:sz w:val="24"/>
          <w:szCs w:val="24"/>
        </w:rPr>
        <w:t>alizácie informačných aktivít v </w:t>
      </w:r>
      <w:r w:rsidRPr="001B67FC">
        <w:rPr>
          <w:sz w:val="24"/>
          <w:szCs w:val="24"/>
        </w:rPr>
        <w:t xml:space="preserve">oblasti adaptácie na zmenu klímy </w:t>
      </w:r>
      <w:r>
        <w:rPr>
          <w:sz w:val="24"/>
          <w:szCs w:val="24"/>
        </w:rPr>
        <w:t xml:space="preserve">pre </w:t>
      </w:r>
      <w:r w:rsidRPr="001B67FC">
        <w:rPr>
          <w:sz w:val="24"/>
          <w:szCs w:val="24"/>
        </w:rPr>
        <w:t>Inštitút právneho povedomia</w:t>
      </w:r>
      <w:r>
        <w:rPr>
          <w:sz w:val="24"/>
          <w:szCs w:val="24"/>
        </w:rPr>
        <w:t xml:space="preserve"> (1 836 </w:t>
      </w:r>
      <w:r w:rsidRPr="001B67FC">
        <w:rPr>
          <w:sz w:val="24"/>
          <w:szCs w:val="24"/>
        </w:rPr>
        <w:t>tis. eur)</w:t>
      </w:r>
      <w:r>
        <w:rPr>
          <w:sz w:val="24"/>
          <w:szCs w:val="24"/>
        </w:rPr>
        <w:t>.</w:t>
      </w:r>
      <w:r w:rsidRPr="008411DA">
        <w:rPr>
          <w:sz w:val="24"/>
          <w:szCs w:val="24"/>
        </w:rPr>
        <w:t xml:space="preserve"> </w:t>
      </w:r>
    </w:p>
    <w:p w14:paraId="4D315620" w14:textId="5A413B36" w:rsidR="0078085C" w:rsidRDefault="0078085C" w:rsidP="00207B7D">
      <w:pPr>
        <w:pStyle w:val="Nadpis3"/>
        <w:spacing w:line="336" w:lineRule="auto"/>
      </w:pPr>
      <w:bookmarkStart w:id="52" w:name="_Toc164846947"/>
      <w:r w:rsidRPr="00935B24">
        <w:t>Výdavky podľa funkčnej klasifikácie</w:t>
      </w:r>
      <w:bookmarkEnd w:id="52"/>
    </w:p>
    <w:p w14:paraId="003DAF8B" w14:textId="01921CD8" w:rsidR="005A0EB2" w:rsidRDefault="00060EF5" w:rsidP="00060EF5">
      <w:pPr>
        <w:spacing w:before="120" w:line="240" w:lineRule="auto"/>
        <w:rPr>
          <w:sz w:val="24"/>
          <w:szCs w:val="24"/>
        </w:rPr>
      </w:pPr>
      <w:bookmarkStart w:id="53" w:name="_Toc6415648"/>
      <w:r w:rsidRPr="000A2BD1">
        <w:rPr>
          <w:sz w:val="24"/>
          <w:szCs w:val="24"/>
        </w:rPr>
        <w:t xml:space="preserve">Výdavky štátneho rozpočtu podľa funkčnej klasifikácie sa triedia v súlade s vyhláškou Štatistického úradu SR č. 257/2014 Z. z. (tzv. COFOG). Táto klasifikácia predstavuje rozdelenie výdavkov podľa funkcie, pričom funkciou sa rozumie určitá oblasť činností, ktorú </w:t>
      </w:r>
      <w:r w:rsidR="00AC4A47">
        <w:rPr>
          <w:sz w:val="24"/>
          <w:szCs w:val="24"/>
        </w:rPr>
        <w:t>vláda</w:t>
      </w:r>
      <w:r w:rsidRPr="000A2BD1">
        <w:rPr>
          <w:sz w:val="24"/>
          <w:szCs w:val="24"/>
        </w:rPr>
        <w:t xml:space="preserve"> financuje napr. oblasť školstva, zdravotníctva, kultúry, bezpečnosti a podobne.</w:t>
      </w:r>
    </w:p>
    <w:tbl>
      <w:tblPr>
        <w:tblW w:w="9214" w:type="dxa"/>
        <w:tblCellMar>
          <w:left w:w="70" w:type="dxa"/>
          <w:right w:w="70" w:type="dxa"/>
        </w:tblCellMar>
        <w:tblLook w:val="04A0" w:firstRow="1" w:lastRow="0" w:firstColumn="1" w:lastColumn="0" w:noHBand="0" w:noVBand="1"/>
      </w:tblPr>
      <w:tblGrid>
        <w:gridCol w:w="2540"/>
        <w:gridCol w:w="1146"/>
        <w:gridCol w:w="1276"/>
        <w:gridCol w:w="1134"/>
        <w:gridCol w:w="1134"/>
        <w:gridCol w:w="992"/>
        <w:gridCol w:w="992"/>
      </w:tblGrid>
      <w:tr w:rsidR="00060EF5" w:rsidRPr="009F32AB" w14:paraId="39739201" w14:textId="77777777" w:rsidTr="00AC68A6">
        <w:trPr>
          <w:trHeight w:val="300"/>
        </w:trPr>
        <w:tc>
          <w:tcPr>
            <w:tcW w:w="9214" w:type="dxa"/>
            <w:gridSpan w:val="7"/>
            <w:tcBorders>
              <w:top w:val="nil"/>
              <w:left w:val="nil"/>
              <w:bottom w:val="single" w:sz="8" w:space="0" w:color="auto"/>
              <w:right w:val="nil"/>
            </w:tcBorders>
            <w:shd w:val="clear" w:color="auto" w:fill="auto"/>
            <w:vAlign w:val="center"/>
            <w:hideMark/>
          </w:tcPr>
          <w:p w14:paraId="598409AA" w14:textId="198186D1" w:rsidR="00060EF5" w:rsidRPr="009F32AB" w:rsidRDefault="00060EF5" w:rsidP="004A6E2F">
            <w:pPr>
              <w:spacing w:line="240" w:lineRule="auto"/>
              <w:jc w:val="left"/>
              <w:rPr>
                <w:rFonts w:eastAsia="Times New Roman" w:cs="Times New Roman"/>
                <w:b/>
                <w:bCs/>
                <w:color w:val="5B9BD5"/>
                <w:sz w:val="20"/>
                <w:szCs w:val="20"/>
                <w:lang w:eastAsia="sk-SK"/>
              </w:rPr>
            </w:pPr>
            <w:r w:rsidRPr="009F32AB">
              <w:rPr>
                <w:rFonts w:eastAsia="Times New Roman" w:cs="Times New Roman"/>
                <w:b/>
                <w:bCs/>
                <w:color w:val="5B9BD5"/>
                <w:sz w:val="20"/>
                <w:szCs w:val="20"/>
                <w:lang w:eastAsia="sk-SK"/>
              </w:rPr>
              <w:t xml:space="preserve">Tabuľka </w:t>
            </w:r>
            <w:r>
              <w:rPr>
                <w:rFonts w:eastAsia="Times New Roman" w:cs="Times New Roman"/>
                <w:b/>
                <w:bCs/>
                <w:color w:val="5B9BD5"/>
                <w:sz w:val="20"/>
                <w:szCs w:val="20"/>
                <w:lang w:eastAsia="sk-SK"/>
              </w:rPr>
              <w:t>4</w:t>
            </w:r>
            <w:r w:rsidR="004A6E2F">
              <w:rPr>
                <w:rFonts w:eastAsia="Times New Roman" w:cs="Times New Roman"/>
                <w:b/>
                <w:bCs/>
                <w:color w:val="5B9BD5"/>
                <w:sz w:val="20"/>
                <w:szCs w:val="20"/>
                <w:lang w:eastAsia="sk-SK"/>
              </w:rPr>
              <w:t>3</w:t>
            </w:r>
            <w:r w:rsidRPr="009F32AB">
              <w:rPr>
                <w:rFonts w:eastAsia="Times New Roman" w:cs="Times New Roman"/>
                <w:b/>
                <w:bCs/>
                <w:color w:val="5B9BD5"/>
                <w:sz w:val="20"/>
                <w:szCs w:val="20"/>
                <w:lang w:eastAsia="sk-SK"/>
              </w:rPr>
              <w:t xml:space="preserve"> - Výdavky štátneho rozpočtu podľa funkčnej klasifikácie </w:t>
            </w:r>
          </w:p>
        </w:tc>
      </w:tr>
      <w:tr w:rsidR="00060EF5" w:rsidRPr="00AC68A6" w14:paraId="750F5B74" w14:textId="77777777" w:rsidTr="00AC68A6">
        <w:trPr>
          <w:trHeight w:val="288"/>
        </w:trPr>
        <w:tc>
          <w:tcPr>
            <w:tcW w:w="2540" w:type="dxa"/>
            <w:vMerge w:val="restart"/>
            <w:tcBorders>
              <w:top w:val="nil"/>
              <w:left w:val="nil"/>
              <w:bottom w:val="single" w:sz="8" w:space="0" w:color="000000"/>
              <w:right w:val="nil"/>
            </w:tcBorders>
            <w:shd w:val="clear" w:color="auto" w:fill="auto"/>
            <w:vAlign w:val="center"/>
            <w:hideMark/>
          </w:tcPr>
          <w:p w14:paraId="21B51106" w14:textId="77777777" w:rsidR="00060EF5" w:rsidRPr="00AC68A6" w:rsidRDefault="00060EF5" w:rsidP="00D2560E">
            <w:pPr>
              <w:spacing w:after="0" w:line="240" w:lineRule="auto"/>
              <w:jc w:val="lef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v tis. eur </w:t>
            </w:r>
          </w:p>
        </w:tc>
        <w:tc>
          <w:tcPr>
            <w:tcW w:w="1146" w:type="dxa"/>
            <w:tcBorders>
              <w:top w:val="nil"/>
              <w:left w:val="nil"/>
              <w:bottom w:val="nil"/>
              <w:right w:val="nil"/>
            </w:tcBorders>
            <w:shd w:val="clear" w:color="auto" w:fill="auto"/>
            <w:vAlign w:val="center"/>
            <w:hideMark/>
          </w:tcPr>
          <w:p w14:paraId="3A5AD2CB"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2021 S</w:t>
            </w:r>
          </w:p>
        </w:tc>
        <w:tc>
          <w:tcPr>
            <w:tcW w:w="1276" w:type="dxa"/>
            <w:tcBorders>
              <w:top w:val="nil"/>
              <w:left w:val="nil"/>
              <w:bottom w:val="nil"/>
              <w:right w:val="nil"/>
            </w:tcBorders>
            <w:shd w:val="clear" w:color="auto" w:fill="auto"/>
            <w:vAlign w:val="center"/>
            <w:hideMark/>
          </w:tcPr>
          <w:p w14:paraId="495597C1"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2022 S</w:t>
            </w:r>
          </w:p>
        </w:tc>
        <w:tc>
          <w:tcPr>
            <w:tcW w:w="1134" w:type="dxa"/>
            <w:tcBorders>
              <w:top w:val="nil"/>
              <w:left w:val="nil"/>
              <w:bottom w:val="nil"/>
              <w:right w:val="nil"/>
            </w:tcBorders>
            <w:shd w:val="clear" w:color="auto" w:fill="auto"/>
            <w:vAlign w:val="center"/>
            <w:hideMark/>
          </w:tcPr>
          <w:p w14:paraId="73AB9111"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2023 R</w:t>
            </w:r>
          </w:p>
        </w:tc>
        <w:tc>
          <w:tcPr>
            <w:tcW w:w="1134" w:type="dxa"/>
            <w:tcBorders>
              <w:top w:val="nil"/>
              <w:left w:val="nil"/>
              <w:bottom w:val="nil"/>
              <w:right w:val="nil"/>
            </w:tcBorders>
            <w:shd w:val="clear" w:color="auto" w:fill="auto"/>
            <w:vAlign w:val="center"/>
            <w:hideMark/>
          </w:tcPr>
          <w:p w14:paraId="17E91DBB"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2023 S</w:t>
            </w:r>
          </w:p>
        </w:tc>
        <w:tc>
          <w:tcPr>
            <w:tcW w:w="992" w:type="dxa"/>
            <w:tcBorders>
              <w:top w:val="nil"/>
              <w:left w:val="nil"/>
              <w:bottom w:val="nil"/>
              <w:right w:val="nil"/>
            </w:tcBorders>
            <w:shd w:val="clear" w:color="auto" w:fill="auto"/>
            <w:vAlign w:val="center"/>
            <w:hideMark/>
          </w:tcPr>
          <w:p w14:paraId="65265FC7"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Rozdiel</w:t>
            </w:r>
          </w:p>
        </w:tc>
        <w:tc>
          <w:tcPr>
            <w:tcW w:w="992" w:type="dxa"/>
            <w:tcBorders>
              <w:top w:val="nil"/>
              <w:left w:val="nil"/>
              <w:bottom w:val="nil"/>
              <w:right w:val="nil"/>
            </w:tcBorders>
            <w:shd w:val="clear" w:color="auto" w:fill="auto"/>
            <w:vAlign w:val="center"/>
            <w:hideMark/>
          </w:tcPr>
          <w:p w14:paraId="0C355520"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v %</w:t>
            </w:r>
          </w:p>
        </w:tc>
      </w:tr>
      <w:tr w:rsidR="00060EF5" w:rsidRPr="00AC68A6" w14:paraId="2E567D76" w14:textId="77777777" w:rsidTr="00AC68A6">
        <w:trPr>
          <w:trHeight w:val="300"/>
        </w:trPr>
        <w:tc>
          <w:tcPr>
            <w:tcW w:w="2540" w:type="dxa"/>
            <w:vMerge/>
            <w:tcBorders>
              <w:top w:val="nil"/>
              <w:left w:val="nil"/>
              <w:bottom w:val="single" w:sz="8" w:space="0" w:color="000000"/>
              <w:right w:val="nil"/>
            </w:tcBorders>
            <w:vAlign w:val="center"/>
            <w:hideMark/>
          </w:tcPr>
          <w:p w14:paraId="69345F22" w14:textId="77777777" w:rsidR="00060EF5" w:rsidRPr="00AC68A6" w:rsidRDefault="00060EF5" w:rsidP="00D2560E">
            <w:pPr>
              <w:spacing w:after="0" w:line="240" w:lineRule="auto"/>
              <w:jc w:val="left"/>
              <w:rPr>
                <w:rFonts w:eastAsia="Times New Roman" w:cs="Times New Roman"/>
                <w:b/>
                <w:bCs/>
                <w:color w:val="000000"/>
                <w:sz w:val="18"/>
                <w:szCs w:val="18"/>
                <w:lang w:eastAsia="sk-SK"/>
              </w:rPr>
            </w:pPr>
          </w:p>
        </w:tc>
        <w:tc>
          <w:tcPr>
            <w:tcW w:w="1146" w:type="dxa"/>
            <w:tcBorders>
              <w:top w:val="nil"/>
              <w:left w:val="nil"/>
              <w:bottom w:val="single" w:sz="8" w:space="0" w:color="auto"/>
              <w:right w:val="nil"/>
            </w:tcBorders>
            <w:shd w:val="clear" w:color="auto" w:fill="auto"/>
            <w:vAlign w:val="center"/>
            <w:hideMark/>
          </w:tcPr>
          <w:p w14:paraId="19328E12"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1</w:t>
            </w:r>
          </w:p>
        </w:tc>
        <w:tc>
          <w:tcPr>
            <w:tcW w:w="1276" w:type="dxa"/>
            <w:tcBorders>
              <w:top w:val="nil"/>
              <w:left w:val="nil"/>
              <w:bottom w:val="single" w:sz="8" w:space="0" w:color="auto"/>
              <w:right w:val="nil"/>
            </w:tcBorders>
            <w:shd w:val="clear" w:color="auto" w:fill="auto"/>
            <w:vAlign w:val="center"/>
            <w:hideMark/>
          </w:tcPr>
          <w:p w14:paraId="4380FF89"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w:t>
            </w:r>
          </w:p>
        </w:tc>
        <w:tc>
          <w:tcPr>
            <w:tcW w:w="1134" w:type="dxa"/>
            <w:tcBorders>
              <w:top w:val="nil"/>
              <w:left w:val="nil"/>
              <w:bottom w:val="single" w:sz="8" w:space="0" w:color="auto"/>
              <w:right w:val="nil"/>
            </w:tcBorders>
            <w:shd w:val="clear" w:color="auto" w:fill="auto"/>
            <w:vAlign w:val="center"/>
            <w:hideMark/>
          </w:tcPr>
          <w:p w14:paraId="46D8110C"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3</w:t>
            </w:r>
          </w:p>
        </w:tc>
        <w:tc>
          <w:tcPr>
            <w:tcW w:w="1134" w:type="dxa"/>
            <w:tcBorders>
              <w:top w:val="nil"/>
              <w:left w:val="nil"/>
              <w:bottom w:val="single" w:sz="8" w:space="0" w:color="auto"/>
              <w:right w:val="nil"/>
            </w:tcBorders>
            <w:shd w:val="clear" w:color="auto" w:fill="auto"/>
            <w:vAlign w:val="center"/>
            <w:hideMark/>
          </w:tcPr>
          <w:p w14:paraId="6A12D0E0"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4</w:t>
            </w:r>
          </w:p>
        </w:tc>
        <w:tc>
          <w:tcPr>
            <w:tcW w:w="992" w:type="dxa"/>
            <w:tcBorders>
              <w:top w:val="nil"/>
              <w:left w:val="nil"/>
              <w:bottom w:val="single" w:sz="8" w:space="0" w:color="auto"/>
              <w:right w:val="nil"/>
            </w:tcBorders>
            <w:shd w:val="clear" w:color="auto" w:fill="auto"/>
            <w:vAlign w:val="center"/>
            <w:hideMark/>
          </w:tcPr>
          <w:p w14:paraId="6EE40135"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5=4-3</w:t>
            </w:r>
          </w:p>
        </w:tc>
        <w:tc>
          <w:tcPr>
            <w:tcW w:w="992" w:type="dxa"/>
            <w:tcBorders>
              <w:top w:val="nil"/>
              <w:left w:val="nil"/>
              <w:bottom w:val="single" w:sz="8" w:space="0" w:color="auto"/>
              <w:right w:val="nil"/>
            </w:tcBorders>
            <w:shd w:val="clear" w:color="auto" w:fill="auto"/>
            <w:vAlign w:val="center"/>
            <w:hideMark/>
          </w:tcPr>
          <w:p w14:paraId="3C0F344F" w14:textId="77777777" w:rsidR="00060EF5" w:rsidRPr="00AC68A6" w:rsidRDefault="00060EF5" w:rsidP="00D2560E">
            <w:pPr>
              <w:spacing w:after="0" w:line="240" w:lineRule="auto"/>
              <w:jc w:val="center"/>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6=4-3</w:t>
            </w:r>
          </w:p>
        </w:tc>
      </w:tr>
      <w:tr w:rsidR="00060EF5" w:rsidRPr="00AC68A6" w14:paraId="2A08257C" w14:textId="77777777" w:rsidTr="00AC68A6">
        <w:trPr>
          <w:trHeight w:val="288"/>
        </w:trPr>
        <w:tc>
          <w:tcPr>
            <w:tcW w:w="2540" w:type="dxa"/>
            <w:tcBorders>
              <w:top w:val="nil"/>
              <w:left w:val="nil"/>
              <w:bottom w:val="nil"/>
              <w:right w:val="nil"/>
            </w:tcBorders>
            <w:shd w:val="clear" w:color="auto" w:fill="auto"/>
            <w:vAlign w:val="center"/>
            <w:hideMark/>
          </w:tcPr>
          <w:p w14:paraId="4717EBA3"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Ekonomická oblasť</w:t>
            </w:r>
          </w:p>
        </w:tc>
        <w:tc>
          <w:tcPr>
            <w:tcW w:w="1146" w:type="dxa"/>
            <w:tcBorders>
              <w:top w:val="nil"/>
              <w:left w:val="nil"/>
              <w:bottom w:val="nil"/>
              <w:right w:val="nil"/>
            </w:tcBorders>
            <w:shd w:val="clear" w:color="auto" w:fill="auto"/>
            <w:noWrap/>
            <w:vAlign w:val="center"/>
            <w:hideMark/>
          </w:tcPr>
          <w:p w14:paraId="7BB7A8E6"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5 787 606</w:t>
            </w:r>
          </w:p>
        </w:tc>
        <w:tc>
          <w:tcPr>
            <w:tcW w:w="1276" w:type="dxa"/>
            <w:tcBorders>
              <w:top w:val="nil"/>
              <w:left w:val="nil"/>
              <w:bottom w:val="nil"/>
              <w:right w:val="nil"/>
            </w:tcBorders>
            <w:shd w:val="clear" w:color="auto" w:fill="auto"/>
            <w:noWrap/>
            <w:vAlign w:val="center"/>
            <w:hideMark/>
          </w:tcPr>
          <w:p w14:paraId="4FD773D8"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4 291 168</w:t>
            </w:r>
          </w:p>
        </w:tc>
        <w:tc>
          <w:tcPr>
            <w:tcW w:w="1134" w:type="dxa"/>
            <w:tcBorders>
              <w:top w:val="nil"/>
              <w:left w:val="nil"/>
              <w:bottom w:val="nil"/>
              <w:right w:val="nil"/>
            </w:tcBorders>
            <w:shd w:val="clear" w:color="auto" w:fill="auto"/>
            <w:noWrap/>
            <w:vAlign w:val="center"/>
            <w:hideMark/>
          </w:tcPr>
          <w:p w14:paraId="1783FBB7"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9 508 201</w:t>
            </w:r>
          </w:p>
        </w:tc>
        <w:tc>
          <w:tcPr>
            <w:tcW w:w="1134" w:type="dxa"/>
            <w:tcBorders>
              <w:top w:val="nil"/>
              <w:left w:val="nil"/>
              <w:bottom w:val="nil"/>
              <w:right w:val="nil"/>
            </w:tcBorders>
            <w:shd w:val="clear" w:color="auto" w:fill="auto"/>
            <w:noWrap/>
            <w:vAlign w:val="center"/>
            <w:hideMark/>
          </w:tcPr>
          <w:p w14:paraId="3D5C5194"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8 651 927</w:t>
            </w:r>
          </w:p>
        </w:tc>
        <w:tc>
          <w:tcPr>
            <w:tcW w:w="992" w:type="dxa"/>
            <w:tcBorders>
              <w:top w:val="nil"/>
              <w:left w:val="nil"/>
              <w:bottom w:val="nil"/>
              <w:right w:val="nil"/>
            </w:tcBorders>
            <w:shd w:val="clear" w:color="000000" w:fill="FFFFFF"/>
            <w:vAlign w:val="center"/>
            <w:hideMark/>
          </w:tcPr>
          <w:p w14:paraId="19B27A27" w14:textId="77777777" w:rsidR="00060EF5" w:rsidRPr="00AC68A6" w:rsidRDefault="00060EF5" w:rsidP="00D2560E">
            <w:pPr>
              <w:spacing w:after="0" w:line="240" w:lineRule="auto"/>
              <w:jc w:val="right"/>
              <w:rPr>
                <w:rFonts w:eastAsia="Times New Roman" w:cs="Times New Roman"/>
                <w:color w:val="000000"/>
                <w:sz w:val="18"/>
                <w:szCs w:val="18"/>
                <w:highlight w:val="yellow"/>
                <w:lang w:eastAsia="sk-SK"/>
              </w:rPr>
            </w:pPr>
            <w:r w:rsidRPr="00AC68A6">
              <w:rPr>
                <w:rFonts w:eastAsia="Times New Roman" w:cs="Times New Roman"/>
                <w:color w:val="000000"/>
                <w:sz w:val="18"/>
                <w:szCs w:val="18"/>
                <w:lang w:eastAsia="sk-SK"/>
              </w:rPr>
              <w:t>-856 274</w:t>
            </w:r>
          </w:p>
        </w:tc>
        <w:tc>
          <w:tcPr>
            <w:tcW w:w="992" w:type="dxa"/>
            <w:tcBorders>
              <w:top w:val="nil"/>
              <w:left w:val="nil"/>
              <w:bottom w:val="nil"/>
              <w:right w:val="nil"/>
            </w:tcBorders>
            <w:shd w:val="clear" w:color="000000" w:fill="FFFFFF"/>
            <w:vAlign w:val="center"/>
            <w:hideMark/>
          </w:tcPr>
          <w:p w14:paraId="6F04E668" w14:textId="77777777" w:rsidR="00060EF5" w:rsidRPr="00AC68A6" w:rsidRDefault="00060EF5" w:rsidP="00D2560E">
            <w:pPr>
              <w:spacing w:after="0" w:line="240" w:lineRule="auto"/>
              <w:jc w:val="right"/>
              <w:rPr>
                <w:rFonts w:eastAsia="Times New Roman" w:cs="Times New Roman"/>
                <w:color w:val="000000"/>
                <w:sz w:val="18"/>
                <w:szCs w:val="18"/>
                <w:highlight w:val="yellow"/>
                <w:lang w:eastAsia="sk-SK"/>
              </w:rPr>
            </w:pPr>
            <w:r w:rsidRPr="00AC68A6">
              <w:rPr>
                <w:rFonts w:eastAsia="Times New Roman" w:cs="Times New Roman"/>
                <w:color w:val="000000"/>
                <w:sz w:val="18"/>
                <w:szCs w:val="18"/>
                <w:lang w:eastAsia="sk-SK"/>
              </w:rPr>
              <w:t>-9,01</w:t>
            </w:r>
          </w:p>
        </w:tc>
      </w:tr>
      <w:tr w:rsidR="00060EF5" w:rsidRPr="00AC68A6" w14:paraId="7473A6C9" w14:textId="77777777" w:rsidTr="00AC68A6">
        <w:trPr>
          <w:trHeight w:val="288"/>
        </w:trPr>
        <w:tc>
          <w:tcPr>
            <w:tcW w:w="2540" w:type="dxa"/>
            <w:tcBorders>
              <w:top w:val="nil"/>
              <w:left w:val="nil"/>
              <w:bottom w:val="nil"/>
              <w:right w:val="nil"/>
            </w:tcBorders>
            <w:shd w:val="clear" w:color="auto" w:fill="auto"/>
            <w:vAlign w:val="center"/>
            <w:hideMark/>
          </w:tcPr>
          <w:p w14:paraId="1592C9B6"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Sociálne zabezpečenie</w:t>
            </w:r>
          </w:p>
        </w:tc>
        <w:tc>
          <w:tcPr>
            <w:tcW w:w="1146" w:type="dxa"/>
            <w:tcBorders>
              <w:top w:val="nil"/>
              <w:left w:val="nil"/>
              <w:bottom w:val="nil"/>
              <w:right w:val="nil"/>
            </w:tcBorders>
            <w:shd w:val="clear" w:color="auto" w:fill="auto"/>
            <w:noWrap/>
            <w:vAlign w:val="center"/>
            <w:hideMark/>
          </w:tcPr>
          <w:p w14:paraId="3B50FF6B"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5 689 444</w:t>
            </w:r>
          </w:p>
        </w:tc>
        <w:tc>
          <w:tcPr>
            <w:tcW w:w="1276" w:type="dxa"/>
            <w:tcBorders>
              <w:top w:val="nil"/>
              <w:left w:val="nil"/>
              <w:bottom w:val="nil"/>
              <w:right w:val="nil"/>
            </w:tcBorders>
            <w:shd w:val="clear" w:color="auto" w:fill="auto"/>
            <w:noWrap/>
            <w:vAlign w:val="center"/>
            <w:hideMark/>
          </w:tcPr>
          <w:p w14:paraId="2D637D78"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5 134 161</w:t>
            </w:r>
          </w:p>
        </w:tc>
        <w:tc>
          <w:tcPr>
            <w:tcW w:w="1134" w:type="dxa"/>
            <w:tcBorders>
              <w:top w:val="nil"/>
              <w:left w:val="nil"/>
              <w:bottom w:val="nil"/>
              <w:right w:val="nil"/>
            </w:tcBorders>
            <w:shd w:val="clear" w:color="auto" w:fill="auto"/>
            <w:noWrap/>
            <w:vAlign w:val="center"/>
            <w:hideMark/>
          </w:tcPr>
          <w:p w14:paraId="5CD13703"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5 342 610</w:t>
            </w:r>
          </w:p>
        </w:tc>
        <w:tc>
          <w:tcPr>
            <w:tcW w:w="1134" w:type="dxa"/>
            <w:tcBorders>
              <w:top w:val="nil"/>
              <w:left w:val="nil"/>
              <w:bottom w:val="nil"/>
              <w:right w:val="nil"/>
            </w:tcBorders>
            <w:shd w:val="clear" w:color="auto" w:fill="auto"/>
            <w:noWrap/>
            <w:vAlign w:val="center"/>
            <w:hideMark/>
          </w:tcPr>
          <w:p w14:paraId="613866CC"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7 938 311</w:t>
            </w:r>
          </w:p>
        </w:tc>
        <w:tc>
          <w:tcPr>
            <w:tcW w:w="992" w:type="dxa"/>
            <w:tcBorders>
              <w:top w:val="nil"/>
              <w:left w:val="nil"/>
              <w:bottom w:val="nil"/>
              <w:right w:val="nil"/>
            </w:tcBorders>
            <w:shd w:val="clear" w:color="000000" w:fill="FFFFFF"/>
            <w:vAlign w:val="center"/>
            <w:hideMark/>
          </w:tcPr>
          <w:p w14:paraId="4BCC91DA"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2 595 701</w:t>
            </w:r>
          </w:p>
        </w:tc>
        <w:tc>
          <w:tcPr>
            <w:tcW w:w="992" w:type="dxa"/>
            <w:tcBorders>
              <w:top w:val="nil"/>
              <w:left w:val="nil"/>
              <w:bottom w:val="nil"/>
              <w:right w:val="nil"/>
            </w:tcBorders>
            <w:shd w:val="clear" w:color="000000" w:fill="FFFFFF"/>
            <w:vAlign w:val="center"/>
            <w:hideMark/>
          </w:tcPr>
          <w:p w14:paraId="020427B3"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48,58</w:t>
            </w:r>
          </w:p>
        </w:tc>
      </w:tr>
      <w:tr w:rsidR="00060EF5" w:rsidRPr="00AC68A6" w14:paraId="1B6950E2" w14:textId="77777777" w:rsidTr="005A0EB2">
        <w:trPr>
          <w:trHeight w:val="346"/>
        </w:trPr>
        <w:tc>
          <w:tcPr>
            <w:tcW w:w="2540" w:type="dxa"/>
            <w:tcBorders>
              <w:top w:val="nil"/>
              <w:left w:val="nil"/>
              <w:bottom w:val="nil"/>
              <w:right w:val="nil"/>
            </w:tcBorders>
            <w:shd w:val="clear" w:color="auto" w:fill="auto"/>
            <w:vAlign w:val="center"/>
            <w:hideMark/>
          </w:tcPr>
          <w:p w14:paraId="13D26609" w14:textId="77777777" w:rsidR="00060EF5" w:rsidRPr="00AC68A6" w:rsidRDefault="00060EF5" w:rsidP="005A0EB2">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Všeobecné verejné služby</w:t>
            </w:r>
          </w:p>
        </w:tc>
        <w:tc>
          <w:tcPr>
            <w:tcW w:w="1146" w:type="dxa"/>
            <w:tcBorders>
              <w:top w:val="nil"/>
              <w:left w:val="nil"/>
              <w:bottom w:val="nil"/>
              <w:right w:val="nil"/>
            </w:tcBorders>
            <w:shd w:val="clear" w:color="auto" w:fill="auto"/>
            <w:noWrap/>
            <w:vAlign w:val="center"/>
            <w:hideMark/>
          </w:tcPr>
          <w:p w14:paraId="09A118CD"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3 986 143</w:t>
            </w:r>
          </w:p>
        </w:tc>
        <w:tc>
          <w:tcPr>
            <w:tcW w:w="1276" w:type="dxa"/>
            <w:tcBorders>
              <w:top w:val="nil"/>
              <w:left w:val="nil"/>
              <w:bottom w:val="nil"/>
              <w:right w:val="nil"/>
            </w:tcBorders>
            <w:shd w:val="clear" w:color="auto" w:fill="auto"/>
            <w:noWrap/>
            <w:vAlign w:val="center"/>
            <w:hideMark/>
          </w:tcPr>
          <w:p w14:paraId="0441266D"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4 849 805</w:t>
            </w:r>
          </w:p>
        </w:tc>
        <w:tc>
          <w:tcPr>
            <w:tcW w:w="1134" w:type="dxa"/>
            <w:tcBorders>
              <w:top w:val="nil"/>
              <w:left w:val="nil"/>
              <w:bottom w:val="nil"/>
              <w:right w:val="nil"/>
            </w:tcBorders>
            <w:shd w:val="clear" w:color="auto" w:fill="auto"/>
            <w:noWrap/>
            <w:vAlign w:val="center"/>
            <w:hideMark/>
          </w:tcPr>
          <w:p w14:paraId="526BCEAE"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8 570 700</w:t>
            </w:r>
          </w:p>
        </w:tc>
        <w:tc>
          <w:tcPr>
            <w:tcW w:w="1134" w:type="dxa"/>
            <w:tcBorders>
              <w:top w:val="nil"/>
              <w:left w:val="nil"/>
              <w:bottom w:val="nil"/>
              <w:right w:val="nil"/>
            </w:tcBorders>
            <w:shd w:val="clear" w:color="auto" w:fill="auto"/>
            <w:noWrap/>
            <w:vAlign w:val="center"/>
            <w:hideMark/>
          </w:tcPr>
          <w:p w14:paraId="0CE4D410"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4 301 038</w:t>
            </w:r>
          </w:p>
        </w:tc>
        <w:tc>
          <w:tcPr>
            <w:tcW w:w="992" w:type="dxa"/>
            <w:tcBorders>
              <w:top w:val="nil"/>
              <w:left w:val="nil"/>
              <w:bottom w:val="nil"/>
              <w:right w:val="nil"/>
            </w:tcBorders>
            <w:shd w:val="clear" w:color="000000" w:fill="FFFFFF"/>
            <w:vAlign w:val="center"/>
            <w:hideMark/>
          </w:tcPr>
          <w:p w14:paraId="41A81E0A"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-4 269 662</w:t>
            </w:r>
          </w:p>
        </w:tc>
        <w:tc>
          <w:tcPr>
            <w:tcW w:w="992" w:type="dxa"/>
            <w:tcBorders>
              <w:top w:val="nil"/>
              <w:left w:val="nil"/>
              <w:bottom w:val="nil"/>
              <w:right w:val="nil"/>
            </w:tcBorders>
            <w:shd w:val="clear" w:color="000000" w:fill="FFFFFF"/>
            <w:vAlign w:val="center"/>
            <w:hideMark/>
          </w:tcPr>
          <w:p w14:paraId="69953042"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-49,82</w:t>
            </w:r>
          </w:p>
        </w:tc>
      </w:tr>
      <w:tr w:rsidR="00060EF5" w:rsidRPr="000B3DC0" w14:paraId="30560640" w14:textId="77777777" w:rsidTr="005A0EB2">
        <w:trPr>
          <w:trHeight w:val="281"/>
        </w:trPr>
        <w:tc>
          <w:tcPr>
            <w:tcW w:w="2540" w:type="dxa"/>
            <w:tcBorders>
              <w:top w:val="nil"/>
              <w:left w:val="nil"/>
              <w:bottom w:val="nil"/>
              <w:right w:val="nil"/>
            </w:tcBorders>
            <w:shd w:val="clear" w:color="auto" w:fill="auto"/>
            <w:vAlign w:val="center"/>
            <w:hideMark/>
          </w:tcPr>
          <w:p w14:paraId="3250C013"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Vzdelávanie</w:t>
            </w:r>
          </w:p>
        </w:tc>
        <w:tc>
          <w:tcPr>
            <w:tcW w:w="1146" w:type="dxa"/>
            <w:tcBorders>
              <w:top w:val="nil"/>
              <w:left w:val="nil"/>
              <w:bottom w:val="nil"/>
              <w:right w:val="nil"/>
            </w:tcBorders>
            <w:shd w:val="clear" w:color="auto" w:fill="auto"/>
            <w:noWrap/>
            <w:vAlign w:val="center"/>
            <w:hideMark/>
          </w:tcPr>
          <w:p w14:paraId="5EE567CD"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2 960 035</w:t>
            </w:r>
          </w:p>
        </w:tc>
        <w:tc>
          <w:tcPr>
            <w:tcW w:w="1276" w:type="dxa"/>
            <w:tcBorders>
              <w:top w:val="nil"/>
              <w:left w:val="nil"/>
              <w:bottom w:val="nil"/>
              <w:right w:val="nil"/>
            </w:tcBorders>
            <w:shd w:val="clear" w:color="auto" w:fill="auto"/>
            <w:noWrap/>
            <w:vAlign w:val="center"/>
            <w:hideMark/>
          </w:tcPr>
          <w:p w14:paraId="21CC0794"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3 027 782</w:t>
            </w:r>
          </w:p>
        </w:tc>
        <w:tc>
          <w:tcPr>
            <w:tcW w:w="1134" w:type="dxa"/>
            <w:tcBorders>
              <w:top w:val="nil"/>
              <w:left w:val="nil"/>
              <w:bottom w:val="nil"/>
              <w:right w:val="nil"/>
            </w:tcBorders>
            <w:shd w:val="clear" w:color="auto" w:fill="auto"/>
            <w:noWrap/>
            <w:vAlign w:val="center"/>
            <w:hideMark/>
          </w:tcPr>
          <w:p w14:paraId="2B4B8605"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3 606 654</w:t>
            </w:r>
          </w:p>
        </w:tc>
        <w:tc>
          <w:tcPr>
            <w:tcW w:w="1134" w:type="dxa"/>
            <w:tcBorders>
              <w:top w:val="nil"/>
              <w:left w:val="nil"/>
              <w:bottom w:val="nil"/>
              <w:right w:val="nil"/>
            </w:tcBorders>
            <w:shd w:val="clear" w:color="auto" w:fill="auto"/>
            <w:noWrap/>
            <w:vAlign w:val="center"/>
            <w:hideMark/>
          </w:tcPr>
          <w:p w14:paraId="0B612BB6"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3 591 379</w:t>
            </w:r>
          </w:p>
        </w:tc>
        <w:tc>
          <w:tcPr>
            <w:tcW w:w="992" w:type="dxa"/>
            <w:tcBorders>
              <w:top w:val="nil"/>
              <w:left w:val="nil"/>
              <w:bottom w:val="nil"/>
              <w:right w:val="nil"/>
            </w:tcBorders>
            <w:shd w:val="clear" w:color="000000" w:fill="FFFFFF"/>
            <w:vAlign w:val="center"/>
            <w:hideMark/>
          </w:tcPr>
          <w:p w14:paraId="29D699F1"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-15 275</w:t>
            </w:r>
          </w:p>
        </w:tc>
        <w:tc>
          <w:tcPr>
            <w:tcW w:w="992" w:type="dxa"/>
            <w:tcBorders>
              <w:top w:val="nil"/>
              <w:left w:val="nil"/>
              <w:bottom w:val="nil"/>
              <w:right w:val="nil"/>
            </w:tcBorders>
            <w:shd w:val="clear" w:color="000000" w:fill="FFFFFF"/>
            <w:vAlign w:val="center"/>
            <w:hideMark/>
          </w:tcPr>
          <w:p w14:paraId="28DC8E91"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-0,42</w:t>
            </w:r>
          </w:p>
        </w:tc>
      </w:tr>
      <w:tr w:rsidR="00060EF5" w:rsidRPr="000B3DC0" w14:paraId="04C2AE47" w14:textId="77777777" w:rsidTr="005A0EB2">
        <w:trPr>
          <w:trHeight w:val="283"/>
        </w:trPr>
        <w:tc>
          <w:tcPr>
            <w:tcW w:w="2540" w:type="dxa"/>
            <w:tcBorders>
              <w:top w:val="nil"/>
              <w:left w:val="nil"/>
              <w:bottom w:val="nil"/>
              <w:right w:val="nil"/>
            </w:tcBorders>
            <w:shd w:val="clear" w:color="auto" w:fill="auto"/>
            <w:vAlign w:val="center"/>
            <w:hideMark/>
          </w:tcPr>
          <w:p w14:paraId="6F3A9A37"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Verejný poriadok a bezpečnosť</w:t>
            </w:r>
          </w:p>
        </w:tc>
        <w:tc>
          <w:tcPr>
            <w:tcW w:w="1146" w:type="dxa"/>
            <w:tcBorders>
              <w:top w:val="nil"/>
              <w:left w:val="nil"/>
              <w:bottom w:val="nil"/>
              <w:right w:val="nil"/>
            </w:tcBorders>
            <w:shd w:val="clear" w:color="auto" w:fill="auto"/>
            <w:noWrap/>
            <w:vAlign w:val="center"/>
            <w:hideMark/>
          </w:tcPr>
          <w:p w14:paraId="363B2F6F"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2 129 474</w:t>
            </w:r>
          </w:p>
        </w:tc>
        <w:tc>
          <w:tcPr>
            <w:tcW w:w="1276" w:type="dxa"/>
            <w:tcBorders>
              <w:top w:val="nil"/>
              <w:left w:val="nil"/>
              <w:bottom w:val="nil"/>
              <w:right w:val="nil"/>
            </w:tcBorders>
            <w:shd w:val="clear" w:color="auto" w:fill="auto"/>
            <w:noWrap/>
            <w:vAlign w:val="center"/>
            <w:hideMark/>
          </w:tcPr>
          <w:p w14:paraId="17978E1E"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2 359 477</w:t>
            </w:r>
          </w:p>
        </w:tc>
        <w:tc>
          <w:tcPr>
            <w:tcW w:w="1134" w:type="dxa"/>
            <w:tcBorders>
              <w:top w:val="nil"/>
              <w:left w:val="nil"/>
              <w:bottom w:val="nil"/>
              <w:right w:val="nil"/>
            </w:tcBorders>
            <w:shd w:val="clear" w:color="auto" w:fill="auto"/>
            <w:noWrap/>
            <w:vAlign w:val="center"/>
            <w:hideMark/>
          </w:tcPr>
          <w:p w14:paraId="2C33D1BE"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2 646 525</w:t>
            </w:r>
          </w:p>
        </w:tc>
        <w:tc>
          <w:tcPr>
            <w:tcW w:w="1134" w:type="dxa"/>
            <w:tcBorders>
              <w:top w:val="nil"/>
              <w:left w:val="nil"/>
              <w:bottom w:val="nil"/>
              <w:right w:val="nil"/>
            </w:tcBorders>
            <w:shd w:val="clear" w:color="auto" w:fill="auto"/>
            <w:noWrap/>
            <w:vAlign w:val="center"/>
            <w:hideMark/>
          </w:tcPr>
          <w:p w14:paraId="5B022C61"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2 732 216</w:t>
            </w:r>
          </w:p>
        </w:tc>
        <w:tc>
          <w:tcPr>
            <w:tcW w:w="992" w:type="dxa"/>
            <w:tcBorders>
              <w:top w:val="nil"/>
              <w:left w:val="nil"/>
              <w:bottom w:val="nil"/>
              <w:right w:val="nil"/>
            </w:tcBorders>
            <w:shd w:val="clear" w:color="000000" w:fill="FFFFFF"/>
            <w:vAlign w:val="center"/>
            <w:hideMark/>
          </w:tcPr>
          <w:p w14:paraId="7D6D7494"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85 691</w:t>
            </w:r>
          </w:p>
        </w:tc>
        <w:tc>
          <w:tcPr>
            <w:tcW w:w="992" w:type="dxa"/>
            <w:tcBorders>
              <w:top w:val="nil"/>
              <w:left w:val="nil"/>
              <w:bottom w:val="nil"/>
              <w:right w:val="nil"/>
            </w:tcBorders>
            <w:shd w:val="clear" w:color="000000" w:fill="FFFFFF"/>
            <w:vAlign w:val="center"/>
            <w:hideMark/>
          </w:tcPr>
          <w:p w14:paraId="6B1E4ED2"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3,24</w:t>
            </w:r>
          </w:p>
        </w:tc>
      </w:tr>
      <w:tr w:rsidR="00060EF5" w:rsidRPr="000B3DC0" w14:paraId="359CA186" w14:textId="77777777" w:rsidTr="005A0EB2">
        <w:trPr>
          <w:trHeight w:val="289"/>
        </w:trPr>
        <w:tc>
          <w:tcPr>
            <w:tcW w:w="2540" w:type="dxa"/>
            <w:tcBorders>
              <w:top w:val="nil"/>
              <w:left w:val="nil"/>
              <w:bottom w:val="nil"/>
              <w:right w:val="nil"/>
            </w:tcBorders>
            <w:shd w:val="clear" w:color="auto" w:fill="auto"/>
            <w:vAlign w:val="center"/>
            <w:hideMark/>
          </w:tcPr>
          <w:p w14:paraId="3BA48122"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Obrana</w:t>
            </w:r>
          </w:p>
        </w:tc>
        <w:tc>
          <w:tcPr>
            <w:tcW w:w="1146" w:type="dxa"/>
            <w:tcBorders>
              <w:top w:val="nil"/>
              <w:left w:val="nil"/>
              <w:bottom w:val="nil"/>
              <w:right w:val="nil"/>
            </w:tcBorders>
            <w:shd w:val="clear" w:color="auto" w:fill="auto"/>
            <w:noWrap/>
            <w:vAlign w:val="center"/>
            <w:hideMark/>
          </w:tcPr>
          <w:p w14:paraId="30FAB6B1"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1 856 668</w:t>
            </w:r>
          </w:p>
        </w:tc>
        <w:tc>
          <w:tcPr>
            <w:tcW w:w="1276" w:type="dxa"/>
            <w:tcBorders>
              <w:top w:val="nil"/>
              <w:left w:val="nil"/>
              <w:bottom w:val="nil"/>
              <w:right w:val="nil"/>
            </w:tcBorders>
            <w:shd w:val="clear" w:color="auto" w:fill="auto"/>
            <w:noWrap/>
            <w:vAlign w:val="center"/>
            <w:hideMark/>
          </w:tcPr>
          <w:p w14:paraId="1D3F66C4"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1 929 515</w:t>
            </w:r>
          </w:p>
        </w:tc>
        <w:tc>
          <w:tcPr>
            <w:tcW w:w="1134" w:type="dxa"/>
            <w:tcBorders>
              <w:top w:val="nil"/>
              <w:left w:val="nil"/>
              <w:bottom w:val="nil"/>
              <w:right w:val="nil"/>
            </w:tcBorders>
            <w:shd w:val="clear" w:color="auto" w:fill="auto"/>
            <w:noWrap/>
            <w:vAlign w:val="center"/>
            <w:hideMark/>
          </w:tcPr>
          <w:p w14:paraId="2456251A"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1 979 627</w:t>
            </w:r>
          </w:p>
        </w:tc>
        <w:tc>
          <w:tcPr>
            <w:tcW w:w="1134" w:type="dxa"/>
            <w:tcBorders>
              <w:top w:val="nil"/>
              <w:left w:val="nil"/>
              <w:bottom w:val="nil"/>
              <w:right w:val="nil"/>
            </w:tcBorders>
            <w:shd w:val="clear" w:color="auto" w:fill="auto"/>
            <w:noWrap/>
            <w:vAlign w:val="center"/>
            <w:hideMark/>
          </w:tcPr>
          <w:p w14:paraId="17DA1D41"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1 980 682</w:t>
            </w:r>
          </w:p>
        </w:tc>
        <w:tc>
          <w:tcPr>
            <w:tcW w:w="992" w:type="dxa"/>
            <w:tcBorders>
              <w:top w:val="nil"/>
              <w:left w:val="nil"/>
              <w:bottom w:val="nil"/>
              <w:right w:val="nil"/>
            </w:tcBorders>
            <w:shd w:val="clear" w:color="000000" w:fill="FFFFFF"/>
            <w:vAlign w:val="center"/>
            <w:hideMark/>
          </w:tcPr>
          <w:p w14:paraId="25A1130B"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1 055</w:t>
            </w:r>
          </w:p>
        </w:tc>
        <w:tc>
          <w:tcPr>
            <w:tcW w:w="992" w:type="dxa"/>
            <w:tcBorders>
              <w:top w:val="nil"/>
              <w:left w:val="nil"/>
              <w:bottom w:val="nil"/>
              <w:right w:val="nil"/>
            </w:tcBorders>
            <w:shd w:val="clear" w:color="000000" w:fill="FFFFFF"/>
            <w:vAlign w:val="center"/>
            <w:hideMark/>
          </w:tcPr>
          <w:p w14:paraId="2F644AF7"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0,05</w:t>
            </w:r>
          </w:p>
        </w:tc>
      </w:tr>
      <w:tr w:rsidR="00060EF5" w:rsidRPr="000B3DC0" w14:paraId="73C9C413" w14:textId="77777777" w:rsidTr="005A0EB2">
        <w:trPr>
          <w:trHeight w:val="278"/>
        </w:trPr>
        <w:tc>
          <w:tcPr>
            <w:tcW w:w="2540" w:type="dxa"/>
            <w:tcBorders>
              <w:top w:val="nil"/>
              <w:left w:val="nil"/>
              <w:bottom w:val="nil"/>
              <w:right w:val="nil"/>
            </w:tcBorders>
            <w:shd w:val="clear" w:color="auto" w:fill="auto"/>
            <w:vAlign w:val="center"/>
            <w:hideMark/>
          </w:tcPr>
          <w:p w14:paraId="54ED6992"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Ochrana životného prostredia</w:t>
            </w:r>
          </w:p>
        </w:tc>
        <w:tc>
          <w:tcPr>
            <w:tcW w:w="1146" w:type="dxa"/>
            <w:tcBorders>
              <w:top w:val="nil"/>
              <w:left w:val="nil"/>
              <w:bottom w:val="nil"/>
              <w:right w:val="nil"/>
            </w:tcBorders>
            <w:shd w:val="clear" w:color="auto" w:fill="auto"/>
            <w:noWrap/>
            <w:vAlign w:val="center"/>
            <w:hideMark/>
          </w:tcPr>
          <w:p w14:paraId="32F7E25A"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343 969</w:t>
            </w:r>
          </w:p>
        </w:tc>
        <w:tc>
          <w:tcPr>
            <w:tcW w:w="1276" w:type="dxa"/>
            <w:tcBorders>
              <w:top w:val="nil"/>
              <w:left w:val="nil"/>
              <w:bottom w:val="nil"/>
              <w:right w:val="nil"/>
            </w:tcBorders>
            <w:shd w:val="clear" w:color="auto" w:fill="auto"/>
            <w:noWrap/>
            <w:vAlign w:val="center"/>
            <w:hideMark/>
          </w:tcPr>
          <w:p w14:paraId="6AB36824"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438 344</w:t>
            </w:r>
          </w:p>
        </w:tc>
        <w:tc>
          <w:tcPr>
            <w:tcW w:w="1134" w:type="dxa"/>
            <w:tcBorders>
              <w:top w:val="nil"/>
              <w:left w:val="nil"/>
              <w:bottom w:val="nil"/>
              <w:right w:val="nil"/>
            </w:tcBorders>
            <w:shd w:val="clear" w:color="auto" w:fill="auto"/>
            <w:noWrap/>
            <w:vAlign w:val="center"/>
            <w:hideMark/>
          </w:tcPr>
          <w:p w14:paraId="7FAF17EC"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1 490 114</w:t>
            </w:r>
          </w:p>
        </w:tc>
        <w:tc>
          <w:tcPr>
            <w:tcW w:w="1134" w:type="dxa"/>
            <w:tcBorders>
              <w:top w:val="nil"/>
              <w:left w:val="nil"/>
              <w:bottom w:val="nil"/>
              <w:right w:val="nil"/>
            </w:tcBorders>
            <w:shd w:val="clear" w:color="auto" w:fill="auto"/>
            <w:noWrap/>
            <w:vAlign w:val="center"/>
            <w:hideMark/>
          </w:tcPr>
          <w:p w14:paraId="7B35B9AF"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680 396</w:t>
            </w:r>
          </w:p>
        </w:tc>
        <w:tc>
          <w:tcPr>
            <w:tcW w:w="992" w:type="dxa"/>
            <w:tcBorders>
              <w:top w:val="nil"/>
              <w:left w:val="nil"/>
              <w:bottom w:val="nil"/>
              <w:right w:val="nil"/>
            </w:tcBorders>
            <w:shd w:val="clear" w:color="000000" w:fill="FFFFFF"/>
            <w:vAlign w:val="center"/>
            <w:hideMark/>
          </w:tcPr>
          <w:p w14:paraId="57215FA4"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-809 718</w:t>
            </w:r>
          </w:p>
        </w:tc>
        <w:tc>
          <w:tcPr>
            <w:tcW w:w="992" w:type="dxa"/>
            <w:tcBorders>
              <w:top w:val="nil"/>
              <w:left w:val="nil"/>
              <w:bottom w:val="nil"/>
              <w:right w:val="nil"/>
            </w:tcBorders>
            <w:shd w:val="clear" w:color="000000" w:fill="FFFFFF"/>
            <w:vAlign w:val="center"/>
            <w:hideMark/>
          </w:tcPr>
          <w:p w14:paraId="365EF42A"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-54,34</w:t>
            </w:r>
          </w:p>
        </w:tc>
      </w:tr>
      <w:tr w:rsidR="00060EF5" w:rsidRPr="000B3DC0" w14:paraId="0D14F0DA" w14:textId="77777777" w:rsidTr="000B3DC0">
        <w:trPr>
          <w:trHeight w:val="272"/>
        </w:trPr>
        <w:tc>
          <w:tcPr>
            <w:tcW w:w="2540" w:type="dxa"/>
            <w:tcBorders>
              <w:top w:val="nil"/>
              <w:left w:val="nil"/>
              <w:bottom w:val="nil"/>
              <w:right w:val="nil"/>
            </w:tcBorders>
            <w:shd w:val="clear" w:color="auto" w:fill="auto"/>
            <w:vAlign w:val="center"/>
            <w:hideMark/>
          </w:tcPr>
          <w:p w14:paraId="1E73FE6C"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Rekreácia, kultúra a náboženstvo</w:t>
            </w:r>
          </w:p>
        </w:tc>
        <w:tc>
          <w:tcPr>
            <w:tcW w:w="1146" w:type="dxa"/>
            <w:tcBorders>
              <w:top w:val="nil"/>
              <w:left w:val="nil"/>
              <w:bottom w:val="nil"/>
              <w:right w:val="nil"/>
            </w:tcBorders>
            <w:shd w:val="clear" w:color="auto" w:fill="auto"/>
            <w:noWrap/>
            <w:vAlign w:val="center"/>
            <w:hideMark/>
          </w:tcPr>
          <w:p w14:paraId="62F42FE7"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550 834</w:t>
            </w:r>
          </w:p>
        </w:tc>
        <w:tc>
          <w:tcPr>
            <w:tcW w:w="1276" w:type="dxa"/>
            <w:tcBorders>
              <w:top w:val="nil"/>
              <w:left w:val="nil"/>
              <w:bottom w:val="nil"/>
              <w:right w:val="nil"/>
            </w:tcBorders>
            <w:shd w:val="clear" w:color="auto" w:fill="auto"/>
            <w:noWrap/>
            <w:vAlign w:val="center"/>
            <w:hideMark/>
          </w:tcPr>
          <w:p w14:paraId="4CDE9360"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527 589</w:t>
            </w:r>
          </w:p>
        </w:tc>
        <w:tc>
          <w:tcPr>
            <w:tcW w:w="1134" w:type="dxa"/>
            <w:tcBorders>
              <w:top w:val="nil"/>
              <w:left w:val="nil"/>
              <w:bottom w:val="nil"/>
              <w:right w:val="nil"/>
            </w:tcBorders>
            <w:shd w:val="clear" w:color="auto" w:fill="auto"/>
            <w:noWrap/>
            <w:vAlign w:val="center"/>
            <w:hideMark/>
          </w:tcPr>
          <w:p w14:paraId="11C89747"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471 068</w:t>
            </w:r>
          </w:p>
        </w:tc>
        <w:tc>
          <w:tcPr>
            <w:tcW w:w="1134" w:type="dxa"/>
            <w:tcBorders>
              <w:top w:val="nil"/>
              <w:left w:val="nil"/>
              <w:bottom w:val="nil"/>
              <w:right w:val="nil"/>
            </w:tcBorders>
            <w:shd w:val="clear" w:color="auto" w:fill="auto"/>
            <w:noWrap/>
            <w:vAlign w:val="center"/>
            <w:hideMark/>
          </w:tcPr>
          <w:p w14:paraId="57604A9F"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640 564</w:t>
            </w:r>
          </w:p>
        </w:tc>
        <w:tc>
          <w:tcPr>
            <w:tcW w:w="992" w:type="dxa"/>
            <w:tcBorders>
              <w:top w:val="nil"/>
              <w:left w:val="nil"/>
              <w:bottom w:val="nil"/>
              <w:right w:val="nil"/>
            </w:tcBorders>
            <w:shd w:val="clear" w:color="000000" w:fill="FFFFFF"/>
            <w:vAlign w:val="center"/>
            <w:hideMark/>
          </w:tcPr>
          <w:p w14:paraId="241B88B6"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169 496</w:t>
            </w:r>
          </w:p>
        </w:tc>
        <w:tc>
          <w:tcPr>
            <w:tcW w:w="992" w:type="dxa"/>
            <w:tcBorders>
              <w:top w:val="nil"/>
              <w:left w:val="nil"/>
              <w:bottom w:val="nil"/>
              <w:right w:val="nil"/>
            </w:tcBorders>
            <w:shd w:val="clear" w:color="000000" w:fill="FFFFFF"/>
            <w:vAlign w:val="center"/>
            <w:hideMark/>
          </w:tcPr>
          <w:p w14:paraId="4F586484"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35,98</w:t>
            </w:r>
          </w:p>
        </w:tc>
      </w:tr>
      <w:tr w:rsidR="00060EF5" w:rsidRPr="000B3DC0" w14:paraId="38E3AA3F" w14:textId="77777777" w:rsidTr="005A0EB2">
        <w:trPr>
          <w:trHeight w:val="301"/>
        </w:trPr>
        <w:tc>
          <w:tcPr>
            <w:tcW w:w="2540" w:type="dxa"/>
            <w:tcBorders>
              <w:top w:val="nil"/>
              <w:left w:val="nil"/>
              <w:bottom w:val="nil"/>
              <w:right w:val="nil"/>
            </w:tcBorders>
            <w:shd w:val="clear" w:color="auto" w:fill="auto"/>
            <w:vAlign w:val="center"/>
            <w:hideMark/>
          </w:tcPr>
          <w:p w14:paraId="776886F3"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Bývanie a občianska vybavenosť</w:t>
            </w:r>
          </w:p>
        </w:tc>
        <w:tc>
          <w:tcPr>
            <w:tcW w:w="1146" w:type="dxa"/>
            <w:tcBorders>
              <w:top w:val="nil"/>
              <w:left w:val="nil"/>
              <w:bottom w:val="nil"/>
              <w:right w:val="nil"/>
            </w:tcBorders>
            <w:shd w:val="clear" w:color="auto" w:fill="auto"/>
            <w:noWrap/>
            <w:vAlign w:val="center"/>
            <w:hideMark/>
          </w:tcPr>
          <w:p w14:paraId="000E1B7B"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88 491</w:t>
            </w:r>
          </w:p>
        </w:tc>
        <w:tc>
          <w:tcPr>
            <w:tcW w:w="1276" w:type="dxa"/>
            <w:tcBorders>
              <w:top w:val="nil"/>
              <w:left w:val="nil"/>
              <w:bottom w:val="nil"/>
              <w:right w:val="nil"/>
            </w:tcBorders>
            <w:shd w:val="clear" w:color="auto" w:fill="auto"/>
            <w:noWrap/>
            <w:vAlign w:val="center"/>
            <w:hideMark/>
          </w:tcPr>
          <w:p w14:paraId="3840F342"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103 146</w:t>
            </w:r>
          </w:p>
        </w:tc>
        <w:tc>
          <w:tcPr>
            <w:tcW w:w="1134" w:type="dxa"/>
            <w:tcBorders>
              <w:top w:val="nil"/>
              <w:left w:val="nil"/>
              <w:bottom w:val="nil"/>
              <w:right w:val="nil"/>
            </w:tcBorders>
            <w:shd w:val="clear" w:color="auto" w:fill="auto"/>
            <w:noWrap/>
            <w:vAlign w:val="center"/>
            <w:hideMark/>
          </w:tcPr>
          <w:p w14:paraId="2EC0FFF3"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469 043</w:t>
            </w:r>
          </w:p>
        </w:tc>
        <w:tc>
          <w:tcPr>
            <w:tcW w:w="1134" w:type="dxa"/>
            <w:tcBorders>
              <w:top w:val="nil"/>
              <w:left w:val="nil"/>
              <w:bottom w:val="nil"/>
              <w:right w:val="nil"/>
            </w:tcBorders>
            <w:shd w:val="clear" w:color="auto" w:fill="auto"/>
            <w:noWrap/>
            <w:vAlign w:val="center"/>
            <w:hideMark/>
          </w:tcPr>
          <w:p w14:paraId="3D27CDA4"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455 857</w:t>
            </w:r>
          </w:p>
        </w:tc>
        <w:tc>
          <w:tcPr>
            <w:tcW w:w="992" w:type="dxa"/>
            <w:tcBorders>
              <w:top w:val="nil"/>
              <w:left w:val="nil"/>
              <w:bottom w:val="nil"/>
              <w:right w:val="nil"/>
            </w:tcBorders>
            <w:shd w:val="clear" w:color="000000" w:fill="FFFFFF"/>
            <w:vAlign w:val="center"/>
            <w:hideMark/>
          </w:tcPr>
          <w:p w14:paraId="3B08E78B"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-13 186</w:t>
            </w:r>
          </w:p>
        </w:tc>
        <w:tc>
          <w:tcPr>
            <w:tcW w:w="992" w:type="dxa"/>
            <w:tcBorders>
              <w:top w:val="nil"/>
              <w:left w:val="nil"/>
              <w:bottom w:val="nil"/>
              <w:right w:val="nil"/>
            </w:tcBorders>
            <w:shd w:val="clear" w:color="000000" w:fill="FFFFFF"/>
            <w:vAlign w:val="center"/>
            <w:hideMark/>
          </w:tcPr>
          <w:p w14:paraId="5FA7869A"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-2,81</w:t>
            </w:r>
          </w:p>
        </w:tc>
      </w:tr>
      <w:tr w:rsidR="00060EF5" w:rsidRPr="000B3DC0" w14:paraId="1E8B94D1" w14:textId="77777777" w:rsidTr="00AC68A6">
        <w:trPr>
          <w:trHeight w:val="300"/>
        </w:trPr>
        <w:tc>
          <w:tcPr>
            <w:tcW w:w="2540" w:type="dxa"/>
            <w:tcBorders>
              <w:top w:val="nil"/>
              <w:left w:val="nil"/>
              <w:bottom w:val="single" w:sz="8" w:space="0" w:color="auto"/>
              <w:right w:val="nil"/>
            </w:tcBorders>
            <w:shd w:val="clear" w:color="auto" w:fill="auto"/>
            <w:vAlign w:val="center"/>
            <w:hideMark/>
          </w:tcPr>
          <w:p w14:paraId="110706BC" w14:textId="77777777" w:rsidR="00060EF5" w:rsidRPr="00AC68A6" w:rsidRDefault="00060EF5" w:rsidP="00D2560E">
            <w:pPr>
              <w:spacing w:after="0" w:line="240" w:lineRule="auto"/>
              <w:jc w:val="left"/>
              <w:rPr>
                <w:rFonts w:eastAsia="Times New Roman" w:cs="Times New Roman"/>
                <w:color w:val="000000"/>
                <w:sz w:val="18"/>
                <w:szCs w:val="18"/>
                <w:lang w:eastAsia="sk-SK"/>
              </w:rPr>
            </w:pPr>
            <w:r w:rsidRPr="00AC68A6">
              <w:rPr>
                <w:rFonts w:eastAsia="Times New Roman" w:cs="Times New Roman"/>
                <w:color w:val="000000"/>
                <w:sz w:val="18"/>
                <w:szCs w:val="18"/>
                <w:lang w:eastAsia="sk-SK"/>
              </w:rPr>
              <w:t>Zdravotníctvo</w:t>
            </w:r>
          </w:p>
        </w:tc>
        <w:tc>
          <w:tcPr>
            <w:tcW w:w="1146" w:type="dxa"/>
            <w:tcBorders>
              <w:top w:val="nil"/>
              <w:left w:val="nil"/>
              <w:bottom w:val="single" w:sz="8" w:space="0" w:color="auto"/>
              <w:right w:val="nil"/>
            </w:tcBorders>
            <w:shd w:val="clear" w:color="auto" w:fill="auto"/>
            <w:noWrap/>
            <w:vAlign w:val="center"/>
            <w:hideMark/>
          </w:tcPr>
          <w:p w14:paraId="559A1796"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818 761</w:t>
            </w:r>
          </w:p>
        </w:tc>
        <w:tc>
          <w:tcPr>
            <w:tcW w:w="1276" w:type="dxa"/>
            <w:tcBorders>
              <w:top w:val="nil"/>
              <w:left w:val="nil"/>
              <w:bottom w:val="nil"/>
              <w:right w:val="nil"/>
            </w:tcBorders>
            <w:shd w:val="clear" w:color="auto" w:fill="auto"/>
            <w:noWrap/>
            <w:vAlign w:val="center"/>
            <w:hideMark/>
          </w:tcPr>
          <w:p w14:paraId="1387C5AA"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893 568</w:t>
            </w:r>
          </w:p>
        </w:tc>
        <w:tc>
          <w:tcPr>
            <w:tcW w:w="1134" w:type="dxa"/>
            <w:tcBorders>
              <w:top w:val="nil"/>
              <w:left w:val="nil"/>
              <w:bottom w:val="nil"/>
              <w:right w:val="nil"/>
            </w:tcBorders>
            <w:shd w:val="clear" w:color="auto" w:fill="auto"/>
            <w:noWrap/>
            <w:vAlign w:val="center"/>
            <w:hideMark/>
          </w:tcPr>
          <w:p w14:paraId="5AB6BB03"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956 014</w:t>
            </w:r>
          </w:p>
        </w:tc>
        <w:tc>
          <w:tcPr>
            <w:tcW w:w="1134" w:type="dxa"/>
            <w:tcBorders>
              <w:top w:val="nil"/>
              <w:left w:val="nil"/>
              <w:bottom w:val="nil"/>
              <w:right w:val="nil"/>
            </w:tcBorders>
            <w:shd w:val="clear" w:color="auto" w:fill="auto"/>
            <w:noWrap/>
            <w:vAlign w:val="center"/>
            <w:hideMark/>
          </w:tcPr>
          <w:p w14:paraId="2F313B08"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391 613</w:t>
            </w:r>
          </w:p>
        </w:tc>
        <w:tc>
          <w:tcPr>
            <w:tcW w:w="992" w:type="dxa"/>
            <w:tcBorders>
              <w:top w:val="nil"/>
              <w:left w:val="nil"/>
              <w:bottom w:val="nil"/>
              <w:right w:val="nil"/>
            </w:tcBorders>
            <w:shd w:val="clear" w:color="000000" w:fill="FFFFFF"/>
            <w:vAlign w:val="center"/>
            <w:hideMark/>
          </w:tcPr>
          <w:p w14:paraId="0EB26CB0"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-564 401</w:t>
            </w:r>
          </w:p>
        </w:tc>
        <w:tc>
          <w:tcPr>
            <w:tcW w:w="992" w:type="dxa"/>
            <w:tcBorders>
              <w:top w:val="nil"/>
              <w:left w:val="nil"/>
              <w:bottom w:val="nil"/>
              <w:right w:val="nil"/>
            </w:tcBorders>
            <w:shd w:val="clear" w:color="000000" w:fill="FFFFFF"/>
            <w:vAlign w:val="center"/>
            <w:hideMark/>
          </w:tcPr>
          <w:p w14:paraId="6E005A0D" w14:textId="77777777" w:rsidR="00060EF5" w:rsidRPr="00AC68A6" w:rsidRDefault="00060EF5" w:rsidP="00D2560E">
            <w:pPr>
              <w:spacing w:after="0" w:line="240" w:lineRule="auto"/>
              <w:jc w:val="right"/>
              <w:rPr>
                <w:rFonts w:eastAsia="Times New Roman" w:cs="Times New Roman"/>
                <w:color w:val="000000"/>
                <w:sz w:val="18"/>
                <w:szCs w:val="18"/>
                <w:lang w:eastAsia="sk-SK"/>
              </w:rPr>
            </w:pPr>
            <w:r w:rsidRPr="00AC68A6">
              <w:rPr>
                <w:rFonts w:eastAsia="Times New Roman" w:cs="Times New Roman"/>
                <w:color w:val="000000"/>
                <w:sz w:val="18"/>
                <w:szCs w:val="18"/>
                <w:lang w:eastAsia="sk-SK"/>
              </w:rPr>
              <w:t>-59,04</w:t>
            </w:r>
          </w:p>
        </w:tc>
      </w:tr>
      <w:tr w:rsidR="00060EF5" w:rsidRPr="00AC68A6" w14:paraId="7E5FA7E7" w14:textId="77777777" w:rsidTr="00AC68A6">
        <w:trPr>
          <w:trHeight w:val="300"/>
        </w:trPr>
        <w:tc>
          <w:tcPr>
            <w:tcW w:w="2540" w:type="dxa"/>
            <w:tcBorders>
              <w:top w:val="nil"/>
              <w:left w:val="nil"/>
              <w:bottom w:val="single" w:sz="8" w:space="0" w:color="auto"/>
              <w:right w:val="nil"/>
            </w:tcBorders>
            <w:shd w:val="clear" w:color="000000" w:fill="FFFFFF"/>
            <w:noWrap/>
            <w:vAlign w:val="center"/>
            <w:hideMark/>
          </w:tcPr>
          <w:p w14:paraId="6BD8E592" w14:textId="77777777" w:rsidR="00060EF5" w:rsidRPr="00AC68A6" w:rsidRDefault="00060EF5" w:rsidP="00D2560E">
            <w:pPr>
              <w:spacing w:after="0" w:line="240" w:lineRule="auto"/>
              <w:jc w:val="lef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Spolu</w:t>
            </w:r>
          </w:p>
        </w:tc>
        <w:tc>
          <w:tcPr>
            <w:tcW w:w="1146" w:type="dxa"/>
            <w:tcBorders>
              <w:top w:val="nil"/>
              <w:left w:val="nil"/>
              <w:bottom w:val="single" w:sz="8" w:space="0" w:color="auto"/>
              <w:right w:val="nil"/>
            </w:tcBorders>
            <w:shd w:val="clear" w:color="auto" w:fill="auto"/>
            <w:noWrap/>
            <w:vAlign w:val="center"/>
            <w:hideMark/>
          </w:tcPr>
          <w:p w14:paraId="7AEC1576"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24 211 425</w:t>
            </w:r>
          </w:p>
        </w:tc>
        <w:tc>
          <w:tcPr>
            <w:tcW w:w="1276" w:type="dxa"/>
            <w:tcBorders>
              <w:top w:val="single" w:sz="8" w:space="0" w:color="auto"/>
              <w:left w:val="nil"/>
              <w:bottom w:val="single" w:sz="8" w:space="0" w:color="auto"/>
              <w:right w:val="nil"/>
            </w:tcBorders>
            <w:shd w:val="clear" w:color="auto" w:fill="auto"/>
            <w:noWrap/>
            <w:vAlign w:val="center"/>
            <w:hideMark/>
          </w:tcPr>
          <w:p w14:paraId="4E0040C9"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23 554 555</w:t>
            </w:r>
          </w:p>
        </w:tc>
        <w:tc>
          <w:tcPr>
            <w:tcW w:w="1134" w:type="dxa"/>
            <w:tcBorders>
              <w:top w:val="single" w:sz="8" w:space="0" w:color="auto"/>
              <w:left w:val="nil"/>
              <w:bottom w:val="single" w:sz="8" w:space="0" w:color="auto"/>
              <w:right w:val="nil"/>
            </w:tcBorders>
            <w:shd w:val="clear" w:color="auto" w:fill="auto"/>
            <w:noWrap/>
            <w:vAlign w:val="center"/>
            <w:hideMark/>
          </w:tcPr>
          <w:p w14:paraId="7AC22EAA"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35 040 556</w:t>
            </w:r>
          </w:p>
        </w:tc>
        <w:tc>
          <w:tcPr>
            <w:tcW w:w="1134" w:type="dxa"/>
            <w:tcBorders>
              <w:top w:val="single" w:sz="8" w:space="0" w:color="auto"/>
              <w:left w:val="nil"/>
              <w:bottom w:val="single" w:sz="8" w:space="0" w:color="auto"/>
              <w:right w:val="nil"/>
            </w:tcBorders>
            <w:shd w:val="clear" w:color="auto" w:fill="auto"/>
            <w:noWrap/>
            <w:vAlign w:val="center"/>
            <w:hideMark/>
          </w:tcPr>
          <w:p w14:paraId="06853330"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31 363 983</w:t>
            </w:r>
          </w:p>
        </w:tc>
        <w:tc>
          <w:tcPr>
            <w:tcW w:w="992" w:type="dxa"/>
            <w:tcBorders>
              <w:top w:val="single" w:sz="8" w:space="0" w:color="auto"/>
              <w:left w:val="nil"/>
              <w:bottom w:val="single" w:sz="8" w:space="0" w:color="auto"/>
              <w:right w:val="nil"/>
            </w:tcBorders>
            <w:shd w:val="clear" w:color="auto" w:fill="auto"/>
            <w:noWrap/>
            <w:vAlign w:val="center"/>
            <w:hideMark/>
          </w:tcPr>
          <w:p w14:paraId="3F095CA1"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-3 676 573</w:t>
            </w:r>
          </w:p>
        </w:tc>
        <w:tc>
          <w:tcPr>
            <w:tcW w:w="992" w:type="dxa"/>
            <w:tcBorders>
              <w:top w:val="single" w:sz="8" w:space="0" w:color="auto"/>
              <w:left w:val="nil"/>
              <w:bottom w:val="single" w:sz="8" w:space="0" w:color="auto"/>
              <w:right w:val="nil"/>
            </w:tcBorders>
            <w:shd w:val="clear" w:color="auto" w:fill="auto"/>
            <w:noWrap/>
            <w:vAlign w:val="center"/>
            <w:hideMark/>
          </w:tcPr>
          <w:p w14:paraId="65335C0F" w14:textId="77777777" w:rsidR="00060EF5" w:rsidRPr="00AC68A6" w:rsidRDefault="00060EF5" w:rsidP="00D2560E">
            <w:pPr>
              <w:spacing w:after="0" w:line="240" w:lineRule="auto"/>
              <w:jc w:val="right"/>
              <w:rPr>
                <w:rFonts w:eastAsia="Times New Roman" w:cs="Times New Roman"/>
                <w:b/>
                <w:bCs/>
                <w:color w:val="000000"/>
                <w:sz w:val="18"/>
                <w:szCs w:val="18"/>
                <w:lang w:eastAsia="sk-SK"/>
              </w:rPr>
            </w:pPr>
            <w:r w:rsidRPr="00AC68A6">
              <w:rPr>
                <w:rFonts w:eastAsia="Times New Roman" w:cs="Times New Roman"/>
                <w:b/>
                <w:bCs/>
                <w:color w:val="000000"/>
                <w:sz w:val="18"/>
                <w:szCs w:val="18"/>
                <w:lang w:eastAsia="sk-SK"/>
              </w:rPr>
              <w:t>-10,49</w:t>
            </w:r>
          </w:p>
        </w:tc>
      </w:tr>
    </w:tbl>
    <w:p w14:paraId="36B93DCF" w14:textId="10DCC9CE" w:rsidR="00060EF5" w:rsidRPr="00AC68A6" w:rsidRDefault="00060EF5" w:rsidP="00F16AE0">
      <w:pPr>
        <w:spacing w:line="240" w:lineRule="auto"/>
        <w:jc w:val="left"/>
        <w:rPr>
          <w:rFonts w:cs="Times New Roman"/>
          <w:sz w:val="18"/>
          <w:szCs w:val="18"/>
        </w:rPr>
      </w:pPr>
      <w:r w:rsidRPr="00AC68A6">
        <w:rPr>
          <w:rFonts w:cs="Times New Roman"/>
          <w:sz w:val="18"/>
          <w:szCs w:val="18"/>
        </w:rPr>
        <w:t>Oddiely funkčnej klasifikácie sú zoradené podľa veľ</w:t>
      </w:r>
      <w:r w:rsidR="00AC4A47" w:rsidRPr="00AC68A6">
        <w:rPr>
          <w:rFonts w:cs="Times New Roman"/>
          <w:sz w:val="18"/>
          <w:szCs w:val="18"/>
        </w:rPr>
        <w:t>kosti hodnoty za skutočnosť 2023</w:t>
      </w:r>
      <w:r w:rsidRPr="00AC68A6">
        <w:rPr>
          <w:rFonts w:cs="Times New Roman"/>
          <w:sz w:val="18"/>
          <w:szCs w:val="18"/>
        </w:rPr>
        <w:tab/>
      </w:r>
      <w:r w:rsidRPr="00AC68A6">
        <w:rPr>
          <w:rFonts w:cs="Times New Roman"/>
          <w:sz w:val="18"/>
          <w:szCs w:val="18"/>
        </w:rPr>
        <w:tab/>
      </w:r>
      <w:r w:rsidRPr="00AC68A6">
        <w:rPr>
          <w:rFonts w:cs="Times New Roman"/>
          <w:sz w:val="18"/>
          <w:szCs w:val="18"/>
        </w:rPr>
        <w:tab/>
      </w:r>
      <w:r w:rsidR="00F16AE0" w:rsidRPr="00AC68A6">
        <w:rPr>
          <w:rFonts w:cs="Times New Roman"/>
          <w:sz w:val="18"/>
          <w:szCs w:val="18"/>
        </w:rPr>
        <w:t xml:space="preserve">         </w:t>
      </w:r>
      <w:r w:rsidRPr="00AC68A6">
        <w:rPr>
          <w:rFonts w:cs="Times New Roman"/>
          <w:sz w:val="18"/>
          <w:szCs w:val="18"/>
        </w:rPr>
        <w:t>Zdroj: MF SR</w:t>
      </w:r>
    </w:p>
    <w:p w14:paraId="7B84EF75" w14:textId="77777777" w:rsidR="00060EF5" w:rsidRDefault="00060EF5" w:rsidP="00060EF5">
      <w:pPr>
        <w:spacing w:line="240" w:lineRule="auto"/>
        <w:rPr>
          <w:b/>
          <w:sz w:val="24"/>
          <w:szCs w:val="24"/>
        </w:rPr>
      </w:pPr>
      <w:r w:rsidRPr="000A2BD1">
        <w:rPr>
          <w:sz w:val="24"/>
          <w:szCs w:val="24"/>
        </w:rPr>
        <w:t>Celkové výdavky podľa funkčnej klasifikácie sú zhodné s výdavkami podľa ekonomickej klasifikácie, sú však opisované z pohľadu činnosti, ktorú financujú rozpočtové organizácie štátnej správy. V prípade metodicky správneho uplatňovania tejto klasifikácie sú zdôvodnenia plnenia alebo prekročenia schváleného rozpočtu totožné s tými, ktoré sú uvedené v kapitole 3.2.1.</w:t>
      </w:r>
    </w:p>
    <w:p w14:paraId="35E363B9" w14:textId="77777777" w:rsidR="00060EF5" w:rsidRPr="006D2695" w:rsidRDefault="00060EF5" w:rsidP="00060EF5">
      <w:pPr>
        <w:spacing w:line="240" w:lineRule="auto"/>
        <w:rPr>
          <w:b/>
          <w:color w:val="5B9BD5" w:themeColor="accent1"/>
          <w:sz w:val="24"/>
          <w:szCs w:val="24"/>
        </w:rPr>
      </w:pPr>
      <w:r w:rsidRPr="006D2695">
        <w:rPr>
          <w:b/>
          <w:color w:val="5B9BD5" w:themeColor="accent1"/>
          <w:sz w:val="24"/>
          <w:szCs w:val="24"/>
        </w:rPr>
        <w:t>Ekonomická oblasť</w:t>
      </w:r>
    </w:p>
    <w:p w14:paraId="6F7592BC" w14:textId="677EAE58" w:rsidR="00060EF5" w:rsidRPr="00C77AEB" w:rsidRDefault="00060EF5" w:rsidP="00060EF5">
      <w:pPr>
        <w:spacing w:line="240" w:lineRule="auto"/>
        <w:rPr>
          <w:sz w:val="24"/>
          <w:szCs w:val="24"/>
        </w:rPr>
      </w:pPr>
      <w:r w:rsidRPr="00773F64">
        <w:rPr>
          <w:sz w:val="24"/>
          <w:szCs w:val="24"/>
        </w:rPr>
        <w:t>Výdavky v tomto oddiele tvorili 27,6 % z celkových výdavkov. V rámci ekonomickej oblasti sa triedia výdavky súvisiace s rôznymi druhmi dopravy a budovaním dopravnej infraštruktúry, s poľnohospodárstvom, lesníctvom, odvetviami palív a energií, ťažbou nerastných surovín a pod</w:t>
      </w:r>
      <w:r w:rsidRPr="0098126A">
        <w:rPr>
          <w:sz w:val="24"/>
          <w:szCs w:val="24"/>
        </w:rPr>
        <w:t>. V porovnaní s minulým rokom došlo k zvýšeniu výdavkov o 4 360 74</w:t>
      </w:r>
      <w:r>
        <w:rPr>
          <w:sz w:val="24"/>
          <w:szCs w:val="24"/>
        </w:rPr>
        <w:t>4</w:t>
      </w:r>
      <w:r w:rsidRPr="0098126A">
        <w:rPr>
          <w:sz w:val="24"/>
          <w:szCs w:val="24"/>
        </w:rPr>
        <w:t xml:space="preserve"> tis. eur najmä </w:t>
      </w:r>
      <w:r w:rsidRPr="00D82CA2">
        <w:rPr>
          <w:sz w:val="24"/>
          <w:szCs w:val="24"/>
        </w:rPr>
        <w:t>vplyvom nárastu u </w:t>
      </w:r>
      <w:r w:rsidRPr="00D82CA2">
        <w:rPr>
          <w:sz w:val="24"/>
          <w:szCs w:val="24"/>
          <w:u w:val="single"/>
        </w:rPr>
        <w:t>Ministerstva hospodárstva SR</w:t>
      </w:r>
      <w:r w:rsidRPr="00D82CA2">
        <w:rPr>
          <w:sz w:val="24"/>
          <w:szCs w:val="24"/>
        </w:rPr>
        <w:t xml:space="preserve"> o 2 852 094 tis. eur, </w:t>
      </w:r>
      <w:r w:rsidR="006151CA">
        <w:rPr>
          <w:sz w:val="24"/>
          <w:szCs w:val="24"/>
        </w:rPr>
        <w:t xml:space="preserve">príčinou </w:t>
      </w:r>
      <w:r w:rsidRPr="00D82CA2">
        <w:rPr>
          <w:sz w:val="24"/>
          <w:szCs w:val="24"/>
        </w:rPr>
        <w:t xml:space="preserve">boli výdavky </w:t>
      </w:r>
      <w:r w:rsidRPr="00C01343">
        <w:rPr>
          <w:sz w:val="24"/>
          <w:szCs w:val="24"/>
        </w:rPr>
        <w:t xml:space="preserve">na podporu financovania nákladov </w:t>
      </w:r>
      <w:r w:rsidR="006151CA">
        <w:rPr>
          <w:sz w:val="24"/>
          <w:szCs w:val="24"/>
        </w:rPr>
        <w:t xml:space="preserve">z dôvodu zvýšených cien </w:t>
      </w:r>
      <w:r w:rsidRPr="00C01343">
        <w:rPr>
          <w:sz w:val="24"/>
          <w:szCs w:val="24"/>
        </w:rPr>
        <w:t>energi</w:t>
      </w:r>
      <w:r w:rsidR="006151CA">
        <w:rPr>
          <w:sz w:val="24"/>
          <w:szCs w:val="24"/>
        </w:rPr>
        <w:t>í</w:t>
      </w:r>
      <w:r w:rsidRPr="00C01343">
        <w:rPr>
          <w:sz w:val="24"/>
          <w:szCs w:val="24"/>
        </w:rPr>
        <w:t>. Finančné prostriedky boli</w:t>
      </w:r>
      <w:r w:rsidRPr="00C77AEB">
        <w:rPr>
          <w:sz w:val="24"/>
          <w:szCs w:val="24"/>
        </w:rPr>
        <w:t xml:space="preserve"> poskytnuté podľa zákona č. 71/2013 Z. z. o poskytovaní dotácií v pôsobnosti MH SR v znení neskorších predpisov a Schémy pomoci podľa oddielu 2.1 Dočasného krízového rámca pre opatrenia štátnej pomoci na podporu hospodárstva v dôsledku </w:t>
      </w:r>
      <w:r w:rsidR="00062A3B">
        <w:rPr>
          <w:sz w:val="24"/>
          <w:szCs w:val="24"/>
        </w:rPr>
        <w:t>konfliktu na</w:t>
      </w:r>
      <w:r w:rsidRPr="00C77AEB">
        <w:rPr>
          <w:sz w:val="24"/>
          <w:szCs w:val="24"/>
        </w:rPr>
        <w:t xml:space="preserve"> Ukrajine, ako</w:t>
      </w:r>
      <w:r>
        <w:rPr>
          <w:sz w:val="24"/>
          <w:szCs w:val="24"/>
        </w:rPr>
        <w:t xml:space="preserve"> aj v zmysle nariadení vlády SR</w:t>
      </w:r>
      <w:r>
        <w:rPr>
          <w:rStyle w:val="Odkaznapoznmkupodiarou"/>
          <w:sz w:val="24"/>
          <w:szCs w:val="24"/>
        </w:rPr>
        <w:footnoteReference w:id="31"/>
      </w:r>
      <w:r>
        <w:rPr>
          <w:sz w:val="24"/>
          <w:szCs w:val="24"/>
        </w:rPr>
        <w:t>.</w:t>
      </w:r>
    </w:p>
    <w:p w14:paraId="0C8B3108" w14:textId="77777777" w:rsidR="00060EF5" w:rsidRPr="00657468" w:rsidRDefault="00060EF5" w:rsidP="00060EF5">
      <w:pPr>
        <w:spacing w:line="240" w:lineRule="auto"/>
        <w:rPr>
          <w:sz w:val="24"/>
          <w:szCs w:val="24"/>
          <w:u w:val="single"/>
        </w:rPr>
      </w:pPr>
      <w:r w:rsidRPr="00D82CA2">
        <w:rPr>
          <w:sz w:val="24"/>
          <w:szCs w:val="24"/>
        </w:rPr>
        <w:t>N</w:t>
      </w:r>
      <w:r>
        <w:rPr>
          <w:sz w:val="24"/>
          <w:szCs w:val="24"/>
        </w:rPr>
        <w:t>ajvyšší</w:t>
      </w:r>
      <w:r w:rsidRPr="00D82CA2">
        <w:rPr>
          <w:sz w:val="24"/>
          <w:szCs w:val="24"/>
        </w:rPr>
        <w:t xml:space="preserve"> podiel na výdavkoch v tejto oblasti mali </w:t>
      </w:r>
      <w:r w:rsidRPr="00D82CA2">
        <w:rPr>
          <w:sz w:val="24"/>
          <w:szCs w:val="24"/>
          <w:u w:val="single"/>
        </w:rPr>
        <w:t>Ministerstvo hospodárstva SR</w:t>
      </w:r>
      <w:r w:rsidRPr="00D82CA2">
        <w:rPr>
          <w:sz w:val="24"/>
          <w:szCs w:val="24"/>
        </w:rPr>
        <w:t xml:space="preserve"> (3 396 989 tis. eur), </w:t>
      </w:r>
      <w:r w:rsidRPr="00D82CA2">
        <w:rPr>
          <w:sz w:val="24"/>
          <w:szCs w:val="24"/>
          <w:u w:val="single"/>
        </w:rPr>
        <w:t>Ministerstvo dopravy SR</w:t>
      </w:r>
      <w:r w:rsidRPr="00D82CA2">
        <w:rPr>
          <w:sz w:val="24"/>
          <w:szCs w:val="24"/>
        </w:rPr>
        <w:t xml:space="preserve"> (2 755 323 tis. eur), </w:t>
      </w:r>
      <w:r w:rsidRPr="00D82CA2">
        <w:rPr>
          <w:sz w:val="24"/>
          <w:szCs w:val="24"/>
          <w:u w:val="single"/>
        </w:rPr>
        <w:t xml:space="preserve">Ministerstvo investícií, </w:t>
      </w:r>
      <w:r w:rsidRPr="00D82CA2">
        <w:rPr>
          <w:sz w:val="24"/>
          <w:szCs w:val="24"/>
          <w:u w:val="single"/>
        </w:rPr>
        <w:lastRenderedPageBreak/>
        <w:t>regionálneho rozvoja a informatizácie SR</w:t>
      </w:r>
      <w:r w:rsidRPr="00D82CA2">
        <w:rPr>
          <w:sz w:val="24"/>
          <w:szCs w:val="24"/>
        </w:rPr>
        <w:t xml:space="preserve"> (1 107 347 tis. eur) </w:t>
      </w:r>
      <w:r w:rsidRPr="00657468">
        <w:rPr>
          <w:sz w:val="24"/>
          <w:szCs w:val="24"/>
        </w:rPr>
        <w:t>a</w:t>
      </w:r>
      <w:r>
        <w:rPr>
          <w:sz w:val="24"/>
          <w:szCs w:val="24"/>
        </w:rPr>
        <w:t xml:space="preserve"> </w:t>
      </w:r>
      <w:r w:rsidRPr="00657468">
        <w:rPr>
          <w:sz w:val="24"/>
          <w:szCs w:val="24"/>
          <w:u w:val="single"/>
        </w:rPr>
        <w:t>Ministerstvo pôdohospodárstva a rozvoja vidieka SR</w:t>
      </w:r>
      <w:r w:rsidRPr="00657468">
        <w:rPr>
          <w:sz w:val="24"/>
          <w:szCs w:val="24"/>
        </w:rPr>
        <w:t xml:space="preserve"> (803 778 tis. eur). </w:t>
      </w:r>
    </w:p>
    <w:p w14:paraId="52E4C7C3" w14:textId="77777777" w:rsidR="00060EF5" w:rsidRPr="00657468" w:rsidRDefault="00060EF5" w:rsidP="00060EF5">
      <w:pPr>
        <w:spacing w:line="240" w:lineRule="auto"/>
        <w:rPr>
          <w:sz w:val="24"/>
          <w:szCs w:val="24"/>
        </w:rPr>
      </w:pPr>
      <w:r w:rsidRPr="00657468">
        <w:rPr>
          <w:sz w:val="24"/>
          <w:szCs w:val="24"/>
        </w:rPr>
        <w:t>Najvyššie výdavky boli dosiahnuté v</w:t>
      </w:r>
      <w:r>
        <w:rPr>
          <w:sz w:val="24"/>
          <w:szCs w:val="24"/>
        </w:rPr>
        <w:t> </w:t>
      </w:r>
      <w:r w:rsidRPr="00657468">
        <w:rPr>
          <w:sz w:val="24"/>
          <w:szCs w:val="24"/>
        </w:rPr>
        <w:t>skupine</w:t>
      </w:r>
      <w:r>
        <w:rPr>
          <w:sz w:val="24"/>
          <w:szCs w:val="24"/>
        </w:rPr>
        <w:t xml:space="preserve"> </w:t>
      </w:r>
      <w:r>
        <w:rPr>
          <w:i/>
          <w:sz w:val="24"/>
          <w:szCs w:val="24"/>
        </w:rPr>
        <w:t xml:space="preserve">Palivá a energia, </w:t>
      </w:r>
      <w:r w:rsidRPr="00657468">
        <w:rPr>
          <w:sz w:val="24"/>
          <w:szCs w:val="24"/>
        </w:rPr>
        <w:t>a</w:t>
      </w:r>
      <w:r>
        <w:rPr>
          <w:sz w:val="24"/>
          <w:szCs w:val="24"/>
        </w:rPr>
        <w:t> </w:t>
      </w:r>
      <w:r w:rsidRPr="00657468">
        <w:rPr>
          <w:sz w:val="24"/>
          <w:szCs w:val="24"/>
        </w:rPr>
        <w:t>to</w:t>
      </w:r>
      <w:r>
        <w:rPr>
          <w:sz w:val="24"/>
          <w:szCs w:val="24"/>
        </w:rPr>
        <w:t xml:space="preserve"> </w:t>
      </w:r>
      <w:r w:rsidRPr="00657468">
        <w:rPr>
          <w:sz w:val="24"/>
          <w:szCs w:val="24"/>
        </w:rPr>
        <w:t>2 965 696 tis. eur (2022:</w:t>
      </w:r>
      <w:r>
        <w:rPr>
          <w:sz w:val="24"/>
          <w:szCs w:val="24"/>
        </w:rPr>
        <w:t xml:space="preserve"> </w:t>
      </w:r>
      <w:r w:rsidRPr="00657468">
        <w:rPr>
          <w:sz w:val="24"/>
          <w:szCs w:val="24"/>
        </w:rPr>
        <w:t>217</w:t>
      </w:r>
      <w:r>
        <w:rPr>
          <w:sz w:val="24"/>
          <w:szCs w:val="24"/>
        </w:rPr>
        <w:t> </w:t>
      </w:r>
      <w:r w:rsidRPr="00657468">
        <w:rPr>
          <w:sz w:val="24"/>
          <w:szCs w:val="24"/>
        </w:rPr>
        <w:t>97</w:t>
      </w:r>
      <w:r>
        <w:rPr>
          <w:sz w:val="24"/>
          <w:szCs w:val="24"/>
        </w:rPr>
        <w:t>9 tis. eur</w:t>
      </w:r>
      <w:r w:rsidRPr="00657468">
        <w:rPr>
          <w:sz w:val="24"/>
          <w:szCs w:val="24"/>
        </w:rPr>
        <w:t xml:space="preserve">), na ktorých sa podieľalo predovšetkým Ministerstvo </w:t>
      </w:r>
      <w:r>
        <w:rPr>
          <w:sz w:val="24"/>
          <w:szCs w:val="24"/>
        </w:rPr>
        <w:t>hospodárstva</w:t>
      </w:r>
      <w:r w:rsidRPr="00657468">
        <w:rPr>
          <w:sz w:val="24"/>
          <w:szCs w:val="24"/>
        </w:rPr>
        <w:t xml:space="preserve"> SR (</w:t>
      </w:r>
      <w:r>
        <w:rPr>
          <w:sz w:val="24"/>
          <w:szCs w:val="24"/>
        </w:rPr>
        <w:t>2</w:t>
      </w:r>
      <w:r w:rsidRPr="00657468">
        <w:rPr>
          <w:sz w:val="24"/>
          <w:szCs w:val="24"/>
        </w:rPr>
        <w:t> </w:t>
      </w:r>
      <w:r>
        <w:rPr>
          <w:sz w:val="24"/>
          <w:szCs w:val="24"/>
        </w:rPr>
        <w:t>948</w:t>
      </w:r>
      <w:r w:rsidRPr="00657468">
        <w:rPr>
          <w:sz w:val="24"/>
          <w:szCs w:val="24"/>
        </w:rPr>
        <w:t> </w:t>
      </w:r>
      <w:r>
        <w:rPr>
          <w:sz w:val="24"/>
          <w:szCs w:val="24"/>
        </w:rPr>
        <w:t>628</w:t>
      </w:r>
      <w:r w:rsidRPr="00657468">
        <w:rPr>
          <w:sz w:val="24"/>
          <w:szCs w:val="24"/>
        </w:rPr>
        <w:t> tis. eur).</w:t>
      </w:r>
    </w:p>
    <w:p w14:paraId="2DD06519" w14:textId="77777777" w:rsidR="00060EF5" w:rsidRPr="00BE4B94" w:rsidRDefault="00060EF5" w:rsidP="00060EF5">
      <w:pPr>
        <w:spacing w:line="240" w:lineRule="auto"/>
        <w:rPr>
          <w:sz w:val="24"/>
          <w:szCs w:val="24"/>
        </w:rPr>
      </w:pPr>
      <w:r w:rsidRPr="003E13E4">
        <w:rPr>
          <w:sz w:val="24"/>
          <w:szCs w:val="24"/>
        </w:rPr>
        <w:t xml:space="preserve">V skupine </w:t>
      </w:r>
      <w:r w:rsidRPr="003E13E4">
        <w:rPr>
          <w:i/>
          <w:sz w:val="24"/>
          <w:szCs w:val="24"/>
        </w:rPr>
        <w:t>Doprava</w:t>
      </w:r>
      <w:r w:rsidRPr="003E13E4">
        <w:rPr>
          <w:sz w:val="24"/>
          <w:szCs w:val="24"/>
        </w:rPr>
        <w:t xml:space="preserve"> boli výdavky v hodnote 2 605 437 tis. eur, takmer celú </w:t>
      </w:r>
      <w:r>
        <w:rPr>
          <w:sz w:val="24"/>
          <w:szCs w:val="24"/>
        </w:rPr>
        <w:t>sumu</w:t>
      </w:r>
      <w:r w:rsidRPr="003E13E4">
        <w:rPr>
          <w:sz w:val="24"/>
          <w:szCs w:val="24"/>
        </w:rPr>
        <w:t xml:space="preserve"> tvorili výdavky Ministerstva dopravy SR. </w:t>
      </w:r>
      <w:r w:rsidRPr="00BE4B94">
        <w:rPr>
          <w:sz w:val="24"/>
          <w:szCs w:val="24"/>
        </w:rPr>
        <w:t xml:space="preserve">V skupine </w:t>
      </w:r>
      <w:r w:rsidRPr="00BE4B94">
        <w:rPr>
          <w:i/>
          <w:sz w:val="24"/>
          <w:szCs w:val="24"/>
        </w:rPr>
        <w:t>Všeobecná ekonomická, obchodná a pracovná oblasť</w:t>
      </w:r>
      <w:r w:rsidRPr="00BE4B94">
        <w:rPr>
          <w:sz w:val="24"/>
          <w:szCs w:val="24"/>
        </w:rPr>
        <w:t xml:space="preserve"> boli výdavky v hodnote 1 866 095 tis. eur.</w:t>
      </w:r>
    </w:p>
    <w:p w14:paraId="2EC34115" w14:textId="77777777" w:rsidR="00060EF5" w:rsidRPr="006D2695" w:rsidRDefault="00060EF5" w:rsidP="00060EF5">
      <w:pPr>
        <w:spacing w:line="240" w:lineRule="auto"/>
        <w:rPr>
          <w:b/>
          <w:color w:val="5B9BD5" w:themeColor="accent1"/>
          <w:sz w:val="24"/>
          <w:szCs w:val="24"/>
        </w:rPr>
      </w:pPr>
      <w:r w:rsidRPr="006D2695">
        <w:rPr>
          <w:b/>
          <w:color w:val="5B9BD5" w:themeColor="accent1"/>
          <w:sz w:val="24"/>
          <w:szCs w:val="24"/>
        </w:rPr>
        <w:t>Sociálne zabezpečenie</w:t>
      </w:r>
    </w:p>
    <w:p w14:paraId="13A483AB" w14:textId="52027DCB" w:rsidR="00060EF5" w:rsidRPr="002D69FC" w:rsidRDefault="00060EF5" w:rsidP="00060EF5">
      <w:pPr>
        <w:spacing w:line="240" w:lineRule="auto"/>
        <w:rPr>
          <w:sz w:val="24"/>
          <w:szCs w:val="24"/>
          <w:highlight w:val="yellow"/>
        </w:rPr>
      </w:pPr>
      <w:r w:rsidRPr="00773F64">
        <w:rPr>
          <w:sz w:val="24"/>
          <w:szCs w:val="24"/>
        </w:rPr>
        <w:t xml:space="preserve">Výdavky v oddiele sociálne zabezpečenie tvorili 25,3 % z celkových výdavkov. Ide o prostriedky štátneho rozpočtu, ktoré sa vynakladajú na poskytovanie sociálnej ochrany v starobe, na podporu rodiny a detí, na sociálnu pomoc občanom v hmotnej a sociálnej núdzi, na chorobu, invaliditu a ťažké zdravotné postihnutie a pod. </w:t>
      </w:r>
      <w:r w:rsidRPr="00EB71E9">
        <w:rPr>
          <w:sz w:val="24"/>
          <w:szCs w:val="24"/>
        </w:rPr>
        <w:t xml:space="preserve">V kapitole </w:t>
      </w:r>
      <w:r w:rsidRPr="00EB71E9">
        <w:rPr>
          <w:sz w:val="24"/>
          <w:szCs w:val="24"/>
          <w:u w:val="single"/>
        </w:rPr>
        <w:t>Všeobecná pokladničná správa</w:t>
      </w:r>
      <w:r w:rsidRPr="00EB71E9">
        <w:rPr>
          <w:sz w:val="24"/>
          <w:szCs w:val="24"/>
        </w:rPr>
        <w:t xml:space="preserve"> bolo najväčšie čerpanie v skupine </w:t>
      </w:r>
      <w:r w:rsidRPr="00EB71E9">
        <w:rPr>
          <w:i/>
          <w:sz w:val="24"/>
          <w:szCs w:val="24"/>
        </w:rPr>
        <w:t xml:space="preserve">Staroba </w:t>
      </w:r>
      <w:r w:rsidRPr="00EB71E9">
        <w:rPr>
          <w:sz w:val="24"/>
          <w:szCs w:val="24"/>
        </w:rPr>
        <w:t>1 160</w:t>
      </w:r>
      <w:r w:rsidRPr="00EB71E9">
        <w:rPr>
          <w:i/>
          <w:sz w:val="24"/>
          <w:szCs w:val="24"/>
        </w:rPr>
        <w:t> </w:t>
      </w:r>
      <w:r w:rsidRPr="00EB71E9">
        <w:rPr>
          <w:sz w:val="24"/>
          <w:szCs w:val="24"/>
        </w:rPr>
        <w:t xml:space="preserve">004 tis. eur, </w:t>
      </w:r>
      <w:r w:rsidR="006151CA">
        <w:rPr>
          <w:sz w:val="24"/>
          <w:szCs w:val="24"/>
        </w:rPr>
        <w:t>z dôvodu dofinancovania Sociálnej poisťovne za účelom zvýšenia objemu finančných prostriedkov na starobné dôchodky</w:t>
      </w:r>
      <w:r w:rsidRPr="00EB71E9">
        <w:rPr>
          <w:sz w:val="24"/>
          <w:szCs w:val="24"/>
        </w:rPr>
        <w:t>.</w:t>
      </w:r>
    </w:p>
    <w:p w14:paraId="295C0413" w14:textId="77777777" w:rsidR="00060EF5" w:rsidRPr="006D2695" w:rsidRDefault="00060EF5" w:rsidP="00060EF5">
      <w:pPr>
        <w:spacing w:line="240" w:lineRule="auto"/>
        <w:rPr>
          <w:b/>
          <w:color w:val="5B9BD5" w:themeColor="accent1"/>
          <w:sz w:val="24"/>
          <w:szCs w:val="24"/>
        </w:rPr>
      </w:pPr>
      <w:r w:rsidRPr="006D2695">
        <w:rPr>
          <w:b/>
          <w:color w:val="5B9BD5" w:themeColor="accent1"/>
          <w:sz w:val="24"/>
          <w:szCs w:val="24"/>
        </w:rPr>
        <w:t>Všeobecné verejné služby</w:t>
      </w:r>
    </w:p>
    <w:p w14:paraId="4A151548" w14:textId="77777777" w:rsidR="00060EF5" w:rsidRPr="00773F64" w:rsidRDefault="00060EF5" w:rsidP="00060EF5">
      <w:pPr>
        <w:spacing w:line="240" w:lineRule="auto"/>
        <w:rPr>
          <w:sz w:val="24"/>
          <w:szCs w:val="24"/>
        </w:rPr>
      </w:pPr>
      <w:r w:rsidRPr="00773F64">
        <w:rPr>
          <w:sz w:val="24"/>
          <w:szCs w:val="24"/>
        </w:rPr>
        <w:t xml:space="preserve">Výdavky na všeobecné verejné služby tvorili </w:t>
      </w:r>
      <w:r>
        <w:rPr>
          <w:sz w:val="24"/>
          <w:szCs w:val="24"/>
        </w:rPr>
        <w:t xml:space="preserve">13,7 % </w:t>
      </w:r>
      <w:r w:rsidRPr="00773F64">
        <w:rPr>
          <w:sz w:val="24"/>
          <w:szCs w:val="24"/>
        </w:rPr>
        <w:t xml:space="preserve">z celkových výdavkov štátneho rozpočtu. Tieto výdavky zahrňujú prostriedky verejnej správy na činnosť vymedzeného okruhu ústredných orgánov štátnej správy, výdavky na správu štátneho dlhu, na základný výskum a na zahraničnú hospodársku pomoc. </w:t>
      </w:r>
    </w:p>
    <w:p w14:paraId="25DE56D5" w14:textId="1C0A0D85" w:rsidR="00060EF5" w:rsidRDefault="00060EF5" w:rsidP="00060EF5">
      <w:pPr>
        <w:spacing w:line="240" w:lineRule="auto"/>
        <w:rPr>
          <w:sz w:val="24"/>
          <w:szCs w:val="24"/>
        </w:rPr>
      </w:pPr>
      <w:r w:rsidRPr="009F32AB">
        <w:rPr>
          <w:sz w:val="24"/>
          <w:szCs w:val="24"/>
        </w:rPr>
        <w:t xml:space="preserve">Najviac finančných prostriedkov bolo čerpaných v oblasti </w:t>
      </w:r>
      <w:r w:rsidRPr="009F32AB">
        <w:rPr>
          <w:i/>
          <w:sz w:val="24"/>
          <w:szCs w:val="24"/>
        </w:rPr>
        <w:t>Výkonné a zákonodarné orgány, finančné a rozpočtové záležitosti, zahraničné vzťahy</w:t>
      </w:r>
      <w:r w:rsidRPr="009F32AB">
        <w:rPr>
          <w:sz w:val="24"/>
          <w:szCs w:val="24"/>
        </w:rPr>
        <w:t xml:space="preserve"> (2 382 447 tis. eur). </w:t>
      </w:r>
      <w:r w:rsidRPr="00004FC8">
        <w:rPr>
          <w:sz w:val="24"/>
          <w:szCs w:val="24"/>
        </w:rPr>
        <w:t xml:space="preserve">V rámci </w:t>
      </w:r>
      <w:r w:rsidRPr="00004FC8">
        <w:rPr>
          <w:i/>
          <w:sz w:val="24"/>
          <w:szCs w:val="24"/>
        </w:rPr>
        <w:t>transakcií</w:t>
      </w:r>
      <w:r w:rsidRPr="00D8284F">
        <w:rPr>
          <w:i/>
          <w:sz w:val="24"/>
          <w:szCs w:val="24"/>
        </w:rPr>
        <w:t xml:space="preserve"> verejného dlhu</w:t>
      </w:r>
      <w:r w:rsidRPr="00D8284F">
        <w:rPr>
          <w:sz w:val="24"/>
          <w:szCs w:val="24"/>
        </w:rPr>
        <w:t xml:space="preserve"> vykazuje kapitola </w:t>
      </w:r>
      <w:r w:rsidRPr="00D8284F">
        <w:rPr>
          <w:sz w:val="24"/>
          <w:szCs w:val="24"/>
          <w:u w:val="single"/>
        </w:rPr>
        <w:t>Všeobecná pokladničná správa</w:t>
      </w:r>
      <w:r w:rsidRPr="00D8284F">
        <w:rPr>
          <w:sz w:val="24"/>
          <w:szCs w:val="24"/>
        </w:rPr>
        <w:t xml:space="preserve"> sumu </w:t>
      </w:r>
      <w:r w:rsidRPr="00AB24D5">
        <w:rPr>
          <w:sz w:val="24"/>
          <w:szCs w:val="24"/>
        </w:rPr>
        <w:t>1 072 931 tis. eur</w:t>
      </w:r>
      <w:r>
        <w:rPr>
          <w:sz w:val="24"/>
          <w:szCs w:val="24"/>
        </w:rPr>
        <w:t>,</w:t>
      </w:r>
      <w:r w:rsidRPr="00AB24D5">
        <w:rPr>
          <w:sz w:val="24"/>
          <w:szCs w:val="24"/>
        </w:rPr>
        <w:t xml:space="preserve"> </w:t>
      </w:r>
      <w:r w:rsidRPr="00004FC8">
        <w:rPr>
          <w:sz w:val="24"/>
          <w:szCs w:val="24"/>
        </w:rPr>
        <w:t>ktorá je vedená na tzv. saldo účte Štátneho dlhu. Uvedený účet slúži pre výdavkové a príjmové transakcie vykonávané ARDAL v mene MF SR. Stav na tomto účte sa pravidelne mesačne a ku koncu roka vyrovnáva transferom z výdavkového účtu štátneho rozpočtu na nulový zostatok. Tieto transfery predstavujú čisté výdavky štátneho ro</w:t>
      </w:r>
      <w:r w:rsidR="00787E7F">
        <w:rPr>
          <w:sz w:val="24"/>
          <w:szCs w:val="24"/>
        </w:rPr>
        <w:t>zpočtu na obsluhu štátneho dlhu v danom rozpočtovom roku.</w:t>
      </w:r>
    </w:p>
    <w:p w14:paraId="5DB5DD87" w14:textId="67228F9F" w:rsidR="00060EF5" w:rsidRDefault="00060EF5" w:rsidP="00060EF5">
      <w:pPr>
        <w:spacing w:line="240" w:lineRule="auto"/>
        <w:rPr>
          <w:sz w:val="24"/>
          <w:szCs w:val="24"/>
        </w:rPr>
      </w:pPr>
      <w:r w:rsidRPr="00D8284F">
        <w:rPr>
          <w:i/>
          <w:sz w:val="24"/>
          <w:szCs w:val="24"/>
        </w:rPr>
        <w:t>Odvody do rozpočtu Európskej únie</w:t>
      </w:r>
      <w:r w:rsidRPr="00D8284F">
        <w:rPr>
          <w:sz w:val="24"/>
          <w:szCs w:val="24"/>
        </w:rPr>
        <w:t xml:space="preserve"> založené na dani z pridanej hodnoty a hrubom národnom </w:t>
      </w:r>
      <w:r w:rsidR="00523A23">
        <w:rPr>
          <w:sz w:val="24"/>
          <w:szCs w:val="24"/>
        </w:rPr>
        <w:t>dôchodku, a nerecyklovanom odpade z plastových obalov</w:t>
      </w:r>
      <w:r w:rsidRPr="00D8284F">
        <w:rPr>
          <w:sz w:val="24"/>
          <w:szCs w:val="24"/>
        </w:rPr>
        <w:t xml:space="preserve"> dosiahli v kapitole </w:t>
      </w:r>
      <w:r w:rsidRPr="00D8284F">
        <w:rPr>
          <w:sz w:val="24"/>
          <w:szCs w:val="24"/>
          <w:u w:val="single"/>
        </w:rPr>
        <w:t>Všeobecná pokladničná správa</w:t>
      </w:r>
      <w:r w:rsidR="007A4DCA">
        <w:rPr>
          <w:sz w:val="24"/>
          <w:szCs w:val="24"/>
        </w:rPr>
        <w:t xml:space="preserve"> sumu 943</w:t>
      </w:r>
      <w:r w:rsidRPr="00D8284F">
        <w:rPr>
          <w:sz w:val="24"/>
          <w:szCs w:val="24"/>
        </w:rPr>
        <w:t> 226 tis. eur.</w:t>
      </w:r>
      <w:r w:rsidRPr="00757CE8">
        <w:rPr>
          <w:sz w:val="24"/>
          <w:szCs w:val="24"/>
        </w:rPr>
        <w:t xml:space="preserve"> </w:t>
      </w:r>
    </w:p>
    <w:p w14:paraId="25006E12" w14:textId="77777777" w:rsidR="00060EF5" w:rsidRPr="006D2695" w:rsidRDefault="00060EF5" w:rsidP="00060EF5">
      <w:pPr>
        <w:spacing w:line="240" w:lineRule="auto"/>
        <w:rPr>
          <w:b/>
          <w:color w:val="5B9BD5" w:themeColor="accent1"/>
          <w:sz w:val="24"/>
          <w:szCs w:val="24"/>
        </w:rPr>
      </w:pPr>
      <w:r w:rsidRPr="006D2695">
        <w:rPr>
          <w:b/>
          <w:color w:val="5B9BD5" w:themeColor="accent1"/>
          <w:sz w:val="24"/>
          <w:szCs w:val="24"/>
        </w:rPr>
        <w:t>Vzdelávanie</w:t>
      </w:r>
    </w:p>
    <w:p w14:paraId="1C8B5CD7" w14:textId="77777777" w:rsidR="00060EF5" w:rsidRPr="00BE4B94" w:rsidRDefault="00060EF5" w:rsidP="00060EF5">
      <w:pPr>
        <w:spacing w:line="240" w:lineRule="auto"/>
        <w:rPr>
          <w:sz w:val="24"/>
          <w:szCs w:val="24"/>
        </w:rPr>
      </w:pPr>
      <w:r w:rsidRPr="00773F64">
        <w:rPr>
          <w:sz w:val="24"/>
          <w:szCs w:val="24"/>
        </w:rPr>
        <w:t>Výdavky na vzdelávanie v roku 2023 predstavovali 1</w:t>
      </w:r>
      <w:r>
        <w:rPr>
          <w:sz w:val="24"/>
          <w:szCs w:val="24"/>
        </w:rPr>
        <w:t>1,5</w:t>
      </w:r>
      <w:r w:rsidRPr="00773F64">
        <w:rPr>
          <w:sz w:val="24"/>
          <w:szCs w:val="24"/>
        </w:rPr>
        <w:t xml:space="preserve"> % z celkových výdavkov. Okrem financovania všetkých stupňov vzdelávania sa výdavky vynaložili aj na služby v školstve, napr. v oblasti stravovania, dopravy, lekárskej starostlivosti a na činnosť orgánov a organizácií, ktoré vzdelávanie zabezpečujú. Najvyššie celkové výdavky </w:t>
      </w:r>
      <w:r w:rsidRPr="00BE4B94">
        <w:rPr>
          <w:sz w:val="24"/>
          <w:szCs w:val="24"/>
        </w:rPr>
        <w:t xml:space="preserve">určené na vzdelávanie boli na kapitole </w:t>
      </w:r>
      <w:r w:rsidRPr="00BE4B94">
        <w:rPr>
          <w:sz w:val="24"/>
          <w:szCs w:val="24"/>
          <w:u w:val="single"/>
        </w:rPr>
        <w:t>Ministerstva školstva, vedy, výskumu a športu SR</w:t>
      </w:r>
      <w:r w:rsidRPr="00BE4B94">
        <w:rPr>
          <w:sz w:val="24"/>
          <w:szCs w:val="24"/>
        </w:rPr>
        <w:t xml:space="preserve"> (3 490 904 tis. eur). </w:t>
      </w:r>
    </w:p>
    <w:p w14:paraId="297575B4" w14:textId="1854F1CF" w:rsidR="00060EF5" w:rsidRPr="00EC586F" w:rsidRDefault="00060EF5" w:rsidP="00060EF5">
      <w:pPr>
        <w:spacing w:line="240" w:lineRule="auto"/>
        <w:rPr>
          <w:sz w:val="24"/>
          <w:szCs w:val="24"/>
        </w:rPr>
      </w:pPr>
      <w:r w:rsidRPr="00BE4B94">
        <w:rPr>
          <w:sz w:val="24"/>
          <w:szCs w:val="24"/>
        </w:rPr>
        <w:t xml:space="preserve">V oblasti vzdelávania boli výdavky vynaložené najmä na </w:t>
      </w:r>
      <w:r w:rsidRPr="00BE4B94">
        <w:rPr>
          <w:i/>
          <w:sz w:val="24"/>
          <w:szCs w:val="24"/>
        </w:rPr>
        <w:t>sekundárne vzdelávanie</w:t>
      </w:r>
      <w:r w:rsidRPr="00BE4B94">
        <w:rPr>
          <w:sz w:val="24"/>
          <w:szCs w:val="24"/>
        </w:rPr>
        <w:t xml:space="preserve"> vo výške 1 538 128 tis. eur a na </w:t>
      </w:r>
      <w:proofErr w:type="spellStart"/>
      <w:r w:rsidRPr="00BE4B94">
        <w:rPr>
          <w:i/>
          <w:sz w:val="24"/>
          <w:szCs w:val="24"/>
        </w:rPr>
        <w:t>predprimárne</w:t>
      </w:r>
      <w:proofErr w:type="spellEnd"/>
      <w:r w:rsidRPr="00BE4B94">
        <w:rPr>
          <w:i/>
          <w:sz w:val="24"/>
          <w:szCs w:val="24"/>
        </w:rPr>
        <w:t xml:space="preserve"> a primárne vzdelávanie</w:t>
      </w:r>
      <w:r w:rsidRPr="00BE4B94">
        <w:rPr>
          <w:sz w:val="24"/>
          <w:szCs w:val="24"/>
        </w:rPr>
        <w:t xml:space="preserve"> vo výške 1 078 586 tis. eur</w:t>
      </w:r>
      <w:r>
        <w:rPr>
          <w:sz w:val="24"/>
          <w:szCs w:val="24"/>
        </w:rPr>
        <w:t>.</w:t>
      </w:r>
      <w:r w:rsidRPr="00BE4B94">
        <w:rPr>
          <w:sz w:val="24"/>
          <w:szCs w:val="24"/>
        </w:rPr>
        <w:t xml:space="preserve"> </w:t>
      </w:r>
      <w:r>
        <w:rPr>
          <w:sz w:val="24"/>
          <w:szCs w:val="24"/>
        </w:rPr>
        <w:t>I</w:t>
      </w:r>
      <w:r w:rsidRPr="00BE4B94">
        <w:rPr>
          <w:sz w:val="24"/>
          <w:szCs w:val="24"/>
        </w:rPr>
        <w:t>šlo o </w:t>
      </w:r>
      <w:r w:rsidR="00787E7F">
        <w:rPr>
          <w:sz w:val="24"/>
          <w:szCs w:val="24"/>
        </w:rPr>
        <w:t>transfery</w:t>
      </w:r>
      <w:r w:rsidRPr="00BE4B94">
        <w:rPr>
          <w:sz w:val="24"/>
          <w:szCs w:val="24"/>
        </w:rPr>
        <w:t xml:space="preserve"> obciam a vyšším územných celkom na úhradu nákladov preneseného výkonu štátnej správy.</w:t>
      </w:r>
      <w:r>
        <w:rPr>
          <w:sz w:val="24"/>
          <w:szCs w:val="24"/>
        </w:rPr>
        <w:t xml:space="preserve"> </w:t>
      </w:r>
    </w:p>
    <w:p w14:paraId="1A314CD0" w14:textId="77777777" w:rsidR="00060EF5" w:rsidRPr="006D2695" w:rsidRDefault="00060EF5" w:rsidP="00060EF5">
      <w:pPr>
        <w:spacing w:line="240" w:lineRule="auto"/>
        <w:rPr>
          <w:b/>
          <w:color w:val="5B9BD5" w:themeColor="accent1"/>
          <w:sz w:val="24"/>
          <w:szCs w:val="24"/>
        </w:rPr>
      </w:pPr>
      <w:r w:rsidRPr="006D2695">
        <w:rPr>
          <w:b/>
          <w:color w:val="5B9BD5" w:themeColor="accent1"/>
          <w:sz w:val="24"/>
          <w:szCs w:val="24"/>
        </w:rPr>
        <w:t>Verejný poriadok a bezpečnosť</w:t>
      </w:r>
    </w:p>
    <w:p w14:paraId="705C99E8" w14:textId="77777777" w:rsidR="00060EF5" w:rsidRPr="003E33B1" w:rsidRDefault="00060EF5" w:rsidP="00060EF5">
      <w:pPr>
        <w:spacing w:line="240" w:lineRule="auto"/>
        <w:rPr>
          <w:sz w:val="24"/>
          <w:szCs w:val="24"/>
        </w:rPr>
      </w:pPr>
      <w:r w:rsidRPr="00773F64">
        <w:rPr>
          <w:sz w:val="24"/>
          <w:szCs w:val="24"/>
        </w:rPr>
        <w:t xml:space="preserve">Výdavky predstavovali 8,7 % z celkových výdavkov. Ide o oblasť činností štátnej polície, súdov, potreby väzenstva, ochranu pred požiarmi a financovanie ústredných orgánov, ktoré tieto činnosti </w:t>
      </w:r>
      <w:r w:rsidRPr="00773F64">
        <w:rPr>
          <w:sz w:val="24"/>
          <w:szCs w:val="24"/>
        </w:rPr>
        <w:lastRenderedPageBreak/>
        <w:t xml:space="preserve">kompetenčne zabezpečujú. Najvyššiu hodnotu dosahuje kapitola </w:t>
      </w:r>
      <w:r w:rsidRPr="003E33B1">
        <w:rPr>
          <w:sz w:val="24"/>
          <w:szCs w:val="24"/>
          <w:u w:val="single"/>
        </w:rPr>
        <w:t>Ministerstva vnútra SR</w:t>
      </w:r>
      <w:r w:rsidRPr="003E33B1">
        <w:rPr>
          <w:sz w:val="24"/>
          <w:szCs w:val="24"/>
        </w:rPr>
        <w:t xml:space="preserve"> 1 657 839 tis. eur.</w:t>
      </w:r>
    </w:p>
    <w:p w14:paraId="2B894B06" w14:textId="77777777" w:rsidR="00060EF5" w:rsidRPr="00F56B8D" w:rsidRDefault="00060EF5" w:rsidP="00060EF5">
      <w:pPr>
        <w:spacing w:line="240" w:lineRule="auto"/>
        <w:rPr>
          <w:sz w:val="24"/>
          <w:szCs w:val="24"/>
        </w:rPr>
      </w:pPr>
      <w:r w:rsidRPr="00E77CDD">
        <w:rPr>
          <w:sz w:val="24"/>
          <w:szCs w:val="24"/>
        </w:rPr>
        <w:t xml:space="preserve">Na týchto výdavkoch sa podieľali predovšetkým výdavky v skupine </w:t>
      </w:r>
      <w:r w:rsidRPr="00E77CDD">
        <w:rPr>
          <w:i/>
          <w:sz w:val="24"/>
          <w:szCs w:val="24"/>
        </w:rPr>
        <w:t>policajné služby</w:t>
      </w:r>
      <w:r w:rsidRPr="00E77CDD">
        <w:rPr>
          <w:sz w:val="24"/>
          <w:szCs w:val="24"/>
        </w:rPr>
        <w:t xml:space="preserve"> sumou 1 067 764 tis. eur</w:t>
      </w:r>
      <w:r>
        <w:rPr>
          <w:sz w:val="24"/>
          <w:szCs w:val="24"/>
        </w:rPr>
        <w:t xml:space="preserve"> a</w:t>
      </w:r>
      <w:r w:rsidRPr="00E77CDD">
        <w:rPr>
          <w:i/>
          <w:sz w:val="24"/>
          <w:szCs w:val="24"/>
        </w:rPr>
        <w:t xml:space="preserve"> verejný poriadok a bezpečnosť</w:t>
      </w:r>
      <w:r w:rsidRPr="00E77CDD">
        <w:rPr>
          <w:sz w:val="24"/>
          <w:szCs w:val="24"/>
        </w:rPr>
        <w:t xml:space="preserve"> </w:t>
      </w:r>
      <w:r w:rsidRPr="00F56B8D">
        <w:rPr>
          <w:i/>
          <w:sz w:val="24"/>
          <w:szCs w:val="24"/>
        </w:rPr>
        <w:t xml:space="preserve">inde neklasifikované </w:t>
      </w:r>
      <w:r w:rsidRPr="00F56B8D">
        <w:rPr>
          <w:sz w:val="24"/>
          <w:szCs w:val="24"/>
        </w:rPr>
        <w:t>sumou 801 854 tis. eur.</w:t>
      </w:r>
    </w:p>
    <w:p w14:paraId="4D0FF4D4" w14:textId="77777777" w:rsidR="00060EF5" w:rsidRPr="006D2695" w:rsidRDefault="00060EF5" w:rsidP="00060EF5">
      <w:pPr>
        <w:spacing w:line="240" w:lineRule="auto"/>
        <w:rPr>
          <w:b/>
          <w:color w:val="5B9BD5" w:themeColor="accent1"/>
          <w:sz w:val="24"/>
          <w:szCs w:val="24"/>
        </w:rPr>
      </w:pPr>
      <w:r w:rsidRPr="006D2695">
        <w:rPr>
          <w:b/>
          <w:color w:val="5B9BD5" w:themeColor="accent1"/>
          <w:sz w:val="24"/>
          <w:szCs w:val="24"/>
        </w:rPr>
        <w:t>Obrana</w:t>
      </w:r>
    </w:p>
    <w:p w14:paraId="78304613" w14:textId="77777777" w:rsidR="00060EF5" w:rsidRPr="009778FE" w:rsidRDefault="00060EF5" w:rsidP="00060EF5">
      <w:pPr>
        <w:spacing w:line="240" w:lineRule="auto"/>
        <w:rPr>
          <w:sz w:val="24"/>
          <w:szCs w:val="24"/>
        </w:rPr>
      </w:pPr>
      <w:r w:rsidRPr="00773F64">
        <w:rPr>
          <w:sz w:val="24"/>
          <w:szCs w:val="24"/>
        </w:rPr>
        <w:t xml:space="preserve">Výdavky v oddiele obrana tvoria 6,3 % z celkových výdavkov. Ide hlavne o výdavky na vojenskú a civilnú ochranu a zahraničnú vojenskú pomoc. </w:t>
      </w:r>
      <w:r w:rsidRPr="00172CA7">
        <w:rPr>
          <w:sz w:val="24"/>
          <w:szCs w:val="24"/>
        </w:rPr>
        <w:t xml:space="preserve">Výdavky na </w:t>
      </w:r>
      <w:r w:rsidRPr="00172CA7">
        <w:rPr>
          <w:i/>
          <w:sz w:val="24"/>
          <w:szCs w:val="24"/>
        </w:rPr>
        <w:t>vojenskú obranu</w:t>
      </w:r>
      <w:r w:rsidRPr="00172CA7">
        <w:rPr>
          <w:sz w:val="24"/>
          <w:szCs w:val="24"/>
        </w:rPr>
        <w:t xml:space="preserve"> dosiahli </w:t>
      </w:r>
      <w:r w:rsidRPr="00A26915">
        <w:rPr>
          <w:sz w:val="24"/>
          <w:szCs w:val="24"/>
        </w:rPr>
        <w:t xml:space="preserve">1 859 200 tis. eur, z toho výdavky </w:t>
      </w:r>
      <w:r w:rsidRPr="00A26915">
        <w:rPr>
          <w:sz w:val="24"/>
          <w:szCs w:val="24"/>
          <w:u w:val="single"/>
        </w:rPr>
        <w:t>Ministerstva obrany</w:t>
      </w:r>
      <w:r w:rsidRPr="0098126A">
        <w:rPr>
          <w:sz w:val="24"/>
          <w:szCs w:val="24"/>
          <w:u w:val="single"/>
        </w:rPr>
        <w:t xml:space="preserve"> SR</w:t>
      </w:r>
      <w:r w:rsidRPr="0098126A">
        <w:rPr>
          <w:sz w:val="24"/>
          <w:szCs w:val="24"/>
        </w:rPr>
        <w:t xml:space="preserve"> boli v celkovej hodnote 1 854 319 tis. eur, kde na mzdové prostriedky sa použilo 629 345 tis. eur a na obstaranie tovarov a služieb 623 918 tis. eur. </w:t>
      </w:r>
      <w:r w:rsidRPr="00172CA7">
        <w:rPr>
          <w:sz w:val="24"/>
          <w:szCs w:val="24"/>
        </w:rPr>
        <w:t xml:space="preserve">Na špeciálne služby tvorili výdavky hodnotu 122 071 tis. eur, najmä </w:t>
      </w:r>
      <w:r w:rsidRPr="00AA64F1">
        <w:rPr>
          <w:sz w:val="24"/>
          <w:szCs w:val="24"/>
        </w:rPr>
        <w:t>na plnenie úloh obrany štátu a v súvislosti s realizáciou modernizačných projektov rezortu obrany.</w:t>
      </w:r>
    </w:p>
    <w:p w14:paraId="6EFD37AB" w14:textId="77777777" w:rsidR="00060EF5" w:rsidRPr="006D2695" w:rsidRDefault="00060EF5" w:rsidP="00060EF5">
      <w:pPr>
        <w:spacing w:line="240" w:lineRule="auto"/>
        <w:rPr>
          <w:b/>
          <w:color w:val="5B9BD5" w:themeColor="accent1"/>
          <w:sz w:val="24"/>
          <w:szCs w:val="24"/>
        </w:rPr>
      </w:pPr>
      <w:r w:rsidRPr="006D2695">
        <w:rPr>
          <w:b/>
          <w:color w:val="5B9BD5" w:themeColor="accent1"/>
          <w:sz w:val="24"/>
          <w:szCs w:val="24"/>
        </w:rPr>
        <w:t>Ochrana životného prostredia</w:t>
      </w:r>
    </w:p>
    <w:p w14:paraId="034D8333" w14:textId="77777777" w:rsidR="00060EF5" w:rsidRPr="00EC586F" w:rsidRDefault="00060EF5" w:rsidP="00060EF5">
      <w:pPr>
        <w:spacing w:line="240" w:lineRule="auto"/>
        <w:rPr>
          <w:sz w:val="24"/>
          <w:szCs w:val="24"/>
        </w:rPr>
      </w:pPr>
      <w:r w:rsidRPr="00A26915">
        <w:rPr>
          <w:sz w:val="24"/>
          <w:szCs w:val="24"/>
        </w:rPr>
        <w:t xml:space="preserve">Výdavky v tomto oddiele tvorili 2,2 % z celkových výdavkov. V tomto odvetví výdavky v hodnote 680 396 tis. eur </w:t>
      </w:r>
      <w:r w:rsidRPr="00A13DCF">
        <w:rPr>
          <w:sz w:val="24"/>
          <w:szCs w:val="24"/>
        </w:rPr>
        <w:t xml:space="preserve">boli rovnako ako v predchádzajúcich rozpočtových obdobiach vynaložené najmä na </w:t>
      </w:r>
      <w:r w:rsidRPr="00A13DCF">
        <w:rPr>
          <w:i/>
          <w:sz w:val="24"/>
          <w:szCs w:val="24"/>
        </w:rPr>
        <w:t>znižovanie znečisťovania</w:t>
      </w:r>
      <w:r w:rsidRPr="00A13DCF">
        <w:rPr>
          <w:sz w:val="24"/>
          <w:szCs w:val="24"/>
        </w:rPr>
        <w:t xml:space="preserve"> (262 886 tis. eur) a </w:t>
      </w:r>
      <w:r w:rsidRPr="00A13DCF">
        <w:rPr>
          <w:i/>
          <w:sz w:val="24"/>
          <w:szCs w:val="24"/>
        </w:rPr>
        <w:t>na nakladanie s odpadmi</w:t>
      </w:r>
      <w:r w:rsidRPr="00A13DCF">
        <w:rPr>
          <w:sz w:val="24"/>
          <w:szCs w:val="24"/>
        </w:rPr>
        <w:t xml:space="preserve"> (195 481 tis. eur). </w:t>
      </w:r>
      <w:r w:rsidRPr="004007E2">
        <w:rPr>
          <w:sz w:val="24"/>
          <w:szCs w:val="24"/>
        </w:rPr>
        <w:t xml:space="preserve">Na celkovom medziročnom náraste o 242 052 tis. eur sa najviac podieľalo </w:t>
      </w:r>
      <w:r w:rsidRPr="004007E2">
        <w:rPr>
          <w:i/>
          <w:sz w:val="24"/>
          <w:szCs w:val="24"/>
        </w:rPr>
        <w:t xml:space="preserve">znižovanie znečisťovania, </w:t>
      </w:r>
      <w:r w:rsidRPr="004007E2">
        <w:rPr>
          <w:sz w:val="24"/>
          <w:szCs w:val="24"/>
        </w:rPr>
        <w:t>a to o 71 821 tis. eur.</w:t>
      </w:r>
    </w:p>
    <w:p w14:paraId="4FAEFA8B" w14:textId="77777777" w:rsidR="00060EF5" w:rsidRPr="006D2695" w:rsidRDefault="00060EF5" w:rsidP="00060EF5">
      <w:pPr>
        <w:spacing w:line="240" w:lineRule="auto"/>
        <w:rPr>
          <w:b/>
          <w:color w:val="5B9BD5" w:themeColor="accent1"/>
          <w:sz w:val="24"/>
          <w:szCs w:val="24"/>
        </w:rPr>
      </w:pPr>
      <w:r w:rsidRPr="006D2695">
        <w:rPr>
          <w:b/>
          <w:color w:val="5B9BD5" w:themeColor="accent1"/>
          <w:sz w:val="24"/>
          <w:szCs w:val="24"/>
        </w:rPr>
        <w:t>Rekreácia, kultúra a náboženstvo</w:t>
      </w:r>
    </w:p>
    <w:p w14:paraId="06CE7720" w14:textId="77777777" w:rsidR="00060EF5" w:rsidRPr="00EC586F" w:rsidRDefault="00060EF5" w:rsidP="00060EF5">
      <w:pPr>
        <w:spacing w:line="240" w:lineRule="auto"/>
        <w:rPr>
          <w:sz w:val="24"/>
          <w:szCs w:val="24"/>
        </w:rPr>
      </w:pPr>
      <w:r w:rsidRPr="00A26915">
        <w:rPr>
          <w:sz w:val="24"/>
          <w:szCs w:val="24"/>
        </w:rPr>
        <w:t xml:space="preserve">Výdavky na rekreácie, kultúru a náboženstvo boli vo výške 640 564 tis. eur. Najväčšia časť </w:t>
      </w:r>
      <w:r w:rsidRPr="00C87E37">
        <w:rPr>
          <w:sz w:val="24"/>
          <w:szCs w:val="24"/>
        </w:rPr>
        <w:t xml:space="preserve">výdavkov bola dosiahnutá v kapitole </w:t>
      </w:r>
      <w:r w:rsidRPr="00C87E37">
        <w:rPr>
          <w:sz w:val="24"/>
          <w:szCs w:val="24"/>
          <w:u w:val="single"/>
        </w:rPr>
        <w:t>Ministerstva kultúry SR</w:t>
      </w:r>
      <w:r w:rsidRPr="00C87E37">
        <w:rPr>
          <w:sz w:val="24"/>
          <w:szCs w:val="24"/>
        </w:rPr>
        <w:t xml:space="preserve"> (433 383 tis. eur). Najvyššie výdavky boli v skupine </w:t>
      </w:r>
      <w:r w:rsidRPr="00C87E37">
        <w:rPr>
          <w:i/>
          <w:sz w:val="24"/>
          <w:szCs w:val="24"/>
        </w:rPr>
        <w:t>kultúrnych služieb</w:t>
      </w:r>
      <w:r w:rsidRPr="00C87E37">
        <w:rPr>
          <w:sz w:val="24"/>
          <w:szCs w:val="24"/>
        </w:rPr>
        <w:t xml:space="preserve"> v celkovej výške 240 687</w:t>
      </w:r>
      <w:r>
        <w:rPr>
          <w:sz w:val="24"/>
          <w:szCs w:val="24"/>
        </w:rPr>
        <w:t> tis. </w:t>
      </w:r>
      <w:r w:rsidRPr="00C87E37">
        <w:rPr>
          <w:sz w:val="24"/>
          <w:szCs w:val="24"/>
        </w:rPr>
        <w:t xml:space="preserve">eur a v skupine </w:t>
      </w:r>
      <w:r w:rsidRPr="00C87E37">
        <w:rPr>
          <w:i/>
          <w:sz w:val="24"/>
          <w:szCs w:val="24"/>
        </w:rPr>
        <w:t>rekreačné a</w:t>
      </w:r>
      <w:r>
        <w:rPr>
          <w:i/>
          <w:sz w:val="24"/>
          <w:szCs w:val="24"/>
        </w:rPr>
        <w:t xml:space="preserve"> </w:t>
      </w:r>
      <w:r w:rsidRPr="00C87E37">
        <w:rPr>
          <w:i/>
          <w:sz w:val="24"/>
          <w:szCs w:val="24"/>
        </w:rPr>
        <w:t xml:space="preserve">športové služby </w:t>
      </w:r>
      <w:r w:rsidRPr="00C87E37">
        <w:rPr>
          <w:sz w:val="24"/>
          <w:szCs w:val="24"/>
        </w:rPr>
        <w:t xml:space="preserve">134 475 tis. eur. </w:t>
      </w:r>
    </w:p>
    <w:p w14:paraId="39BCBBD3" w14:textId="77777777" w:rsidR="00060EF5" w:rsidRPr="006D2695" w:rsidRDefault="00060EF5" w:rsidP="00060EF5">
      <w:pPr>
        <w:spacing w:line="240" w:lineRule="auto"/>
        <w:rPr>
          <w:b/>
          <w:color w:val="5B9BD5" w:themeColor="accent1"/>
          <w:sz w:val="24"/>
          <w:szCs w:val="24"/>
        </w:rPr>
      </w:pPr>
      <w:r w:rsidRPr="006D2695">
        <w:rPr>
          <w:b/>
          <w:color w:val="5B9BD5" w:themeColor="accent1"/>
          <w:sz w:val="24"/>
          <w:szCs w:val="24"/>
        </w:rPr>
        <w:t>Bývanie a občianska vybavenosť</w:t>
      </w:r>
    </w:p>
    <w:p w14:paraId="187E6625" w14:textId="381B019E" w:rsidR="00060EF5" w:rsidRPr="002A4ECC" w:rsidRDefault="00060EF5" w:rsidP="00060EF5">
      <w:pPr>
        <w:spacing w:line="240" w:lineRule="auto"/>
        <w:rPr>
          <w:b/>
          <w:sz w:val="24"/>
          <w:szCs w:val="24"/>
          <w:highlight w:val="green"/>
        </w:rPr>
      </w:pPr>
      <w:r w:rsidRPr="00A26915">
        <w:rPr>
          <w:sz w:val="24"/>
          <w:szCs w:val="24"/>
        </w:rPr>
        <w:t>Výdavky v tomto oddiele dosiahli výšku 455 857 tis. eur a v </w:t>
      </w:r>
      <w:r w:rsidRPr="002A4ECC">
        <w:rPr>
          <w:sz w:val="24"/>
          <w:szCs w:val="24"/>
        </w:rPr>
        <w:t xml:space="preserve">rozhodujúcej miere sa na nich podieľalo </w:t>
      </w:r>
      <w:r w:rsidRPr="002A4ECC">
        <w:rPr>
          <w:sz w:val="24"/>
          <w:szCs w:val="24"/>
          <w:u w:val="single"/>
        </w:rPr>
        <w:t>Ministerstvo životného prostredia SR</w:t>
      </w:r>
      <w:r w:rsidRPr="002A4ECC">
        <w:rPr>
          <w:sz w:val="24"/>
          <w:szCs w:val="24"/>
        </w:rPr>
        <w:t xml:space="preserve"> (190 127 tis. eur). Výdavky boli použité na výstavbu a obnovu bytového fondu, pre Štátny fond rozvoja bývania na štátnu prémiu k stavebnému sporeniu, na poskytnutie štátneho príspevku a štátneho príspevku pre mladých k hypotekárnym úverom, na náhradné nájomné byty. </w:t>
      </w:r>
      <w:r w:rsidRPr="00787E7F">
        <w:rPr>
          <w:sz w:val="24"/>
          <w:szCs w:val="24"/>
          <w:u w:val="single"/>
        </w:rPr>
        <w:t>Všeobecná pokladničná správa</w:t>
      </w:r>
      <w:r w:rsidRPr="00622D90">
        <w:rPr>
          <w:sz w:val="24"/>
          <w:szCs w:val="24"/>
        </w:rPr>
        <w:t xml:space="preserve"> </w:t>
      </w:r>
      <w:r>
        <w:rPr>
          <w:sz w:val="24"/>
          <w:szCs w:val="24"/>
        </w:rPr>
        <w:t>vykázala výdavky v sume 117 534 tis. eur</w:t>
      </w:r>
      <w:r w:rsidRPr="005F09C8">
        <w:rPr>
          <w:sz w:val="24"/>
          <w:szCs w:val="24"/>
        </w:rPr>
        <w:t xml:space="preserve">, </w:t>
      </w:r>
      <w:r>
        <w:rPr>
          <w:sz w:val="24"/>
          <w:szCs w:val="24"/>
        </w:rPr>
        <w:t>išlo predovšetkým o</w:t>
      </w:r>
      <w:r w:rsidRPr="005F09C8">
        <w:rPr>
          <w:sz w:val="24"/>
          <w:szCs w:val="24"/>
        </w:rPr>
        <w:t xml:space="preserve"> dotácie subjektom územnej samosprávy v súvislosti s negatívnymi dôsledkami inflácie</w:t>
      </w:r>
      <w:r w:rsidR="00D05FC0">
        <w:rPr>
          <w:sz w:val="24"/>
          <w:szCs w:val="24"/>
        </w:rPr>
        <w:t xml:space="preserve"> na čiastočné kompenzácie narastajúcich výdavkov v rámci samosprávnej pôsobnosti. Transfery boli poskytnuté napr. pre Trenčiansky samosprávny kraj v súvislosti s Akčným plánom transformácie uhoľného regiónu hornej Nitry.</w:t>
      </w:r>
    </w:p>
    <w:p w14:paraId="4F8A62C5" w14:textId="77777777" w:rsidR="00060EF5" w:rsidRPr="006D2695" w:rsidRDefault="00060EF5" w:rsidP="00060EF5">
      <w:pPr>
        <w:spacing w:line="240" w:lineRule="auto"/>
        <w:rPr>
          <w:b/>
          <w:color w:val="5B9BD5" w:themeColor="accent1"/>
          <w:sz w:val="24"/>
          <w:szCs w:val="24"/>
        </w:rPr>
      </w:pPr>
      <w:r w:rsidRPr="006D2695">
        <w:rPr>
          <w:b/>
          <w:color w:val="5B9BD5" w:themeColor="accent1"/>
          <w:sz w:val="24"/>
          <w:szCs w:val="24"/>
        </w:rPr>
        <w:t>Zdravotníctvo</w:t>
      </w:r>
    </w:p>
    <w:p w14:paraId="0AFC0D6A" w14:textId="77777777" w:rsidR="00060EF5" w:rsidRPr="00651BB9" w:rsidRDefault="00060EF5" w:rsidP="00060EF5">
      <w:pPr>
        <w:spacing w:line="240" w:lineRule="auto"/>
        <w:rPr>
          <w:sz w:val="24"/>
          <w:szCs w:val="24"/>
        </w:rPr>
      </w:pPr>
      <w:r w:rsidRPr="00773F64">
        <w:rPr>
          <w:sz w:val="24"/>
          <w:szCs w:val="24"/>
        </w:rPr>
        <w:t xml:space="preserve">Výdavky v tomto oddiele tvorili 1,2 % z celkových výdavkov. Patria sem výdavky, ktoré zahŕňajú činnosti ako je ústavná a ambulantná zdravotná </w:t>
      </w:r>
      <w:r w:rsidRPr="00651BB9">
        <w:rPr>
          <w:sz w:val="24"/>
          <w:szCs w:val="24"/>
        </w:rPr>
        <w:t xml:space="preserve">starostlivosť, verejné zdravotné služby (prevádzka krvnej banky, zisťovanie chorôb, zber epidemiologických údajov). Na výdavkoch sa najväčšou mierou podieľalo </w:t>
      </w:r>
      <w:r w:rsidRPr="00651BB9">
        <w:rPr>
          <w:sz w:val="24"/>
          <w:szCs w:val="24"/>
          <w:u w:val="single"/>
        </w:rPr>
        <w:t>Ministerstvo zdravotníctva SR</w:t>
      </w:r>
      <w:r w:rsidRPr="00651BB9">
        <w:rPr>
          <w:sz w:val="24"/>
          <w:szCs w:val="24"/>
        </w:rPr>
        <w:t xml:space="preserve"> (330 278 tis. </w:t>
      </w:r>
      <w:r w:rsidRPr="009E1E93">
        <w:rPr>
          <w:sz w:val="24"/>
          <w:szCs w:val="24"/>
        </w:rPr>
        <w:t>eur), kt</w:t>
      </w:r>
      <w:r w:rsidRPr="00651BB9">
        <w:rPr>
          <w:sz w:val="24"/>
          <w:szCs w:val="24"/>
        </w:rPr>
        <w:t>oré v skupine z</w:t>
      </w:r>
      <w:r w:rsidRPr="00651BB9">
        <w:rPr>
          <w:i/>
          <w:sz w:val="24"/>
          <w:szCs w:val="24"/>
        </w:rPr>
        <w:t>dravotníctvo inde neklasifikované</w:t>
      </w:r>
      <w:r w:rsidRPr="00651BB9">
        <w:rPr>
          <w:sz w:val="24"/>
          <w:szCs w:val="24"/>
        </w:rPr>
        <w:t xml:space="preserve"> čerpalo výdavky vo výške 226 658 </w:t>
      </w:r>
      <w:r>
        <w:rPr>
          <w:sz w:val="24"/>
          <w:szCs w:val="24"/>
        </w:rPr>
        <w:t>tis. eur (2022</w:t>
      </w:r>
      <w:r w:rsidRPr="00651BB9">
        <w:rPr>
          <w:sz w:val="24"/>
          <w:szCs w:val="24"/>
        </w:rPr>
        <w:t>: 562 767 tis. eur)</w:t>
      </w:r>
      <w:r>
        <w:rPr>
          <w:sz w:val="24"/>
          <w:szCs w:val="24"/>
        </w:rPr>
        <w:t>,</w:t>
      </w:r>
      <w:r w:rsidRPr="00651BB9">
        <w:rPr>
          <w:sz w:val="24"/>
          <w:szCs w:val="24"/>
        </w:rPr>
        <w:t xml:space="preserve"> </w:t>
      </w:r>
      <w:r>
        <w:rPr>
          <w:sz w:val="24"/>
          <w:szCs w:val="24"/>
        </w:rPr>
        <w:t>i</w:t>
      </w:r>
      <w:r w:rsidRPr="00651BB9">
        <w:rPr>
          <w:sz w:val="24"/>
          <w:szCs w:val="24"/>
        </w:rPr>
        <w:t xml:space="preserve">šlo </w:t>
      </w:r>
      <w:r>
        <w:rPr>
          <w:sz w:val="24"/>
          <w:szCs w:val="24"/>
        </w:rPr>
        <w:t>najmä</w:t>
      </w:r>
      <w:r w:rsidRPr="00651BB9">
        <w:rPr>
          <w:sz w:val="24"/>
          <w:szCs w:val="24"/>
        </w:rPr>
        <w:t xml:space="preserve"> o dotácie určené na všeobecný materiál</w:t>
      </w:r>
      <w:r>
        <w:rPr>
          <w:sz w:val="24"/>
          <w:szCs w:val="24"/>
        </w:rPr>
        <w:t xml:space="preserve">. </w:t>
      </w:r>
    </w:p>
    <w:p w14:paraId="029B59ED" w14:textId="77777777" w:rsidR="00060EF5" w:rsidRPr="002D69FC" w:rsidRDefault="00060EF5" w:rsidP="00060EF5">
      <w:pPr>
        <w:spacing w:line="240" w:lineRule="auto"/>
        <w:rPr>
          <w:sz w:val="24"/>
          <w:szCs w:val="24"/>
        </w:rPr>
      </w:pPr>
      <w:r w:rsidRPr="00B8577B">
        <w:rPr>
          <w:sz w:val="24"/>
          <w:szCs w:val="24"/>
        </w:rPr>
        <w:t>V skupine</w:t>
      </w:r>
      <w:r w:rsidRPr="00B8577B">
        <w:rPr>
          <w:b/>
          <w:sz w:val="24"/>
          <w:szCs w:val="24"/>
        </w:rPr>
        <w:t xml:space="preserve"> </w:t>
      </w:r>
      <w:r w:rsidRPr="00B8577B">
        <w:rPr>
          <w:i/>
          <w:sz w:val="24"/>
          <w:szCs w:val="24"/>
        </w:rPr>
        <w:t>ústavná zdravotná starostlivosť</w:t>
      </w:r>
      <w:r w:rsidRPr="00B8577B">
        <w:rPr>
          <w:sz w:val="24"/>
          <w:szCs w:val="24"/>
        </w:rPr>
        <w:t xml:space="preserve"> realizovalo </w:t>
      </w:r>
      <w:r w:rsidRPr="00B8577B">
        <w:rPr>
          <w:sz w:val="24"/>
          <w:szCs w:val="24"/>
          <w:u w:val="single"/>
        </w:rPr>
        <w:t>Ministerstvo zdravotníctva SR</w:t>
      </w:r>
      <w:r w:rsidRPr="00B8577B">
        <w:rPr>
          <w:sz w:val="24"/>
          <w:szCs w:val="24"/>
        </w:rPr>
        <w:t xml:space="preserve"> výdavky </w:t>
      </w:r>
      <w:r w:rsidRPr="00E56763">
        <w:rPr>
          <w:sz w:val="24"/>
          <w:szCs w:val="24"/>
        </w:rPr>
        <w:t>vo výške</w:t>
      </w:r>
      <w:r>
        <w:rPr>
          <w:sz w:val="24"/>
          <w:szCs w:val="24"/>
        </w:rPr>
        <w:t xml:space="preserve"> </w:t>
      </w:r>
      <w:r w:rsidRPr="00E56763">
        <w:rPr>
          <w:sz w:val="24"/>
          <w:szCs w:val="24"/>
        </w:rPr>
        <w:t>21 321 t</w:t>
      </w:r>
      <w:r>
        <w:rPr>
          <w:sz w:val="24"/>
          <w:szCs w:val="24"/>
        </w:rPr>
        <w:t>is. </w:t>
      </w:r>
      <w:r w:rsidRPr="00E56763">
        <w:rPr>
          <w:sz w:val="24"/>
          <w:szCs w:val="24"/>
        </w:rPr>
        <w:t>eur</w:t>
      </w:r>
      <w:r w:rsidRPr="00B8577B">
        <w:rPr>
          <w:sz w:val="24"/>
          <w:szCs w:val="24"/>
        </w:rPr>
        <w:t xml:space="preserve"> (2022: 184 322 tis. eur), najmä na zdravotnú starostlivosť poskytovanú vo všeobecných </w:t>
      </w:r>
      <w:r w:rsidRPr="00E56763">
        <w:rPr>
          <w:sz w:val="24"/>
          <w:szCs w:val="24"/>
        </w:rPr>
        <w:t>nemocniciach</w:t>
      </w:r>
      <w:r w:rsidRPr="00E56763">
        <w:rPr>
          <w:sz w:val="24"/>
          <w:szCs w:val="24"/>
          <w:lang w:eastAsia="sk-SK"/>
        </w:rPr>
        <w:t>.</w:t>
      </w:r>
      <w:r w:rsidRPr="00153D59">
        <w:rPr>
          <w:sz w:val="24"/>
          <w:szCs w:val="24"/>
          <w:lang w:eastAsia="sk-SK"/>
        </w:rPr>
        <w:t xml:space="preserve"> </w:t>
      </w:r>
    </w:p>
    <w:bookmarkEnd w:id="53"/>
    <w:p w14:paraId="566D60E4" w14:textId="77777777" w:rsidR="00787E7F" w:rsidRDefault="00060EF5" w:rsidP="00787E7F">
      <w:pPr>
        <w:spacing w:line="240" w:lineRule="auto"/>
        <w:rPr>
          <w:b/>
          <w:i/>
        </w:rPr>
      </w:pPr>
      <w:r w:rsidRPr="00DE5A96">
        <w:rPr>
          <w:sz w:val="24"/>
          <w:szCs w:val="24"/>
        </w:rPr>
        <w:lastRenderedPageBreak/>
        <w:t>Medziročný pokles o 501 955 tis. eur</w:t>
      </w:r>
      <w:r>
        <w:rPr>
          <w:sz w:val="24"/>
          <w:szCs w:val="24"/>
        </w:rPr>
        <w:t xml:space="preserve"> v tomto oddiele bol ovplyvnený zrušením </w:t>
      </w:r>
      <w:r w:rsidRPr="00DE5A96">
        <w:rPr>
          <w:sz w:val="24"/>
          <w:szCs w:val="24"/>
        </w:rPr>
        <w:t>stav</w:t>
      </w:r>
      <w:r>
        <w:rPr>
          <w:sz w:val="24"/>
          <w:szCs w:val="24"/>
        </w:rPr>
        <w:t>u</w:t>
      </w:r>
      <w:r w:rsidRPr="00DE5A96">
        <w:rPr>
          <w:sz w:val="24"/>
          <w:szCs w:val="24"/>
        </w:rPr>
        <w:t xml:space="preserve"> ohrozenia verejného zdravia v súvislosti s ochorením COVID-19 a pristúpilo sa k zrušeniu celoplošných verejno-zdravotných a sociálnych opatrení.</w:t>
      </w:r>
      <w:r w:rsidR="00787E7F" w:rsidRPr="00787E7F">
        <w:rPr>
          <w:b/>
          <w:i/>
        </w:rPr>
        <w:t xml:space="preserve"> </w:t>
      </w:r>
    </w:p>
    <w:p w14:paraId="3CC6934A" w14:textId="3F951C59" w:rsidR="00787E7F" w:rsidRDefault="00787E7F" w:rsidP="00787E7F">
      <w:pPr>
        <w:spacing w:line="240" w:lineRule="auto"/>
        <w:rPr>
          <w:b/>
          <w:i/>
        </w:rPr>
      </w:pPr>
      <w:r w:rsidRPr="00B8577B">
        <w:rPr>
          <w:b/>
          <w:i/>
        </w:rPr>
        <w:t>Podrobný prehľad o výdavkoch štátneho rozpočtu podľa funkčnej klasifikácie je uvedený v tab. č. 11 tabuľkovej prílohy štátneho záverečného účtu.</w:t>
      </w:r>
    </w:p>
    <w:p w14:paraId="1401525A" w14:textId="729E978B" w:rsidR="00672440" w:rsidRDefault="00672440" w:rsidP="00207B7D">
      <w:pPr>
        <w:pStyle w:val="Nadpis3"/>
        <w:spacing w:line="336" w:lineRule="auto"/>
      </w:pPr>
      <w:bookmarkStart w:id="54" w:name="_Toc164846948"/>
      <w:r w:rsidRPr="0062740A">
        <w:t>Vzťahy štátneho rozpočtu k</w:t>
      </w:r>
      <w:r w:rsidR="00A57E96">
        <w:t> </w:t>
      </w:r>
      <w:r w:rsidRPr="0062740A">
        <w:t>obciam</w:t>
      </w:r>
      <w:bookmarkEnd w:id="54"/>
    </w:p>
    <w:p w14:paraId="49B92006" w14:textId="7EE79546" w:rsidR="00776B01" w:rsidRPr="00704C8C" w:rsidRDefault="008B3B5F" w:rsidP="00776B01">
      <w:pPr>
        <w:suppressAutoHyphens/>
        <w:spacing w:line="240" w:lineRule="auto"/>
        <w:rPr>
          <w:rFonts w:cs="Times New Roman"/>
          <w:color w:val="000000" w:themeColor="text1"/>
          <w:sz w:val="24"/>
          <w:szCs w:val="24"/>
        </w:rPr>
      </w:pPr>
      <w:r w:rsidRPr="008B3B5F">
        <w:rPr>
          <w:rFonts w:cs="Times New Roman"/>
          <w:color w:val="000000" w:themeColor="text1"/>
          <w:sz w:val="24"/>
          <w:szCs w:val="24"/>
        </w:rPr>
        <w:t xml:space="preserve">Vzťahy štátneho rozpočtu k obciam tvoria transfery poskytnuté obciam a podielové dane. Daň z príjmov fyzických osôb je podielovou daňou a celý výnos dane sa prerozdeľuje stanoveným mechanizmom medzi mestá, obce a vyššie územné celky. Podľa zákona č. 564/2004 Z. z. o rozpočtovom určení výnosu dane z príjmov bolo 70,0 % z celkového výnosu dane z príjmov fyzických osôb príjmom rozpočtov obcí. V roku 2023 bol podiel na výnose dane z príjmov fyzických osôb poukazovaný obciam zvýšený o sumu 228 059 tis. eur zo zdrojov z príjmov z dane z príjmov právnických osôb. Skutočný (hotovostný) prevod dane z príjmov fyzických osôb do rozpočtov obcí bol vykonaný vo výške 2 700 920 tis. eur vrátane zúčtovania za predchádzajúci rok (2022: 2 525 470 tis. eur). </w:t>
      </w:r>
      <w:r>
        <w:rPr>
          <w:rFonts w:cs="Times New Roman"/>
          <w:color w:val="000000" w:themeColor="text1"/>
          <w:sz w:val="24"/>
          <w:szCs w:val="24"/>
        </w:rPr>
        <w:t>Zo štátneho rozpočtu</w:t>
      </w:r>
      <w:r w:rsidR="00776B01" w:rsidRPr="00D44748">
        <w:rPr>
          <w:rFonts w:cs="Times New Roman"/>
          <w:color w:val="000000" w:themeColor="text1"/>
          <w:sz w:val="24"/>
          <w:szCs w:val="24"/>
        </w:rPr>
        <w:t xml:space="preserve"> bolo do rozpočtov obcí poskytnutých celkovo 2 619 868 tis. eur vo forme bežných a kapitálových transferov, čo je za ostatné tri roky najvyššia suma. </w:t>
      </w:r>
      <w:r w:rsidR="00776B01" w:rsidRPr="00D07A6B">
        <w:rPr>
          <w:rFonts w:cs="Times New Roman"/>
          <w:color w:val="000000" w:themeColor="text1"/>
          <w:sz w:val="24"/>
          <w:szCs w:val="24"/>
        </w:rPr>
        <w:t>Bežné transfery tvorili sumu 2 042 605 tis. eur a kapitálové transfery čiastku 577 263 tis. eur.</w:t>
      </w:r>
      <w:r w:rsidR="00776B01" w:rsidRPr="005C3D09">
        <w:rPr>
          <w:rFonts w:cs="Times New Roman"/>
          <w:color w:val="FF0000"/>
          <w:sz w:val="24"/>
          <w:szCs w:val="24"/>
        </w:rPr>
        <w:t xml:space="preserve"> </w:t>
      </w:r>
      <w:r w:rsidR="00776B01" w:rsidRPr="00704C8C">
        <w:rPr>
          <w:rFonts w:cs="Times New Roman"/>
          <w:color w:val="000000" w:themeColor="text1"/>
          <w:sz w:val="24"/>
          <w:szCs w:val="24"/>
        </w:rPr>
        <w:t xml:space="preserve">V porovnaní so skutočnosťou 2022 je to v úhrne za všetky zdroje výdavkov (vrátane EÚ a mimorozpočtových zdrojov) viac až o 917 976 tis. eur, zo zdroja 111 (štátny rozpočet) o 389 436 tis. eur </w:t>
      </w:r>
      <w:r w:rsidR="00776B01">
        <w:rPr>
          <w:rFonts w:cs="Times New Roman"/>
          <w:color w:val="000000" w:themeColor="text1"/>
          <w:sz w:val="24"/>
          <w:szCs w:val="24"/>
        </w:rPr>
        <w:t>viac</w:t>
      </w:r>
      <w:r w:rsidR="00776B01" w:rsidRPr="00704C8C">
        <w:rPr>
          <w:rFonts w:cs="Times New Roman"/>
          <w:color w:val="000000" w:themeColor="text1"/>
          <w:sz w:val="24"/>
          <w:szCs w:val="24"/>
        </w:rPr>
        <w:t>.</w:t>
      </w:r>
      <w:r w:rsidR="0068552D">
        <w:rPr>
          <w:rFonts w:cs="Times New Roman"/>
          <w:color w:val="000000" w:themeColor="text1"/>
          <w:sz w:val="24"/>
          <w:szCs w:val="24"/>
        </w:rPr>
        <w:t xml:space="preserve"> </w:t>
      </w:r>
      <w:r w:rsidR="0068552D" w:rsidRPr="00171F34">
        <w:rPr>
          <w:rFonts w:cs="Times New Roman"/>
          <w:color w:val="000000" w:themeColor="text1"/>
          <w:sz w:val="24"/>
          <w:szCs w:val="24"/>
        </w:rPr>
        <w:t>Najvyššie medziročné rozdiely</w:t>
      </w:r>
      <w:r w:rsidR="00933FEA">
        <w:rPr>
          <w:rFonts w:cs="Times New Roman"/>
          <w:color w:val="000000" w:themeColor="text1"/>
          <w:sz w:val="24"/>
          <w:szCs w:val="24"/>
        </w:rPr>
        <w:t xml:space="preserve"> v skutočnom plnení</w:t>
      </w:r>
      <w:r w:rsidR="0068552D" w:rsidRPr="00171F34">
        <w:rPr>
          <w:rFonts w:cs="Times New Roman"/>
          <w:color w:val="000000" w:themeColor="text1"/>
          <w:sz w:val="24"/>
          <w:szCs w:val="24"/>
        </w:rPr>
        <w:t xml:space="preserve"> boli v ekonomickej oblasti v kapitole Ministerstva investícií, regionálneho rozvoja a informatizácie SR (292</w:t>
      </w:r>
      <w:r w:rsidR="00171F34" w:rsidRPr="00171F34">
        <w:rPr>
          <w:rFonts w:cs="Times New Roman"/>
          <w:color w:val="000000" w:themeColor="text1"/>
          <w:sz w:val="24"/>
          <w:szCs w:val="24"/>
        </w:rPr>
        <w:t> </w:t>
      </w:r>
      <w:r w:rsidR="0068552D" w:rsidRPr="00171F34">
        <w:rPr>
          <w:rFonts w:cs="Times New Roman"/>
          <w:color w:val="000000" w:themeColor="text1"/>
          <w:sz w:val="24"/>
          <w:szCs w:val="24"/>
        </w:rPr>
        <w:t>53</w:t>
      </w:r>
      <w:r w:rsidR="00171F34" w:rsidRPr="00171F34">
        <w:rPr>
          <w:rFonts w:cs="Times New Roman"/>
          <w:color w:val="000000" w:themeColor="text1"/>
          <w:sz w:val="24"/>
          <w:szCs w:val="24"/>
        </w:rPr>
        <w:t>1 </w:t>
      </w:r>
      <w:r w:rsidR="0068552D" w:rsidRPr="00171F34">
        <w:rPr>
          <w:rFonts w:cs="Times New Roman"/>
          <w:color w:val="000000" w:themeColor="text1"/>
          <w:sz w:val="24"/>
          <w:szCs w:val="24"/>
        </w:rPr>
        <w:t>tis. eur), vo vzdelávaní u</w:t>
      </w:r>
      <w:r w:rsidR="003879D1" w:rsidRPr="00171F34">
        <w:rPr>
          <w:rFonts w:cs="Times New Roman"/>
          <w:color w:val="000000" w:themeColor="text1"/>
          <w:sz w:val="24"/>
          <w:szCs w:val="24"/>
        </w:rPr>
        <w:t> Ministerstva školstva, vedy, výskumu a športu SR</w:t>
      </w:r>
      <w:r w:rsidR="0068552D" w:rsidRPr="00171F34">
        <w:rPr>
          <w:rFonts w:cs="Times New Roman"/>
          <w:color w:val="000000" w:themeColor="text1"/>
          <w:sz w:val="24"/>
          <w:szCs w:val="24"/>
        </w:rPr>
        <w:t xml:space="preserve"> </w:t>
      </w:r>
      <w:r w:rsidR="003879D1" w:rsidRPr="00171F34">
        <w:rPr>
          <w:rFonts w:cs="Times New Roman"/>
          <w:color w:val="000000" w:themeColor="text1"/>
          <w:sz w:val="24"/>
          <w:szCs w:val="24"/>
        </w:rPr>
        <w:t>(18</w:t>
      </w:r>
      <w:r w:rsidR="00171F34">
        <w:rPr>
          <w:rFonts w:cs="Times New Roman"/>
          <w:color w:val="000000" w:themeColor="text1"/>
          <w:sz w:val="24"/>
          <w:szCs w:val="24"/>
        </w:rPr>
        <w:t>8</w:t>
      </w:r>
      <w:r w:rsidR="003879D1" w:rsidRPr="00171F34">
        <w:rPr>
          <w:rFonts w:cs="Times New Roman"/>
          <w:color w:val="000000" w:themeColor="text1"/>
          <w:sz w:val="24"/>
          <w:szCs w:val="24"/>
        </w:rPr>
        <w:t> </w:t>
      </w:r>
      <w:r w:rsidR="00171F34">
        <w:rPr>
          <w:rFonts w:cs="Times New Roman"/>
          <w:color w:val="000000" w:themeColor="text1"/>
          <w:sz w:val="24"/>
          <w:szCs w:val="24"/>
        </w:rPr>
        <w:t>176</w:t>
      </w:r>
      <w:r w:rsidR="003879D1" w:rsidRPr="00171F34">
        <w:rPr>
          <w:rFonts w:cs="Times New Roman"/>
          <w:color w:val="000000" w:themeColor="text1"/>
          <w:sz w:val="24"/>
          <w:szCs w:val="24"/>
        </w:rPr>
        <w:t> tis. eur) a v ochrane životného prostredia u Ministerstva životného prostredia SR (</w:t>
      </w:r>
      <w:r w:rsidR="001F1E66">
        <w:rPr>
          <w:rFonts w:cs="Times New Roman"/>
          <w:color w:val="000000" w:themeColor="text1"/>
          <w:sz w:val="24"/>
          <w:szCs w:val="24"/>
        </w:rPr>
        <w:t>103</w:t>
      </w:r>
      <w:r w:rsidR="003879D1" w:rsidRPr="00171F34">
        <w:rPr>
          <w:rFonts w:cs="Times New Roman"/>
          <w:color w:val="000000" w:themeColor="text1"/>
          <w:sz w:val="24"/>
          <w:szCs w:val="24"/>
        </w:rPr>
        <w:t> </w:t>
      </w:r>
      <w:r w:rsidR="001F1E66">
        <w:rPr>
          <w:rFonts w:cs="Times New Roman"/>
          <w:color w:val="000000" w:themeColor="text1"/>
          <w:sz w:val="24"/>
          <w:szCs w:val="24"/>
        </w:rPr>
        <w:t>637</w:t>
      </w:r>
      <w:r w:rsidR="003879D1" w:rsidRPr="00171F34">
        <w:rPr>
          <w:rFonts w:cs="Times New Roman"/>
          <w:color w:val="000000" w:themeColor="text1"/>
          <w:sz w:val="24"/>
          <w:szCs w:val="24"/>
        </w:rPr>
        <w:t> tis. eur).</w:t>
      </w:r>
    </w:p>
    <w:p w14:paraId="5E0E682F" w14:textId="77777777" w:rsidR="00776B01" w:rsidRDefault="00776B01" w:rsidP="00776B01">
      <w:pPr>
        <w:suppressAutoHyphens/>
        <w:spacing w:line="240" w:lineRule="auto"/>
        <w:rPr>
          <w:rFonts w:cs="Times New Roman"/>
          <w:color w:val="000000" w:themeColor="text1"/>
          <w:sz w:val="24"/>
          <w:szCs w:val="24"/>
        </w:rPr>
      </w:pPr>
      <w:r w:rsidRPr="008F4564">
        <w:rPr>
          <w:rFonts w:cs="Times New Roman"/>
          <w:color w:val="000000" w:themeColor="text1"/>
          <w:sz w:val="24"/>
          <w:szCs w:val="24"/>
        </w:rPr>
        <w:t xml:space="preserve">Transfery zo zdroja 111 boli poskytnuté v sume 1 738 121 tis. eur. </w:t>
      </w:r>
      <w:r w:rsidRPr="00004E7A">
        <w:rPr>
          <w:rFonts w:cs="Times New Roman"/>
          <w:color w:val="000000" w:themeColor="text1"/>
          <w:sz w:val="24"/>
          <w:szCs w:val="24"/>
        </w:rPr>
        <w:t>Z toho bežné transfery tvorili čiastku 1 715 8</w:t>
      </w:r>
      <w:r>
        <w:rPr>
          <w:rFonts w:cs="Times New Roman"/>
          <w:color w:val="000000" w:themeColor="text1"/>
          <w:sz w:val="24"/>
          <w:szCs w:val="24"/>
        </w:rPr>
        <w:t>60</w:t>
      </w:r>
      <w:r w:rsidRPr="00004E7A">
        <w:rPr>
          <w:rFonts w:cs="Times New Roman"/>
          <w:color w:val="000000" w:themeColor="text1"/>
          <w:sz w:val="24"/>
          <w:szCs w:val="24"/>
        </w:rPr>
        <w:t xml:space="preserve"> tis. eur a kapitálové transfery sumu 22 261 tis. eur. </w:t>
      </w:r>
      <w:r w:rsidRPr="007B3A4F">
        <w:rPr>
          <w:rFonts w:cs="Times New Roman"/>
          <w:color w:val="000000" w:themeColor="text1"/>
          <w:sz w:val="24"/>
          <w:szCs w:val="24"/>
        </w:rPr>
        <w:t>Na financovanie kompetencií preneseného výkonu štátnej správy bolo poskytnutých zo všetkých zdrojov 1 431 321 tis. eur (2022: 1 270 357 tis. eur) len v rámci bežných transferov, a to v kapitolách Ministerstva školstva, vedy, výskumu a športu SR 1 399 955 tis. eur (2022: 1 235 831 tis. eur), Ministerstva vnútra SR 21 615 tis. eur (2022: 26 050 tis. eur)</w:t>
      </w:r>
      <w:r>
        <w:rPr>
          <w:rFonts w:cs="Times New Roman"/>
          <w:color w:val="000000" w:themeColor="text1"/>
          <w:sz w:val="24"/>
          <w:szCs w:val="24"/>
        </w:rPr>
        <w:t>, Úradu pre územné plánovanie a výstavbu SR 8 243 tis. eur (2022: 0 eur)</w:t>
      </w:r>
      <w:r w:rsidRPr="005C3D09">
        <w:rPr>
          <w:rFonts w:cs="Times New Roman"/>
          <w:color w:val="FF0000"/>
          <w:sz w:val="24"/>
          <w:szCs w:val="24"/>
        </w:rPr>
        <w:t xml:space="preserve"> </w:t>
      </w:r>
      <w:r w:rsidRPr="00CE2559">
        <w:rPr>
          <w:rFonts w:cs="Times New Roman"/>
          <w:color w:val="000000" w:themeColor="text1"/>
          <w:sz w:val="24"/>
          <w:szCs w:val="24"/>
        </w:rPr>
        <w:t xml:space="preserve">a Ministerstva dopravy SR 1 509 tis. eur (2022: 8 476 tis. eur). </w:t>
      </w:r>
    </w:p>
    <w:tbl>
      <w:tblPr>
        <w:tblW w:w="9356" w:type="dxa"/>
        <w:tblCellMar>
          <w:left w:w="70" w:type="dxa"/>
          <w:right w:w="70" w:type="dxa"/>
        </w:tblCellMar>
        <w:tblLook w:val="04A0" w:firstRow="1" w:lastRow="0" w:firstColumn="1" w:lastColumn="0" w:noHBand="0" w:noVBand="1"/>
      </w:tblPr>
      <w:tblGrid>
        <w:gridCol w:w="2800"/>
        <w:gridCol w:w="886"/>
        <w:gridCol w:w="1034"/>
        <w:gridCol w:w="940"/>
        <w:gridCol w:w="861"/>
        <w:gridCol w:w="992"/>
        <w:gridCol w:w="992"/>
        <w:gridCol w:w="851"/>
      </w:tblGrid>
      <w:tr w:rsidR="00776B01" w:rsidRPr="006F6A11" w14:paraId="2F1629CD" w14:textId="77777777" w:rsidTr="005A0EB2">
        <w:trPr>
          <w:trHeight w:val="510"/>
        </w:trPr>
        <w:tc>
          <w:tcPr>
            <w:tcW w:w="8505" w:type="dxa"/>
            <w:gridSpan w:val="7"/>
            <w:tcBorders>
              <w:top w:val="nil"/>
              <w:left w:val="nil"/>
              <w:bottom w:val="single" w:sz="8" w:space="0" w:color="auto"/>
              <w:right w:val="nil"/>
            </w:tcBorders>
            <w:shd w:val="clear" w:color="auto" w:fill="auto"/>
            <w:vAlign w:val="center"/>
            <w:hideMark/>
          </w:tcPr>
          <w:p w14:paraId="69BFC364" w14:textId="7FAF2141" w:rsidR="00776B01" w:rsidRPr="006F6A11" w:rsidRDefault="004A6E2F" w:rsidP="00B768D9">
            <w:pPr>
              <w:spacing w:after="0" w:line="240" w:lineRule="auto"/>
              <w:rPr>
                <w:rFonts w:eastAsia="Times New Roman" w:cs="Times New Roman"/>
                <w:b/>
                <w:bCs/>
                <w:color w:val="4F81BD"/>
                <w:sz w:val="20"/>
                <w:szCs w:val="20"/>
                <w:lang w:eastAsia="sk-SK"/>
              </w:rPr>
            </w:pPr>
            <w:r>
              <w:rPr>
                <w:rFonts w:eastAsia="Times New Roman" w:cs="Times New Roman"/>
                <w:b/>
                <w:bCs/>
                <w:color w:val="4F81BD"/>
                <w:sz w:val="20"/>
                <w:szCs w:val="20"/>
                <w:lang w:eastAsia="sk-SK"/>
              </w:rPr>
              <w:t>Tabuľka 44</w:t>
            </w:r>
            <w:r w:rsidR="00776B01" w:rsidRPr="006F6A11">
              <w:rPr>
                <w:rFonts w:eastAsia="Times New Roman" w:cs="Times New Roman"/>
                <w:b/>
                <w:bCs/>
                <w:color w:val="4F81BD"/>
                <w:sz w:val="20"/>
                <w:szCs w:val="20"/>
                <w:lang w:eastAsia="sk-SK"/>
              </w:rPr>
              <w:t xml:space="preserve"> - Transfery poskytnuté obciam podľa oddielov funkčnej klasifikácie</w:t>
            </w:r>
          </w:p>
        </w:tc>
        <w:tc>
          <w:tcPr>
            <w:tcW w:w="851" w:type="dxa"/>
            <w:tcBorders>
              <w:top w:val="nil"/>
              <w:left w:val="nil"/>
              <w:bottom w:val="single" w:sz="8" w:space="0" w:color="auto"/>
              <w:right w:val="nil"/>
            </w:tcBorders>
            <w:shd w:val="clear" w:color="auto" w:fill="auto"/>
            <w:noWrap/>
            <w:vAlign w:val="center"/>
            <w:hideMark/>
          </w:tcPr>
          <w:p w14:paraId="7CB7B7E1" w14:textId="576BF889" w:rsidR="00776B01" w:rsidRPr="006F6A11" w:rsidRDefault="00776B01" w:rsidP="00B768D9">
            <w:pPr>
              <w:spacing w:after="0" w:line="240" w:lineRule="auto"/>
              <w:rPr>
                <w:rFonts w:eastAsia="Times New Roman" w:cs="Times New Roman"/>
                <w:color w:val="000000"/>
                <w:lang w:eastAsia="sk-SK"/>
              </w:rPr>
            </w:pPr>
          </w:p>
        </w:tc>
      </w:tr>
      <w:tr w:rsidR="00B41352" w:rsidRPr="005A0EB2" w14:paraId="369EEE30" w14:textId="77777777" w:rsidTr="006A0B96">
        <w:trPr>
          <w:trHeight w:val="510"/>
        </w:trPr>
        <w:tc>
          <w:tcPr>
            <w:tcW w:w="2800" w:type="dxa"/>
            <w:vMerge w:val="restart"/>
            <w:tcBorders>
              <w:top w:val="nil"/>
              <w:left w:val="nil"/>
              <w:right w:val="nil"/>
            </w:tcBorders>
            <w:shd w:val="clear" w:color="auto" w:fill="auto"/>
            <w:vAlign w:val="center"/>
            <w:hideMark/>
          </w:tcPr>
          <w:p w14:paraId="004E6914" w14:textId="729180E4" w:rsidR="00B41352" w:rsidRPr="005A0EB2" w:rsidRDefault="00B41352" w:rsidP="00B41352">
            <w:pPr>
              <w:spacing w:after="0" w:line="240" w:lineRule="auto"/>
              <w:rPr>
                <w:rFonts w:eastAsia="Times New Roman" w:cs="Times New Roman"/>
                <w:b/>
                <w:bCs/>
                <w:color w:val="000000"/>
                <w:sz w:val="18"/>
                <w:szCs w:val="18"/>
                <w:lang w:eastAsia="sk-SK"/>
              </w:rPr>
            </w:pPr>
            <w:r w:rsidRPr="005A0EB2">
              <w:rPr>
                <w:rFonts w:eastAsia="Times New Roman" w:cs="Times New Roman"/>
                <w:b/>
                <w:bCs/>
                <w:color w:val="000000"/>
                <w:sz w:val="18"/>
                <w:szCs w:val="18"/>
                <w:lang w:eastAsia="sk-SK"/>
              </w:rPr>
              <w:t>v tis. eur</w:t>
            </w:r>
            <w:r w:rsidRPr="005A0EB2">
              <w:rPr>
                <w:rFonts w:eastAsia="Times New Roman" w:cs="Times New Roman"/>
                <w:b/>
                <w:bCs/>
                <w:color w:val="FFFFFF"/>
                <w:sz w:val="18"/>
                <w:szCs w:val="18"/>
                <w:lang w:eastAsia="sk-SK"/>
              </w:rPr>
              <w:t> </w:t>
            </w:r>
          </w:p>
        </w:tc>
        <w:tc>
          <w:tcPr>
            <w:tcW w:w="886" w:type="dxa"/>
            <w:tcBorders>
              <w:top w:val="nil"/>
              <w:left w:val="nil"/>
              <w:bottom w:val="nil"/>
              <w:right w:val="nil"/>
            </w:tcBorders>
            <w:shd w:val="clear" w:color="auto" w:fill="auto"/>
            <w:vAlign w:val="center"/>
            <w:hideMark/>
          </w:tcPr>
          <w:p w14:paraId="5B21E24E" w14:textId="77777777" w:rsidR="00B41352" w:rsidRPr="005A0EB2" w:rsidRDefault="00B41352" w:rsidP="00B768D9">
            <w:pPr>
              <w:spacing w:after="0" w:line="240" w:lineRule="auto"/>
              <w:jc w:val="center"/>
              <w:rPr>
                <w:rFonts w:eastAsia="Times New Roman" w:cs="Times New Roman"/>
                <w:b/>
                <w:bCs/>
                <w:color w:val="000000"/>
                <w:sz w:val="18"/>
                <w:szCs w:val="18"/>
                <w:lang w:eastAsia="sk-SK"/>
              </w:rPr>
            </w:pPr>
            <w:r w:rsidRPr="005A0EB2">
              <w:rPr>
                <w:rFonts w:eastAsia="Times New Roman" w:cs="Times New Roman"/>
                <w:b/>
                <w:bCs/>
                <w:color w:val="000000"/>
                <w:sz w:val="18"/>
                <w:szCs w:val="18"/>
                <w:lang w:eastAsia="sk-SK"/>
              </w:rPr>
              <w:t>2021 S</w:t>
            </w:r>
          </w:p>
        </w:tc>
        <w:tc>
          <w:tcPr>
            <w:tcW w:w="1034" w:type="dxa"/>
            <w:tcBorders>
              <w:top w:val="nil"/>
              <w:left w:val="nil"/>
              <w:bottom w:val="nil"/>
              <w:right w:val="nil"/>
            </w:tcBorders>
            <w:shd w:val="clear" w:color="auto" w:fill="auto"/>
            <w:vAlign w:val="center"/>
            <w:hideMark/>
          </w:tcPr>
          <w:p w14:paraId="3DF3B376" w14:textId="77777777" w:rsidR="00B41352" w:rsidRPr="005A0EB2" w:rsidRDefault="00B41352" w:rsidP="00B768D9">
            <w:pPr>
              <w:spacing w:after="0" w:line="240" w:lineRule="auto"/>
              <w:jc w:val="center"/>
              <w:rPr>
                <w:rFonts w:eastAsia="Times New Roman" w:cs="Times New Roman"/>
                <w:b/>
                <w:bCs/>
                <w:color w:val="000000"/>
                <w:sz w:val="18"/>
                <w:szCs w:val="18"/>
                <w:lang w:eastAsia="sk-SK"/>
              </w:rPr>
            </w:pPr>
            <w:r w:rsidRPr="005A0EB2">
              <w:rPr>
                <w:rFonts w:eastAsia="Times New Roman" w:cs="Times New Roman"/>
                <w:b/>
                <w:bCs/>
                <w:color w:val="000000"/>
                <w:sz w:val="18"/>
                <w:szCs w:val="18"/>
                <w:lang w:eastAsia="sk-SK"/>
              </w:rPr>
              <w:t>2022 S</w:t>
            </w:r>
          </w:p>
        </w:tc>
        <w:tc>
          <w:tcPr>
            <w:tcW w:w="940" w:type="dxa"/>
            <w:tcBorders>
              <w:top w:val="nil"/>
              <w:left w:val="nil"/>
              <w:bottom w:val="nil"/>
              <w:right w:val="nil"/>
            </w:tcBorders>
            <w:shd w:val="clear" w:color="auto" w:fill="auto"/>
            <w:vAlign w:val="center"/>
            <w:hideMark/>
          </w:tcPr>
          <w:p w14:paraId="49389806" w14:textId="77777777" w:rsidR="00B41352" w:rsidRPr="005A0EB2" w:rsidRDefault="00B41352" w:rsidP="00B768D9">
            <w:pPr>
              <w:spacing w:after="0" w:line="240" w:lineRule="auto"/>
              <w:jc w:val="center"/>
              <w:rPr>
                <w:rFonts w:eastAsia="Times New Roman" w:cs="Times New Roman"/>
                <w:b/>
                <w:bCs/>
                <w:color w:val="000000"/>
                <w:sz w:val="18"/>
                <w:szCs w:val="18"/>
                <w:lang w:eastAsia="sk-SK"/>
              </w:rPr>
            </w:pPr>
            <w:r w:rsidRPr="005A0EB2">
              <w:rPr>
                <w:rFonts w:eastAsia="Times New Roman" w:cs="Times New Roman"/>
                <w:b/>
                <w:bCs/>
                <w:color w:val="000000"/>
                <w:sz w:val="18"/>
                <w:szCs w:val="18"/>
                <w:lang w:eastAsia="sk-SK"/>
              </w:rPr>
              <w:t>2023 R</w:t>
            </w:r>
          </w:p>
        </w:tc>
        <w:tc>
          <w:tcPr>
            <w:tcW w:w="861" w:type="dxa"/>
            <w:tcBorders>
              <w:top w:val="nil"/>
              <w:left w:val="nil"/>
              <w:bottom w:val="nil"/>
              <w:right w:val="nil"/>
            </w:tcBorders>
            <w:shd w:val="clear" w:color="auto" w:fill="auto"/>
            <w:vAlign w:val="center"/>
            <w:hideMark/>
          </w:tcPr>
          <w:p w14:paraId="1B2CF613" w14:textId="77777777" w:rsidR="00B41352" w:rsidRPr="005A0EB2" w:rsidRDefault="00B41352" w:rsidP="00B768D9">
            <w:pPr>
              <w:spacing w:after="0" w:line="240" w:lineRule="auto"/>
              <w:jc w:val="center"/>
              <w:rPr>
                <w:rFonts w:eastAsia="Times New Roman" w:cs="Times New Roman"/>
                <w:b/>
                <w:bCs/>
                <w:color w:val="000000"/>
                <w:sz w:val="18"/>
                <w:szCs w:val="18"/>
                <w:lang w:eastAsia="sk-SK"/>
              </w:rPr>
            </w:pPr>
            <w:r w:rsidRPr="005A0EB2">
              <w:rPr>
                <w:rFonts w:eastAsia="Times New Roman" w:cs="Times New Roman"/>
                <w:b/>
                <w:bCs/>
                <w:color w:val="000000"/>
                <w:sz w:val="18"/>
                <w:szCs w:val="18"/>
                <w:lang w:eastAsia="sk-SK"/>
              </w:rPr>
              <w:t>2023 S</w:t>
            </w:r>
          </w:p>
        </w:tc>
        <w:tc>
          <w:tcPr>
            <w:tcW w:w="992" w:type="dxa"/>
            <w:tcBorders>
              <w:top w:val="nil"/>
              <w:left w:val="nil"/>
              <w:bottom w:val="nil"/>
              <w:right w:val="nil"/>
            </w:tcBorders>
            <w:shd w:val="clear" w:color="auto" w:fill="auto"/>
            <w:vAlign w:val="center"/>
            <w:hideMark/>
          </w:tcPr>
          <w:p w14:paraId="26E8ECDA" w14:textId="77777777" w:rsidR="00B41352" w:rsidRPr="005A0EB2" w:rsidRDefault="00B41352" w:rsidP="00B768D9">
            <w:pPr>
              <w:spacing w:after="0" w:line="240" w:lineRule="auto"/>
              <w:jc w:val="center"/>
              <w:rPr>
                <w:rFonts w:eastAsia="Times New Roman" w:cs="Times New Roman"/>
                <w:b/>
                <w:bCs/>
                <w:color w:val="000000"/>
                <w:sz w:val="18"/>
                <w:szCs w:val="18"/>
                <w:lang w:eastAsia="sk-SK"/>
              </w:rPr>
            </w:pPr>
            <w:r w:rsidRPr="005A0EB2">
              <w:rPr>
                <w:rFonts w:eastAsia="Times New Roman" w:cs="Times New Roman"/>
                <w:b/>
                <w:bCs/>
                <w:color w:val="000000"/>
                <w:sz w:val="18"/>
                <w:szCs w:val="18"/>
                <w:lang w:eastAsia="sk-SK"/>
              </w:rPr>
              <w:t>z toho: zdroj 111*</w:t>
            </w:r>
          </w:p>
        </w:tc>
        <w:tc>
          <w:tcPr>
            <w:tcW w:w="992" w:type="dxa"/>
            <w:tcBorders>
              <w:top w:val="nil"/>
              <w:left w:val="nil"/>
              <w:bottom w:val="nil"/>
              <w:right w:val="nil"/>
            </w:tcBorders>
            <w:shd w:val="clear" w:color="auto" w:fill="auto"/>
            <w:vAlign w:val="center"/>
            <w:hideMark/>
          </w:tcPr>
          <w:p w14:paraId="50D338A4" w14:textId="77777777" w:rsidR="00B41352" w:rsidRPr="005A0EB2" w:rsidRDefault="00B41352" w:rsidP="00B768D9">
            <w:pPr>
              <w:spacing w:after="0" w:line="240" w:lineRule="auto"/>
              <w:jc w:val="center"/>
              <w:rPr>
                <w:rFonts w:eastAsia="Times New Roman" w:cs="Times New Roman"/>
                <w:b/>
                <w:bCs/>
                <w:color w:val="000000"/>
                <w:sz w:val="18"/>
                <w:szCs w:val="18"/>
                <w:lang w:eastAsia="sk-SK"/>
              </w:rPr>
            </w:pPr>
            <w:r w:rsidRPr="005A0EB2">
              <w:rPr>
                <w:rFonts w:eastAsia="Times New Roman" w:cs="Times New Roman"/>
                <w:b/>
                <w:bCs/>
                <w:color w:val="000000"/>
                <w:sz w:val="18"/>
                <w:szCs w:val="18"/>
                <w:lang w:eastAsia="sk-SK"/>
              </w:rPr>
              <w:t>Rozdiel</w:t>
            </w:r>
          </w:p>
        </w:tc>
        <w:tc>
          <w:tcPr>
            <w:tcW w:w="851" w:type="dxa"/>
            <w:tcBorders>
              <w:top w:val="nil"/>
              <w:left w:val="nil"/>
              <w:bottom w:val="nil"/>
              <w:right w:val="nil"/>
            </w:tcBorders>
            <w:shd w:val="clear" w:color="auto" w:fill="auto"/>
            <w:vAlign w:val="center"/>
            <w:hideMark/>
          </w:tcPr>
          <w:p w14:paraId="5230D66D" w14:textId="77777777" w:rsidR="00B41352" w:rsidRPr="005A0EB2" w:rsidRDefault="00B41352" w:rsidP="00B768D9">
            <w:pPr>
              <w:spacing w:after="0" w:line="240" w:lineRule="auto"/>
              <w:jc w:val="center"/>
              <w:rPr>
                <w:rFonts w:eastAsia="Times New Roman" w:cs="Times New Roman"/>
                <w:b/>
                <w:bCs/>
                <w:color w:val="000000"/>
                <w:sz w:val="18"/>
                <w:szCs w:val="18"/>
                <w:lang w:eastAsia="sk-SK"/>
              </w:rPr>
            </w:pPr>
            <w:r w:rsidRPr="005A0EB2">
              <w:rPr>
                <w:rFonts w:eastAsia="Times New Roman" w:cs="Times New Roman"/>
                <w:b/>
                <w:bCs/>
                <w:color w:val="000000"/>
                <w:sz w:val="18"/>
                <w:szCs w:val="18"/>
                <w:lang w:eastAsia="sk-SK"/>
              </w:rPr>
              <w:t>v %</w:t>
            </w:r>
          </w:p>
        </w:tc>
      </w:tr>
      <w:tr w:rsidR="00B41352" w:rsidRPr="005A0EB2" w14:paraId="5518C131" w14:textId="77777777" w:rsidTr="006A0B96">
        <w:trPr>
          <w:trHeight w:val="345"/>
        </w:trPr>
        <w:tc>
          <w:tcPr>
            <w:tcW w:w="2800" w:type="dxa"/>
            <w:vMerge/>
            <w:tcBorders>
              <w:left w:val="nil"/>
              <w:bottom w:val="single" w:sz="8" w:space="0" w:color="auto"/>
              <w:right w:val="nil"/>
            </w:tcBorders>
            <w:shd w:val="clear" w:color="auto" w:fill="auto"/>
            <w:vAlign w:val="center"/>
            <w:hideMark/>
          </w:tcPr>
          <w:p w14:paraId="0A247212" w14:textId="20408627" w:rsidR="00B41352" w:rsidRPr="005A0EB2" w:rsidRDefault="00B41352" w:rsidP="00B768D9">
            <w:pPr>
              <w:spacing w:after="0" w:line="240" w:lineRule="auto"/>
              <w:rPr>
                <w:rFonts w:eastAsia="Times New Roman" w:cs="Times New Roman"/>
                <w:b/>
                <w:bCs/>
                <w:color w:val="FFFFFF"/>
                <w:sz w:val="18"/>
                <w:szCs w:val="18"/>
                <w:lang w:eastAsia="sk-SK"/>
              </w:rPr>
            </w:pPr>
          </w:p>
        </w:tc>
        <w:tc>
          <w:tcPr>
            <w:tcW w:w="886" w:type="dxa"/>
            <w:tcBorders>
              <w:top w:val="nil"/>
              <w:left w:val="nil"/>
              <w:bottom w:val="single" w:sz="8" w:space="0" w:color="auto"/>
              <w:right w:val="nil"/>
            </w:tcBorders>
            <w:shd w:val="clear" w:color="auto" w:fill="auto"/>
            <w:vAlign w:val="center"/>
            <w:hideMark/>
          </w:tcPr>
          <w:p w14:paraId="3338CCB8" w14:textId="77777777" w:rsidR="00B41352" w:rsidRPr="005A0EB2" w:rsidRDefault="00B41352" w:rsidP="00B768D9">
            <w:pPr>
              <w:spacing w:after="0" w:line="240" w:lineRule="auto"/>
              <w:jc w:val="center"/>
              <w:rPr>
                <w:rFonts w:eastAsia="Times New Roman" w:cs="Times New Roman"/>
                <w:b/>
                <w:bCs/>
                <w:sz w:val="18"/>
                <w:szCs w:val="18"/>
                <w:lang w:eastAsia="sk-SK"/>
              </w:rPr>
            </w:pPr>
            <w:r w:rsidRPr="005A0EB2">
              <w:rPr>
                <w:rFonts w:eastAsia="Times New Roman" w:cs="Times New Roman"/>
                <w:b/>
                <w:bCs/>
                <w:sz w:val="18"/>
                <w:szCs w:val="18"/>
                <w:lang w:eastAsia="sk-SK"/>
              </w:rPr>
              <w:t>1</w:t>
            </w:r>
          </w:p>
        </w:tc>
        <w:tc>
          <w:tcPr>
            <w:tcW w:w="1034" w:type="dxa"/>
            <w:tcBorders>
              <w:top w:val="nil"/>
              <w:left w:val="nil"/>
              <w:bottom w:val="single" w:sz="8" w:space="0" w:color="auto"/>
              <w:right w:val="nil"/>
            </w:tcBorders>
            <w:shd w:val="clear" w:color="auto" w:fill="auto"/>
            <w:vAlign w:val="center"/>
            <w:hideMark/>
          </w:tcPr>
          <w:p w14:paraId="251280D1" w14:textId="77777777" w:rsidR="00B41352" w:rsidRPr="005A0EB2" w:rsidRDefault="00B41352" w:rsidP="00B768D9">
            <w:pPr>
              <w:spacing w:after="0" w:line="240" w:lineRule="auto"/>
              <w:jc w:val="center"/>
              <w:rPr>
                <w:rFonts w:eastAsia="Times New Roman" w:cs="Times New Roman"/>
                <w:b/>
                <w:bCs/>
                <w:sz w:val="18"/>
                <w:szCs w:val="18"/>
                <w:lang w:eastAsia="sk-SK"/>
              </w:rPr>
            </w:pPr>
            <w:r w:rsidRPr="005A0EB2">
              <w:rPr>
                <w:rFonts w:eastAsia="Times New Roman" w:cs="Times New Roman"/>
                <w:b/>
                <w:bCs/>
                <w:sz w:val="18"/>
                <w:szCs w:val="18"/>
                <w:lang w:eastAsia="sk-SK"/>
              </w:rPr>
              <w:t>2</w:t>
            </w:r>
          </w:p>
        </w:tc>
        <w:tc>
          <w:tcPr>
            <w:tcW w:w="940" w:type="dxa"/>
            <w:tcBorders>
              <w:top w:val="nil"/>
              <w:left w:val="nil"/>
              <w:bottom w:val="single" w:sz="8" w:space="0" w:color="auto"/>
              <w:right w:val="nil"/>
            </w:tcBorders>
            <w:shd w:val="clear" w:color="auto" w:fill="auto"/>
            <w:vAlign w:val="center"/>
            <w:hideMark/>
          </w:tcPr>
          <w:p w14:paraId="51E4A0D3" w14:textId="77777777" w:rsidR="00B41352" w:rsidRPr="005A0EB2" w:rsidRDefault="00B41352" w:rsidP="00B768D9">
            <w:pPr>
              <w:spacing w:after="0" w:line="240" w:lineRule="auto"/>
              <w:jc w:val="center"/>
              <w:rPr>
                <w:rFonts w:eastAsia="Times New Roman" w:cs="Times New Roman"/>
                <w:b/>
                <w:bCs/>
                <w:sz w:val="18"/>
                <w:szCs w:val="18"/>
                <w:lang w:eastAsia="sk-SK"/>
              </w:rPr>
            </w:pPr>
            <w:r w:rsidRPr="005A0EB2">
              <w:rPr>
                <w:rFonts w:eastAsia="Times New Roman" w:cs="Times New Roman"/>
                <w:b/>
                <w:bCs/>
                <w:sz w:val="18"/>
                <w:szCs w:val="18"/>
                <w:lang w:eastAsia="sk-SK"/>
              </w:rPr>
              <w:t>3</w:t>
            </w:r>
          </w:p>
        </w:tc>
        <w:tc>
          <w:tcPr>
            <w:tcW w:w="861" w:type="dxa"/>
            <w:tcBorders>
              <w:top w:val="nil"/>
              <w:left w:val="nil"/>
              <w:bottom w:val="single" w:sz="8" w:space="0" w:color="auto"/>
              <w:right w:val="nil"/>
            </w:tcBorders>
            <w:shd w:val="clear" w:color="auto" w:fill="auto"/>
            <w:vAlign w:val="center"/>
            <w:hideMark/>
          </w:tcPr>
          <w:p w14:paraId="4AFAA2C2" w14:textId="77777777" w:rsidR="00B41352" w:rsidRPr="005A0EB2" w:rsidRDefault="00B41352" w:rsidP="00B768D9">
            <w:pPr>
              <w:spacing w:after="0" w:line="240" w:lineRule="auto"/>
              <w:jc w:val="center"/>
              <w:rPr>
                <w:rFonts w:eastAsia="Times New Roman" w:cs="Times New Roman"/>
                <w:b/>
                <w:bCs/>
                <w:sz w:val="18"/>
                <w:szCs w:val="18"/>
                <w:lang w:eastAsia="sk-SK"/>
              </w:rPr>
            </w:pPr>
            <w:r w:rsidRPr="005A0EB2">
              <w:rPr>
                <w:rFonts w:eastAsia="Times New Roman" w:cs="Times New Roman"/>
                <w:b/>
                <w:bCs/>
                <w:sz w:val="18"/>
                <w:szCs w:val="18"/>
                <w:lang w:eastAsia="sk-SK"/>
              </w:rPr>
              <w:t>4</w:t>
            </w:r>
          </w:p>
        </w:tc>
        <w:tc>
          <w:tcPr>
            <w:tcW w:w="992" w:type="dxa"/>
            <w:tcBorders>
              <w:top w:val="nil"/>
              <w:left w:val="nil"/>
              <w:bottom w:val="single" w:sz="8" w:space="0" w:color="auto"/>
              <w:right w:val="nil"/>
            </w:tcBorders>
            <w:shd w:val="clear" w:color="auto" w:fill="auto"/>
            <w:vAlign w:val="center"/>
            <w:hideMark/>
          </w:tcPr>
          <w:p w14:paraId="0C42B9BB" w14:textId="77777777" w:rsidR="00B41352" w:rsidRPr="005A0EB2" w:rsidRDefault="00B41352" w:rsidP="00B768D9">
            <w:pPr>
              <w:spacing w:after="0" w:line="240" w:lineRule="auto"/>
              <w:jc w:val="center"/>
              <w:rPr>
                <w:rFonts w:eastAsia="Times New Roman" w:cs="Times New Roman"/>
                <w:b/>
                <w:bCs/>
                <w:sz w:val="18"/>
                <w:szCs w:val="18"/>
                <w:lang w:eastAsia="sk-SK"/>
              </w:rPr>
            </w:pPr>
            <w:r w:rsidRPr="005A0EB2">
              <w:rPr>
                <w:rFonts w:eastAsia="Times New Roman" w:cs="Times New Roman"/>
                <w:b/>
                <w:bCs/>
                <w:sz w:val="18"/>
                <w:szCs w:val="18"/>
                <w:lang w:eastAsia="sk-SK"/>
              </w:rPr>
              <w:t>5</w:t>
            </w:r>
          </w:p>
        </w:tc>
        <w:tc>
          <w:tcPr>
            <w:tcW w:w="992" w:type="dxa"/>
            <w:tcBorders>
              <w:top w:val="nil"/>
              <w:left w:val="nil"/>
              <w:bottom w:val="single" w:sz="8" w:space="0" w:color="auto"/>
              <w:right w:val="nil"/>
            </w:tcBorders>
            <w:shd w:val="clear" w:color="auto" w:fill="auto"/>
            <w:vAlign w:val="center"/>
            <w:hideMark/>
          </w:tcPr>
          <w:p w14:paraId="76DBF8D2" w14:textId="77777777" w:rsidR="00B41352" w:rsidRPr="005A0EB2" w:rsidRDefault="00B41352" w:rsidP="00B768D9">
            <w:pPr>
              <w:spacing w:after="0" w:line="240" w:lineRule="auto"/>
              <w:jc w:val="center"/>
              <w:rPr>
                <w:rFonts w:eastAsia="Times New Roman" w:cs="Times New Roman"/>
                <w:b/>
                <w:bCs/>
                <w:sz w:val="18"/>
                <w:szCs w:val="18"/>
                <w:lang w:eastAsia="sk-SK"/>
              </w:rPr>
            </w:pPr>
            <w:r w:rsidRPr="005A0EB2">
              <w:rPr>
                <w:rFonts w:eastAsia="Times New Roman" w:cs="Times New Roman"/>
                <w:b/>
                <w:bCs/>
                <w:sz w:val="18"/>
                <w:szCs w:val="18"/>
                <w:lang w:eastAsia="sk-SK"/>
              </w:rPr>
              <w:t>6=4-3</w:t>
            </w:r>
          </w:p>
        </w:tc>
        <w:tc>
          <w:tcPr>
            <w:tcW w:w="851" w:type="dxa"/>
            <w:tcBorders>
              <w:top w:val="nil"/>
              <w:left w:val="nil"/>
              <w:bottom w:val="single" w:sz="8" w:space="0" w:color="auto"/>
              <w:right w:val="nil"/>
            </w:tcBorders>
            <w:shd w:val="clear" w:color="auto" w:fill="auto"/>
            <w:vAlign w:val="center"/>
            <w:hideMark/>
          </w:tcPr>
          <w:p w14:paraId="6FE591D6" w14:textId="77777777" w:rsidR="00B41352" w:rsidRPr="005A0EB2" w:rsidRDefault="00B41352" w:rsidP="00B768D9">
            <w:pPr>
              <w:spacing w:after="0" w:line="240" w:lineRule="auto"/>
              <w:jc w:val="center"/>
              <w:rPr>
                <w:rFonts w:eastAsia="Times New Roman" w:cs="Times New Roman"/>
                <w:b/>
                <w:bCs/>
                <w:sz w:val="18"/>
                <w:szCs w:val="18"/>
                <w:lang w:eastAsia="sk-SK"/>
              </w:rPr>
            </w:pPr>
            <w:r w:rsidRPr="005A0EB2">
              <w:rPr>
                <w:rFonts w:eastAsia="Times New Roman" w:cs="Times New Roman"/>
                <w:b/>
                <w:bCs/>
                <w:sz w:val="18"/>
                <w:szCs w:val="18"/>
                <w:lang w:eastAsia="sk-SK"/>
              </w:rPr>
              <w:t>7=4-3</w:t>
            </w:r>
          </w:p>
        </w:tc>
      </w:tr>
      <w:tr w:rsidR="00776B01" w:rsidRPr="005A0EB2" w14:paraId="04981D0E" w14:textId="77777777" w:rsidTr="005A0EB2">
        <w:trPr>
          <w:trHeight w:val="330"/>
        </w:trPr>
        <w:tc>
          <w:tcPr>
            <w:tcW w:w="2800" w:type="dxa"/>
            <w:tcBorders>
              <w:top w:val="nil"/>
              <w:left w:val="nil"/>
              <w:bottom w:val="nil"/>
              <w:right w:val="nil"/>
            </w:tcBorders>
            <w:shd w:val="clear" w:color="000000" w:fill="FFFFFF"/>
            <w:vAlign w:val="center"/>
            <w:hideMark/>
          </w:tcPr>
          <w:p w14:paraId="31B857C8" w14:textId="77777777" w:rsidR="00776B01" w:rsidRPr="005A0EB2" w:rsidRDefault="00776B01" w:rsidP="00B768D9">
            <w:pPr>
              <w:spacing w:after="0" w:line="240" w:lineRule="auto"/>
              <w:rPr>
                <w:rFonts w:eastAsia="Times New Roman" w:cs="Times New Roman"/>
                <w:color w:val="000000"/>
                <w:sz w:val="18"/>
                <w:szCs w:val="18"/>
                <w:lang w:eastAsia="sk-SK"/>
              </w:rPr>
            </w:pPr>
            <w:r w:rsidRPr="005A0EB2">
              <w:rPr>
                <w:rFonts w:eastAsia="Times New Roman" w:cs="Times New Roman"/>
                <w:color w:val="000000"/>
                <w:sz w:val="18"/>
                <w:szCs w:val="18"/>
                <w:lang w:eastAsia="sk-SK"/>
              </w:rPr>
              <w:t>Vzdelávanie</w:t>
            </w:r>
          </w:p>
        </w:tc>
        <w:tc>
          <w:tcPr>
            <w:tcW w:w="886" w:type="dxa"/>
            <w:tcBorders>
              <w:top w:val="nil"/>
              <w:left w:val="nil"/>
              <w:bottom w:val="nil"/>
              <w:right w:val="nil"/>
            </w:tcBorders>
            <w:shd w:val="clear" w:color="auto" w:fill="auto"/>
            <w:noWrap/>
            <w:vAlign w:val="center"/>
            <w:hideMark/>
          </w:tcPr>
          <w:p w14:paraId="080C6B7A"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1 213 265</w:t>
            </w:r>
          </w:p>
        </w:tc>
        <w:tc>
          <w:tcPr>
            <w:tcW w:w="1034" w:type="dxa"/>
            <w:tcBorders>
              <w:top w:val="nil"/>
              <w:left w:val="nil"/>
              <w:bottom w:val="nil"/>
              <w:right w:val="nil"/>
            </w:tcBorders>
            <w:shd w:val="clear" w:color="auto" w:fill="auto"/>
            <w:noWrap/>
            <w:vAlign w:val="center"/>
            <w:hideMark/>
          </w:tcPr>
          <w:p w14:paraId="5F83D64C"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1 265 978</w:t>
            </w:r>
          </w:p>
        </w:tc>
        <w:tc>
          <w:tcPr>
            <w:tcW w:w="940" w:type="dxa"/>
            <w:tcBorders>
              <w:top w:val="nil"/>
              <w:left w:val="nil"/>
              <w:bottom w:val="nil"/>
              <w:right w:val="nil"/>
            </w:tcBorders>
            <w:shd w:val="clear" w:color="000000" w:fill="FFFFFF"/>
            <w:noWrap/>
            <w:vAlign w:val="center"/>
            <w:hideMark/>
          </w:tcPr>
          <w:p w14:paraId="5FC11D8A"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1 448 692</w:t>
            </w:r>
          </w:p>
        </w:tc>
        <w:tc>
          <w:tcPr>
            <w:tcW w:w="861" w:type="dxa"/>
            <w:tcBorders>
              <w:top w:val="nil"/>
              <w:left w:val="nil"/>
              <w:bottom w:val="nil"/>
              <w:right w:val="nil"/>
            </w:tcBorders>
            <w:shd w:val="clear" w:color="auto" w:fill="auto"/>
            <w:noWrap/>
            <w:vAlign w:val="center"/>
            <w:hideMark/>
          </w:tcPr>
          <w:p w14:paraId="0E97219C"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1 457 990</w:t>
            </w:r>
          </w:p>
        </w:tc>
        <w:tc>
          <w:tcPr>
            <w:tcW w:w="992" w:type="dxa"/>
            <w:tcBorders>
              <w:top w:val="nil"/>
              <w:left w:val="nil"/>
              <w:bottom w:val="nil"/>
              <w:right w:val="nil"/>
            </w:tcBorders>
            <w:shd w:val="clear" w:color="auto" w:fill="auto"/>
            <w:noWrap/>
            <w:vAlign w:val="center"/>
            <w:hideMark/>
          </w:tcPr>
          <w:p w14:paraId="56F1156B"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1 409 054</w:t>
            </w:r>
          </w:p>
        </w:tc>
        <w:tc>
          <w:tcPr>
            <w:tcW w:w="992" w:type="dxa"/>
            <w:tcBorders>
              <w:top w:val="nil"/>
              <w:left w:val="nil"/>
              <w:bottom w:val="nil"/>
              <w:right w:val="nil"/>
            </w:tcBorders>
            <w:shd w:val="clear" w:color="000000" w:fill="FFFFFF"/>
            <w:vAlign w:val="center"/>
            <w:hideMark/>
          </w:tcPr>
          <w:p w14:paraId="79CF891A"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9 298</w:t>
            </w:r>
          </w:p>
        </w:tc>
        <w:tc>
          <w:tcPr>
            <w:tcW w:w="851" w:type="dxa"/>
            <w:tcBorders>
              <w:top w:val="nil"/>
              <w:left w:val="nil"/>
              <w:bottom w:val="nil"/>
              <w:right w:val="nil"/>
            </w:tcBorders>
            <w:shd w:val="clear" w:color="000000" w:fill="FFFFFF"/>
            <w:vAlign w:val="center"/>
            <w:hideMark/>
          </w:tcPr>
          <w:p w14:paraId="29CBA57B"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0,6</w:t>
            </w:r>
          </w:p>
        </w:tc>
      </w:tr>
      <w:tr w:rsidR="00776B01" w:rsidRPr="005A0EB2" w14:paraId="07987675" w14:textId="77777777" w:rsidTr="005A0EB2">
        <w:trPr>
          <w:trHeight w:val="330"/>
        </w:trPr>
        <w:tc>
          <w:tcPr>
            <w:tcW w:w="2800" w:type="dxa"/>
            <w:tcBorders>
              <w:top w:val="nil"/>
              <w:left w:val="nil"/>
              <w:bottom w:val="nil"/>
              <w:right w:val="nil"/>
            </w:tcBorders>
            <w:shd w:val="clear" w:color="000000" w:fill="FFFFFF"/>
            <w:noWrap/>
            <w:vAlign w:val="center"/>
            <w:hideMark/>
          </w:tcPr>
          <w:p w14:paraId="5A9F4C7E" w14:textId="77777777" w:rsidR="00776B01" w:rsidRPr="005A0EB2" w:rsidRDefault="00776B01" w:rsidP="00B768D9">
            <w:pPr>
              <w:spacing w:after="0" w:line="240" w:lineRule="auto"/>
              <w:rPr>
                <w:rFonts w:eastAsia="Times New Roman" w:cs="Times New Roman"/>
                <w:color w:val="000000"/>
                <w:sz w:val="18"/>
                <w:szCs w:val="18"/>
                <w:lang w:eastAsia="sk-SK"/>
              </w:rPr>
            </w:pPr>
            <w:r w:rsidRPr="005A0EB2">
              <w:rPr>
                <w:rFonts w:eastAsia="Times New Roman" w:cs="Times New Roman"/>
                <w:color w:val="000000"/>
                <w:sz w:val="18"/>
                <w:szCs w:val="18"/>
                <w:lang w:eastAsia="sk-SK"/>
              </w:rPr>
              <w:t>Ekonomická oblasť</w:t>
            </w:r>
          </w:p>
        </w:tc>
        <w:tc>
          <w:tcPr>
            <w:tcW w:w="886" w:type="dxa"/>
            <w:tcBorders>
              <w:top w:val="nil"/>
              <w:left w:val="nil"/>
              <w:bottom w:val="nil"/>
              <w:right w:val="nil"/>
            </w:tcBorders>
            <w:shd w:val="clear" w:color="auto" w:fill="auto"/>
            <w:noWrap/>
            <w:vAlign w:val="center"/>
            <w:hideMark/>
          </w:tcPr>
          <w:p w14:paraId="2C4676A2"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149 171</w:t>
            </w:r>
          </w:p>
        </w:tc>
        <w:tc>
          <w:tcPr>
            <w:tcW w:w="1034" w:type="dxa"/>
            <w:tcBorders>
              <w:top w:val="nil"/>
              <w:left w:val="nil"/>
              <w:bottom w:val="nil"/>
              <w:right w:val="nil"/>
            </w:tcBorders>
            <w:shd w:val="clear" w:color="auto" w:fill="auto"/>
            <w:noWrap/>
            <w:vAlign w:val="center"/>
            <w:hideMark/>
          </w:tcPr>
          <w:p w14:paraId="2641FE2B"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113 439</w:t>
            </w:r>
          </w:p>
        </w:tc>
        <w:tc>
          <w:tcPr>
            <w:tcW w:w="940" w:type="dxa"/>
            <w:tcBorders>
              <w:top w:val="nil"/>
              <w:left w:val="nil"/>
              <w:bottom w:val="nil"/>
              <w:right w:val="nil"/>
            </w:tcBorders>
            <w:shd w:val="clear" w:color="000000" w:fill="FFFFFF"/>
            <w:noWrap/>
            <w:vAlign w:val="center"/>
            <w:hideMark/>
          </w:tcPr>
          <w:p w14:paraId="4CC07EE1"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10 252</w:t>
            </w:r>
          </w:p>
        </w:tc>
        <w:tc>
          <w:tcPr>
            <w:tcW w:w="861" w:type="dxa"/>
            <w:tcBorders>
              <w:top w:val="nil"/>
              <w:left w:val="nil"/>
              <w:bottom w:val="nil"/>
              <w:right w:val="nil"/>
            </w:tcBorders>
            <w:shd w:val="clear" w:color="auto" w:fill="auto"/>
            <w:noWrap/>
            <w:vAlign w:val="center"/>
            <w:hideMark/>
          </w:tcPr>
          <w:p w14:paraId="0FD04D9D"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430 028</w:t>
            </w:r>
          </w:p>
        </w:tc>
        <w:tc>
          <w:tcPr>
            <w:tcW w:w="992" w:type="dxa"/>
            <w:tcBorders>
              <w:top w:val="nil"/>
              <w:left w:val="nil"/>
              <w:bottom w:val="nil"/>
              <w:right w:val="nil"/>
            </w:tcBorders>
            <w:shd w:val="clear" w:color="auto" w:fill="auto"/>
            <w:noWrap/>
            <w:vAlign w:val="center"/>
            <w:hideMark/>
          </w:tcPr>
          <w:p w14:paraId="453E4BA3"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1 613</w:t>
            </w:r>
          </w:p>
        </w:tc>
        <w:tc>
          <w:tcPr>
            <w:tcW w:w="992" w:type="dxa"/>
            <w:tcBorders>
              <w:top w:val="nil"/>
              <w:left w:val="nil"/>
              <w:bottom w:val="nil"/>
              <w:right w:val="nil"/>
            </w:tcBorders>
            <w:shd w:val="clear" w:color="000000" w:fill="FFFFFF"/>
            <w:vAlign w:val="center"/>
            <w:hideMark/>
          </w:tcPr>
          <w:p w14:paraId="01E8909F"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419 776</w:t>
            </w:r>
          </w:p>
        </w:tc>
        <w:tc>
          <w:tcPr>
            <w:tcW w:w="851" w:type="dxa"/>
            <w:tcBorders>
              <w:top w:val="nil"/>
              <w:left w:val="nil"/>
              <w:bottom w:val="nil"/>
              <w:right w:val="nil"/>
            </w:tcBorders>
            <w:shd w:val="clear" w:color="000000" w:fill="FFFFFF"/>
            <w:vAlign w:val="center"/>
            <w:hideMark/>
          </w:tcPr>
          <w:p w14:paraId="5200E686"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4 094,6</w:t>
            </w:r>
          </w:p>
        </w:tc>
      </w:tr>
      <w:tr w:rsidR="00776B01" w:rsidRPr="005A0EB2" w14:paraId="6A4FFE2D" w14:textId="77777777" w:rsidTr="005A0EB2">
        <w:trPr>
          <w:trHeight w:val="330"/>
        </w:trPr>
        <w:tc>
          <w:tcPr>
            <w:tcW w:w="2800" w:type="dxa"/>
            <w:tcBorders>
              <w:top w:val="nil"/>
              <w:left w:val="nil"/>
              <w:bottom w:val="nil"/>
              <w:right w:val="nil"/>
            </w:tcBorders>
            <w:shd w:val="clear" w:color="000000" w:fill="FFFFFF"/>
            <w:noWrap/>
            <w:vAlign w:val="center"/>
            <w:hideMark/>
          </w:tcPr>
          <w:p w14:paraId="7F050D77" w14:textId="77777777" w:rsidR="00776B01" w:rsidRPr="005A0EB2" w:rsidRDefault="00776B01" w:rsidP="00B768D9">
            <w:pPr>
              <w:spacing w:after="0" w:line="240" w:lineRule="auto"/>
              <w:rPr>
                <w:rFonts w:eastAsia="Times New Roman" w:cs="Times New Roman"/>
                <w:color w:val="000000"/>
                <w:sz w:val="18"/>
                <w:szCs w:val="18"/>
                <w:lang w:eastAsia="sk-SK"/>
              </w:rPr>
            </w:pPr>
            <w:r w:rsidRPr="005A0EB2">
              <w:rPr>
                <w:rFonts w:eastAsia="Times New Roman" w:cs="Times New Roman"/>
                <w:color w:val="000000"/>
                <w:sz w:val="18"/>
                <w:szCs w:val="18"/>
                <w:lang w:eastAsia="sk-SK"/>
              </w:rPr>
              <w:t>Sociálne zabezpečenie</w:t>
            </w:r>
          </w:p>
        </w:tc>
        <w:tc>
          <w:tcPr>
            <w:tcW w:w="886" w:type="dxa"/>
            <w:tcBorders>
              <w:top w:val="nil"/>
              <w:left w:val="nil"/>
              <w:bottom w:val="nil"/>
              <w:right w:val="nil"/>
            </w:tcBorders>
            <w:shd w:val="clear" w:color="auto" w:fill="auto"/>
            <w:noWrap/>
            <w:vAlign w:val="center"/>
            <w:hideMark/>
          </w:tcPr>
          <w:p w14:paraId="7FE27973"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160 779</w:t>
            </w:r>
          </w:p>
        </w:tc>
        <w:tc>
          <w:tcPr>
            <w:tcW w:w="1034" w:type="dxa"/>
            <w:tcBorders>
              <w:top w:val="nil"/>
              <w:left w:val="nil"/>
              <w:bottom w:val="nil"/>
              <w:right w:val="nil"/>
            </w:tcBorders>
            <w:shd w:val="clear" w:color="auto" w:fill="auto"/>
            <w:noWrap/>
            <w:vAlign w:val="center"/>
            <w:hideMark/>
          </w:tcPr>
          <w:p w14:paraId="2E5A2E49"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107 528</w:t>
            </w:r>
          </w:p>
        </w:tc>
        <w:tc>
          <w:tcPr>
            <w:tcW w:w="940" w:type="dxa"/>
            <w:tcBorders>
              <w:top w:val="nil"/>
              <w:left w:val="nil"/>
              <w:bottom w:val="nil"/>
              <w:right w:val="nil"/>
            </w:tcBorders>
            <w:shd w:val="clear" w:color="000000" w:fill="FFFFFF"/>
            <w:noWrap/>
            <w:vAlign w:val="center"/>
            <w:hideMark/>
          </w:tcPr>
          <w:p w14:paraId="54AE6396"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80 642</w:t>
            </w:r>
          </w:p>
        </w:tc>
        <w:tc>
          <w:tcPr>
            <w:tcW w:w="861" w:type="dxa"/>
            <w:tcBorders>
              <w:top w:val="nil"/>
              <w:left w:val="nil"/>
              <w:bottom w:val="nil"/>
              <w:right w:val="nil"/>
            </w:tcBorders>
            <w:shd w:val="clear" w:color="auto" w:fill="auto"/>
            <w:noWrap/>
            <w:vAlign w:val="center"/>
            <w:hideMark/>
          </w:tcPr>
          <w:p w14:paraId="412F4CC1"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221 791</w:t>
            </w:r>
          </w:p>
        </w:tc>
        <w:tc>
          <w:tcPr>
            <w:tcW w:w="992" w:type="dxa"/>
            <w:tcBorders>
              <w:top w:val="nil"/>
              <w:left w:val="nil"/>
              <w:bottom w:val="nil"/>
              <w:right w:val="nil"/>
            </w:tcBorders>
            <w:shd w:val="clear" w:color="auto" w:fill="auto"/>
            <w:noWrap/>
            <w:vAlign w:val="center"/>
            <w:hideMark/>
          </w:tcPr>
          <w:p w14:paraId="4EA06B18"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192 833</w:t>
            </w:r>
          </w:p>
        </w:tc>
        <w:tc>
          <w:tcPr>
            <w:tcW w:w="992" w:type="dxa"/>
            <w:tcBorders>
              <w:top w:val="nil"/>
              <w:left w:val="nil"/>
              <w:bottom w:val="nil"/>
              <w:right w:val="nil"/>
            </w:tcBorders>
            <w:shd w:val="clear" w:color="000000" w:fill="FFFFFF"/>
            <w:vAlign w:val="center"/>
            <w:hideMark/>
          </w:tcPr>
          <w:p w14:paraId="7B394F88"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141 149</w:t>
            </w:r>
          </w:p>
        </w:tc>
        <w:tc>
          <w:tcPr>
            <w:tcW w:w="851" w:type="dxa"/>
            <w:tcBorders>
              <w:top w:val="nil"/>
              <w:left w:val="nil"/>
              <w:bottom w:val="nil"/>
              <w:right w:val="nil"/>
            </w:tcBorders>
            <w:shd w:val="clear" w:color="000000" w:fill="FFFFFF"/>
            <w:vAlign w:val="center"/>
            <w:hideMark/>
          </w:tcPr>
          <w:p w14:paraId="60AD101C"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175,0</w:t>
            </w:r>
          </w:p>
        </w:tc>
      </w:tr>
      <w:tr w:rsidR="00776B01" w:rsidRPr="005A0EB2" w14:paraId="02A3C2EF" w14:textId="77777777" w:rsidTr="005A0EB2">
        <w:trPr>
          <w:trHeight w:val="330"/>
        </w:trPr>
        <w:tc>
          <w:tcPr>
            <w:tcW w:w="2800" w:type="dxa"/>
            <w:tcBorders>
              <w:top w:val="nil"/>
              <w:left w:val="nil"/>
              <w:bottom w:val="nil"/>
              <w:right w:val="nil"/>
            </w:tcBorders>
            <w:shd w:val="clear" w:color="000000" w:fill="FFFFFF"/>
            <w:vAlign w:val="center"/>
            <w:hideMark/>
          </w:tcPr>
          <w:p w14:paraId="19D6F5CB" w14:textId="77777777" w:rsidR="00776B01" w:rsidRPr="005A0EB2" w:rsidRDefault="00776B01" w:rsidP="00B768D9">
            <w:pPr>
              <w:spacing w:after="0" w:line="240" w:lineRule="auto"/>
              <w:rPr>
                <w:rFonts w:eastAsia="Times New Roman" w:cs="Times New Roman"/>
                <w:color w:val="000000"/>
                <w:sz w:val="18"/>
                <w:szCs w:val="18"/>
                <w:lang w:eastAsia="sk-SK"/>
              </w:rPr>
            </w:pPr>
            <w:r w:rsidRPr="005A0EB2">
              <w:rPr>
                <w:rFonts w:eastAsia="Times New Roman" w:cs="Times New Roman"/>
                <w:color w:val="000000"/>
                <w:sz w:val="18"/>
                <w:szCs w:val="18"/>
                <w:lang w:eastAsia="sk-SK"/>
              </w:rPr>
              <w:t>Bývanie a občianska vybavenosť</w:t>
            </w:r>
          </w:p>
        </w:tc>
        <w:tc>
          <w:tcPr>
            <w:tcW w:w="886" w:type="dxa"/>
            <w:tcBorders>
              <w:top w:val="nil"/>
              <w:left w:val="nil"/>
              <w:bottom w:val="nil"/>
              <w:right w:val="nil"/>
            </w:tcBorders>
            <w:shd w:val="clear" w:color="auto" w:fill="auto"/>
            <w:noWrap/>
            <w:vAlign w:val="center"/>
            <w:hideMark/>
          </w:tcPr>
          <w:p w14:paraId="66A0205F"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27 276</w:t>
            </w:r>
          </w:p>
        </w:tc>
        <w:tc>
          <w:tcPr>
            <w:tcW w:w="1034" w:type="dxa"/>
            <w:tcBorders>
              <w:top w:val="nil"/>
              <w:left w:val="nil"/>
              <w:bottom w:val="nil"/>
              <w:right w:val="nil"/>
            </w:tcBorders>
            <w:shd w:val="clear" w:color="auto" w:fill="auto"/>
            <w:noWrap/>
            <w:vAlign w:val="center"/>
            <w:hideMark/>
          </w:tcPr>
          <w:p w14:paraId="2806BC1F"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41 366</w:t>
            </w:r>
          </w:p>
        </w:tc>
        <w:tc>
          <w:tcPr>
            <w:tcW w:w="940" w:type="dxa"/>
            <w:tcBorders>
              <w:top w:val="nil"/>
              <w:left w:val="nil"/>
              <w:bottom w:val="nil"/>
              <w:right w:val="nil"/>
            </w:tcBorders>
            <w:shd w:val="clear" w:color="000000" w:fill="FFFFFF"/>
            <w:noWrap/>
            <w:vAlign w:val="center"/>
            <w:hideMark/>
          </w:tcPr>
          <w:p w14:paraId="256BC269"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0</w:t>
            </w:r>
          </w:p>
        </w:tc>
        <w:tc>
          <w:tcPr>
            <w:tcW w:w="861" w:type="dxa"/>
            <w:tcBorders>
              <w:top w:val="nil"/>
              <w:left w:val="nil"/>
              <w:bottom w:val="nil"/>
              <w:right w:val="nil"/>
            </w:tcBorders>
            <w:shd w:val="clear" w:color="auto" w:fill="auto"/>
            <w:noWrap/>
            <w:vAlign w:val="center"/>
            <w:hideMark/>
          </w:tcPr>
          <w:p w14:paraId="320E051F"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188 611</w:t>
            </w:r>
          </w:p>
        </w:tc>
        <w:tc>
          <w:tcPr>
            <w:tcW w:w="992" w:type="dxa"/>
            <w:tcBorders>
              <w:top w:val="nil"/>
              <w:left w:val="nil"/>
              <w:bottom w:val="nil"/>
              <w:right w:val="nil"/>
            </w:tcBorders>
            <w:shd w:val="clear" w:color="auto" w:fill="auto"/>
            <w:noWrap/>
            <w:vAlign w:val="center"/>
            <w:hideMark/>
          </w:tcPr>
          <w:p w14:paraId="5EE73AF8"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98 681</w:t>
            </w:r>
          </w:p>
        </w:tc>
        <w:tc>
          <w:tcPr>
            <w:tcW w:w="992" w:type="dxa"/>
            <w:tcBorders>
              <w:top w:val="nil"/>
              <w:left w:val="nil"/>
              <w:bottom w:val="nil"/>
              <w:right w:val="nil"/>
            </w:tcBorders>
            <w:shd w:val="clear" w:color="000000" w:fill="FFFFFF"/>
            <w:vAlign w:val="center"/>
            <w:hideMark/>
          </w:tcPr>
          <w:p w14:paraId="67CE2B96"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188 611</w:t>
            </w:r>
          </w:p>
        </w:tc>
        <w:tc>
          <w:tcPr>
            <w:tcW w:w="851" w:type="dxa"/>
            <w:tcBorders>
              <w:top w:val="nil"/>
              <w:left w:val="nil"/>
              <w:bottom w:val="nil"/>
              <w:right w:val="nil"/>
            </w:tcBorders>
            <w:shd w:val="clear" w:color="000000" w:fill="FFFFFF"/>
            <w:vAlign w:val="center"/>
            <w:hideMark/>
          </w:tcPr>
          <w:p w14:paraId="6B6AFE1E" w14:textId="5429053E" w:rsidR="00776B01" w:rsidRPr="005A0EB2" w:rsidRDefault="00032FD2"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0</w:t>
            </w:r>
          </w:p>
        </w:tc>
      </w:tr>
      <w:tr w:rsidR="00776B01" w:rsidRPr="005A0EB2" w14:paraId="0C11EAF8" w14:textId="77777777" w:rsidTr="005A0EB2">
        <w:trPr>
          <w:trHeight w:val="330"/>
        </w:trPr>
        <w:tc>
          <w:tcPr>
            <w:tcW w:w="2800" w:type="dxa"/>
            <w:tcBorders>
              <w:top w:val="nil"/>
              <w:left w:val="nil"/>
              <w:bottom w:val="nil"/>
              <w:right w:val="nil"/>
            </w:tcBorders>
            <w:shd w:val="clear" w:color="000000" w:fill="FFFFFF"/>
            <w:vAlign w:val="center"/>
            <w:hideMark/>
          </w:tcPr>
          <w:p w14:paraId="5F79EC04" w14:textId="77777777" w:rsidR="00776B01" w:rsidRPr="005A0EB2" w:rsidRDefault="00776B01" w:rsidP="00B768D9">
            <w:pPr>
              <w:spacing w:after="0" w:line="240" w:lineRule="auto"/>
              <w:rPr>
                <w:rFonts w:eastAsia="Times New Roman" w:cs="Times New Roman"/>
                <w:color w:val="000000"/>
                <w:sz w:val="18"/>
                <w:szCs w:val="18"/>
                <w:lang w:eastAsia="sk-SK"/>
              </w:rPr>
            </w:pPr>
            <w:r w:rsidRPr="005A0EB2">
              <w:rPr>
                <w:rFonts w:eastAsia="Times New Roman" w:cs="Times New Roman"/>
                <w:color w:val="000000"/>
                <w:sz w:val="18"/>
                <w:szCs w:val="18"/>
                <w:lang w:eastAsia="sk-SK"/>
              </w:rPr>
              <w:t>Ochrana životného prostredia</w:t>
            </w:r>
          </w:p>
        </w:tc>
        <w:tc>
          <w:tcPr>
            <w:tcW w:w="886" w:type="dxa"/>
            <w:tcBorders>
              <w:top w:val="nil"/>
              <w:left w:val="nil"/>
              <w:bottom w:val="nil"/>
              <w:right w:val="nil"/>
            </w:tcBorders>
            <w:shd w:val="clear" w:color="auto" w:fill="auto"/>
            <w:noWrap/>
            <w:vAlign w:val="center"/>
            <w:hideMark/>
          </w:tcPr>
          <w:p w14:paraId="63604133"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51 838</w:t>
            </w:r>
          </w:p>
        </w:tc>
        <w:tc>
          <w:tcPr>
            <w:tcW w:w="1034" w:type="dxa"/>
            <w:tcBorders>
              <w:top w:val="nil"/>
              <w:left w:val="nil"/>
              <w:bottom w:val="nil"/>
              <w:right w:val="nil"/>
            </w:tcBorders>
            <w:shd w:val="clear" w:color="auto" w:fill="auto"/>
            <w:noWrap/>
            <w:vAlign w:val="center"/>
            <w:hideMark/>
          </w:tcPr>
          <w:p w14:paraId="7EB23A02"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52 787</w:t>
            </w:r>
          </w:p>
        </w:tc>
        <w:tc>
          <w:tcPr>
            <w:tcW w:w="940" w:type="dxa"/>
            <w:tcBorders>
              <w:top w:val="nil"/>
              <w:left w:val="nil"/>
              <w:bottom w:val="nil"/>
              <w:right w:val="nil"/>
            </w:tcBorders>
            <w:shd w:val="clear" w:color="000000" w:fill="FFFFFF"/>
            <w:noWrap/>
            <w:vAlign w:val="center"/>
            <w:hideMark/>
          </w:tcPr>
          <w:p w14:paraId="166861EE"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0</w:t>
            </w:r>
          </w:p>
        </w:tc>
        <w:tc>
          <w:tcPr>
            <w:tcW w:w="861" w:type="dxa"/>
            <w:tcBorders>
              <w:top w:val="nil"/>
              <w:left w:val="nil"/>
              <w:bottom w:val="nil"/>
              <w:right w:val="nil"/>
            </w:tcBorders>
            <w:shd w:val="clear" w:color="auto" w:fill="auto"/>
            <w:noWrap/>
            <w:vAlign w:val="center"/>
            <w:hideMark/>
          </w:tcPr>
          <w:p w14:paraId="3D819D09"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156 636</w:t>
            </w:r>
          </w:p>
        </w:tc>
        <w:tc>
          <w:tcPr>
            <w:tcW w:w="992" w:type="dxa"/>
            <w:tcBorders>
              <w:top w:val="nil"/>
              <w:left w:val="nil"/>
              <w:bottom w:val="nil"/>
              <w:right w:val="nil"/>
            </w:tcBorders>
            <w:shd w:val="clear" w:color="auto" w:fill="auto"/>
            <w:noWrap/>
            <w:vAlign w:val="center"/>
            <w:hideMark/>
          </w:tcPr>
          <w:p w14:paraId="3072373D"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0</w:t>
            </w:r>
          </w:p>
        </w:tc>
        <w:tc>
          <w:tcPr>
            <w:tcW w:w="992" w:type="dxa"/>
            <w:tcBorders>
              <w:top w:val="nil"/>
              <w:left w:val="nil"/>
              <w:bottom w:val="nil"/>
              <w:right w:val="nil"/>
            </w:tcBorders>
            <w:shd w:val="clear" w:color="000000" w:fill="FFFFFF"/>
            <w:vAlign w:val="center"/>
            <w:hideMark/>
          </w:tcPr>
          <w:p w14:paraId="28BDF840"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156 636</w:t>
            </w:r>
          </w:p>
        </w:tc>
        <w:tc>
          <w:tcPr>
            <w:tcW w:w="851" w:type="dxa"/>
            <w:tcBorders>
              <w:top w:val="nil"/>
              <w:left w:val="nil"/>
              <w:bottom w:val="nil"/>
              <w:right w:val="nil"/>
            </w:tcBorders>
            <w:shd w:val="clear" w:color="000000" w:fill="FFFFFF"/>
            <w:vAlign w:val="center"/>
            <w:hideMark/>
          </w:tcPr>
          <w:p w14:paraId="1AE987F8" w14:textId="51DCD40B" w:rsidR="00776B01" w:rsidRPr="005A0EB2" w:rsidRDefault="00032FD2"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0</w:t>
            </w:r>
          </w:p>
        </w:tc>
      </w:tr>
      <w:tr w:rsidR="00776B01" w:rsidRPr="005A0EB2" w14:paraId="12BA3160" w14:textId="77777777" w:rsidTr="005A0EB2">
        <w:trPr>
          <w:trHeight w:val="330"/>
        </w:trPr>
        <w:tc>
          <w:tcPr>
            <w:tcW w:w="2800" w:type="dxa"/>
            <w:tcBorders>
              <w:top w:val="nil"/>
              <w:left w:val="nil"/>
              <w:bottom w:val="nil"/>
              <w:right w:val="nil"/>
            </w:tcBorders>
            <w:shd w:val="clear" w:color="000000" w:fill="FFFFFF"/>
            <w:noWrap/>
            <w:vAlign w:val="center"/>
            <w:hideMark/>
          </w:tcPr>
          <w:p w14:paraId="266FF693" w14:textId="77777777" w:rsidR="00776B01" w:rsidRPr="005A0EB2" w:rsidRDefault="00776B01" w:rsidP="00B768D9">
            <w:pPr>
              <w:spacing w:after="0" w:line="240" w:lineRule="auto"/>
              <w:rPr>
                <w:rFonts w:eastAsia="Times New Roman" w:cs="Times New Roman"/>
                <w:color w:val="000000"/>
                <w:sz w:val="18"/>
                <w:szCs w:val="18"/>
                <w:lang w:eastAsia="sk-SK"/>
              </w:rPr>
            </w:pPr>
            <w:r w:rsidRPr="005A0EB2">
              <w:rPr>
                <w:rFonts w:eastAsia="Times New Roman" w:cs="Times New Roman"/>
                <w:color w:val="000000"/>
                <w:sz w:val="18"/>
                <w:szCs w:val="18"/>
                <w:lang w:eastAsia="sk-SK"/>
              </w:rPr>
              <w:t>Všeobecné verejné služby</w:t>
            </w:r>
          </w:p>
        </w:tc>
        <w:tc>
          <w:tcPr>
            <w:tcW w:w="886" w:type="dxa"/>
            <w:tcBorders>
              <w:top w:val="nil"/>
              <w:left w:val="nil"/>
              <w:bottom w:val="nil"/>
              <w:right w:val="nil"/>
            </w:tcBorders>
            <w:shd w:val="clear" w:color="auto" w:fill="auto"/>
            <w:noWrap/>
            <w:vAlign w:val="center"/>
            <w:hideMark/>
          </w:tcPr>
          <w:p w14:paraId="30532E02"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146 631</w:t>
            </w:r>
          </w:p>
        </w:tc>
        <w:tc>
          <w:tcPr>
            <w:tcW w:w="1034" w:type="dxa"/>
            <w:tcBorders>
              <w:top w:val="nil"/>
              <w:left w:val="nil"/>
              <w:bottom w:val="nil"/>
              <w:right w:val="nil"/>
            </w:tcBorders>
            <w:shd w:val="clear" w:color="auto" w:fill="auto"/>
            <w:noWrap/>
            <w:vAlign w:val="center"/>
            <w:hideMark/>
          </w:tcPr>
          <w:p w14:paraId="0218DCF2"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105 775</w:t>
            </w:r>
          </w:p>
        </w:tc>
        <w:tc>
          <w:tcPr>
            <w:tcW w:w="940" w:type="dxa"/>
            <w:tcBorders>
              <w:top w:val="nil"/>
              <w:left w:val="nil"/>
              <w:bottom w:val="nil"/>
              <w:right w:val="nil"/>
            </w:tcBorders>
            <w:shd w:val="clear" w:color="000000" w:fill="FFFFFF"/>
            <w:noWrap/>
            <w:vAlign w:val="center"/>
            <w:hideMark/>
          </w:tcPr>
          <w:p w14:paraId="0EE0D7B4"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14 022</w:t>
            </w:r>
          </w:p>
        </w:tc>
        <w:tc>
          <w:tcPr>
            <w:tcW w:w="861" w:type="dxa"/>
            <w:tcBorders>
              <w:top w:val="nil"/>
              <w:left w:val="nil"/>
              <w:bottom w:val="nil"/>
              <w:right w:val="nil"/>
            </w:tcBorders>
            <w:shd w:val="clear" w:color="auto" w:fill="auto"/>
            <w:noWrap/>
            <w:vAlign w:val="center"/>
            <w:hideMark/>
          </w:tcPr>
          <w:p w14:paraId="62BFD92D"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152 462</w:t>
            </w:r>
          </w:p>
        </w:tc>
        <w:tc>
          <w:tcPr>
            <w:tcW w:w="992" w:type="dxa"/>
            <w:tcBorders>
              <w:top w:val="nil"/>
              <w:left w:val="nil"/>
              <w:bottom w:val="nil"/>
              <w:right w:val="nil"/>
            </w:tcBorders>
            <w:shd w:val="clear" w:color="auto" w:fill="auto"/>
            <w:noWrap/>
            <w:vAlign w:val="center"/>
            <w:hideMark/>
          </w:tcPr>
          <w:p w14:paraId="74FB7A72"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31 537</w:t>
            </w:r>
          </w:p>
        </w:tc>
        <w:tc>
          <w:tcPr>
            <w:tcW w:w="992" w:type="dxa"/>
            <w:tcBorders>
              <w:top w:val="nil"/>
              <w:left w:val="nil"/>
              <w:bottom w:val="nil"/>
              <w:right w:val="nil"/>
            </w:tcBorders>
            <w:shd w:val="clear" w:color="000000" w:fill="FFFFFF"/>
            <w:vAlign w:val="center"/>
            <w:hideMark/>
          </w:tcPr>
          <w:p w14:paraId="6E956537"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138 440</w:t>
            </w:r>
          </w:p>
        </w:tc>
        <w:tc>
          <w:tcPr>
            <w:tcW w:w="851" w:type="dxa"/>
            <w:tcBorders>
              <w:top w:val="nil"/>
              <w:left w:val="nil"/>
              <w:bottom w:val="nil"/>
              <w:right w:val="nil"/>
            </w:tcBorders>
            <w:shd w:val="clear" w:color="000000" w:fill="FFFFFF"/>
            <w:vAlign w:val="center"/>
            <w:hideMark/>
          </w:tcPr>
          <w:p w14:paraId="7458EE48"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987,3</w:t>
            </w:r>
          </w:p>
        </w:tc>
      </w:tr>
      <w:tr w:rsidR="00776B01" w:rsidRPr="005A0EB2" w14:paraId="02DF8851" w14:textId="77777777" w:rsidTr="005A0EB2">
        <w:trPr>
          <w:trHeight w:val="330"/>
        </w:trPr>
        <w:tc>
          <w:tcPr>
            <w:tcW w:w="2800" w:type="dxa"/>
            <w:tcBorders>
              <w:top w:val="nil"/>
              <w:left w:val="nil"/>
              <w:bottom w:val="nil"/>
              <w:right w:val="nil"/>
            </w:tcBorders>
            <w:shd w:val="clear" w:color="000000" w:fill="FFFFFF"/>
            <w:noWrap/>
            <w:vAlign w:val="center"/>
            <w:hideMark/>
          </w:tcPr>
          <w:p w14:paraId="0C04F50A" w14:textId="77777777" w:rsidR="00776B01" w:rsidRPr="005A0EB2" w:rsidRDefault="00776B01" w:rsidP="00B768D9">
            <w:pPr>
              <w:spacing w:after="0" w:line="240" w:lineRule="auto"/>
              <w:rPr>
                <w:rFonts w:eastAsia="Times New Roman" w:cs="Times New Roman"/>
                <w:color w:val="000000"/>
                <w:sz w:val="18"/>
                <w:szCs w:val="18"/>
                <w:lang w:eastAsia="sk-SK"/>
              </w:rPr>
            </w:pPr>
            <w:r w:rsidRPr="005A0EB2">
              <w:rPr>
                <w:rFonts w:eastAsia="Times New Roman" w:cs="Times New Roman"/>
                <w:color w:val="000000"/>
                <w:sz w:val="18"/>
                <w:szCs w:val="18"/>
                <w:lang w:eastAsia="sk-SK"/>
              </w:rPr>
              <w:t>Verejný poriadok a bezpečnosť</w:t>
            </w:r>
          </w:p>
        </w:tc>
        <w:tc>
          <w:tcPr>
            <w:tcW w:w="886" w:type="dxa"/>
            <w:tcBorders>
              <w:top w:val="nil"/>
              <w:left w:val="nil"/>
              <w:bottom w:val="nil"/>
              <w:right w:val="nil"/>
            </w:tcBorders>
            <w:shd w:val="clear" w:color="auto" w:fill="auto"/>
            <w:noWrap/>
            <w:vAlign w:val="center"/>
            <w:hideMark/>
          </w:tcPr>
          <w:p w14:paraId="353926D9"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3 789</w:t>
            </w:r>
          </w:p>
        </w:tc>
        <w:tc>
          <w:tcPr>
            <w:tcW w:w="1034" w:type="dxa"/>
            <w:tcBorders>
              <w:top w:val="nil"/>
              <w:left w:val="nil"/>
              <w:bottom w:val="nil"/>
              <w:right w:val="nil"/>
            </w:tcBorders>
            <w:shd w:val="clear" w:color="auto" w:fill="auto"/>
            <w:noWrap/>
            <w:vAlign w:val="center"/>
            <w:hideMark/>
          </w:tcPr>
          <w:p w14:paraId="6C941EBB"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10 575</w:t>
            </w:r>
          </w:p>
        </w:tc>
        <w:tc>
          <w:tcPr>
            <w:tcW w:w="940" w:type="dxa"/>
            <w:tcBorders>
              <w:top w:val="nil"/>
              <w:left w:val="nil"/>
              <w:bottom w:val="nil"/>
              <w:right w:val="nil"/>
            </w:tcBorders>
            <w:shd w:val="clear" w:color="000000" w:fill="FFFFFF"/>
            <w:noWrap/>
            <w:vAlign w:val="center"/>
            <w:hideMark/>
          </w:tcPr>
          <w:p w14:paraId="096BEC37"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600</w:t>
            </w:r>
          </w:p>
        </w:tc>
        <w:tc>
          <w:tcPr>
            <w:tcW w:w="861" w:type="dxa"/>
            <w:tcBorders>
              <w:top w:val="nil"/>
              <w:left w:val="nil"/>
              <w:bottom w:val="nil"/>
              <w:right w:val="nil"/>
            </w:tcBorders>
            <w:shd w:val="clear" w:color="auto" w:fill="auto"/>
            <w:noWrap/>
            <w:vAlign w:val="center"/>
            <w:hideMark/>
          </w:tcPr>
          <w:p w14:paraId="0C51AC43"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8 180</w:t>
            </w:r>
          </w:p>
        </w:tc>
        <w:tc>
          <w:tcPr>
            <w:tcW w:w="992" w:type="dxa"/>
            <w:tcBorders>
              <w:top w:val="nil"/>
              <w:left w:val="nil"/>
              <w:bottom w:val="nil"/>
              <w:right w:val="nil"/>
            </w:tcBorders>
            <w:shd w:val="clear" w:color="auto" w:fill="auto"/>
            <w:noWrap/>
            <w:vAlign w:val="center"/>
            <w:hideMark/>
          </w:tcPr>
          <w:p w14:paraId="344A353F"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761</w:t>
            </w:r>
          </w:p>
        </w:tc>
        <w:tc>
          <w:tcPr>
            <w:tcW w:w="992" w:type="dxa"/>
            <w:tcBorders>
              <w:top w:val="nil"/>
              <w:left w:val="nil"/>
              <w:bottom w:val="nil"/>
              <w:right w:val="nil"/>
            </w:tcBorders>
            <w:shd w:val="clear" w:color="000000" w:fill="FFFFFF"/>
            <w:vAlign w:val="center"/>
            <w:hideMark/>
          </w:tcPr>
          <w:p w14:paraId="1DE9807D"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7 580</w:t>
            </w:r>
          </w:p>
        </w:tc>
        <w:tc>
          <w:tcPr>
            <w:tcW w:w="851" w:type="dxa"/>
            <w:tcBorders>
              <w:top w:val="nil"/>
              <w:left w:val="nil"/>
              <w:bottom w:val="nil"/>
              <w:right w:val="nil"/>
            </w:tcBorders>
            <w:shd w:val="clear" w:color="000000" w:fill="FFFFFF"/>
            <w:vAlign w:val="center"/>
            <w:hideMark/>
          </w:tcPr>
          <w:p w14:paraId="21F303A5"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1 263,3</w:t>
            </w:r>
          </w:p>
        </w:tc>
      </w:tr>
      <w:tr w:rsidR="00776B01" w:rsidRPr="005A0EB2" w14:paraId="02427D11" w14:textId="77777777" w:rsidTr="005A0EB2">
        <w:trPr>
          <w:trHeight w:val="330"/>
        </w:trPr>
        <w:tc>
          <w:tcPr>
            <w:tcW w:w="2800" w:type="dxa"/>
            <w:tcBorders>
              <w:top w:val="nil"/>
              <w:left w:val="nil"/>
              <w:bottom w:val="nil"/>
              <w:right w:val="nil"/>
            </w:tcBorders>
            <w:shd w:val="clear" w:color="000000" w:fill="FFFFFF"/>
            <w:vAlign w:val="center"/>
            <w:hideMark/>
          </w:tcPr>
          <w:p w14:paraId="547D47D1" w14:textId="77777777" w:rsidR="00776B01" w:rsidRPr="005A0EB2" w:rsidRDefault="00776B01" w:rsidP="00B768D9">
            <w:pPr>
              <w:spacing w:after="0" w:line="240" w:lineRule="auto"/>
              <w:rPr>
                <w:rFonts w:eastAsia="Times New Roman" w:cs="Times New Roman"/>
                <w:color w:val="000000"/>
                <w:sz w:val="18"/>
                <w:szCs w:val="18"/>
                <w:lang w:eastAsia="sk-SK"/>
              </w:rPr>
            </w:pPr>
            <w:r w:rsidRPr="005A0EB2">
              <w:rPr>
                <w:rFonts w:eastAsia="Times New Roman" w:cs="Times New Roman"/>
                <w:color w:val="000000"/>
                <w:sz w:val="18"/>
                <w:szCs w:val="18"/>
                <w:lang w:eastAsia="sk-SK"/>
              </w:rPr>
              <w:t>Rekreácia, kultúra a náboženstvo</w:t>
            </w:r>
          </w:p>
        </w:tc>
        <w:tc>
          <w:tcPr>
            <w:tcW w:w="886" w:type="dxa"/>
            <w:tcBorders>
              <w:top w:val="nil"/>
              <w:left w:val="nil"/>
              <w:bottom w:val="nil"/>
              <w:right w:val="nil"/>
            </w:tcBorders>
            <w:shd w:val="clear" w:color="auto" w:fill="auto"/>
            <w:noWrap/>
            <w:vAlign w:val="center"/>
            <w:hideMark/>
          </w:tcPr>
          <w:p w14:paraId="65390633"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10 630</w:t>
            </w:r>
          </w:p>
        </w:tc>
        <w:tc>
          <w:tcPr>
            <w:tcW w:w="1034" w:type="dxa"/>
            <w:tcBorders>
              <w:top w:val="nil"/>
              <w:left w:val="nil"/>
              <w:bottom w:val="nil"/>
              <w:right w:val="nil"/>
            </w:tcBorders>
            <w:shd w:val="clear" w:color="auto" w:fill="auto"/>
            <w:noWrap/>
            <w:vAlign w:val="center"/>
            <w:hideMark/>
          </w:tcPr>
          <w:p w14:paraId="57AFCB3C"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4 444</w:t>
            </w:r>
          </w:p>
        </w:tc>
        <w:tc>
          <w:tcPr>
            <w:tcW w:w="940" w:type="dxa"/>
            <w:tcBorders>
              <w:top w:val="nil"/>
              <w:left w:val="nil"/>
              <w:bottom w:val="nil"/>
              <w:right w:val="nil"/>
            </w:tcBorders>
            <w:shd w:val="clear" w:color="000000" w:fill="FFFFFF"/>
            <w:noWrap/>
            <w:vAlign w:val="center"/>
            <w:hideMark/>
          </w:tcPr>
          <w:p w14:paraId="0E14AE8B"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0</w:t>
            </w:r>
          </w:p>
        </w:tc>
        <w:tc>
          <w:tcPr>
            <w:tcW w:w="861" w:type="dxa"/>
            <w:tcBorders>
              <w:top w:val="nil"/>
              <w:left w:val="nil"/>
              <w:bottom w:val="nil"/>
              <w:right w:val="nil"/>
            </w:tcBorders>
            <w:shd w:val="clear" w:color="auto" w:fill="auto"/>
            <w:noWrap/>
            <w:vAlign w:val="center"/>
            <w:hideMark/>
          </w:tcPr>
          <w:p w14:paraId="4A78B3A2"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3 657</w:t>
            </w:r>
          </w:p>
        </w:tc>
        <w:tc>
          <w:tcPr>
            <w:tcW w:w="992" w:type="dxa"/>
            <w:tcBorders>
              <w:top w:val="nil"/>
              <w:left w:val="nil"/>
              <w:bottom w:val="nil"/>
              <w:right w:val="nil"/>
            </w:tcBorders>
            <w:shd w:val="clear" w:color="auto" w:fill="auto"/>
            <w:noWrap/>
            <w:vAlign w:val="center"/>
            <w:hideMark/>
          </w:tcPr>
          <w:p w14:paraId="13901CFB"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3 642</w:t>
            </w:r>
          </w:p>
        </w:tc>
        <w:tc>
          <w:tcPr>
            <w:tcW w:w="992" w:type="dxa"/>
            <w:tcBorders>
              <w:top w:val="nil"/>
              <w:left w:val="nil"/>
              <w:bottom w:val="nil"/>
              <w:right w:val="nil"/>
            </w:tcBorders>
            <w:shd w:val="clear" w:color="000000" w:fill="FFFFFF"/>
            <w:vAlign w:val="center"/>
            <w:hideMark/>
          </w:tcPr>
          <w:p w14:paraId="1AB47578"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3 657</w:t>
            </w:r>
          </w:p>
        </w:tc>
        <w:tc>
          <w:tcPr>
            <w:tcW w:w="851" w:type="dxa"/>
            <w:tcBorders>
              <w:top w:val="nil"/>
              <w:left w:val="nil"/>
              <w:bottom w:val="nil"/>
              <w:right w:val="nil"/>
            </w:tcBorders>
            <w:shd w:val="clear" w:color="000000" w:fill="FFFFFF"/>
            <w:vAlign w:val="center"/>
            <w:hideMark/>
          </w:tcPr>
          <w:p w14:paraId="180B3D7C" w14:textId="14A112D8" w:rsidR="00776B01" w:rsidRPr="005A0EB2" w:rsidRDefault="00032FD2"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0</w:t>
            </w:r>
          </w:p>
        </w:tc>
      </w:tr>
      <w:tr w:rsidR="00776B01" w:rsidRPr="005A0EB2" w14:paraId="4354C3BD" w14:textId="77777777" w:rsidTr="005A0EB2">
        <w:trPr>
          <w:trHeight w:val="330"/>
        </w:trPr>
        <w:tc>
          <w:tcPr>
            <w:tcW w:w="2800" w:type="dxa"/>
            <w:tcBorders>
              <w:top w:val="nil"/>
              <w:left w:val="nil"/>
              <w:bottom w:val="nil"/>
              <w:right w:val="nil"/>
            </w:tcBorders>
            <w:shd w:val="clear" w:color="000000" w:fill="FFFFFF"/>
            <w:vAlign w:val="center"/>
            <w:hideMark/>
          </w:tcPr>
          <w:p w14:paraId="4BC49F6F" w14:textId="77777777" w:rsidR="00776B01" w:rsidRPr="005A0EB2" w:rsidRDefault="00776B01" w:rsidP="00B768D9">
            <w:pPr>
              <w:spacing w:after="0" w:line="240" w:lineRule="auto"/>
              <w:rPr>
                <w:rFonts w:eastAsia="Times New Roman" w:cs="Times New Roman"/>
                <w:color w:val="000000"/>
                <w:sz w:val="18"/>
                <w:szCs w:val="18"/>
                <w:lang w:eastAsia="sk-SK"/>
              </w:rPr>
            </w:pPr>
            <w:r w:rsidRPr="005A0EB2">
              <w:rPr>
                <w:rFonts w:eastAsia="Times New Roman" w:cs="Times New Roman"/>
                <w:color w:val="000000"/>
                <w:sz w:val="18"/>
                <w:szCs w:val="18"/>
                <w:lang w:eastAsia="sk-SK"/>
              </w:rPr>
              <w:t>Zdravotníctvo</w:t>
            </w:r>
          </w:p>
        </w:tc>
        <w:tc>
          <w:tcPr>
            <w:tcW w:w="886" w:type="dxa"/>
            <w:tcBorders>
              <w:top w:val="nil"/>
              <w:left w:val="nil"/>
              <w:bottom w:val="nil"/>
              <w:right w:val="nil"/>
            </w:tcBorders>
            <w:shd w:val="clear" w:color="auto" w:fill="auto"/>
            <w:noWrap/>
            <w:vAlign w:val="center"/>
            <w:hideMark/>
          </w:tcPr>
          <w:p w14:paraId="51255040"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16</w:t>
            </w:r>
          </w:p>
        </w:tc>
        <w:tc>
          <w:tcPr>
            <w:tcW w:w="1034" w:type="dxa"/>
            <w:tcBorders>
              <w:top w:val="nil"/>
              <w:left w:val="nil"/>
              <w:bottom w:val="nil"/>
              <w:right w:val="nil"/>
            </w:tcBorders>
            <w:shd w:val="clear" w:color="auto" w:fill="auto"/>
            <w:noWrap/>
            <w:vAlign w:val="center"/>
            <w:hideMark/>
          </w:tcPr>
          <w:p w14:paraId="1F847973"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x</w:t>
            </w:r>
          </w:p>
        </w:tc>
        <w:tc>
          <w:tcPr>
            <w:tcW w:w="940" w:type="dxa"/>
            <w:tcBorders>
              <w:top w:val="nil"/>
              <w:left w:val="nil"/>
              <w:bottom w:val="nil"/>
              <w:right w:val="nil"/>
            </w:tcBorders>
            <w:shd w:val="clear" w:color="000000" w:fill="FFFFFF"/>
            <w:noWrap/>
            <w:vAlign w:val="center"/>
            <w:hideMark/>
          </w:tcPr>
          <w:p w14:paraId="3833EE38"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0</w:t>
            </w:r>
          </w:p>
        </w:tc>
        <w:tc>
          <w:tcPr>
            <w:tcW w:w="861" w:type="dxa"/>
            <w:tcBorders>
              <w:top w:val="nil"/>
              <w:left w:val="nil"/>
              <w:bottom w:val="nil"/>
              <w:right w:val="nil"/>
            </w:tcBorders>
            <w:shd w:val="clear" w:color="auto" w:fill="auto"/>
            <w:noWrap/>
            <w:vAlign w:val="center"/>
            <w:hideMark/>
          </w:tcPr>
          <w:p w14:paraId="3B46B216"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513</w:t>
            </w:r>
          </w:p>
        </w:tc>
        <w:tc>
          <w:tcPr>
            <w:tcW w:w="992" w:type="dxa"/>
            <w:tcBorders>
              <w:top w:val="nil"/>
              <w:left w:val="nil"/>
              <w:bottom w:val="nil"/>
              <w:right w:val="nil"/>
            </w:tcBorders>
            <w:shd w:val="clear" w:color="auto" w:fill="auto"/>
            <w:noWrap/>
            <w:vAlign w:val="center"/>
            <w:hideMark/>
          </w:tcPr>
          <w:p w14:paraId="222AC45F"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0</w:t>
            </w:r>
          </w:p>
        </w:tc>
        <w:tc>
          <w:tcPr>
            <w:tcW w:w="992" w:type="dxa"/>
            <w:tcBorders>
              <w:top w:val="nil"/>
              <w:left w:val="nil"/>
              <w:bottom w:val="nil"/>
              <w:right w:val="nil"/>
            </w:tcBorders>
            <w:shd w:val="clear" w:color="000000" w:fill="FFFFFF"/>
            <w:vAlign w:val="center"/>
            <w:hideMark/>
          </w:tcPr>
          <w:p w14:paraId="5DBC23D6" w14:textId="77777777" w:rsidR="00776B01" w:rsidRPr="005A0EB2" w:rsidRDefault="00776B01"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513</w:t>
            </w:r>
          </w:p>
        </w:tc>
        <w:tc>
          <w:tcPr>
            <w:tcW w:w="851" w:type="dxa"/>
            <w:tcBorders>
              <w:top w:val="nil"/>
              <w:left w:val="nil"/>
              <w:bottom w:val="nil"/>
              <w:right w:val="nil"/>
            </w:tcBorders>
            <w:shd w:val="clear" w:color="000000" w:fill="FFFFFF"/>
            <w:vAlign w:val="center"/>
            <w:hideMark/>
          </w:tcPr>
          <w:p w14:paraId="15B7B2D8" w14:textId="3683DCD4" w:rsidR="00776B01" w:rsidRPr="005A0EB2" w:rsidRDefault="00032FD2" w:rsidP="00B768D9">
            <w:pPr>
              <w:spacing w:after="0" w:line="240" w:lineRule="auto"/>
              <w:jc w:val="right"/>
              <w:rPr>
                <w:rFonts w:eastAsia="Times New Roman" w:cs="Times New Roman"/>
                <w:color w:val="000000"/>
                <w:sz w:val="18"/>
                <w:szCs w:val="18"/>
                <w:lang w:eastAsia="sk-SK"/>
              </w:rPr>
            </w:pPr>
            <w:r w:rsidRPr="005A0EB2">
              <w:rPr>
                <w:rFonts w:eastAsia="Times New Roman" w:cs="Times New Roman"/>
                <w:color w:val="000000"/>
                <w:sz w:val="18"/>
                <w:szCs w:val="18"/>
                <w:lang w:eastAsia="sk-SK"/>
              </w:rPr>
              <w:t>0</w:t>
            </w:r>
          </w:p>
        </w:tc>
      </w:tr>
      <w:tr w:rsidR="00776B01" w:rsidRPr="005A0EB2" w14:paraId="4D2921B7" w14:textId="77777777" w:rsidTr="005A0EB2">
        <w:trPr>
          <w:trHeight w:val="345"/>
        </w:trPr>
        <w:tc>
          <w:tcPr>
            <w:tcW w:w="2800" w:type="dxa"/>
            <w:tcBorders>
              <w:top w:val="single" w:sz="4" w:space="0" w:color="auto"/>
              <w:left w:val="nil"/>
              <w:bottom w:val="single" w:sz="8" w:space="0" w:color="auto"/>
              <w:right w:val="nil"/>
            </w:tcBorders>
            <w:shd w:val="clear" w:color="000000" w:fill="FFFFFF"/>
            <w:noWrap/>
            <w:vAlign w:val="center"/>
            <w:hideMark/>
          </w:tcPr>
          <w:p w14:paraId="25E5F723" w14:textId="77777777" w:rsidR="00776B01" w:rsidRPr="005A0EB2" w:rsidRDefault="00776B01" w:rsidP="00B768D9">
            <w:pPr>
              <w:spacing w:after="0" w:line="240" w:lineRule="auto"/>
              <w:rPr>
                <w:rFonts w:eastAsia="Times New Roman" w:cs="Times New Roman"/>
                <w:b/>
                <w:bCs/>
                <w:color w:val="000000"/>
                <w:sz w:val="18"/>
                <w:szCs w:val="18"/>
                <w:lang w:eastAsia="sk-SK"/>
              </w:rPr>
            </w:pPr>
            <w:r w:rsidRPr="005A0EB2">
              <w:rPr>
                <w:rFonts w:eastAsia="Times New Roman" w:cs="Times New Roman"/>
                <w:b/>
                <w:bCs/>
                <w:color w:val="000000"/>
                <w:sz w:val="18"/>
                <w:szCs w:val="18"/>
                <w:lang w:eastAsia="sk-SK"/>
              </w:rPr>
              <w:lastRenderedPageBreak/>
              <w:t>Spolu</w:t>
            </w:r>
          </w:p>
        </w:tc>
        <w:tc>
          <w:tcPr>
            <w:tcW w:w="886" w:type="dxa"/>
            <w:tcBorders>
              <w:top w:val="single" w:sz="4" w:space="0" w:color="auto"/>
              <w:left w:val="nil"/>
              <w:bottom w:val="single" w:sz="8" w:space="0" w:color="auto"/>
              <w:right w:val="nil"/>
            </w:tcBorders>
            <w:shd w:val="clear" w:color="000000" w:fill="FFFFFF"/>
            <w:noWrap/>
            <w:vAlign w:val="center"/>
            <w:hideMark/>
          </w:tcPr>
          <w:p w14:paraId="0246CC84" w14:textId="77777777" w:rsidR="00776B01" w:rsidRPr="005A0EB2" w:rsidRDefault="00776B01" w:rsidP="00B768D9">
            <w:pPr>
              <w:spacing w:after="0" w:line="240" w:lineRule="auto"/>
              <w:jc w:val="right"/>
              <w:rPr>
                <w:rFonts w:eastAsia="Times New Roman" w:cs="Times New Roman"/>
                <w:b/>
                <w:bCs/>
                <w:color w:val="000000"/>
                <w:sz w:val="18"/>
                <w:szCs w:val="18"/>
                <w:lang w:eastAsia="sk-SK"/>
              </w:rPr>
            </w:pPr>
            <w:r w:rsidRPr="005A0EB2">
              <w:rPr>
                <w:rFonts w:eastAsia="Times New Roman" w:cs="Times New Roman"/>
                <w:b/>
                <w:bCs/>
                <w:color w:val="000000"/>
                <w:sz w:val="18"/>
                <w:szCs w:val="18"/>
                <w:lang w:eastAsia="sk-SK"/>
              </w:rPr>
              <w:t>1 763 395</w:t>
            </w:r>
          </w:p>
        </w:tc>
        <w:tc>
          <w:tcPr>
            <w:tcW w:w="1034" w:type="dxa"/>
            <w:tcBorders>
              <w:top w:val="single" w:sz="4" w:space="0" w:color="auto"/>
              <w:left w:val="nil"/>
              <w:bottom w:val="single" w:sz="8" w:space="0" w:color="auto"/>
              <w:right w:val="nil"/>
            </w:tcBorders>
            <w:shd w:val="clear" w:color="000000" w:fill="FFFFFF"/>
            <w:noWrap/>
            <w:vAlign w:val="center"/>
            <w:hideMark/>
          </w:tcPr>
          <w:p w14:paraId="71208C69" w14:textId="77777777" w:rsidR="00776B01" w:rsidRPr="005A0EB2" w:rsidRDefault="00776B01" w:rsidP="00B768D9">
            <w:pPr>
              <w:spacing w:after="0" w:line="240" w:lineRule="auto"/>
              <w:jc w:val="right"/>
              <w:rPr>
                <w:rFonts w:eastAsia="Times New Roman" w:cs="Times New Roman"/>
                <w:b/>
                <w:bCs/>
                <w:color w:val="000000"/>
                <w:sz w:val="18"/>
                <w:szCs w:val="18"/>
                <w:lang w:eastAsia="sk-SK"/>
              </w:rPr>
            </w:pPr>
            <w:r w:rsidRPr="005A0EB2">
              <w:rPr>
                <w:rFonts w:eastAsia="Times New Roman" w:cs="Times New Roman"/>
                <w:b/>
                <w:bCs/>
                <w:color w:val="000000"/>
                <w:sz w:val="18"/>
                <w:szCs w:val="18"/>
                <w:lang w:eastAsia="sk-SK"/>
              </w:rPr>
              <w:t>1 701 892</w:t>
            </w:r>
          </w:p>
        </w:tc>
        <w:tc>
          <w:tcPr>
            <w:tcW w:w="940" w:type="dxa"/>
            <w:tcBorders>
              <w:top w:val="single" w:sz="4" w:space="0" w:color="auto"/>
              <w:left w:val="nil"/>
              <w:bottom w:val="single" w:sz="8" w:space="0" w:color="auto"/>
              <w:right w:val="nil"/>
            </w:tcBorders>
            <w:shd w:val="clear" w:color="000000" w:fill="FFFFFF"/>
            <w:noWrap/>
            <w:vAlign w:val="center"/>
            <w:hideMark/>
          </w:tcPr>
          <w:p w14:paraId="08B79BA6" w14:textId="77777777" w:rsidR="00776B01" w:rsidRPr="005A0EB2" w:rsidRDefault="00776B01" w:rsidP="00B768D9">
            <w:pPr>
              <w:spacing w:after="0" w:line="240" w:lineRule="auto"/>
              <w:jc w:val="right"/>
              <w:rPr>
                <w:rFonts w:eastAsia="Times New Roman" w:cs="Times New Roman"/>
                <w:b/>
                <w:bCs/>
                <w:color w:val="000000"/>
                <w:sz w:val="18"/>
                <w:szCs w:val="18"/>
                <w:lang w:eastAsia="sk-SK"/>
              </w:rPr>
            </w:pPr>
            <w:r w:rsidRPr="005A0EB2">
              <w:rPr>
                <w:rFonts w:eastAsia="Times New Roman" w:cs="Times New Roman"/>
                <w:b/>
                <w:bCs/>
                <w:color w:val="000000"/>
                <w:sz w:val="18"/>
                <w:szCs w:val="18"/>
                <w:lang w:eastAsia="sk-SK"/>
              </w:rPr>
              <w:t>1 554 208</w:t>
            </w:r>
          </w:p>
        </w:tc>
        <w:tc>
          <w:tcPr>
            <w:tcW w:w="861" w:type="dxa"/>
            <w:tcBorders>
              <w:top w:val="single" w:sz="4" w:space="0" w:color="auto"/>
              <w:left w:val="nil"/>
              <w:bottom w:val="single" w:sz="8" w:space="0" w:color="auto"/>
              <w:right w:val="nil"/>
            </w:tcBorders>
            <w:shd w:val="clear" w:color="auto" w:fill="auto"/>
            <w:noWrap/>
            <w:vAlign w:val="center"/>
            <w:hideMark/>
          </w:tcPr>
          <w:p w14:paraId="06DAF152" w14:textId="77777777" w:rsidR="00776B01" w:rsidRPr="005A0EB2" w:rsidRDefault="00776B01" w:rsidP="00B768D9">
            <w:pPr>
              <w:spacing w:after="0" w:line="240" w:lineRule="auto"/>
              <w:jc w:val="right"/>
              <w:rPr>
                <w:rFonts w:eastAsia="Times New Roman" w:cs="Times New Roman"/>
                <w:b/>
                <w:bCs/>
                <w:color w:val="000000"/>
                <w:sz w:val="18"/>
                <w:szCs w:val="18"/>
                <w:lang w:eastAsia="sk-SK"/>
              </w:rPr>
            </w:pPr>
            <w:r w:rsidRPr="005A0EB2">
              <w:rPr>
                <w:rFonts w:eastAsia="Times New Roman" w:cs="Times New Roman"/>
                <w:b/>
                <w:bCs/>
                <w:color w:val="000000"/>
                <w:sz w:val="18"/>
                <w:szCs w:val="18"/>
                <w:lang w:eastAsia="sk-SK"/>
              </w:rPr>
              <w:t>2 619 868</w:t>
            </w:r>
          </w:p>
        </w:tc>
        <w:tc>
          <w:tcPr>
            <w:tcW w:w="992" w:type="dxa"/>
            <w:tcBorders>
              <w:top w:val="single" w:sz="4" w:space="0" w:color="auto"/>
              <w:left w:val="nil"/>
              <w:bottom w:val="single" w:sz="8" w:space="0" w:color="auto"/>
              <w:right w:val="nil"/>
            </w:tcBorders>
            <w:shd w:val="clear" w:color="auto" w:fill="auto"/>
            <w:noWrap/>
            <w:vAlign w:val="center"/>
            <w:hideMark/>
          </w:tcPr>
          <w:p w14:paraId="18688B3E" w14:textId="77777777" w:rsidR="00776B01" w:rsidRPr="005A0EB2" w:rsidRDefault="00776B01" w:rsidP="00B768D9">
            <w:pPr>
              <w:spacing w:after="0" w:line="240" w:lineRule="auto"/>
              <w:jc w:val="right"/>
              <w:rPr>
                <w:rFonts w:eastAsia="Times New Roman" w:cs="Times New Roman"/>
                <w:b/>
                <w:bCs/>
                <w:color w:val="000000"/>
                <w:sz w:val="18"/>
                <w:szCs w:val="18"/>
                <w:lang w:eastAsia="sk-SK"/>
              </w:rPr>
            </w:pPr>
            <w:r w:rsidRPr="005A0EB2">
              <w:rPr>
                <w:rFonts w:eastAsia="Times New Roman" w:cs="Times New Roman"/>
                <w:b/>
                <w:bCs/>
                <w:color w:val="000000"/>
                <w:sz w:val="18"/>
                <w:szCs w:val="18"/>
                <w:lang w:eastAsia="sk-SK"/>
              </w:rPr>
              <w:t>1 738 121</w:t>
            </w:r>
          </w:p>
        </w:tc>
        <w:tc>
          <w:tcPr>
            <w:tcW w:w="992" w:type="dxa"/>
            <w:tcBorders>
              <w:top w:val="single" w:sz="4" w:space="0" w:color="auto"/>
              <w:left w:val="nil"/>
              <w:bottom w:val="single" w:sz="8" w:space="0" w:color="auto"/>
              <w:right w:val="nil"/>
            </w:tcBorders>
            <w:shd w:val="clear" w:color="000000" w:fill="FFFFFF"/>
            <w:noWrap/>
            <w:vAlign w:val="center"/>
            <w:hideMark/>
          </w:tcPr>
          <w:p w14:paraId="7DB282B1" w14:textId="77777777" w:rsidR="00776B01" w:rsidRPr="005A0EB2" w:rsidRDefault="00776B01" w:rsidP="00B768D9">
            <w:pPr>
              <w:spacing w:after="0" w:line="240" w:lineRule="auto"/>
              <w:jc w:val="right"/>
              <w:rPr>
                <w:rFonts w:eastAsia="Times New Roman" w:cs="Times New Roman"/>
                <w:b/>
                <w:bCs/>
                <w:color w:val="000000"/>
                <w:sz w:val="18"/>
                <w:szCs w:val="18"/>
                <w:lang w:eastAsia="sk-SK"/>
              </w:rPr>
            </w:pPr>
            <w:r w:rsidRPr="005A0EB2">
              <w:rPr>
                <w:rFonts w:eastAsia="Times New Roman" w:cs="Times New Roman"/>
                <w:b/>
                <w:bCs/>
                <w:color w:val="000000"/>
                <w:sz w:val="18"/>
                <w:szCs w:val="18"/>
                <w:lang w:eastAsia="sk-SK"/>
              </w:rPr>
              <w:t>1 065 660</w:t>
            </w:r>
          </w:p>
        </w:tc>
        <w:tc>
          <w:tcPr>
            <w:tcW w:w="851" w:type="dxa"/>
            <w:tcBorders>
              <w:top w:val="single" w:sz="4" w:space="0" w:color="auto"/>
              <w:left w:val="nil"/>
              <w:bottom w:val="single" w:sz="8" w:space="0" w:color="auto"/>
              <w:right w:val="nil"/>
            </w:tcBorders>
            <w:shd w:val="clear" w:color="000000" w:fill="FFFFFF"/>
            <w:noWrap/>
            <w:vAlign w:val="center"/>
            <w:hideMark/>
          </w:tcPr>
          <w:p w14:paraId="444CB0D8" w14:textId="77777777" w:rsidR="00776B01" w:rsidRPr="005A0EB2" w:rsidRDefault="00776B01" w:rsidP="00B768D9">
            <w:pPr>
              <w:spacing w:after="0" w:line="240" w:lineRule="auto"/>
              <w:jc w:val="right"/>
              <w:rPr>
                <w:rFonts w:eastAsia="Times New Roman" w:cs="Times New Roman"/>
                <w:b/>
                <w:bCs/>
                <w:color w:val="000000"/>
                <w:sz w:val="18"/>
                <w:szCs w:val="18"/>
                <w:lang w:eastAsia="sk-SK"/>
              </w:rPr>
            </w:pPr>
            <w:r w:rsidRPr="005A0EB2">
              <w:rPr>
                <w:rFonts w:eastAsia="Times New Roman" w:cs="Times New Roman"/>
                <w:b/>
                <w:bCs/>
                <w:color w:val="000000"/>
                <w:sz w:val="18"/>
                <w:szCs w:val="18"/>
                <w:lang w:eastAsia="sk-SK"/>
              </w:rPr>
              <w:t>68,6</w:t>
            </w:r>
          </w:p>
        </w:tc>
      </w:tr>
    </w:tbl>
    <w:p w14:paraId="3DFF3BC1" w14:textId="50DF9DDC" w:rsidR="00776B01" w:rsidRPr="005A0EB2" w:rsidRDefault="00776B01" w:rsidP="00776B01">
      <w:pPr>
        <w:suppressAutoHyphens/>
        <w:spacing w:line="240" w:lineRule="auto"/>
        <w:rPr>
          <w:rFonts w:cs="Times New Roman"/>
          <w:sz w:val="18"/>
          <w:szCs w:val="18"/>
        </w:rPr>
      </w:pPr>
      <w:r w:rsidRPr="005A0EB2">
        <w:rPr>
          <w:rFonts w:cs="Times New Roman"/>
          <w:sz w:val="18"/>
          <w:szCs w:val="18"/>
        </w:rPr>
        <w:t xml:space="preserve">Poznámka: * len prostriedky štátneho rozpočtu </w:t>
      </w:r>
      <w:r w:rsidRPr="005A0EB2">
        <w:rPr>
          <w:rFonts w:cs="Times New Roman"/>
          <w:sz w:val="18"/>
          <w:szCs w:val="18"/>
        </w:rPr>
        <w:tab/>
      </w:r>
      <w:r w:rsidRPr="005A0EB2">
        <w:rPr>
          <w:rFonts w:cs="Times New Roman"/>
          <w:sz w:val="18"/>
          <w:szCs w:val="18"/>
        </w:rPr>
        <w:tab/>
      </w:r>
      <w:r w:rsidRPr="005A0EB2">
        <w:rPr>
          <w:rFonts w:cs="Times New Roman"/>
          <w:sz w:val="18"/>
          <w:szCs w:val="18"/>
        </w:rPr>
        <w:tab/>
      </w:r>
      <w:r w:rsidRPr="005A0EB2">
        <w:rPr>
          <w:rFonts w:cs="Times New Roman"/>
          <w:sz w:val="18"/>
          <w:szCs w:val="18"/>
        </w:rPr>
        <w:tab/>
      </w:r>
      <w:r w:rsidRPr="005A0EB2">
        <w:rPr>
          <w:rFonts w:cs="Times New Roman"/>
          <w:sz w:val="18"/>
          <w:szCs w:val="18"/>
        </w:rPr>
        <w:tab/>
      </w:r>
      <w:r w:rsidRPr="005A0EB2">
        <w:rPr>
          <w:rFonts w:cs="Times New Roman"/>
          <w:sz w:val="18"/>
          <w:szCs w:val="18"/>
        </w:rPr>
        <w:tab/>
      </w:r>
      <w:r w:rsidRPr="005A0EB2">
        <w:rPr>
          <w:rFonts w:cs="Times New Roman"/>
          <w:sz w:val="18"/>
          <w:szCs w:val="18"/>
        </w:rPr>
        <w:tab/>
      </w:r>
      <w:r w:rsidR="002D4BD7" w:rsidRPr="005A0EB2">
        <w:rPr>
          <w:rFonts w:cs="Times New Roman"/>
          <w:sz w:val="18"/>
          <w:szCs w:val="18"/>
        </w:rPr>
        <w:tab/>
      </w:r>
      <w:r w:rsidR="002D4BD7" w:rsidRPr="005A0EB2">
        <w:rPr>
          <w:rFonts w:cs="Times New Roman"/>
          <w:sz w:val="18"/>
          <w:szCs w:val="18"/>
        </w:rPr>
        <w:tab/>
      </w:r>
      <w:r w:rsidR="002D4BD7" w:rsidRPr="005A0EB2">
        <w:rPr>
          <w:rFonts w:cs="Times New Roman"/>
          <w:sz w:val="18"/>
          <w:szCs w:val="18"/>
        </w:rPr>
        <w:tab/>
      </w:r>
      <w:r w:rsidRPr="005A0EB2">
        <w:rPr>
          <w:rFonts w:cs="Times New Roman"/>
          <w:sz w:val="18"/>
          <w:szCs w:val="18"/>
        </w:rPr>
        <w:t>Zdroj: MF SR</w:t>
      </w:r>
    </w:p>
    <w:p w14:paraId="03A41F87" w14:textId="047D241C" w:rsidR="00776B01" w:rsidRPr="00390620" w:rsidRDefault="00776B01" w:rsidP="00776B01">
      <w:pPr>
        <w:suppressAutoHyphens/>
        <w:spacing w:line="240" w:lineRule="auto"/>
        <w:rPr>
          <w:rFonts w:cs="Times New Roman"/>
          <w:color w:val="000000" w:themeColor="text1"/>
          <w:sz w:val="24"/>
          <w:szCs w:val="24"/>
        </w:rPr>
      </w:pPr>
      <w:r w:rsidRPr="009639DF">
        <w:rPr>
          <w:rFonts w:cs="Times New Roman"/>
          <w:color w:val="000000" w:themeColor="text1"/>
          <w:sz w:val="24"/>
          <w:szCs w:val="24"/>
        </w:rPr>
        <w:t xml:space="preserve">Najväčšie </w:t>
      </w:r>
      <w:r>
        <w:rPr>
          <w:rFonts w:cs="Times New Roman"/>
          <w:color w:val="000000" w:themeColor="text1"/>
          <w:sz w:val="24"/>
          <w:szCs w:val="24"/>
        </w:rPr>
        <w:t>kladné</w:t>
      </w:r>
      <w:r w:rsidRPr="009639DF">
        <w:rPr>
          <w:rFonts w:cs="Times New Roman"/>
          <w:color w:val="000000" w:themeColor="text1"/>
          <w:sz w:val="24"/>
          <w:szCs w:val="24"/>
        </w:rPr>
        <w:t xml:space="preserve"> rozdiely medzi schváleným rozpočtom a skutočnosťou boli zaznamenané v ekonomickej oblasti o 419 776 tis. eur, z toho u Ministerstva investícií, regionálneho rozvoja a informatizácie SR o 364 891 tis. eur. </w:t>
      </w:r>
      <w:r w:rsidRPr="000C1128">
        <w:rPr>
          <w:rFonts w:cs="Times New Roman"/>
          <w:color w:val="000000" w:themeColor="text1"/>
          <w:sz w:val="24"/>
          <w:szCs w:val="24"/>
        </w:rPr>
        <w:t>V bývaní a občianskej vybavenosti bol rozdiel 188 611 tis. eur, z</w:t>
      </w:r>
      <w:r>
        <w:rPr>
          <w:rFonts w:cs="Times New Roman"/>
          <w:color w:val="000000" w:themeColor="text1"/>
          <w:sz w:val="24"/>
          <w:szCs w:val="24"/>
        </w:rPr>
        <w:t> </w:t>
      </w:r>
      <w:r w:rsidRPr="000C1128">
        <w:rPr>
          <w:rFonts w:cs="Times New Roman"/>
          <w:color w:val="000000" w:themeColor="text1"/>
          <w:sz w:val="24"/>
          <w:szCs w:val="24"/>
        </w:rPr>
        <w:t>toho</w:t>
      </w:r>
      <w:r>
        <w:rPr>
          <w:rFonts w:cs="Times New Roman"/>
          <w:color w:val="000000" w:themeColor="text1"/>
          <w:sz w:val="24"/>
          <w:szCs w:val="24"/>
        </w:rPr>
        <w:t xml:space="preserve"> </w:t>
      </w:r>
      <w:r w:rsidR="005A5BE5">
        <w:rPr>
          <w:rFonts w:cs="Times New Roman"/>
          <w:color w:val="000000" w:themeColor="text1"/>
          <w:sz w:val="24"/>
          <w:szCs w:val="24"/>
        </w:rPr>
        <w:t xml:space="preserve">najviac </w:t>
      </w:r>
      <w:r>
        <w:rPr>
          <w:rFonts w:cs="Times New Roman"/>
          <w:color w:val="000000" w:themeColor="text1"/>
          <w:sz w:val="24"/>
          <w:szCs w:val="24"/>
        </w:rPr>
        <w:t>u Všeobecnej pokladničnej správy 88 602 tis. eur a</w:t>
      </w:r>
      <w:r w:rsidRPr="005C3D09">
        <w:rPr>
          <w:rFonts w:cs="Times New Roman"/>
          <w:color w:val="FF0000"/>
          <w:sz w:val="24"/>
          <w:szCs w:val="24"/>
        </w:rPr>
        <w:t xml:space="preserve"> </w:t>
      </w:r>
      <w:r w:rsidRPr="00E33E87">
        <w:rPr>
          <w:rFonts w:cs="Times New Roman"/>
          <w:color w:val="000000" w:themeColor="text1"/>
          <w:sz w:val="24"/>
          <w:szCs w:val="24"/>
        </w:rPr>
        <w:t>u Ministerstva vnútra SR 69 201 tis. eur.</w:t>
      </w:r>
      <w:r w:rsidRPr="005C3D09">
        <w:rPr>
          <w:rFonts w:cs="Times New Roman"/>
          <w:color w:val="FF0000"/>
          <w:sz w:val="24"/>
          <w:szCs w:val="24"/>
        </w:rPr>
        <w:t xml:space="preserve"> </w:t>
      </w:r>
      <w:r w:rsidRPr="00390620">
        <w:rPr>
          <w:rFonts w:cs="Times New Roman"/>
          <w:color w:val="000000" w:themeColor="text1"/>
          <w:sz w:val="24"/>
          <w:szCs w:val="24"/>
        </w:rPr>
        <w:t>V ochrane životného prostredia bol takmer celý rozdiel 156 636 tis. eur dosiahnutý v kapitole Ministerstva životného prostredia SR.</w:t>
      </w:r>
      <w:r w:rsidR="0068552D">
        <w:rPr>
          <w:rFonts w:cs="Times New Roman"/>
          <w:color w:val="000000" w:themeColor="text1"/>
          <w:sz w:val="24"/>
          <w:szCs w:val="24"/>
        </w:rPr>
        <w:t xml:space="preserve"> </w:t>
      </w:r>
    </w:p>
    <w:p w14:paraId="4A5A2B4D" w14:textId="77777777" w:rsidR="00776B01" w:rsidRDefault="00776B01" w:rsidP="00776B01">
      <w:pPr>
        <w:suppressAutoHyphens/>
        <w:spacing w:line="240" w:lineRule="auto"/>
        <w:rPr>
          <w:rFonts w:cs="Times New Roman"/>
          <w:sz w:val="24"/>
          <w:szCs w:val="24"/>
        </w:rPr>
      </w:pPr>
      <w:r w:rsidRPr="001D1153">
        <w:rPr>
          <w:rFonts w:cs="Times New Roman"/>
          <w:sz w:val="24"/>
          <w:szCs w:val="24"/>
        </w:rPr>
        <w:t>Do rozpočtov obcí boli poskytnuté transfery z jednotlivých rozpočtových kapitol v nasledovnom členení:</w:t>
      </w:r>
    </w:p>
    <w:tbl>
      <w:tblPr>
        <w:tblW w:w="9781" w:type="dxa"/>
        <w:tblCellMar>
          <w:left w:w="70" w:type="dxa"/>
          <w:right w:w="70" w:type="dxa"/>
        </w:tblCellMar>
        <w:tblLook w:val="04A0" w:firstRow="1" w:lastRow="0" w:firstColumn="1" w:lastColumn="0" w:noHBand="0" w:noVBand="1"/>
      </w:tblPr>
      <w:tblGrid>
        <w:gridCol w:w="2694"/>
        <w:gridCol w:w="1275"/>
        <w:gridCol w:w="993"/>
        <w:gridCol w:w="992"/>
        <w:gridCol w:w="1134"/>
        <w:gridCol w:w="992"/>
        <w:gridCol w:w="992"/>
        <w:gridCol w:w="709"/>
      </w:tblGrid>
      <w:tr w:rsidR="00E67BD0" w:rsidRPr="00C4188F" w14:paraId="7603E50C" w14:textId="77777777" w:rsidTr="00813EDC">
        <w:trPr>
          <w:trHeight w:val="345"/>
        </w:trPr>
        <w:tc>
          <w:tcPr>
            <w:tcW w:w="9781" w:type="dxa"/>
            <w:gridSpan w:val="8"/>
            <w:tcBorders>
              <w:top w:val="nil"/>
              <w:left w:val="nil"/>
              <w:bottom w:val="single" w:sz="8" w:space="0" w:color="auto"/>
              <w:right w:val="nil"/>
            </w:tcBorders>
            <w:shd w:val="clear" w:color="auto" w:fill="auto"/>
            <w:noWrap/>
            <w:vAlign w:val="center"/>
            <w:hideMark/>
          </w:tcPr>
          <w:p w14:paraId="1E7B29EB" w14:textId="1ECBF21B" w:rsidR="00E67BD0" w:rsidRPr="00C4188F" w:rsidRDefault="00E67BD0" w:rsidP="004A6E2F">
            <w:pPr>
              <w:spacing w:after="0" w:line="240" w:lineRule="auto"/>
              <w:rPr>
                <w:rFonts w:ascii="Arial Narrow" w:eastAsia="Times New Roman" w:hAnsi="Arial Narrow" w:cs="Times New Roman"/>
                <w:color w:val="000000"/>
                <w:lang w:eastAsia="sk-SK"/>
              </w:rPr>
            </w:pPr>
            <w:r w:rsidRPr="00DD022A">
              <w:rPr>
                <w:rFonts w:eastAsia="Times New Roman" w:cs="Times New Roman"/>
                <w:b/>
                <w:bCs/>
                <w:color w:val="4F81BD"/>
                <w:sz w:val="20"/>
                <w:szCs w:val="20"/>
                <w:lang w:eastAsia="sk-SK"/>
              </w:rPr>
              <w:t>Tabuľka č. 4</w:t>
            </w:r>
            <w:r w:rsidR="004A6E2F">
              <w:rPr>
                <w:rFonts w:eastAsia="Times New Roman" w:cs="Times New Roman"/>
                <w:b/>
                <w:bCs/>
                <w:color w:val="4F81BD"/>
                <w:sz w:val="20"/>
                <w:szCs w:val="20"/>
                <w:lang w:eastAsia="sk-SK"/>
              </w:rPr>
              <w:t>5</w:t>
            </w:r>
            <w:r w:rsidRPr="00DD022A">
              <w:rPr>
                <w:rFonts w:eastAsia="Times New Roman" w:cs="Times New Roman"/>
                <w:b/>
                <w:bCs/>
                <w:color w:val="4F81BD"/>
                <w:sz w:val="20"/>
                <w:szCs w:val="20"/>
                <w:lang w:eastAsia="sk-SK"/>
              </w:rPr>
              <w:t xml:space="preserve"> - Transfery poskytnuté obciam podľa kapitol ŠR</w:t>
            </w:r>
          </w:p>
        </w:tc>
      </w:tr>
      <w:tr w:rsidR="00B41352" w:rsidRPr="00C4188F" w14:paraId="22816119" w14:textId="77777777" w:rsidTr="006A0B96">
        <w:trPr>
          <w:trHeight w:val="555"/>
        </w:trPr>
        <w:tc>
          <w:tcPr>
            <w:tcW w:w="2694" w:type="dxa"/>
            <w:vMerge w:val="restart"/>
            <w:tcBorders>
              <w:top w:val="nil"/>
              <w:left w:val="nil"/>
              <w:right w:val="nil"/>
            </w:tcBorders>
            <w:shd w:val="clear" w:color="auto" w:fill="auto"/>
            <w:noWrap/>
            <w:vAlign w:val="center"/>
            <w:hideMark/>
          </w:tcPr>
          <w:p w14:paraId="0E7704E8" w14:textId="4E223829" w:rsidR="00B41352" w:rsidRPr="00C4188F" w:rsidRDefault="00B41352" w:rsidP="00B41352">
            <w:pPr>
              <w:spacing w:after="0" w:line="240" w:lineRule="auto"/>
              <w:rPr>
                <w:rFonts w:eastAsia="Times New Roman" w:cs="Times New Roman"/>
                <w:b/>
                <w:bCs/>
                <w:color w:val="000000"/>
                <w:sz w:val="18"/>
                <w:szCs w:val="18"/>
                <w:lang w:eastAsia="sk-SK"/>
              </w:rPr>
            </w:pPr>
            <w:r w:rsidRPr="00C4188F">
              <w:rPr>
                <w:rFonts w:eastAsia="Times New Roman" w:cs="Times New Roman"/>
                <w:b/>
                <w:bCs/>
                <w:color w:val="000000"/>
                <w:sz w:val="18"/>
                <w:szCs w:val="18"/>
                <w:lang w:eastAsia="sk-SK"/>
              </w:rPr>
              <w:t>v tis. eur</w:t>
            </w:r>
            <w:r w:rsidRPr="00C4188F">
              <w:rPr>
                <w:rFonts w:eastAsia="Times New Roman" w:cs="Times New Roman"/>
                <w:b/>
                <w:bCs/>
                <w:color w:val="FFFFFF"/>
                <w:sz w:val="18"/>
                <w:szCs w:val="18"/>
                <w:lang w:eastAsia="sk-SK"/>
              </w:rPr>
              <w:t> </w:t>
            </w:r>
          </w:p>
        </w:tc>
        <w:tc>
          <w:tcPr>
            <w:tcW w:w="1275" w:type="dxa"/>
            <w:tcBorders>
              <w:top w:val="nil"/>
              <w:left w:val="nil"/>
              <w:bottom w:val="nil"/>
              <w:right w:val="nil"/>
            </w:tcBorders>
            <w:shd w:val="clear" w:color="auto" w:fill="auto"/>
            <w:noWrap/>
            <w:vAlign w:val="center"/>
            <w:hideMark/>
          </w:tcPr>
          <w:p w14:paraId="07040264" w14:textId="77777777" w:rsidR="00B41352" w:rsidRPr="00C4188F" w:rsidRDefault="00B41352" w:rsidP="00B768D9">
            <w:pPr>
              <w:spacing w:after="0" w:line="240" w:lineRule="auto"/>
              <w:jc w:val="center"/>
              <w:rPr>
                <w:rFonts w:eastAsia="Times New Roman" w:cs="Times New Roman"/>
                <w:b/>
                <w:bCs/>
                <w:color w:val="000000"/>
                <w:sz w:val="18"/>
                <w:szCs w:val="18"/>
                <w:lang w:eastAsia="sk-SK"/>
              </w:rPr>
            </w:pPr>
            <w:r w:rsidRPr="00C4188F">
              <w:rPr>
                <w:rFonts w:eastAsia="Times New Roman" w:cs="Times New Roman"/>
                <w:b/>
                <w:bCs/>
                <w:color w:val="000000"/>
                <w:sz w:val="18"/>
                <w:szCs w:val="18"/>
                <w:lang w:eastAsia="sk-SK"/>
              </w:rPr>
              <w:t>2021 S</w:t>
            </w:r>
          </w:p>
        </w:tc>
        <w:tc>
          <w:tcPr>
            <w:tcW w:w="993" w:type="dxa"/>
            <w:tcBorders>
              <w:top w:val="nil"/>
              <w:left w:val="nil"/>
              <w:bottom w:val="nil"/>
              <w:right w:val="nil"/>
            </w:tcBorders>
            <w:shd w:val="clear" w:color="auto" w:fill="auto"/>
            <w:noWrap/>
            <w:vAlign w:val="center"/>
            <w:hideMark/>
          </w:tcPr>
          <w:p w14:paraId="3FDC5C18" w14:textId="77777777" w:rsidR="00B41352" w:rsidRPr="00C4188F" w:rsidRDefault="00B41352" w:rsidP="00B768D9">
            <w:pPr>
              <w:spacing w:after="0" w:line="240" w:lineRule="auto"/>
              <w:jc w:val="center"/>
              <w:rPr>
                <w:rFonts w:eastAsia="Times New Roman" w:cs="Times New Roman"/>
                <w:b/>
                <w:bCs/>
                <w:color w:val="000000"/>
                <w:sz w:val="18"/>
                <w:szCs w:val="18"/>
                <w:lang w:eastAsia="sk-SK"/>
              </w:rPr>
            </w:pPr>
            <w:r w:rsidRPr="00C4188F">
              <w:rPr>
                <w:rFonts w:eastAsia="Times New Roman" w:cs="Times New Roman"/>
                <w:b/>
                <w:bCs/>
                <w:color w:val="000000"/>
                <w:sz w:val="18"/>
                <w:szCs w:val="18"/>
                <w:lang w:eastAsia="sk-SK"/>
              </w:rPr>
              <w:t>2022 S</w:t>
            </w:r>
          </w:p>
        </w:tc>
        <w:tc>
          <w:tcPr>
            <w:tcW w:w="992" w:type="dxa"/>
            <w:tcBorders>
              <w:top w:val="nil"/>
              <w:left w:val="nil"/>
              <w:bottom w:val="nil"/>
              <w:right w:val="nil"/>
            </w:tcBorders>
            <w:shd w:val="clear" w:color="auto" w:fill="auto"/>
            <w:noWrap/>
            <w:vAlign w:val="center"/>
            <w:hideMark/>
          </w:tcPr>
          <w:p w14:paraId="03C5CD2E" w14:textId="77777777" w:rsidR="00B41352" w:rsidRPr="00C4188F" w:rsidRDefault="00B41352" w:rsidP="00B768D9">
            <w:pPr>
              <w:spacing w:after="0" w:line="240" w:lineRule="auto"/>
              <w:jc w:val="center"/>
              <w:rPr>
                <w:rFonts w:eastAsia="Times New Roman" w:cs="Times New Roman"/>
                <w:b/>
                <w:bCs/>
                <w:color w:val="000000"/>
                <w:sz w:val="18"/>
                <w:szCs w:val="18"/>
                <w:lang w:eastAsia="sk-SK"/>
              </w:rPr>
            </w:pPr>
            <w:r w:rsidRPr="00C4188F">
              <w:rPr>
                <w:rFonts w:eastAsia="Times New Roman" w:cs="Times New Roman"/>
                <w:b/>
                <w:bCs/>
                <w:color w:val="000000"/>
                <w:sz w:val="18"/>
                <w:szCs w:val="18"/>
                <w:lang w:eastAsia="sk-SK"/>
              </w:rPr>
              <w:t>2023 R</w:t>
            </w:r>
          </w:p>
        </w:tc>
        <w:tc>
          <w:tcPr>
            <w:tcW w:w="1134" w:type="dxa"/>
            <w:tcBorders>
              <w:top w:val="nil"/>
              <w:left w:val="nil"/>
              <w:bottom w:val="nil"/>
              <w:right w:val="nil"/>
            </w:tcBorders>
            <w:shd w:val="clear" w:color="auto" w:fill="auto"/>
            <w:noWrap/>
            <w:vAlign w:val="center"/>
            <w:hideMark/>
          </w:tcPr>
          <w:p w14:paraId="565D03A0" w14:textId="77777777" w:rsidR="00B41352" w:rsidRPr="00C4188F" w:rsidRDefault="00B41352" w:rsidP="00B768D9">
            <w:pPr>
              <w:spacing w:after="0" w:line="240" w:lineRule="auto"/>
              <w:jc w:val="center"/>
              <w:rPr>
                <w:rFonts w:eastAsia="Times New Roman" w:cs="Times New Roman"/>
                <w:b/>
                <w:bCs/>
                <w:color w:val="000000"/>
                <w:sz w:val="18"/>
                <w:szCs w:val="18"/>
                <w:lang w:eastAsia="sk-SK"/>
              </w:rPr>
            </w:pPr>
            <w:r w:rsidRPr="00C4188F">
              <w:rPr>
                <w:rFonts w:eastAsia="Times New Roman" w:cs="Times New Roman"/>
                <w:b/>
                <w:bCs/>
                <w:color w:val="000000"/>
                <w:sz w:val="18"/>
                <w:szCs w:val="18"/>
                <w:lang w:eastAsia="sk-SK"/>
              </w:rPr>
              <w:t>2023 S</w:t>
            </w:r>
          </w:p>
        </w:tc>
        <w:tc>
          <w:tcPr>
            <w:tcW w:w="992" w:type="dxa"/>
            <w:tcBorders>
              <w:top w:val="nil"/>
              <w:left w:val="nil"/>
              <w:bottom w:val="nil"/>
              <w:right w:val="nil"/>
            </w:tcBorders>
            <w:shd w:val="clear" w:color="auto" w:fill="auto"/>
            <w:vAlign w:val="center"/>
            <w:hideMark/>
          </w:tcPr>
          <w:p w14:paraId="4960E784" w14:textId="77777777" w:rsidR="00B41352" w:rsidRPr="00C4188F" w:rsidRDefault="00B41352" w:rsidP="00B768D9">
            <w:pPr>
              <w:spacing w:after="0" w:line="240" w:lineRule="auto"/>
              <w:jc w:val="center"/>
              <w:rPr>
                <w:rFonts w:eastAsia="Times New Roman" w:cs="Times New Roman"/>
                <w:b/>
                <w:bCs/>
                <w:color w:val="000000"/>
                <w:sz w:val="18"/>
                <w:szCs w:val="18"/>
                <w:lang w:eastAsia="sk-SK"/>
              </w:rPr>
            </w:pPr>
            <w:r w:rsidRPr="00C4188F">
              <w:rPr>
                <w:rFonts w:eastAsia="Times New Roman" w:cs="Times New Roman"/>
                <w:b/>
                <w:bCs/>
                <w:color w:val="000000"/>
                <w:sz w:val="18"/>
                <w:szCs w:val="18"/>
                <w:lang w:eastAsia="sk-SK"/>
              </w:rPr>
              <w:t>z toho: zdroj 111</w:t>
            </w:r>
            <w:r w:rsidRPr="00C4188F">
              <w:rPr>
                <w:rFonts w:ascii="Arial Narrow" w:eastAsia="Times New Roman" w:hAnsi="Arial Narrow" w:cs="Times New Roman"/>
                <w:b/>
                <w:bCs/>
                <w:color w:val="000000"/>
                <w:sz w:val="18"/>
                <w:szCs w:val="18"/>
                <w:lang w:eastAsia="sk-SK"/>
              </w:rPr>
              <w:t>*</w:t>
            </w:r>
          </w:p>
        </w:tc>
        <w:tc>
          <w:tcPr>
            <w:tcW w:w="992" w:type="dxa"/>
            <w:tcBorders>
              <w:top w:val="nil"/>
              <w:left w:val="nil"/>
              <w:bottom w:val="nil"/>
              <w:right w:val="nil"/>
            </w:tcBorders>
            <w:shd w:val="clear" w:color="auto" w:fill="auto"/>
            <w:noWrap/>
            <w:vAlign w:val="center"/>
            <w:hideMark/>
          </w:tcPr>
          <w:p w14:paraId="259E9D5A" w14:textId="77777777" w:rsidR="00B41352" w:rsidRPr="00C4188F" w:rsidRDefault="00B41352" w:rsidP="00B768D9">
            <w:pPr>
              <w:spacing w:after="0" w:line="240" w:lineRule="auto"/>
              <w:jc w:val="center"/>
              <w:rPr>
                <w:rFonts w:eastAsia="Times New Roman" w:cs="Times New Roman"/>
                <w:b/>
                <w:bCs/>
                <w:color w:val="000000"/>
                <w:sz w:val="18"/>
                <w:szCs w:val="18"/>
                <w:lang w:eastAsia="sk-SK"/>
              </w:rPr>
            </w:pPr>
            <w:r w:rsidRPr="00C4188F">
              <w:rPr>
                <w:rFonts w:eastAsia="Times New Roman" w:cs="Times New Roman"/>
                <w:b/>
                <w:bCs/>
                <w:color w:val="000000"/>
                <w:sz w:val="18"/>
                <w:szCs w:val="18"/>
                <w:lang w:eastAsia="sk-SK"/>
              </w:rPr>
              <w:t>Rozdiel</w:t>
            </w:r>
          </w:p>
        </w:tc>
        <w:tc>
          <w:tcPr>
            <w:tcW w:w="709" w:type="dxa"/>
            <w:tcBorders>
              <w:top w:val="nil"/>
              <w:left w:val="nil"/>
              <w:bottom w:val="nil"/>
              <w:right w:val="nil"/>
            </w:tcBorders>
            <w:shd w:val="clear" w:color="auto" w:fill="auto"/>
            <w:noWrap/>
            <w:vAlign w:val="center"/>
            <w:hideMark/>
          </w:tcPr>
          <w:p w14:paraId="51075CD6" w14:textId="77777777" w:rsidR="00B41352" w:rsidRPr="00C4188F" w:rsidRDefault="00B41352" w:rsidP="00B768D9">
            <w:pPr>
              <w:spacing w:after="0" w:line="240" w:lineRule="auto"/>
              <w:jc w:val="center"/>
              <w:rPr>
                <w:rFonts w:eastAsia="Times New Roman" w:cs="Times New Roman"/>
                <w:b/>
                <w:bCs/>
                <w:color w:val="000000"/>
                <w:sz w:val="18"/>
                <w:szCs w:val="18"/>
                <w:lang w:eastAsia="sk-SK"/>
              </w:rPr>
            </w:pPr>
            <w:r w:rsidRPr="00C4188F">
              <w:rPr>
                <w:rFonts w:eastAsia="Times New Roman" w:cs="Times New Roman"/>
                <w:b/>
                <w:bCs/>
                <w:color w:val="000000"/>
                <w:sz w:val="18"/>
                <w:szCs w:val="18"/>
                <w:lang w:eastAsia="sk-SK"/>
              </w:rPr>
              <w:t>v %</w:t>
            </w:r>
          </w:p>
        </w:tc>
      </w:tr>
      <w:tr w:rsidR="00B41352" w:rsidRPr="00C4188F" w14:paraId="3D7AE0C1" w14:textId="77777777" w:rsidTr="006A0B96">
        <w:trPr>
          <w:trHeight w:val="345"/>
        </w:trPr>
        <w:tc>
          <w:tcPr>
            <w:tcW w:w="2694" w:type="dxa"/>
            <w:vMerge/>
            <w:tcBorders>
              <w:left w:val="nil"/>
              <w:bottom w:val="single" w:sz="8" w:space="0" w:color="auto"/>
              <w:right w:val="nil"/>
            </w:tcBorders>
            <w:shd w:val="clear" w:color="auto" w:fill="auto"/>
            <w:noWrap/>
            <w:vAlign w:val="center"/>
            <w:hideMark/>
          </w:tcPr>
          <w:p w14:paraId="5876D060" w14:textId="283C62BB" w:rsidR="00B41352" w:rsidRPr="00C4188F" w:rsidRDefault="00B41352" w:rsidP="00B768D9">
            <w:pPr>
              <w:spacing w:after="0" w:line="240" w:lineRule="auto"/>
              <w:rPr>
                <w:rFonts w:eastAsia="Times New Roman" w:cs="Times New Roman"/>
                <w:b/>
                <w:bCs/>
                <w:color w:val="FFFFFF"/>
                <w:sz w:val="18"/>
                <w:szCs w:val="18"/>
                <w:lang w:eastAsia="sk-SK"/>
              </w:rPr>
            </w:pPr>
          </w:p>
        </w:tc>
        <w:tc>
          <w:tcPr>
            <w:tcW w:w="1275" w:type="dxa"/>
            <w:tcBorders>
              <w:top w:val="nil"/>
              <w:left w:val="nil"/>
              <w:bottom w:val="single" w:sz="8" w:space="0" w:color="auto"/>
              <w:right w:val="nil"/>
            </w:tcBorders>
            <w:shd w:val="clear" w:color="auto" w:fill="auto"/>
            <w:noWrap/>
            <w:vAlign w:val="center"/>
            <w:hideMark/>
          </w:tcPr>
          <w:p w14:paraId="6124D9FA" w14:textId="77777777" w:rsidR="00B41352" w:rsidRPr="00C4188F" w:rsidRDefault="00B41352" w:rsidP="00B768D9">
            <w:pPr>
              <w:spacing w:after="0" w:line="240" w:lineRule="auto"/>
              <w:jc w:val="center"/>
              <w:rPr>
                <w:rFonts w:eastAsia="Times New Roman" w:cs="Times New Roman"/>
                <w:b/>
                <w:bCs/>
                <w:sz w:val="18"/>
                <w:szCs w:val="18"/>
                <w:lang w:eastAsia="sk-SK"/>
              </w:rPr>
            </w:pPr>
            <w:r w:rsidRPr="00C4188F">
              <w:rPr>
                <w:rFonts w:eastAsia="Times New Roman" w:cs="Times New Roman"/>
                <w:b/>
                <w:bCs/>
                <w:sz w:val="18"/>
                <w:szCs w:val="18"/>
                <w:lang w:eastAsia="sk-SK"/>
              </w:rPr>
              <w:t>1</w:t>
            </w:r>
          </w:p>
        </w:tc>
        <w:tc>
          <w:tcPr>
            <w:tcW w:w="993" w:type="dxa"/>
            <w:tcBorders>
              <w:top w:val="nil"/>
              <w:left w:val="nil"/>
              <w:bottom w:val="single" w:sz="8" w:space="0" w:color="auto"/>
              <w:right w:val="nil"/>
            </w:tcBorders>
            <w:shd w:val="clear" w:color="auto" w:fill="auto"/>
            <w:noWrap/>
            <w:vAlign w:val="center"/>
            <w:hideMark/>
          </w:tcPr>
          <w:p w14:paraId="5DCB2343" w14:textId="77777777" w:rsidR="00B41352" w:rsidRPr="00C4188F" w:rsidRDefault="00B41352" w:rsidP="00B768D9">
            <w:pPr>
              <w:spacing w:after="0" w:line="240" w:lineRule="auto"/>
              <w:jc w:val="center"/>
              <w:rPr>
                <w:rFonts w:eastAsia="Times New Roman" w:cs="Times New Roman"/>
                <w:b/>
                <w:bCs/>
                <w:sz w:val="18"/>
                <w:szCs w:val="18"/>
                <w:lang w:eastAsia="sk-SK"/>
              </w:rPr>
            </w:pPr>
            <w:r w:rsidRPr="00C4188F">
              <w:rPr>
                <w:rFonts w:eastAsia="Times New Roman" w:cs="Times New Roman"/>
                <w:b/>
                <w:bCs/>
                <w:sz w:val="18"/>
                <w:szCs w:val="18"/>
                <w:lang w:eastAsia="sk-SK"/>
              </w:rPr>
              <w:t>2</w:t>
            </w:r>
          </w:p>
        </w:tc>
        <w:tc>
          <w:tcPr>
            <w:tcW w:w="992" w:type="dxa"/>
            <w:tcBorders>
              <w:top w:val="nil"/>
              <w:left w:val="nil"/>
              <w:bottom w:val="single" w:sz="8" w:space="0" w:color="auto"/>
              <w:right w:val="nil"/>
            </w:tcBorders>
            <w:shd w:val="clear" w:color="auto" w:fill="auto"/>
            <w:noWrap/>
            <w:vAlign w:val="center"/>
            <w:hideMark/>
          </w:tcPr>
          <w:p w14:paraId="55149A34" w14:textId="77777777" w:rsidR="00B41352" w:rsidRPr="00C4188F" w:rsidRDefault="00B41352" w:rsidP="00B768D9">
            <w:pPr>
              <w:spacing w:after="0" w:line="240" w:lineRule="auto"/>
              <w:jc w:val="center"/>
              <w:rPr>
                <w:rFonts w:eastAsia="Times New Roman" w:cs="Times New Roman"/>
                <w:b/>
                <w:bCs/>
                <w:sz w:val="18"/>
                <w:szCs w:val="18"/>
                <w:lang w:eastAsia="sk-SK"/>
              </w:rPr>
            </w:pPr>
            <w:r w:rsidRPr="00C4188F">
              <w:rPr>
                <w:rFonts w:eastAsia="Times New Roman" w:cs="Times New Roman"/>
                <w:b/>
                <w:bCs/>
                <w:sz w:val="18"/>
                <w:szCs w:val="18"/>
                <w:lang w:eastAsia="sk-SK"/>
              </w:rPr>
              <w:t>3</w:t>
            </w:r>
          </w:p>
        </w:tc>
        <w:tc>
          <w:tcPr>
            <w:tcW w:w="1134" w:type="dxa"/>
            <w:tcBorders>
              <w:top w:val="nil"/>
              <w:left w:val="nil"/>
              <w:bottom w:val="single" w:sz="8" w:space="0" w:color="auto"/>
              <w:right w:val="nil"/>
            </w:tcBorders>
            <w:shd w:val="clear" w:color="auto" w:fill="auto"/>
            <w:noWrap/>
            <w:vAlign w:val="center"/>
            <w:hideMark/>
          </w:tcPr>
          <w:p w14:paraId="126CA711" w14:textId="77777777" w:rsidR="00B41352" w:rsidRPr="00C4188F" w:rsidRDefault="00B41352" w:rsidP="00B768D9">
            <w:pPr>
              <w:spacing w:after="0" w:line="240" w:lineRule="auto"/>
              <w:jc w:val="center"/>
              <w:rPr>
                <w:rFonts w:eastAsia="Times New Roman" w:cs="Times New Roman"/>
                <w:b/>
                <w:bCs/>
                <w:sz w:val="18"/>
                <w:szCs w:val="18"/>
                <w:lang w:eastAsia="sk-SK"/>
              </w:rPr>
            </w:pPr>
            <w:r w:rsidRPr="00C4188F">
              <w:rPr>
                <w:rFonts w:eastAsia="Times New Roman" w:cs="Times New Roman"/>
                <w:b/>
                <w:bCs/>
                <w:sz w:val="18"/>
                <w:szCs w:val="18"/>
                <w:lang w:eastAsia="sk-SK"/>
              </w:rPr>
              <w:t>4</w:t>
            </w:r>
          </w:p>
        </w:tc>
        <w:tc>
          <w:tcPr>
            <w:tcW w:w="992" w:type="dxa"/>
            <w:tcBorders>
              <w:top w:val="nil"/>
              <w:left w:val="nil"/>
              <w:bottom w:val="single" w:sz="8" w:space="0" w:color="auto"/>
              <w:right w:val="nil"/>
            </w:tcBorders>
            <w:shd w:val="clear" w:color="auto" w:fill="auto"/>
            <w:noWrap/>
            <w:vAlign w:val="center"/>
            <w:hideMark/>
          </w:tcPr>
          <w:p w14:paraId="6D51F969" w14:textId="77777777" w:rsidR="00B41352" w:rsidRPr="00C4188F" w:rsidRDefault="00B41352" w:rsidP="00B768D9">
            <w:pPr>
              <w:spacing w:after="0" w:line="240" w:lineRule="auto"/>
              <w:jc w:val="center"/>
              <w:rPr>
                <w:rFonts w:eastAsia="Times New Roman" w:cs="Times New Roman"/>
                <w:b/>
                <w:bCs/>
                <w:sz w:val="18"/>
                <w:szCs w:val="18"/>
                <w:lang w:eastAsia="sk-SK"/>
              </w:rPr>
            </w:pPr>
            <w:r w:rsidRPr="00C4188F">
              <w:rPr>
                <w:rFonts w:eastAsia="Times New Roman" w:cs="Times New Roman"/>
                <w:b/>
                <w:bCs/>
                <w:sz w:val="18"/>
                <w:szCs w:val="18"/>
                <w:lang w:eastAsia="sk-SK"/>
              </w:rPr>
              <w:t>5</w:t>
            </w:r>
          </w:p>
        </w:tc>
        <w:tc>
          <w:tcPr>
            <w:tcW w:w="992" w:type="dxa"/>
            <w:tcBorders>
              <w:top w:val="nil"/>
              <w:left w:val="nil"/>
              <w:bottom w:val="single" w:sz="8" w:space="0" w:color="auto"/>
              <w:right w:val="nil"/>
            </w:tcBorders>
            <w:shd w:val="clear" w:color="auto" w:fill="auto"/>
            <w:noWrap/>
            <w:vAlign w:val="center"/>
            <w:hideMark/>
          </w:tcPr>
          <w:p w14:paraId="7CDA20DC" w14:textId="77777777" w:rsidR="00B41352" w:rsidRPr="00C4188F" w:rsidRDefault="00B41352" w:rsidP="00B768D9">
            <w:pPr>
              <w:spacing w:after="0" w:line="240" w:lineRule="auto"/>
              <w:jc w:val="center"/>
              <w:rPr>
                <w:rFonts w:eastAsia="Times New Roman" w:cs="Times New Roman"/>
                <w:b/>
                <w:bCs/>
                <w:sz w:val="18"/>
                <w:szCs w:val="18"/>
                <w:lang w:eastAsia="sk-SK"/>
              </w:rPr>
            </w:pPr>
            <w:r w:rsidRPr="00C4188F">
              <w:rPr>
                <w:rFonts w:eastAsia="Times New Roman" w:cs="Times New Roman"/>
                <w:b/>
                <w:bCs/>
                <w:sz w:val="18"/>
                <w:szCs w:val="18"/>
                <w:lang w:eastAsia="sk-SK"/>
              </w:rPr>
              <w:t>6=4-3</w:t>
            </w:r>
          </w:p>
        </w:tc>
        <w:tc>
          <w:tcPr>
            <w:tcW w:w="709" w:type="dxa"/>
            <w:tcBorders>
              <w:top w:val="nil"/>
              <w:left w:val="nil"/>
              <w:bottom w:val="single" w:sz="8" w:space="0" w:color="auto"/>
              <w:right w:val="nil"/>
            </w:tcBorders>
            <w:shd w:val="clear" w:color="auto" w:fill="auto"/>
            <w:noWrap/>
            <w:vAlign w:val="center"/>
            <w:hideMark/>
          </w:tcPr>
          <w:p w14:paraId="572B9188" w14:textId="77777777" w:rsidR="00B41352" w:rsidRPr="00C4188F" w:rsidRDefault="00B41352" w:rsidP="00B768D9">
            <w:pPr>
              <w:spacing w:after="0" w:line="240" w:lineRule="auto"/>
              <w:jc w:val="center"/>
              <w:rPr>
                <w:rFonts w:eastAsia="Times New Roman" w:cs="Times New Roman"/>
                <w:b/>
                <w:bCs/>
                <w:sz w:val="18"/>
                <w:szCs w:val="18"/>
                <w:lang w:eastAsia="sk-SK"/>
              </w:rPr>
            </w:pPr>
            <w:r w:rsidRPr="00C4188F">
              <w:rPr>
                <w:rFonts w:eastAsia="Times New Roman" w:cs="Times New Roman"/>
                <w:b/>
                <w:bCs/>
                <w:sz w:val="18"/>
                <w:szCs w:val="18"/>
                <w:lang w:eastAsia="sk-SK"/>
              </w:rPr>
              <w:t>7=4-3</w:t>
            </w:r>
          </w:p>
        </w:tc>
      </w:tr>
      <w:tr w:rsidR="005A0EB2" w:rsidRPr="00C4188F" w14:paraId="5C2043E5" w14:textId="77777777" w:rsidTr="00473BC0">
        <w:trPr>
          <w:trHeight w:val="345"/>
        </w:trPr>
        <w:tc>
          <w:tcPr>
            <w:tcW w:w="2694" w:type="dxa"/>
            <w:tcBorders>
              <w:top w:val="nil"/>
              <w:left w:val="nil"/>
              <w:bottom w:val="nil"/>
              <w:right w:val="nil"/>
            </w:tcBorders>
            <w:shd w:val="clear" w:color="000000" w:fill="FFFFFF"/>
            <w:noWrap/>
            <w:vAlign w:val="center"/>
            <w:hideMark/>
          </w:tcPr>
          <w:p w14:paraId="2E0D177E" w14:textId="77777777" w:rsidR="00776B01" w:rsidRPr="00C4188F" w:rsidRDefault="00776B01" w:rsidP="00B768D9">
            <w:pPr>
              <w:spacing w:after="0" w:line="240" w:lineRule="auto"/>
              <w:rPr>
                <w:rFonts w:eastAsia="Times New Roman" w:cs="Times New Roman"/>
                <w:color w:val="000000"/>
                <w:sz w:val="18"/>
                <w:szCs w:val="18"/>
                <w:lang w:eastAsia="sk-SK"/>
              </w:rPr>
            </w:pPr>
            <w:r w:rsidRPr="00C4188F">
              <w:rPr>
                <w:rFonts w:eastAsia="Times New Roman" w:cs="Times New Roman"/>
                <w:color w:val="000000"/>
                <w:sz w:val="18"/>
                <w:szCs w:val="18"/>
                <w:lang w:eastAsia="sk-SK"/>
              </w:rPr>
              <w:t>Ministerstvo školstva, vedy, výsk. a športu SR</w:t>
            </w:r>
          </w:p>
        </w:tc>
        <w:tc>
          <w:tcPr>
            <w:tcW w:w="1275" w:type="dxa"/>
            <w:tcBorders>
              <w:top w:val="nil"/>
              <w:left w:val="nil"/>
              <w:bottom w:val="nil"/>
              <w:right w:val="nil"/>
            </w:tcBorders>
            <w:shd w:val="clear" w:color="auto" w:fill="auto"/>
            <w:noWrap/>
            <w:vAlign w:val="center"/>
            <w:hideMark/>
          </w:tcPr>
          <w:p w14:paraId="474B0C46"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11 683</w:t>
            </w:r>
          </w:p>
        </w:tc>
        <w:tc>
          <w:tcPr>
            <w:tcW w:w="993" w:type="dxa"/>
            <w:tcBorders>
              <w:top w:val="nil"/>
              <w:left w:val="nil"/>
              <w:bottom w:val="nil"/>
              <w:right w:val="nil"/>
            </w:tcBorders>
            <w:shd w:val="clear" w:color="auto" w:fill="auto"/>
            <w:noWrap/>
            <w:vAlign w:val="center"/>
            <w:hideMark/>
          </w:tcPr>
          <w:p w14:paraId="2522A88E"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1 245 324</w:t>
            </w:r>
          </w:p>
        </w:tc>
        <w:tc>
          <w:tcPr>
            <w:tcW w:w="992" w:type="dxa"/>
            <w:tcBorders>
              <w:top w:val="nil"/>
              <w:left w:val="nil"/>
              <w:bottom w:val="nil"/>
              <w:right w:val="nil"/>
            </w:tcBorders>
            <w:shd w:val="clear" w:color="000000" w:fill="FFFFFF"/>
            <w:noWrap/>
            <w:vAlign w:val="center"/>
            <w:hideMark/>
          </w:tcPr>
          <w:p w14:paraId="3DA9223B"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1 448 692</w:t>
            </w:r>
          </w:p>
        </w:tc>
        <w:tc>
          <w:tcPr>
            <w:tcW w:w="1134" w:type="dxa"/>
            <w:tcBorders>
              <w:top w:val="nil"/>
              <w:left w:val="nil"/>
              <w:bottom w:val="nil"/>
              <w:right w:val="nil"/>
            </w:tcBorders>
            <w:shd w:val="clear" w:color="auto" w:fill="auto"/>
            <w:noWrap/>
            <w:vAlign w:val="center"/>
            <w:hideMark/>
          </w:tcPr>
          <w:p w14:paraId="1C9318B0"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1 433 501</w:t>
            </w:r>
          </w:p>
        </w:tc>
        <w:tc>
          <w:tcPr>
            <w:tcW w:w="992" w:type="dxa"/>
            <w:tcBorders>
              <w:top w:val="nil"/>
              <w:left w:val="nil"/>
              <w:bottom w:val="nil"/>
              <w:right w:val="nil"/>
            </w:tcBorders>
            <w:shd w:val="clear" w:color="auto" w:fill="auto"/>
            <w:noWrap/>
            <w:vAlign w:val="center"/>
            <w:hideMark/>
          </w:tcPr>
          <w:p w14:paraId="5226D6F4"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1 408 300</w:t>
            </w:r>
          </w:p>
        </w:tc>
        <w:tc>
          <w:tcPr>
            <w:tcW w:w="992" w:type="dxa"/>
            <w:tcBorders>
              <w:top w:val="nil"/>
              <w:left w:val="nil"/>
              <w:bottom w:val="nil"/>
              <w:right w:val="nil"/>
            </w:tcBorders>
            <w:shd w:val="clear" w:color="000000" w:fill="FFFFFF"/>
            <w:noWrap/>
            <w:vAlign w:val="center"/>
            <w:hideMark/>
          </w:tcPr>
          <w:p w14:paraId="37111F44"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-15 191</w:t>
            </w:r>
          </w:p>
        </w:tc>
        <w:tc>
          <w:tcPr>
            <w:tcW w:w="709" w:type="dxa"/>
            <w:tcBorders>
              <w:top w:val="nil"/>
              <w:left w:val="nil"/>
              <w:bottom w:val="nil"/>
              <w:right w:val="nil"/>
            </w:tcBorders>
            <w:shd w:val="clear" w:color="000000" w:fill="FFFFFF"/>
            <w:noWrap/>
            <w:vAlign w:val="center"/>
            <w:hideMark/>
          </w:tcPr>
          <w:p w14:paraId="26E93844"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-1,0</w:t>
            </w:r>
          </w:p>
        </w:tc>
      </w:tr>
      <w:tr w:rsidR="005A0EB2" w:rsidRPr="00C4188F" w14:paraId="31804C1B" w14:textId="77777777" w:rsidTr="00473BC0">
        <w:trPr>
          <w:trHeight w:val="345"/>
        </w:trPr>
        <w:tc>
          <w:tcPr>
            <w:tcW w:w="2694" w:type="dxa"/>
            <w:tcBorders>
              <w:top w:val="nil"/>
              <w:left w:val="nil"/>
              <w:bottom w:val="nil"/>
              <w:right w:val="nil"/>
            </w:tcBorders>
            <w:shd w:val="clear" w:color="000000" w:fill="FFFFFF"/>
            <w:noWrap/>
            <w:vAlign w:val="center"/>
            <w:hideMark/>
          </w:tcPr>
          <w:p w14:paraId="5CD99510" w14:textId="77777777" w:rsidR="00776B01" w:rsidRPr="00C4188F" w:rsidRDefault="00776B01" w:rsidP="00B768D9">
            <w:pPr>
              <w:spacing w:after="0" w:line="240" w:lineRule="auto"/>
              <w:rPr>
                <w:rFonts w:eastAsia="Times New Roman" w:cs="Times New Roman"/>
                <w:color w:val="000000"/>
                <w:sz w:val="18"/>
                <w:szCs w:val="18"/>
                <w:lang w:eastAsia="sk-SK"/>
              </w:rPr>
            </w:pPr>
            <w:r w:rsidRPr="00C4188F">
              <w:rPr>
                <w:rFonts w:eastAsia="Times New Roman" w:cs="Times New Roman"/>
                <w:color w:val="000000"/>
                <w:sz w:val="18"/>
                <w:szCs w:val="18"/>
                <w:lang w:eastAsia="sk-SK"/>
              </w:rPr>
              <w:t xml:space="preserve">Ministerstvo investícií, </w:t>
            </w:r>
            <w:proofErr w:type="spellStart"/>
            <w:r w:rsidRPr="00C4188F">
              <w:rPr>
                <w:rFonts w:eastAsia="Times New Roman" w:cs="Times New Roman"/>
                <w:color w:val="000000"/>
                <w:sz w:val="18"/>
                <w:szCs w:val="18"/>
                <w:lang w:eastAsia="sk-SK"/>
              </w:rPr>
              <w:t>reg.rozvoja</w:t>
            </w:r>
            <w:proofErr w:type="spellEnd"/>
            <w:r w:rsidRPr="00C4188F">
              <w:rPr>
                <w:rFonts w:eastAsia="Times New Roman" w:cs="Times New Roman"/>
                <w:color w:val="000000"/>
                <w:sz w:val="18"/>
                <w:szCs w:val="18"/>
                <w:lang w:eastAsia="sk-SK"/>
              </w:rPr>
              <w:t xml:space="preserve"> a infor.SR </w:t>
            </w:r>
          </w:p>
        </w:tc>
        <w:tc>
          <w:tcPr>
            <w:tcW w:w="1275" w:type="dxa"/>
            <w:tcBorders>
              <w:top w:val="nil"/>
              <w:left w:val="nil"/>
              <w:bottom w:val="nil"/>
              <w:right w:val="nil"/>
            </w:tcBorders>
            <w:shd w:val="clear" w:color="auto" w:fill="auto"/>
            <w:noWrap/>
            <w:vAlign w:val="center"/>
            <w:hideMark/>
          </w:tcPr>
          <w:p w14:paraId="22385DBB"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95 579</w:t>
            </w:r>
          </w:p>
        </w:tc>
        <w:tc>
          <w:tcPr>
            <w:tcW w:w="993" w:type="dxa"/>
            <w:tcBorders>
              <w:top w:val="nil"/>
              <w:left w:val="nil"/>
              <w:bottom w:val="nil"/>
              <w:right w:val="nil"/>
            </w:tcBorders>
            <w:shd w:val="clear" w:color="auto" w:fill="auto"/>
            <w:noWrap/>
            <w:vAlign w:val="center"/>
            <w:hideMark/>
          </w:tcPr>
          <w:p w14:paraId="67709D62"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87 039</w:t>
            </w:r>
          </w:p>
        </w:tc>
        <w:tc>
          <w:tcPr>
            <w:tcW w:w="992" w:type="dxa"/>
            <w:tcBorders>
              <w:top w:val="nil"/>
              <w:left w:val="nil"/>
              <w:bottom w:val="nil"/>
              <w:right w:val="nil"/>
            </w:tcBorders>
            <w:shd w:val="clear" w:color="000000" w:fill="FFFFFF"/>
            <w:noWrap/>
            <w:vAlign w:val="center"/>
            <w:hideMark/>
          </w:tcPr>
          <w:p w14:paraId="66529942"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0</w:t>
            </w:r>
          </w:p>
        </w:tc>
        <w:tc>
          <w:tcPr>
            <w:tcW w:w="1134" w:type="dxa"/>
            <w:tcBorders>
              <w:top w:val="nil"/>
              <w:left w:val="nil"/>
              <w:bottom w:val="nil"/>
              <w:right w:val="nil"/>
            </w:tcBorders>
            <w:shd w:val="clear" w:color="auto" w:fill="auto"/>
            <w:noWrap/>
            <w:vAlign w:val="center"/>
            <w:hideMark/>
          </w:tcPr>
          <w:p w14:paraId="09CE5EF5"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394 699</w:t>
            </w:r>
          </w:p>
        </w:tc>
        <w:tc>
          <w:tcPr>
            <w:tcW w:w="992" w:type="dxa"/>
            <w:tcBorders>
              <w:top w:val="nil"/>
              <w:left w:val="nil"/>
              <w:bottom w:val="nil"/>
              <w:right w:val="nil"/>
            </w:tcBorders>
            <w:shd w:val="clear" w:color="auto" w:fill="auto"/>
            <w:noWrap/>
            <w:vAlign w:val="center"/>
            <w:hideMark/>
          </w:tcPr>
          <w:p w14:paraId="4D1D98A5"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613</w:t>
            </w:r>
          </w:p>
        </w:tc>
        <w:tc>
          <w:tcPr>
            <w:tcW w:w="992" w:type="dxa"/>
            <w:tcBorders>
              <w:top w:val="nil"/>
              <w:left w:val="nil"/>
              <w:bottom w:val="nil"/>
              <w:right w:val="nil"/>
            </w:tcBorders>
            <w:shd w:val="clear" w:color="000000" w:fill="FFFFFF"/>
            <w:noWrap/>
            <w:vAlign w:val="center"/>
            <w:hideMark/>
          </w:tcPr>
          <w:p w14:paraId="0375E243"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394 699</w:t>
            </w:r>
          </w:p>
        </w:tc>
        <w:tc>
          <w:tcPr>
            <w:tcW w:w="709" w:type="dxa"/>
            <w:tcBorders>
              <w:top w:val="nil"/>
              <w:left w:val="nil"/>
              <w:bottom w:val="nil"/>
              <w:right w:val="nil"/>
            </w:tcBorders>
            <w:shd w:val="clear" w:color="000000" w:fill="FFFFFF"/>
            <w:noWrap/>
            <w:vAlign w:val="center"/>
            <w:hideMark/>
          </w:tcPr>
          <w:p w14:paraId="5C75E287" w14:textId="622A3A7E" w:rsidR="00776B01" w:rsidRPr="00C4188F" w:rsidRDefault="00032FD2"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5A0EB2" w:rsidRPr="00C4188F" w14:paraId="159AEA84" w14:textId="77777777" w:rsidTr="00473BC0">
        <w:trPr>
          <w:trHeight w:val="345"/>
        </w:trPr>
        <w:tc>
          <w:tcPr>
            <w:tcW w:w="2694" w:type="dxa"/>
            <w:tcBorders>
              <w:top w:val="nil"/>
              <w:left w:val="nil"/>
              <w:bottom w:val="nil"/>
              <w:right w:val="nil"/>
            </w:tcBorders>
            <w:shd w:val="clear" w:color="000000" w:fill="FFFFFF"/>
            <w:noWrap/>
            <w:vAlign w:val="center"/>
            <w:hideMark/>
          </w:tcPr>
          <w:p w14:paraId="21F47357" w14:textId="77777777" w:rsidR="00776B01" w:rsidRPr="00C4188F" w:rsidRDefault="00776B01" w:rsidP="00B768D9">
            <w:pPr>
              <w:spacing w:after="0" w:line="240" w:lineRule="auto"/>
              <w:rPr>
                <w:rFonts w:eastAsia="Times New Roman" w:cs="Times New Roman"/>
                <w:color w:val="000000"/>
                <w:sz w:val="18"/>
                <w:szCs w:val="18"/>
                <w:lang w:eastAsia="sk-SK"/>
              </w:rPr>
            </w:pPr>
            <w:r w:rsidRPr="00C4188F">
              <w:rPr>
                <w:rFonts w:eastAsia="Times New Roman" w:cs="Times New Roman"/>
                <w:color w:val="000000"/>
                <w:sz w:val="18"/>
                <w:szCs w:val="18"/>
                <w:lang w:eastAsia="sk-SK"/>
              </w:rPr>
              <w:t xml:space="preserve">Ministerstvo práce, </w:t>
            </w:r>
            <w:proofErr w:type="spellStart"/>
            <w:r w:rsidRPr="00C4188F">
              <w:rPr>
                <w:rFonts w:eastAsia="Times New Roman" w:cs="Times New Roman"/>
                <w:color w:val="000000"/>
                <w:sz w:val="18"/>
                <w:szCs w:val="18"/>
                <w:lang w:eastAsia="sk-SK"/>
              </w:rPr>
              <w:t>soc.vecí</w:t>
            </w:r>
            <w:proofErr w:type="spellEnd"/>
            <w:r w:rsidRPr="00C4188F">
              <w:rPr>
                <w:rFonts w:eastAsia="Times New Roman" w:cs="Times New Roman"/>
                <w:color w:val="000000"/>
                <w:sz w:val="18"/>
                <w:szCs w:val="18"/>
                <w:lang w:eastAsia="sk-SK"/>
              </w:rPr>
              <w:t xml:space="preserve"> a rodiny SR</w:t>
            </w:r>
          </w:p>
        </w:tc>
        <w:tc>
          <w:tcPr>
            <w:tcW w:w="1275" w:type="dxa"/>
            <w:tcBorders>
              <w:top w:val="nil"/>
              <w:left w:val="nil"/>
              <w:bottom w:val="nil"/>
              <w:right w:val="nil"/>
            </w:tcBorders>
            <w:shd w:val="clear" w:color="auto" w:fill="auto"/>
            <w:noWrap/>
            <w:vAlign w:val="center"/>
            <w:hideMark/>
          </w:tcPr>
          <w:p w14:paraId="39F987AE"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204 588</w:t>
            </w:r>
          </w:p>
        </w:tc>
        <w:tc>
          <w:tcPr>
            <w:tcW w:w="993" w:type="dxa"/>
            <w:tcBorders>
              <w:top w:val="nil"/>
              <w:left w:val="nil"/>
              <w:bottom w:val="nil"/>
              <w:right w:val="nil"/>
            </w:tcBorders>
            <w:shd w:val="clear" w:color="auto" w:fill="auto"/>
            <w:noWrap/>
            <w:vAlign w:val="center"/>
            <w:hideMark/>
          </w:tcPr>
          <w:p w14:paraId="34D6E518"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113 464</w:t>
            </w:r>
          </w:p>
        </w:tc>
        <w:tc>
          <w:tcPr>
            <w:tcW w:w="992" w:type="dxa"/>
            <w:tcBorders>
              <w:top w:val="nil"/>
              <w:left w:val="nil"/>
              <w:bottom w:val="nil"/>
              <w:right w:val="nil"/>
            </w:tcBorders>
            <w:shd w:val="clear" w:color="000000" w:fill="FFFFFF"/>
            <w:noWrap/>
            <w:vAlign w:val="center"/>
            <w:hideMark/>
          </w:tcPr>
          <w:p w14:paraId="331F9D1D"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80 640</w:t>
            </w:r>
          </w:p>
        </w:tc>
        <w:tc>
          <w:tcPr>
            <w:tcW w:w="1134" w:type="dxa"/>
            <w:tcBorders>
              <w:top w:val="nil"/>
              <w:left w:val="nil"/>
              <w:bottom w:val="nil"/>
              <w:right w:val="nil"/>
            </w:tcBorders>
            <w:shd w:val="clear" w:color="auto" w:fill="auto"/>
            <w:noWrap/>
            <w:vAlign w:val="center"/>
            <w:hideMark/>
          </w:tcPr>
          <w:p w14:paraId="5EDB41BE"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227 224</w:t>
            </w:r>
          </w:p>
        </w:tc>
        <w:tc>
          <w:tcPr>
            <w:tcW w:w="992" w:type="dxa"/>
            <w:tcBorders>
              <w:top w:val="nil"/>
              <w:left w:val="nil"/>
              <w:bottom w:val="nil"/>
              <w:right w:val="nil"/>
            </w:tcBorders>
            <w:shd w:val="clear" w:color="auto" w:fill="auto"/>
            <w:noWrap/>
            <w:vAlign w:val="center"/>
            <w:hideMark/>
          </w:tcPr>
          <w:p w14:paraId="1C75F88E"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192 827</w:t>
            </w:r>
          </w:p>
        </w:tc>
        <w:tc>
          <w:tcPr>
            <w:tcW w:w="992" w:type="dxa"/>
            <w:tcBorders>
              <w:top w:val="nil"/>
              <w:left w:val="nil"/>
              <w:bottom w:val="nil"/>
              <w:right w:val="nil"/>
            </w:tcBorders>
            <w:shd w:val="clear" w:color="000000" w:fill="FFFFFF"/>
            <w:noWrap/>
            <w:vAlign w:val="center"/>
            <w:hideMark/>
          </w:tcPr>
          <w:p w14:paraId="74CD33F4"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146 584</w:t>
            </w:r>
          </w:p>
        </w:tc>
        <w:tc>
          <w:tcPr>
            <w:tcW w:w="709" w:type="dxa"/>
            <w:tcBorders>
              <w:top w:val="nil"/>
              <w:left w:val="nil"/>
              <w:bottom w:val="nil"/>
              <w:right w:val="nil"/>
            </w:tcBorders>
            <w:shd w:val="clear" w:color="000000" w:fill="FFFFFF"/>
            <w:noWrap/>
            <w:vAlign w:val="center"/>
            <w:hideMark/>
          </w:tcPr>
          <w:p w14:paraId="7F4F05B5"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181,8</w:t>
            </w:r>
          </w:p>
        </w:tc>
      </w:tr>
      <w:tr w:rsidR="005A0EB2" w:rsidRPr="00C4188F" w14:paraId="68F0F97E" w14:textId="77777777" w:rsidTr="00473BC0">
        <w:trPr>
          <w:trHeight w:val="330"/>
        </w:trPr>
        <w:tc>
          <w:tcPr>
            <w:tcW w:w="2694" w:type="dxa"/>
            <w:tcBorders>
              <w:top w:val="nil"/>
              <w:left w:val="nil"/>
              <w:bottom w:val="nil"/>
              <w:right w:val="nil"/>
            </w:tcBorders>
            <w:shd w:val="clear" w:color="000000" w:fill="FFFFFF"/>
            <w:noWrap/>
            <w:vAlign w:val="center"/>
            <w:hideMark/>
          </w:tcPr>
          <w:p w14:paraId="732383DF" w14:textId="77777777" w:rsidR="00776B01" w:rsidRPr="00C4188F" w:rsidRDefault="00776B01" w:rsidP="00B768D9">
            <w:pPr>
              <w:spacing w:after="0" w:line="240" w:lineRule="auto"/>
              <w:rPr>
                <w:rFonts w:eastAsia="Times New Roman" w:cs="Times New Roman"/>
                <w:color w:val="000000"/>
                <w:sz w:val="18"/>
                <w:szCs w:val="18"/>
                <w:lang w:eastAsia="sk-SK"/>
              </w:rPr>
            </w:pPr>
            <w:r w:rsidRPr="00C4188F">
              <w:rPr>
                <w:rFonts w:eastAsia="Times New Roman" w:cs="Times New Roman"/>
                <w:color w:val="000000"/>
                <w:sz w:val="18"/>
                <w:szCs w:val="18"/>
                <w:lang w:eastAsia="sk-SK"/>
              </w:rPr>
              <w:t>Ministerstvo vnútra SR</w:t>
            </w:r>
          </w:p>
        </w:tc>
        <w:tc>
          <w:tcPr>
            <w:tcW w:w="1275" w:type="dxa"/>
            <w:tcBorders>
              <w:top w:val="nil"/>
              <w:left w:val="nil"/>
              <w:bottom w:val="nil"/>
              <w:right w:val="nil"/>
            </w:tcBorders>
            <w:shd w:val="clear" w:color="auto" w:fill="auto"/>
            <w:noWrap/>
            <w:vAlign w:val="center"/>
            <w:hideMark/>
          </w:tcPr>
          <w:p w14:paraId="3486EB83"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1 321 234</w:t>
            </w:r>
          </w:p>
        </w:tc>
        <w:tc>
          <w:tcPr>
            <w:tcW w:w="993" w:type="dxa"/>
            <w:tcBorders>
              <w:top w:val="nil"/>
              <w:left w:val="nil"/>
              <w:bottom w:val="nil"/>
              <w:right w:val="nil"/>
            </w:tcBorders>
            <w:shd w:val="clear" w:color="auto" w:fill="auto"/>
            <w:noWrap/>
            <w:vAlign w:val="center"/>
            <w:hideMark/>
          </w:tcPr>
          <w:p w14:paraId="3705D0D7"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120 553</w:t>
            </w:r>
          </w:p>
        </w:tc>
        <w:tc>
          <w:tcPr>
            <w:tcW w:w="992" w:type="dxa"/>
            <w:tcBorders>
              <w:top w:val="nil"/>
              <w:left w:val="nil"/>
              <w:bottom w:val="nil"/>
              <w:right w:val="nil"/>
            </w:tcBorders>
            <w:shd w:val="clear" w:color="000000" w:fill="FFFFFF"/>
            <w:noWrap/>
            <w:vAlign w:val="center"/>
            <w:hideMark/>
          </w:tcPr>
          <w:p w14:paraId="7529902F"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13 774</w:t>
            </w:r>
          </w:p>
        </w:tc>
        <w:tc>
          <w:tcPr>
            <w:tcW w:w="1134" w:type="dxa"/>
            <w:tcBorders>
              <w:top w:val="nil"/>
              <w:left w:val="nil"/>
              <w:bottom w:val="nil"/>
              <w:right w:val="nil"/>
            </w:tcBorders>
            <w:shd w:val="clear" w:color="auto" w:fill="auto"/>
            <w:noWrap/>
            <w:vAlign w:val="center"/>
            <w:hideMark/>
          </w:tcPr>
          <w:p w14:paraId="568D513C"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201 883</w:t>
            </w:r>
          </w:p>
        </w:tc>
        <w:tc>
          <w:tcPr>
            <w:tcW w:w="992" w:type="dxa"/>
            <w:tcBorders>
              <w:top w:val="nil"/>
              <w:left w:val="nil"/>
              <w:bottom w:val="nil"/>
              <w:right w:val="nil"/>
            </w:tcBorders>
            <w:shd w:val="clear" w:color="auto" w:fill="auto"/>
            <w:noWrap/>
            <w:vAlign w:val="center"/>
            <w:hideMark/>
          </w:tcPr>
          <w:p w14:paraId="067255E0"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26 979</w:t>
            </w:r>
          </w:p>
        </w:tc>
        <w:tc>
          <w:tcPr>
            <w:tcW w:w="992" w:type="dxa"/>
            <w:tcBorders>
              <w:top w:val="nil"/>
              <w:left w:val="nil"/>
              <w:bottom w:val="nil"/>
              <w:right w:val="nil"/>
            </w:tcBorders>
            <w:shd w:val="clear" w:color="000000" w:fill="FFFFFF"/>
            <w:noWrap/>
            <w:vAlign w:val="center"/>
            <w:hideMark/>
          </w:tcPr>
          <w:p w14:paraId="6B551524"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188 109</w:t>
            </w:r>
          </w:p>
        </w:tc>
        <w:tc>
          <w:tcPr>
            <w:tcW w:w="709" w:type="dxa"/>
            <w:tcBorders>
              <w:top w:val="nil"/>
              <w:left w:val="nil"/>
              <w:bottom w:val="nil"/>
              <w:right w:val="nil"/>
            </w:tcBorders>
            <w:shd w:val="clear" w:color="000000" w:fill="FFFFFF"/>
            <w:noWrap/>
            <w:vAlign w:val="center"/>
            <w:hideMark/>
          </w:tcPr>
          <w:p w14:paraId="3A18EAB5"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1 365,7</w:t>
            </w:r>
          </w:p>
        </w:tc>
      </w:tr>
      <w:tr w:rsidR="005A0EB2" w:rsidRPr="00C4188F" w14:paraId="69BDD0BC" w14:textId="77777777" w:rsidTr="00473BC0">
        <w:trPr>
          <w:trHeight w:val="330"/>
        </w:trPr>
        <w:tc>
          <w:tcPr>
            <w:tcW w:w="2694" w:type="dxa"/>
            <w:tcBorders>
              <w:top w:val="nil"/>
              <w:left w:val="nil"/>
              <w:bottom w:val="nil"/>
              <w:right w:val="nil"/>
            </w:tcBorders>
            <w:shd w:val="clear" w:color="000000" w:fill="FFFFFF"/>
            <w:noWrap/>
            <w:vAlign w:val="center"/>
            <w:hideMark/>
          </w:tcPr>
          <w:p w14:paraId="7FA04B82" w14:textId="77777777" w:rsidR="00776B01" w:rsidRPr="00C4188F" w:rsidRDefault="00776B01" w:rsidP="00B768D9">
            <w:pPr>
              <w:spacing w:after="0" w:line="240" w:lineRule="auto"/>
              <w:rPr>
                <w:rFonts w:eastAsia="Times New Roman" w:cs="Times New Roman"/>
                <w:color w:val="000000"/>
                <w:sz w:val="18"/>
                <w:szCs w:val="18"/>
                <w:lang w:eastAsia="sk-SK"/>
              </w:rPr>
            </w:pPr>
            <w:r w:rsidRPr="00C4188F">
              <w:rPr>
                <w:rFonts w:eastAsia="Times New Roman" w:cs="Times New Roman"/>
                <w:color w:val="000000"/>
                <w:sz w:val="18"/>
                <w:szCs w:val="18"/>
                <w:lang w:eastAsia="sk-SK"/>
              </w:rPr>
              <w:t>Ministerstvo životného prostredia SR</w:t>
            </w:r>
          </w:p>
        </w:tc>
        <w:tc>
          <w:tcPr>
            <w:tcW w:w="1275" w:type="dxa"/>
            <w:tcBorders>
              <w:top w:val="nil"/>
              <w:left w:val="nil"/>
              <w:bottom w:val="nil"/>
              <w:right w:val="nil"/>
            </w:tcBorders>
            <w:shd w:val="clear" w:color="auto" w:fill="auto"/>
            <w:noWrap/>
            <w:vAlign w:val="center"/>
            <w:hideMark/>
          </w:tcPr>
          <w:p w14:paraId="437DBA47"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53 486</w:t>
            </w:r>
          </w:p>
        </w:tc>
        <w:tc>
          <w:tcPr>
            <w:tcW w:w="993" w:type="dxa"/>
            <w:tcBorders>
              <w:top w:val="nil"/>
              <w:left w:val="nil"/>
              <w:bottom w:val="nil"/>
              <w:right w:val="nil"/>
            </w:tcBorders>
            <w:shd w:val="clear" w:color="auto" w:fill="auto"/>
            <w:noWrap/>
            <w:vAlign w:val="center"/>
            <w:hideMark/>
          </w:tcPr>
          <w:p w14:paraId="49601FF7"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59 021</w:t>
            </w:r>
          </w:p>
        </w:tc>
        <w:tc>
          <w:tcPr>
            <w:tcW w:w="992" w:type="dxa"/>
            <w:tcBorders>
              <w:top w:val="nil"/>
              <w:left w:val="nil"/>
              <w:bottom w:val="nil"/>
              <w:right w:val="nil"/>
            </w:tcBorders>
            <w:shd w:val="clear" w:color="000000" w:fill="FFFFFF"/>
            <w:noWrap/>
            <w:vAlign w:val="center"/>
            <w:hideMark/>
          </w:tcPr>
          <w:p w14:paraId="07B72F56"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0</w:t>
            </w:r>
          </w:p>
        </w:tc>
        <w:tc>
          <w:tcPr>
            <w:tcW w:w="1134" w:type="dxa"/>
            <w:tcBorders>
              <w:top w:val="nil"/>
              <w:left w:val="nil"/>
              <w:bottom w:val="nil"/>
              <w:right w:val="nil"/>
            </w:tcBorders>
            <w:shd w:val="clear" w:color="auto" w:fill="auto"/>
            <w:noWrap/>
            <w:vAlign w:val="center"/>
            <w:hideMark/>
          </w:tcPr>
          <w:p w14:paraId="199F993D"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180 786</w:t>
            </w:r>
          </w:p>
        </w:tc>
        <w:tc>
          <w:tcPr>
            <w:tcW w:w="992" w:type="dxa"/>
            <w:tcBorders>
              <w:top w:val="nil"/>
              <w:left w:val="nil"/>
              <w:bottom w:val="nil"/>
              <w:right w:val="nil"/>
            </w:tcBorders>
            <w:shd w:val="clear" w:color="auto" w:fill="auto"/>
            <w:noWrap/>
            <w:vAlign w:val="center"/>
            <w:hideMark/>
          </w:tcPr>
          <w:p w14:paraId="1AC665F8"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x</w:t>
            </w:r>
          </w:p>
        </w:tc>
        <w:tc>
          <w:tcPr>
            <w:tcW w:w="992" w:type="dxa"/>
            <w:tcBorders>
              <w:top w:val="nil"/>
              <w:left w:val="nil"/>
              <w:bottom w:val="nil"/>
              <w:right w:val="nil"/>
            </w:tcBorders>
            <w:shd w:val="clear" w:color="000000" w:fill="FFFFFF"/>
            <w:noWrap/>
            <w:vAlign w:val="center"/>
            <w:hideMark/>
          </w:tcPr>
          <w:p w14:paraId="4842A666"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180 786</w:t>
            </w:r>
          </w:p>
        </w:tc>
        <w:tc>
          <w:tcPr>
            <w:tcW w:w="709" w:type="dxa"/>
            <w:tcBorders>
              <w:top w:val="nil"/>
              <w:left w:val="nil"/>
              <w:bottom w:val="nil"/>
              <w:right w:val="nil"/>
            </w:tcBorders>
            <w:shd w:val="clear" w:color="000000" w:fill="FFFFFF"/>
            <w:noWrap/>
            <w:vAlign w:val="center"/>
            <w:hideMark/>
          </w:tcPr>
          <w:p w14:paraId="3FF65F96" w14:textId="368596BC" w:rsidR="00776B01" w:rsidRPr="00C4188F" w:rsidRDefault="00032FD2"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5A0EB2" w:rsidRPr="00C4188F" w14:paraId="6183A758" w14:textId="77777777" w:rsidTr="00473BC0">
        <w:trPr>
          <w:trHeight w:val="330"/>
        </w:trPr>
        <w:tc>
          <w:tcPr>
            <w:tcW w:w="2694" w:type="dxa"/>
            <w:tcBorders>
              <w:top w:val="nil"/>
              <w:left w:val="nil"/>
              <w:bottom w:val="nil"/>
              <w:right w:val="nil"/>
            </w:tcBorders>
            <w:shd w:val="clear" w:color="000000" w:fill="FFFFFF"/>
            <w:noWrap/>
            <w:vAlign w:val="center"/>
            <w:hideMark/>
          </w:tcPr>
          <w:p w14:paraId="31FDB4EF" w14:textId="77777777" w:rsidR="00776B01" w:rsidRPr="00C4188F" w:rsidRDefault="00776B01" w:rsidP="00B768D9">
            <w:pPr>
              <w:spacing w:after="0" w:line="240" w:lineRule="auto"/>
              <w:rPr>
                <w:rFonts w:eastAsia="Times New Roman" w:cs="Times New Roman"/>
                <w:color w:val="000000"/>
                <w:sz w:val="18"/>
                <w:szCs w:val="18"/>
                <w:lang w:eastAsia="sk-SK"/>
              </w:rPr>
            </w:pPr>
            <w:r w:rsidRPr="00C4188F">
              <w:rPr>
                <w:rFonts w:eastAsia="Times New Roman" w:cs="Times New Roman"/>
                <w:color w:val="000000"/>
                <w:sz w:val="18"/>
                <w:szCs w:val="18"/>
                <w:lang w:eastAsia="sk-SK"/>
              </w:rPr>
              <w:t>Všeobecná pokladničná správa</w:t>
            </w:r>
          </w:p>
        </w:tc>
        <w:tc>
          <w:tcPr>
            <w:tcW w:w="1275" w:type="dxa"/>
            <w:tcBorders>
              <w:top w:val="nil"/>
              <w:left w:val="nil"/>
              <w:bottom w:val="nil"/>
              <w:right w:val="nil"/>
            </w:tcBorders>
            <w:shd w:val="clear" w:color="auto" w:fill="auto"/>
            <w:noWrap/>
            <w:vAlign w:val="center"/>
            <w:hideMark/>
          </w:tcPr>
          <w:p w14:paraId="6D12F93B"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7 856</w:t>
            </w:r>
          </w:p>
        </w:tc>
        <w:tc>
          <w:tcPr>
            <w:tcW w:w="993" w:type="dxa"/>
            <w:tcBorders>
              <w:top w:val="nil"/>
              <w:left w:val="nil"/>
              <w:bottom w:val="nil"/>
              <w:right w:val="nil"/>
            </w:tcBorders>
            <w:shd w:val="clear" w:color="auto" w:fill="auto"/>
            <w:noWrap/>
            <w:vAlign w:val="center"/>
            <w:hideMark/>
          </w:tcPr>
          <w:p w14:paraId="0BF0466C"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1 893</w:t>
            </w:r>
          </w:p>
        </w:tc>
        <w:tc>
          <w:tcPr>
            <w:tcW w:w="992" w:type="dxa"/>
            <w:tcBorders>
              <w:top w:val="nil"/>
              <w:left w:val="nil"/>
              <w:bottom w:val="nil"/>
              <w:right w:val="nil"/>
            </w:tcBorders>
            <w:shd w:val="clear" w:color="000000" w:fill="FFFFFF"/>
            <w:noWrap/>
            <w:vAlign w:val="center"/>
            <w:hideMark/>
          </w:tcPr>
          <w:p w14:paraId="1BCA45A0"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0</w:t>
            </w:r>
          </w:p>
        </w:tc>
        <w:tc>
          <w:tcPr>
            <w:tcW w:w="1134" w:type="dxa"/>
            <w:tcBorders>
              <w:top w:val="nil"/>
              <w:left w:val="nil"/>
              <w:bottom w:val="nil"/>
              <w:right w:val="nil"/>
            </w:tcBorders>
            <w:shd w:val="clear" w:color="auto" w:fill="auto"/>
            <w:noWrap/>
            <w:vAlign w:val="center"/>
            <w:hideMark/>
          </w:tcPr>
          <w:p w14:paraId="39DDBAEE"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92 805</w:t>
            </w:r>
          </w:p>
        </w:tc>
        <w:tc>
          <w:tcPr>
            <w:tcW w:w="992" w:type="dxa"/>
            <w:tcBorders>
              <w:top w:val="nil"/>
              <w:left w:val="nil"/>
              <w:bottom w:val="nil"/>
              <w:right w:val="nil"/>
            </w:tcBorders>
            <w:shd w:val="clear" w:color="auto" w:fill="auto"/>
            <w:noWrap/>
            <w:vAlign w:val="center"/>
            <w:hideMark/>
          </w:tcPr>
          <w:p w14:paraId="0A5911F5"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92 805</w:t>
            </w:r>
          </w:p>
        </w:tc>
        <w:tc>
          <w:tcPr>
            <w:tcW w:w="992" w:type="dxa"/>
            <w:tcBorders>
              <w:top w:val="nil"/>
              <w:left w:val="nil"/>
              <w:bottom w:val="nil"/>
              <w:right w:val="nil"/>
            </w:tcBorders>
            <w:shd w:val="clear" w:color="000000" w:fill="FFFFFF"/>
            <w:noWrap/>
            <w:vAlign w:val="center"/>
            <w:hideMark/>
          </w:tcPr>
          <w:p w14:paraId="1612A126"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92 805</w:t>
            </w:r>
          </w:p>
        </w:tc>
        <w:tc>
          <w:tcPr>
            <w:tcW w:w="709" w:type="dxa"/>
            <w:tcBorders>
              <w:top w:val="nil"/>
              <w:left w:val="nil"/>
              <w:bottom w:val="nil"/>
              <w:right w:val="nil"/>
            </w:tcBorders>
            <w:shd w:val="clear" w:color="000000" w:fill="FFFFFF"/>
            <w:noWrap/>
            <w:vAlign w:val="center"/>
            <w:hideMark/>
          </w:tcPr>
          <w:p w14:paraId="63BCEAAC" w14:textId="6883C420" w:rsidR="00776B01" w:rsidRPr="00C4188F" w:rsidRDefault="00032FD2"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5A0EB2" w:rsidRPr="00C4188F" w14:paraId="091D630F" w14:textId="77777777" w:rsidTr="00473BC0">
        <w:trPr>
          <w:trHeight w:val="330"/>
        </w:trPr>
        <w:tc>
          <w:tcPr>
            <w:tcW w:w="2694" w:type="dxa"/>
            <w:tcBorders>
              <w:top w:val="nil"/>
              <w:left w:val="nil"/>
              <w:bottom w:val="nil"/>
              <w:right w:val="nil"/>
            </w:tcBorders>
            <w:shd w:val="clear" w:color="000000" w:fill="FFFFFF"/>
            <w:noWrap/>
            <w:vAlign w:val="center"/>
            <w:hideMark/>
          </w:tcPr>
          <w:p w14:paraId="12B7B32A" w14:textId="77777777" w:rsidR="00776B01" w:rsidRPr="00C4188F" w:rsidRDefault="00776B01" w:rsidP="00B768D9">
            <w:pPr>
              <w:spacing w:after="0" w:line="240" w:lineRule="auto"/>
              <w:rPr>
                <w:rFonts w:eastAsia="Times New Roman" w:cs="Times New Roman"/>
                <w:color w:val="000000"/>
                <w:sz w:val="18"/>
                <w:szCs w:val="18"/>
                <w:lang w:eastAsia="sk-SK"/>
              </w:rPr>
            </w:pPr>
            <w:r w:rsidRPr="00C4188F">
              <w:rPr>
                <w:rFonts w:eastAsia="Times New Roman" w:cs="Times New Roman"/>
                <w:color w:val="000000"/>
                <w:sz w:val="18"/>
                <w:szCs w:val="18"/>
                <w:lang w:eastAsia="sk-SK"/>
              </w:rPr>
              <w:t>Ministerstvo dopravy SR</w:t>
            </w:r>
          </w:p>
        </w:tc>
        <w:tc>
          <w:tcPr>
            <w:tcW w:w="1275" w:type="dxa"/>
            <w:tcBorders>
              <w:top w:val="nil"/>
              <w:left w:val="nil"/>
              <w:bottom w:val="nil"/>
              <w:right w:val="nil"/>
            </w:tcBorders>
            <w:shd w:val="clear" w:color="auto" w:fill="auto"/>
            <w:noWrap/>
            <w:vAlign w:val="center"/>
            <w:hideMark/>
          </w:tcPr>
          <w:p w14:paraId="2C60FDB8"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32 970</w:t>
            </w:r>
          </w:p>
        </w:tc>
        <w:tc>
          <w:tcPr>
            <w:tcW w:w="993" w:type="dxa"/>
            <w:tcBorders>
              <w:top w:val="nil"/>
              <w:left w:val="nil"/>
              <w:bottom w:val="nil"/>
              <w:right w:val="nil"/>
            </w:tcBorders>
            <w:shd w:val="clear" w:color="auto" w:fill="auto"/>
            <w:noWrap/>
            <w:vAlign w:val="center"/>
            <w:hideMark/>
          </w:tcPr>
          <w:p w14:paraId="1FF23CCF"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36 020</w:t>
            </w:r>
          </w:p>
        </w:tc>
        <w:tc>
          <w:tcPr>
            <w:tcW w:w="992" w:type="dxa"/>
            <w:tcBorders>
              <w:top w:val="nil"/>
              <w:left w:val="nil"/>
              <w:bottom w:val="nil"/>
              <w:right w:val="nil"/>
            </w:tcBorders>
            <w:shd w:val="clear" w:color="000000" w:fill="FFFFFF"/>
            <w:noWrap/>
            <w:vAlign w:val="center"/>
            <w:hideMark/>
          </w:tcPr>
          <w:p w14:paraId="2B13972F"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10 252</w:t>
            </w:r>
          </w:p>
        </w:tc>
        <w:tc>
          <w:tcPr>
            <w:tcW w:w="1134" w:type="dxa"/>
            <w:tcBorders>
              <w:top w:val="nil"/>
              <w:left w:val="nil"/>
              <w:bottom w:val="nil"/>
              <w:right w:val="nil"/>
            </w:tcBorders>
            <w:shd w:val="clear" w:color="auto" w:fill="auto"/>
            <w:noWrap/>
            <w:vAlign w:val="center"/>
            <w:hideMark/>
          </w:tcPr>
          <w:p w14:paraId="299BB294"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40 219</w:t>
            </w:r>
          </w:p>
        </w:tc>
        <w:tc>
          <w:tcPr>
            <w:tcW w:w="992" w:type="dxa"/>
            <w:tcBorders>
              <w:top w:val="nil"/>
              <w:left w:val="nil"/>
              <w:bottom w:val="nil"/>
              <w:right w:val="nil"/>
            </w:tcBorders>
            <w:shd w:val="clear" w:color="auto" w:fill="auto"/>
            <w:noWrap/>
            <w:vAlign w:val="center"/>
            <w:hideMark/>
          </w:tcPr>
          <w:p w14:paraId="551E9CB3"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2 791</w:t>
            </w:r>
          </w:p>
        </w:tc>
        <w:tc>
          <w:tcPr>
            <w:tcW w:w="992" w:type="dxa"/>
            <w:tcBorders>
              <w:top w:val="nil"/>
              <w:left w:val="nil"/>
              <w:bottom w:val="nil"/>
              <w:right w:val="nil"/>
            </w:tcBorders>
            <w:shd w:val="clear" w:color="000000" w:fill="FFFFFF"/>
            <w:noWrap/>
            <w:vAlign w:val="center"/>
            <w:hideMark/>
          </w:tcPr>
          <w:p w14:paraId="126E5D11"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29 967</w:t>
            </w:r>
          </w:p>
        </w:tc>
        <w:tc>
          <w:tcPr>
            <w:tcW w:w="709" w:type="dxa"/>
            <w:tcBorders>
              <w:top w:val="nil"/>
              <w:left w:val="nil"/>
              <w:bottom w:val="nil"/>
              <w:right w:val="nil"/>
            </w:tcBorders>
            <w:shd w:val="clear" w:color="000000" w:fill="FFFFFF"/>
            <w:noWrap/>
            <w:vAlign w:val="center"/>
            <w:hideMark/>
          </w:tcPr>
          <w:p w14:paraId="2EF50714"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292,3</w:t>
            </w:r>
          </w:p>
        </w:tc>
      </w:tr>
      <w:tr w:rsidR="005A0EB2" w:rsidRPr="00C4188F" w14:paraId="034C0F48" w14:textId="77777777" w:rsidTr="00473BC0">
        <w:trPr>
          <w:trHeight w:val="330"/>
        </w:trPr>
        <w:tc>
          <w:tcPr>
            <w:tcW w:w="2694" w:type="dxa"/>
            <w:tcBorders>
              <w:top w:val="nil"/>
              <w:left w:val="nil"/>
              <w:bottom w:val="nil"/>
              <w:right w:val="nil"/>
            </w:tcBorders>
            <w:shd w:val="clear" w:color="000000" w:fill="FFFFFF"/>
            <w:noWrap/>
            <w:vAlign w:val="center"/>
            <w:hideMark/>
          </w:tcPr>
          <w:p w14:paraId="476DF34A" w14:textId="77777777" w:rsidR="00776B01" w:rsidRPr="00C4188F" w:rsidRDefault="00776B01" w:rsidP="00B768D9">
            <w:pPr>
              <w:spacing w:after="0" w:line="240" w:lineRule="auto"/>
              <w:rPr>
                <w:rFonts w:eastAsia="Times New Roman" w:cs="Times New Roman"/>
                <w:color w:val="000000"/>
                <w:sz w:val="18"/>
                <w:szCs w:val="18"/>
                <w:lang w:eastAsia="sk-SK"/>
              </w:rPr>
            </w:pPr>
            <w:r w:rsidRPr="00C4188F">
              <w:rPr>
                <w:rFonts w:eastAsia="Times New Roman" w:cs="Times New Roman"/>
                <w:color w:val="000000"/>
                <w:sz w:val="18"/>
                <w:szCs w:val="18"/>
                <w:lang w:eastAsia="sk-SK"/>
              </w:rPr>
              <w:t>Úrad vlády SR</w:t>
            </w:r>
          </w:p>
        </w:tc>
        <w:tc>
          <w:tcPr>
            <w:tcW w:w="1275" w:type="dxa"/>
            <w:tcBorders>
              <w:top w:val="nil"/>
              <w:left w:val="nil"/>
              <w:bottom w:val="nil"/>
              <w:right w:val="nil"/>
            </w:tcBorders>
            <w:shd w:val="clear" w:color="auto" w:fill="auto"/>
            <w:noWrap/>
            <w:vAlign w:val="center"/>
            <w:hideMark/>
          </w:tcPr>
          <w:p w14:paraId="601B4A9A"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11 750</w:t>
            </w:r>
          </w:p>
        </w:tc>
        <w:tc>
          <w:tcPr>
            <w:tcW w:w="993" w:type="dxa"/>
            <w:tcBorders>
              <w:top w:val="nil"/>
              <w:left w:val="nil"/>
              <w:bottom w:val="nil"/>
              <w:right w:val="nil"/>
            </w:tcBorders>
            <w:shd w:val="clear" w:color="auto" w:fill="auto"/>
            <w:noWrap/>
            <w:vAlign w:val="center"/>
            <w:hideMark/>
          </w:tcPr>
          <w:p w14:paraId="1209E54B"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18 556</w:t>
            </w:r>
          </w:p>
        </w:tc>
        <w:tc>
          <w:tcPr>
            <w:tcW w:w="992" w:type="dxa"/>
            <w:tcBorders>
              <w:top w:val="nil"/>
              <w:left w:val="nil"/>
              <w:bottom w:val="nil"/>
              <w:right w:val="nil"/>
            </w:tcBorders>
            <w:shd w:val="clear" w:color="000000" w:fill="FFFFFF"/>
            <w:noWrap/>
            <w:vAlign w:val="center"/>
            <w:hideMark/>
          </w:tcPr>
          <w:p w14:paraId="20AE1E94"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850</w:t>
            </w:r>
          </w:p>
        </w:tc>
        <w:tc>
          <w:tcPr>
            <w:tcW w:w="1134" w:type="dxa"/>
            <w:tcBorders>
              <w:top w:val="nil"/>
              <w:left w:val="nil"/>
              <w:bottom w:val="nil"/>
              <w:right w:val="nil"/>
            </w:tcBorders>
            <w:shd w:val="clear" w:color="auto" w:fill="auto"/>
            <w:noWrap/>
            <w:vAlign w:val="center"/>
            <w:hideMark/>
          </w:tcPr>
          <w:p w14:paraId="52D7CD4F"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20 187</w:t>
            </w:r>
          </w:p>
        </w:tc>
        <w:tc>
          <w:tcPr>
            <w:tcW w:w="992" w:type="dxa"/>
            <w:tcBorders>
              <w:top w:val="nil"/>
              <w:left w:val="nil"/>
              <w:bottom w:val="nil"/>
              <w:right w:val="nil"/>
            </w:tcBorders>
            <w:shd w:val="clear" w:color="auto" w:fill="auto"/>
            <w:noWrap/>
            <w:vAlign w:val="center"/>
            <w:hideMark/>
          </w:tcPr>
          <w:p w14:paraId="3BEC3CB8"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1 466</w:t>
            </w:r>
          </w:p>
        </w:tc>
        <w:tc>
          <w:tcPr>
            <w:tcW w:w="992" w:type="dxa"/>
            <w:tcBorders>
              <w:top w:val="nil"/>
              <w:left w:val="nil"/>
              <w:bottom w:val="nil"/>
              <w:right w:val="nil"/>
            </w:tcBorders>
            <w:shd w:val="clear" w:color="000000" w:fill="FFFFFF"/>
            <w:noWrap/>
            <w:vAlign w:val="center"/>
            <w:hideMark/>
          </w:tcPr>
          <w:p w14:paraId="70E243B2"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19 337</w:t>
            </w:r>
          </w:p>
        </w:tc>
        <w:tc>
          <w:tcPr>
            <w:tcW w:w="709" w:type="dxa"/>
            <w:tcBorders>
              <w:top w:val="nil"/>
              <w:left w:val="nil"/>
              <w:bottom w:val="nil"/>
              <w:right w:val="nil"/>
            </w:tcBorders>
            <w:shd w:val="clear" w:color="000000" w:fill="FFFFFF"/>
            <w:noWrap/>
            <w:vAlign w:val="center"/>
            <w:hideMark/>
          </w:tcPr>
          <w:p w14:paraId="334BF03C"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2 274,9</w:t>
            </w:r>
          </w:p>
        </w:tc>
      </w:tr>
      <w:tr w:rsidR="005A0EB2" w:rsidRPr="00C4188F" w14:paraId="080A92F6" w14:textId="77777777" w:rsidTr="00473BC0">
        <w:trPr>
          <w:trHeight w:val="330"/>
        </w:trPr>
        <w:tc>
          <w:tcPr>
            <w:tcW w:w="2694" w:type="dxa"/>
            <w:tcBorders>
              <w:top w:val="nil"/>
              <w:left w:val="nil"/>
              <w:bottom w:val="nil"/>
              <w:right w:val="nil"/>
            </w:tcBorders>
            <w:shd w:val="clear" w:color="000000" w:fill="FFFFFF"/>
            <w:noWrap/>
            <w:vAlign w:val="center"/>
            <w:hideMark/>
          </w:tcPr>
          <w:p w14:paraId="17F2FCB3" w14:textId="77777777" w:rsidR="00776B01" w:rsidRPr="00C4188F" w:rsidRDefault="00776B01" w:rsidP="00B768D9">
            <w:pPr>
              <w:spacing w:after="0" w:line="240" w:lineRule="auto"/>
              <w:rPr>
                <w:rFonts w:eastAsia="Times New Roman" w:cs="Times New Roman"/>
                <w:color w:val="000000"/>
                <w:sz w:val="18"/>
                <w:szCs w:val="18"/>
                <w:lang w:eastAsia="sk-SK"/>
              </w:rPr>
            </w:pPr>
            <w:r w:rsidRPr="00C4188F">
              <w:rPr>
                <w:rFonts w:eastAsia="Times New Roman" w:cs="Times New Roman"/>
                <w:color w:val="000000"/>
                <w:sz w:val="18"/>
                <w:szCs w:val="18"/>
                <w:lang w:eastAsia="sk-SK"/>
              </w:rPr>
              <w:t xml:space="preserve">Ministerstvo </w:t>
            </w:r>
            <w:proofErr w:type="spellStart"/>
            <w:r w:rsidRPr="00C4188F">
              <w:rPr>
                <w:rFonts w:eastAsia="Times New Roman" w:cs="Times New Roman"/>
                <w:color w:val="000000"/>
                <w:sz w:val="18"/>
                <w:szCs w:val="18"/>
                <w:lang w:eastAsia="sk-SK"/>
              </w:rPr>
              <w:t>pôdohospod</w:t>
            </w:r>
            <w:proofErr w:type="spellEnd"/>
            <w:r w:rsidRPr="00C4188F">
              <w:rPr>
                <w:rFonts w:eastAsia="Times New Roman" w:cs="Times New Roman"/>
                <w:color w:val="000000"/>
                <w:sz w:val="18"/>
                <w:szCs w:val="18"/>
                <w:lang w:eastAsia="sk-SK"/>
              </w:rPr>
              <w:t>. a rozvoja vidieka SR</w:t>
            </w:r>
          </w:p>
        </w:tc>
        <w:tc>
          <w:tcPr>
            <w:tcW w:w="1275" w:type="dxa"/>
            <w:tcBorders>
              <w:top w:val="nil"/>
              <w:left w:val="nil"/>
              <w:bottom w:val="nil"/>
              <w:right w:val="nil"/>
            </w:tcBorders>
            <w:shd w:val="clear" w:color="auto" w:fill="auto"/>
            <w:noWrap/>
            <w:vAlign w:val="center"/>
            <w:hideMark/>
          </w:tcPr>
          <w:p w14:paraId="5FD513B4"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7 008</w:t>
            </w:r>
          </w:p>
        </w:tc>
        <w:tc>
          <w:tcPr>
            <w:tcW w:w="993" w:type="dxa"/>
            <w:tcBorders>
              <w:top w:val="nil"/>
              <w:left w:val="nil"/>
              <w:bottom w:val="nil"/>
              <w:right w:val="nil"/>
            </w:tcBorders>
            <w:shd w:val="clear" w:color="auto" w:fill="auto"/>
            <w:noWrap/>
            <w:vAlign w:val="center"/>
            <w:hideMark/>
          </w:tcPr>
          <w:p w14:paraId="0C61C579"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14 970</w:t>
            </w:r>
          </w:p>
        </w:tc>
        <w:tc>
          <w:tcPr>
            <w:tcW w:w="992" w:type="dxa"/>
            <w:tcBorders>
              <w:top w:val="nil"/>
              <w:left w:val="nil"/>
              <w:bottom w:val="nil"/>
              <w:right w:val="nil"/>
            </w:tcBorders>
            <w:shd w:val="clear" w:color="000000" w:fill="FFFFFF"/>
            <w:noWrap/>
            <w:vAlign w:val="center"/>
            <w:hideMark/>
          </w:tcPr>
          <w:p w14:paraId="1DE167B5"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0</w:t>
            </w:r>
          </w:p>
        </w:tc>
        <w:tc>
          <w:tcPr>
            <w:tcW w:w="1134" w:type="dxa"/>
            <w:tcBorders>
              <w:top w:val="nil"/>
              <w:left w:val="nil"/>
              <w:bottom w:val="nil"/>
              <w:right w:val="nil"/>
            </w:tcBorders>
            <w:shd w:val="clear" w:color="auto" w:fill="auto"/>
            <w:noWrap/>
            <w:vAlign w:val="center"/>
            <w:hideMark/>
          </w:tcPr>
          <w:p w14:paraId="6B545FCC"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12 417</w:t>
            </w:r>
          </w:p>
        </w:tc>
        <w:tc>
          <w:tcPr>
            <w:tcW w:w="992" w:type="dxa"/>
            <w:tcBorders>
              <w:top w:val="nil"/>
              <w:left w:val="nil"/>
              <w:bottom w:val="nil"/>
              <w:right w:val="nil"/>
            </w:tcBorders>
            <w:shd w:val="clear" w:color="auto" w:fill="auto"/>
            <w:noWrap/>
            <w:vAlign w:val="center"/>
            <w:hideMark/>
          </w:tcPr>
          <w:p w14:paraId="1EEBF52B"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104</w:t>
            </w:r>
          </w:p>
        </w:tc>
        <w:tc>
          <w:tcPr>
            <w:tcW w:w="992" w:type="dxa"/>
            <w:tcBorders>
              <w:top w:val="nil"/>
              <w:left w:val="nil"/>
              <w:bottom w:val="nil"/>
              <w:right w:val="nil"/>
            </w:tcBorders>
            <w:shd w:val="clear" w:color="000000" w:fill="FFFFFF"/>
            <w:noWrap/>
            <w:vAlign w:val="center"/>
            <w:hideMark/>
          </w:tcPr>
          <w:p w14:paraId="5D29475D"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12 417</w:t>
            </w:r>
          </w:p>
        </w:tc>
        <w:tc>
          <w:tcPr>
            <w:tcW w:w="709" w:type="dxa"/>
            <w:tcBorders>
              <w:top w:val="nil"/>
              <w:left w:val="nil"/>
              <w:bottom w:val="nil"/>
              <w:right w:val="nil"/>
            </w:tcBorders>
            <w:shd w:val="clear" w:color="000000" w:fill="FFFFFF"/>
            <w:noWrap/>
            <w:vAlign w:val="center"/>
            <w:hideMark/>
          </w:tcPr>
          <w:p w14:paraId="13A3A556" w14:textId="26A0C8B1" w:rsidR="00776B01" w:rsidRPr="00C4188F" w:rsidRDefault="00032FD2"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5A0EB2" w:rsidRPr="00C4188F" w14:paraId="63D012B8" w14:textId="77777777" w:rsidTr="00473BC0">
        <w:trPr>
          <w:trHeight w:val="330"/>
        </w:trPr>
        <w:tc>
          <w:tcPr>
            <w:tcW w:w="2694" w:type="dxa"/>
            <w:tcBorders>
              <w:top w:val="nil"/>
              <w:left w:val="nil"/>
              <w:bottom w:val="nil"/>
              <w:right w:val="nil"/>
            </w:tcBorders>
            <w:shd w:val="clear" w:color="000000" w:fill="FFFFFF"/>
            <w:noWrap/>
            <w:vAlign w:val="center"/>
            <w:hideMark/>
          </w:tcPr>
          <w:p w14:paraId="18B49C1F" w14:textId="77777777" w:rsidR="00776B01" w:rsidRPr="00C4188F" w:rsidRDefault="00776B01" w:rsidP="00B768D9">
            <w:pPr>
              <w:spacing w:after="0" w:line="240" w:lineRule="auto"/>
              <w:rPr>
                <w:rFonts w:eastAsia="Times New Roman" w:cs="Times New Roman"/>
                <w:color w:val="000000"/>
                <w:sz w:val="18"/>
                <w:szCs w:val="18"/>
                <w:lang w:eastAsia="sk-SK"/>
              </w:rPr>
            </w:pPr>
            <w:r w:rsidRPr="00C4188F">
              <w:rPr>
                <w:rFonts w:eastAsia="Times New Roman" w:cs="Times New Roman"/>
                <w:color w:val="000000"/>
                <w:sz w:val="18"/>
                <w:szCs w:val="18"/>
                <w:lang w:eastAsia="sk-SK"/>
              </w:rPr>
              <w:t>Úrad pre územné plánovanie a výstavbu SR</w:t>
            </w:r>
          </w:p>
        </w:tc>
        <w:tc>
          <w:tcPr>
            <w:tcW w:w="1275" w:type="dxa"/>
            <w:tcBorders>
              <w:top w:val="nil"/>
              <w:left w:val="nil"/>
              <w:bottom w:val="nil"/>
              <w:right w:val="nil"/>
            </w:tcBorders>
            <w:shd w:val="clear" w:color="auto" w:fill="auto"/>
            <w:noWrap/>
            <w:vAlign w:val="center"/>
            <w:hideMark/>
          </w:tcPr>
          <w:p w14:paraId="63D5FFF1"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x</w:t>
            </w:r>
          </w:p>
        </w:tc>
        <w:tc>
          <w:tcPr>
            <w:tcW w:w="993" w:type="dxa"/>
            <w:tcBorders>
              <w:top w:val="nil"/>
              <w:left w:val="nil"/>
              <w:bottom w:val="nil"/>
              <w:right w:val="nil"/>
            </w:tcBorders>
            <w:shd w:val="clear" w:color="auto" w:fill="auto"/>
            <w:noWrap/>
            <w:vAlign w:val="center"/>
            <w:hideMark/>
          </w:tcPr>
          <w:p w14:paraId="23C8A09C"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x</w:t>
            </w:r>
          </w:p>
        </w:tc>
        <w:tc>
          <w:tcPr>
            <w:tcW w:w="992" w:type="dxa"/>
            <w:tcBorders>
              <w:top w:val="nil"/>
              <w:left w:val="nil"/>
              <w:bottom w:val="nil"/>
              <w:right w:val="nil"/>
            </w:tcBorders>
            <w:shd w:val="clear" w:color="000000" w:fill="FFFFFF"/>
            <w:noWrap/>
            <w:vAlign w:val="center"/>
            <w:hideMark/>
          </w:tcPr>
          <w:p w14:paraId="62C65544"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0</w:t>
            </w:r>
          </w:p>
        </w:tc>
        <w:tc>
          <w:tcPr>
            <w:tcW w:w="1134" w:type="dxa"/>
            <w:tcBorders>
              <w:top w:val="nil"/>
              <w:left w:val="nil"/>
              <w:bottom w:val="nil"/>
              <w:right w:val="nil"/>
            </w:tcBorders>
            <w:shd w:val="clear" w:color="auto" w:fill="auto"/>
            <w:noWrap/>
            <w:vAlign w:val="center"/>
            <w:hideMark/>
          </w:tcPr>
          <w:p w14:paraId="6DC1EE50"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8 797</w:t>
            </w:r>
          </w:p>
        </w:tc>
        <w:tc>
          <w:tcPr>
            <w:tcW w:w="992" w:type="dxa"/>
            <w:tcBorders>
              <w:top w:val="nil"/>
              <w:left w:val="nil"/>
              <w:bottom w:val="nil"/>
              <w:right w:val="nil"/>
            </w:tcBorders>
            <w:shd w:val="clear" w:color="auto" w:fill="auto"/>
            <w:noWrap/>
            <w:vAlign w:val="center"/>
            <w:hideMark/>
          </w:tcPr>
          <w:p w14:paraId="43E06062"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8 797</w:t>
            </w:r>
          </w:p>
        </w:tc>
        <w:tc>
          <w:tcPr>
            <w:tcW w:w="992" w:type="dxa"/>
            <w:tcBorders>
              <w:top w:val="nil"/>
              <w:left w:val="nil"/>
              <w:bottom w:val="nil"/>
              <w:right w:val="nil"/>
            </w:tcBorders>
            <w:shd w:val="clear" w:color="000000" w:fill="FFFFFF"/>
            <w:noWrap/>
            <w:vAlign w:val="center"/>
            <w:hideMark/>
          </w:tcPr>
          <w:p w14:paraId="11DE6A0B"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8 797</w:t>
            </w:r>
          </w:p>
        </w:tc>
        <w:tc>
          <w:tcPr>
            <w:tcW w:w="709" w:type="dxa"/>
            <w:tcBorders>
              <w:top w:val="nil"/>
              <w:left w:val="nil"/>
              <w:bottom w:val="nil"/>
              <w:right w:val="nil"/>
            </w:tcBorders>
            <w:shd w:val="clear" w:color="000000" w:fill="FFFFFF"/>
            <w:noWrap/>
            <w:vAlign w:val="center"/>
            <w:hideMark/>
          </w:tcPr>
          <w:p w14:paraId="1C96E4B1" w14:textId="0D5A8339" w:rsidR="00776B01" w:rsidRPr="00C4188F" w:rsidRDefault="00032FD2"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5A0EB2" w:rsidRPr="00C4188F" w14:paraId="6D60ADF6" w14:textId="77777777" w:rsidTr="00473BC0">
        <w:trPr>
          <w:trHeight w:val="330"/>
        </w:trPr>
        <w:tc>
          <w:tcPr>
            <w:tcW w:w="2694" w:type="dxa"/>
            <w:tcBorders>
              <w:top w:val="nil"/>
              <w:left w:val="nil"/>
              <w:bottom w:val="nil"/>
              <w:right w:val="nil"/>
            </w:tcBorders>
            <w:shd w:val="clear" w:color="000000" w:fill="FFFFFF"/>
            <w:noWrap/>
            <w:vAlign w:val="center"/>
            <w:hideMark/>
          </w:tcPr>
          <w:p w14:paraId="406B146E" w14:textId="77777777" w:rsidR="00776B01" w:rsidRPr="00C4188F" w:rsidRDefault="00776B01" w:rsidP="00B768D9">
            <w:pPr>
              <w:spacing w:after="0" w:line="240" w:lineRule="auto"/>
              <w:rPr>
                <w:rFonts w:eastAsia="Times New Roman" w:cs="Times New Roman"/>
                <w:color w:val="000000"/>
                <w:sz w:val="18"/>
                <w:szCs w:val="18"/>
                <w:lang w:eastAsia="sk-SK"/>
              </w:rPr>
            </w:pPr>
            <w:r w:rsidRPr="00C4188F">
              <w:rPr>
                <w:rFonts w:eastAsia="Times New Roman" w:cs="Times New Roman"/>
                <w:color w:val="000000"/>
                <w:sz w:val="18"/>
                <w:szCs w:val="18"/>
                <w:lang w:eastAsia="sk-SK"/>
              </w:rPr>
              <w:t>Ministerstvo kultúry SR</w:t>
            </w:r>
          </w:p>
        </w:tc>
        <w:tc>
          <w:tcPr>
            <w:tcW w:w="1275" w:type="dxa"/>
            <w:tcBorders>
              <w:top w:val="nil"/>
              <w:left w:val="nil"/>
              <w:bottom w:val="nil"/>
              <w:right w:val="nil"/>
            </w:tcBorders>
            <w:shd w:val="clear" w:color="auto" w:fill="auto"/>
            <w:noWrap/>
            <w:vAlign w:val="center"/>
            <w:hideMark/>
          </w:tcPr>
          <w:p w14:paraId="66FB95E7"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3 013</w:t>
            </w:r>
          </w:p>
        </w:tc>
        <w:tc>
          <w:tcPr>
            <w:tcW w:w="993" w:type="dxa"/>
            <w:tcBorders>
              <w:top w:val="nil"/>
              <w:left w:val="nil"/>
              <w:bottom w:val="nil"/>
              <w:right w:val="nil"/>
            </w:tcBorders>
            <w:shd w:val="clear" w:color="auto" w:fill="auto"/>
            <w:noWrap/>
            <w:vAlign w:val="center"/>
            <w:hideMark/>
          </w:tcPr>
          <w:p w14:paraId="5CB2A5DE"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3 922</w:t>
            </w:r>
          </w:p>
        </w:tc>
        <w:tc>
          <w:tcPr>
            <w:tcW w:w="992" w:type="dxa"/>
            <w:tcBorders>
              <w:top w:val="nil"/>
              <w:left w:val="nil"/>
              <w:bottom w:val="nil"/>
              <w:right w:val="nil"/>
            </w:tcBorders>
            <w:shd w:val="clear" w:color="000000" w:fill="FFFFFF"/>
            <w:noWrap/>
            <w:vAlign w:val="center"/>
            <w:hideMark/>
          </w:tcPr>
          <w:p w14:paraId="4C922584"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0</w:t>
            </w:r>
          </w:p>
        </w:tc>
        <w:tc>
          <w:tcPr>
            <w:tcW w:w="1134" w:type="dxa"/>
            <w:tcBorders>
              <w:top w:val="nil"/>
              <w:left w:val="nil"/>
              <w:bottom w:val="nil"/>
              <w:right w:val="nil"/>
            </w:tcBorders>
            <w:shd w:val="clear" w:color="auto" w:fill="auto"/>
            <w:noWrap/>
            <w:vAlign w:val="center"/>
            <w:hideMark/>
          </w:tcPr>
          <w:p w14:paraId="1DB61A10"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7 205</w:t>
            </w:r>
          </w:p>
        </w:tc>
        <w:tc>
          <w:tcPr>
            <w:tcW w:w="992" w:type="dxa"/>
            <w:tcBorders>
              <w:top w:val="nil"/>
              <w:left w:val="nil"/>
              <w:bottom w:val="nil"/>
              <w:right w:val="nil"/>
            </w:tcBorders>
            <w:shd w:val="clear" w:color="auto" w:fill="auto"/>
            <w:noWrap/>
            <w:vAlign w:val="center"/>
            <w:hideMark/>
          </w:tcPr>
          <w:p w14:paraId="6E129ADF"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3 294</w:t>
            </w:r>
          </w:p>
        </w:tc>
        <w:tc>
          <w:tcPr>
            <w:tcW w:w="992" w:type="dxa"/>
            <w:tcBorders>
              <w:top w:val="nil"/>
              <w:left w:val="nil"/>
              <w:bottom w:val="nil"/>
              <w:right w:val="nil"/>
            </w:tcBorders>
            <w:shd w:val="clear" w:color="000000" w:fill="FFFFFF"/>
            <w:noWrap/>
            <w:vAlign w:val="center"/>
            <w:hideMark/>
          </w:tcPr>
          <w:p w14:paraId="5ACC4CA7"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7 205</w:t>
            </w:r>
          </w:p>
        </w:tc>
        <w:tc>
          <w:tcPr>
            <w:tcW w:w="709" w:type="dxa"/>
            <w:tcBorders>
              <w:top w:val="nil"/>
              <w:left w:val="nil"/>
              <w:bottom w:val="nil"/>
              <w:right w:val="nil"/>
            </w:tcBorders>
            <w:shd w:val="clear" w:color="000000" w:fill="FFFFFF"/>
            <w:noWrap/>
            <w:vAlign w:val="center"/>
            <w:hideMark/>
          </w:tcPr>
          <w:p w14:paraId="6AA59562" w14:textId="266536A0" w:rsidR="00776B01" w:rsidRPr="00C4188F" w:rsidRDefault="00032FD2"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5A0EB2" w:rsidRPr="00C4188F" w14:paraId="1AD04703" w14:textId="77777777" w:rsidTr="00473BC0">
        <w:trPr>
          <w:trHeight w:val="330"/>
        </w:trPr>
        <w:tc>
          <w:tcPr>
            <w:tcW w:w="2694" w:type="dxa"/>
            <w:tcBorders>
              <w:top w:val="nil"/>
              <w:left w:val="nil"/>
              <w:bottom w:val="nil"/>
              <w:right w:val="nil"/>
            </w:tcBorders>
            <w:shd w:val="clear" w:color="000000" w:fill="FFFFFF"/>
            <w:noWrap/>
            <w:vAlign w:val="center"/>
            <w:hideMark/>
          </w:tcPr>
          <w:p w14:paraId="30FE9CA5" w14:textId="77777777" w:rsidR="00776B01" w:rsidRPr="00C4188F" w:rsidRDefault="00776B01" w:rsidP="00B768D9">
            <w:pPr>
              <w:spacing w:after="0" w:line="240" w:lineRule="auto"/>
              <w:rPr>
                <w:rFonts w:eastAsia="Times New Roman" w:cs="Times New Roman"/>
                <w:color w:val="000000"/>
                <w:sz w:val="18"/>
                <w:szCs w:val="18"/>
                <w:lang w:eastAsia="sk-SK"/>
              </w:rPr>
            </w:pPr>
            <w:r w:rsidRPr="00C4188F">
              <w:rPr>
                <w:rFonts w:eastAsia="Times New Roman" w:cs="Times New Roman"/>
                <w:color w:val="000000"/>
                <w:sz w:val="18"/>
                <w:szCs w:val="18"/>
                <w:lang w:eastAsia="sk-SK"/>
              </w:rPr>
              <w:t>Ministerstvo obrany SR</w:t>
            </w:r>
          </w:p>
        </w:tc>
        <w:tc>
          <w:tcPr>
            <w:tcW w:w="1275" w:type="dxa"/>
            <w:tcBorders>
              <w:top w:val="nil"/>
              <w:left w:val="nil"/>
              <w:bottom w:val="nil"/>
              <w:right w:val="nil"/>
            </w:tcBorders>
            <w:shd w:val="clear" w:color="auto" w:fill="auto"/>
            <w:noWrap/>
            <w:vAlign w:val="center"/>
            <w:hideMark/>
          </w:tcPr>
          <w:p w14:paraId="32CC3D89"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0</w:t>
            </w:r>
          </w:p>
        </w:tc>
        <w:tc>
          <w:tcPr>
            <w:tcW w:w="993" w:type="dxa"/>
            <w:tcBorders>
              <w:top w:val="nil"/>
              <w:left w:val="nil"/>
              <w:bottom w:val="nil"/>
              <w:right w:val="nil"/>
            </w:tcBorders>
            <w:shd w:val="clear" w:color="auto" w:fill="auto"/>
            <w:noWrap/>
            <w:vAlign w:val="center"/>
            <w:hideMark/>
          </w:tcPr>
          <w:p w14:paraId="60617135"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150</w:t>
            </w:r>
          </w:p>
        </w:tc>
        <w:tc>
          <w:tcPr>
            <w:tcW w:w="992" w:type="dxa"/>
            <w:tcBorders>
              <w:top w:val="nil"/>
              <w:left w:val="nil"/>
              <w:bottom w:val="nil"/>
              <w:right w:val="nil"/>
            </w:tcBorders>
            <w:shd w:val="clear" w:color="000000" w:fill="FFFFFF"/>
            <w:noWrap/>
            <w:vAlign w:val="center"/>
            <w:hideMark/>
          </w:tcPr>
          <w:p w14:paraId="1540E030"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0</w:t>
            </w:r>
          </w:p>
        </w:tc>
        <w:tc>
          <w:tcPr>
            <w:tcW w:w="1134" w:type="dxa"/>
            <w:tcBorders>
              <w:top w:val="nil"/>
              <w:left w:val="nil"/>
              <w:bottom w:val="nil"/>
              <w:right w:val="nil"/>
            </w:tcBorders>
            <w:shd w:val="clear" w:color="auto" w:fill="auto"/>
            <w:noWrap/>
            <w:vAlign w:val="center"/>
            <w:hideMark/>
          </w:tcPr>
          <w:p w14:paraId="74E5546C"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145</w:t>
            </w:r>
          </w:p>
        </w:tc>
        <w:tc>
          <w:tcPr>
            <w:tcW w:w="992" w:type="dxa"/>
            <w:tcBorders>
              <w:top w:val="nil"/>
              <w:left w:val="nil"/>
              <w:bottom w:val="nil"/>
              <w:right w:val="nil"/>
            </w:tcBorders>
            <w:shd w:val="clear" w:color="auto" w:fill="auto"/>
            <w:noWrap/>
            <w:vAlign w:val="center"/>
            <w:hideMark/>
          </w:tcPr>
          <w:p w14:paraId="1CE49BE9"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145</w:t>
            </w:r>
          </w:p>
        </w:tc>
        <w:tc>
          <w:tcPr>
            <w:tcW w:w="992" w:type="dxa"/>
            <w:tcBorders>
              <w:top w:val="nil"/>
              <w:left w:val="nil"/>
              <w:bottom w:val="nil"/>
              <w:right w:val="nil"/>
            </w:tcBorders>
            <w:shd w:val="clear" w:color="000000" w:fill="FFFFFF"/>
            <w:noWrap/>
            <w:vAlign w:val="center"/>
            <w:hideMark/>
          </w:tcPr>
          <w:p w14:paraId="093E0A0C"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145</w:t>
            </w:r>
          </w:p>
        </w:tc>
        <w:tc>
          <w:tcPr>
            <w:tcW w:w="709" w:type="dxa"/>
            <w:tcBorders>
              <w:top w:val="nil"/>
              <w:left w:val="nil"/>
              <w:bottom w:val="nil"/>
              <w:right w:val="nil"/>
            </w:tcBorders>
            <w:shd w:val="clear" w:color="000000" w:fill="FFFFFF"/>
            <w:noWrap/>
            <w:vAlign w:val="center"/>
            <w:hideMark/>
          </w:tcPr>
          <w:p w14:paraId="2C141E04" w14:textId="16A74900" w:rsidR="00776B01" w:rsidRPr="00C4188F" w:rsidRDefault="00032FD2"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5A0EB2" w:rsidRPr="00C4188F" w14:paraId="3D21DC22" w14:textId="77777777" w:rsidTr="00473BC0">
        <w:trPr>
          <w:trHeight w:val="330"/>
        </w:trPr>
        <w:tc>
          <w:tcPr>
            <w:tcW w:w="2694" w:type="dxa"/>
            <w:tcBorders>
              <w:top w:val="nil"/>
              <w:left w:val="nil"/>
              <w:bottom w:val="nil"/>
              <w:right w:val="nil"/>
            </w:tcBorders>
            <w:shd w:val="clear" w:color="000000" w:fill="FFFFFF"/>
            <w:noWrap/>
            <w:vAlign w:val="center"/>
            <w:hideMark/>
          </w:tcPr>
          <w:p w14:paraId="43410379" w14:textId="77777777" w:rsidR="00776B01" w:rsidRPr="00C4188F" w:rsidRDefault="00776B01" w:rsidP="00B768D9">
            <w:pPr>
              <w:spacing w:after="0" w:line="240" w:lineRule="auto"/>
              <w:rPr>
                <w:rFonts w:eastAsia="Times New Roman" w:cs="Times New Roman"/>
                <w:color w:val="000000"/>
                <w:sz w:val="18"/>
                <w:szCs w:val="18"/>
                <w:lang w:eastAsia="sk-SK"/>
              </w:rPr>
            </w:pPr>
            <w:r w:rsidRPr="00C4188F">
              <w:rPr>
                <w:rFonts w:eastAsia="Times New Roman" w:cs="Times New Roman"/>
                <w:color w:val="000000"/>
                <w:sz w:val="18"/>
                <w:szCs w:val="18"/>
                <w:lang w:eastAsia="sk-SK"/>
              </w:rPr>
              <w:t>Ministerstvo hospodárstva SR</w:t>
            </w:r>
          </w:p>
        </w:tc>
        <w:tc>
          <w:tcPr>
            <w:tcW w:w="1275" w:type="dxa"/>
            <w:tcBorders>
              <w:top w:val="nil"/>
              <w:left w:val="nil"/>
              <w:bottom w:val="nil"/>
              <w:right w:val="nil"/>
            </w:tcBorders>
            <w:shd w:val="clear" w:color="auto" w:fill="auto"/>
            <w:noWrap/>
            <w:vAlign w:val="center"/>
            <w:hideMark/>
          </w:tcPr>
          <w:p w14:paraId="302F1A71"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1 498</w:t>
            </w:r>
          </w:p>
        </w:tc>
        <w:tc>
          <w:tcPr>
            <w:tcW w:w="993" w:type="dxa"/>
            <w:tcBorders>
              <w:top w:val="nil"/>
              <w:left w:val="nil"/>
              <w:bottom w:val="nil"/>
              <w:right w:val="nil"/>
            </w:tcBorders>
            <w:shd w:val="clear" w:color="auto" w:fill="auto"/>
            <w:noWrap/>
            <w:vAlign w:val="center"/>
            <w:hideMark/>
          </w:tcPr>
          <w:p w14:paraId="1A162098"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980</w:t>
            </w:r>
          </w:p>
        </w:tc>
        <w:tc>
          <w:tcPr>
            <w:tcW w:w="992" w:type="dxa"/>
            <w:tcBorders>
              <w:top w:val="nil"/>
              <w:left w:val="nil"/>
              <w:bottom w:val="nil"/>
              <w:right w:val="nil"/>
            </w:tcBorders>
            <w:shd w:val="clear" w:color="000000" w:fill="FFFFFF"/>
            <w:noWrap/>
            <w:vAlign w:val="center"/>
            <w:hideMark/>
          </w:tcPr>
          <w:p w14:paraId="5DED1BE4"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0</w:t>
            </w:r>
          </w:p>
        </w:tc>
        <w:tc>
          <w:tcPr>
            <w:tcW w:w="1134" w:type="dxa"/>
            <w:tcBorders>
              <w:top w:val="nil"/>
              <w:left w:val="nil"/>
              <w:bottom w:val="nil"/>
              <w:right w:val="nil"/>
            </w:tcBorders>
            <w:shd w:val="clear" w:color="auto" w:fill="auto"/>
            <w:noWrap/>
            <w:vAlign w:val="center"/>
            <w:hideMark/>
          </w:tcPr>
          <w:p w14:paraId="6C53EE44"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x</w:t>
            </w:r>
          </w:p>
        </w:tc>
        <w:tc>
          <w:tcPr>
            <w:tcW w:w="992" w:type="dxa"/>
            <w:tcBorders>
              <w:top w:val="nil"/>
              <w:left w:val="nil"/>
              <w:bottom w:val="nil"/>
              <w:right w:val="nil"/>
            </w:tcBorders>
            <w:shd w:val="clear" w:color="auto" w:fill="auto"/>
            <w:noWrap/>
            <w:vAlign w:val="center"/>
            <w:hideMark/>
          </w:tcPr>
          <w:p w14:paraId="6AE88AE1"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x</w:t>
            </w:r>
          </w:p>
        </w:tc>
        <w:tc>
          <w:tcPr>
            <w:tcW w:w="992" w:type="dxa"/>
            <w:tcBorders>
              <w:top w:val="nil"/>
              <w:left w:val="nil"/>
              <w:bottom w:val="nil"/>
              <w:right w:val="nil"/>
            </w:tcBorders>
            <w:shd w:val="clear" w:color="000000" w:fill="FFFFFF"/>
            <w:noWrap/>
            <w:vAlign w:val="center"/>
            <w:hideMark/>
          </w:tcPr>
          <w:p w14:paraId="7624D465"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x</w:t>
            </w:r>
          </w:p>
        </w:tc>
        <w:tc>
          <w:tcPr>
            <w:tcW w:w="709" w:type="dxa"/>
            <w:tcBorders>
              <w:top w:val="nil"/>
              <w:left w:val="nil"/>
              <w:bottom w:val="nil"/>
              <w:right w:val="nil"/>
            </w:tcBorders>
            <w:shd w:val="clear" w:color="000000" w:fill="FFFFFF"/>
            <w:noWrap/>
            <w:vAlign w:val="center"/>
            <w:hideMark/>
          </w:tcPr>
          <w:p w14:paraId="7DF50DDD" w14:textId="153A7316" w:rsidR="00776B01" w:rsidRPr="00C4188F" w:rsidRDefault="00032FD2"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5A0EB2" w:rsidRPr="00C4188F" w14:paraId="1C4E2FFD" w14:textId="77777777" w:rsidTr="00473BC0">
        <w:trPr>
          <w:trHeight w:val="330"/>
        </w:trPr>
        <w:tc>
          <w:tcPr>
            <w:tcW w:w="2694" w:type="dxa"/>
            <w:tcBorders>
              <w:top w:val="nil"/>
              <w:left w:val="nil"/>
              <w:bottom w:val="nil"/>
              <w:right w:val="nil"/>
            </w:tcBorders>
            <w:shd w:val="clear" w:color="000000" w:fill="FFFFFF"/>
            <w:noWrap/>
            <w:vAlign w:val="center"/>
            <w:hideMark/>
          </w:tcPr>
          <w:p w14:paraId="5706E023" w14:textId="77777777" w:rsidR="00776B01" w:rsidRPr="00C4188F" w:rsidRDefault="00776B01" w:rsidP="00B768D9">
            <w:pPr>
              <w:spacing w:after="0" w:line="240" w:lineRule="auto"/>
              <w:rPr>
                <w:rFonts w:eastAsia="Times New Roman" w:cs="Times New Roman"/>
                <w:color w:val="000000"/>
                <w:sz w:val="18"/>
                <w:szCs w:val="18"/>
                <w:lang w:eastAsia="sk-SK"/>
              </w:rPr>
            </w:pPr>
            <w:r w:rsidRPr="00C4188F">
              <w:rPr>
                <w:rFonts w:eastAsia="Times New Roman" w:cs="Times New Roman"/>
                <w:color w:val="000000"/>
                <w:sz w:val="18"/>
                <w:szCs w:val="18"/>
                <w:lang w:eastAsia="sk-SK"/>
              </w:rPr>
              <w:t>Štatistický úrad SR</w:t>
            </w:r>
          </w:p>
        </w:tc>
        <w:tc>
          <w:tcPr>
            <w:tcW w:w="1275" w:type="dxa"/>
            <w:tcBorders>
              <w:top w:val="nil"/>
              <w:left w:val="nil"/>
              <w:bottom w:val="nil"/>
              <w:right w:val="nil"/>
            </w:tcBorders>
            <w:shd w:val="clear" w:color="auto" w:fill="auto"/>
            <w:noWrap/>
            <w:vAlign w:val="center"/>
            <w:hideMark/>
          </w:tcPr>
          <w:p w14:paraId="3DD18C1C"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12 714</w:t>
            </w:r>
          </w:p>
        </w:tc>
        <w:tc>
          <w:tcPr>
            <w:tcW w:w="993" w:type="dxa"/>
            <w:tcBorders>
              <w:top w:val="nil"/>
              <w:left w:val="nil"/>
              <w:bottom w:val="nil"/>
              <w:right w:val="nil"/>
            </w:tcBorders>
            <w:shd w:val="clear" w:color="auto" w:fill="auto"/>
            <w:noWrap/>
            <w:vAlign w:val="center"/>
            <w:hideMark/>
          </w:tcPr>
          <w:p w14:paraId="2AF8EF81"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x</w:t>
            </w:r>
          </w:p>
        </w:tc>
        <w:tc>
          <w:tcPr>
            <w:tcW w:w="992" w:type="dxa"/>
            <w:tcBorders>
              <w:top w:val="nil"/>
              <w:left w:val="nil"/>
              <w:bottom w:val="nil"/>
              <w:right w:val="nil"/>
            </w:tcBorders>
            <w:shd w:val="clear" w:color="000000" w:fill="FFFFFF"/>
            <w:noWrap/>
            <w:vAlign w:val="center"/>
            <w:hideMark/>
          </w:tcPr>
          <w:p w14:paraId="2B08FFD5"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x</w:t>
            </w:r>
          </w:p>
        </w:tc>
        <w:tc>
          <w:tcPr>
            <w:tcW w:w="1134" w:type="dxa"/>
            <w:tcBorders>
              <w:top w:val="nil"/>
              <w:left w:val="nil"/>
              <w:bottom w:val="nil"/>
              <w:right w:val="nil"/>
            </w:tcBorders>
            <w:shd w:val="clear" w:color="auto" w:fill="auto"/>
            <w:noWrap/>
            <w:vAlign w:val="center"/>
            <w:hideMark/>
          </w:tcPr>
          <w:p w14:paraId="134B4B4C"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x</w:t>
            </w:r>
          </w:p>
        </w:tc>
        <w:tc>
          <w:tcPr>
            <w:tcW w:w="992" w:type="dxa"/>
            <w:tcBorders>
              <w:top w:val="nil"/>
              <w:left w:val="nil"/>
              <w:bottom w:val="nil"/>
              <w:right w:val="nil"/>
            </w:tcBorders>
            <w:shd w:val="clear" w:color="auto" w:fill="auto"/>
            <w:noWrap/>
            <w:vAlign w:val="center"/>
            <w:hideMark/>
          </w:tcPr>
          <w:p w14:paraId="4A946FEF"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x</w:t>
            </w:r>
          </w:p>
        </w:tc>
        <w:tc>
          <w:tcPr>
            <w:tcW w:w="992" w:type="dxa"/>
            <w:tcBorders>
              <w:top w:val="nil"/>
              <w:left w:val="nil"/>
              <w:bottom w:val="nil"/>
              <w:right w:val="nil"/>
            </w:tcBorders>
            <w:shd w:val="clear" w:color="000000" w:fill="FFFFFF"/>
            <w:noWrap/>
            <w:vAlign w:val="center"/>
            <w:hideMark/>
          </w:tcPr>
          <w:p w14:paraId="3B970F0C"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x</w:t>
            </w:r>
          </w:p>
        </w:tc>
        <w:tc>
          <w:tcPr>
            <w:tcW w:w="709" w:type="dxa"/>
            <w:tcBorders>
              <w:top w:val="nil"/>
              <w:left w:val="nil"/>
              <w:bottom w:val="nil"/>
              <w:right w:val="nil"/>
            </w:tcBorders>
            <w:shd w:val="clear" w:color="000000" w:fill="FFFFFF"/>
            <w:noWrap/>
            <w:vAlign w:val="center"/>
            <w:hideMark/>
          </w:tcPr>
          <w:p w14:paraId="2D29166D" w14:textId="70628671" w:rsidR="00776B01" w:rsidRPr="00C4188F" w:rsidRDefault="00032FD2"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5A0EB2" w:rsidRPr="00C4188F" w14:paraId="143D32F7" w14:textId="77777777" w:rsidTr="00473BC0">
        <w:trPr>
          <w:trHeight w:val="330"/>
        </w:trPr>
        <w:tc>
          <w:tcPr>
            <w:tcW w:w="2694" w:type="dxa"/>
            <w:tcBorders>
              <w:top w:val="nil"/>
              <w:left w:val="nil"/>
              <w:bottom w:val="nil"/>
              <w:right w:val="nil"/>
            </w:tcBorders>
            <w:shd w:val="clear" w:color="000000" w:fill="FFFFFF"/>
            <w:noWrap/>
            <w:vAlign w:val="center"/>
            <w:hideMark/>
          </w:tcPr>
          <w:p w14:paraId="7E93AEF5" w14:textId="77777777" w:rsidR="00776B01" w:rsidRPr="00C4188F" w:rsidRDefault="00776B01" w:rsidP="00B768D9">
            <w:pPr>
              <w:spacing w:after="0" w:line="240" w:lineRule="auto"/>
              <w:rPr>
                <w:rFonts w:eastAsia="Times New Roman" w:cs="Times New Roman"/>
                <w:color w:val="000000"/>
                <w:sz w:val="18"/>
                <w:szCs w:val="18"/>
                <w:lang w:eastAsia="sk-SK"/>
              </w:rPr>
            </w:pPr>
            <w:r w:rsidRPr="00C4188F">
              <w:rPr>
                <w:rFonts w:eastAsia="Times New Roman" w:cs="Times New Roman"/>
                <w:color w:val="000000"/>
                <w:sz w:val="18"/>
                <w:szCs w:val="18"/>
                <w:lang w:eastAsia="sk-SK"/>
              </w:rPr>
              <w:t>Ministerstvo zdravotníctva SR</w:t>
            </w:r>
          </w:p>
        </w:tc>
        <w:tc>
          <w:tcPr>
            <w:tcW w:w="1275" w:type="dxa"/>
            <w:tcBorders>
              <w:top w:val="nil"/>
              <w:left w:val="nil"/>
              <w:bottom w:val="nil"/>
              <w:right w:val="nil"/>
            </w:tcBorders>
            <w:shd w:val="clear" w:color="auto" w:fill="auto"/>
            <w:noWrap/>
            <w:vAlign w:val="center"/>
            <w:hideMark/>
          </w:tcPr>
          <w:p w14:paraId="02ABFA19"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16</w:t>
            </w:r>
          </w:p>
        </w:tc>
        <w:tc>
          <w:tcPr>
            <w:tcW w:w="993" w:type="dxa"/>
            <w:tcBorders>
              <w:top w:val="nil"/>
              <w:left w:val="nil"/>
              <w:bottom w:val="nil"/>
              <w:right w:val="nil"/>
            </w:tcBorders>
            <w:shd w:val="clear" w:color="auto" w:fill="auto"/>
            <w:noWrap/>
            <w:vAlign w:val="center"/>
            <w:hideMark/>
          </w:tcPr>
          <w:p w14:paraId="1AA645C2"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x</w:t>
            </w:r>
          </w:p>
        </w:tc>
        <w:tc>
          <w:tcPr>
            <w:tcW w:w="992" w:type="dxa"/>
            <w:tcBorders>
              <w:top w:val="nil"/>
              <w:left w:val="nil"/>
              <w:bottom w:val="nil"/>
              <w:right w:val="nil"/>
            </w:tcBorders>
            <w:shd w:val="clear" w:color="000000" w:fill="FFFFFF"/>
            <w:noWrap/>
            <w:vAlign w:val="center"/>
            <w:hideMark/>
          </w:tcPr>
          <w:p w14:paraId="77CEF18D"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x</w:t>
            </w:r>
          </w:p>
        </w:tc>
        <w:tc>
          <w:tcPr>
            <w:tcW w:w="1134" w:type="dxa"/>
            <w:tcBorders>
              <w:top w:val="nil"/>
              <w:left w:val="nil"/>
              <w:bottom w:val="nil"/>
              <w:right w:val="nil"/>
            </w:tcBorders>
            <w:shd w:val="clear" w:color="auto" w:fill="auto"/>
            <w:noWrap/>
            <w:vAlign w:val="center"/>
            <w:hideMark/>
          </w:tcPr>
          <w:p w14:paraId="5915A967"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x</w:t>
            </w:r>
          </w:p>
        </w:tc>
        <w:tc>
          <w:tcPr>
            <w:tcW w:w="992" w:type="dxa"/>
            <w:tcBorders>
              <w:top w:val="nil"/>
              <w:left w:val="nil"/>
              <w:bottom w:val="nil"/>
              <w:right w:val="nil"/>
            </w:tcBorders>
            <w:shd w:val="clear" w:color="auto" w:fill="auto"/>
            <w:noWrap/>
            <w:vAlign w:val="center"/>
            <w:hideMark/>
          </w:tcPr>
          <w:p w14:paraId="2F10C5F0"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x</w:t>
            </w:r>
          </w:p>
        </w:tc>
        <w:tc>
          <w:tcPr>
            <w:tcW w:w="992" w:type="dxa"/>
            <w:tcBorders>
              <w:top w:val="nil"/>
              <w:left w:val="nil"/>
              <w:bottom w:val="nil"/>
              <w:right w:val="nil"/>
            </w:tcBorders>
            <w:shd w:val="clear" w:color="000000" w:fill="FFFFFF"/>
            <w:noWrap/>
            <w:vAlign w:val="center"/>
            <w:hideMark/>
          </w:tcPr>
          <w:p w14:paraId="318642C8" w14:textId="77777777" w:rsidR="00776B01" w:rsidRPr="00C4188F" w:rsidRDefault="00776B01" w:rsidP="00B768D9">
            <w:pPr>
              <w:spacing w:after="0" w:line="240" w:lineRule="auto"/>
              <w:jc w:val="right"/>
              <w:rPr>
                <w:rFonts w:eastAsia="Times New Roman" w:cs="Times New Roman"/>
                <w:color w:val="000000"/>
                <w:sz w:val="18"/>
                <w:szCs w:val="18"/>
                <w:lang w:eastAsia="sk-SK"/>
              </w:rPr>
            </w:pPr>
            <w:r w:rsidRPr="00C4188F">
              <w:rPr>
                <w:rFonts w:eastAsia="Times New Roman" w:cs="Times New Roman"/>
                <w:color w:val="000000"/>
                <w:sz w:val="18"/>
                <w:szCs w:val="18"/>
                <w:lang w:eastAsia="sk-SK"/>
              </w:rPr>
              <w:t>x</w:t>
            </w:r>
          </w:p>
        </w:tc>
        <w:tc>
          <w:tcPr>
            <w:tcW w:w="709" w:type="dxa"/>
            <w:tcBorders>
              <w:top w:val="nil"/>
              <w:left w:val="nil"/>
              <w:bottom w:val="nil"/>
              <w:right w:val="nil"/>
            </w:tcBorders>
            <w:shd w:val="clear" w:color="000000" w:fill="FFFFFF"/>
            <w:noWrap/>
            <w:vAlign w:val="center"/>
            <w:hideMark/>
          </w:tcPr>
          <w:p w14:paraId="06BCCE26" w14:textId="58F92C89" w:rsidR="00776B01" w:rsidRPr="00C4188F" w:rsidRDefault="00032FD2"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5A0EB2" w:rsidRPr="00C4188F" w14:paraId="69015E0F" w14:textId="77777777" w:rsidTr="00473BC0">
        <w:trPr>
          <w:trHeight w:val="345"/>
        </w:trPr>
        <w:tc>
          <w:tcPr>
            <w:tcW w:w="2694" w:type="dxa"/>
            <w:tcBorders>
              <w:top w:val="single" w:sz="4" w:space="0" w:color="auto"/>
              <w:left w:val="nil"/>
              <w:bottom w:val="single" w:sz="8" w:space="0" w:color="auto"/>
              <w:right w:val="nil"/>
            </w:tcBorders>
            <w:shd w:val="clear" w:color="000000" w:fill="FFFFFF"/>
            <w:noWrap/>
            <w:vAlign w:val="center"/>
            <w:hideMark/>
          </w:tcPr>
          <w:p w14:paraId="0AD8F930" w14:textId="77777777" w:rsidR="00776B01" w:rsidRPr="00C4188F" w:rsidRDefault="00776B01" w:rsidP="00B768D9">
            <w:pPr>
              <w:spacing w:after="0" w:line="240" w:lineRule="auto"/>
              <w:rPr>
                <w:rFonts w:eastAsia="Times New Roman" w:cs="Times New Roman"/>
                <w:b/>
                <w:bCs/>
                <w:color w:val="000000"/>
                <w:sz w:val="18"/>
                <w:szCs w:val="18"/>
                <w:lang w:eastAsia="sk-SK"/>
              </w:rPr>
            </w:pPr>
            <w:r w:rsidRPr="00C4188F">
              <w:rPr>
                <w:rFonts w:eastAsia="Times New Roman" w:cs="Times New Roman"/>
                <w:b/>
                <w:bCs/>
                <w:color w:val="000000"/>
                <w:sz w:val="18"/>
                <w:szCs w:val="18"/>
                <w:lang w:eastAsia="sk-SK"/>
              </w:rPr>
              <w:t>Spolu</w:t>
            </w:r>
          </w:p>
        </w:tc>
        <w:tc>
          <w:tcPr>
            <w:tcW w:w="1275" w:type="dxa"/>
            <w:tcBorders>
              <w:top w:val="single" w:sz="4" w:space="0" w:color="auto"/>
              <w:left w:val="nil"/>
              <w:bottom w:val="single" w:sz="8" w:space="0" w:color="auto"/>
              <w:right w:val="nil"/>
            </w:tcBorders>
            <w:shd w:val="clear" w:color="000000" w:fill="FFFFFF"/>
            <w:noWrap/>
            <w:vAlign w:val="center"/>
            <w:hideMark/>
          </w:tcPr>
          <w:p w14:paraId="40DC568B" w14:textId="77777777" w:rsidR="00776B01" w:rsidRPr="00C4188F" w:rsidRDefault="00776B01" w:rsidP="00B768D9">
            <w:pPr>
              <w:spacing w:after="0" w:line="240" w:lineRule="auto"/>
              <w:jc w:val="right"/>
              <w:rPr>
                <w:rFonts w:eastAsia="Times New Roman" w:cs="Times New Roman"/>
                <w:b/>
                <w:bCs/>
                <w:color w:val="000000"/>
                <w:sz w:val="18"/>
                <w:szCs w:val="18"/>
                <w:lang w:eastAsia="sk-SK"/>
              </w:rPr>
            </w:pPr>
            <w:r w:rsidRPr="00C4188F">
              <w:rPr>
                <w:rFonts w:eastAsia="Times New Roman" w:cs="Times New Roman"/>
                <w:b/>
                <w:bCs/>
                <w:color w:val="000000"/>
                <w:sz w:val="18"/>
                <w:szCs w:val="18"/>
                <w:lang w:eastAsia="sk-SK"/>
              </w:rPr>
              <w:t>1 763 395</w:t>
            </w:r>
          </w:p>
        </w:tc>
        <w:tc>
          <w:tcPr>
            <w:tcW w:w="993" w:type="dxa"/>
            <w:tcBorders>
              <w:top w:val="single" w:sz="4" w:space="0" w:color="auto"/>
              <w:left w:val="nil"/>
              <w:bottom w:val="single" w:sz="8" w:space="0" w:color="auto"/>
              <w:right w:val="nil"/>
            </w:tcBorders>
            <w:shd w:val="clear" w:color="000000" w:fill="FFFFFF"/>
            <w:noWrap/>
            <w:vAlign w:val="center"/>
            <w:hideMark/>
          </w:tcPr>
          <w:p w14:paraId="5FF0DD7F" w14:textId="77777777" w:rsidR="00776B01" w:rsidRPr="00C4188F" w:rsidRDefault="00776B01" w:rsidP="00B768D9">
            <w:pPr>
              <w:spacing w:after="0" w:line="240" w:lineRule="auto"/>
              <w:jc w:val="right"/>
              <w:rPr>
                <w:rFonts w:eastAsia="Times New Roman" w:cs="Times New Roman"/>
                <w:b/>
                <w:bCs/>
                <w:color w:val="000000"/>
                <w:sz w:val="18"/>
                <w:szCs w:val="18"/>
                <w:lang w:eastAsia="sk-SK"/>
              </w:rPr>
            </w:pPr>
            <w:r w:rsidRPr="00C4188F">
              <w:rPr>
                <w:rFonts w:eastAsia="Times New Roman" w:cs="Times New Roman"/>
                <w:b/>
                <w:bCs/>
                <w:color w:val="000000"/>
                <w:sz w:val="18"/>
                <w:szCs w:val="18"/>
                <w:lang w:eastAsia="sk-SK"/>
              </w:rPr>
              <w:t>1 701 892</w:t>
            </w:r>
          </w:p>
        </w:tc>
        <w:tc>
          <w:tcPr>
            <w:tcW w:w="992" w:type="dxa"/>
            <w:tcBorders>
              <w:top w:val="single" w:sz="4" w:space="0" w:color="auto"/>
              <w:left w:val="nil"/>
              <w:bottom w:val="single" w:sz="8" w:space="0" w:color="auto"/>
              <w:right w:val="nil"/>
            </w:tcBorders>
            <w:shd w:val="clear" w:color="000000" w:fill="FFFFFF"/>
            <w:noWrap/>
            <w:vAlign w:val="center"/>
            <w:hideMark/>
          </w:tcPr>
          <w:p w14:paraId="366E4A85" w14:textId="77777777" w:rsidR="00776B01" w:rsidRPr="00C4188F" w:rsidRDefault="00776B01" w:rsidP="00B768D9">
            <w:pPr>
              <w:spacing w:after="0" w:line="240" w:lineRule="auto"/>
              <w:jc w:val="right"/>
              <w:rPr>
                <w:rFonts w:eastAsia="Times New Roman" w:cs="Times New Roman"/>
                <w:b/>
                <w:bCs/>
                <w:color w:val="000000"/>
                <w:sz w:val="18"/>
                <w:szCs w:val="18"/>
                <w:lang w:eastAsia="sk-SK"/>
              </w:rPr>
            </w:pPr>
            <w:r w:rsidRPr="00C4188F">
              <w:rPr>
                <w:rFonts w:eastAsia="Times New Roman" w:cs="Times New Roman"/>
                <w:b/>
                <w:bCs/>
                <w:color w:val="000000"/>
                <w:sz w:val="18"/>
                <w:szCs w:val="18"/>
                <w:lang w:eastAsia="sk-SK"/>
              </w:rPr>
              <w:t>1 554 208</w:t>
            </w:r>
          </w:p>
        </w:tc>
        <w:tc>
          <w:tcPr>
            <w:tcW w:w="1134" w:type="dxa"/>
            <w:tcBorders>
              <w:top w:val="single" w:sz="4" w:space="0" w:color="auto"/>
              <w:left w:val="nil"/>
              <w:bottom w:val="single" w:sz="8" w:space="0" w:color="auto"/>
              <w:right w:val="nil"/>
            </w:tcBorders>
            <w:shd w:val="clear" w:color="000000" w:fill="FFFFFF"/>
            <w:noWrap/>
            <w:vAlign w:val="center"/>
            <w:hideMark/>
          </w:tcPr>
          <w:p w14:paraId="402DB40C" w14:textId="77777777" w:rsidR="00776B01" w:rsidRPr="00C4188F" w:rsidRDefault="00776B01" w:rsidP="00B768D9">
            <w:pPr>
              <w:spacing w:after="0" w:line="240" w:lineRule="auto"/>
              <w:jc w:val="right"/>
              <w:rPr>
                <w:rFonts w:eastAsia="Times New Roman" w:cs="Times New Roman"/>
                <w:b/>
                <w:bCs/>
                <w:color w:val="000000"/>
                <w:sz w:val="18"/>
                <w:szCs w:val="18"/>
                <w:lang w:eastAsia="sk-SK"/>
              </w:rPr>
            </w:pPr>
            <w:r w:rsidRPr="00C4188F">
              <w:rPr>
                <w:rFonts w:eastAsia="Times New Roman" w:cs="Times New Roman"/>
                <w:b/>
                <w:bCs/>
                <w:color w:val="000000"/>
                <w:sz w:val="18"/>
                <w:szCs w:val="18"/>
                <w:lang w:eastAsia="sk-SK"/>
              </w:rPr>
              <w:t>2 619 868</w:t>
            </w:r>
          </w:p>
        </w:tc>
        <w:tc>
          <w:tcPr>
            <w:tcW w:w="992" w:type="dxa"/>
            <w:tcBorders>
              <w:top w:val="single" w:sz="4" w:space="0" w:color="auto"/>
              <w:left w:val="nil"/>
              <w:bottom w:val="single" w:sz="8" w:space="0" w:color="auto"/>
              <w:right w:val="nil"/>
            </w:tcBorders>
            <w:shd w:val="clear" w:color="000000" w:fill="FFFFFF"/>
            <w:noWrap/>
            <w:vAlign w:val="center"/>
            <w:hideMark/>
          </w:tcPr>
          <w:p w14:paraId="34610122" w14:textId="77777777" w:rsidR="00776B01" w:rsidRPr="00C4188F" w:rsidRDefault="00776B01" w:rsidP="00B768D9">
            <w:pPr>
              <w:spacing w:after="0" w:line="240" w:lineRule="auto"/>
              <w:jc w:val="right"/>
              <w:rPr>
                <w:rFonts w:eastAsia="Times New Roman" w:cs="Times New Roman"/>
                <w:b/>
                <w:bCs/>
                <w:color w:val="000000"/>
                <w:sz w:val="18"/>
                <w:szCs w:val="18"/>
                <w:lang w:eastAsia="sk-SK"/>
              </w:rPr>
            </w:pPr>
            <w:r w:rsidRPr="00C4188F">
              <w:rPr>
                <w:rFonts w:eastAsia="Times New Roman" w:cs="Times New Roman"/>
                <w:b/>
                <w:bCs/>
                <w:color w:val="000000"/>
                <w:sz w:val="18"/>
                <w:szCs w:val="18"/>
                <w:lang w:eastAsia="sk-SK"/>
              </w:rPr>
              <w:t>1 738 121</w:t>
            </w:r>
          </w:p>
        </w:tc>
        <w:tc>
          <w:tcPr>
            <w:tcW w:w="992" w:type="dxa"/>
            <w:tcBorders>
              <w:top w:val="single" w:sz="4" w:space="0" w:color="auto"/>
              <w:left w:val="nil"/>
              <w:bottom w:val="single" w:sz="8" w:space="0" w:color="auto"/>
              <w:right w:val="nil"/>
            </w:tcBorders>
            <w:shd w:val="clear" w:color="000000" w:fill="FFFFFF"/>
            <w:noWrap/>
            <w:vAlign w:val="center"/>
            <w:hideMark/>
          </w:tcPr>
          <w:p w14:paraId="087547DA" w14:textId="77777777" w:rsidR="00776B01" w:rsidRPr="00C4188F" w:rsidRDefault="00776B01" w:rsidP="00B768D9">
            <w:pPr>
              <w:spacing w:after="0" w:line="240" w:lineRule="auto"/>
              <w:jc w:val="right"/>
              <w:rPr>
                <w:rFonts w:eastAsia="Times New Roman" w:cs="Times New Roman"/>
                <w:b/>
                <w:bCs/>
                <w:color w:val="000000"/>
                <w:sz w:val="18"/>
                <w:szCs w:val="18"/>
                <w:lang w:eastAsia="sk-SK"/>
              </w:rPr>
            </w:pPr>
            <w:r w:rsidRPr="00C4188F">
              <w:rPr>
                <w:rFonts w:eastAsia="Times New Roman" w:cs="Times New Roman"/>
                <w:b/>
                <w:bCs/>
                <w:color w:val="000000"/>
                <w:sz w:val="18"/>
                <w:szCs w:val="18"/>
                <w:lang w:eastAsia="sk-SK"/>
              </w:rPr>
              <w:t>1 065 660</w:t>
            </w:r>
          </w:p>
        </w:tc>
        <w:tc>
          <w:tcPr>
            <w:tcW w:w="709" w:type="dxa"/>
            <w:tcBorders>
              <w:top w:val="single" w:sz="4" w:space="0" w:color="auto"/>
              <w:left w:val="nil"/>
              <w:bottom w:val="single" w:sz="8" w:space="0" w:color="auto"/>
              <w:right w:val="nil"/>
            </w:tcBorders>
            <w:shd w:val="clear" w:color="000000" w:fill="FFFFFF"/>
            <w:noWrap/>
            <w:vAlign w:val="center"/>
            <w:hideMark/>
          </w:tcPr>
          <w:p w14:paraId="16522926" w14:textId="77777777" w:rsidR="00776B01" w:rsidRPr="00C4188F" w:rsidRDefault="00776B01" w:rsidP="00B768D9">
            <w:pPr>
              <w:spacing w:after="0" w:line="240" w:lineRule="auto"/>
              <w:jc w:val="right"/>
              <w:rPr>
                <w:rFonts w:eastAsia="Times New Roman" w:cs="Times New Roman"/>
                <w:b/>
                <w:bCs/>
                <w:color w:val="000000"/>
                <w:sz w:val="18"/>
                <w:szCs w:val="18"/>
                <w:lang w:eastAsia="sk-SK"/>
              </w:rPr>
            </w:pPr>
            <w:r w:rsidRPr="00C4188F">
              <w:rPr>
                <w:rFonts w:eastAsia="Times New Roman" w:cs="Times New Roman"/>
                <w:b/>
                <w:bCs/>
                <w:color w:val="000000"/>
                <w:sz w:val="18"/>
                <w:szCs w:val="18"/>
                <w:lang w:eastAsia="sk-SK"/>
              </w:rPr>
              <w:t>68,6</w:t>
            </w:r>
          </w:p>
        </w:tc>
      </w:tr>
    </w:tbl>
    <w:p w14:paraId="74825BAF" w14:textId="7673F4A9" w:rsidR="00776B01" w:rsidRPr="001D1153" w:rsidRDefault="00776B01" w:rsidP="00776B01">
      <w:pPr>
        <w:suppressAutoHyphens/>
        <w:spacing w:line="240" w:lineRule="auto"/>
      </w:pPr>
      <w:r w:rsidRPr="001D1153">
        <w:rPr>
          <w:sz w:val="18"/>
          <w:szCs w:val="18"/>
        </w:rPr>
        <w:t xml:space="preserve">Poznámka: * len prostriedky štátneho rozpočtu </w:t>
      </w:r>
      <w:r w:rsidRPr="001D1153">
        <w:rPr>
          <w:sz w:val="18"/>
          <w:szCs w:val="18"/>
        </w:rPr>
        <w:tab/>
      </w:r>
      <w:r w:rsidRPr="001D1153">
        <w:rPr>
          <w:sz w:val="18"/>
          <w:szCs w:val="18"/>
        </w:rPr>
        <w:tab/>
      </w:r>
      <w:r w:rsidRPr="001D1153">
        <w:rPr>
          <w:sz w:val="18"/>
          <w:szCs w:val="18"/>
        </w:rPr>
        <w:tab/>
      </w:r>
      <w:r w:rsidRPr="001D1153">
        <w:rPr>
          <w:sz w:val="18"/>
          <w:szCs w:val="18"/>
        </w:rPr>
        <w:tab/>
      </w:r>
      <w:r w:rsidRPr="001D1153">
        <w:rPr>
          <w:sz w:val="18"/>
          <w:szCs w:val="18"/>
        </w:rPr>
        <w:tab/>
      </w:r>
      <w:r w:rsidRPr="001D1153">
        <w:rPr>
          <w:sz w:val="18"/>
          <w:szCs w:val="18"/>
        </w:rPr>
        <w:tab/>
      </w:r>
      <w:r w:rsidR="00F16AE0">
        <w:rPr>
          <w:sz w:val="18"/>
          <w:szCs w:val="18"/>
        </w:rPr>
        <w:tab/>
      </w:r>
      <w:r w:rsidR="00F16AE0">
        <w:rPr>
          <w:sz w:val="18"/>
          <w:szCs w:val="18"/>
        </w:rPr>
        <w:tab/>
      </w:r>
      <w:r w:rsidR="00F16AE0">
        <w:rPr>
          <w:sz w:val="18"/>
          <w:szCs w:val="18"/>
        </w:rPr>
        <w:tab/>
      </w:r>
      <w:r w:rsidR="00F16AE0">
        <w:rPr>
          <w:sz w:val="18"/>
          <w:szCs w:val="18"/>
        </w:rPr>
        <w:tab/>
      </w:r>
      <w:r w:rsidRPr="001D1153">
        <w:rPr>
          <w:sz w:val="18"/>
          <w:szCs w:val="18"/>
        </w:rPr>
        <w:t>Zdroj: MF SR</w:t>
      </w:r>
    </w:p>
    <w:p w14:paraId="48043A8A" w14:textId="77777777" w:rsidR="00776B01" w:rsidRPr="009334A8" w:rsidRDefault="00776B01" w:rsidP="00776B01">
      <w:pPr>
        <w:suppressAutoHyphens/>
        <w:spacing w:line="240" w:lineRule="auto"/>
        <w:rPr>
          <w:rFonts w:cs="Times New Roman"/>
          <w:color w:val="000000" w:themeColor="text1"/>
          <w:sz w:val="24"/>
          <w:szCs w:val="24"/>
        </w:rPr>
      </w:pPr>
      <w:r w:rsidRPr="009334A8">
        <w:rPr>
          <w:rFonts w:cs="Times New Roman"/>
          <w:color w:val="000000" w:themeColor="text1"/>
          <w:sz w:val="24"/>
          <w:szCs w:val="24"/>
        </w:rPr>
        <w:t>Okrem kapitol, prostredníctvom ktorých sa každoročne financujú kompetencie preneseného výkonu štátnej správy sa u väčšiny kapitol štátneho rozpočtu schvaľoval rozpočet nulový. Je to z dôvodu, že schválený rozpočet prípadne rozpis uvoľnených zdrojov z minulých rokov sa nerozpisuje na konkrétne položky rozpočtu a presun prostriedkov na základe reálne predložených žiadostí o platbu sa zohľadňuje až v upravenom rozpočte. Uvedené malo za následok zvýšenie rozpočtu oproti schválenému rozpočtu väčšinou v celkovej sume skutočného čerpania.</w:t>
      </w:r>
    </w:p>
    <w:p w14:paraId="6546A49C" w14:textId="6BA6FBAE" w:rsidR="00562E58" w:rsidRDefault="00776B01" w:rsidP="00776B01">
      <w:pPr>
        <w:spacing w:line="256" w:lineRule="auto"/>
        <w:rPr>
          <w:rFonts w:cs="Times New Roman"/>
          <w:color w:val="000000" w:themeColor="text1"/>
          <w:sz w:val="24"/>
          <w:szCs w:val="24"/>
        </w:rPr>
      </w:pPr>
      <w:r w:rsidRPr="001D1153">
        <w:rPr>
          <w:rFonts w:cs="Times New Roman"/>
          <w:color w:val="000000" w:themeColor="text1"/>
          <w:sz w:val="24"/>
          <w:szCs w:val="24"/>
        </w:rPr>
        <w:t>Prehľad o poskytnutých kapitálových transferoch podľa kapitol:</w:t>
      </w:r>
    </w:p>
    <w:p w14:paraId="738ECEC3" w14:textId="77777777" w:rsidR="00207B7D" w:rsidRDefault="00207B7D">
      <w:bookmarkStart w:id="55" w:name="RANGE!B9:I23"/>
      <w:r>
        <w:br w:type="page"/>
      </w:r>
    </w:p>
    <w:tbl>
      <w:tblPr>
        <w:tblW w:w="9072" w:type="dxa"/>
        <w:tblCellMar>
          <w:left w:w="70" w:type="dxa"/>
          <w:right w:w="70" w:type="dxa"/>
        </w:tblCellMar>
        <w:tblLook w:val="04A0" w:firstRow="1" w:lastRow="0" w:firstColumn="1" w:lastColumn="0" w:noHBand="0" w:noVBand="1"/>
      </w:tblPr>
      <w:tblGrid>
        <w:gridCol w:w="2410"/>
        <w:gridCol w:w="1134"/>
        <w:gridCol w:w="992"/>
        <w:gridCol w:w="851"/>
        <w:gridCol w:w="992"/>
        <w:gridCol w:w="851"/>
        <w:gridCol w:w="997"/>
        <w:gridCol w:w="845"/>
      </w:tblGrid>
      <w:tr w:rsidR="00776B01" w:rsidRPr="003B060E" w14:paraId="61684241" w14:textId="77777777" w:rsidTr="00562E58">
        <w:trPr>
          <w:trHeight w:val="345"/>
        </w:trPr>
        <w:tc>
          <w:tcPr>
            <w:tcW w:w="8227" w:type="dxa"/>
            <w:gridSpan w:val="7"/>
            <w:tcBorders>
              <w:top w:val="nil"/>
              <w:left w:val="nil"/>
              <w:bottom w:val="single" w:sz="8" w:space="0" w:color="auto"/>
              <w:right w:val="nil"/>
            </w:tcBorders>
            <w:shd w:val="clear" w:color="auto" w:fill="auto"/>
            <w:vAlign w:val="center"/>
            <w:hideMark/>
          </w:tcPr>
          <w:p w14:paraId="6225E4C3" w14:textId="3BCC31F8" w:rsidR="00776B01" w:rsidRPr="00DD022A" w:rsidRDefault="00776B01" w:rsidP="004A6E2F">
            <w:pPr>
              <w:spacing w:after="0" w:line="240" w:lineRule="auto"/>
              <w:rPr>
                <w:rFonts w:eastAsia="Times New Roman" w:cs="Times New Roman"/>
                <w:b/>
                <w:bCs/>
                <w:color w:val="4F81BD"/>
                <w:sz w:val="20"/>
                <w:szCs w:val="20"/>
                <w:lang w:eastAsia="sk-SK"/>
              </w:rPr>
            </w:pPr>
            <w:r w:rsidRPr="00DD022A">
              <w:rPr>
                <w:rFonts w:eastAsia="Times New Roman" w:cs="Times New Roman"/>
                <w:b/>
                <w:bCs/>
                <w:color w:val="4F81BD"/>
                <w:sz w:val="20"/>
                <w:szCs w:val="20"/>
                <w:lang w:eastAsia="sk-SK"/>
              </w:rPr>
              <w:lastRenderedPageBreak/>
              <w:t>Tabuľka 4</w:t>
            </w:r>
            <w:r w:rsidR="004A6E2F">
              <w:rPr>
                <w:rFonts w:eastAsia="Times New Roman" w:cs="Times New Roman"/>
                <w:b/>
                <w:bCs/>
                <w:color w:val="4F81BD"/>
                <w:sz w:val="20"/>
                <w:szCs w:val="20"/>
                <w:lang w:eastAsia="sk-SK"/>
              </w:rPr>
              <w:t>6</w:t>
            </w:r>
            <w:r w:rsidRPr="00DD022A">
              <w:rPr>
                <w:rFonts w:eastAsia="Times New Roman" w:cs="Times New Roman"/>
                <w:b/>
                <w:bCs/>
                <w:color w:val="4F81BD"/>
                <w:sz w:val="20"/>
                <w:szCs w:val="20"/>
                <w:lang w:eastAsia="sk-SK"/>
              </w:rPr>
              <w:t xml:space="preserve"> - Kapitálové transfery poskytnuté obciam podľa kapitol ŠR</w:t>
            </w:r>
            <w:bookmarkEnd w:id="55"/>
          </w:p>
        </w:tc>
        <w:tc>
          <w:tcPr>
            <w:tcW w:w="845" w:type="dxa"/>
            <w:tcBorders>
              <w:top w:val="nil"/>
              <w:left w:val="nil"/>
              <w:bottom w:val="single" w:sz="8" w:space="0" w:color="auto"/>
              <w:right w:val="nil"/>
            </w:tcBorders>
            <w:shd w:val="clear" w:color="auto" w:fill="auto"/>
            <w:noWrap/>
            <w:vAlign w:val="bottom"/>
            <w:hideMark/>
          </w:tcPr>
          <w:p w14:paraId="62C602DA" w14:textId="41B47D61" w:rsidR="00776B01" w:rsidRPr="003B060E" w:rsidRDefault="00776B01" w:rsidP="00562E58">
            <w:pPr>
              <w:spacing w:after="0" w:line="240" w:lineRule="auto"/>
              <w:jc w:val="center"/>
              <w:rPr>
                <w:rFonts w:eastAsia="Times New Roman" w:cs="Times New Roman"/>
                <w:b/>
                <w:bCs/>
                <w:color w:val="FFFFFF"/>
                <w:sz w:val="18"/>
                <w:szCs w:val="18"/>
                <w:lang w:eastAsia="sk-SK"/>
              </w:rPr>
            </w:pPr>
          </w:p>
        </w:tc>
      </w:tr>
      <w:tr w:rsidR="00B41352" w:rsidRPr="003B060E" w14:paraId="1968D28A" w14:textId="77777777" w:rsidTr="00207B7D">
        <w:trPr>
          <w:trHeight w:val="510"/>
        </w:trPr>
        <w:tc>
          <w:tcPr>
            <w:tcW w:w="2410" w:type="dxa"/>
            <w:vMerge w:val="restart"/>
            <w:tcBorders>
              <w:top w:val="nil"/>
              <w:left w:val="nil"/>
              <w:right w:val="nil"/>
            </w:tcBorders>
            <w:shd w:val="clear" w:color="auto" w:fill="auto"/>
            <w:vAlign w:val="center"/>
            <w:hideMark/>
          </w:tcPr>
          <w:p w14:paraId="77C2A861" w14:textId="7212089F" w:rsidR="00B41352" w:rsidRPr="003B060E" w:rsidRDefault="00B41352" w:rsidP="00B41352">
            <w:pPr>
              <w:spacing w:after="0" w:line="240" w:lineRule="auto"/>
              <w:rPr>
                <w:rFonts w:eastAsia="Times New Roman" w:cs="Times New Roman"/>
                <w:b/>
                <w:bCs/>
                <w:color w:val="000000"/>
                <w:sz w:val="18"/>
                <w:szCs w:val="18"/>
                <w:lang w:eastAsia="sk-SK"/>
              </w:rPr>
            </w:pPr>
            <w:r w:rsidRPr="003B060E">
              <w:rPr>
                <w:rFonts w:eastAsia="Times New Roman" w:cs="Times New Roman"/>
                <w:b/>
                <w:bCs/>
                <w:color w:val="000000"/>
                <w:sz w:val="18"/>
                <w:szCs w:val="18"/>
                <w:lang w:eastAsia="sk-SK"/>
              </w:rPr>
              <w:t>v tis. eur</w:t>
            </w:r>
            <w:r w:rsidRPr="003B060E">
              <w:rPr>
                <w:rFonts w:eastAsia="Times New Roman" w:cs="Times New Roman"/>
                <w:b/>
                <w:bCs/>
                <w:color w:val="FFFFFF"/>
                <w:sz w:val="18"/>
                <w:szCs w:val="18"/>
                <w:lang w:eastAsia="sk-SK"/>
              </w:rPr>
              <w:t> </w:t>
            </w:r>
          </w:p>
        </w:tc>
        <w:tc>
          <w:tcPr>
            <w:tcW w:w="1134" w:type="dxa"/>
            <w:tcBorders>
              <w:top w:val="nil"/>
              <w:left w:val="nil"/>
              <w:bottom w:val="nil"/>
              <w:right w:val="nil"/>
            </w:tcBorders>
            <w:shd w:val="clear" w:color="auto" w:fill="auto"/>
            <w:vAlign w:val="center"/>
            <w:hideMark/>
          </w:tcPr>
          <w:p w14:paraId="01C2793E" w14:textId="77777777" w:rsidR="00B41352" w:rsidRPr="003B060E" w:rsidRDefault="00B41352" w:rsidP="00B768D9">
            <w:pPr>
              <w:spacing w:after="0" w:line="240" w:lineRule="auto"/>
              <w:jc w:val="center"/>
              <w:rPr>
                <w:rFonts w:eastAsia="Times New Roman" w:cs="Times New Roman"/>
                <w:b/>
                <w:bCs/>
                <w:color w:val="000000"/>
                <w:sz w:val="18"/>
                <w:szCs w:val="18"/>
                <w:lang w:eastAsia="sk-SK"/>
              </w:rPr>
            </w:pPr>
            <w:r w:rsidRPr="003B060E">
              <w:rPr>
                <w:rFonts w:eastAsia="Times New Roman" w:cs="Times New Roman"/>
                <w:b/>
                <w:bCs/>
                <w:color w:val="000000"/>
                <w:sz w:val="18"/>
                <w:szCs w:val="18"/>
                <w:lang w:eastAsia="sk-SK"/>
              </w:rPr>
              <w:t>2021 S</w:t>
            </w:r>
          </w:p>
        </w:tc>
        <w:tc>
          <w:tcPr>
            <w:tcW w:w="992" w:type="dxa"/>
            <w:tcBorders>
              <w:top w:val="nil"/>
              <w:left w:val="nil"/>
              <w:bottom w:val="nil"/>
              <w:right w:val="nil"/>
            </w:tcBorders>
            <w:shd w:val="clear" w:color="auto" w:fill="auto"/>
            <w:vAlign w:val="center"/>
            <w:hideMark/>
          </w:tcPr>
          <w:p w14:paraId="1CB1F77F" w14:textId="77777777" w:rsidR="00B41352" w:rsidRPr="003B060E" w:rsidRDefault="00B41352" w:rsidP="00B768D9">
            <w:pPr>
              <w:spacing w:after="0" w:line="240" w:lineRule="auto"/>
              <w:jc w:val="center"/>
              <w:rPr>
                <w:rFonts w:eastAsia="Times New Roman" w:cs="Times New Roman"/>
                <w:b/>
                <w:bCs/>
                <w:color w:val="000000"/>
                <w:sz w:val="18"/>
                <w:szCs w:val="18"/>
                <w:lang w:eastAsia="sk-SK"/>
              </w:rPr>
            </w:pPr>
            <w:r w:rsidRPr="003B060E">
              <w:rPr>
                <w:rFonts w:eastAsia="Times New Roman" w:cs="Times New Roman"/>
                <w:b/>
                <w:bCs/>
                <w:color w:val="000000"/>
                <w:sz w:val="18"/>
                <w:szCs w:val="18"/>
                <w:lang w:eastAsia="sk-SK"/>
              </w:rPr>
              <w:t>2022 S</w:t>
            </w:r>
          </w:p>
        </w:tc>
        <w:tc>
          <w:tcPr>
            <w:tcW w:w="851" w:type="dxa"/>
            <w:tcBorders>
              <w:top w:val="nil"/>
              <w:left w:val="nil"/>
              <w:bottom w:val="nil"/>
              <w:right w:val="nil"/>
            </w:tcBorders>
            <w:shd w:val="clear" w:color="auto" w:fill="auto"/>
            <w:vAlign w:val="center"/>
            <w:hideMark/>
          </w:tcPr>
          <w:p w14:paraId="727090E9" w14:textId="77777777" w:rsidR="00B41352" w:rsidRPr="003B060E" w:rsidRDefault="00B41352" w:rsidP="00B768D9">
            <w:pPr>
              <w:spacing w:after="0" w:line="240" w:lineRule="auto"/>
              <w:jc w:val="center"/>
              <w:rPr>
                <w:rFonts w:eastAsia="Times New Roman" w:cs="Times New Roman"/>
                <w:b/>
                <w:bCs/>
                <w:color w:val="000000"/>
                <w:sz w:val="18"/>
                <w:szCs w:val="18"/>
                <w:lang w:eastAsia="sk-SK"/>
              </w:rPr>
            </w:pPr>
            <w:r w:rsidRPr="003B060E">
              <w:rPr>
                <w:rFonts w:eastAsia="Times New Roman" w:cs="Times New Roman"/>
                <w:b/>
                <w:bCs/>
                <w:color w:val="000000"/>
                <w:sz w:val="18"/>
                <w:szCs w:val="18"/>
                <w:lang w:eastAsia="sk-SK"/>
              </w:rPr>
              <w:t>2023 R</w:t>
            </w:r>
          </w:p>
        </w:tc>
        <w:tc>
          <w:tcPr>
            <w:tcW w:w="992" w:type="dxa"/>
            <w:tcBorders>
              <w:top w:val="nil"/>
              <w:left w:val="nil"/>
              <w:bottom w:val="nil"/>
              <w:right w:val="nil"/>
            </w:tcBorders>
            <w:shd w:val="clear" w:color="auto" w:fill="auto"/>
            <w:vAlign w:val="center"/>
            <w:hideMark/>
          </w:tcPr>
          <w:p w14:paraId="63744051" w14:textId="77777777" w:rsidR="00B41352" w:rsidRPr="003B060E" w:rsidRDefault="00B41352" w:rsidP="00B768D9">
            <w:pPr>
              <w:spacing w:after="0" w:line="240" w:lineRule="auto"/>
              <w:jc w:val="center"/>
              <w:rPr>
                <w:rFonts w:eastAsia="Times New Roman" w:cs="Times New Roman"/>
                <w:b/>
                <w:bCs/>
                <w:color w:val="000000"/>
                <w:sz w:val="18"/>
                <w:szCs w:val="18"/>
                <w:lang w:eastAsia="sk-SK"/>
              </w:rPr>
            </w:pPr>
            <w:r w:rsidRPr="003B060E">
              <w:rPr>
                <w:rFonts w:eastAsia="Times New Roman" w:cs="Times New Roman"/>
                <w:b/>
                <w:bCs/>
                <w:color w:val="000000"/>
                <w:sz w:val="18"/>
                <w:szCs w:val="18"/>
                <w:lang w:eastAsia="sk-SK"/>
              </w:rPr>
              <w:t>2023 S</w:t>
            </w:r>
          </w:p>
        </w:tc>
        <w:tc>
          <w:tcPr>
            <w:tcW w:w="851" w:type="dxa"/>
            <w:tcBorders>
              <w:top w:val="nil"/>
              <w:left w:val="nil"/>
              <w:bottom w:val="nil"/>
              <w:right w:val="nil"/>
            </w:tcBorders>
            <w:shd w:val="clear" w:color="auto" w:fill="auto"/>
            <w:vAlign w:val="center"/>
            <w:hideMark/>
          </w:tcPr>
          <w:p w14:paraId="7DD43F0F" w14:textId="77777777" w:rsidR="00B41352" w:rsidRPr="003B060E" w:rsidRDefault="00B41352" w:rsidP="00B768D9">
            <w:pPr>
              <w:spacing w:after="0" w:line="240" w:lineRule="auto"/>
              <w:jc w:val="center"/>
              <w:rPr>
                <w:rFonts w:eastAsia="Times New Roman" w:cs="Times New Roman"/>
                <w:b/>
                <w:bCs/>
                <w:color w:val="000000"/>
                <w:sz w:val="18"/>
                <w:szCs w:val="18"/>
                <w:lang w:eastAsia="sk-SK"/>
              </w:rPr>
            </w:pPr>
            <w:r w:rsidRPr="003B060E">
              <w:rPr>
                <w:rFonts w:eastAsia="Times New Roman" w:cs="Times New Roman"/>
                <w:b/>
                <w:bCs/>
                <w:color w:val="000000"/>
                <w:sz w:val="18"/>
                <w:szCs w:val="18"/>
                <w:lang w:eastAsia="sk-SK"/>
              </w:rPr>
              <w:t>z toho: zdroj 111</w:t>
            </w:r>
            <w:r w:rsidRPr="003B060E">
              <w:rPr>
                <w:rFonts w:ascii="Arial Narrow" w:eastAsia="Times New Roman" w:hAnsi="Arial Narrow" w:cs="Times New Roman"/>
                <w:b/>
                <w:bCs/>
                <w:color w:val="000000"/>
                <w:sz w:val="18"/>
                <w:szCs w:val="18"/>
                <w:lang w:eastAsia="sk-SK"/>
              </w:rPr>
              <w:t>*</w:t>
            </w:r>
          </w:p>
        </w:tc>
        <w:tc>
          <w:tcPr>
            <w:tcW w:w="997" w:type="dxa"/>
            <w:tcBorders>
              <w:top w:val="nil"/>
              <w:left w:val="nil"/>
              <w:bottom w:val="nil"/>
              <w:right w:val="nil"/>
            </w:tcBorders>
            <w:shd w:val="clear" w:color="auto" w:fill="auto"/>
            <w:vAlign w:val="center"/>
            <w:hideMark/>
          </w:tcPr>
          <w:p w14:paraId="52842845" w14:textId="77777777" w:rsidR="00B41352" w:rsidRPr="003B060E" w:rsidRDefault="00B41352" w:rsidP="00B768D9">
            <w:pPr>
              <w:spacing w:after="0" w:line="240" w:lineRule="auto"/>
              <w:jc w:val="center"/>
              <w:rPr>
                <w:rFonts w:eastAsia="Times New Roman" w:cs="Times New Roman"/>
                <w:b/>
                <w:bCs/>
                <w:color w:val="000000"/>
                <w:sz w:val="18"/>
                <w:szCs w:val="18"/>
                <w:lang w:eastAsia="sk-SK"/>
              </w:rPr>
            </w:pPr>
            <w:r w:rsidRPr="003B060E">
              <w:rPr>
                <w:rFonts w:eastAsia="Times New Roman" w:cs="Times New Roman"/>
                <w:b/>
                <w:bCs/>
                <w:color w:val="000000"/>
                <w:sz w:val="18"/>
                <w:szCs w:val="18"/>
                <w:lang w:eastAsia="sk-SK"/>
              </w:rPr>
              <w:t>Rozdiel</w:t>
            </w:r>
          </w:p>
        </w:tc>
        <w:tc>
          <w:tcPr>
            <w:tcW w:w="845" w:type="dxa"/>
            <w:tcBorders>
              <w:top w:val="nil"/>
              <w:left w:val="nil"/>
              <w:bottom w:val="nil"/>
              <w:right w:val="nil"/>
            </w:tcBorders>
            <w:shd w:val="clear" w:color="auto" w:fill="auto"/>
            <w:vAlign w:val="center"/>
            <w:hideMark/>
          </w:tcPr>
          <w:p w14:paraId="3309C8CB" w14:textId="77777777" w:rsidR="00B41352" w:rsidRPr="003B060E" w:rsidRDefault="00B41352" w:rsidP="00B768D9">
            <w:pPr>
              <w:spacing w:after="0" w:line="240" w:lineRule="auto"/>
              <w:jc w:val="center"/>
              <w:rPr>
                <w:rFonts w:eastAsia="Times New Roman" w:cs="Times New Roman"/>
                <w:b/>
                <w:bCs/>
                <w:color w:val="000000"/>
                <w:sz w:val="18"/>
                <w:szCs w:val="18"/>
                <w:lang w:eastAsia="sk-SK"/>
              </w:rPr>
            </w:pPr>
            <w:r w:rsidRPr="003B060E">
              <w:rPr>
                <w:rFonts w:eastAsia="Times New Roman" w:cs="Times New Roman"/>
                <w:b/>
                <w:bCs/>
                <w:color w:val="000000"/>
                <w:sz w:val="18"/>
                <w:szCs w:val="18"/>
                <w:lang w:eastAsia="sk-SK"/>
              </w:rPr>
              <w:t>v %</w:t>
            </w:r>
          </w:p>
        </w:tc>
      </w:tr>
      <w:tr w:rsidR="00B41352" w:rsidRPr="003B060E" w14:paraId="5B548073" w14:textId="77777777" w:rsidTr="00207B7D">
        <w:trPr>
          <w:trHeight w:val="345"/>
        </w:trPr>
        <w:tc>
          <w:tcPr>
            <w:tcW w:w="2410" w:type="dxa"/>
            <w:vMerge/>
            <w:tcBorders>
              <w:left w:val="nil"/>
              <w:bottom w:val="single" w:sz="8" w:space="0" w:color="auto"/>
              <w:right w:val="nil"/>
            </w:tcBorders>
            <w:shd w:val="clear" w:color="auto" w:fill="auto"/>
            <w:vAlign w:val="center"/>
            <w:hideMark/>
          </w:tcPr>
          <w:p w14:paraId="6561B3D9" w14:textId="19495697" w:rsidR="00B41352" w:rsidRPr="003B060E" w:rsidRDefault="00B41352" w:rsidP="00B768D9">
            <w:pPr>
              <w:spacing w:after="0" w:line="240" w:lineRule="auto"/>
              <w:rPr>
                <w:rFonts w:eastAsia="Times New Roman" w:cs="Times New Roman"/>
                <w:b/>
                <w:bCs/>
                <w:color w:val="FFFFFF"/>
                <w:sz w:val="18"/>
                <w:szCs w:val="18"/>
                <w:lang w:eastAsia="sk-SK"/>
              </w:rPr>
            </w:pPr>
          </w:p>
        </w:tc>
        <w:tc>
          <w:tcPr>
            <w:tcW w:w="1134" w:type="dxa"/>
            <w:tcBorders>
              <w:top w:val="nil"/>
              <w:left w:val="nil"/>
              <w:bottom w:val="single" w:sz="8" w:space="0" w:color="auto"/>
              <w:right w:val="nil"/>
            </w:tcBorders>
            <w:shd w:val="clear" w:color="auto" w:fill="auto"/>
            <w:vAlign w:val="center"/>
            <w:hideMark/>
          </w:tcPr>
          <w:p w14:paraId="703D831E" w14:textId="77777777" w:rsidR="00B41352" w:rsidRPr="003B060E" w:rsidRDefault="00B41352" w:rsidP="00B768D9">
            <w:pPr>
              <w:spacing w:after="0" w:line="240" w:lineRule="auto"/>
              <w:jc w:val="center"/>
              <w:rPr>
                <w:rFonts w:eastAsia="Times New Roman" w:cs="Times New Roman"/>
                <w:b/>
                <w:bCs/>
                <w:sz w:val="18"/>
                <w:szCs w:val="18"/>
                <w:lang w:eastAsia="sk-SK"/>
              </w:rPr>
            </w:pPr>
            <w:r w:rsidRPr="003B060E">
              <w:rPr>
                <w:rFonts w:eastAsia="Times New Roman" w:cs="Times New Roman"/>
                <w:b/>
                <w:bCs/>
                <w:sz w:val="18"/>
                <w:szCs w:val="18"/>
                <w:lang w:eastAsia="sk-SK"/>
              </w:rPr>
              <w:t>1</w:t>
            </w:r>
          </w:p>
        </w:tc>
        <w:tc>
          <w:tcPr>
            <w:tcW w:w="992" w:type="dxa"/>
            <w:tcBorders>
              <w:top w:val="nil"/>
              <w:left w:val="nil"/>
              <w:bottom w:val="single" w:sz="8" w:space="0" w:color="auto"/>
              <w:right w:val="nil"/>
            </w:tcBorders>
            <w:shd w:val="clear" w:color="auto" w:fill="auto"/>
            <w:vAlign w:val="center"/>
            <w:hideMark/>
          </w:tcPr>
          <w:p w14:paraId="02DBF656" w14:textId="77777777" w:rsidR="00B41352" w:rsidRPr="003B060E" w:rsidRDefault="00B41352" w:rsidP="00B768D9">
            <w:pPr>
              <w:spacing w:after="0" w:line="240" w:lineRule="auto"/>
              <w:jc w:val="center"/>
              <w:rPr>
                <w:rFonts w:eastAsia="Times New Roman" w:cs="Times New Roman"/>
                <w:b/>
                <w:bCs/>
                <w:sz w:val="18"/>
                <w:szCs w:val="18"/>
                <w:lang w:eastAsia="sk-SK"/>
              </w:rPr>
            </w:pPr>
            <w:r w:rsidRPr="003B060E">
              <w:rPr>
                <w:rFonts w:eastAsia="Times New Roman" w:cs="Times New Roman"/>
                <w:b/>
                <w:bCs/>
                <w:sz w:val="18"/>
                <w:szCs w:val="18"/>
                <w:lang w:eastAsia="sk-SK"/>
              </w:rPr>
              <w:t>2</w:t>
            </w:r>
          </w:p>
        </w:tc>
        <w:tc>
          <w:tcPr>
            <w:tcW w:w="851" w:type="dxa"/>
            <w:tcBorders>
              <w:top w:val="nil"/>
              <w:left w:val="nil"/>
              <w:bottom w:val="single" w:sz="8" w:space="0" w:color="auto"/>
              <w:right w:val="nil"/>
            </w:tcBorders>
            <w:shd w:val="clear" w:color="auto" w:fill="auto"/>
            <w:vAlign w:val="center"/>
            <w:hideMark/>
          </w:tcPr>
          <w:p w14:paraId="4B85EC07" w14:textId="77777777" w:rsidR="00B41352" w:rsidRPr="003B060E" w:rsidRDefault="00B41352" w:rsidP="00B768D9">
            <w:pPr>
              <w:spacing w:after="0" w:line="240" w:lineRule="auto"/>
              <w:jc w:val="center"/>
              <w:rPr>
                <w:rFonts w:eastAsia="Times New Roman" w:cs="Times New Roman"/>
                <w:b/>
                <w:bCs/>
                <w:sz w:val="18"/>
                <w:szCs w:val="18"/>
                <w:lang w:eastAsia="sk-SK"/>
              </w:rPr>
            </w:pPr>
            <w:r w:rsidRPr="003B060E">
              <w:rPr>
                <w:rFonts w:eastAsia="Times New Roman" w:cs="Times New Roman"/>
                <w:b/>
                <w:bCs/>
                <w:sz w:val="18"/>
                <w:szCs w:val="18"/>
                <w:lang w:eastAsia="sk-SK"/>
              </w:rPr>
              <w:t>3</w:t>
            </w:r>
          </w:p>
        </w:tc>
        <w:tc>
          <w:tcPr>
            <w:tcW w:w="992" w:type="dxa"/>
            <w:tcBorders>
              <w:top w:val="nil"/>
              <w:left w:val="nil"/>
              <w:bottom w:val="single" w:sz="8" w:space="0" w:color="auto"/>
              <w:right w:val="nil"/>
            </w:tcBorders>
            <w:shd w:val="clear" w:color="auto" w:fill="auto"/>
            <w:vAlign w:val="center"/>
            <w:hideMark/>
          </w:tcPr>
          <w:p w14:paraId="6BBC9784" w14:textId="77777777" w:rsidR="00B41352" w:rsidRPr="003B060E" w:rsidRDefault="00B41352" w:rsidP="00B768D9">
            <w:pPr>
              <w:spacing w:after="0" w:line="240" w:lineRule="auto"/>
              <w:jc w:val="center"/>
              <w:rPr>
                <w:rFonts w:eastAsia="Times New Roman" w:cs="Times New Roman"/>
                <w:b/>
                <w:bCs/>
                <w:sz w:val="18"/>
                <w:szCs w:val="18"/>
                <w:lang w:eastAsia="sk-SK"/>
              </w:rPr>
            </w:pPr>
            <w:r w:rsidRPr="003B060E">
              <w:rPr>
                <w:rFonts w:eastAsia="Times New Roman" w:cs="Times New Roman"/>
                <w:b/>
                <w:bCs/>
                <w:sz w:val="18"/>
                <w:szCs w:val="18"/>
                <w:lang w:eastAsia="sk-SK"/>
              </w:rPr>
              <w:t>4</w:t>
            </w:r>
          </w:p>
        </w:tc>
        <w:tc>
          <w:tcPr>
            <w:tcW w:w="851" w:type="dxa"/>
            <w:tcBorders>
              <w:top w:val="nil"/>
              <w:left w:val="nil"/>
              <w:bottom w:val="single" w:sz="8" w:space="0" w:color="auto"/>
              <w:right w:val="nil"/>
            </w:tcBorders>
            <w:shd w:val="clear" w:color="auto" w:fill="auto"/>
            <w:vAlign w:val="center"/>
            <w:hideMark/>
          </w:tcPr>
          <w:p w14:paraId="3D0DA507" w14:textId="77777777" w:rsidR="00B41352" w:rsidRPr="003B060E" w:rsidRDefault="00B41352" w:rsidP="00B768D9">
            <w:pPr>
              <w:spacing w:after="0" w:line="240" w:lineRule="auto"/>
              <w:jc w:val="center"/>
              <w:rPr>
                <w:rFonts w:eastAsia="Times New Roman" w:cs="Times New Roman"/>
                <w:b/>
                <w:bCs/>
                <w:sz w:val="18"/>
                <w:szCs w:val="18"/>
                <w:lang w:eastAsia="sk-SK"/>
              </w:rPr>
            </w:pPr>
            <w:r w:rsidRPr="003B060E">
              <w:rPr>
                <w:rFonts w:eastAsia="Times New Roman" w:cs="Times New Roman"/>
                <w:b/>
                <w:bCs/>
                <w:sz w:val="18"/>
                <w:szCs w:val="18"/>
                <w:lang w:eastAsia="sk-SK"/>
              </w:rPr>
              <w:t>5</w:t>
            </w:r>
          </w:p>
        </w:tc>
        <w:tc>
          <w:tcPr>
            <w:tcW w:w="997" w:type="dxa"/>
            <w:tcBorders>
              <w:top w:val="nil"/>
              <w:left w:val="nil"/>
              <w:bottom w:val="single" w:sz="8" w:space="0" w:color="auto"/>
              <w:right w:val="nil"/>
            </w:tcBorders>
            <w:shd w:val="clear" w:color="auto" w:fill="auto"/>
            <w:vAlign w:val="center"/>
            <w:hideMark/>
          </w:tcPr>
          <w:p w14:paraId="4F80E3F8" w14:textId="77777777" w:rsidR="00B41352" w:rsidRPr="003B060E" w:rsidRDefault="00B41352" w:rsidP="00B768D9">
            <w:pPr>
              <w:spacing w:after="0" w:line="240" w:lineRule="auto"/>
              <w:jc w:val="center"/>
              <w:rPr>
                <w:rFonts w:eastAsia="Times New Roman" w:cs="Times New Roman"/>
                <w:b/>
                <w:bCs/>
                <w:sz w:val="18"/>
                <w:szCs w:val="18"/>
                <w:lang w:eastAsia="sk-SK"/>
              </w:rPr>
            </w:pPr>
            <w:r w:rsidRPr="003B060E">
              <w:rPr>
                <w:rFonts w:eastAsia="Times New Roman" w:cs="Times New Roman"/>
                <w:b/>
                <w:bCs/>
                <w:sz w:val="18"/>
                <w:szCs w:val="18"/>
                <w:lang w:eastAsia="sk-SK"/>
              </w:rPr>
              <w:t>6=4-3</w:t>
            </w:r>
          </w:p>
        </w:tc>
        <w:tc>
          <w:tcPr>
            <w:tcW w:w="845" w:type="dxa"/>
            <w:tcBorders>
              <w:top w:val="nil"/>
              <w:left w:val="nil"/>
              <w:bottom w:val="single" w:sz="8" w:space="0" w:color="auto"/>
              <w:right w:val="nil"/>
            </w:tcBorders>
            <w:shd w:val="clear" w:color="auto" w:fill="auto"/>
            <w:vAlign w:val="center"/>
            <w:hideMark/>
          </w:tcPr>
          <w:p w14:paraId="1EB6868D" w14:textId="77777777" w:rsidR="00B41352" w:rsidRPr="003B060E" w:rsidRDefault="00B41352" w:rsidP="00B768D9">
            <w:pPr>
              <w:spacing w:after="0" w:line="240" w:lineRule="auto"/>
              <w:jc w:val="center"/>
              <w:rPr>
                <w:rFonts w:eastAsia="Times New Roman" w:cs="Times New Roman"/>
                <w:b/>
                <w:bCs/>
                <w:sz w:val="18"/>
                <w:szCs w:val="18"/>
                <w:lang w:eastAsia="sk-SK"/>
              </w:rPr>
            </w:pPr>
            <w:r w:rsidRPr="003B060E">
              <w:rPr>
                <w:rFonts w:eastAsia="Times New Roman" w:cs="Times New Roman"/>
                <w:b/>
                <w:bCs/>
                <w:sz w:val="18"/>
                <w:szCs w:val="18"/>
                <w:lang w:eastAsia="sk-SK"/>
              </w:rPr>
              <w:t>7=4-3</w:t>
            </w:r>
          </w:p>
        </w:tc>
      </w:tr>
      <w:tr w:rsidR="00562E58" w:rsidRPr="003B060E" w14:paraId="3F2B77D1" w14:textId="77777777" w:rsidTr="00207B7D">
        <w:trPr>
          <w:trHeight w:val="330"/>
        </w:trPr>
        <w:tc>
          <w:tcPr>
            <w:tcW w:w="2410" w:type="dxa"/>
            <w:tcBorders>
              <w:top w:val="nil"/>
              <w:left w:val="nil"/>
              <w:bottom w:val="nil"/>
              <w:right w:val="nil"/>
            </w:tcBorders>
            <w:shd w:val="clear" w:color="000000" w:fill="FFFFFF"/>
            <w:vAlign w:val="center"/>
            <w:hideMark/>
          </w:tcPr>
          <w:p w14:paraId="53D0A294" w14:textId="08EDB573" w:rsidR="00776B01" w:rsidRPr="003B060E" w:rsidRDefault="00776B01" w:rsidP="00B768D9">
            <w:pPr>
              <w:spacing w:after="0" w:line="240" w:lineRule="auto"/>
              <w:rPr>
                <w:rFonts w:eastAsia="Times New Roman" w:cs="Times New Roman"/>
                <w:color w:val="000000"/>
                <w:sz w:val="18"/>
                <w:szCs w:val="18"/>
                <w:lang w:eastAsia="sk-SK"/>
              </w:rPr>
            </w:pPr>
            <w:r w:rsidRPr="003B060E">
              <w:rPr>
                <w:rFonts w:eastAsia="Times New Roman" w:cs="Times New Roman"/>
                <w:color w:val="000000"/>
                <w:sz w:val="18"/>
                <w:szCs w:val="18"/>
                <w:lang w:eastAsia="sk-SK"/>
              </w:rPr>
              <w:t>Ministerstvo investícií, reg.</w:t>
            </w:r>
            <w:r w:rsidR="00207B7D">
              <w:rPr>
                <w:rFonts w:eastAsia="Times New Roman" w:cs="Times New Roman"/>
                <w:color w:val="000000"/>
                <w:sz w:val="18"/>
                <w:szCs w:val="18"/>
                <w:lang w:eastAsia="sk-SK"/>
              </w:rPr>
              <w:t xml:space="preserve"> </w:t>
            </w:r>
            <w:r w:rsidRPr="003B060E">
              <w:rPr>
                <w:rFonts w:eastAsia="Times New Roman" w:cs="Times New Roman"/>
                <w:color w:val="000000"/>
                <w:sz w:val="18"/>
                <w:szCs w:val="18"/>
                <w:lang w:eastAsia="sk-SK"/>
              </w:rPr>
              <w:t xml:space="preserve">rozvoja a infor.SR </w:t>
            </w:r>
          </w:p>
        </w:tc>
        <w:tc>
          <w:tcPr>
            <w:tcW w:w="1134" w:type="dxa"/>
            <w:tcBorders>
              <w:top w:val="nil"/>
              <w:left w:val="nil"/>
              <w:bottom w:val="nil"/>
              <w:right w:val="nil"/>
            </w:tcBorders>
            <w:shd w:val="clear" w:color="auto" w:fill="auto"/>
            <w:noWrap/>
            <w:vAlign w:val="center"/>
            <w:hideMark/>
          </w:tcPr>
          <w:p w14:paraId="05F9E9B3"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91 746</w:t>
            </w:r>
          </w:p>
        </w:tc>
        <w:tc>
          <w:tcPr>
            <w:tcW w:w="992" w:type="dxa"/>
            <w:tcBorders>
              <w:top w:val="nil"/>
              <w:left w:val="nil"/>
              <w:bottom w:val="nil"/>
              <w:right w:val="nil"/>
            </w:tcBorders>
            <w:shd w:val="clear" w:color="auto" w:fill="auto"/>
            <w:noWrap/>
            <w:vAlign w:val="center"/>
            <w:hideMark/>
          </w:tcPr>
          <w:p w14:paraId="5F873B03"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85 013</w:t>
            </w:r>
          </w:p>
        </w:tc>
        <w:tc>
          <w:tcPr>
            <w:tcW w:w="851" w:type="dxa"/>
            <w:tcBorders>
              <w:top w:val="nil"/>
              <w:left w:val="nil"/>
              <w:bottom w:val="nil"/>
              <w:right w:val="nil"/>
            </w:tcBorders>
            <w:shd w:val="clear" w:color="000000" w:fill="FFFFFF"/>
            <w:noWrap/>
            <w:vAlign w:val="center"/>
            <w:hideMark/>
          </w:tcPr>
          <w:p w14:paraId="61EFCAC3"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47429187"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261 340</w:t>
            </w:r>
          </w:p>
        </w:tc>
        <w:tc>
          <w:tcPr>
            <w:tcW w:w="851" w:type="dxa"/>
            <w:tcBorders>
              <w:top w:val="nil"/>
              <w:left w:val="nil"/>
              <w:bottom w:val="nil"/>
              <w:right w:val="nil"/>
            </w:tcBorders>
            <w:shd w:val="clear" w:color="auto" w:fill="auto"/>
            <w:noWrap/>
            <w:vAlign w:val="center"/>
            <w:hideMark/>
          </w:tcPr>
          <w:p w14:paraId="5FD5B717"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405</w:t>
            </w:r>
          </w:p>
        </w:tc>
        <w:tc>
          <w:tcPr>
            <w:tcW w:w="997" w:type="dxa"/>
            <w:tcBorders>
              <w:top w:val="nil"/>
              <w:left w:val="nil"/>
              <w:bottom w:val="nil"/>
              <w:right w:val="nil"/>
            </w:tcBorders>
            <w:shd w:val="clear" w:color="000000" w:fill="FFFFFF"/>
            <w:vAlign w:val="center"/>
            <w:hideMark/>
          </w:tcPr>
          <w:p w14:paraId="24DDDF66"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261 340</w:t>
            </w:r>
          </w:p>
        </w:tc>
        <w:tc>
          <w:tcPr>
            <w:tcW w:w="845" w:type="dxa"/>
            <w:tcBorders>
              <w:top w:val="nil"/>
              <w:left w:val="nil"/>
              <w:bottom w:val="nil"/>
              <w:right w:val="nil"/>
            </w:tcBorders>
            <w:shd w:val="clear" w:color="000000" w:fill="FFFFFF"/>
            <w:vAlign w:val="center"/>
            <w:hideMark/>
          </w:tcPr>
          <w:p w14:paraId="6ED01110" w14:textId="42BA5B44" w:rsidR="00776B01" w:rsidRPr="003B060E"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562E58" w:rsidRPr="003B060E" w14:paraId="7EEFD098" w14:textId="77777777" w:rsidTr="00207B7D">
        <w:trPr>
          <w:trHeight w:val="330"/>
        </w:trPr>
        <w:tc>
          <w:tcPr>
            <w:tcW w:w="2410" w:type="dxa"/>
            <w:tcBorders>
              <w:top w:val="nil"/>
              <w:left w:val="nil"/>
              <w:bottom w:val="nil"/>
              <w:right w:val="nil"/>
            </w:tcBorders>
            <w:shd w:val="clear" w:color="000000" w:fill="FFFFFF"/>
            <w:vAlign w:val="center"/>
            <w:hideMark/>
          </w:tcPr>
          <w:p w14:paraId="01A06113" w14:textId="77777777" w:rsidR="00776B01" w:rsidRPr="003B060E" w:rsidRDefault="00776B01" w:rsidP="00B768D9">
            <w:pPr>
              <w:spacing w:after="0" w:line="240" w:lineRule="auto"/>
              <w:rPr>
                <w:rFonts w:eastAsia="Times New Roman" w:cs="Times New Roman"/>
                <w:color w:val="000000"/>
                <w:sz w:val="18"/>
                <w:szCs w:val="18"/>
                <w:lang w:eastAsia="sk-SK"/>
              </w:rPr>
            </w:pPr>
            <w:r w:rsidRPr="003B060E">
              <w:rPr>
                <w:rFonts w:eastAsia="Times New Roman" w:cs="Times New Roman"/>
                <w:color w:val="000000"/>
                <w:sz w:val="18"/>
                <w:szCs w:val="18"/>
                <w:lang w:eastAsia="sk-SK"/>
              </w:rPr>
              <w:t>Ministerstvo životného prostredia SR</w:t>
            </w:r>
          </w:p>
        </w:tc>
        <w:tc>
          <w:tcPr>
            <w:tcW w:w="1134" w:type="dxa"/>
            <w:tcBorders>
              <w:top w:val="nil"/>
              <w:left w:val="nil"/>
              <w:bottom w:val="nil"/>
              <w:right w:val="nil"/>
            </w:tcBorders>
            <w:shd w:val="clear" w:color="auto" w:fill="auto"/>
            <w:noWrap/>
            <w:vAlign w:val="center"/>
            <w:hideMark/>
          </w:tcPr>
          <w:p w14:paraId="00B8C8B5"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51 100</w:t>
            </w:r>
          </w:p>
        </w:tc>
        <w:tc>
          <w:tcPr>
            <w:tcW w:w="992" w:type="dxa"/>
            <w:tcBorders>
              <w:top w:val="nil"/>
              <w:left w:val="nil"/>
              <w:bottom w:val="nil"/>
              <w:right w:val="nil"/>
            </w:tcBorders>
            <w:shd w:val="clear" w:color="auto" w:fill="auto"/>
            <w:noWrap/>
            <w:vAlign w:val="center"/>
            <w:hideMark/>
          </w:tcPr>
          <w:p w14:paraId="4BF88113"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56 488</w:t>
            </w:r>
          </w:p>
        </w:tc>
        <w:tc>
          <w:tcPr>
            <w:tcW w:w="851" w:type="dxa"/>
            <w:tcBorders>
              <w:top w:val="nil"/>
              <w:left w:val="nil"/>
              <w:bottom w:val="nil"/>
              <w:right w:val="nil"/>
            </w:tcBorders>
            <w:shd w:val="clear" w:color="000000" w:fill="FFFFFF"/>
            <w:noWrap/>
            <w:vAlign w:val="center"/>
            <w:hideMark/>
          </w:tcPr>
          <w:p w14:paraId="177C9985"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221A45DB"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178 950</w:t>
            </w:r>
          </w:p>
        </w:tc>
        <w:tc>
          <w:tcPr>
            <w:tcW w:w="851" w:type="dxa"/>
            <w:tcBorders>
              <w:top w:val="nil"/>
              <w:left w:val="nil"/>
              <w:bottom w:val="nil"/>
              <w:right w:val="nil"/>
            </w:tcBorders>
            <w:shd w:val="clear" w:color="auto" w:fill="auto"/>
            <w:noWrap/>
            <w:vAlign w:val="center"/>
            <w:hideMark/>
          </w:tcPr>
          <w:p w14:paraId="64F6A16C"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x</w:t>
            </w:r>
          </w:p>
        </w:tc>
        <w:tc>
          <w:tcPr>
            <w:tcW w:w="997" w:type="dxa"/>
            <w:tcBorders>
              <w:top w:val="nil"/>
              <w:left w:val="nil"/>
              <w:bottom w:val="nil"/>
              <w:right w:val="nil"/>
            </w:tcBorders>
            <w:shd w:val="clear" w:color="000000" w:fill="FFFFFF"/>
            <w:vAlign w:val="center"/>
            <w:hideMark/>
          </w:tcPr>
          <w:p w14:paraId="649B9548"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178 950</w:t>
            </w:r>
          </w:p>
        </w:tc>
        <w:tc>
          <w:tcPr>
            <w:tcW w:w="845" w:type="dxa"/>
            <w:tcBorders>
              <w:top w:val="nil"/>
              <w:left w:val="nil"/>
              <w:bottom w:val="nil"/>
              <w:right w:val="nil"/>
            </w:tcBorders>
            <w:shd w:val="clear" w:color="000000" w:fill="FFFFFF"/>
            <w:vAlign w:val="center"/>
            <w:hideMark/>
          </w:tcPr>
          <w:p w14:paraId="3FBADE52" w14:textId="3C5A3CB8" w:rsidR="00776B01" w:rsidRPr="003B060E"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562E58" w:rsidRPr="003B060E" w14:paraId="167F556E" w14:textId="77777777" w:rsidTr="00207B7D">
        <w:trPr>
          <w:trHeight w:val="330"/>
        </w:trPr>
        <w:tc>
          <w:tcPr>
            <w:tcW w:w="2410" w:type="dxa"/>
            <w:tcBorders>
              <w:top w:val="nil"/>
              <w:left w:val="nil"/>
              <w:bottom w:val="nil"/>
              <w:right w:val="nil"/>
            </w:tcBorders>
            <w:shd w:val="clear" w:color="000000" w:fill="FFFFFF"/>
            <w:noWrap/>
            <w:vAlign w:val="center"/>
            <w:hideMark/>
          </w:tcPr>
          <w:p w14:paraId="51224B22" w14:textId="77777777" w:rsidR="00776B01" w:rsidRPr="003B060E" w:rsidRDefault="00776B01" w:rsidP="00B768D9">
            <w:pPr>
              <w:spacing w:after="0" w:line="240" w:lineRule="auto"/>
              <w:rPr>
                <w:rFonts w:eastAsia="Times New Roman" w:cs="Times New Roman"/>
                <w:color w:val="000000"/>
                <w:sz w:val="18"/>
                <w:szCs w:val="18"/>
                <w:lang w:eastAsia="sk-SK"/>
              </w:rPr>
            </w:pPr>
            <w:r w:rsidRPr="003B060E">
              <w:rPr>
                <w:rFonts w:eastAsia="Times New Roman" w:cs="Times New Roman"/>
                <w:color w:val="000000"/>
                <w:sz w:val="18"/>
                <w:szCs w:val="18"/>
                <w:lang w:eastAsia="sk-SK"/>
              </w:rPr>
              <w:t>Ministerstvo vnútra SR</w:t>
            </w:r>
          </w:p>
        </w:tc>
        <w:tc>
          <w:tcPr>
            <w:tcW w:w="1134" w:type="dxa"/>
            <w:tcBorders>
              <w:top w:val="nil"/>
              <w:left w:val="nil"/>
              <w:bottom w:val="nil"/>
              <w:right w:val="nil"/>
            </w:tcBorders>
            <w:shd w:val="clear" w:color="auto" w:fill="auto"/>
            <w:noWrap/>
            <w:vAlign w:val="center"/>
            <w:hideMark/>
          </w:tcPr>
          <w:p w14:paraId="2BA93131"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25 923</w:t>
            </w:r>
          </w:p>
        </w:tc>
        <w:tc>
          <w:tcPr>
            <w:tcW w:w="992" w:type="dxa"/>
            <w:tcBorders>
              <w:top w:val="nil"/>
              <w:left w:val="nil"/>
              <w:bottom w:val="nil"/>
              <w:right w:val="nil"/>
            </w:tcBorders>
            <w:shd w:val="clear" w:color="auto" w:fill="auto"/>
            <w:noWrap/>
            <w:vAlign w:val="center"/>
            <w:hideMark/>
          </w:tcPr>
          <w:p w14:paraId="14D0F67A"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18 009</w:t>
            </w:r>
          </w:p>
        </w:tc>
        <w:tc>
          <w:tcPr>
            <w:tcW w:w="851" w:type="dxa"/>
            <w:tcBorders>
              <w:top w:val="nil"/>
              <w:left w:val="nil"/>
              <w:bottom w:val="nil"/>
              <w:right w:val="nil"/>
            </w:tcBorders>
            <w:shd w:val="clear" w:color="000000" w:fill="FFFFFF"/>
            <w:noWrap/>
            <w:vAlign w:val="center"/>
            <w:hideMark/>
          </w:tcPr>
          <w:p w14:paraId="2F8C5959"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364C798F"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64 361</w:t>
            </w:r>
          </w:p>
        </w:tc>
        <w:tc>
          <w:tcPr>
            <w:tcW w:w="851" w:type="dxa"/>
            <w:tcBorders>
              <w:top w:val="nil"/>
              <w:left w:val="nil"/>
              <w:bottom w:val="nil"/>
              <w:right w:val="nil"/>
            </w:tcBorders>
            <w:shd w:val="clear" w:color="auto" w:fill="auto"/>
            <w:noWrap/>
            <w:vAlign w:val="center"/>
            <w:hideMark/>
          </w:tcPr>
          <w:p w14:paraId="2EE02EB4"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107</w:t>
            </w:r>
          </w:p>
        </w:tc>
        <w:tc>
          <w:tcPr>
            <w:tcW w:w="997" w:type="dxa"/>
            <w:tcBorders>
              <w:top w:val="nil"/>
              <w:left w:val="nil"/>
              <w:bottom w:val="nil"/>
              <w:right w:val="nil"/>
            </w:tcBorders>
            <w:shd w:val="clear" w:color="000000" w:fill="FFFFFF"/>
            <w:vAlign w:val="center"/>
            <w:hideMark/>
          </w:tcPr>
          <w:p w14:paraId="696C7B5E"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64 361</w:t>
            </w:r>
          </w:p>
        </w:tc>
        <w:tc>
          <w:tcPr>
            <w:tcW w:w="845" w:type="dxa"/>
            <w:tcBorders>
              <w:top w:val="nil"/>
              <w:left w:val="nil"/>
              <w:bottom w:val="nil"/>
              <w:right w:val="nil"/>
            </w:tcBorders>
            <w:shd w:val="clear" w:color="000000" w:fill="FFFFFF"/>
            <w:vAlign w:val="center"/>
            <w:hideMark/>
          </w:tcPr>
          <w:p w14:paraId="01C5A609" w14:textId="3F9BA7E3" w:rsidR="00776B01" w:rsidRPr="003B060E"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562E58" w:rsidRPr="003B060E" w14:paraId="567AC130" w14:textId="77777777" w:rsidTr="00207B7D">
        <w:trPr>
          <w:trHeight w:val="330"/>
        </w:trPr>
        <w:tc>
          <w:tcPr>
            <w:tcW w:w="2410" w:type="dxa"/>
            <w:tcBorders>
              <w:top w:val="nil"/>
              <w:left w:val="nil"/>
              <w:bottom w:val="nil"/>
              <w:right w:val="nil"/>
            </w:tcBorders>
            <w:shd w:val="clear" w:color="000000" w:fill="FFFFFF"/>
            <w:vAlign w:val="center"/>
            <w:hideMark/>
          </w:tcPr>
          <w:p w14:paraId="2DFD0C3F" w14:textId="77777777" w:rsidR="00776B01" w:rsidRPr="003B060E" w:rsidRDefault="00776B01" w:rsidP="00B768D9">
            <w:pPr>
              <w:spacing w:after="0" w:line="240" w:lineRule="auto"/>
              <w:rPr>
                <w:rFonts w:eastAsia="Times New Roman" w:cs="Times New Roman"/>
                <w:color w:val="000000"/>
                <w:sz w:val="18"/>
                <w:szCs w:val="18"/>
                <w:lang w:eastAsia="sk-SK"/>
              </w:rPr>
            </w:pPr>
            <w:r w:rsidRPr="003B060E">
              <w:rPr>
                <w:rFonts w:eastAsia="Times New Roman" w:cs="Times New Roman"/>
                <w:color w:val="000000"/>
                <w:sz w:val="18"/>
                <w:szCs w:val="18"/>
                <w:lang w:eastAsia="sk-SK"/>
              </w:rPr>
              <w:t>Ministerstvo dopravy SR</w:t>
            </w:r>
          </w:p>
        </w:tc>
        <w:tc>
          <w:tcPr>
            <w:tcW w:w="1134" w:type="dxa"/>
            <w:tcBorders>
              <w:top w:val="nil"/>
              <w:left w:val="nil"/>
              <w:bottom w:val="nil"/>
              <w:right w:val="nil"/>
            </w:tcBorders>
            <w:shd w:val="clear" w:color="auto" w:fill="auto"/>
            <w:noWrap/>
            <w:vAlign w:val="center"/>
            <w:hideMark/>
          </w:tcPr>
          <w:p w14:paraId="5FCB889A"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23 828</w:t>
            </w:r>
          </w:p>
        </w:tc>
        <w:tc>
          <w:tcPr>
            <w:tcW w:w="992" w:type="dxa"/>
            <w:tcBorders>
              <w:top w:val="nil"/>
              <w:left w:val="nil"/>
              <w:bottom w:val="nil"/>
              <w:right w:val="nil"/>
            </w:tcBorders>
            <w:shd w:val="clear" w:color="auto" w:fill="auto"/>
            <w:noWrap/>
            <w:vAlign w:val="center"/>
            <w:hideMark/>
          </w:tcPr>
          <w:p w14:paraId="1E44733C"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26 705</w:t>
            </w:r>
          </w:p>
        </w:tc>
        <w:tc>
          <w:tcPr>
            <w:tcW w:w="851" w:type="dxa"/>
            <w:tcBorders>
              <w:top w:val="nil"/>
              <w:left w:val="nil"/>
              <w:bottom w:val="nil"/>
              <w:right w:val="nil"/>
            </w:tcBorders>
            <w:shd w:val="clear" w:color="000000" w:fill="FFFFFF"/>
            <w:noWrap/>
            <w:vAlign w:val="center"/>
            <w:hideMark/>
          </w:tcPr>
          <w:p w14:paraId="43057EDE"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44E0DBB9"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38 074</w:t>
            </w:r>
          </w:p>
        </w:tc>
        <w:tc>
          <w:tcPr>
            <w:tcW w:w="851" w:type="dxa"/>
            <w:tcBorders>
              <w:top w:val="nil"/>
              <w:left w:val="nil"/>
              <w:bottom w:val="nil"/>
              <w:right w:val="nil"/>
            </w:tcBorders>
            <w:shd w:val="clear" w:color="auto" w:fill="auto"/>
            <w:noWrap/>
            <w:vAlign w:val="center"/>
            <w:hideMark/>
          </w:tcPr>
          <w:p w14:paraId="015A1038"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1 282</w:t>
            </w:r>
          </w:p>
        </w:tc>
        <w:tc>
          <w:tcPr>
            <w:tcW w:w="997" w:type="dxa"/>
            <w:tcBorders>
              <w:top w:val="nil"/>
              <w:left w:val="nil"/>
              <w:bottom w:val="nil"/>
              <w:right w:val="nil"/>
            </w:tcBorders>
            <w:shd w:val="clear" w:color="000000" w:fill="FFFFFF"/>
            <w:vAlign w:val="center"/>
            <w:hideMark/>
          </w:tcPr>
          <w:p w14:paraId="772CD6CF"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38 074</w:t>
            </w:r>
          </w:p>
        </w:tc>
        <w:tc>
          <w:tcPr>
            <w:tcW w:w="845" w:type="dxa"/>
            <w:tcBorders>
              <w:top w:val="nil"/>
              <w:left w:val="nil"/>
              <w:bottom w:val="nil"/>
              <w:right w:val="nil"/>
            </w:tcBorders>
            <w:shd w:val="clear" w:color="000000" w:fill="FFFFFF"/>
            <w:vAlign w:val="center"/>
            <w:hideMark/>
          </w:tcPr>
          <w:p w14:paraId="0E39B253" w14:textId="61B4681D" w:rsidR="00776B01" w:rsidRPr="003B060E"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562E58" w:rsidRPr="003B060E" w14:paraId="10B5E398" w14:textId="77777777" w:rsidTr="00207B7D">
        <w:trPr>
          <w:trHeight w:val="330"/>
        </w:trPr>
        <w:tc>
          <w:tcPr>
            <w:tcW w:w="2410" w:type="dxa"/>
            <w:tcBorders>
              <w:top w:val="nil"/>
              <w:left w:val="nil"/>
              <w:bottom w:val="nil"/>
              <w:right w:val="nil"/>
            </w:tcBorders>
            <w:shd w:val="clear" w:color="000000" w:fill="FFFFFF"/>
            <w:vAlign w:val="center"/>
            <w:hideMark/>
          </w:tcPr>
          <w:p w14:paraId="3E5240A1" w14:textId="77777777" w:rsidR="00776B01" w:rsidRPr="003B060E" w:rsidRDefault="00776B01" w:rsidP="00B768D9">
            <w:pPr>
              <w:spacing w:after="0" w:line="240" w:lineRule="auto"/>
              <w:rPr>
                <w:rFonts w:eastAsia="Times New Roman" w:cs="Times New Roman"/>
                <w:color w:val="000000"/>
                <w:sz w:val="18"/>
                <w:szCs w:val="18"/>
                <w:lang w:eastAsia="sk-SK"/>
              </w:rPr>
            </w:pPr>
            <w:r w:rsidRPr="003B060E">
              <w:rPr>
                <w:rFonts w:eastAsia="Times New Roman" w:cs="Times New Roman"/>
                <w:color w:val="000000"/>
                <w:sz w:val="18"/>
                <w:szCs w:val="18"/>
                <w:lang w:eastAsia="sk-SK"/>
              </w:rPr>
              <w:t xml:space="preserve">Ministerstvo </w:t>
            </w:r>
            <w:proofErr w:type="spellStart"/>
            <w:r w:rsidRPr="003B060E">
              <w:rPr>
                <w:rFonts w:eastAsia="Times New Roman" w:cs="Times New Roman"/>
                <w:color w:val="000000"/>
                <w:sz w:val="18"/>
                <w:szCs w:val="18"/>
                <w:lang w:eastAsia="sk-SK"/>
              </w:rPr>
              <w:t>pôdohospod</w:t>
            </w:r>
            <w:proofErr w:type="spellEnd"/>
            <w:r w:rsidRPr="003B060E">
              <w:rPr>
                <w:rFonts w:eastAsia="Times New Roman" w:cs="Times New Roman"/>
                <w:color w:val="000000"/>
                <w:sz w:val="18"/>
                <w:szCs w:val="18"/>
                <w:lang w:eastAsia="sk-SK"/>
              </w:rPr>
              <w:t>. a rozvoja vidieka SR</w:t>
            </w:r>
          </w:p>
        </w:tc>
        <w:tc>
          <w:tcPr>
            <w:tcW w:w="1134" w:type="dxa"/>
            <w:tcBorders>
              <w:top w:val="nil"/>
              <w:left w:val="nil"/>
              <w:bottom w:val="nil"/>
              <w:right w:val="nil"/>
            </w:tcBorders>
            <w:shd w:val="clear" w:color="auto" w:fill="auto"/>
            <w:noWrap/>
            <w:vAlign w:val="center"/>
            <w:hideMark/>
          </w:tcPr>
          <w:p w14:paraId="7486336E"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6 872</w:t>
            </w:r>
          </w:p>
        </w:tc>
        <w:tc>
          <w:tcPr>
            <w:tcW w:w="992" w:type="dxa"/>
            <w:tcBorders>
              <w:top w:val="nil"/>
              <w:left w:val="nil"/>
              <w:bottom w:val="nil"/>
              <w:right w:val="nil"/>
            </w:tcBorders>
            <w:shd w:val="clear" w:color="auto" w:fill="auto"/>
            <w:noWrap/>
            <w:vAlign w:val="center"/>
            <w:hideMark/>
          </w:tcPr>
          <w:p w14:paraId="5B700616"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14 820</w:t>
            </w:r>
          </w:p>
        </w:tc>
        <w:tc>
          <w:tcPr>
            <w:tcW w:w="851" w:type="dxa"/>
            <w:tcBorders>
              <w:top w:val="nil"/>
              <w:left w:val="nil"/>
              <w:bottom w:val="nil"/>
              <w:right w:val="nil"/>
            </w:tcBorders>
            <w:shd w:val="clear" w:color="000000" w:fill="FFFFFF"/>
            <w:noWrap/>
            <w:vAlign w:val="center"/>
            <w:hideMark/>
          </w:tcPr>
          <w:p w14:paraId="73A64F08"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4E32EC54"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12 264</w:t>
            </w:r>
          </w:p>
        </w:tc>
        <w:tc>
          <w:tcPr>
            <w:tcW w:w="851" w:type="dxa"/>
            <w:tcBorders>
              <w:top w:val="nil"/>
              <w:left w:val="nil"/>
              <w:bottom w:val="nil"/>
              <w:right w:val="nil"/>
            </w:tcBorders>
            <w:shd w:val="clear" w:color="auto" w:fill="auto"/>
            <w:noWrap/>
            <w:vAlign w:val="center"/>
            <w:hideMark/>
          </w:tcPr>
          <w:p w14:paraId="12A12743"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x</w:t>
            </w:r>
          </w:p>
        </w:tc>
        <w:tc>
          <w:tcPr>
            <w:tcW w:w="997" w:type="dxa"/>
            <w:tcBorders>
              <w:top w:val="nil"/>
              <w:left w:val="nil"/>
              <w:bottom w:val="nil"/>
              <w:right w:val="nil"/>
            </w:tcBorders>
            <w:shd w:val="clear" w:color="000000" w:fill="FFFFFF"/>
            <w:vAlign w:val="center"/>
            <w:hideMark/>
          </w:tcPr>
          <w:p w14:paraId="4B6BF986"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12 264</w:t>
            </w:r>
          </w:p>
        </w:tc>
        <w:tc>
          <w:tcPr>
            <w:tcW w:w="845" w:type="dxa"/>
            <w:tcBorders>
              <w:top w:val="nil"/>
              <w:left w:val="nil"/>
              <w:bottom w:val="nil"/>
              <w:right w:val="nil"/>
            </w:tcBorders>
            <w:shd w:val="clear" w:color="000000" w:fill="FFFFFF"/>
            <w:vAlign w:val="center"/>
            <w:hideMark/>
          </w:tcPr>
          <w:p w14:paraId="08506EC3" w14:textId="0002A638" w:rsidR="00776B01" w:rsidRPr="003B060E"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562E58" w:rsidRPr="003B060E" w14:paraId="7E87C549" w14:textId="77777777" w:rsidTr="00207B7D">
        <w:trPr>
          <w:trHeight w:val="330"/>
        </w:trPr>
        <w:tc>
          <w:tcPr>
            <w:tcW w:w="2410" w:type="dxa"/>
            <w:tcBorders>
              <w:top w:val="nil"/>
              <w:left w:val="nil"/>
              <w:bottom w:val="nil"/>
              <w:right w:val="nil"/>
            </w:tcBorders>
            <w:shd w:val="clear" w:color="000000" w:fill="FFFFFF"/>
            <w:vAlign w:val="center"/>
            <w:hideMark/>
          </w:tcPr>
          <w:p w14:paraId="2CE8ECE7" w14:textId="77777777" w:rsidR="00776B01" w:rsidRPr="003B060E" w:rsidRDefault="00776B01" w:rsidP="00B768D9">
            <w:pPr>
              <w:spacing w:after="0" w:line="240" w:lineRule="auto"/>
              <w:rPr>
                <w:rFonts w:eastAsia="Times New Roman" w:cs="Times New Roman"/>
                <w:color w:val="000000"/>
                <w:sz w:val="18"/>
                <w:szCs w:val="18"/>
                <w:lang w:eastAsia="sk-SK"/>
              </w:rPr>
            </w:pPr>
            <w:r w:rsidRPr="003B060E">
              <w:rPr>
                <w:rFonts w:eastAsia="Times New Roman" w:cs="Times New Roman"/>
                <w:color w:val="000000"/>
                <w:sz w:val="18"/>
                <w:szCs w:val="18"/>
                <w:lang w:eastAsia="sk-SK"/>
              </w:rPr>
              <w:t>Ministerstvo školstva, vedy, výskumu a športu SR</w:t>
            </w:r>
          </w:p>
        </w:tc>
        <w:tc>
          <w:tcPr>
            <w:tcW w:w="1134" w:type="dxa"/>
            <w:tcBorders>
              <w:top w:val="nil"/>
              <w:left w:val="nil"/>
              <w:bottom w:val="nil"/>
              <w:right w:val="nil"/>
            </w:tcBorders>
            <w:shd w:val="clear" w:color="auto" w:fill="auto"/>
            <w:noWrap/>
            <w:vAlign w:val="center"/>
            <w:hideMark/>
          </w:tcPr>
          <w:p w14:paraId="7ED5139C"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649</w:t>
            </w:r>
          </w:p>
        </w:tc>
        <w:tc>
          <w:tcPr>
            <w:tcW w:w="992" w:type="dxa"/>
            <w:tcBorders>
              <w:top w:val="nil"/>
              <w:left w:val="nil"/>
              <w:bottom w:val="nil"/>
              <w:right w:val="nil"/>
            </w:tcBorders>
            <w:shd w:val="clear" w:color="auto" w:fill="auto"/>
            <w:noWrap/>
            <w:vAlign w:val="center"/>
            <w:hideMark/>
          </w:tcPr>
          <w:p w14:paraId="4F5E42A1"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6 247</w:t>
            </w:r>
          </w:p>
        </w:tc>
        <w:tc>
          <w:tcPr>
            <w:tcW w:w="851" w:type="dxa"/>
            <w:tcBorders>
              <w:top w:val="nil"/>
              <w:left w:val="nil"/>
              <w:bottom w:val="nil"/>
              <w:right w:val="nil"/>
            </w:tcBorders>
            <w:shd w:val="clear" w:color="000000" w:fill="FFFFFF"/>
            <w:noWrap/>
            <w:vAlign w:val="center"/>
            <w:hideMark/>
          </w:tcPr>
          <w:p w14:paraId="6E2EF72C"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144 484</w:t>
            </w:r>
          </w:p>
        </w:tc>
        <w:tc>
          <w:tcPr>
            <w:tcW w:w="992" w:type="dxa"/>
            <w:tcBorders>
              <w:top w:val="nil"/>
              <w:left w:val="nil"/>
              <w:bottom w:val="nil"/>
              <w:right w:val="nil"/>
            </w:tcBorders>
            <w:shd w:val="clear" w:color="auto" w:fill="auto"/>
            <w:noWrap/>
            <w:vAlign w:val="center"/>
            <w:hideMark/>
          </w:tcPr>
          <w:p w14:paraId="1ACD4747"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9 099</w:t>
            </w:r>
          </w:p>
        </w:tc>
        <w:tc>
          <w:tcPr>
            <w:tcW w:w="851" w:type="dxa"/>
            <w:tcBorders>
              <w:top w:val="nil"/>
              <w:left w:val="nil"/>
              <w:bottom w:val="nil"/>
              <w:right w:val="nil"/>
            </w:tcBorders>
            <w:shd w:val="clear" w:color="auto" w:fill="auto"/>
            <w:noWrap/>
            <w:vAlign w:val="center"/>
            <w:hideMark/>
          </w:tcPr>
          <w:p w14:paraId="50341EAC"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8 330</w:t>
            </w:r>
          </w:p>
        </w:tc>
        <w:tc>
          <w:tcPr>
            <w:tcW w:w="997" w:type="dxa"/>
            <w:tcBorders>
              <w:top w:val="nil"/>
              <w:left w:val="nil"/>
              <w:bottom w:val="nil"/>
              <w:right w:val="nil"/>
            </w:tcBorders>
            <w:shd w:val="clear" w:color="000000" w:fill="FFFFFF"/>
            <w:vAlign w:val="center"/>
            <w:hideMark/>
          </w:tcPr>
          <w:p w14:paraId="7A8988F1"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-135 385</w:t>
            </w:r>
          </w:p>
        </w:tc>
        <w:tc>
          <w:tcPr>
            <w:tcW w:w="845" w:type="dxa"/>
            <w:tcBorders>
              <w:top w:val="nil"/>
              <w:left w:val="nil"/>
              <w:bottom w:val="nil"/>
              <w:right w:val="nil"/>
            </w:tcBorders>
            <w:shd w:val="clear" w:color="000000" w:fill="FFFFFF"/>
            <w:vAlign w:val="center"/>
            <w:hideMark/>
          </w:tcPr>
          <w:p w14:paraId="09578B4D"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-93,7</w:t>
            </w:r>
          </w:p>
        </w:tc>
      </w:tr>
      <w:tr w:rsidR="00562E58" w:rsidRPr="003B060E" w14:paraId="1FCAE0EE" w14:textId="77777777" w:rsidTr="00207B7D">
        <w:trPr>
          <w:trHeight w:val="330"/>
        </w:trPr>
        <w:tc>
          <w:tcPr>
            <w:tcW w:w="2410" w:type="dxa"/>
            <w:tcBorders>
              <w:top w:val="nil"/>
              <w:left w:val="nil"/>
              <w:bottom w:val="nil"/>
              <w:right w:val="nil"/>
            </w:tcBorders>
            <w:shd w:val="clear" w:color="000000" w:fill="FFFFFF"/>
            <w:noWrap/>
            <w:vAlign w:val="center"/>
            <w:hideMark/>
          </w:tcPr>
          <w:p w14:paraId="39A88A30" w14:textId="77777777" w:rsidR="00776B01" w:rsidRPr="003B060E" w:rsidRDefault="00776B01" w:rsidP="00B768D9">
            <w:pPr>
              <w:spacing w:after="0" w:line="240" w:lineRule="auto"/>
              <w:rPr>
                <w:rFonts w:eastAsia="Times New Roman" w:cs="Times New Roman"/>
                <w:color w:val="000000"/>
                <w:sz w:val="18"/>
                <w:szCs w:val="18"/>
                <w:lang w:eastAsia="sk-SK"/>
              </w:rPr>
            </w:pPr>
            <w:r w:rsidRPr="003B060E">
              <w:rPr>
                <w:rFonts w:eastAsia="Times New Roman" w:cs="Times New Roman"/>
                <w:color w:val="000000"/>
                <w:sz w:val="18"/>
                <w:szCs w:val="18"/>
                <w:lang w:eastAsia="sk-SK"/>
              </w:rPr>
              <w:t>Všeobecná pokladničná správa</w:t>
            </w:r>
          </w:p>
        </w:tc>
        <w:tc>
          <w:tcPr>
            <w:tcW w:w="1134" w:type="dxa"/>
            <w:tcBorders>
              <w:top w:val="nil"/>
              <w:left w:val="nil"/>
              <w:bottom w:val="nil"/>
              <w:right w:val="nil"/>
            </w:tcBorders>
            <w:shd w:val="clear" w:color="auto" w:fill="auto"/>
            <w:noWrap/>
            <w:vAlign w:val="center"/>
            <w:hideMark/>
          </w:tcPr>
          <w:p w14:paraId="11CA3945"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6 835</w:t>
            </w:r>
          </w:p>
        </w:tc>
        <w:tc>
          <w:tcPr>
            <w:tcW w:w="992" w:type="dxa"/>
            <w:tcBorders>
              <w:top w:val="nil"/>
              <w:left w:val="nil"/>
              <w:bottom w:val="nil"/>
              <w:right w:val="nil"/>
            </w:tcBorders>
            <w:shd w:val="clear" w:color="auto" w:fill="auto"/>
            <w:noWrap/>
            <w:vAlign w:val="center"/>
            <w:hideMark/>
          </w:tcPr>
          <w:p w14:paraId="1603B9C7"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1 814</w:t>
            </w:r>
          </w:p>
        </w:tc>
        <w:tc>
          <w:tcPr>
            <w:tcW w:w="851" w:type="dxa"/>
            <w:tcBorders>
              <w:top w:val="nil"/>
              <w:left w:val="nil"/>
              <w:bottom w:val="nil"/>
              <w:right w:val="nil"/>
            </w:tcBorders>
            <w:shd w:val="clear" w:color="000000" w:fill="FFFFFF"/>
            <w:noWrap/>
            <w:vAlign w:val="center"/>
            <w:hideMark/>
          </w:tcPr>
          <w:p w14:paraId="27FAB321"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57B6B66E"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5 737</w:t>
            </w:r>
          </w:p>
        </w:tc>
        <w:tc>
          <w:tcPr>
            <w:tcW w:w="851" w:type="dxa"/>
            <w:tcBorders>
              <w:top w:val="nil"/>
              <w:left w:val="nil"/>
              <w:bottom w:val="nil"/>
              <w:right w:val="nil"/>
            </w:tcBorders>
            <w:shd w:val="clear" w:color="auto" w:fill="auto"/>
            <w:noWrap/>
            <w:vAlign w:val="center"/>
            <w:hideMark/>
          </w:tcPr>
          <w:p w14:paraId="178171B4"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5 737</w:t>
            </w:r>
          </w:p>
        </w:tc>
        <w:tc>
          <w:tcPr>
            <w:tcW w:w="997" w:type="dxa"/>
            <w:tcBorders>
              <w:top w:val="nil"/>
              <w:left w:val="nil"/>
              <w:bottom w:val="nil"/>
              <w:right w:val="nil"/>
            </w:tcBorders>
            <w:shd w:val="clear" w:color="000000" w:fill="FFFFFF"/>
            <w:vAlign w:val="center"/>
            <w:hideMark/>
          </w:tcPr>
          <w:p w14:paraId="5BF3D4C4"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5 737</w:t>
            </w:r>
          </w:p>
        </w:tc>
        <w:tc>
          <w:tcPr>
            <w:tcW w:w="845" w:type="dxa"/>
            <w:tcBorders>
              <w:top w:val="nil"/>
              <w:left w:val="nil"/>
              <w:bottom w:val="nil"/>
              <w:right w:val="nil"/>
            </w:tcBorders>
            <w:shd w:val="clear" w:color="000000" w:fill="FFFFFF"/>
            <w:vAlign w:val="center"/>
            <w:hideMark/>
          </w:tcPr>
          <w:p w14:paraId="34363CE5" w14:textId="64A5722B" w:rsidR="00776B01" w:rsidRPr="003B060E"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562E58" w:rsidRPr="003B060E" w14:paraId="0FF51357" w14:textId="77777777" w:rsidTr="00207B7D">
        <w:trPr>
          <w:trHeight w:val="330"/>
        </w:trPr>
        <w:tc>
          <w:tcPr>
            <w:tcW w:w="2410" w:type="dxa"/>
            <w:tcBorders>
              <w:top w:val="nil"/>
              <w:left w:val="nil"/>
              <w:bottom w:val="nil"/>
              <w:right w:val="nil"/>
            </w:tcBorders>
            <w:shd w:val="clear" w:color="000000" w:fill="FFFFFF"/>
            <w:vAlign w:val="center"/>
            <w:hideMark/>
          </w:tcPr>
          <w:p w14:paraId="4523C5BB" w14:textId="77777777" w:rsidR="00776B01" w:rsidRPr="003B060E" w:rsidRDefault="00776B01" w:rsidP="00B768D9">
            <w:pPr>
              <w:spacing w:after="0" w:line="240" w:lineRule="auto"/>
              <w:rPr>
                <w:rFonts w:eastAsia="Times New Roman" w:cs="Times New Roman"/>
                <w:color w:val="000000"/>
                <w:sz w:val="18"/>
                <w:szCs w:val="18"/>
                <w:lang w:eastAsia="sk-SK"/>
              </w:rPr>
            </w:pPr>
            <w:r w:rsidRPr="003B060E">
              <w:rPr>
                <w:rFonts w:eastAsia="Times New Roman" w:cs="Times New Roman"/>
                <w:color w:val="000000"/>
                <w:sz w:val="18"/>
                <w:szCs w:val="18"/>
                <w:lang w:eastAsia="sk-SK"/>
              </w:rPr>
              <w:t>Ministerstvo práce, sociálnych vecí a rodiny SR</w:t>
            </w:r>
          </w:p>
        </w:tc>
        <w:tc>
          <w:tcPr>
            <w:tcW w:w="1134" w:type="dxa"/>
            <w:tcBorders>
              <w:top w:val="nil"/>
              <w:left w:val="nil"/>
              <w:bottom w:val="nil"/>
              <w:right w:val="nil"/>
            </w:tcBorders>
            <w:shd w:val="clear" w:color="auto" w:fill="auto"/>
            <w:noWrap/>
            <w:vAlign w:val="center"/>
            <w:hideMark/>
          </w:tcPr>
          <w:p w14:paraId="0865646A"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4 414</w:t>
            </w:r>
          </w:p>
        </w:tc>
        <w:tc>
          <w:tcPr>
            <w:tcW w:w="992" w:type="dxa"/>
            <w:tcBorders>
              <w:top w:val="nil"/>
              <w:left w:val="nil"/>
              <w:bottom w:val="nil"/>
              <w:right w:val="nil"/>
            </w:tcBorders>
            <w:shd w:val="clear" w:color="auto" w:fill="auto"/>
            <w:noWrap/>
            <w:vAlign w:val="center"/>
            <w:hideMark/>
          </w:tcPr>
          <w:p w14:paraId="34C9E2F1"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4 908</w:t>
            </w:r>
          </w:p>
        </w:tc>
        <w:tc>
          <w:tcPr>
            <w:tcW w:w="851" w:type="dxa"/>
            <w:tcBorders>
              <w:top w:val="nil"/>
              <w:left w:val="nil"/>
              <w:bottom w:val="nil"/>
              <w:right w:val="nil"/>
            </w:tcBorders>
            <w:shd w:val="clear" w:color="000000" w:fill="FFFFFF"/>
            <w:noWrap/>
            <w:vAlign w:val="center"/>
            <w:hideMark/>
          </w:tcPr>
          <w:p w14:paraId="40140660"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5B456E02"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4 391</w:t>
            </w:r>
          </w:p>
        </w:tc>
        <w:tc>
          <w:tcPr>
            <w:tcW w:w="851" w:type="dxa"/>
            <w:tcBorders>
              <w:top w:val="nil"/>
              <w:left w:val="nil"/>
              <w:bottom w:val="nil"/>
              <w:right w:val="nil"/>
            </w:tcBorders>
            <w:shd w:val="clear" w:color="auto" w:fill="auto"/>
            <w:noWrap/>
            <w:vAlign w:val="center"/>
            <w:hideMark/>
          </w:tcPr>
          <w:p w14:paraId="119A3A77"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3 578</w:t>
            </w:r>
          </w:p>
        </w:tc>
        <w:tc>
          <w:tcPr>
            <w:tcW w:w="997" w:type="dxa"/>
            <w:tcBorders>
              <w:top w:val="nil"/>
              <w:left w:val="nil"/>
              <w:bottom w:val="nil"/>
              <w:right w:val="nil"/>
            </w:tcBorders>
            <w:shd w:val="clear" w:color="000000" w:fill="FFFFFF"/>
            <w:vAlign w:val="center"/>
            <w:hideMark/>
          </w:tcPr>
          <w:p w14:paraId="64C1A4BF"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4 391</w:t>
            </w:r>
          </w:p>
        </w:tc>
        <w:tc>
          <w:tcPr>
            <w:tcW w:w="845" w:type="dxa"/>
            <w:tcBorders>
              <w:top w:val="nil"/>
              <w:left w:val="nil"/>
              <w:bottom w:val="nil"/>
              <w:right w:val="nil"/>
            </w:tcBorders>
            <w:shd w:val="clear" w:color="000000" w:fill="FFFFFF"/>
            <w:vAlign w:val="center"/>
            <w:hideMark/>
          </w:tcPr>
          <w:p w14:paraId="73DA1218" w14:textId="07945625" w:rsidR="00776B01" w:rsidRPr="003B060E"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562E58" w:rsidRPr="003B060E" w14:paraId="387744D3" w14:textId="77777777" w:rsidTr="00207B7D">
        <w:trPr>
          <w:trHeight w:val="390"/>
        </w:trPr>
        <w:tc>
          <w:tcPr>
            <w:tcW w:w="2410" w:type="dxa"/>
            <w:tcBorders>
              <w:top w:val="nil"/>
              <w:left w:val="nil"/>
              <w:bottom w:val="nil"/>
              <w:right w:val="nil"/>
            </w:tcBorders>
            <w:shd w:val="clear" w:color="000000" w:fill="FFFFFF"/>
            <w:vAlign w:val="center"/>
            <w:hideMark/>
          </w:tcPr>
          <w:p w14:paraId="47F3A461" w14:textId="77777777" w:rsidR="00776B01" w:rsidRPr="003B060E" w:rsidRDefault="00776B01" w:rsidP="00B768D9">
            <w:pPr>
              <w:spacing w:after="0" w:line="240" w:lineRule="auto"/>
              <w:rPr>
                <w:rFonts w:eastAsia="Times New Roman" w:cs="Times New Roman"/>
                <w:color w:val="000000"/>
                <w:sz w:val="18"/>
                <w:szCs w:val="18"/>
                <w:lang w:eastAsia="sk-SK"/>
              </w:rPr>
            </w:pPr>
            <w:r w:rsidRPr="003B060E">
              <w:rPr>
                <w:rFonts w:eastAsia="Times New Roman" w:cs="Times New Roman"/>
                <w:color w:val="000000"/>
                <w:sz w:val="18"/>
                <w:szCs w:val="18"/>
                <w:lang w:eastAsia="sk-SK"/>
              </w:rPr>
              <w:t>Ministerstvo kultúry SR</w:t>
            </w:r>
          </w:p>
        </w:tc>
        <w:tc>
          <w:tcPr>
            <w:tcW w:w="1134" w:type="dxa"/>
            <w:tcBorders>
              <w:top w:val="nil"/>
              <w:left w:val="nil"/>
              <w:bottom w:val="nil"/>
              <w:right w:val="nil"/>
            </w:tcBorders>
            <w:shd w:val="clear" w:color="auto" w:fill="auto"/>
            <w:noWrap/>
            <w:vAlign w:val="center"/>
            <w:hideMark/>
          </w:tcPr>
          <w:p w14:paraId="68F60AC8"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1 760</w:t>
            </w:r>
          </w:p>
        </w:tc>
        <w:tc>
          <w:tcPr>
            <w:tcW w:w="992" w:type="dxa"/>
            <w:tcBorders>
              <w:top w:val="nil"/>
              <w:left w:val="nil"/>
              <w:bottom w:val="nil"/>
              <w:right w:val="nil"/>
            </w:tcBorders>
            <w:shd w:val="clear" w:color="auto" w:fill="auto"/>
            <w:noWrap/>
            <w:vAlign w:val="center"/>
            <w:hideMark/>
          </w:tcPr>
          <w:p w14:paraId="420889ED"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1 686</w:t>
            </w:r>
          </w:p>
        </w:tc>
        <w:tc>
          <w:tcPr>
            <w:tcW w:w="851" w:type="dxa"/>
            <w:tcBorders>
              <w:top w:val="nil"/>
              <w:left w:val="nil"/>
              <w:bottom w:val="nil"/>
              <w:right w:val="nil"/>
            </w:tcBorders>
            <w:shd w:val="clear" w:color="000000" w:fill="FFFFFF"/>
            <w:noWrap/>
            <w:vAlign w:val="center"/>
            <w:hideMark/>
          </w:tcPr>
          <w:p w14:paraId="5CA018D2"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04E51452"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2 303</w:t>
            </w:r>
          </w:p>
        </w:tc>
        <w:tc>
          <w:tcPr>
            <w:tcW w:w="851" w:type="dxa"/>
            <w:tcBorders>
              <w:top w:val="nil"/>
              <w:left w:val="nil"/>
              <w:bottom w:val="nil"/>
              <w:right w:val="nil"/>
            </w:tcBorders>
            <w:shd w:val="clear" w:color="auto" w:fill="auto"/>
            <w:noWrap/>
            <w:vAlign w:val="center"/>
            <w:hideMark/>
          </w:tcPr>
          <w:p w14:paraId="63495412"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2 288</w:t>
            </w:r>
          </w:p>
        </w:tc>
        <w:tc>
          <w:tcPr>
            <w:tcW w:w="997" w:type="dxa"/>
            <w:tcBorders>
              <w:top w:val="nil"/>
              <w:left w:val="nil"/>
              <w:bottom w:val="nil"/>
              <w:right w:val="nil"/>
            </w:tcBorders>
            <w:shd w:val="clear" w:color="000000" w:fill="FFFFFF"/>
            <w:vAlign w:val="center"/>
            <w:hideMark/>
          </w:tcPr>
          <w:p w14:paraId="0F2B1EEB"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2 303</w:t>
            </w:r>
          </w:p>
        </w:tc>
        <w:tc>
          <w:tcPr>
            <w:tcW w:w="845" w:type="dxa"/>
            <w:tcBorders>
              <w:top w:val="nil"/>
              <w:left w:val="nil"/>
              <w:bottom w:val="nil"/>
              <w:right w:val="nil"/>
            </w:tcBorders>
            <w:shd w:val="clear" w:color="000000" w:fill="FFFFFF"/>
            <w:vAlign w:val="center"/>
            <w:hideMark/>
          </w:tcPr>
          <w:p w14:paraId="044DD1D3" w14:textId="49E5736B" w:rsidR="00776B01" w:rsidRPr="003B060E"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562E58" w:rsidRPr="003B060E" w14:paraId="0985DDD1" w14:textId="77777777" w:rsidTr="00207B7D">
        <w:trPr>
          <w:trHeight w:val="390"/>
        </w:trPr>
        <w:tc>
          <w:tcPr>
            <w:tcW w:w="2410" w:type="dxa"/>
            <w:tcBorders>
              <w:top w:val="nil"/>
              <w:left w:val="nil"/>
              <w:bottom w:val="nil"/>
              <w:right w:val="nil"/>
            </w:tcBorders>
            <w:shd w:val="clear" w:color="000000" w:fill="FFFFFF"/>
            <w:noWrap/>
            <w:vAlign w:val="center"/>
            <w:hideMark/>
          </w:tcPr>
          <w:p w14:paraId="52981CD5" w14:textId="77777777" w:rsidR="00776B01" w:rsidRPr="003B060E" w:rsidRDefault="00776B01" w:rsidP="00B768D9">
            <w:pPr>
              <w:spacing w:after="0" w:line="240" w:lineRule="auto"/>
              <w:rPr>
                <w:rFonts w:eastAsia="Times New Roman" w:cs="Times New Roman"/>
                <w:color w:val="000000"/>
                <w:sz w:val="18"/>
                <w:szCs w:val="18"/>
                <w:lang w:eastAsia="sk-SK"/>
              </w:rPr>
            </w:pPr>
            <w:r w:rsidRPr="003B060E">
              <w:rPr>
                <w:rFonts w:eastAsia="Times New Roman" w:cs="Times New Roman"/>
                <w:color w:val="000000"/>
                <w:sz w:val="18"/>
                <w:szCs w:val="18"/>
                <w:lang w:eastAsia="sk-SK"/>
              </w:rPr>
              <w:t>Úrad vlády SR</w:t>
            </w:r>
          </w:p>
        </w:tc>
        <w:tc>
          <w:tcPr>
            <w:tcW w:w="1134" w:type="dxa"/>
            <w:tcBorders>
              <w:top w:val="nil"/>
              <w:left w:val="nil"/>
              <w:bottom w:val="nil"/>
              <w:right w:val="nil"/>
            </w:tcBorders>
            <w:shd w:val="clear" w:color="auto" w:fill="auto"/>
            <w:noWrap/>
            <w:vAlign w:val="center"/>
            <w:hideMark/>
          </w:tcPr>
          <w:p w14:paraId="3096EA7A"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764</w:t>
            </w:r>
          </w:p>
        </w:tc>
        <w:tc>
          <w:tcPr>
            <w:tcW w:w="992" w:type="dxa"/>
            <w:tcBorders>
              <w:top w:val="nil"/>
              <w:left w:val="nil"/>
              <w:bottom w:val="nil"/>
              <w:right w:val="nil"/>
            </w:tcBorders>
            <w:shd w:val="clear" w:color="auto" w:fill="auto"/>
            <w:noWrap/>
            <w:vAlign w:val="center"/>
            <w:hideMark/>
          </w:tcPr>
          <w:p w14:paraId="28AE0EA8"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264</w:t>
            </w:r>
          </w:p>
        </w:tc>
        <w:tc>
          <w:tcPr>
            <w:tcW w:w="851" w:type="dxa"/>
            <w:tcBorders>
              <w:top w:val="nil"/>
              <w:left w:val="nil"/>
              <w:bottom w:val="nil"/>
              <w:right w:val="nil"/>
            </w:tcBorders>
            <w:shd w:val="clear" w:color="000000" w:fill="FFFFFF"/>
            <w:noWrap/>
            <w:vAlign w:val="center"/>
            <w:hideMark/>
          </w:tcPr>
          <w:p w14:paraId="38750FAF"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200</w:t>
            </w:r>
          </w:p>
        </w:tc>
        <w:tc>
          <w:tcPr>
            <w:tcW w:w="992" w:type="dxa"/>
            <w:tcBorders>
              <w:top w:val="nil"/>
              <w:left w:val="nil"/>
              <w:bottom w:val="nil"/>
              <w:right w:val="nil"/>
            </w:tcBorders>
            <w:shd w:val="clear" w:color="auto" w:fill="auto"/>
            <w:noWrap/>
            <w:vAlign w:val="center"/>
            <w:hideMark/>
          </w:tcPr>
          <w:p w14:paraId="7DE77F71"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744</w:t>
            </w:r>
          </w:p>
        </w:tc>
        <w:tc>
          <w:tcPr>
            <w:tcW w:w="851" w:type="dxa"/>
            <w:tcBorders>
              <w:top w:val="nil"/>
              <w:left w:val="nil"/>
              <w:bottom w:val="nil"/>
              <w:right w:val="nil"/>
            </w:tcBorders>
            <w:shd w:val="clear" w:color="auto" w:fill="auto"/>
            <w:noWrap/>
            <w:vAlign w:val="center"/>
            <w:hideMark/>
          </w:tcPr>
          <w:p w14:paraId="35110E35"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534</w:t>
            </w:r>
          </w:p>
        </w:tc>
        <w:tc>
          <w:tcPr>
            <w:tcW w:w="997" w:type="dxa"/>
            <w:tcBorders>
              <w:top w:val="nil"/>
              <w:left w:val="nil"/>
              <w:bottom w:val="nil"/>
              <w:right w:val="nil"/>
            </w:tcBorders>
            <w:shd w:val="clear" w:color="000000" w:fill="FFFFFF"/>
            <w:vAlign w:val="center"/>
            <w:hideMark/>
          </w:tcPr>
          <w:p w14:paraId="6A5AE057"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544</w:t>
            </w:r>
          </w:p>
        </w:tc>
        <w:tc>
          <w:tcPr>
            <w:tcW w:w="845" w:type="dxa"/>
            <w:tcBorders>
              <w:top w:val="nil"/>
              <w:left w:val="nil"/>
              <w:bottom w:val="nil"/>
              <w:right w:val="nil"/>
            </w:tcBorders>
            <w:shd w:val="clear" w:color="000000" w:fill="FFFFFF"/>
            <w:vAlign w:val="center"/>
            <w:hideMark/>
          </w:tcPr>
          <w:p w14:paraId="3B5D68AF"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272,0</w:t>
            </w:r>
          </w:p>
        </w:tc>
      </w:tr>
      <w:tr w:rsidR="00562E58" w:rsidRPr="003B060E" w14:paraId="5FD02F19" w14:textId="77777777" w:rsidTr="00207B7D">
        <w:trPr>
          <w:trHeight w:val="390"/>
        </w:trPr>
        <w:tc>
          <w:tcPr>
            <w:tcW w:w="2410" w:type="dxa"/>
            <w:tcBorders>
              <w:top w:val="nil"/>
              <w:left w:val="nil"/>
              <w:bottom w:val="nil"/>
              <w:right w:val="nil"/>
            </w:tcBorders>
            <w:shd w:val="clear" w:color="000000" w:fill="FFFFFF"/>
            <w:vAlign w:val="center"/>
            <w:hideMark/>
          </w:tcPr>
          <w:p w14:paraId="6F9B3F0A" w14:textId="77777777" w:rsidR="00776B01" w:rsidRPr="003B060E" w:rsidRDefault="00776B01" w:rsidP="00B768D9">
            <w:pPr>
              <w:spacing w:after="0" w:line="240" w:lineRule="auto"/>
              <w:rPr>
                <w:rFonts w:eastAsia="Times New Roman" w:cs="Times New Roman"/>
                <w:color w:val="000000"/>
                <w:sz w:val="18"/>
                <w:szCs w:val="18"/>
                <w:lang w:eastAsia="sk-SK"/>
              </w:rPr>
            </w:pPr>
            <w:r w:rsidRPr="003B060E">
              <w:rPr>
                <w:rFonts w:eastAsia="Times New Roman" w:cs="Times New Roman"/>
                <w:color w:val="000000"/>
                <w:sz w:val="18"/>
                <w:szCs w:val="18"/>
                <w:lang w:eastAsia="sk-SK"/>
              </w:rPr>
              <w:t>Ministerstvo hospodárstva SR</w:t>
            </w:r>
          </w:p>
        </w:tc>
        <w:tc>
          <w:tcPr>
            <w:tcW w:w="1134" w:type="dxa"/>
            <w:tcBorders>
              <w:top w:val="nil"/>
              <w:left w:val="nil"/>
              <w:bottom w:val="nil"/>
              <w:right w:val="nil"/>
            </w:tcBorders>
            <w:shd w:val="clear" w:color="auto" w:fill="auto"/>
            <w:noWrap/>
            <w:vAlign w:val="center"/>
            <w:hideMark/>
          </w:tcPr>
          <w:p w14:paraId="31CE519A"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471</w:t>
            </w:r>
          </w:p>
        </w:tc>
        <w:tc>
          <w:tcPr>
            <w:tcW w:w="992" w:type="dxa"/>
            <w:tcBorders>
              <w:top w:val="nil"/>
              <w:left w:val="nil"/>
              <w:bottom w:val="nil"/>
              <w:right w:val="nil"/>
            </w:tcBorders>
            <w:shd w:val="clear" w:color="auto" w:fill="auto"/>
            <w:noWrap/>
            <w:vAlign w:val="center"/>
            <w:hideMark/>
          </w:tcPr>
          <w:p w14:paraId="531D5B3C"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839</w:t>
            </w:r>
          </w:p>
        </w:tc>
        <w:tc>
          <w:tcPr>
            <w:tcW w:w="851" w:type="dxa"/>
            <w:tcBorders>
              <w:top w:val="nil"/>
              <w:left w:val="nil"/>
              <w:bottom w:val="nil"/>
              <w:right w:val="nil"/>
            </w:tcBorders>
            <w:shd w:val="clear" w:color="000000" w:fill="FFFFFF"/>
            <w:noWrap/>
            <w:vAlign w:val="center"/>
            <w:hideMark/>
          </w:tcPr>
          <w:p w14:paraId="2841E1EB"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x</w:t>
            </w:r>
          </w:p>
        </w:tc>
        <w:tc>
          <w:tcPr>
            <w:tcW w:w="992" w:type="dxa"/>
            <w:tcBorders>
              <w:top w:val="nil"/>
              <w:left w:val="nil"/>
              <w:bottom w:val="nil"/>
              <w:right w:val="nil"/>
            </w:tcBorders>
            <w:shd w:val="clear" w:color="auto" w:fill="auto"/>
            <w:noWrap/>
            <w:vAlign w:val="center"/>
            <w:hideMark/>
          </w:tcPr>
          <w:p w14:paraId="0284B50A"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x</w:t>
            </w:r>
          </w:p>
        </w:tc>
        <w:tc>
          <w:tcPr>
            <w:tcW w:w="851" w:type="dxa"/>
            <w:tcBorders>
              <w:top w:val="nil"/>
              <w:left w:val="nil"/>
              <w:bottom w:val="nil"/>
              <w:right w:val="nil"/>
            </w:tcBorders>
            <w:shd w:val="clear" w:color="auto" w:fill="auto"/>
            <w:noWrap/>
            <w:vAlign w:val="center"/>
            <w:hideMark/>
          </w:tcPr>
          <w:p w14:paraId="3821EABE"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x</w:t>
            </w:r>
          </w:p>
        </w:tc>
        <w:tc>
          <w:tcPr>
            <w:tcW w:w="997" w:type="dxa"/>
            <w:tcBorders>
              <w:top w:val="nil"/>
              <w:left w:val="nil"/>
              <w:bottom w:val="nil"/>
              <w:right w:val="nil"/>
            </w:tcBorders>
            <w:shd w:val="clear" w:color="000000" w:fill="FFFFFF"/>
            <w:vAlign w:val="center"/>
            <w:hideMark/>
          </w:tcPr>
          <w:p w14:paraId="08375804" w14:textId="77777777" w:rsidR="00776B01" w:rsidRPr="003B060E" w:rsidRDefault="00776B01" w:rsidP="00B768D9">
            <w:pPr>
              <w:spacing w:after="0" w:line="240" w:lineRule="auto"/>
              <w:jc w:val="right"/>
              <w:rPr>
                <w:rFonts w:eastAsia="Times New Roman" w:cs="Times New Roman"/>
                <w:color w:val="000000"/>
                <w:sz w:val="18"/>
                <w:szCs w:val="18"/>
                <w:lang w:eastAsia="sk-SK"/>
              </w:rPr>
            </w:pPr>
            <w:r w:rsidRPr="003B060E">
              <w:rPr>
                <w:rFonts w:eastAsia="Times New Roman" w:cs="Times New Roman"/>
                <w:color w:val="000000"/>
                <w:sz w:val="18"/>
                <w:szCs w:val="18"/>
                <w:lang w:eastAsia="sk-SK"/>
              </w:rPr>
              <w:t>x</w:t>
            </w:r>
          </w:p>
        </w:tc>
        <w:tc>
          <w:tcPr>
            <w:tcW w:w="845" w:type="dxa"/>
            <w:tcBorders>
              <w:top w:val="nil"/>
              <w:left w:val="nil"/>
              <w:bottom w:val="nil"/>
              <w:right w:val="nil"/>
            </w:tcBorders>
            <w:shd w:val="clear" w:color="000000" w:fill="FFFFFF"/>
            <w:vAlign w:val="center"/>
            <w:hideMark/>
          </w:tcPr>
          <w:p w14:paraId="4E384587" w14:textId="7696B8E8" w:rsidR="00776B01" w:rsidRPr="003B060E"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562E58" w:rsidRPr="003B060E" w14:paraId="24104281" w14:textId="77777777" w:rsidTr="00207B7D">
        <w:trPr>
          <w:trHeight w:val="345"/>
        </w:trPr>
        <w:tc>
          <w:tcPr>
            <w:tcW w:w="2410" w:type="dxa"/>
            <w:tcBorders>
              <w:top w:val="single" w:sz="4" w:space="0" w:color="auto"/>
              <w:left w:val="nil"/>
              <w:bottom w:val="single" w:sz="8" w:space="0" w:color="auto"/>
              <w:right w:val="nil"/>
            </w:tcBorders>
            <w:shd w:val="clear" w:color="000000" w:fill="FFFFFF"/>
            <w:noWrap/>
            <w:vAlign w:val="center"/>
            <w:hideMark/>
          </w:tcPr>
          <w:p w14:paraId="50ABB0DE" w14:textId="77777777" w:rsidR="00776B01" w:rsidRPr="003B060E" w:rsidRDefault="00776B01" w:rsidP="00B768D9">
            <w:pPr>
              <w:spacing w:after="0" w:line="240" w:lineRule="auto"/>
              <w:rPr>
                <w:rFonts w:eastAsia="Times New Roman" w:cs="Times New Roman"/>
                <w:b/>
                <w:bCs/>
                <w:color w:val="000000"/>
                <w:sz w:val="18"/>
                <w:szCs w:val="18"/>
                <w:lang w:eastAsia="sk-SK"/>
              </w:rPr>
            </w:pPr>
            <w:r w:rsidRPr="003B060E">
              <w:rPr>
                <w:rFonts w:eastAsia="Times New Roman" w:cs="Times New Roman"/>
                <w:b/>
                <w:bCs/>
                <w:color w:val="000000"/>
                <w:sz w:val="18"/>
                <w:szCs w:val="18"/>
                <w:lang w:eastAsia="sk-SK"/>
              </w:rPr>
              <w:t>Spolu</w:t>
            </w:r>
          </w:p>
        </w:tc>
        <w:tc>
          <w:tcPr>
            <w:tcW w:w="1134" w:type="dxa"/>
            <w:tcBorders>
              <w:top w:val="single" w:sz="4" w:space="0" w:color="auto"/>
              <w:left w:val="nil"/>
              <w:bottom w:val="single" w:sz="8" w:space="0" w:color="auto"/>
              <w:right w:val="nil"/>
            </w:tcBorders>
            <w:shd w:val="clear" w:color="000000" w:fill="FFFFFF"/>
            <w:noWrap/>
            <w:vAlign w:val="center"/>
            <w:hideMark/>
          </w:tcPr>
          <w:p w14:paraId="65AD05DE" w14:textId="77777777" w:rsidR="00776B01" w:rsidRPr="003B060E" w:rsidRDefault="00776B01" w:rsidP="00B768D9">
            <w:pPr>
              <w:spacing w:after="0" w:line="240" w:lineRule="auto"/>
              <w:jc w:val="right"/>
              <w:rPr>
                <w:rFonts w:eastAsia="Times New Roman" w:cs="Times New Roman"/>
                <w:b/>
                <w:bCs/>
                <w:color w:val="000000"/>
                <w:sz w:val="18"/>
                <w:szCs w:val="18"/>
                <w:lang w:eastAsia="sk-SK"/>
              </w:rPr>
            </w:pPr>
            <w:r w:rsidRPr="003B060E">
              <w:rPr>
                <w:rFonts w:eastAsia="Times New Roman" w:cs="Times New Roman"/>
                <w:b/>
                <w:bCs/>
                <w:color w:val="000000"/>
                <w:sz w:val="18"/>
                <w:szCs w:val="18"/>
                <w:lang w:eastAsia="sk-SK"/>
              </w:rPr>
              <w:t>214 362</w:t>
            </w:r>
          </w:p>
        </w:tc>
        <w:tc>
          <w:tcPr>
            <w:tcW w:w="992" w:type="dxa"/>
            <w:tcBorders>
              <w:top w:val="single" w:sz="4" w:space="0" w:color="auto"/>
              <w:left w:val="nil"/>
              <w:bottom w:val="single" w:sz="8" w:space="0" w:color="auto"/>
              <w:right w:val="nil"/>
            </w:tcBorders>
            <w:shd w:val="clear" w:color="000000" w:fill="FFFFFF"/>
            <w:noWrap/>
            <w:vAlign w:val="center"/>
            <w:hideMark/>
          </w:tcPr>
          <w:p w14:paraId="39C711F5" w14:textId="77777777" w:rsidR="00776B01" w:rsidRPr="003B060E" w:rsidRDefault="00776B01" w:rsidP="00B768D9">
            <w:pPr>
              <w:spacing w:after="0" w:line="240" w:lineRule="auto"/>
              <w:jc w:val="right"/>
              <w:rPr>
                <w:rFonts w:eastAsia="Times New Roman" w:cs="Times New Roman"/>
                <w:b/>
                <w:bCs/>
                <w:color w:val="000000"/>
                <w:sz w:val="18"/>
                <w:szCs w:val="18"/>
                <w:lang w:eastAsia="sk-SK"/>
              </w:rPr>
            </w:pPr>
            <w:r w:rsidRPr="003B060E">
              <w:rPr>
                <w:rFonts w:eastAsia="Times New Roman" w:cs="Times New Roman"/>
                <w:b/>
                <w:bCs/>
                <w:color w:val="000000"/>
                <w:sz w:val="18"/>
                <w:szCs w:val="18"/>
                <w:lang w:eastAsia="sk-SK"/>
              </w:rPr>
              <w:t>216 793</w:t>
            </w:r>
          </w:p>
        </w:tc>
        <w:tc>
          <w:tcPr>
            <w:tcW w:w="851" w:type="dxa"/>
            <w:tcBorders>
              <w:top w:val="single" w:sz="4" w:space="0" w:color="auto"/>
              <w:left w:val="nil"/>
              <w:bottom w:val="single" w:sz="8" w:space="0" w:color="auto"/>
              <w:right w:val="nil"/>
            </w:tcBorders>
            <w:shd w:val="clear" w:color="000000" w:fill="FFFFFF"/>
            <w:noWrap/>
            <w:vAlign w:val="center"/>
            <w:hideMark/>
          </w:tcPr>
          <w:p w14:paraId="2508A498" w14:textId="77777777" w:rsidR="00776B01" w:rsidRPr="003B060E" w:rsidRDefault="00776B01" w:rsidP="00B768D9">
            <w:pPr>
              <w:spacing w:after="0" w:line="240" w:lineRule="auto"/>
              <w:jc w:val="right"/>
              <w:rPr>
                <w:rFonts w:eastAsia="Times New Roman" w:cs="Times New Roman"/>
                <w:b/>
                <w:bCs/>
                <w:color w:val="000000"/>
                <w:sz w:val="18"/>
                <w:szCs w:val="18"/>
                <w:lang w:eastAsia="sk-SK"/>
              </w:rPr>
            </w:pPr>
            <w:r w:rsidRPr="003B060E">
              <w:rPr>
                <w:rFonts w:eastAsia="Times New Roman" w:cs="Times New Roman"/>
                <w:b/>
                <w:bCs/>
                <w:color w:val="000000"/>
                <w:sz w:val="18"/>
                <w:szCs w:val="18"/>
                <w:lang w:eastAsia="sk-SK"/>
              </w:rPr>
              <w:t>144 684</w:t>
            </w:r>
          </w:p>
        </w:tc>
        <w:tc>
          <w:tcPr>
            <w:tcW w:w="992" w:type="dxa"/>
            <w:tcBorders>
              <w:top w:val="single" w:sz="4" w:space="0" w:color="auto"/>
              <w:left w:val="nil"/>
              <w:bottom w:val="single" w:sz="8" w:space="0" w:color="auto"/>
              <w:right w:val="nil"/>
            </w:tcBorders>
            <w:shd w:val="clear" w:color="auto" w:fill="auto"/>
            <w:noWrap/>
            <w:vAlign w:val="center"/>
            <w:hideMark/>
          </w:tcPr>
          <w:p w14:paraId="579F24B9" w14:textId="77777777" w:rsidR="00776B01" w:rsidRPr="003B060E" w:rsidRDefault="00776B01" w:rsidP="00B768D9">
            <w:pPr>
              <w:spacing w:after="0" w:line="240" w:lineRule="auto"/>
              <w:jc w:val="right"/>
              <w:rPr>
                <w:rFonts w:eastAsia="Times New Roman" w:cs="Times New Roman"/>
                <w:b/>
                <w:bCs/>
                <w:color w:val="000000"/>
                <w:sz w:val="18"/>
                <w:szCs w:val="18"/>
                <w:lang w:eastAsia="sk-SK"/>
              </w:rPr>
            </w:pPr>
            <w:r w:rsidRPr="003B060E">
              <w:rPr>
                <w:rFonts w:eastAsia="Times New Roman" w:cs="Times New Roman"/>
                <w:b/>
                <w:bCs/>
                <w:color w:val="000000"/>
                <w:sz w:val="18"/>
                <w:szCs w:val="18"/>
                <w:lang w:eastAsia="sk-SK"/>
              </w:rPr>
              <w:t>577 263</w:t>
            </w:r>
          </w:p>
        </w:tc>
        <w:tc>
          <w:tcPr>
            <w:tcW w:w="851" w:type="dxa"/>
            <w:tcBorders>
              <w:top w:val="single" w:sz="4" w:space="0" w:color="auto"/>
              <w:left w:val="nil"/>
              <w:bottom w:val="single" w:sz="8" w:space="0" w:color="auto"/>
              <w:right w:val="nil"/>
            </w:tcBorders>
            <w:shd w:val="clear" w:color="auto" w:fill="auto"/>
            <w:noWrap/>
            <w:vAlign w:val="center"/>
            <w:hideMark/>
          </w:tcPr>
          <w:p w14:paraId="0F50AE51" w14:textId="77777777" w:rsidR="00776B01" w:rsidRPr="003B060E" w:rsidRDefault="00776B01" w:rsidP="00B768D9">
            <w:pPr>
              <w:spacing w:after="0" w:line="240" w:lineRule="auto"/>
              <w:jc w:val="right"/>
              <w:rPr>
                <w:rFonts w:eastAsia="Times New Roman" w:cs="Times New Roman"/>
                <w:b/>
                <w:bCs/>
                <w:color w:val="000000"/>
                <w:sz w:val="18"/>
                <w:szCs w:val="18"/>
                <w:lang w:eastAsia="sk-SK"/>
              </w:rPr>
            </w:pPr>
            <w:r w:rsidRPr="003B060E">
              <w:rPr>
                <w:rFonts w:eastAsia="Times New Roman" w:cs="Times New Roman"/>
                <w:b/>
                <w:bCs/>
                <w:color w:val="000000"/>
                <w:sz w:val="18"/>
                <w:szCs w:val="18"/>
                <w:lang w:eastAsia="sk-SK"/>
              </w:rPr>
              <w:t>22 261</w:t>
            </w:r>
          </w:p>
        </w:tc>
        <w:tc>
          <w:tcPr>
            <w:tcW w:w="997" w:type="dxa"/>
            <w:tcBorders>
              <w:top w:val="single" w:sz="4" w:space="0" w:color="auto"/>
              <w:left w:val="nil"/>
              <w:bottom w:val="single" w:sz="8" w:space="0" w:color="auto"/>
              <w:right w:val="nil"/>
            </w:tcBorders>
            <w:shd w:val="clear" w:color="000000" w:fill="FFFFFF"/>
            <w:noWrap/>
            <w:vAlign w:val="center"/>
            <w:hideMark/>
          </w:tcPr>
          <w:p w14:paraId="253C1C7D" w14:textId="77777777" w:rsidR="00776B01" w:rsidRPr="003B060E" w:rsidRDefault="00776B01" w:rsidP="00B768D9">
            <w:pPr>
              <w:spacing w:after="0" w:line="240" w:lineRule="auto"/>
              <w:jc w:val="right"/>
              <w:rPr>
                <w:rFonts w:eastAsia="Times New Roman" w:cs="Times New Roman"/>
                <w:b/>
                <w:bCs/>
                <w:color w:val="000000"/>
                <w:sz w:val="18"/>
                <w:szCs w:val="18"/>
                <w:lang w:eastAsia="sk-SK"/>
              </w:rPr>
            </w:pPr>
            <w:r w:rsidRPr="003B060E">
              <w:rPr>
                <w:rFonts w:eastAsia="Times New Roman" w:cs="Times New Roman"/>
                <w:b/>
                <w:bCs/>
                <w:color w:val="000000"/>
                <w:sz w:val="18"/>
                <w:szCs w:val="18"/>
                <w:lang w:eastAsia="sk-SK"/>
              </w:rPr>
              <w:t>432 579</w:t>
            </w:r>
          </w:p>
        </w:tc>
        <w:tc>
          <w:tcPr>
            <w:tcW w:w="845" w:type="dxa"/>
            <w:tcBorders>
              <w:top w:val="single" w:sz="4" w:space="0" w:color="auto"/>
              <w:left w:val="nil"/>
              <w:bottom w:val="single" w:sz="8" w:space="0" w:color="auto"/>
              <w:right w:val="nil"/>
            </w:tcBorders>
            <w:shd w:val="clear" w:color="000000" w:fill="FFFFFF"/>
            <w:noWrap/>
            <w:vAlign w:val="center"/>
            <w:hideMark/>
          </w:tcPr>
          <w:p w14:paraId="0E1DB0B2" w14:textId="77777777" w:rsidR="00776B01" w:rsidRPr="003B060E" w:rsidRDefault="00776B01" w:rsidP="00B768D9">
            <w:pPr>
              <w:spacing w:after="0" w:line="240" w:lineRule="auto"/>
              <w:jc w:val="right"/>
              <w:rPr>
                <w:rFonts w:eastAsia="Times New Roman" w:cs="Times New Roman"/>
                <w:b/>
                <w:bCs/>
                <w:color w:val="000000"/>
                <w:sz w:val="18"/>
                <w:szCs w:val="18"/>
                <w:lang w:eastAsia="sk-SK"/>
              </w:rPr>
            </w:pPr>
            <w:r w:rsidRPr="003B060E">
              <w:rPr>
                <w:rFonts w:eastAsia="Times New Roman" w:cs="Times New Roman"/>
                <w:b/>
                <w:bCs/>
                <w:color w:val="000000"/>
                <w:sz w:val="18"/>
                <w:szCs w:val="18"/>
                <w:lang w:eastAsia="sk-SK"/>
              </w:rPr>
              <w:t>299,0</w:t>
            </w:r>
          </w:p>
        </w:tc>
      </w:tr>
    </w:tbl>
    <w:p w14:paraId="1ED41E4A" w14:textId="53F4DDF5" w:rsidR="00776B01" w:rsidRPr="001D1153" w:rsidRDefault="00776B01" w:rsidP="00776B01">
      <w:pPr>
        <w:suppressAutoHyphens/>
        <w:spacing w:line="240" w:lineRule="auto"/>
        <w:rPr>
          <w:sz w:val="18"/>
          <w:szCs w:val="18"/>
        </w:rPr>
      </w:pPr>
      <w:r w:rsidRPr="001D1153">
        <w:rPr>
          <w:sz w:val="18"/>
          <w:szCs w:val="18"/>
        </w:rPr>
        <w:t xml:space="preserve">Poznámka: * len prostriedky štátneho rozpočtu </w:t>
      </w:r>
      <w:r w:rsidRPr="001D1153">
        <w:rPr>
          <w:sz w:val="18"/>
          <w:szCs w:val="18"/>
        </w:rPr>
        <w:tab/>
      </w:r>
      <w:r w:rsidRPr="001D1153">
        <w:rPr>
          <w:sz w:val="18"/>
          <w:szCs w:val="18"/>
        </w:rPr>
        <w:tab/>
      </w:r>
      <w:r w:rsidRPr="001D1153">
        <w:rPr>
          <w:sz w:val="18"/>
          <w:szCs w:val="18"/>
        </w:rPr>
        <w:tab/>
      </w:r>
      <w:r w:rsidRPr="001D1153">
        <w:rPr>
          <w:sz w:val="18"/>
          <w:szCs w:val="18"/>
        </w:rPr>
        <w:tab/>
      </w:r>
      <w:r w:rsidRPr="001D1153">
        <w:rPr>
          <w:sz w:val="18"/>
          <w:szCs w:val="18"/>
        </w:rPr>
        <w:tab/>
      </w:r>
      <w:r w:rsidRPr="001D1153">
        <w:rPr>
          <w:sz w:val="18"/>
          <w:szCs w:val="18"/>
        </w:rPr>
        <w:tab/>
      </w:r>
      <w:r w:rsidR="00F16AE0">
        <w:rPr>
          <w:sz w:val="18"/>
          <w:szCs w:val="18"/>
        </w:rPr>
        <w:tab/>
      </w:r>
      <w:r w:rsidR="00F16AE0">
        <w:rPr>
          <w:sz w:val="18"/>
          <w:szCs w:val="18"/>
        </w:rPr>
        <w:tab/>
      </w:r>
      <w:r w:rsidR="00F16AE0">
        <w:rPr>
          <w:sz w:val="18"/>
          <w:szCs w:val="18"/>
        </w:rPr>
        <w:tab/>
      </w:r>
      <w:r w:rsidR="00E67BD0">
        <w:rPr>
          <w:sz w:val="18"/>
          <w:szCs w:val="18"/>
        </w:rPr>
        <w:tab/>
      </w:r>
      <w:r w:rsidRPr="001D1153">
        <w:rPr>
          <w:sz w:val="18"/>
          <w:szCs w:val="18"/>
        </w:rPr>
        <w:t>Zdroj: MF SR</w:t>
      </w:r>
    </w:p>
    <w:p w14:paraId="4A9AC50A" w14:textId="79C77784" w:rsidR="00776B01" w:rsidRDefault="00776B01" w:rsidP="00562E58">
      <w:pPr>
        <w:spacing w:line="240" w:lineRule="auto"/>
        <w:rPr>
          <w:rFonts w:cs="Times New Roman"/>
          <w:color w:val="FF0000"/>
          <w:sz w:val="24"/>
          <w:szCs w:val="24"/>
        </w:rPr>
      </w:pPr>
      <w:r w:rsidRPr="00FD6720">
        <w:rPr>
          <w:rFonts w:cs="Times New Roman"/>
          <w:color w:val="000000" w:themeColor="text1"/>
          <w:sz w:val="24"/>
          <w:szCs w:val="24"/>
        </w:rPr>
        <w:t xml:space="preserve">Na celkovom objeme poskytnutých transferov obciam sa najväčšou sumou podieľalo </w:t>
      </w:r>
      <w:r w:rsidRPr="00FD6720">
        <w:rPr>
          <w:rFonts w:eastAsia="Times New Roman" w:cs="Times New Roman"/>
          <w:color w:val="000000" w:themeColor="text1"/>
          <w:sz w:val="24"/>
          <w:szCs w:val="24"/>
          <w:u w:val="single"/>
          <w:lang w:eastAsia="sk-SK"/>
        </w:rPr>
        <w:t>Ministerstvo školstva, vedy, výskumu a športu SR</w:t>
      </w:r>
      <w:r>
        <w:rPr>
          <w:rFonts w:eastAsia="Times New Roman" w:cs="Times New Roman"/>
          <w:color w:val="000000" w:themeColor="text1"/>
          <w:sz w:val="24"/>
          <w:szCs w:val="24"/>
          <w:u w:val="single"/>
          <w:lang w:eastAsia="sk-SK"/>
        </w:rPr>
        <w:t>,</w:t>
      </w:r>
      <w:r w:rsidRPr="00FD6720">
        <w:rPr>
          <w:rFonts w:eastAsia="Times New Roman" w:cs="Times New Roman"/>
          <w:color w:val="000000" w:themeColor="text1"/>
          <w:sz w:val="24"/>
          <w:szCs w:val="24"/>
          <w:lang w:eastAsia="sk-SK"/>
        </w:rPr>
        <w:t xml:space="preserve"> a</w:t>
      </w:r>
      <w:r w:rsidR="00207B7D">
        <w:rPr>
          <w:rFonts w:eastAsia="Times New Roman" w:cs="Times New Roman"/>
          <w:color w:val="000000" w:themeColor="text1"/>
          <w:sz w:val="24"/>
          <w:szCs w:val="24"/>
          <w:lang w:eastAsia="sk-SK"/>
        </w:rPr>
        <w:t xml:space="preserve"> </w:t>
      </w:r>
      <w:r w:rsidRPr="00FD6720">
        <w:rPr>
          <w:rFonts w:eastAsia="Times New Roman" w:cs="Times New Roman"/>
          <w:color w:val="000000" w:themeColor="text1"/>
          <w:sz w:val="24"/>
          <w:szCs w:val="24"/>
          <w:lang w:eastAsia="sk-SK"/>
        </w:rPr>
        <w:t xml:space="preserve">to 1 433 501 tis. eur. </w:t>
      </w:r>
      <w:r w:rsidRPr="00E72601">
        <w:rPr>
          <w:rFonts w:eastAsia="Times New Roman" w:cs="Times New Roman"/>
          <w:color w:val="000000" w:themeColor="text1"/>
          <w:sz w:val="24"/>
          <w:szCs w:val="24"/>
          <w:lang w:eastAsia="sk-SK"/>
        </w:rPr>
        <w:t xml:space="preserve">Z nich 1 418 805 tis. eur boli bežné transfery na úhradu nákladov preneseného výkonu štátnej správy. </w:t>
      </w:r>
      <w:r w:rsidRPr="00024E8D">
        <w:rPr>
          <w:rFonts w:cs="Times New Roman"/>
          <w:color w:val="000000" w:themeColor="text1"/>
          <w:sz w:val="24"/>
          <w:szCs w:val="24"/>
        </w:rPr>
        <w:t xml:space="preserve">Suma 1 399 955 tis. eur bola poskytnutá obciam pre školy a školské zariadenia v ich zriaďovateľskej pôsobnosti v zmysle zákona č. 597/2003 Z. z. </w:t>
      </w:r>
      <w:r w:rsidRPr="00D47B62">
        <w:rPr>
          <w:rFonts w:cs="Times New Roman"/>
          <w:color w:val="000000" w:themeColor="text1"/>
          <w:sz w:val="24"/>
          <w:szCs w:val="24"/>
        </w:rPr>
        <w:t xml:space="preserve">o financovaní základných škôl, stredných škôl a školských zariadení na normatívne a nenormatívne výdavky. </w:t>
      </w:r>
      <w:r w:rsidRPr="00D47B62">
        <w:rPr>
          <w:rFonts w:cs="Times New Roman"/>
          <w:sz w:val="24"/>
          <w:szCs w:val="24"/>
        </w:rPr>
        <w:t>Finančné prostriedky zo zdroja 11UA v sume 18 850 tis. eur boli poskytnuté školám v zriaďovateľskej pôsobnosti obcí na financovanie jazykových kurzov cudzincov a na podporu začlenenia detí a žiakov z Ukrajiny v materských, základných a stredných školách (európske normatívy).</w:t>
      </w:r>
    </w:p>
    <w:p w14:paraId="2E85E767" w14:textId="77777777" w:rsidR="00776B01" w:rsidRPr="00D47B62" w:rsidRDefault="00776B01" w:rsidP="00562E58">
      <w:pPr>
        <w:spacing w:line="240" w:lineRule="auto"/>
        <w:rPr>
          <w:rFonts w:cs="Times New Roman"/>
          <w:color w:val="FF0000"/>
          <w:sz w:val="24"/>
          <w:szCs w:val="24"/>
        </w:rPr>
      </w:pPr>
      <w:r w:rsidRPr="00D47B62">
        <w:rPr>
          <w:rFonts w:cs="Times New Roman"/>
          <w:sz w:val="24"/>
          <w:szCs w:val="24"/>
        </w:rPr>
        <w:t xml:space="preserve">Rozdiel medzi schváleným rozpočtom a </w:t>
      </w:r>
      <w:r>
        <w:rPr>
          <w:rFonts w:cs="Times New Roman"/>
          <w:sz w:val="24"/>
          <w:szCs w:val="24"/>
        </w:rPr>
        <w:t>skutočnosťou v sume 138 891 tis. eur</w:t>
      </w:r>
      <w:r w:rsidRPr="00D47B62">
        <w:rPr>
          <w:rFonts w:cs="Times New Roman"/>
          <w:sz w:val="24"/>
          <w:szCs w:val="24"/>
        </w:rPr>
        <w:t xml:space="preserve"> tvoria finančné prostriedky, ktoré boli v priebehu roka 2023 pridelené do rozpočtu z Ministerstva financií SR, príp. presunuté z iných podpoložiek. </w:t>
      </w:r>
    </w:p>
    <w:p w14:paraId="1FCFB3B6" w14:textId="77777777" w:rsidR="00DF7FE5" w:rsidRPr="00DF7FE5" w:rsidRDefault="00DF7FE5" w:rsidP="00DF7FE5">
      <w:pPr>
        <w:spacing w:line="240" w:lineRule="auto"/>
        <w:rPr>
          <w:rFonts w:cs="Times New Roman"/>
          <w:color w:val="000000" w:themeColor="text1"/>
          <w:sz w:val="24"/>
          <w:szCs w:val="24"/>
        </w:rPr>
      </w:pPr>
      <w:r w:rsidRPr="00DF7FE5">
        <w:rPr>
          <w:rFonts w:cs="Times New Roman"/>
          <w:color w:val="000000" w:themeColor="text1"/>
          <w:sz w:val="24"/>
          <w:szCs w:val="24"/>
        </w:rPr>
        <w:t xml:space="preserve">Transfery obci okrem transferu na úhradu nákladov preneseného výkonu štátnej správy boli vynaložené v celkovej sume 5 596 tis. eur. Finančné prostriedky v sume 4 224 tis. eur boli poskytnuté z prostriedkov Plánu obnovy a odolnosti a boli určené pre materské školy, základné školy a školské zariadenia, ktoré patria do zriaďovateľskej pôsobnosti obcí a boli účelovo určené na kompenzáciu poplatkov za školský klub detí pre žiakov zo sociálne znevýhodneného prostredia a v hmotnej núdzi, na úhradu osobných výdavkov zdravotníckeho pracovníka v materských a základných školách, materským školám na financovanie pracovných miest pomocný vychovávateľ a na podporu individuálneho profesijného rozvoja pedagogických zamestnancov a odborných zamestnancov. </w:t>
      </w:r>
    </w:p>
    <w:p w14:paraId="5F15055C" w14:textId="77777777" w:rsidR="00776B01" w:rsidRPr="0049339E" w:rsidRDefault="00776B01" w:rsidP="00562E58">
      <w:pPr>
        <w:spacing w:line="240" w:lineRule="auto"/>
        <w:rPr>
          <w:rFonts w:cs="Times New Roman"/>
          <w:color w:val="000000" w:themeColor="text1"/>
          <w:sz w:val="24"/>
          <w:szCs w:val="24"/>
        </w:rPr>
      </w:pPr>
      <w:r w:rsidRPr="00FE79A2">
        <w:rPr>
          <w:rFonts w:cs="Times New Roman"/>
          <w:color w:val="000000" w:themeColor="text1"/>
          <w:sz w:val="24"/>
          <w:szCs w:val="24"/>
        </w:rPr>
        <w:t xml:space="preserve">Na kapitálové výdavky vynaložila kapitola celkovú sumu 9 099 tis. eur </w:t>
      </w:r>
      <w:r w:rsidRPr="0049339E">
        <w:rPr>
          <w:rFonts w:cs="Times New Roman"/>
          <w:color w:val="000000" w:themeColor="text1"/>
          <w:sz w:val="24"/>
          <w:szCs w:val="24"/>
        </w:rPr>
        <w:t xml:space="preserve">a tieto boli použité najmä na odstránenie havarijných situácií na školách a na dobudovanie kapacít materských škôl. </w:t>
      </w:r>
    </w:p>
    <w:p w14:paraId="447B7FA6" w14:textId="77777777" w:rsidR="00776B01" w:rsidRPr="008D33EB" w:rsidRDefault="00776B01" w:rsidP="00562E58">
      <w:pPr>
        <w:pStyle w:val="xmsonormal"/>
        <w:spacing w:before="0" w:beforeAutospacing="0" w:after="120" w:afterAutospacing="0"/>
        <w:jc w:val="both"/>
        <w:rPr>
          <w:color w:val="000000" w:themeColor="text1"/>
        </w:rPr>
      </w:pPr>
      <w:r w:rsidRPr="00957175">
        <w:rPr>
          <w:color w:val="000000" w:themeColor="text1"/>
          <w:u w:val="single"/>
        </w:rPr>
        <w:t>Ministerstvo investícií, regionálneho rozvoja a informatizácie SR</w:t>
      </w:r>
      <w:r w:rsidRPr="00957175">
        <w:rPr>
          <w:b/>
          <w:color w:val="000000" w:themeColor="text1"/>
        </w:rPr>
        <w:t xml:space="preserve"> </w:t>
      </w:r>
      <w:r w:rsidRPr="00957175">
        <w:rPr>
          <w:color w:val="000000" w:themeColor="text1"/>
        </w:rPr>
        <w:t>poskytlo obciam celkovú sumu 394 699 tis. eur</w:t>
      </w:r>
      <w:r w:rsidRPr="00BF7B64">
        <w:rPr>
          <w:color w:val="000000" w:themeColor="text1"/>
        </w:rPr>
        <w:t>, z toho v rámci kapitálových výdavkov čiastku 261 340 tis. eur</w:t>
      </w:r>
      <w:r>
        <w:rPr>
          <w:color w:val="000000" w:themeColor="text1"/>
        </w:rPr>
        <w:t>, čo je najvyššia suma poukázaná kapitolami obciam v rámci kapitálových výdavkov</w:t>
      </w:r>
      <w:r w:rsidRPr="00BF7B64">
        <w:rPr>
          <w:color w:val="000000" w:themeColor="text1"/>
        </w:rPr>
        <w:t xml:space="preserve">. </w:t>
      </w:r>
      <w:r w:rsidRPr="00495A74">
        <w:rPr>
          <w:color w:val="000000" w:themeColor="text1"/>
        </w:rPr>
        <w:t xml:space="preserve">Najviac finančných </w:t>
      </w:r>
      <w:r w:rsidRPr="00495A74">
        <w:rPr>
          <w:color w:val="000000" w:themeColor="text1"/>
        </w:rPr>
        <w:lastRenderedPageBreak/>
        <w:t xml:space="preserve">prostriedkov v sume 229 799 tis. eur bolo poskytnutých z Integrovaného regionálneho operačného programu prevažne </w:t>
      </w:r>
      <w:r w:rsidRPr="00085220">
        <w:rPr>
          <w:color w:val="000000" w:themeColor="text1"/>
        </w:rPr>
        <w:t>v rámci projektov na zlepšenie kvality života v regiónoch</w:t>
      </w:r>
      <w:r w:rsidRPr="005C3D09">
        <w:rPr>
          <w:color w:val="FF0000"/>
        </w:rPr>
        <w:t xml:space="preserve"> </w:t>
      </w:r>
      <w:r w:rsidRPr="00085220">
        <w:rPr>
          <w:color w:val="000000" w:themeColor="text1"/>
        </w:rPr>
        <w:t xml:space="preserve">s dôrazom na životné prostredie, </w:t>
      </w:r>
      <w:r w:rsidRPr="003B72EC">
        <w:rPr>
          <w:color w:val="000000" w:themeColor="text1"/>
        </w:rPr>
        <w:t>na modernizáciu zdravotníckej a vzdelávacej infraštruktúry</w:t>
      </w:r>
      <w:r w:rsidRPr="005C3D09">
        <w:rPr>
          <w:color w:val="FF0000"/>
        </w:rPr>
        <w:t xml:space="preserve"> </w:t>
      </w:r>
      <w:r w:rsidRPr="00E5479E">
        <w:rPr>
          <w:color w:val="000000" w:themeColor="text1"/>
        </w:rPr>
        <w:t>a zvyšovanie energetickej efektívnosti budov,</w:t>
      </w:r>
      <w:r w:rsidRPr="005C3D09">
        <w:rPr>
          <w:color w:val="FF0000"/>
        </w:rPr>
        <w:t xml:space="preserve"> </w:t>
      </w:r>
      <w:r w:rsidRPr="00E5479E">
        <w:rPr>
          <w:color w:val="000000" w:themeColor="text1"/>
        </w:rPr>
        <w:t>z</w:t>
      </w:r>
      <w:r>
        <w:rPr>
          <w:color w:val="000000" w:themeColor="text1"/>
        </w:rPr>
        <w:t xml:space="preserve">vyšovanie kapacity budov a iné. </w:t>
      </w:r>
      <w:r w:rsidRPr="00A75A42">
        <w:rPr>
          <w:color w:val="000000" w:themeColor="text1"/>
        </w:rPr>
        <w:t xml:space="preserve">Ďalšie prostriedky v rámci </w:t>
      </w:r>
      <w:r>
        <w:rPr>
          <w:color w:val="000000" w:themeColor="text1"/>
        </w:rPr>
        <w:t xml:space="preserve">Operačného programu Integrovaná infraštruktúra </w:t>
      </w:r>
      <w:r w:rsidRPr="00A75A42">
        <w:rPr>
          <w:color w:val="000000" w:themeColor="text1"/>
        </w:rPr>
        <w:t>v objeme 14 641 tis</w:t>
      </w:r>
      <w:r>
        <w:rPr>
          <w:color w:val="000000" w:themeColor="text1"/>
        </w:rPr>
        <w:t>. eur boli poskytnuté obciam na </w:t>
      </w:r>
      <w:r w:rsidRPr="00A75A42">
        <w:rPr>
          <w:color w:val="000000" w:themeColor="text1"/>
        </w:rPr>
        <w:t>projekty „</w:t>
      </w:r>
      <w:proofErr w:type="spellStart"/>
      <w:r w:rsidRPr="00A75A42">
        <w:rPr>
          <w:color w:val="000000" w:themeColor="text1"/>
        </w:rPr>
        <w:t>Wifi</w:t>
      </w:r>
      <w:proofErr w:type="spellEnd"/>
      <w:r w:rsidRPr="00A75A42">
        <w:rPr>
          <w:color w:val="000000" w:themeColor="text1"/>
        </w:rPr>
        <w:t xml:space="preserve"> pre Teba“</w:t>
      </w:r>
      <w:r>
        <w:rPr>
          <w:color w:val="000000" w:themeColor="text1"/>
        </w:rPr>
        <w:t xml:space="preserve"> (3 380 tis. eur), kde sa zapojilo 239 obcí.</w:t>
      </w:r>
      <w:r w:rsidRPr="00A75A42">
        <w:rPr>
          <w:color w:val="000000" w:themeColor="text1"/>
        </w:rPr>
        <w:t xml:space="preserve"> </w:t>
      </w:r>
      <w:r>
        <w:rPr>
          <w:color w:val="000000" w:themeColor="text1"/>
        </w:rPr>
        <w:t>Projekty zamerané na </w:t>
      </w:r>
      <w:r w:rsidRPr="008D33EB">
        <w:rPr>
          <w:color w:val="000000" w:themeColor="text1"/>
        </w:rPr>
        <w:t>moderné technológie v samospráve podporil</w:t>
      </w:r>
      <w:r>
        <w:rPr>
          <w:color w:val="000000" w:themeColor="text1"/>
        </w:rPr>
        <w:t>a</w:t>
      </w:r>
      <w:r w:rsidRPr="008D33EB">
        <w:rPr>
          <w:color w:val="000000" w:themeColor="text1"/>
        </w:rPr>
        <w:t xml:space="preserve"> </w:t>
      </w:r>
      <w:r>
        <w:rPr>
          <w:color w:val="000000" w:themeColor="text1"/>
        </w:rPr>
        <w:t>kapitola</w:t>
      </w:r>
      <w:r w:rsidRPr="008D33EB">
        <w:rPr>
          <w:color w:val="000000" w:themeColor="text1"/>
        </w:rPr>
        <w:t xml:space="preserve"> v Banskej Bystrici v </w:t>
      </w:r>
      <w:r>
        <w:rPr>
          <w:color w:val="000000" w:themeColor="text1"/>
        </w:rPr>
        <w:t>sume 1 099 tis. </w:t>
      </w:r>
      <w:r w:rsidRPr="008D33EB">
        <w:rPr>
          <w:color w:val="000000" w:themeColor="text1"/>
        </w:rPr>
        <w:t>eur, v Žiline v </w:t>
      </w:r>
      <w:r>
        <w:rPr>
          <w:color w:val="000000" w:themeColor="text1"/>
        </w:rPr>
        <w:t>sume 1 059 tis. </w:t>
      </w:r>
      <w:r w:rsidRPr="008D33EB">
        <w:rPr>
          <w:color w:val="000000" w:themeColor="text1"/>
        </w:rPr>
        <w:t>eur a v Trnave v </w:t>
      </w:r>
      <w:r>
        <w:rPr>
          <w:color w:val="000000" w:themeColor="text1"/>
        </w:rPr>
        <w:t>sume 1 035 tis. </w:t>
      </w:r>
      <w:r w:rsidRPr="008D33EB">
        <w:rPr>
          <w:color w:val="000000" w:themeColor="text1"/>
        </w:rPr>
        <w:t>eur.</w:t>
      </w:r>
      <w:r>
        <w:rPr>
          <w:color w:val="000000" w:themeColor="text1"/>
        </w:rPr>
        <w:t xml:space="preserve"> Z výziev na podanie žiadosti o poskytnutie dotácie v oblasti podpory regionálneho rozvoja bola dotácia v objeme 8 071 tis. eur poskytnutá obciam Martin a Malacky.</w:t>
      </w:r>
    </w:p>
    <w:p w14:paraId="50DCEC5A" w14:textId="7F63259B" w:rsidR="00776B01" w:rsidRDefault="00776B01" w:rsidP="00562E58">
      <w:pPr>
        <w:pStyle w:val="xmsonormal"/>
        <w:spacing w:before="0" w:beforeAutospacing="0" w:after="120" w:afterAutospacing="0"/>
        <w:jc w:val="both"/>
        <w:rPr>
          <w:color w:val="000000" w:themeColor="text1"/>
        </w:rPr>
      </w:pPr>
      <w:r w:rsidRPr="00A45690">
        <w:rPr>
          <w:color w:val="000000" w:themeColor="text1"/>
        </w:rPr>
        <w:t xml:space="preserve">Z programu INTERREG V-A SK-CZ boli podporené projekty obcí zamerané najmä na ochranu biodiverzity a zvýšenie atraktívnosti kultúrneho a prírodného dedičstva v prihraničných oblastiach, a to vo výške 3 540 tis. eur. </w:t>
      </w:r>
      <w:r w:rsidRPr="00B752BE">
        <w:rPr>
          <w:color w:val="000000" w:themeColor="text1"/>
        </w:rPr>
        <w:t>Na podobné projekty v rámci programov INTERREG V-A SK-AT, INTERREG V-A HU-SK a INTERREG V-A PL-SK boli poskytnuté obciam pr</w:t>
      </w:r>
      <w:r>
        <w:rPr>
          <w:color w:val="000000" w:themeColor="text1"/>
        </w:rPr>
        <w:t>ostriedky vo výške 1 585 tis. </w:t>
      </w:r>
      <w:r w:rsidRPr="00B752BE">
        <w:rPr>
          <w:color w:val="000000" w:themeColor="text1"/>
        </w:rPr>
        <w:t>eur.</w:t>
      </w:r>
      <w:r>
        <w:rPr>
          <w:color w:val="000000" w:themeColor="text1"/>
        </w:rPr>
        <w:t xml:space="preserve"> Príspevok na podporu najmenej rozvinutých okresov v sume 1 395 tis. eur v súlade s § 8 odsek 9 zákona č. 336/2015 Z.</w:t>
      </w:r>
      <w:r w:rsidR="00A510D7">
        <w:rPr>
          <w:color w:val="000000" w:themeColor="text1"/>
        </w:rPr>
        <w:t xml:space="preserve"> </w:t>
      </w:r>
      <w:r>
        <w:rPr>
          <w:color w:val="000000" w:themeColor="text1"/>
        </w:rPr>
        <w:t>z. smeroval mestu Hnúšťa a obci Málinec.</w:t>
      </w:r>
    </w:p>
    <w:p w14:paraId="46642BDC" w14:textId="59C8E65C" w:rsidR="00776B01" w:rsidRPr="005D12FD" w:rsidRDefault="00776B01" w:rsidP="00562E58">
      <w:pPr>
        <w:pStyle w:val="xmsonormal"/>
        <w:spacing w:before="0" w:beforeAutospacing="0" w:after="120" w:afterAutospacing="0"/>
        <w:jc w:val="both"/>
        <w:rPr>
          <w:color w:val="000000" w:themeColor="text1"/>
        </w:rPr>
      </w:pPr>
      <w:r>
        <w:rPr>
          <w:color w:val="000000" w:themeColor="text1"/>
        </w:rPr>
        <w:t xml:space="preserve">Na bežné výdavky okrem transferu na prenesený výkon štátnej správy vynaložila kapitola sumu 133 359 tis. eur. </w:t>
      </w:r>
      <w:r w:rsidRPr="005D12FD">
        <w:rPr>
          <w:color w:val="000000" w:themeColor="text1"/>
        </w:rPr>
        <w:t>Najviac projektov realizovaných obcami bolo podporených z Integrovaného regionálneho o</w:t>
      </w:r>
      <w:r>
        <w:rPr>
          <w:color w:val="000000" w:themeColor="text1"/>
        </w:rPr>
        <w:t>peračného programu vo výške 129 </w:t>
      </w:r>
      <w:r w:rsidRPr="005D12FD">
        <w:rPr>
          <w:color w:val="000000" w:themeColor="text1"/>
        </w:rPr>
        <w:t>08</w:t>
      </w:r>
      <w:r>
        <w:rPr>
          <w:color w:val="000000" w:themeColor="text1"/>
        </w:rPr>
        <w:t>8 tis. eur, z toho 126 </w:t>
      </w:r>
      <w:r w:rsidRPr="005D12FD">
        <w:rPr>
          <w:color w:val="000000" w:themeColor="text1"/>
        </w:rPr>
        <w:t>6</w:t>
      </w:r>
      <w:r>
        <w:rPr>
          <w:color w:val="000000" w:themeColor="text1"/>
        </w:rPr>
        <w:t>80 tis. </w:t>
      </w:r>
      <w:r w:rsidRPr="005D12FD">
        <w:rPr>
          <w:color w:val="000000" w:themeColor="text1"/>
        </w:rPr>
        <w:t xml:space="preserve">eur bolo vyplatených obciam a </w:t>
      </w:r>
      <w:r>
        <w:rPr>
          <w:color w:val="000000" w:themeColor="text1"/>
        </w:rPr>
        <w:t xml:space="preserve">mestám v rámci výzvy </w:t>
      </w:r>
      <w:r w:rsidRPr="005D12FD">
        <w:rPr>
          <w:color w:val="000000" w:themeColor="text1"/>
        </w:rPr>
        <w:t xml:space="preserve">Podpora operácií zameraných na riešenie migračných výziev v dôsledku </w:t>
      </w:r>
      <w:r>
        <w:rPr>
          <w:color w:val="000000" w:themeColor="text1"/>
        </w:rPr>
        <w:t>vojensk</w:t>
      </w:r>
      <w:r w:rsidR="002B42D8">
        <w:rPr>
          <w:color w:val="000000" w:themeColor="text1"/>
        </w:rPr>
        <w:t>ého konfliktu na</w:t>
      </w:r>
      <w:r>
        <w:rPr>
          <w:color w:val="000000" w:themeColor="text1"/>
        </w:rPr>
        <w:t xml:space="preserve"> Ukrajine</w:t>
      </w:r>
      <w:r w:rsidRPr="005D12FD">
        <w:rPr>
          <w:color w:val="000000" w:themeColor="text1"/>
        </w:rPr>
        <w:t xml:space="preserve">. </w:t>
      </w:r>
      <w:r>
        <w:rPr>
          <w:color w:val="000000" w:themeColor="text1"/>
        </w:rPr>
        <w:t>Suma 2 </w:t>
      </w:r>
      <w:r w:rsidRPr="005D12FD">
        <w:rPr>
          <w:color w:val="000000" w:themeColor="text1"/>
        </w:rPr>
        <w:t>84</w:t>
      </w:r>
      <w:r>
        <w:rPr>
          <w:color w:val="000000" w:themeColor="text1"/>
        </w:rPr>
        <w:t>2 tis. </w:t>
      </w:r>
      <w:r w:rsidRPr="005D12FD">
        <w:rPr>
          <w:color w:val="000000" w:themeColor="text1"/>
        </w:rPr>
        <w:t xml:space="preserve">eur </w:t>
      </w:r>
      <w:r>
        <w:rPr>
          <w:color w:val="000000" w:themeColor="text1"/>
        </w:rPr>
        <w:t>bola poskytnutá</w:t>
      </w:r>
      <w:r w:rsidRPr="005D12FD">
        <w:rPr>
          <w:color w:val="000000" w:themeColor="text1"/>
        </w:rPr>
        <w:t xml:space="preserve"> prostredníctvom Operačného programu Integrovaná infraštruktúra na realizáciu projektov informatizácie.</w:t>
      </w:r>
    </w:p>
    <w:p w14:paraId="0BF377BC" w14:textId="2896CFD3" w:rsidR="00776B01" w:rsidRPr="009172E0" w:rsidRDefault="00776B01" w:rsidP="00562E58">
      <w:pPr>
        <w:pStyle w:val="Obyajntext"/>
        <w:spacing w:after="120"/>
        <w:jc w:val="both"/>
        <w:rPr>
          <w:rFonts w:ascii="Times New Roman" w:hAnsi="Times New Roman" w:cs="Times New Roman"/>
          <w:color w:val="000000" w:themeColor="text1"/>
          <w:sz w:val="24"/>
          <w:szCs w:val="24"/>
        </w:rPr>
      </w:pPr>
      <w:r w:rsidRPr="001F0F50">
        <w:rPr>
          <w:rFonts w:ascii="Times New Roman" w:hAnsi="Times New Roman" w:cs="Times New Roman"/>
          <w:color w:val="000000" w:themeColor="text1"/>
          <w:sz w:val="24"/>
          <w:szCs w:val="24"/>
          <w:u w:val="single"/>
        </w:rPr>
        <w:t>Ministerstvo práce, sociálnych vecí a rodiny SR</w:t>
      </w:r>
      <w:r w:rsidRPr="001F0F50">
        <w:rPr>
          <w:rFonts w:ascii="Times New Roman" w:hAnsi="Times New Roman" w:cs="Times New Roman"/>
          <w:color w:val="000000" w:themeColor="text1"/>
          <w:sz w:val="24"/>
          <w:szCs w:val="24"/>
        </w:rPr>
        <w:t xml:space="preserve"> poskytlo obciam celkovú sumu 227 224</w:t>
      </w:r>
      <w:r>
        <w:rPr>
          <w:rFonts w:ascii="Times New Roman" w:hAnsi="Times New Roman" w:cs="Times New Roman"/>
          <w:color w:val="000000" w:themeColor="text1"/>
          <w:sz w:val="24"/>
          <w:szCs w:val="24"/>
        </w:rPr>
        <w:t xml:space="preserve"> tis. eur. </w:t>
      </w:r>
      <w:r w:rsidRPr="009E5BCE">
        <w:rPr>
          <w:rFonts w:ascii="Times New Roman" w:hAnsi="Times New Roman" w:cs="Times New Roman"/>
          <w:color w:val="000000" w:themeColor="text1"/>
          <w:sz w:val="24"/>
          <w:szCs w:val="24"/>
        </w:rPr>
        <w:t xml:space="preserve">Z toho 222 834 tis. eur boli bežné výdavky okrem transferu na úhradu nákladov preneseného výkonu štátnej správy, čo je zo všetkých kapitol štátneho rozpočtu najvyšší poskytnutý transfer v rámci tejto podpoložky. </w:t>
      </w:r>
      <w:r w:rsidRPr="00211329">
        <w:rPr>
          <w:rFonts w:ascii="Times New Roman" w:hAnsi="Times New Roman" w:cs="Times New Roman"/>
          <w:color w:val="000000" w:themeColor="text1"/>
          <w:sz w:val="24"/>
          <w:szCs w:val="24"/>
        </w:rPr>
        <w:t>Sumu 101 118 tis. eur tvorili dotácie n</w:t>
      </w:r>
      <w:r>
        <w:rPr>
          <w:rFonts w:ascii="Times New Roman" w:hAnsi="Times New Roman" w:cs="Times New Roman"/>
          <w:color w:val="000000" w:themeColor="text1"/>
          <w:sz w:val="24"/>
          <w:szCs w:val="24"/>
        </w:rPr>
        <w:t>a</w:t>
      </w:r>
      <w:r w:rsidR="00DF637E">
        <w:rPr>
          <w:rFonts w:ascii="Times New Roman" w:hAnsi="Times New Roman" w:cs="Times New Roman"/>
          <w:color w:val="000000" w:themeColor="text1"/>
          <w:sz w:val="24"/>
          <w:szCs w:val="24"/>
        </w:rPr>
        <w:t xml:space="preserve"> podporu výchovy k </w:t>
      </w:r>
      <w:r w:rsidRPr="00211329">
        <w:rPr>
          <w:rFonts w:ascii="Times New Roman" w:hAnsi="Times New Roman" w:cs="Times New Roman"/>
          <w:color w:val="000000" w:themeColor="text1"/>
          <w:sz w:val="24"/>
          <w:szCs w:val="24"/>
        </w:rPr>
        <w:t>stravovacím návykom</w:t>
      </w:r>
      <w:r>
        <w:rPr>
          <w:rFonts w:ascii="Times New Roman" w:hAnsi="Times New Roman" w:cs="Times New Roman"/>
          <w:color w:val="000000" w:themeColor="text1"/>
          <w:sz w:val="24"/>
          <w:szCs w:val="24"/>
        </w:rPr>
        <w:t>, na stravu pre dieťa v hmotnej núdzi</w:t>
      </w:r>
      <w:r w:rsidRPr="00211329">
        <w:rPr>
          <w:rFonts w:ascii="Times New Roman" w:hAnsi="Times New Roman" w:cs="Times New Roman"/>
          <w:color w:val="000000" w:themeColor="text1"/>
          <w:sz w:val="24"/>
          <w:szCs w:val="24"/>
        </w:rPr>
        <w:t xml:space="preserve"> a k plneniu školských povinností dieťaťa ohrozeného sociálnym vylúčením, dotácia na zabezpečenie osobitného príjemcu a dotácia na školské potreby pre dieťa v hmotnej núdzi.</w:t>
      </w:r>
      <w:r>
        <w:rPr>
          <w:rFonts w:ascii="Times New Roman" w:hAnsi="Times New Roman" w:cs="Times New Roman"/>
          <w:color w:val="000000" w:themeColor="text1"/>
          <w:sz w:val="24"/>
          <w:szCs w:val="24"/>
        </w:rPr>
        <w:t xml:space="preserve"> </w:t>
      </w:r>
      <w:r w:rsidRPr="00AE41DC">
        <w:rPr>
          <w:rFonts w:ascii="Times New Roman" w:hAnsi="Times New Roman" w:cs="Times New Roman"/>
          <w:color w:val="000000" w:themeColor="text1"/>
          <w:sz w:val="24"/>
          <w:szCs w:val="24"/>
        </w:rPr>
        <w:t>Finanč</w:t>
      </w:r>
      <w:r w:rsidR="00DF637E">
        <w:rPr>
          <w:rFonts w:ascii="Times New Roman" w:hAnsi="Times New Roman" w:cs="Times New Roman"/>
          <w:color w:val="000000" w:themeColor="text1"/>
          <w:sz w:val="24"/>
          <w:szCs w:val="24"/>
        </w:rPr>
        <w:t>ný príspevok mestám a obciam na </w:t>
      </w:r>
      <w:r w:rsidRPr="00AE41DC">
        <w:rPr>
          <w:rFonts w:ascii="Times New Roman" w:hAnsi="Times New Roman" w:cs="Times New Roman"/>
          <w:color w:val="000000" w:themeColor="text1"/>
          <w:sz w:val="24"/>
          <w:szCs w:val="24"/>
        </w:rPr>
        <w:t>spolufinancovanie sociálnych služieb pre zariadenia sociálnyc</w:t>
      </w:r>
      <w:r w:rsidR="00DF637E">
        <w:rPr>
          <w:rFonts w:ascii="Times New Roman" w:hAnsi="Times New Roman" w:cs="Times New Roman"/>
          <w:color w:val="000000" w:themeColor="text1"/>
          <w:sz w:val="24"/>
          <w:szCs w:val="24"/>
        </w:rPr>
        <w:t>h služieb (najmä zariadenia pre </w:t>
      </w:r>
      <w:r w:rsidRPr="00AE41DC">
        <w:rPr>
          <w:rFonts w:ascii="Times New Roman" w:hAnsi="Times New Roman" w:cs="Times New Roman"/>
          <w:color w:val="000000" w:themeColor="text1"/>
          <w:sz w:val="24"/>
          <w:szCs w:val="24"/>
        </w:rPr>
        <w:t xml:space="preserve">seniorov, zariadenia opatrovateľskej služby, denné stacionáre, domovy sociálnych služieb, útulky, nocľahárne a ďalšie) v zmysle § 71 ods.6 a ods. 7 zákona č. 448/2008 Z. z. o sociálnych službách bol v objeme 75 660 tis. eur. </w:t>
      </w:r>
      <w:r w:rsidRPr="000E206F">
        <w:rPr>
          <w:rFonts w:ascii="Times New Roman" w:hAnsi="Times New Roman" w:cs="Times New Roman"/>
          <w:color w:val="000000" w:themeColor="text1"/>
          <w:sz w:val="24"/>
          <w:szCs w:val="24"/>
        </w:rPr>
        <w:t xml:space="preserve">Suma 33 584 tis. eur </w:t>
      </w:r>
      <w:r w:rsidRPr="000E206F">
        <w:rPr>
          <w:rFonts w:ascii="Times New Roman" w:hAnsi="Times New Roman" w:cs="Times New Roman"/>
          <w:bCs/>
          <w:color w:val="000000" w:themeColor="text1"/>
          <w:sz w:val="24"/>
          <w:szCs w:val="24"/>
        </w:rPr>
        <w:t>bola poskytnutá</w:t>
      </w:r>
      <w:r w:rsidRPr="000E206F">
        <w:rPr>
          <w:rFonts w:ascii="Times New Roman" w:hAnsi="Times New Roman" w:cs="Times New Roman"/>
          <w:color w:val="000000" w:themeColor="text1"/>
          <w:sz w:val="24"/>
          <w:szCs w:val="24"/>
        </w:rPr>
        <w:t xml:space="preserve"> na národné projekty Ope</w:t>
      </w:r>
      <w:r>
        <w:rPr>
          <w:rFonts w:ascii="Times New Roman" w:hAnsi="Times New Roman" w:cs="Times New Roman"/>
          <w:color w:val="000000" w:themeColor="text1"/>
          <w:sz w:val="24"/>
          <w:szCs w:val="24"/>
        </w:rPr>
        <w:t xml:space="preserve">račného programu Ľudské zdroje. </w:t>
      </w:r>
      <w:r w:rsidRPr="009172E0">
        <w:rPr>
          <w:rFonts w:ascii="Times New Roman" w:hAnsi="Times New Roman" w:cs="Times New Roman"/>
          <w:color w:val="000000" w:themeColor="text1"/>
          <w:sz w:val="24"/>
          <w:szCs w:val="24"/>
        </w:rPr>
        <w:t>Ďalšia čiastka 11 794 tis. eur predstavovala úhradu dotácií obciam a právnickým osobám nimi zriadených v súlade so zákonom č. 544/2010 Z. z. o dotáciách v pôsobnosti MPSVR SR a nariadeniami vlády SR (stabilizačný príspevok).</w:t>
      </w:r>
    </w:p>
    <w:p w14:paraId="16450E7D" w14:textId="77777777" w:rsidR="00776B01" w:rsidRPr="00351962" w:rsidRDefault="00776B01" w:rsidP="00562E58">
      <w:pPr>
        <w:spacing w:line="240" w:lineRule="auto"/>
        <w:rPr>
          <w:rFonts w:cs="Times New Roman"/>
          <w:color w:val="000000" w:themeColor="text1"/>
          <w:sz w:val="24"/>
          <w:szCs w:val="24"/>
        </w:rPr>
      </w:pPr>
      <w:r w:rsidRPr="00351962">
        <w:rPr>
          <w:rFonts w:cs="Times New Roman"/>
          <w:color w:val="000000" w:themeColor="text1"/>
          <w:sz w:val="24"/>
          <w:szCs w:val="24"/>
        </w:rPr>
        <w:t>Na tejto podpoložke kapitola zaznamenala kladný rozdiel oproti schválenému rozpočtu v sume 142 194 tis. eur nakoľko súčasťou schváleného rozpočtu v roku 2023 neboli prostriedky EÚ. Zároveň v priebehu roka bol rozpočet výdavkov navýšený v súvislosti s legislatívnymi úpravami, ktoré nadobudli účinnosť v priebehu rozpočtového roka. Uvedené finančné prostriedky boli poskytnuté rozpočtovými opatreniami, t. j. ovplyvnili výšku upraveného rozpočtu na rok 2023. EÚ zdroje boli v schválenom rozpočte rozpočtované len na niektorých podpoložkách, presunuté z roku 2022 vstupovali až do upraveného rozpočtu.</w:t>
      </w:r>
    </w:p>
    <w:p w14:paraId="724984CF" w14:textId="4B7ADB9B" w:rsidR="00776B01" w:rsidRPr="00FA21C6" w:rsidRDefault="00776B01" w:rsidP="00562E58">
      <w:pPr>
        <w:spacing w:line="240" w:lineRule="auto"/>
        <w:rPr>
          <w:rFonts w:cs="Times New Roman"/>
          <w:sz w:val="24"/>
          <w:szCs w:val="24"/>
        </w:rPr>
      </w:pPr>
      <w:r w:rsidRPr="00E76C5E">
        <w:rPr>
          <w:rFonts w:cs="Times New Roman"/>
          <w:color w:val="000000" w:themeColor="text1"/>
          <w:sz w:val="24"/>
          <w:szCs w:val="24"/>
          <w:u w:val="single"/>
        </w:rPr>
        <w:t>Ministerstvo vnútra SR</w:t>
      </w:r>
      <w:r w:rsidRPr="00E76C5E">
        <w:rPr>
          <w:rFonts w:cs="Times New Roman"/>
          <w:b/>
          <w:color w:val="000000" w:themeColor="text1"/>
          <w:sz w:val="24"/>
          <w:szCs w:val="24"/>
        </w:rPr>
        <w:t xml:space="preserve"> </w:t>
      </w:r>
      <w:r w:rsidRPr="00E76C5E">
        <w:rPr>
          <w:rFonts w:cs="Times New Roman"/>
          <w:color w:val="000000" w:themeColor="text1"/>
          <w:sz w:val="24"/>
          <w:szCs w:val="24"/>
        </w:rPr>
        <w:t>vynaložilo na transfery obciam sumu 201 883 tis. eur</w:t>
      </w:r>
      <w:r>
        <w:rPr>
          <w:rFonts w:cs="Times New Roman"/>
          <w:color w:val="000000" w:themeColor="text1"/>
          <w:sz w:val="24"/>
          <w:szCs w:val="24"/>
        </w:rPr>
        <w:t>.</w:t>
      </w:r>
      <w:r w:rsidRPr="00E76C5E">
        <w:rPr>
          <w:rFonts w:cs="Times New Roman"/>
          <w:color w:val="000000" w:themeColor="text1"/>
          <w:sz w:val="24"/>
          <w:szCs w:val="24"/>
        </w:rPr>
        <w:t xml:space="preserve"> </w:t>
      </w:r>
      <w:r w:rsidRPr="006E7AD7">
        <w:rPr>
          <w:rFonts w:cs="Times New Roman"/>
          <w:color w:val="000000" w:themeColor="text1"/>
          <w:sz w:val="24"/>
          <w:szCs w:val="24"/>
        </w:rPr>
        <w:t xml:space="preserve">Z celkovej sumy 115 908 tis. eur na bežné výdavky okrem transferu na úhradu preneseného výkonu štátnej správy bolo vynaložených </w:t>
      </w:r>
      <w:r w:rsidRPr="00A93C2A">
        <w:rPr>
          <w:rFonts w:cs="Times New Roman"/>
          <w:color w:val="000000" w:themeColor="text1"/>
          <w:sz w:val="24"/>
          <w:szCs w:val="24"/>
        </w:rPr>
        <w:t>91 187 tis. eur na úhradu nákladov súvisiacich s ubytovaním odídencov na</w:t>
      </w:r>
      <w:r w:rsidRPr="00FE72F2">
        <w:rPr>
          <w:rFonts w:cs="Times New Roman"/>
          <w:sz w:val="24"/>
          <w:szCs w:val="24"/>
        </w:rPr>
        <w:t xml:space="preserve"> </w:t>
      </w:r>
      <w:r w:rsidRPr="00FE72F2">
        <w:rPr>
          <w:rFonts w:cs="Times New Roman"/>
          <w:sz w:val="24"/>
          <w:szCs w:val="24"/>
        </w:rPr>
        <w:lastRenderedPageBreak/>
        <w:t>základe nariadenia vlády Slovenskej republiky č.</w:t>
      </w:r>
      <w:r>
        <w:rPr>
          <w:rFonts w:cs="Times New Roman"/>
          <w:sz w:val="24"/>
          <w:szCs w:val="24"/>
        </w:rPr>
        <w:t> </w:t>
      </w:r>
      <w:r w:rsidRPr="00FE72F2">
        <w:rPr>
          <w:rFonts w:cs="Times New Roman"/>
          <w:sz w:val="24"/>
          <w:szCs w:val="24"/>
        </w:rPr>
        <w:t>218/2022 o poskytovaní príspevku za ubytovanie odídenca</w:t>
      </w:r>
      <w:r>
        <w:rPr>
          <w:rFonts w:cs="Times New Roman"/>
          <w:sz w:val="24"/>
          <w:szCs w:val="24"/>
        </w:rPr>
        <w:t xml:space="preserve"> a v zmysle zákona č. </w:t>
      </w:r>
      <w:r w:rsidRPr="00FE72F2">
        <w:rPr>
          <w:rFonts w:cs="Times New Roman"/>
          <w:sz w:val="24"/>
          <w:szCs w:val="24"/>
        </w:rPr>
        <w:t>480/2002 Z.</w:t>
      </w:r>
      <w:r w:rsidR="002B42D8">
        <w:rPr>
          <w:rFonts w:cs="Times New Roman"/>
          <w:sz w:val="24"/>
          <w:szCs w:val="24"/>
        </w:rPr>
        <w:t xml:space="preserve"> </w:t>
      </w:r>
      <w:r w:rsidRPr="00FE72F2">
        <w:rPr>
          <w:rFonts w:cs="Times New Roman"/>
          <w:sz w:val="24"/>
          <w:szCs w:val="24"/>
        </w:rPr>
        <w:t>z. o</w:t>
      </w:r>
      <w:r>
        <w:rPr>
          <w:rFonts w:cs="Times New Roman"/>
          <w:sz w:val="24"/>
          <w:szCs w:val="24"/>
        </w:rPr>
        <w:t> </w:t>
      </w:r>
      <w:r w:rsidRPr="00FE72F2">
        <w:rPr>
          <w:rFonts w:cs="Times New Roman"/>
          <w:sz w:val="24"/>
          <w:szCs w:val="24"/>
        </w:rPr>
        <w:t>azyle</w:t>
      </w:r>
      <w:r>
        <w:rPr>
          <w:rFonts w:cs="Times New Roman"/>
          <w:sz w:val="24"/>
          <w:szCs w:val="24"/>
        </w:rPr>
        <w:t>.</w:t>
      </w:r>
      <w:r w:rsidRPr="00FE72F2">
        <w:rPr>
          <w:rFonts w:cs="Times New Roman"/>
          <w:sz w:val="24"/>
          <w:szCs w:val="24"/>
        </w:rPr>
        <w:t xml:space="preserve"> Prostriedky neboli rozpočtované v schválenom rozpočte. Poskytovanie prostriedkov bolo schválené a obdobie poskytovania predĺžen</w:t>
      </w:r>
      <w:r>
        <w:rPr>
          <w:rFonts w:cs="Times New Roman"/>
          <w:sz w:val="24"/>
          <w:szCs w:val="24"/>
        </w:rPr>
        <w:t>é na základe uznesenia vlády č. 565 z 21. </w:t>
      </w:r>
      <w:r w:rsidRPr="00FE72F2">
        <w:rPr>
          <w:rFonts w:cs="Times New Roman"/>
          <w:sz w:val="24"/>
          <w:szCs w:val="24"/>
        </w:rPr>
        <w:t>septembra 2022, kedy už nebolo z časového hľadiska možné uvedené výdavky zapracovať do zákona o štátnom rozpočte</w:t>
      </w:r>
      <w:r>
        <w:rPr>
          <w:rFonts w:cs="Times New Roman"/>
          <w:sz w:val="24"/>
          <w:szCs w:val="24"/>
        </w:rPr>
        <w:t xml:space="preserve"> na rok 2023</w:t>
      </w:r>
      <w:r w:rsidRPr="00FE72F2">
        <w:rPr>
          <w:rFonts w:cs="Times New Roman"/>
          <w:sz w:val="24"/>
          <w:szCs w:val="24"/>
        </w:rPr>
        <w:t xml:space="preserve">. </w:t>
      </w:r>
      <w:r>
        <w:rPr>
          <w:rFonts w:cs="Times New Roman"/>
          <w:sz w:val="24"/>
          <w:szCs w:val="24"/>
        </w:rPr>
        <w:t>F</w:t>
      </w:r>
      <w:r w:rsidRPr="00FE72F2">
        <w:rPr>
          <w:rFonts w:cs="Times New Roman"/>
          <w:sz w:val="24"/>
          <w:szCs w:val="24"/>
        </w:rPr>
        <w:t xml:space="preserve">inančné prostriedky </w:t>
      </w:r>
      <w:r>
        <w:rPr>
          <w:rFonts w:cs="Times New Roman"/>
          <w:sz w:val="24"/>
          <w:szCs w:val="24"/>
        </w:rPr>
        <w:t>v sume</w:t>
      </w:r>
      <w:r w:rsidRPr="00FE72F2">
        <w:rPr>
          <w:rFonts w:cs="Times New Roman"/>
          <w:sz w:val="24"/>
          <w:szCs w:val="24"/>
        </w:rPr>
        <w:t xml:space="preserve"> </w:t>
      </w:r>
      <w:r>
        <w:rPr>
          <w:rFonts w:cs="Times New Roman"/>
          <w:sz w:val="24"/>
          <w:szCs w:val="24"/>
        </w:rPr>
        <w:t>14 </w:t>
      </w:r>
      <w:r w:rsidRPr="00FE72F2">
        <w:rPr>
          <w:rFonts w:cs="Times New Roman"/>
          <w:sz w:val="24"/>
          <w:szCs w:val="24"/>
        </w:rPr>
        <w:t>38</w:t>
      </w:r>
      <w:r>
        <w:rPr>
          <w:rFonts w:cs="Times New Roman"/>
          <w:sz w:val="24"/>
          <w:szCs w:val="24"/>
        </w:rPr>
        <w:t>4 tis. </w:t>
      </w:r>
      <w:r w:rsidRPr="00FE72F2">
        <w:rPr>
          <w:rFonts w:cs="Times New Roman"/>
          <w:sz w:val="24"/>
          <w:szCs w:val="24"/>
        </w:rPr>
        <w:t xml:space="preserve">eur boli čerpané v rámci </w:t>
      </w:r>
      <w:r>
        <w:rPr>
          <w:rFonts w:cs="Times New Roman"/>
          <w:sz w:val="24"/>
          <w:szCs w:val="24"/>
        </w:rPr>
        <w:t>Operatívneho programu</w:t>
      </w:r>
      <w:r w:rsidRPr="00FE72F2">
        <w:rPr>
          <w:rFonts w:cs="Times New Roman"/>
          <w:sz w:val="24"/>
          <w:szCs w:val="24"/>
        </w:rPr>
        <w:t xml:space="preserve"> ľudské zdroje, Integrácia marginalizovaných rómskych komunít, prioritná os č. 6 Technická vybavenosť v obciach s prítomnosťou marginalizovaných rómskych komunít, pre obce ktoré sú evidované v Atl</w:t>
      </w:r>
      <w:r>
        <w:rPr>
          <w:rFonts w:cs="Times New Roman"/>
          <w:sz w:val="24"/>
          <w:szCs w:val="24"/>
        </w:rPr>
        <w:t>ase rómskych komunít v sume 5 882 tis. </w:t>
      </w:r>
      <w:r w:rsidRPr="00FE72F2">
        <w:rPr>
          <w:rFonts w:cs="Times New Roman"/>
          <w:sz w:val="24"/>
          <w:szCs w:val="24"/>
        </w:rPr>
        <w:t>eur, prioritná os č. 8 - REACT – EU (Pomoc pri obnove v rámci politiky súdržnosti a pri obnove území v Európe</w:t>
      </w:r>
      <w:r>
        <w:rPr>
          <w:rFonts w:cs="Times New Roman"/>
          <w:sz w:val="24"/>
          <w:szCs w:val="24"/>
        </w:rPr>
        <w:t>) v sume 7 </w:t>
      </w:r>
      <w:r w:rsidRPr="00FE72F2">
        <w:rPr>
          <w:rFonts w:cs="Times New Roman"/>
          <w:sz w:val="24"/>
          <w:szCs w:val="24"/>
        </w:rPr>
        <w:t>41</w:t>
      </w:r>
      <w:r>
        <w:rPr>
          <w:rFonts w:cs="Times New Roman"/>
          <w:sz w:val="24"/>
          <w:szCs w:val="24"/>
        </w:rPr>
        <w:t>9 tis. eur a</w:t>
      </w:r>
      <w:r w:rsidRPr="00FE72F2">
        <w:rPr>
          <w:rFonts w:cs="Times New Roman"/>
          <w:sz w:val="24"/>
          <w:szCs w:val="24"/>
        </w:rPr>
        <w:t xml:space="preserve"> prioritná os č. 5 Integrácia marginalizovaných rómskych komunít </w:t>
      </w:r>
      <w:r>
        <w:rPr>
          <w:rFonts w:cs="Times New Roman"/>
          <w:sz w:val="24"/>
          <w:szCs w:val="24"/>
        </w:rPr>
        <w:t>v sume 1 </w:t>
      </w:r>
      <w:r w:rsidRPr="00FE72F2">
        <w:rPr>
          <w:rFonts w:cs="Times New Roman"/>
          <w:sz w:val="24"/>
          <w:szCs w:val="24"/>
        </w:rPr>
        <w:t>08</w:t>
      </w:r>
      <w:r>
        <w:rPr>
          <w:rFonts w:cs="Times New Roman"/>
          <w:sz w:val="24"/>
          <w:szCs w:val="24"/>
        </w:rPr>
        <w:t>3 tis. </w:t>
      </w:r>
      <w:r w:rsidRPr="00FE72F2">
        <w:rPr>
          <w:rFonts w:cs="Times New Roman"/>
          <w:sz w:val="24"/>
          <w:szCs w:val="24"/>
        </w:rPr>
        <w:t>eur</w:t>
      </w:r>
      <w:r>
        <w:rPr>
          <w:rFonts w:cs="Times New Roman"/>
          <w:sz w:val="24"/>
          <w:szCs w:val="24"/>
        </w:rPr>
        <w:t xml:space="preserve">. </w:t>
      </w:r>
      <w:r w:rsidRPr="00882662">
        <w:rPr>
          <w:rFonts w:cs="Times New Roman"/>
          <w:sz w:val="24"/>
          <w:szCs w:val="24"/>
        </w:rPr>
        <w:t xml:space="preserve">Finančné prostriedky vo výške 3 454 tis. eur boli použité obcami na úhradu nákladov na nevyhnutnú organizáciu dopravného a zdravotníckeho zabezpečenia, ako aj s tým súvisiace ukladanie pracovnej povinnosti, na základe uznesenia vlády Slovenskej republiky č. 142 z 26. februára 2022 k návrhu na vyhlásenie mimoriadnej situácie v súvislosti s hromadným prílevom cudzincov na územie Slovenskej republiky spôsobeným ozbrojeným konfliktom na území Ukrajiny a zákona č. 92 z 22. marca 2022 o niektorých ďalších opatreniach v súvislosti so situáciou na Ukrajine. </w:t>
      </w:r>
      <w:r>
        <w:rPr>
          <w:rFonts w:cs="Times New Roman"/>
          <w:sz w:val="24"/>
          <w:szCs w:val="24"/>
        </w:rPr>
        <w:t>Suma</w:t>
      </w:r>
      <w:r w:rsidRPr="00882662">
        <w:rPr>
          <w:rFonts w:cs="Times New Roman"/>
          <w:sz w:val="24"/>
          <w:szCs w:val="24"/>
        </w:rPr>
        <w:t xml:space="preserve"> 2</w:t>
      </w:r>
      <w:r>
        <w:rPr>
          <w:rFonts w:cs="Times New Roman"/>
          <w:sz w:val="24"/>
          <w:szCs w:val="24"/>
        </w:rPr>
        <w:t> </w:t>
      </w:r>
      <w:r w:rsidRPr="00882662">
        <w:rPr>
          <w:rFonts w:cs="Times New Roman"/>
          <w:sz w:val="24"/>
          <w:szCs w:val="24"/>
        </w:rPr>
        <w:t>38</w:t>
      </w:r>
      <w:r>
        <w:rPr>
          <w:rFonts w:cs="Times New Roman"/>
          <w:sz w:val="24"/>
          <w:szCs w:val="24"/>
        </w:rPr>
        <w:t>8 tis. </w:t>
      </w:r>
      <w:r w:rsidRPr="00882662">
        <w:rPr>
          <w:rFonts w:cs="Times New Roman"/>
          <w:sz w:val="24"/>
          <w:szCs w:val="24"/>
        </w:rPr>
        <w:t>eur</w:t>
      </w:r>
      <w:r>
        <w:rPr>
          <w:rFonts w:cs="Times New Roman"/>
          <w:sz w:val="24"/>
          <w:szCs w:val="24"/>
        </w:rPr>
        <w:t xml:space="preserve"> bola</w:t>
      </w:r>
      <w:r w:rsidRPr="00882662">
        <w:rPr>
          <w:rFonts w:cs="Times New Roman"/>
          <w:sz w:val="24"/>
          <w:szCs w:val="24"/>
        </w:rPr>
        <w:t xml:space="preserve"> čerpan</w:t>
      </w:r>
      <w:r>
        <w:rPr>
          <w:rFonts w:cs="Times New Roman"/>
          <w:sz w:val="24"/>
          <w:szCs w:val="24"/>
        </w:rPr>
        <w:t>á</w:t>
      </w:r>
      <w:r w:rsidRPr="00882662">
        <w:rPr>
          <w:rFonts w:cs="Times New Roman"/>
          <w:sz w:val="24"/>
          <w:szCs w:val="24"/>
        </w:rPr>
        <w:t xml:space="preserve"> zo zdroja 11UA vytvoreného pre sledovanie výdavkov súvisiacich s hromad</w:t>
      </w:r>
      <w:r>
        <w:rPr>
          <w:rFonts w:cs="Times New Roman"/>
          <w:sz w:val="24"/>
          <w:szCs w:val="24"/>
        </w:rPr>
        <w:t>ným prílevom utečencov a suma 1 </w:t>
      </w:r>
      <w:r w:rsidRPr="00882662">
        <w:rPr>
          <w:rFonts w:cs="Times New Roman"/>
          <w:sz w:val="24"/>
          <w:szCs w:val="24"/>
        </w:rPr>
        <w:t>06</w:t>
      </w:r>
      <w:r>
        <w:rPr>
          <w:rFonts w:cs="Times New Roman"/>
          <w:sz w:val="24"/>
          <w:szCs w:val="24"/>
        </w:rPr>
        <w:t>6 tis. </w:t>
      </w:r>
      <w:r w:rsidRPr="00882662">
        <w:rPr>
          <w:rFonts w:cs="Times New Roman"/>
          <w:sz w:val="24"/>
          <w:szCs w:val="24"/>
        </w:rPr>
        <w:t>eur bola použitá z Európskeho fondu regionálneho rozvoja</w:t>
      </w:r>
      <w:r>
        <w:rPr>
          <w:rFonts w:cs="Times New Roman"/>
          <w:sz w:val="24"/>
          <w:szCs w:val="24"/>
        </w:rPr>
        <w:t>. F</w:t>
      </w:r>
      <w:r w:rsidRPr="00FE72F2">
        <w:rPr>
          <w:rFonts w:cs="Times New Roman"/>
          <w:sz w:val="24"/>
          <w:szCs w:val="24"/>
        </w:rPr>
        <w:t xml:space="preserve">inančné prostriedky </w:t>
      </w:r>
      <w:r w:rsidR="00DF637E">
        <w:rPr>
          <w:rFonts w:cs="Times New Roman"/>
          <w:sz w:val="24"/>
          <w:szCs w:val="24"/>
        </w:rPr>
        <w:t>v </w:t>
      </w:r>
      <w:r>
        <w:rPr>
          <w:rFonts w:cs="Times New Roman"/>
          <w:sz w:val="24"/>
          <w:szCs w:val="24"/>
        </w:rPr>
        <w:t>objeme</w:t>
      </w:r>
      <w:r w:rsidRPr="00FE72F2">
        <w:rPr>
          <w:rFonts w:cs="Times New Roman"/>
          <w:sz w:val="24"/>
          <w:szCs w:val="24"/>
        </w:rPr>
        <w:t xml:space="preserve"> </w:t>
      </w:r>
      <w:r>
        <w:rPr>
          <w:rFonts w:cs="Times New Roman"/>
          <w:sz w:val="24"/>
          <w:szCs w:val="24"/>
        </w:rPr>
        <w:t>3 </w:t>
      </w:r>
      <w:r w:rsidRPr="00FE72F2">
        <w:rPr>
          <w:rFonts w:cs="Times New Roman"/>
          <w:sz w:val="24"/>
          <w:szCs w:val="24"/>
        </w:rPr>
        <w:t>23</w:t>
      </w:r>
      <w:r>
        <w:rPr>
          <w:rFonts w:cs="Times New Roman"/>
          <w:sz w:val="24"/>
          <w:szCs w:val="24"/>
        </w:rPr>
        <w:t>5 tis. </w:t>
      </w:r>
      <w:r w:rsidRPr="00FE72F2">
        <w:rPr>
          <w:rFonts w:cs="Times New Roman"/>
          <w:sz w:val="24"/>
          <w:szCs w:val="24"/>
        </w:rPr>
        <w:t>eur boli použité obcami na úhradu výdavkov súvisiacich so záchrannými prácami počas mimoriadnej situácie v územnej pôsobnosti okresných úradov vym</w:t>
      </w:r>
      <w:r>
        <w:rPr>
          <w:rFonts w:cs="Times New Roman"/>
          <w:sz w:val="24"/>
          <w:szCs w:val="24"/>
        </w:rPr>
        <w:t>edzených v uznesení vlády SR č. </w:t>
      </w:r>
      <w:r w:rsidRPr="00FE72F2">
        <w:rPr>
          <w:rFonts w:cs="Times New Roman"/>
          <w:sz w:val="24"/>
          <w:szCs w:val="24"/>
        </w:rPr>
        <w:t>389 z 9.</w:t>
      </w:r>
      <w:r>
        <w:rPr>
          <w:rFonts w:cs="Times New Roman"/>
          <w:sz w:val="24"/>
          <w:szCs w:val="24"/>
        </w:rPr>
        <w:t> </w:t>
      </w:r>
      <w:r w:rsidRPr="00FE72F2">
        <w:rPr>
          <w:rFonts w:cs="Times New Roman"/>
          <w:sz w:val="24"/>
          <w:szCs w:val="24"/>
        </w:rPr>
        <w:t>augusta 2023 a 585 z 8.</w:t>
      </w:r>
      <w:r>
        <w:rPr>
          <w:rFonts w:cs="Times New Roman"/>
          <w:sz w:val="24"/>
          <w:szCs w:val="24"/>
        </w:rPr>
        <w:t> </w:t>
      </w:r>
      <w:r w:rsidRPr="00FE72F2">
        <w:rPr>
          <w:rFonts w:cs="Times New Roman"/>
          <w:sz w:val="24"/>
          <w:szCs w:val="24"/>
        </w:rPr>
        <w:t>novembra 2023.</w:t>
      </w:r>
      <w:r>
        <w:rPr>
          <w:rFonts w:cs="Times New Roman"/>
          <w:sz w:val="24"/>
          <w:szCs w:val="24"/>
        </w:rPr>
        <w:t xml:space="preserve"> Suma</w:t>
      </w:r>
      <w:r w:rsidRPr="00A33958">
        <w:rPr>
          <w:rFonts w:cs="Times New Roman"/>
          <w:sz w:val="24"/>
          <w:szCs w:val="24"/>
        </w:rPr>
        <w:t xml:space="preserve"> </w:t>
      </w:r>
      <w:r>
        <w:rPr>
          <w:rFonts w:cs="Times New Roman"/>
          <w:sz w:val="24"/>
          <w:szCs w:val="24"/>
        </w:rPr>
        <w:t>1 </w:t>
      </w:r>
      <w:r w:rsidRPr="00A33958">
        <w:rPr>
          <w:rFonts w:cs="Times New Roman"/>
          <w:sz w:val="24"/>
          <w:szCs w:val="24"/>
        </w:rPr>
        <w:t>62</w:t>
      </w:r>
      <w:r>
        <w:rPr>
          <w:rFonts w:cs="Times New Roman"/>
          <w:sz w:val="24"/>
          <w:szCs w:val="24"/>
        </w:rPr>
        <w:t>7 tis. eur bola</w:t>
      </w:r>
      <w:r w:rsidRPr="00A33958">
        <w:rPr>
          <w:rFonts w:cs="Times New Roman"/>
          <w:sz w:val="24"/>
          <w:szCs w:val="24"/>
        </w:rPr>
        <w:t xml:space="preserve"> poskytnut</w:t>
      </w:r>
      <w:r>
        <w:rPr>
          <w:rFonts w:cs="Times New Roman"/>
          <w:sz w:val="24"/>
          <w:szCs w:val="24"/>
        </w:rPr>
        <w:t>á</w:t>
      </w:r>
      <w:r w:rsidRPr="00A33958">
        <w:rPr>
          <w:rFonts w:cs="Times New Roman"/>
          <w:sz w:val="24"/>
          <w:szCs w:val="24"/>
        </w:rPr>
        <w:t xml:space="preserve"> obciam v rámci </w:t>
      </w:r>
      <w:r>
        <w:rPr>
          <w:rFonts w:cs="Times New Roman"/>
          <w:sz w:val="24"/>
          <w:szCs w:val="24"/>
        </w:rPr>
        <w:t>Operatívneho programu</w:t>
      </w:r>
      <w:r w:rsidRPr="00A33958">
        <w:rPr>
          <w:rFonts w:cs="Times New Roman"/>
          <w:sz w:val="24"/>
          <w:szCs w:val="24"/>
        </w:rPr>
        <w:t xml:space="preserve"> efektívna verejná správa – posilnené inštitucionálne kapacity a efektívna </w:t>
      </w:r>
      <w:r>
        <w:rPr>
          <w:rFonts w:cs="Times New Roman"/>
          <w:sz w:val="24"/>
          <w:szCs w:val="24"/>
        </w:rPr>
        <w:t>verejná správa.</w:t>
      </w:r>
      <w:r w:rsidRPr="00A33958">
        <w:rPr>
          <w:rFonts w:cs="Times New Roman"/>
          <w:sz w:val="24"/>
          <w:szCs w:val="24"/>
        </w:rPr>
        <w:t xml:space="preserve"> </w:t>
      </w:r>
      <w:r>
        <w:rPr>
          <w:rFonts w:cs="Times New Roman"/>
          <w:sz w:val="24"/>
          <w:szCs w:val="24"/>
        </w:rPr>
        <w:t>C</w:t>
      </w:r>
      <w:r w:rsidRPr="00A33958">
        <w:rPr>
          <w:rFonts w:cs="Times New Roman"/>
          <w:sz w:val="24"/>
          <w:szCs w:val="24"/>
        </w:rPr>
        <w:t xml:space="preserve">ieľom je </w:t>
      </w:r>
      <w:proofErr w:type="spellStart"/>
      <w:r w:rsidRPr="00A33958">
        <w:rPr>
          <w:rFonts w:cs="Times New Roman"/>
          <w:sz w:val="24"/>
          <w:szCs w:val="24"/>
        </w:rPr>
        <w:t>proklientsky</w:t>
      </w:r>
      <w:proofErr w:type="spellEnd"/>
      <w:r w:rsidRPr="00A33958">
        <w:rPr>
          <w:rFonts w:cs="Times New Roman"/>
          <w:sz w:val="24"/>
          <w:szCs w:val="24"/>
        </w:rPr>
        <w:t xml:space="preserve"> orientovaná, transparentná verejná správa poskytujúca svoje služby rýchlo, efektívne a kvalitne v záujme podpory udržateľného rastu, tvorby pracov</w:t>
      </w:r>
      <w:r>
        <w:rPr>
          <w:rFonts w:cs="Times New Roman"/>
          <w:sz w:val="24"/>
          <w:szCs w:val="24"/>
        </w:rPr>
        <w:t>ných miest a sociálnej inklúzie. F</w:t>
      </w:r>
      <w:r w:rsidRPr="00FA21C6">
        <w:rPr>
          <w:rFonts w:cs="Times New Roman"/>
          <w:sz w:val="24"/>
          <w:szCs w:val="24"/>
        </w:rPr>
        <w:t>inančné prostriedky vo výške 83</w:t>
      </w:r>
      <w:r>
        <w:rPr>
          <w:rFonts w:cs="Times New Roman"/>
          <w:sz w:val="24"/>
          <w:szCs w:val="24"/>
        </w:rPr>
        <w:t>7 tis. </w:t>
      </w:r>
      <w:r w:rsidRPr="00FA21C6">
        <w:rPr>
          <w:rFonts w:cs="Times New Roman"/>
          <w:sz w:val="24"/>
          <w:szCs w:val="24"/>
        </w:rPr>
        <w:t xml:space="preserve">eur boli v nadväznosti na správu o priebehu a následkoch povodní na území SR presunuté z kapitoly Všeobecná pokladničná správa </w:t>
      </w:r>
      <w:r>
        <w:rPr>
          <w:rFonts w:cs="Times New Roman"/>
          <w:sz w:val="24"/>
          <w:szCs w:val="24"/>
        </w:rPr>
        <w:t>na základe uznesení vlády SR č. </w:t>
      </w:r>
      <w:r w:rsidRPr="00FA21C6">
        <w:rPr>
          <w:rFonts w:cs="Times New Roman"/>
          <w:sz w:val="24"/>
          <w:szCs w:val="24"/>
        </w:rPr>
        <w:t>183 a</w:t>
      </w:r>
      <w:r>
        <w:rPr>
          <w:rFonts w:cs="Times New Roman"/>
          <w:sz w:val="24"/>
          <w:szCs w:val="24"/>
        </w:rPr>
        <w:t> č.</w:t>
      </w:r>
      <w:r w:rsidRPr="00FA21C6">
        <w:rPr>
          <w:rFonts w:cs="Times New Roman"/>
          <w:sz w:val="24"/>
          <w:szCs w:val="24"/>
        </w:rPr>
        <w:t> 610 a</w:t>
      </w:r>
      <w:r w:rsidR="00207B7D">
        <w:rPr>
          <w:rFonts w:cs="Times New Roman"/>
          <w:sz w:val="24"/>
          <w:szCs w:val="24"/>
        </w:rPr>
        <w:t xml:space="preserve"> </w:t>
      </w:r>
      <w:r w:rsidRPr="00FA21C6">
        <w:rPr>
          <w:rFonts w:cs="Times New Roman"/>
          <w:sz w:val="24"/>
          <w:szCs w:val="24"/>
        </w:rPr>
        <w:t>boli po</w:t>
      </w:r>
      <w:r>
        <w:rPr>
          <w:rFonts w:cs="Times New Roman"/>
          <w:sz w:val="24"/>
          <w:szCs w:val="24"/>
        </w:rPr>
        <w:t>u</w:t>
      </w:r>
      <w:r w:rsidRPr="00FA21C6">
        <w:rPr>
          <w:rFonts w:cs="Times New Roman"/>
          <w:sz w:val="24"/>
          <w:szCs w:val="24"/>
        </w:rPr>
        <w:t>žité obcami na úhradu výdavkov vynaložených na vykonávanie povodňových záchranných</w:t>
      </w:r>
      <w:r>
        <w:rPr>
          <w:rFonts w:cs="Times New Roman"/>
          <w:sz w:val="24"/>
          <w:szCs w:val="24"/>
        </w:rPr>
        <w:t xml:space="preserve"> a </w:t>
      </w:r>
      <w:r w:rsidRPr="00FA21C6">
        <w:rPr>
          <w:rFonts w:cs="Times New Roman"/>
          <w:sz w:val="24"/>
          <w:szCs w:val="24"/>
        </w:rPr>
        <w:t xml:space="preserve">zabezpečovacích prác. </w:t>
      </w:r>
    </w:p>
    <w:p w14:paraId="0978EA45" w14:textId="77777777" w:rsidR="00776B01" w:rsidRPr="00CE482C" w:rsidRDefault="00776B01" w:rsidP="00562E58">
      <w:pPr>
        <w:spacing w:line="240" w:lineRule="auto"/>
        <w:rPr>
          <w:rFonts w:cs="Times New Roman"/>
          <w:color w:val="000000" w:themeColor="text1"/>
          <w:sz w:val="24"/>
          <w:szCs w:val="24"/>
        </w:rPr>
      </w:pPr>
      <w:r w:rsidRPr="00AE5E1B">
        <w:rPr>
          <w:rFonts w:cs="Times New Roman"/>
          <w:color w:val="000000" w:themeColor="text1"/>
          <w:sz w:val="24"/>
          <w:szCs w:val="24"/>
        </w:rPr>
        <w:t xml:space="preserve">Bežné výdavky </w:t>
      </w:r>
      <w:r>
        <w:rPr>
          <w:rFonts w:cs="Times New Roman"/>
          <w:color w:val="000000" w:themeColor="text1"/>
          <w:sz w:val="24"/>
          <w:szCs w:val="24"/>
        </w:rPr>
        <w:t xml:space="preserve">na úhradu nákladov preneseného výkonu štátnej správy boli v celkovej sume 21 615 tis. eur, z toho finančné prostriedky vo výške 10 260 tis. eur </w:t>
      </w:r>
      <w:r w:rsidRPr="00AE5E1B">
        <w:rPr>
          <w:rFonts w:cs="Times New Roman"/>
          <w:color w:val="000000" w:themeColor="text1"/>
          <w:sz w:val="24"/>
          <w:szCs w:val="24"/>
        </w:rPr>
        <w:t xml:space="preserve">boli použité </w:t>
      </w:r>
      <w:r w:rsidRPr="00AE5E1B">
        <w:rPr>
          <w:rFonts w:cs="Times New Roman"/>
          <w:bCs/>
          <w:color w:val="000000" w:themeColor="text1"/>
          <w:sz w:val="24"/>
          <w:szCs w:val="24"/>
        </w:rPr>
        <w:t>na úseku mat</w:t>
      </w:r>
      <w:r>
        <w:rPr>
          <w:rFonts w:cs="Times New Roman"/>
          <w:bCs/>
          <w:color w:val="000000" w:themeColor="text1"/>
          <w:sz w:val="24"/>
          <w:szCs w:val="24"/>
        </w:rPr>
        <w:t>ričnej činnosti podľa zákona č. </w:t>
      </w:r>
      <w:r w:rsidRPr="00AE5E1B">
        <w:rPr>
          <w:rFonts w:cs="Times New Roman"/>
          <w:bCs/>
          <w:color w:val="000000" w:themeColor="text1"/>
          <w:sz w:val="24"/>
          <w:szCs w:val="24"/>
        </w:rPr>
        <w:t>154/1994 Z. z. o matriká</w:t>
      </w:r>
      <w:r>
        <w:rPr>
          <w:rFonts w:cs="Times New Roman"/>
          <w:bCs/>
          <w:color w:val="000000" w:themeColor="text1"/>
          <w:sz w:val="24"/>
          <w:szCs w:val="24"/>
        </w:rPr>
        <w:t xml:space="preserve">ch v znení neskorších predpisov. Ďalšie finančné prostriedky v objeme </w:t>
      </w:r>
      <w:r>
        <w:rPr>
          <w:rFonts w:cs="Times New Roman"/>
          <w:color w:val="000000" w:themeColor="text1"/>
          <w:sz w:val="24"/>
          <w:szCs w:val="24"/>
        </w:rPr>
        <w:t>7 </w:t>
      </w:r>
      <w:r w:rsidRPr="00546DA7">
        <w:rPr>
          <w:rFonts w:cs="Times New Roman"/>
          <w:color w:val="000000" w:themeColor="text1"/>
          <w:sz w:val="24"/>
          <w:szCs w:val="24"/>
        </w:rPr>
        <w:t>07</w:t>
      </w:r>
      <w:r>
        <w:rPr>
          <w:rFonts w:cs="Times New Roman"/>
          <w:color w:val="000000" w:themeColor="text1"/>
          <w:sz w:val="24"/>
          <w:szCs w:val="24"/>
        </w:rPr>
        <w:t>5 tis. </w:t>
      </w:r>
      <w:r w:rsidRPr="00546DA7">
        <w:rPr>
          <w:rFonts w:cs="Times New Roman"/>
          <w:color w:val="000000" w:themeColor="text1"/>
          <w:sz w:val="24"/>
          <w:szCs w:val="24"/>
        </w:rPr>
        <w:t>eur</w:t>
      </w:r>
      <w:r>
        <w:rPr>
          <w:rFonts w:cs="Times New Roman"/>
          <w:color w:val="000000" w:themeColor="text1"/>
          <w:sz w:val="24"/>
          <w:szCs w:val="24"/>
        </w:rPr>
        <w:t xml:space="preserve"> sa</w:t>
      </w:r>
      <w:r w:rsidRPr="00546DA7">
        <w:rPr>
          <w:rFonts w:cs="Times New Roman"/>
          <w:color w:val="000000" w:themeColor="text1"/>
          <w:sz w:val="24"/>
          <w:szCs w:val="24"/>
        </w:rPr>
        <w:t xml:space="preserve"> použi</w:t>
      </w:r>
      <w:r>
        <w:rPr>
          <w:rFonts w:cs="Times New Roman"/>
          <w:color w:val="000000" w:themeColor="text1"/>
          <w:sz w:val="24"/>
          <w:szCs w:val="24"/>
        </w:rPr>
        <w:t>li</w:t>
      </w:r>
      <w:r w:rsidRPr="00546DA7">
        <w:rPr>
          <w:rFonts w:cs="Times New Roman"/>
          <w:color w:val="000000" w:themeColor="text1"/>
          <w:sz w:val="24"/>
          <w:szCs w:val="24"/>
        </w:rPr>
        <w:t xml:space="preserve"> na úhradu výdavkov súvisiacich s prípravou, vykonaním a zisťovaním výsledkov</w:t>
      </w:r>
      <w:r>
        <w:rPr>
          <w:rFonts w:cs="Times New Roman"/>
          <w:color w:val="000000" w:themeColor="text1"/>
          <w:sz w:val="24"/>
          <w:szCs w:val="24"/>
        </w:rPr>
        <w:t xml:space="preserve"> predčasných</w:t>
      </w:r>
      <w:r w:rsidRPr="00546DA7">
        <w:rPr>
          <w:rFonts w:cs="Times New Roman"/>
          <w:color w:val="000000" w:themeColor="text1"/>
          <w:sz w:val="24"/>
          <w:szCs w:val="24"/>
        </w:rPr>
        <w:t xml:space="preserve"> volieb, ktoré sa konali</w:t>
      </w:r>
      <w:r>
        <w:rPr>
          <w:rFonts w:cs="Times New Roman"/>
          <w:color w:val="000000" w:themeColor="text1"/>
          <w:sz w:val="24"/>
          <w:szCs w:val="24"/>
        </w:rPr>
        <w:t xml:space="preserve"> dňa 30. </w:t>
      </w:r>
      <w:r w:rsidRPr="00546DA7">
        <w:rPr>
          <w:rFonts w:cs="Times New Roman"/>
          <w:color w:val="000000" w:themeColor="text1"/>
          <w:sz w:val="24"/>
          <w:szCs w:val="24"/>
        </w:rPr>
        <w:t>septembra 20</w:t>
      </w:r>
      <w:r>
        <w:rPr>
          <w:rFonts w:cs="Times New Roman"/>
          <w:color w:val="000000" w:themeColor="text1"/>
          <w:sz w:val="24"/>
          <w:szCs w:val="24"/>
        </w:rPr>
        <w:t xml:space="preserve">23. Tieto výdavky neboli rozpočtované v schválenom rozpočte nakoľko </w:t>
      </w:r>
      <w:r w:rsidRPr="00546DA7">
        <w:rPr>
          <w:rFonts w:cs="Times New Roman"/>
          <w:color w:val="000000" w:themeColor="text1"/>
          <w:sz w:val="24"/>
          <w:szCs w:val="24"/>
        </w:rPr>
        <w:t>v čase prípravy návrhu rozpočtu</w:t>
      </w:r>
      <w:r>
        <w:rPr>
          <w:rFonts w:cs="Times New Roman"/>
          <w:color w:val="000000" w:themeColor="text1"/>
          <w:sz w:val="24"/>
          <w:szCs w:val="24"/>
        </w:rPr>
        <w:t xml:space="preserve"> na rok 2023</w:t>
      </w:r>
      <w:r w:rsidRPr="00546DA7">
        <w:rPr>
          <w:rFonts w:cs="Times New Roman"/>
          <w:color w:val="000000" w:themeColor="text1"/>
          <w:sz w:val="24"/>
          <w:szCs w:val="24"/>
        </w:rPr>
        <w:t xml:space="preserve"> </w:t>
      </w:r>
      <w:r>
        <w:rPr>
          <w:rFonts w:cs="Times New Roman"/>
          <w:color w:val="000000" w:themeColor="text1"/>
          <w:sz w:val="24"/>
          <w:szCs w:val="24"/>
        </w:rPr>
        <w:t>ministerstvo</w:t>
      </w:r>
      <w:r w:rsidRPr="00546DA7">
        <w:rPr>
          <w:rFonts w:cs="Times New Roman"/>
          <w:color w:val="000000" w:themeColor="text1"/>
          <w:sz w:val="24"/>
          <w:szCs w:val="24"/>
        </w:rPr>
        <w:t xml:space="preserve"> nedisponovalo informáciami o konaní predčasných parlamentných volieb</w:t>
      </w:r>
      <w:r>
        <w:rPr>
          <w:rFonts w:cs="Times New Roman"/>
          <w:color w:val="000000" w:themeColor="text1"/>
          <w:sz w:val="24"/>
          <w:szCs w:val="24"/>
        </w:rPr>
        <w:t xml:space="preserve">. </w:t>
      </w:r>
      <w:r>
        <w:rPr>
          <w:rFonts w:cs="Times New Roman"/>
          <w:bCs/>
          <w:color w:val="000000" w:themeColor="text1"/>
          <w:sz w:val="24"/>
          <w:szCs w:val="24"/>
        </w:rPr>
        <w:t>N</w:t>
      </w:r>
      <w:r w:rsidRPr="00CE482C">
        <w:rPr>
          <w:rFonts w:cs="Times New Roman"/>
          <w:bCs/>
          <w:color w:val="000000" w:themeColor="text1"/>
          <w:sz w:val="24"/>
          <w:szCs w:val="24"/>
        </w:rPr>
        <w:t xml:space="preserve">a úhradu nákladov preneseného výkonu </w:t>
      </w:r>
      <w:r>
        <w:rPr>
          <w:rFonts w:cs="Times New Roman"/>
          <w:bCs/>
          <w:color w:val="000000" w:themeColor="text1"/>
          <w:sz w:val="24"/>
          <w:szCs w:val="24"/>
        </w:rPr>
        <w:t xml:space="preserve">štátnej správy </w:t>
      </w:r>
      <w:r w:rsidRPr="00CE482C">
        <w:rPr>
          <w:rFonts w:cs="Times New Roman"/>
          <w:sz w:val="24"/>
          <w:szCs w:val="24"/>
        </w:rPr>
        <w:t>na hlásenie</w:t>
      </w:r>
      <w:r w:rsidRPr="00CE482C">
        <w:rPr>
          <w:rFonts w:cs="Times New Roman"/>
          <w:bCs/>
          <w:color w:val="000000" w:themeColor="text1"/>
          <w:sz w:val="24"/>
          <w:szCs w:val="24"/>
        </w:rPr>
        <w:t xml:space="preserve"> a evidenciu pobytu občanov a register obyvateľov Slove</w:t>
      </w:r>
      <w:r>
        <w:rPr>
          <w:rFonts w:cs="Times New Roman"/>
          <w:bCs/>
          <w:color w:val="000000" w:themeColor="text1"/>
          <w:sz w:val="24"/>
          <w:szCs w:val="24"/>
        </w:rPr>
        <w:t>nskej republiky podľa zákona č. </w:t>
      </w:r>
      <w:r w:rsidRPr="00CE482C">
        <w:rPr>
          <w:rFonts w:cs="Times New Roman"/>
          <w:bCs/>
          <w:color w:val="000000" w:themeColor="text1"/>
          <w:sz w:val="24"/>
          <w:szCs w:val="24"/>
        </w:rPr>
        <w:t>253/1998 Z. z. o hlásení a evidencii pobytu občanov a registra obyvateľov Slovenskej republiky v znení neskorších predpisov</w:t>
      </w:r>
      <w:r>
        <w:rPr>
          <w:rFonts w:cs="Times New Roman"/>
          <w:bCs/>
          <w:color w:val="000000" w:themeColor="text1"/>
          <w:sz w:val="24"/>
          <w:szCs w:val="24"/>
        </w:rPr>
        <w:t xml:space="preserve"> sa použila suma 1 793 tis. eur.</w:t>
      </w:r>
      <w:r>
        <w:rPr>
          <w:rFonts w:cs="Times New Roman"/>
          <w:color w:val="000000" w:themeColor="text1"/>
          <w:sz w:val="24"/>
          <w:szCs w:val="24"/>
        </w:rPr>
        <w:t xml:space="preserve"> Finančné prostriedky </w:t>
      </w:r>
      <w:r w:rsidRPr="00CE482C">
        <w:rPr>
          <w:rFonts w:cs="Times New Roman"/>
          <w:sz w:val="24"/>
          <w:szCs w:val="24"/>
        </w:rPr>
        <w:t>vo výške</w:t>
      </w:r>
      <w:r>
        <w:rPr>
          <w:rFonts w:cs="Times New Roman"/>
          <w:color w:val="000000" w:themeColor="text1"/>
          <w:sz w:val="24"/>
          <w:szCs w:val="24"/>
        </w:rPr>
        <w:t xml:space="preserve"> 1 687 tis. </w:t>
      </w:r>
      <w:r w:rsidRPr="00CE482C">
        <w:rPr>
          <w:rFonts w:cs="Times New Roman"/>
          <w:color w:val="000000" w:themeColor="text1"/>
          <w:sz w:val="24"/>
          <w:szCs w:val="24"/>
        </w:rPr>
        <w:t xml:space="preserve">eur boli použité </w:t>
      </w:r>
      <w:r w:rsidRPr="00CE482C">
        <w:rPr>
          <w:rFonts w:cs="Times New Roman"/>
          <w:bCs/>
          <w:color w:val="000000" w:themeColor="text1"/>
          <w:sz w:val="24"/>
          <w:szCs w:val="24"/>
        </w:rPr>
        <w:t xml:space="preserve">na úhradu výdavkov </w:t>
      </w:r>
      <w:r w:rsidRPr="00CE482C">
        <w:rPr>
          <w:rFonts w:cs="Times New Roman"/>
          <w:color w:val="000000" w:themeColor="text1"/>
          <w:sz w:val="24"/>
          <w:szCs w:val="24"/>
        </w:rPr>
        <w:t>súvisiacich s prípravou, vykonaním a zisťovaním výsledkov ref</w:t>
      </w:r>
      <w:r>
        <w:rPr>
          <w:rFonts w:cs="Times New Roman"/>
          <w:color w:val="000000" w:themeColor="text1"/>
          <w:sz w:val="24"/>
          <w:szCs w:val="24"/>
        </w:rPr>
        <w:t>erenda, ktoré sa konalo dňa 21. </w:t>
      </w:r>
      <w:r w:rsidRPr="00CE482C">
        <w:rPr>
          <w:rFonts w:cs="Times New Roman"/>
          <w:color w:val="000000" w:themeColor="text1"/>
          <w:sz w:val="24"/>
          <w:szCs w:val="24"/>
        </w:rPr>
        <w:t>januára 2023 na základe rozhodnutia prez</w:t>
      </w:r>
      <w:r>
        <w:rPr>
          <w:rFonts w:cs="Times New Roman"/>
          <w:color w:val="000000" w:themeColor="text1"/>
          <w:sz w:val="24"/>
          <w:szCs w:val="24"/>
        </w:rPr>
        <w:t>identky Slovenskej republiky č. </w:t>
      </w:r>
      <w:r w:rsidRPr="00CE482C">
        <w:rPr>
          <w:rFonts w:cs="Times New Roman"/>
          <w:color w:val="000000" w:themeColor="text1"/>
          <w:sz w:val="24"/>
          <w:szCs w:val="24"/>
        </w:rPr>
        <w:t xml:space="preserve">362/2022 Z. z. o vyhlásení referenda. </w:t>
      </w:r>
      <w:r>
        <w:rPr>
          <w:rFonts w:cs="Times New Roman"/>
          <w:color w:val="000000" w:themeColor="text1"/>
          <w:sz w:val="24"/>
          <w:szCs w:val="24"/>
        </w:rPr>
        <w:t xml:space="preserve">Tieto výdavky taktiež neboli rozpočtované, nakoľko </w:t>
      </w:r>
      <w:r w:rsidRPr="00546DA7">
        <w:rPr>
          <w:rFonts w:cs="Times New Roman"/>
          <w:color w:val="000000" w:themeColor="text1"/>
          <w:sz w:val="24"/>
          <w:szCs w:val="24"/>
        </w:rPr>
        <w:t>v čase prípravy návrhu rozpočtu</w:t>
      </w:r>
      <w:r>
        <w:rPr>
          <w:rFonts w:cs="Times New Roman"/>
          <w:color w:val="000000" w:themeColor="text1"/>
          <w:sz w:val="24"/>
          <w:szCs w:val="24"/>
        </w:rPr>
        <w:t xml:space="preserve"> na rok 2023</w:t>
      </w:r>
      <w:r w:rsidRPr="00546DA7">
        <w:rPr>
          <w:rFonts w:cs="Times New Roman"/>
          <w:color w:val="000000" w:themeColor="text1"/>
          <w:sz w:val="24"/>
          <w:szCs w:val="24"/>
        </w:rPr>
        <w:t xml:space="preserve"> </w:t>
      </w:r>
      <w:r>
        <w:rPr>
          <w:rFonts w:cs="Times New Roman"/>
          <w:color w:val="000000" w:themeColor="text1"/>
          <w:sz w:val="24"/>
          <w:szCs w:val="24"/>
        </w:rPr>
        <w:t>ministerstvo</w:t>
      </w:r>
      <w:r w:rsidRPr="00546DA7">
        <w:rPr>
          <w:rFonts w:cs="Times New Roman"/>
          <w:color w:val="000000" w:themeColor="text1"/>
          <w:sz w:val="24"/>
          <w:szCs w:val="24"/>
        </w:rPr>
        <w:t xml:space="preserve"> nedisponovalo informáciami o konaní </w:t>
      </w:r>
      <w:r>
        <w:rPr>
          <w:rFonts w:cs="Times New Roman"/>
          <w:color w:val="000000" w:themeColor="text1"/>
          <w:sz w:val="24"/>
          <w:szCs w:val="24"/>
        </w:rPr>
        <w:t xml:space="preserve">referenda. </w:t>
      </w:r>
    </w:p>
    <w:p w14:paraId="7EC01049" w14:textId="77777777" w:rsidR="00776B01" w:rsidRPr="002C39FC" w:rsidRDefault="00776B01" w:rsidP="00562E58">
      <w:pPr>
        <w:spacing w:line="240" w:lineRule="auto"/>
        <w:rPr>
          <w:rFonts w:cs="Times New Roman"/>
          <w:color w:val="FF0000"/>
          <w:sz w:val="24"/>
          <w:szCs w:val="24"/>
        </w:rPr>
      </w:pPr>
      <w:r w:rsidRPr="002C39FC">
        <w:rPr>
          <w:color w:val="000000" w:themeColor="text1"/>
          <w:sz w:val="24"/>
          <w:szCs w:val="24"/>
        </w:rPr>
        <w:t xml:space="preserve">Kapitálové prostriedky boli poskytnuté obciam v čiastke 64 360 tis. eur. Z toho suma 62 618 tis. eur </w:t>
      </w:r>
      <w:r w:rsidRPr="002C39FC">
        <w:rPr>
          <w:rFonts w:cs="Times New Roman"/>
          <w:color w:val="000000" w:themeColor="text1"/>
          <w:sz w:val="24"/>
          <w:szCs w:val="24"/>
        </w:rPr>
        <w:t xml:space="preserve">čerpaná z prostriedkov Európskeho fondu regionálneho rozvoja v rámci </w:t>
      </w:r>
      <w:r w:rsidRPr="002C39FC">
        <w:rPr>
          <w:rFonts w:cs="Times New Roman"/>
          <w:color w:val="000000" w:themeColor="text1"/>
          <w:sz w:val="24"/>
          <w:szCs w:val="24"/>
        </w:rPr>
        <w:lastRenderedPageBreak/>
        <w:t>Operatívneho programu ľudské zdroje – Technická vybavenosť v obciach s prítomnosťou marginalizovaných rómskych komunít</w:t>
      </w:r>
      <w:r w:rsidRPr="002C39FC">
        <w:rPr>
          <w:color w:val="000000" w:themeColor="text1"/>
        </w:rPr>
        <w:t xml:space="preserve">, </w:t>
      </w:r>
      <w:r w:rsidRPr="002C39FC">
        <w:rPr>
          <w:rFonts w:cs="Times New Roman"/>
          <w:color w:val="000000" w:themeColor="text1"/>
          <w:sz w:val="24"/>
          <w:szCs w:val="24"/>
        </w:rPr>
        <w:t>prioritná os. č.</w:t>
      </w:r>
      <w:r w:rsidRPr="002C39FC">
        <w:rPr>
          <w:color w:val="000000" w:themeColor="text1"/>
        </w:rPr>
        <w:t> </w:t>
      </w:r>
      <w:r w:rsidRPr="002C39FC">
        <w:rPr>
          <w:rFonts w:cs="Times New Roman"/>
          <w:color w:val="000000" w:themeColor="text1"/>
          <w:sz w:val="24"/>
          <w:szCs w:val="24"/>
        </w:rPr>
        <w:t xml:space="preserve">6 – obce a mestá evidované v Atlase rómskych komunít. </w:t>
      </w:r>
      <w:r>
        <w:rPr>
          <w:rFonts w:cs="Times New Roman"/>
          <w:color w:val="000000" w:themeColor="text1"/>
          <w:sz w:val="24"/>
          <w:szCs w:val="24"/>
        </w:rPr>
        <w:t>Prostriedky vo výške 1 </w:t>
      </w:r>
      <w:r w:rsidRPr="002C39FC">
        <w:rPr>
          <w:rFonts w:cs="Times New Roman"/>
          <w:color w:val="000000" w:themeColor="text1"/>
          <w:sz w:val="24"/>
          <w:szCs w:val="24"/>
        </w:rPr>
        <w:t>39</w:t>
      </w:r>
      <w:r>
        <w:rPr>
          <w:rFonts w:cs="Times New Roman"/>
          <w:color w:val="000000" w:themeColor="text1"/>
          <w:sz w:val="24"/>
          <w:szCs w:val="24"/>
        </w:rPr>
        <w:t>1 tis. </w:t>
      </w:r>
      <w:r w:rsidRPr="002C39FC">
        <w:rPr>
          <w:rFonts w:cs="Times New Roman"/>
          <w:color w:val="000000" w:themeColor="text1"/>
          <w:sz w:val="24"/>
          <w:szCs w:val="24"/>
        </w:rPr>
        <w:t xml:space="preserve">eur </w:t>
      </w:r>
      <w:r>
        <w:rPr>
          <w:rFonts w:cs="Times New Roman"/>
          <w:color w:val="000000" w:themeColor="text1"/>
          <w:sz w:val="24"/>
          <w:szCs w:val="24"/>
        </w:rPr>
        <w:t>tvorili</w:t>
      </w:r>
      <w:r w:rsidRPr="002C39FC">
        <w:rPr>
          <w:rFonts w:cs="Times New Roman"/>
          <w:sz w:val="24"/>
          <w:szCs w:val="24"/>
        </w:rPr>
        <w:t xml:space="preserve"> </w:t>
      </w:r>
      <w:r>
        <w:rPr>
          <w:rFonts w:cs="Times New Roman"/>
          <w:sz w:val="24"/>
          <w:szCs w:val="24"/>
        </w:rPr>
        <w:t>d</w:t>
      </w:r>
      <w:r w:rsidRPr="002C39FC">
        <w:rPr>
          <w:rFonts w:cs="Times New Roman"/>
          <w:sz w:val="24"/>
          <w:szCs w:val="24"/>
        </w:rPr>
        <w:t>odatočný príspevok pre mestá a obce evidované v Atlase rómskych komunít</w:t>
      </w:r>
      <w:r>
        <w:rPr>
          <w:rFonts w:cs="Times New Roman"/>
          <w:sz w:val="24"/>
          <w:szCs w:val="24"/>
        </w:rPr>
        <w:t>.</w:t>
      </w:r>
    </w:p>
    <w:p w14:paraId="293DBBB4" w14:textId="529C70AA" w:rsidR="00776B01" w:rsidRPr="00FA726A" w:rsidRDefault="00776B01" w:rsidP="00562E58">
      <w:pPr>
        <w:spacing w:line="240" w:lineRule="auto"/>
        <w:rPr>
          <w:rFonts w:cs="Times New Roman"/>
          <w:color w:val="000000" w:themeColor="text1"/>
          <w:sz w:val="24"/>
          <w:szCs w:val="24"/>
        </w:rPr>
      </w:pPr>
      <w:r w:rsidRPr="00591C5C">
        <w:rPr>
          <w:rFonts w:cs="Times New Roman"/>
          <w:color w:val="000000" w:themeColor="text1"/>
          <w:sz w:val="24"/>
          <w:szCs w:val="24"/>
        </w:rPr>
        <w:t xml:space="preserve">Z kapitoly </w:t>
      </w:r>
      <w:r w:rsidRPr="00591C5C">
        <w:rPr>
          <w:rFonts w:cs="Times New Roman"/>
          <w:color w:val="000000" w:themeColor="text1"/>
          <w:sz w:val="24"/>
          <w:szCs w:val="24"/>
          <w:u w:val="single"/>
        </w:rPr>
        <w:t>Ministerstva životného prostredia SR</w:t>
      </w:r>
      <w:r w:rsidRPr="00591C5C">
        <w:rPr>
          <w:rFonts w:cs="Times New Roman"/>
          <w:color w:val="000000" w:themeColor="text1"/>
          <w:sz w:val="24"/>
          <w:szCs w:val="24"/>
        </w:rPr>
        <w:t xml:space="preserve"> smerovala obciam suma 180 786 tis. eur, </w:t>
      </w:r>
      <w:r w:rsidRPr="00F4258C">
        <w:rPr>
          <w:rFonts w:cs="Times New Roman"/>
          <w:color w:val="000000" w:themeColor="text1"/>
          <w:sz w:val="24"/>
          <w:szCs w:val="24"/>
        </w:rPr>
        <w:t xml:space="preserve">z toho kapitálové výdavky v čiastke 178 950 tis. eur. </w:t>
      </w:r>
      <w:r w:rsidRPr="001635F2">
        <w:rPr>
          <w:rFonts w:cs="Times New Roman"/>
          <w:color w:val="000000" w:themeColor="text1"/>
          <w:sz w:val="24"/>
          <w:szCs w:val="24"/>
        </w:rPr>
        <w:t xml:space="preserve">Čerpanie vo výške 178 828 tis. eur bolo realizované platobnou jednotkou v rámci Operačného programu Kvalita životného prostredia. Najväčší príjemcovia finančných prostriedkov boli </w:t>
      </w:r>
      <w:r w:rsidR="00B22B22">
        <w:rPr>
          <w:rFonts w:cs="Times New Roman"/>
          <w:color w:val="000000" w:themeColor="text1"/>
          <w:sz w:val="24"/>
          <w:szCs w:val="24"/>
        </w:rPr>
        <w:t>o</w:t>
      </w:r>
      <w:r w:rsidRPr="001635F2">
        <w:rPr>
          <w:rFonts w:cs="Times New Roman"/>
          <w:color w:val="000000" w:themeColor="text1"/>
          <w:sz w:val="24"/>
          <w:szCs w:val="24"/>
        </w:rPr>
        <w:t xml:space="preserve">bec Drahovce (7 900 tis. eur), </w:t>
      </w:r>
      <w:r w:rsidR="00B22B22">
        <w:rPr>
          <w:rFonts w:cs="Times New Roman"/>
          <w:color w:val="000000" w:themeColor="text1"/>
          <w:sz w:val="24"/>
          <w:szCs w:val="24"/>
        </w:rPr>
        <w:t>o</w:t>
      </w:r>
      <w:r w:rsidRPr="001635F2">
        <w:rPr>
          <w:rFonts w:cs="Times New Roman"/>
          <w:color w:val="000000" w:themeColor="text1"/>
          <w:sz w:val="24"/>
          <w:szCs w:val="24"/>
        </w:rPr>
        <w:t xml:space="preserve">bec Bánov (6 709 tis. eur) a </w:t>
      </w:r>
      <w:r w:rsidR="00B22B22">
        <w:rPr>
          <w:rFonts w:cs="Times New Roman"/>
          <w:color w:val="000000" w:themeColor="text1"/>
          <w:sz w:val="24"/>
          <w:szCs w:val="24"/>
        </w:rPr>
        <w:t>m</w:t>
      </w:r>
      <w:r w:rsidRPr="001635F2">
        <w:rPr>
          <w:rFonts w:cs="Times New Roman"/>
          <w:color w:val="000000" w:themeColor="text1"/>
          <w:sz w:val="24"/>
          <w:szCs w:val="24"/>
        </w:rPr>
        <w:t xml:space="preserve">esto Želiezovce (5 203 tis. eur). </w:t>
      </w:r>
      <w:r w:rsidRPr="003E038B">
        <w:rPr>
          <w:rFonts w:cs="Times New Roman"/>
          <w:color w:val="000000" w:themeColor="text1"/>
          <w:sz w:val="24"/>
          <w:szCs w:val="24"/>
        </w:rPr>
        <w:t xml:space="preserve">Prostriedky boli použité na účely rozšírenia kanalizácie v obciach a budovanie čističiek odpadových vôd, zníženia energetickej náročnosti a zvýšenia energetickej účinnosti budov v mestách a obciach, vybudovania zberných dvorov, </w:t>
      </w:r>
      <w:proofErr w:type="spellStart"/>
      <w:r w:rsidRPr="003E038B">
        <w:rPr>
          <w:rFonts w:cs="Times New Roman"/>
          <w:color w:val="000000" w:themeColor="text1"/>
          <w:sz w:val="24"/>
          <w:szCs w:val="24"/>
        </w:rPr>
        <w:t>kompostární</w:t>
      </w:r>
      <w:proofErr w:type="spellEnd"/>
      <w:r w:rsidRPr="003E038B">
        <w:rPr>
          <w:rFonts w:cs="Times New Roman"/>
          <w:color w:val="000000" w:themeColor="text1"/>
          <w:sz w:val="24"/>
          <w:szCs w:val="24"/>
        </w:rPr>
        <w:t xml:space="preserve">, zhodnocovania biologicky rozložiteľného komunálneho odpadu, </w:t>
      </w:r>
      <w:proofErr w:type="spellStart"/>
      <w:r w:rsidRPr="003E038B">
        <w:rPr>
          <w:rFonts w:cs="Times New Roman"/>
          <w:color w:val="000000" w:themeColor="text1"/>
          <w:sz w:val="24"/>
          <w:szCs w:val="24"/>
        </w:rPr>
        <w:t>vodozádržné</w:t>
      </w:r>
      <w:proofErr w:type="spellEnd"/>
      <w:r w:rsidRPr="003E038B">
        <w:rPr>
          <w:rFonts w:cs="Times New Roman"/>
          <w:color w:val="000000" w:themeColor="text1"/>
          <w:sz w:val="24"/>
          <w:szCs w:val="24"/>
        </w:rPr>
        <w:t xml:space="preserve"> opatrenia v intraviláne miest a obcí a ďalšie. </w:t>
      </w:r>
      <w:r>
        <w:rPr>
          <w:rFonts w:cs="Times New Roman"/>
          <w:color w:val="000000" w:themeColor="text1"/>
          <w:sz w:val="24"/>
          <w:szCs w:val="24"/>
        </w:rPr>
        <w:t xml:space="preserve">Suma 122 tis. eur smerovala na pilotné rozvojové projekty mäkkého turizmu pre Národný park Poloniny a Národný park Muránska Planina. </w:t>
      </w:r>
      <w:r w:rsidRPr="00FA726A">
        <w:rPr>
          <w:rFonts w:cs="Times New Roman"/>
          <w:color w:val="000000" w:themeColor="text1"/>
          <w:sz w:val="24"/>
          <w:szCs w:val="24"/>
        </w:rPr>
        <w:t>Príjemcovia finančných prostriedkov boli obec Muránska Huta (69 tis. eur) a obec Muráň (53 tis. eur).</w:t>
      </w:r>
      <w:r>
        <w:rPr>
          <w:rFonts w:cs="Times New Roman"/>
          <w:color w:val="000000" w:themeColor="text1"/>
          <w:sz w:val="24"/>
          <w:szCs w:val="24"/>
        </w:rPr>
        <w:t xml:space="preserve"> </w:t>
      </w:r>
      <w:r w:rsidRPr="00FA726A">
        <w:rPr>
          <w:rFonts w:cs="Times New Roman"/>
          <w:color w:val="000000" w:themeColor="text1"/>
          <w:sz w:val="24"/>
          <w:szCs w:val="24"/>
        </w:rPr>
        <w:t>Prostriedky boli pou</w:t>
      </w:r>
      <w:r>
        <w:rPr>
          <w:rFonts w:cs="Times New Roman"/>
          <w:color w:val="000000" w:themeColor="text1"/>
          <w:sz w:val="24"/>
          <w:szCs w:val="24"/>
        </w:rPr>
        <w:t xml:space="preserve">žité v rámci projektu </w:t>
      </w:r>
      <w:r w:rsidRPr="00FA726A">
        <w:rPr>
          <w:rFonts w:cs="Times New Roman"/>
          <w:color w:val="000000" w:themeColor="text1"/>
          <w:sz w:val="24"/>
          <w:szCs w:val="24"/>
        </w:rPr>
        <w:t xml:space="preserve">Vytvorenie cyklotrasy ako vstupnej brány do Národného parku Muránska Planina a turistického informačného centra v historickej budove </w:t>
      </w:r>
      <w:proofErr w:type="spellStart"/>
      <w:r w:rsidRPr="00FA726A">
        <w:rPr>
          <w:rFonts w:cs="Times New Roman"/>
          <w:color w:val="000000" w:themeColor="text1"/>
          <w:sz w:val="24"/>
          <w:szCs w:val="24"/>
        </w:rPr>
        <w:t>Klinčiarne</w:t>
      </w:r>
      <w:proofErr w:type="spellEnd"/>
      <w:r w:rsidRPr="00FA726A">
        <w:rPr>
          <w:rFonts w:cs="Times New Roman"/>
          <w:color w:val="000000" w:themeColor="text1"/>
          <w:sz w:val="24"/>
          <w:szCs w:val="24"/>
        </w:rPr>
        <w:t xml:space="preserve"> v obci Muránska H</w:t>
      </w:r>
      <w:r>
        <w:rPr>
          <w:rFonts w:cs="Times New Roman"/>
          <w:color w:val="000000" w:themeColor="text1"/>
          <w:sz w:val="24"/>
          <w:szCs w:val="24"/>
        </w:rPr>
        <w:t xml:space="preserve">uta a v rámci projektu </w:t>
      </w:r>
      <w:r w:rsidRPr="00FA726A">
        <w:rPr>
          <w:rFonts w:cs="Times New Roman"/>
          <w:color w:val="000000" w:themeColor="text1"/>
          <w:sz w:val="24"/>
          <w:szCs w:val="24"/>
        </w:rPr>
        <w:t>Čiastočná revitalizácia a obnova ruiny hradu Muráň.</w:t>
      </w:r>
    </w:p>
    <w:p w14:paraId="4056B38B" w14:textId="77777777" w:rsidR="00776B01" w:rsidRPr="001D3FFA" w:rsidRDefault="00776B01" w:rsidP="00562E58">
      <w:pPr>
        <w:spacing w:line="240" w:lineRule="auto"/>
        <w:rPr>
          <w:rFonts w:cs="Times New Roman"/>
          <w:color w:val="000000" w:themeColor="text1"/>
          <w:sz w:val="24"/>
          <w:szCs w:val="24"/>
        </w:rPr>
      </w:pPr>
      <w:r w:rsidRPr="001E1918">
        <w:rPr>
          <w:rFonts w:cs="Times New Roman"/>
          <w:color w:val="000000" w:themeColor="text1"/>
          <w:sz w:val="24"/>
          <w:szCs w:val="24"/>
        </w:rPr>
        <w:t xml:space="preserve">Z kapitoly </w:t>
      </w:r>
      <w:r w:rsidRPr="001E1918">
        <w:rPr>
          <w:rFonts w:cs="Times New Roman"/>
          <w:color w:val="000000" w:themeColor="text1"/>
          <w:sz w:val="24"/>
          <w:szCs w:val="24"/>
          <w:u w:val="single"/>
        </w:rPr>
        <w:t>Všeobecná pokladničná správa</w:t>
      </w:r>
      <w:r w:rsidRPr="001E1918">
        <w:rPr>
          <w:rFonts w:cs="Times New Roman"/>
          <w:color w:val="000000" w:themeColor="text1"/>
          <w:sz w:val="24"/>
          <w:szCs w:val="24"/>
        </w:rPr>
        <w:t xml:space="preserve"> sa na transfery obciam vynaložila celková suma 92 805 tis. eur</w:t>
      </w:r>
      <w:r>
        <w:rPr>
          <w:rFonts w:cs="Times New Roman"/>
          <w:color w:val="000000" w:themeColor="text1"/>
          <w:sz w:val="24"/>
          <w:szCs w:val="24"/>
        </w:rPr>
        <w:t>, z toho formou bežných výdavkov 87 068 tis.</w:t>
      </w:r>
      <w:r>
        <w:t> </w:t>
      </w:r>
      <w:r w:rsidRPr="00D91828">
        <w:rPr>
          <w:rFonts w:cs="Times New Roman"/>
          <w:sz w:val="24"/>
          <w:szCs w:val="24"/>
        </w:rPr>
        <w:t>eur</w:t>
      </w:r>
      <w:r>
        <w:rPr>
          <w:rFonts w:cs="Times New Roman"/>
          <w:sz w:val="24"/>
          <w:szCs w:val="24"/>
        </w:rPr>
        <w:t>.</w:t>
      </w:r>
      <w:r>
        <w:t xml:space="preserve"> </w:t>
      </w:r>
      <w:r w:rsidRPr="00D91828">
        <w:rPr>
          <w:rFonts w:cs="Times New Roman"/>
          <w:color w:val="000000" w:themeColor="text1"/>
          <w:sz w:val="24"/>
          <w:szCs w:val="24"/>
        </w:rPr>
        <w:t>V schválenom rozpočte kapitoly neboli rozpočtované prostriedky na dotácie obciam a</w:t>
      </w:r>
      <w:r w:rsidRPr="00D91828">
        <w:rPr>
          <w:color w:val="000000" w:themeColor="text1"/>
        </w:rPr>
        <w:t xml:space="preserve"> </w:t>
      </w:r>
      <w:r w:rsidRPr="00D91828">
        <w:rPr>
          <w:rFonts w:cs="Times New Roman"/>
          <w:color w:val="000000" w:themeColor="text1"/>
          <w:sz w:val="24"/>
          <w:szCs w:val="24"/>
        </w:rPr>
        <w:t>v priebehu roka bol rozpočet bežných výdavkov upravený rozpočtovými opatreniami o sumu 87 068 tis. eur.</w:t>
      </w:r>
      <w:r>
        <w:rPr>
          <w:color w:val="000000" w:themeColor="text1"/>
        </w:rPr>
        <w:t xml:space="preserve"> </w:t>
      </w:r>
      <w:r w:rsidRPr="001E2CE0">
        <w:rPr>
          <w:rFonts w:cs="Times New Roman"/>
          <w:color w:val="000000" w:themeColor="text1"/>
          <w:sz w:val="24"/>
          <w:szCs w:val="24"/>
        </w:rPr>
        <w:t>Dotácie obciam boli poskytnuté v súlade so zákonom o štátnom rozpočte a podľa §3 a §3a Výnosu Ministerstva financií SR z 9.</w:t>
      </w:r>
      <w:r w:rsidRPr="001E2CE0">
        <w:rPr>
          <w:color w:val="000000" w:themeColor="text1"/>
        </w:rPr>
        <w:t> </w:t>
      </w:r>
      <w:r w:rsidRPr="001E2CE0">
        <w:rPr>
          <w:rFonts w:cs="Times New Roman"/>
          <w:color w:val="000000" w:themeColor="text1"/>
          <w:sz w:val="24"/>
          <w:szCs w:val="24"/>
        </w:rPr>
        <w:t>decembra 2005 č. 26825/2005 – 441 o poskytovaní dotácií v pôsobnosti Ministerstva financií SR v znení opatrenia z 19. januára 2022 č. MF/004274/2022-119 a opatrenia z 26. septembra 2023 č. MF/010575/2023-119 a na základe uznesení vlády Slovenskej republiky.</w:t>
      </w:r>
      <w:r>
        <w:rPr>
          <w:rFonts w:cs="Times New Roman"/>
          <w:color w:val="000000" w:themeColor="text1"/>
          <w:sz w:val="24"/>
          <w:szCs w:val="24"/>
        </w:rPr>
        <w:t xml:space="preserve"> Trenčianskemu samosprávnemu kraju bola poskytnutá dotácia v sume 45 000 tis. eur na zlepšenie sociálnej a hospodárskej oblasti v súvislosti s negatívnymi dôsledkami inflácie a taktiež aj ďalším obciam a mestám na rovnaký účel v celkovej sume 40 500 tis. eur. Na odstraňovanie následkov po zemetrasení na východnom Slovensku bolo z kapitoly uvoľnených 1 157 tis. eur pre postihnuté obce. Pre obce a mestá Trenčianskeho samosprávneho kraja sa použila suma 296 tis. eur na rozvojové aktivity a 115 tis. eur smerovalo mestu Banská Štiavnica na odstránenie následkov ničivého požiaru.</w:t>
      </w:r>
    </w:p>
    <w:p w14:paraId="5932BC74" w14:textId="2E2F4797" w:rsidR="00776B01" w:rsidRPr="00336DFC" w:rsidRDefault="00776B01" w:rsidP="00562E58">
      <w:pPr>
        <w:spacing w:line="240" w:lineRule="auto"/>
        <w:rPr>
          <w:rFonts w:cs="Times New Roman"/>
          <w:color w:val="000000" w:themeColor="text1"/>
          <w:sz w:val="24"/>
          <w:szCs w:val="24"/>
        </w:rPr>
      </w:pPr>
      <w:r w:rsidRPr="00A44FC9">
        <w:rPr>
          <w:rFonts w:cs="Times New Roman"/>
          <w:color w:val="000000" w:themeColor="text1"/>
          <w:sz w:val="24"/>
          <w:szCs w:val="24"/>
        </w:rPr>
        <w:t xml:space="preserve">V kapitole </w:t>
      </w:r>
      <w:r w:rsidRPr="00A44FC9">
        <w:rPr>
          <w:rFonts w:cs="Times New Roman"/>
          <w:color w:val="000000" w:themeColor="text1"/>
          <w:sz w:val="24"/>
          <w:szCs w:val="24"/>
          <w:u w:val="single"/>
        </w:rPr>
        <w:t>Ministerstva dopravy SR</w:t>
      </w:r>
      <w:r w:rsidRPr="00A44FC9">
        <w:rPr>
          <w:rFonts w:cs="Times New Roman"/>
          <w:color w:val="000000" w:themeColor="text1"/>
          <w:sz w:val="24"/>
          <w:szCs w:val="24"/>
        </w:rPr>
        <w:t xml:space="preserve"> bolo vo forme transferov pre obce poukázaných 40 219 tis. eur, z toho 38 074 tis. eur tvorili kapitálové prostriedky. </w:t>
      </w:r>
      <w:r w:rsidRPr="00AD6F8B">
        <w:rPr>
          <w:rFonts w:cs="Times New Roman"/>
          <w:color w:val="000000" w:themeColor="text1"/>
          <w:sz w:val="24"/>
          <w:szCs w:val="24"/>
        </w:rPr>
        <w:t xml:space="preserve">Z kapitálových výdavkov bolo 19 573 tis. eur vynaložených </w:t>
      </w:r>
      <w:r w:rsidRPr="003827E6">
        <w:rPr>
          <w:rFonts w:cs="Times New Roman"/>
          <w:color w:val="000000" w:themeColor="text1"/>
          <w:sz w:val="24"/>
          <w:szCs w:val="24"/>
        </w:rPr>
        <w:t>v rámci OPII - prioritnej osi č. 3 Verejná osobná doprava</w:t>
      </w:r>
      <w:r>
        <w:rPr>
          <w:rFonts w:cs="Times New Roman"/>
          <w:color w:val="000000" w:themeColor="text1"/>
          <w:sz w:val="24"/>
          <w:szCs w:val="24"/>
        </w:rPr>
        <w:t>, a to</w:t>
      </w:r>
      <w:r w:rsidRPr="003827E6">
        <w:rPr>
          <w:rFonts w:cs="Times New Roman"/>
          <w:color w:val="000000" w:themeColor="text1"/>
          <w:sz w:val="24"/>
          <w:szCs w:val="24"/>
        </w:rPr>
        <w:t xml:space="preserve"> na projekty</w:t>
      </w:r>
      <w:r>
        <w:rPr>
          <w:rFonts w:cs="Times New Roman"/>
          <w:color w:val="FF0000"/>
          <w:sz w:val="24"/>
          <w:szCs w:val="24"/>
        </w:rPr>
        <w:t xml:space="preserve"> </w:t>
      </w:r>
      <w:r w:rsidRPr="003827E6">
        <w:rPr>
          <w:rFonts w:cs="Times New Roman"/>
          <w:color w:val="000000" w:themeColor="text1"/>
          <w:sz w:val="24"/>
          <w:szCs w:val="24"/>
        </w:rPr>
        <w:t xml:space="preserve">Nová električková trať v Petržalke, 2. časť </w:t>
      </w:r>
      <w:proofErr w:type="spellStart"/>
      <w:r w:rsidRPr="003827E6">
        <w:rPr>
          <w:rFonts w:cs="Times New Roman"/>
          <w:color w:val="000000" w:themeColor="text1"/>
          <w:sz w:val="24"/>
          <w:szCs w:val="24"/>
        </w:rPr>
        <w:t>Bosákova</w:t>
      </w:r>
      <w:proofErr w:type="spellEnd"/>
      <w:r w:rsidRPr="003827E6">
        <w:rPr>
          <w:rFonts w:cs="Times New Roman"/>
          <w:color w:val="000000" w:themeColor="text1"/>
          <w:sz w:val="24"/>
          <w:szCs w:val="24"/>
        </w:rPr>
        <w:t xml:space="preserve"> ulica – Janíkov Dvor v sume 14 499 tis. eur</w:t>
      </w:r>
      <w:r>
        <w:rPr>
          <w:rFonts w:cs="Times New Roman"/>
          <w:color w:val="000000" w:themeColor="text1"/>
          <w:sz w:val="24"/>
          <w:szCs w:val="24"/>
        </w:rPr>
        <w:t xml:space="preserve">, </w:t>
      </w:r>
      <w:r w:rsidRPr="00CC5E63">
        <w:rPr>
          <w:rFonts w:cs="Times New Roman"/>
          <w:color w:val="000000" w:themeColor="text1"/>
          <w:sz w:val="24"/>
          <w:szCs w:val="24"/>
        </w:rPr>
        <w:t xml:space="preserve">Trolejbusové trate Autobusová stanica – Nové SND a Bulharská – </w:t>
      </w:r>
      <w:proofErr w:type="spellStart"/>
      <w:r w:rsidRPr="00CC5E63">
        <w:rPr>
          <w:rFonts w:cs="Times New Roman"/>
          <w:color w:val="000000" w:themeColor="text1"/>
          <w:sz w:val="24"/>
          <w:szCs w:val="24"/>
        </w:rPr>
        <w:t>Galvaniho</w:t>
      </w:r>
      <w:proofErr w:type="spellEnd"/>
      <w:r w:rsidRPr="00CC5E63">
        <w:rPr>
          <w:rFonts w:cs="Times New Roman"/>
          <w:color w:val="000000" w:themeColor="text1"/>
          <w:sz w:val="24"/>
          <w:szCs w:val="24"/>
        </w:rPr>
        <w:t xml:space="preserve">“ v sume 1 484 tis. eur a Modernizácia električkových tratí v Košiciach – 2. etapa, projektová dokumentácia v sume 1 100 tis. eur. </w:t>
      </w:r>
      <w:r>
        <w:rPr>
          <w:rFonts w:cs="Times New Roman"/>
          <w:color w:val="000000" w:themeColor="text1"/>
          <w:sz w:val="24"/>
          <w:szCs w:val="24"/>
        </w:rPr>
        <w:t xml:space="preserve">Ďalšie kapitálové výdavky v objeme 17 395 tis. eur predstavovali dotácie </w:t>
      </w:r>
      <w:r w:rsidRPr="00D92969">
        <w:rPr>
          <w:rFonts w:cs="Times New Roman"/>
          <w:color w:val="000000" w:themeColor="text1"/>
          <w:sz w:val="24"/>
          <w:szCs w:val="24"/>
        </w:rPr>
        <w:t>na obstaranie nájomných bytov a na obst</w:t>
      </w:r>
      <w:r w:rsidR="00DF637E">
        <w:rPr>
          <w:rFonts w:cs="Times New Roman"/>
          <w:color w:val="000000" w:themeColor="text1"/>
          <w:sz w:val="24"/>
          <w:szCs w:val="24"/>
        </w:rPr>
        <w:t>aranie technickej vybavenosti v </w:t>
      </w:r>
      <w:r w:rsidRPr="00D92969">
        <w:rPr>
          <w:rFonts w:cs="Times New Roman"/>
          <w:color w:val="000000" w:themeColor="text1"/>
          <w:sz w:val="24"/>
          <w:szCs w:val="24"/>
        </w:rPr>
        <w:t>rámci podprogramu Výstavba a obnova bytového fondu.</w:t>
      </w:r>
      <w:r>
        <w:rPr>
          <w:rFonts w:cs="Times New Roman"/>
          <w:color w:val="000000" w:themeColor="text1"/>
          <w:sz w:val="24"/>
          <w:szCs w:val="24"/>
        </w:rPr>
        <w:t xml:space="preserve"> Na základe </w:t>
      </w:r>
      <w:r w:rsidRPr="000D5ACC">
        <w:rPr>
          <w:rFonts w:cs="Times New Roman"/>
          <w:color w:val="000000" w:themeColor="text1"/>
          <w:sz w:val="24"/>
          <w:szCs w:val="24"/>
        </w:rPr>
        <w:t xml:space="preserve">výzvy na predkladanie žiadostí o poskytnutie dotácie na účel výstavby doplnkovej cyklistickej infraštruktúry - </w:t>
      </w:r>
      <w:proofErr w:type="spellStart"/>
      <w:r w:rsidRPr="000D5ACC">
        <w:rPr>
          <w:rFonts w:cs="Times New Roman"/>
          <w:color w:val="000000" w:themeColor="text1"/>
          <w:sz w:val="24"/>
          <w:szCs w:val="24"/>
        </w:rPr>
        <w:t>cykloprístreškov</w:t>
      </w:r>
      <w:proofErr w:type="spellEnd"/>
      <w:r w:rsidRPr="000D5ACC">
        <w:rPr>
          <w:rFonts w:cs="Times New Roman"/>
          <w:color w:val="000000" w:themeColor="text1"/>
          <w:sz w:val="24"/>
          <w:szCs w:val="24"/>
        </w:rPr>
        <w:t xml:space="preserve"> a </w:t>
      </w:r>
      <w:proofErr w:type="spellStart"/>
      <w:r w:rsidRPr="000D5ACC">
        <w:rPr>
          <w:rFonts w:cs="Times New Roman"/>
          <w:color w:val="000000" w:themeColor="text1"/>
          <w:sz w:val="24"/>
          <w:szCs w:val="24"/>
        </w:rPr>
        <w:t>cyklostojanov</w:t>
      </w:r>
      <w:proofErr w:type="spellEnd"/>
      <w:r w:rsidRPr="000D5ACC">
        <w:rPr>
          <w:rFonts w:cs="Times New Roman"/>
          <w:color w:val="000000" w:themeColor="text1"/>
          <w:sz w:val="24"/>
          <w:szCs w:val="24"/>
        </w:rPr>
        <w:t xml:space="preserve"> v areáloch základných a stredných škôl v rámci podprogramu Rozvoj cyklistickej d</w:t>
      </w:r>
      <w:r>
        <w:rPr>
          <w:rFonts w:cs="Times New Roman"/>
          <w:color w:val="000000" w:themeColor="text1"/>
          <w:sz w:val="24"/>
          <w:szCs w:val="24"/>
        </w:rPr>
        <w:t xml:space="preserve">opravy a cykloturistiky </w:t>
      </w:r>
      <w:r w:rsidRPr="000D5ACC">
        <w:rPr>
          <w:rFonts w:cs="Times New Roman"/>
          <w:color w:val="000000" w:themeColor="text1"/>
          <w:sz w:val="24"/>
          <w:szCs w:val="24"/>
        </w:rPr>
        <w:t>bola vynaložená suma 699 tis.</w:t>
      </w:r>
      <w:r w:rsidRPr="000D5ACC">
        <w:rPr>
          <w:color w:val="000000" w:themeColor="text1"/>
        </w:rPr>
        <w:t> </w:t>
      </w:r>
      <w:r w:rsidRPr="000D5ACC">
        <w:rPr>
          <w:rFonts w:cs="Times New Roman"/>
          <w:color w:val="000000" w:themeColor="text1"/>
          <w:sz w:val="24"/>
          <w:szCs w:val="24"/>
        </w:rPr>
        <w:t xml:space="preserve">eur. </w:t>
      </w:r>
      <w:r w:rsidR="00DF637E">
        <w:rPr>
          <w:rFonts w:cs="Times New Roman"/>
          <w:color w:val="000000" w:themeColor="text1"/>
          <w:sz w:val="24"/>
          <w:szCs w:val="24"/>
        </w:rPr>
        <w:t>Výdavky v </w:t>
      </w:r>
      <w:r w:rsidRPr="00336DFC">
        <w:rPr>
          <w:rFonts w:cs="Times New Roman"/>
          <w:color w:val="000000" w:themeColor="text1"/>
          <w:sz w:val="24"/>
          <w:szCs w:val="24"/>
        </w:rPr>
        <w:t>súlade so zákonom č. 261/2010 Z. z. o poskytovaní dotácií na obstaranie náhradných nájomných bytov v znení zákona č. 134/2013 Z. z. tvorili sumu 407 tis.</w:t>
      </w:r>
      <w:r w:rsidRPr="00336DFC">
        <w:rPr>
          <w:color w:val="000000" w:themeColor="text1"/>
        </w:rPr>
        <w:t> </w:t>
      </w:r>
      <w:r w:rsidRPr="00336DFC">
        <w:rPr>
          <w:rFonts w:cs="Times New Roman"/>
          <w:color w:val="000000" w:themeColor="text1"/>
          <w:sz w:val="24"/>
          <w:szCs w:val="24"/>
        </w:rPr>
        <w:t>eur.</w:t>
      </w:r>
    </w:p>
    <w:p w14:paraId="6909B98A" w14:textId="77777777" w:rsidR="00776B01" w:rsidRDefault="00776B01" w:rsidP="00562E58">
      <w:pPr>
        <w:spacing w:line="240" w:lineRule="auto"/>
        <w:rPr>
          <w:rFonts w:cs="Times New Roman"/>
          <w:b/>
          <w:i/>
        </w:rPr>
      </w:pPr>
      <w:r w:rsidRPr="001D1153">
        <w:rPr>
          <w:rFonts w:cs="Times New Roman"/>
          <w:b/>
          <w:i/>
        </w:rPr>
        <w:lastRenderedPageBreak/>
        <w:t>Prehľad záväzných limitov dotácií obciam za rok 202</w:t>
      </w:r>
      <w:r>
        <w:rPr>
          <w:rFonts w:cs="Times New Roman"/>
          <w:b/>
          <w:i/>
        </w:rPr>
        <w:t>3</w:t>
      </w:r>
      <w:r w:rsidRPr="001D1153">
        <w:rPr>
          <w:rFonts w:cs="Times New Roman"/>
          <w:b/>
          <w:i/>
        </w:rPr>
        <w:t xml:space="preserve"> je uvedený v tabuľkovej časti štátneho záverečného účtu SR, v tabuľke č. 21.</w:t>
      </w:r>
    </w:p>
    <w:p w14:paraId="0F039693" w14:textId="27F874E6" w:rsidR="00C006CB" w:rsidRDefault="00C006CB" w:rsidP="00207B7D">
      <w:pPr>
        <w:pStyle w:val="Nadpis3"/>
        <w:spacing w:line="336" w:lineRule="auto"/>
      </w:pPr>
      <w:bookmarkStart w:id="56" w:name="_Toc6415649"/>
      <w:bookmarkStart w:id="57" w:name="_Toc164846949"/>
      <w:r w:rsidRPr="00E936AB">
        <w:t>Vzťahy štátneho rozpočtu k vyšším územným celkom</w:t>
      </w:r>
      <w:bookmarkEnd w:id="56"/>
      <w:bookmarkEnd w:id="57"/>
    </w:p>
    <w:p w14:paraId="5D9910AE" w14:textId="26F76AD4" w:rsidR="00A83282" w:rsidRPr="003066E2" w:rsidRDefault="00ED398E" w:rsidP="00A83282">
      <w:pPr>
        <w:suppressAutoHyphens/>
        <w:spacing w:line="240" w:lineRule="auto"/>
        <w:rPr>
          <w:rFonts w:cs="Times New Roman"/>
          <w:color w:val="000000" w:themeColor="text1"/>
          <w:sz w:val="24"/>
          <w:szCs w:val="24"/>
        </w:rPr>
      </w:pPr>
      <w:r w:rsidRPr="00ED398E">
        <w:rPr>
          <w:rFonts w:cs="Times New Roman"/>
          <w:color w:val="000000" w:themeColor="text1"/>
          <w:sz w:val="24"/>
          <w:szCs w:val="24"/>
        </w:rPr>
        <w:t>Vzťahy štátneho rozpočtu k vyšším územným celkom tvoria poskytnuté transfery a podielové dane. Daň z príjmov fyzických osôb je podielovou daňou a celý výnos dane sa prerozdeľuje stanoveným mechanizmom medzi mestá, obce a vyššie územné celky.</w:t>
      </w:r>
      <w:r w:rsidRPr="00ED398E">
        <w:rPr>
          <w:color w:val="000000" w:themeColor="text1"/>
        </w:rPr>
        <w:t xml:space="preserve"> </w:t>
      </w:r>
      <w:r w:rsidRPr="00ED398E">
        <w:rPr>
          <w:color w:val="000000" w:themeColor="text1"/>
          <w:sz w:val="24"/>
          <w:szCs w:val="24"/>
        </w:rPr>
        <w:t>Podľa zákona č. 564/2004 Z. z. o rozpočtovom určení výnosu dane z príjmov bolo 30 % z celkového výnosu dane z príjmov fyzických osôb príjmom rozpočtov vyšších územných celkov. V roku 2023 bol podiel na výnose dane z príjmov fyzických osôb poukazovaný vyšším územným celkom zvýšený o sumu 97 739 tis. eur zo zdrojov z dane z príjmov právnických osôb. Skutočný prevod dane z príjmov fyzických osôb do rozpočtov vyšších územných celkov bol vykonaný vo výške 1 157 537 tis. eur (2022: 1 082 344 tis. eur) vrátane zúčtovania za predchádzajúci rok. Zo štátneho rozpočtu bolo do rozpočtov vyšších územných celkov poskytnutých celkovo 1 012 359 tis. eur vo forme transferov. Išlo o najvyššiu sumu za ostatné tri roky a prekročenie schváleného rozpočtu až o 66,3 %</w:t>
      </w:r>
      <w:r w:rsidR="006B78BB">
        <w:rPr>
          <w:color w:val="000000" w:themeColor="text1"/>
          <w:sz w:val="24"/>
          <w:szCs w:val="24"/>
        </w:rPr>
        <w:t xml:space="preserve">. </w:t>
      </w:r>
      <w:r w:rsidRPr="00ED398E">
        <w:rPr>
          <w:color w:val="000000" w:themeColor="text1"/>
          <w:sz w:val="24"/>
          <w:szCs w:val="24"/>
        </w:rPr>
        <w:t xml:space="preserve">Bežné transfery tvorili sumu 703 903 tis. eur a kapitálové transfery čiastku 308 456 tis. eur. </w:t>
      </w:r>
      <w:r w:rsidR="00A83282" w:rsidRPr="00A83282">
        <w:rPr>
          <w:rFonts w:cs="Times New Roman"/>
          <w:color w:val="000000" w:themeColor="text1"/>
          <w:sz w:val="24"/>
          <w:szCs w:val="24"/>
        </w:rPr>
        <w:t xml:space="preserve">V porovnaní so skutočnosťou 2022 je to v úhrne za všetky zdroje výdavkov (vrátane EÚ a mimorozpočtových zdrojov) viac až o 397 239 tis. eur, </w:t>
      </w:r>
      <w:r w:rsidR="00A83282" w:rsidRPr="003F7794">
        <w:rPr>
          <w:rFonts w:cs="Times New Roman"/>
          <w:color w:val="000000" w:themeColor="text1"/>
          <w:sz w:val="24"/>
          <w:szCs w:val="24"/>
        </w:rPr>
        <w:t>zo zdroja 111 (štátny rozpočet) o </w:t>
      </w:r>
      <w:r w:rsidR="003F7794" w:rsidRPr="003F7794">
        <w:rPr>
          <w:rFonts w:cs="Times New Roman"/>
          <w:color w:val="000000" w:themeColor="text1"/>
          <w:sz w:val="24"/>
          <w:szCs w:val="24"/>
        </w:rPr>
        <w:t>136</w:t>
      </w:r>
      <w:r w:rsidR="00A83282" w:rsidRPr="003F7794">
        <w:rPr>
          <w:rFonts w:cs="Times New Roman"/>
          <w:color w:val="000000" w:themeColor="text1"/>
          <w:sz w:val="24"/>
          <w:szCs w:val="24"/>
        </w:rPr>
        <w:t> </w:t>
      </w:r>
      <w:r w:rsidR="003F7794" w:rsidRPr="003F7794">
        <w:rPr>
          <w:rFonts w:cs="Times New Roman"/>
          <w:color w:val="000000" w:themeColor="text1"/>
          <w:sz w:val="24"/>
          <w:szCs w:val="24"/>
        </w:rPr>
        <w:t>025</w:t>
      </w:r>
      <w:r w:rsidR="00A83282" w:rsidRPr="003F7794">
        <w:rPr>
          <w:rFonts w:cs="Times New Roman"/>
          <w:color w:val="000000" w:themeColor="text1"/>
          <w:sz w:val="24"/>
          <w:szCs w:val="24"/>
        </w:rPr>
        <w:t xml:space="preserve"> tis. eur viac. </w:t>
      </w:r>
      <w:r w:rsidR="00A83282" w:rsidRPr="003066E2">
        <w:rPr>
          <w:rFonts w:cs="Times New Roman"/>
          <w:color w:val="000000" w:themeColor="text1"/>
          <w:sz w:val="24"/>
          <w:szCs w:val="24"/>
        </w:rPr>
        <w:t>Najvyššie medziročné rozdiely v skutočnom plnení boli v ekonomickej oblasti v kapitole Ministerstva investícií, regionálneho rozvoja a informatizácie SR (2</w:t>
      </w:r>
      <w:r w:rsidR="003066E2" w:rsidRPr="003066E2">
        <w:rPr>
          <w:rFonts w:cs="Times New Roman"/>
          <w:color w:val="000000" w:themeColor="text1"/>
          <w:sz w:val="24"/>
          <w:szCs w:val="24"/>
        </w:rPr>
        <w:t>60</w:t>
      </w:r>
      <w:r w:rsidR="00A83282" w:rsidRPr="003066E2">
        <w:rPr>
          <w:rFonts w:cs="Times New Roman"/>
          <w:color w:val="000000" w:themeColor="text1"/>
          <w:sz w:val="24"/>
          <w:szCs w:val="24"/>
        </w:rPr>
        <w:t> </w:t>
      </w:r>
      <w:r w:rsidR="003066E2" w:rsidRPr="003066E2">
        <w:rPr>
          <w:rFonts w:cs="Times New Roman"/>
          <w:color w:val="000000" w:themeColor="text1"/>
          <w:sz w:val="24"/>
          <w:szCs w:val="24"/>
        </w:rPr>
        <w:t>349 tis. eur).</w:t>
      </w:r>
    </w:p>
    <w:p w14:paraId="2A6D8F0F" w14:textId="5BB03F8C" w:rsidR="00A57E96" w:rsidRPr="00D42114" w:rsidRDefault="00A57E96" w:rsidP="00A57E96">
      <w:pPr>
        <w:suppressAutoHyphens/>
        <w:spacing w:line="240" w:lineRule="auto"/>
        <w:rPr>
          <w:color w:val="FF0000"/>
          <w:sz w:val="24"/>
          <w:szCs w:val="24"/>
        </w:rPr>
      </w:pPr>
      <w:r w:rsidRPr="00B266FF">
        <w:rPr>
          <w:color w:val="000000" w:themeColor="text1"/>
          <w:sz w:val="24"/>
          <w:szCs w:val="24"/>
        </w:rPr>
        <w:t xml:space="preserve">Transfery zo zdroja 111 boli poskytnuté z jednotlivých kapitol v celkovej sume 689 730 tis. eur, </w:t>
      </w:r>
      <w:r w:rsidRPr="002A295E">
        <w:rPr>
          <w:color w:val="000000" w:themeColor="text1"/>
          <w:sz w:val="24"/>
          <w:szCs w:val="24"/>
        </w:rPr>
        <w:t xml:space="preserve">z toho bežné v čiastke 683 137 tis. eur a kapitálové v čiastke 6 593 tis. eur. </w:t>
      </w:r>
      <w:r w:rsidRPr="000C3E9A">
        <w:rPr>
          <w:color w:val="000000" w:themeColor="text1"/>
          <w:sz w:val="24"/>
          <w:szCs w:val="24"/>
        </w:rPr>
        <w:t>Na financovanie kompetencií preneseného výkonu štátnej správy bolo poskytnutých zo všetkých zdrojov 637 506 tis. eur (2022: 546 227 tis. eur) z kapitol Ministerstva školstva, vedy, výskumu a športu SR</w:t>
      </w:r>
      <w:r w:rsidR="00ED398E">
        <w:rPr>
          <w:color w:val="000000" w:themeColor="text1"/>
          <w:sz w:val="24"/>
          <w:szCs w:val="24"/>
        </w:rPr>
        <w:t xml:space="preserve"> v oblasti vzdelávania</w:t>
      </w:r>
      <w:r w:rsidRPr="000C3E9A">
        <w:rPr>
          <w:color w:val="000000" w:themeColor="text1"/>
          <w:sz w:val="24"/>
          <w:szCs w:val="24"/>
        </w:rPr>
        <w:t xml:space="preserve"> a Ministerstva zdravotníctva SR</w:t>
      </w:r>
      <w:r>
        <w:rPr>
          <w:color w:val="000000" w:themeColor="text1"/>
          <w:sz w:val="24"/>
          <w:szCs w:val="24"/>
        </w:rPr>
        <w:t xml:space="preserve"> </w:t>
      </w:r>
      <w:r w:rsidRPr="000C3E9A">
        <w:rPr>
          <w:color w:val="000000" w:themeColor="text1"/>
          <w:sz w:val="24"/>
          <w:szCs w:val="24"/>
        </w:rPr>
        <w:t>v oblasti zdravotníctva.</w:t>
      </w:r>
    </w:p>
    <w:p w14:paraId="4816004D" w14:textId="77777777" w:rsidR="00A57E96" w:rsidRDefault="00A57E96" w:rsidP="00A57E96">
      <w:pPr>
        <w:suppressAutoHyphens/>
        <w:spacing w:line="240" w:lineRule="auto"/>
        <w:rPr>
          <w:sz w:val="24"/>
          <w:szCs w:val="24"/>
        </w:rPr>
      </w:pPr>
      <w:r>
        <w:rPr>
          <w:sz w:val="24"/>
          <w:szCs w:val="24"/>
        </w:rPr>
        <w:t>Súhrnný prehľad transferov poskytnutých VÚC podľa funkčnej klasifikácie poskytuje nasledovná tabuľka:</w:t>
      </w:r>
    </w:p>
    <w:tbl>
      <w:tblPr>
        <w:tblW w:w="8700" w:type="dxa"/>
        <w:tblCellMar>
          <w:left w:w="70" w:type="dxa"/>
          <w:right w:w="70" w:type="dxa"/>
        </w:tblCellMar>
        <w:tblLook w:val="04A0" w:firstRow="1" w:lastRow="0" w:firstColumn="1" w:lastColumn="0" w:noHBand="0" w:noVBand="1"/>
      </w:tblPr>
      <w:tblGrid>
        <w:gridCol w:w="2680"/>
        <w:gridCol w:w="820"/>
        <w:gridCol w:w="860"/>
        <w:gridCol w:w="840"/>
        <w:gridCol w:w="880"/>
        <w:gridCol w:w="940"/>
        <w:gridCol w:w="880"/>
        <w:gridCol w:w="800"/>
      </w:tblGrid>
      <w:tr w:rsidR="00A57E96" w:rsidRPr="00FA0E93" w14:paraId="0181289B" w14:textId="77777777" w:rsidTr="00B41352">
        <w:trPr>
          <w:trHeight w:val="510"/>
        </w:trPr>
        <w:tc>
          <w:tcPr>
            <w:tcW w:w="7900" w:type="dxa"/>
            <w:gridSpan w:val="7"/>
            <w:tcBorders>
              <w:top w:val="nil"/>
              <w:left w:val="nil"/>
              <w:bottom w:val="single" w:sz="8" w:space="0" w:color="auto"/>
              <w:right w:val="nil"/>
            </w:tcBorders>
            <w:shd w:val="clear" w:color="auto" w:fill="auto"/>
            <w:vAlign w:val="center"/>
            <w:hideMark/>
          </w:tcPr>
          <w:p w14:paraId="0F165940" w14:textId="24E40B85" w:rsidR="00A57E96" w:rsidRPr="00DD022A" w:rsidRDefault="00A57E96" w:rsidP="004A6E2F">
            <w:pPr>
              <w:spacing w:after="0" w:line="240" w:lineRule="auto"/>
              <w:jc w:val="left"/>
              <w:rPr>
                <w:rFonts w:eastAsia="Times New Roman" w:cs="Times New Roman"/>
                <w:b/>
                <w:bCs/>
                <w:color w:val="4F81BD"/>
                <w:sz w:val="20"/>
                <w:szCs w:val="20"/>
                <w:lang w:eastAsia="sk-SK"/>
              </w:rPr>
            </w:pPr>
            <w:r w:rsidRPr="00DD022A">
              <w:rPr>
                <w:rFonts w:eastAsia="Times New Roman" w:cs="Times New Roman"/>
                <w:b/>
                <w:bCs/>
                <w:color w:val="4F81BD"/>
                <w:sz w:val="20"/>
                <w:szCs w:val="20"/>
                <w:lang w:eastAsia="sk-SK"/>
              </w:rPr>
              <w:t>Tabuľka 4</w:t>
            </w:r>
            <w:r w:rsidR="004A6E2F">
              <w:rPr>
                <w:rFonts w:eastAsia="Times New Roman" w:cs="Times New Roman"/>
                <w:b/>
                <w:bCs/>
                <w:color w:val="4F81BD"/>
                <w:sz w:val="20"/>
                <w:szCs w:val="20"/>
                <w:lang w:eastAsia="sk-SK"/>
              </w:rPr>
              <w:t>7</w:t>
            </w:r>
            <w:r w:rsidRPr="00DD022A">
              <w:rPr>
                <w:rFonts w:eastAsia="Times New Roman" w:cs="Times New Roman"/>
                <w:b/>
                <w:bCs/>
                <w:color w:val="4F81BD"/>
                <w:sz w:val="20"/>
                <w:szCs w:val="20"/>
                <w:lang w:eastAsia="sk-SK"/>
              </w:rPr>
              <w:t xml:space="preserve"> -Transfery poskytnuté VÚC podľa oddielov funkčnej klasifikácie</w:t>
            </w:r>
          </w:p>
        </w:tc>
        <w:tc>
          <w:tcPr>
            <w:tcW w:w="800" w:type="dxa"/>
            <w:tcBorders>
              <w:top w:val="nil"/>
              <w:left w:val="nil"/>
              <w:bottom w:val="single" w:sz="8" w:space="0" w:color="auto"/>
              <w:right w:val="nil"/>
            </w:tcBorders>
            <w:shd w:val="clear" w:color="auto" w:fill="auto"/>
            <w:noWrap/>
            <w:vAlign w:val="center"/>
            <w:hideMark/>
          </w:tcPr>
          <w:p w14:paraId="676AA678" w14:textId="1DED96EA" w:rsidR="00A57E96" w:rsidRPr="00FA0E93" w:rsidRDefault="00A57E96" w:rsidP="00B768D9">
            <w:pPr>
              <w:spacing w:after="0" w:line="240" w:lineRule="auto"/>
              <w:jc w:val="left"/>
              <w:rPr>
                <w:rFonts w:ascii="Arial Narrow" w:eastAsia="Times New Roman" w:hAnsi="Arial Narrow" w:cs="Times New Roman"/>
                <w:color w:val="000000"/>
                <w:lang w:eastAsia="sk-SK"/>
              </w:rPr>
            </w:pPr>
          </w:p>
        </w:tc>
      </w:tr>
      <w:tr w:rsidR="00B41352" w:rsidRPr="00FA0E93" w14:paraId="20E07E51" w14:textId="77777777" w:rsidTr="006A0B96">
        <w:trPr>
          <w:trHeight w:val="510"/>
        </w:trPr>
        <w:tc>
          <w:tcPr>
            <w:tcW w:w="2680" w:type="dxa"/>
            <w:vMerge w:val="restart"/>
            <w:tcBorders>
              <w:top w:val="nil"/>
              <w:left w:val="nil"/>
              <w:right w:val="nil"/>
            </w:tcBorders>
            <w:shd w:val="clear" w:color="auto" w:fill="auto"/>
            <w:vAlign w:val="center"/>
            <w:hideMark/>
          </w:tcPr>
          <w:p w14:paraId="52FF8212" w14:textId="219AE025" w:rsidR="00B41352" w:rsidRPr="00FA0E93" w:rsidRDefault="00B41352" w:rsidP="00B41352">
            <w:pPr>
              <w:spacing w:after="0" w:line="240" w:lineRule="auto"/>
              <w:jc w:val="left"/>
              <w:rPr>
                <w:rFonts w:eastAsia="Times New Roman" w:cs="Times New Roman"/>
                <w:b/>
                <w:bCs/>
                <w:color w:val="000000"/>
                <w:sz w:val="18"/>
                <w:szCs w:val="18"/>
                <w:lang w:eastAsia="sk-SK"/>
              </w:rPr>
            </w:pPr>
            <w:r w:rsidRPr="00FA0E93">
              <w:rPr>
                <w:rFonts w:eastAsia="Times New Roman" w:cs="Times New Roman"/>
                <w:b/>
                <w:bCs/>
                <w:color w:val="000000"/>
                <w:sz w:val="18"/>
                <w:szCs w:val="18"/>
                <w:lang w:eastAsia="sk-SK"/>
              </w:rPr>
              <w:t>v tis. eur</w:t>
            </w:r>
            <w:r w:rsidRPr="00FA0E93">
              <w:rPr>
                <w:rFonts w:eastAsia="Times New Roman" w:cs="Times New Roman"/>
                <w:b/>
                <w:bCs/>
                <w:color w:val="FFFFFF"/>
                <w:sz w:val="18"/>
                <w:szCs w:val="18"/>
                <w:lang w:eastAsia="sk-SK"/>
              </w:rPr>
              <w:t> </w:t>
            </w:r>
          </w:p>
        </w:tc>
        <w:tc>
          <w:tcPr>
            <w:tcW w:w="820" w:type="dxa"/>
            <w:tcBorders>
              <w:top w:val="nil"/>
              <w:left w:val="nil"/>
              <w:bottom w:val="nil"/>
              <w:right w:val="nil"/>
            </w:tcBorders>
            <w:shd w:val="clear" w:color="auto" w:fill="auto"/>
            <w:vAlign w:val="center"/>
            <w:hideMark/>
          </w:tcPr>
          <w:p w14:paraId="2F2DDC7C" w14:textId="77777777" w:rsidR="00B41352" w:rsidRPr="00FA0E93" w:rsidRDefault="00B41352" w:rsidP="00B768D9">
            <w:pPr>
              <w:spacing w:after="0" w:line="240" w:lineRule="auto"/>
              <w:jc w:val="center"/>
              <w:rPr>
                <w:rFonts w:eastAsia="Times New Roman" w:cs="Times New Roman"/>
                <w:b/>
                <w:bCs/>
                <w:color w:val="000000"/>
                <w:sz w:val="18"/>
                <w:szCs w:val="18"/>
                <w:lang w:eastAsia="sk-SK"/>
              </w:rPr>
            </w:pPr>
            <w:r w:rsidRPr="00FA0E93">
              <w:rPr>
                <w:rFonts w:eastAsia="Times New Roman" w:cs="Times New Roman"/>
                <w:b/>
                <w:bCs/>
                <w:color w:val="000000"/>
                <w:sz w:val="18"/>
                <w:szCs w:val="18"/>
                <w:lang w:eastAsia="sk-SK"/>
              </w:rPr>
              <w:t>2021 S</w:t>
            </w:r>
          </w:p>
        </w:tc>
        <w:tc>
          <w:tcPr>
            <w:tcW w:w="860" w:type="dxa"/>
            <w:tcBorders>
              <w:top w:val="nil"/>
              <w:left w:val="nil"/>
              <w:bottom w:val="nil"/>
              <w:right w:val="nil"/>
            </w:tcBorders>
            <w:shd w:val="clear" w:color="auto" w:fill="auto"/>
            <w:vAlign w:val="center"/>
            <w:hideMark/>
          </w:tcPr>
          <w:p w14:paraId="0D704E3A" w14:textId="77777777" w:rsidR="00B41352" w:rsidRPr="00FA0E93" w:rsidRDefault="00B41352" w:rsidP="00B768D9">
            <w:pPr>
              <w:spacing w:after="0" w:line="240" w:lineRule="auto"/>
              <w:jc w:val="center"/>
              <w:rPr>
                <w:rFonts w:eastAsia="Times New Roman" w:cs="Times New Roman"/>
                <w:b/>
                <w:bCs/>
                <w:color w:val="000000"/>
                <w:sz w:val="18"/>
                <w:szCs w:val="18"/>
                <w:lang w:eastAsia="sk-SK"/>
              </w:rPr>
            </w:pPr>
            <w:r w:rsidRPr="00FA0E93">
              <w:rPr>
                <w:rFonts w:eastAsia="Times New Roman" w:cs="Times New Roman"/>
                <w:b/>
                <w:bCs/>
                <w:color w:val="000000"/>
                <w:sz w:val="18"/>
                <w:szCs w:val="18"/>
                <w:lang w:eastAsia="sk-SK"/>
              </w:rPr>
              <w:t>2022 S</w:t>
            </w:r>
          </w:p>
        </w:tc>
        <w:tc>
          <w:tcPr>
            <w:tcW w:w="840" w:type="dxa"/>
            <w:tcBorders>
              <w:top w:val="nil"/>
              <w:left w:val="nil"/>
              <w:bottom w:val="nil"/>
              <w:right w:val="nil"/>
            </w:tcBorders>
            <w:shd w:val="clear" w:color="auto" w:fill="auto"/>
            <w:vAlign w:val="center"/>
            <w:hideMark/>
          </w:tcPr>
          <w:p w14:paraId="2875BDFF" w14:textId="77777777" w:rsidR="00B41352" w:rsidRPr="00FA0E93" w:rsidRDefault="00B41352" w:rsidP="00B768D9">
            <w:pPr>
              <w:spacing w:after="0" w:line="240" w:lineRule="auto"/>
              <w:jc w:val="center"/>
              <w:rPr>
                <w:rFonts w:eastAsia="Times New Roman" w:cs="Times New Roman"/>
                <w:b/>
                <w:bCs/>
                <w:color w:val="000000"/>
                <w:sz w:val="18"/>
                <w:szCs w:val="18"/>
                <w:lang w:eastAsia="sk-SK"/>
              </w:rPr>
            </w:pPr>
            <w:r w:rsidRPr="00FA0E93">
              <w:rPr>
                <w:rFonts w:eastAsia="Times New Roman" w:cs="Times New Roman"/>
                <w:b/>
                <w:bCs/>
                <w:color w:val="000000"/>
                <w:sz w:val="18"/>
                <w:szCs w:val="18"/>
                <w:lang w:eastAsia="sk-SK"/>
              </w:rPr>
              <w:t>2023 R</w:t>
            </w:r>
          </w:p>
        </w:tc>
        <w:tc>
          <w:tcPr>
            <w:tcW w:w="880" w:type="dxa"/>
            <w:tcBorders>
              <w:top w:val="nil"/>
              <w:left w:val="nil"/>
              <w:bottom w:val="nil"/>
              <w:right w:val="nil"/>
            </w:tcBorders>
            <w:shd w:val="clear" w:color="auto" w:fill="auto"/>
            <w:vAlign w:val="center"/>
            <w:hideMark/>
          </w:tcPr>
          <w:p w14:paraId="48069895" w14:textId="77777777" w:rsidR="00B41352" w:rsidRPr="00FA0E93" w:rsidRDefault="00B41352" w:rsidP="00B768D9">
            <w:pPr>
              <w:spacing w:after="0" w:line="240" w:lineRule="auto"/>
              <w:jc w:val="center"/>
              <w:rPr>
                <w:rFonts w:eastAsia="Times New Roman" w:cs="Times New Roman"/>
                <w:b/>
                <w:bCs/>
                <w:color w:val="000000"/>
                <w:sz w:val="18"/>
                <w:szCs w:val="18"/>
                <w:lang w:eastAsia="sk-SK"/>
              </w:rPr>
            </w:pPr>
            <w:r w:rsidRPr="00FA0E93">
              <w:rPr>
                <w:rFonts w:eastAsia="Times New Roman" w:cs="Times New Roman"/>
                <w:b/>
                <w:bCs/>
                <w:color w:val="000000"/>
                <w:sz w:val="18"/>
                <w:szCs w:val="18"/>
                <w:lang w:eastAsia="sk-SK"/>
              </w:rPr>
              <w:t>2023 S</w:t>
            </w:r>
          </w:p>
        </w:tc>
        <w:tc>
          <w:tcPr>
            <w:tcW w:w="940" w:type="dxa"/>
            <w:tcBorders>
              <w:top w:val="nil"/>
              <w:left w:val="nil"/>
              <w:bottom w:val="nil"/>
              <w:right w:val="nil"/>
            </w:tcBorders>
            <w:shd w:val="clear" w:color="auto" w:fill="auto"/>
            <w:vAlign w:val="center"/>
            <w:hideMark/>
          </w:tcPr>
          <w:p w14:paraId="401867C4" w14:textId="77777777" w:rsidR="00B41352" w:rsidRPr="00FA0E93" w:rsidRDefault="00B41352" w:rsidP="00B768D9">
            <w:pPr>
              <w:spacing w:after="0" w:line="240" w:lineRule="auto"/>
              <w:jc w:val="center"/>
              <w:rPr>
                <w:rFonts w:eastAsia="Times New Roman" w:cs="Times New Roman"/>
                <w:b/>
                <w:bCs/>
                <w:color w:val="000000"/>
                <w:sz w:val="18"/>
                <w:szCs w:val="18"/>
                <w:lang w:eastAsia="sk-SK"/>
              </w:rPr>
            </w:pPr>
            <w:r w:rsidRPr="00FA0E93">
              <w:rPr>
                <w:rFonts w:eastAsia="Times New Roman" w:cs="Times New Roman"/>
                <w:b/>
                <w:bCs/>
                <w:color w:val="000000"/>
                <w:sz w:val="18"/>
                <w:szCs w:val="18"/>
                <w:lang w:eastAsia="sk-SK"/>
              </w:rPr>
              <w:t>z toho: zdroj 111</w:t>
            </w:r>
            <w:r w:rsidRPr="00FA0E93">
              <w:rPr>
                <w:rFonts w:ascii="Arial Narrow" w:eastAsia="Times New Roman" w:hAnsi="Arial Narrow" w:cs="Times New Roman"/>
                <w:b/>
                <w:bCs/>
                <w:color w:val="000000"/>
                <w:sz w:val="18"/>
                <w:szCs w:val="18"/>
                <w:lang w:eastAsia="sk-SK"/>
              </w:rPr>
              <w:t>*</w:t>
            </w:r>
          </w:p>
        </w:tc>
        <w:tc>
          <w:tcPr>
            <w:tcW w:w="880" w:type="dxa"/>
            <w:tcBorders>
              <w:top w:val="nil"/>
              <w:left w:val="nil"/>
              <w:bottom w:val="nil"/>
              <w:right w:val="nil"/>
            </w:tcBorders>
            <w:shd w:val="clear" w:color="auto" w:fill="auto"/>
            <w:vAlign w:val="center"/>
            <w:hideMark/>
          </w:tcPr>
          <w:p w14:paraId="0351A9AA" w14:textId="77777777" w:rsidR="00B41352" w:rsidRPr="00FA0E93" w:rsidRDefault="00B41352" w:rsidP="00B768D9">
            <w:pPr>
              <w:spacing w:after="0" w:line="240" w:lineRule="auto"/>
              <w:jc w:val="center"/>
              <w:rPr>
                <w:rFonts w:eastAsia="Times New Roman" w:cs="Times New Roman"/>
                <w:b/>
                <w:bCs/>
                <w:color w:val="000000"/>
                <w:sz w:val="18"/>
                <w:szCs w:val="18"/>
                <w:lang w:eastAsia="sk-SK"/>
              </w:rPr>
            </w:pPr>
            <w:r w:rsidRPr="00FA0E93">
              <w:rPr>
                <w:rFonts w:eastAsia="Times New Roman" w:cs="Times New Roman"/>
                <w:b/>
                <w:bCs/>
                <w:color w:val="000000"/>
                <w:sz w:val="18"/>
                <w:szCs w:val="18"/>
                <w:lang w:eastAsia="sk-SK"/>
              </w:rPr>
              <w:t>Rozdiel</w:t>
            </w:r>
          </w:p>
        </w:tc>
        <w:tc>
          <w:tcPr>
            <w:tcW w:w="800" w:type="dxa"/>
            <w:tcBorders>
              <w:top w:val="nil"/>
              <w:left w:val="nil"/>
              <w:bottom w:val="nil"/>
              <w:right w:val="nil"/>
            </w:tcBorders>
            <w:shd w:val="clear" w:color="auto" w:fill="auto"/>
            <w:vAlign w:val="center"/>
            <w:hideMark/>
          </w:tcPr>
          <w:p w14:paraId="6EE6A1F7" w14:textId="77777777" w:rsidR="00B41352" w:rsidRPr="00FA0E93" w:rsidRDefault="00B41352" w:rsidP="00B768D9">
            <w:pPr>
              <w:spacing w:after="0" w:line="240" w:lineRule="auto"/>
              <w:jc w:val="center"/>
              <w:rPr>
                <w:rFonts w:eastAsia="Times New Roman" w:cs="Times New Roman"/>
                <w:b/>
                <w:bCs/>
                <w:color w:val="000000"/>
                <w:sz w:val="18"/>
                <w:szCs w:val="18"/>
                <w:lang w:eastAsia="sk-SK"/>
              </w:rPr>
            </w:pPr>
            <w:r w:rsidRPr="00FA0E93">
              <w:rPr>
                <w:rFonts w:eastAsia="Times New Roman" w:cs="Times New Roman"/>
                <w:b/>
                <w:bCs/>
                <w:color w:val="000000"/>
                <w:sz w:val="18"/>
                <w:szCs w:val="18"/>
                <w:lang w:eastAsia="sk-SK"/>
              </w:rPr>
              <w:t>v %</w:t>
            </w:r>
          </w:p>
        </w:tc>
      </w:tr>
      <w:tr w:rsidR="00B41352" w:rsidRPr="00FA0E93" w14:paraId="6587CD78" w14:textId="77777777" w:rsidTr="006A0B96">
        <w:trPr>
          <w:trHeight w:val="345"/>
        </w:trPr>
        <w:tc>
          <w:tcPr>
            <w:tcW w:w="2680" w:type="dxa"/>
            <w:vMerge/>
            <w:tcBorders>
              <w:left w:val="nil"/>
              <w:bottom w:val="single" w:sz="8" w:space="0" w:color="auto"/>
              <w:right w:val="nil"/>
            </w:tcBorders>
            <w:shd w:val="clear" w:color="auto" w:fill="auto"/>
            <w:vAlign w:val="center"/>
            <w:hideMark/>
          </w:tcPr>
          <w:p w14:paraId="5F5A9E19" w14:textId="38134471" w:rsidR="00B41352" w:rsidRPr="00FA0E93" w:rsidRDefault="00B41352" w:rsidP="00B768D9">
            <w:pPr>
              <w:spacing w:after="0" w:line="240" w:lineRule="auto"/>
              <w:jc w:val="left"/>
              <w:rPr>
                <w:rFonts w:eastAsia="Times New Roman" w:cs="Times New Roman"/>
                <w:b/>
                <w:bCs/>
                <w:color w:val="FFFFFF"/>
                <w:sz w:val="18"/>
                <w:szCs w:val="18"/>
                <w:lang w:eastAsia="sk-SK"/>
              </w:rPr>
            </w:pPr>
          </w:p>
        </w:tc>
        <w:tc>
          <w:tcPr>
            <w:tcW w:w="820" w:type="dxa"/>
            <w:tcBorders>
              <w:top w:val="nil"/>
              <w:left w:val="nil"/>
              <w:bottom w:val="single" w:sz="8" w:space="0" w:color="auto"/>
              <w:right w:val="nil"/>
            </w:tcBorders>
            <w:shd w:val="clear" w:color="auto" w:fill="auto"/>
            <w:vAlign w:val="center"/>
            <w:hideMark/>
          </w:tcPr>
          <w:p w14:paraId="32701986" w14:textId="77777777" w:rsidR="00B41352" w:rsidRPr="00FA0E93" w:rsidRDefault="00B41352" w:rsidP="00B768D9">
            <w:pPr>
              <w:spacing w:after="0" w:line="240" w:lineRule="auto"/>
              <w:jc w:val="center"/>
              <w:rPr>
                <w:rFonts w:eastAsia="Times New Roman" w:cs="Times New Roman"/>
                <w:b/>
                <w:bCs/>
                <w:sz w:val="18"/>
                <w:szCs w:val="18"/>
                <w:lang w:eastAsia="sk-SK"/>
              </w:rPr>
            </w:pPr>
            <w:r w:rsidRPr="00FA0E93">
              <w:rPr>
                <w:rFonts w:eastAsia="Times New Roman" w:cs="Times New Roman"/>
                <w:b/>
                <w:bCs/>
                <w:sz w:val="18"/>
                <w:szCs w:val="18"/>
                <w:lang w:eastAsia="sk-SK"/>
              </w:rPr>
              <w:t>1</w:t>
            </w:r>
          </w:p>
        </w:tc>
        <w:tc>
          <w:tcPr>
            <w:tcW w:w="860" w:type="dxa"/>
            <w:tcBorders>
              <w:top w:val="nil"/>
              <w:left w:val="nil"/>
              <w:bottom w:val="single" w:sz="8" w:space="0" w:color="auto"/>
              <w:right w:val="nil"/>
            </w:tcBorders>
            <w:shd w:val="clear" w:color="auto" w:fill="auto"/>
            <w:vAlign w:val="center"/>
            <w:hideMark/>
          </w:tcPr>
          <w:p w14:paraId="118FE780" w14:textId="77777777" w:rsidR="00B41352" w:rsidRPr="00FA0E93" w:rsidRDefault="00B41352" w:rsidP="00B768D9">
            <w:pPr>
              <w:spacing w:after="0" w:line="240" w:lineRule="auto"/>
              <w:jc w:val="center"/>
              <w:rPr>
                <w:rFonts w:eastAsia="Times New Roman" w:cs="Times New Roman"/>
                <w:b/>
                <w:bCs/>
                <w:sz w:val="18"/>
                <w:szCs w:val="18"/>
                <w:lang w:eastAsia="sk-SK"/>
              </w:rPr>
            </w:pPr>
            <w:r w:rsidRPr="00FA0E93">
              <w:rPr>
                <w:rFonts w:eastAsia="Times New Roman" w:cs="Times New Roman"/>
                <w:b/>
                <w:bCs/>
                <w:sz w:val="18"/>
                <w:szCs w:val="18"/>
                <w:lang w:eastAsia="sk-SK"/>
              </w:rPr>
              <w:t>2</w:t>
            </w:r>
          </w:p>
        </w:tc>
        <w:tc>
          <w:tcPr>
            <w:tcW w:w="840" w:type="dxa"/>
            <w:tcBorders>
              <w:top w:val="nil"/>
              <w:left w:val="nil"/>
              <w:bottom w:val="single" w:sz="8" w:space="0" w:color="auto"/>
              <w:right w:val="nil"/>
            </w:tcBorders>
            <w:shd w:val="clear" w:color="auto" w:fill="auto"/>
            <w:vAlign w:val="center"/>
            <w:hideMark/>
          </w:tcPr>
          <w:p w14:paraId="58B0C75B" w14:textId="77777777" w:rsidR="00B41352" w:rsidRPr="00FA0E93" w:rsidRDefault="00B41352" w:rsidP="00B768D9">
            <w:pPr>
              <w:spacing w:after="0" w:line="240" w:lineRule="auto"/>
              <w:jc w:val="center"/>
              <w:rPr>
                <w:rFonts w:eastAsia="Times New Roman" w:cs="Times New Roman"/>
                <w:b/>
                <w:bCs/>
                <w:sz w:val="18"/>
                <w:szCs w:val="18"/>
                <w:lang w:eastAsia="sk-SK"/>
              </w:rPr>
            </w:pPr>
            <w:r w:rsidRPr="00FA0E93">
              <w:rPr>
                <w:rFonts w:eastAsia="Times New Roman" w:cs="Times New Roman"/>
                <w:b/>
                <w:bCs/>
                <w:sz w:val="18"/>
                <w:szCs w:val="18"/>
                <w:lang w:eastAsia="sk-SK"/>
              </w:rPr>
              <w:t>3</w:t>
            </w:r>
          </w:p>
        </w:tc>
        <w:tc>
          <w:tcPr>
            <w:tcW w:w="880" w:type="dxa"/>
            <w:tcBorders>
              <w:top w:val="nil"/>
              <w:left w:val="nil"/>
              <w:bottom w:val="single" w:sz="8" w:space="0" w:color="auto"/>
              <w:right w:val="nil"/>
            </w:tcBorders>
            <w:shd w:val="clear" w:color="auto" w:fill="auto"/>
            <w:vAlign w:val="center"/>
            <w:hideMark/>
          </w:tcPr>
          <w:p w14:paraId="10DCCE32" w14:textId="77777777" w:rsidR="00B41352" w:rsidRPr="00FA0E93" w:rsidRDefault="00B41352" w:rsidP="00B768D9">
            <w:pPr>
              <w:spacing w:after="0" w:line="240" w:lineRule="auto"/>
              <w:jc w:val="center"/>
              <w:rPr>
                <w:rFonts w:eastAsia="Times New Roman" w:cs="Times New Roman"/>
                <w:b/>
                <w:bCs/>
                <w:sz w:val="18"/>
                <w:szCs w:val="18"/>
                <w:lang w:eastAsia="sk-SK"/>
              </w:rPr>
            </w:pPr>
            <w:r w:rsidRPr="00FA0E93">
              <w:rPr>
                <w:rFonts w:eastAsia="Times New Roman" w:cs="Times New Roman"/>
                <w:b/>
                <w:bCs/>
                <w:sz w:val="18"/>
                <w:szCs w:val="18"/>
                <w:lang w:eastAsia="sk-SK"/>
              </w:rPr>
              <w:t>4</w:t>
            </w:r>
          </w:p>
        </w:tc>
        <w:tc>
          <w:tcPr>
            <w:tcW w:w="940" w:type="dxa"/>
            <w:tcBorders>
              <w:top w:val="nil"/>
              <w:left w:val="nil"/>
              <w:bottom w:val="single" w:sz="8" w:space="0" w:color="auto"/>
              <w:right w:val="nil"/>
            </w:tcBorders>
            <w:shd w:val="clear" w:color="auto" w:fill="auto"/>
            <w:vAlign w:val="center"/>
            <w:hideMark/>
          </w:tcPr>
          <w:p w14:paraId="01DF095E" w14:textId="77777777" w:rsidR="00B41352" w:rsidRPr="00FA0E93" w:rsidRDefault="00B41352" w:rsidP="00B768D9">
            <w:pPr>
              <w:spacing w:after="0" w:line="240" w:lineRule="auto"/>
              <w:jc w:val="center"/>
              <w:rPr>
                <w:rFonts w:eastAsia="Times New Roman" w:cs="Times New Roman"/>
                <w:b/>
                <w:bCs/>
                <w:sz w:val="18"/>
                <w:szCs w:val="18"/>
                <w:lang w:eastAsia="sk-SK"/>
              </w:rPr>
            </w:pPr>
            <w:r w:rsidRPr="00FA0E93">
              <w:rPr>
                <w:rFonts w:eastAsia="Times New Roman" w:cs="Times New Roman"/>
                <w:b/>
                <w:bCs/>
                <w:sz w:val="18"/>
                <w:szCs w:val="18"/>
                <w:lang w:eastAsia="sk-SK"/>
              </w:rPr>
              <w:t>5</w:t>
            </w:r>
          </w:p>
        </w:tc>
        <w:tc>
          <w:tcPr>
            <w:tcW w:w="880" w:type="dxa"/>
            <w:tcBorders>
              <w:top w:val="nil"/>
              <w:left w:val="nil"/>
              <w:bottom w:val="single" w:sz="8" w:space="0" w:color="auto"/>
              <w:right w:val="nil"/>
            </w:tcBorders>
            <w:shd w:val="clear" w:color="auto" w:fill="auto"/>
            <w:vAlign w:val="center"/>
            <w:hideMark/>
          </w:tcPr>
          <w:p w14:paraId="64770D46" w14:textId="77777777" w:rsidR="00B41352" w:rsidRPr="00FA0E93" w:rsidRDefault="00B41352" w:rsidP="00B768D9">
            <w:pPr>
              <w:spacing w:after="0" w:line="240" w:lineRule="auto"/>
              <w:jc w:val="center"/>
              <w:rPr>
                <w:rFonts w:eastAsia="Times New Roman" w:cs="Times New Roman"/>
                <w:b/>
                <w:bCs/>
                <w:sz w:val="18"/>
                <w:szCs w:val="18"/>
                <w:lang w:eastAsia="sk-SK"/>
              </w:rPr>
            </w:pPr>
            <w:r w:rsidRPr="00FA0E93">
              <w:rPr>
                <w:rFonts w:eastAsia="Times New Roman" w:cs="Times New Roman"/>
                <w:b/>
                <w:bCs/>
                <w:sz w:val="18"/>
                <w:szCs w:val="18"/>
                <w:lang w:eastAsia="sk-SK"/>
              </w:rPr>
              <w:t>6=4-3</w:t>
            </w:r>
          </w:p>
        </w:tc>
        <w:tc>
          <w:tcPr>
            <w:tcW w:w="800" w:type="dxa"/>
            <w:tcBorders>
              <w:top w:val="nil"/>
              <w:left w:val="nil"/>
              <w:bottom w:val="single" w:sz="8" w:space="0" w:color="auto"/>
              <w:right w:val="nil"/>
            </w:tcBorders>
            <w:shd w:val="clear" w:color="auto" w:fill="auto"/>
            <w:vAlign w:val="center"/>
            <w:hideMark/>
          </w:tcPr>
          <w:p w14:paraId="46452421" w14:textId="77777777" w:rsidR="00B41352" w:rsidRPr="00FA0E93" w:rsidRDefault="00B41352" w:rsidP="00B768D9">
            <w:pPr>
              <w:spacing w:after="0" w:line="240" w:lineRule="auto"/>
              <w:jc w:val="center"/>
              <w:rPr>
                <w:rFonts w:eastAsia="Times New Roman" w:cs="Times New Roman"/>
                <w:b/>
                <w:bCs/>
                <w:sz w:val="18"/>
                <w:szCs w:val="18"/>
                <w:lang w:eastAsia="sk-SK"/>
              </w:rPr>
            </w:pPr>
            <w:r w:rsidRPr="00FA0E93">
              <w:rPr>
                <w:rFonts w:eastAsia="Times New Roman" w:cs="Times New Roman"/>
                <w:b/>
                <w:bCs/>
                <w:sz w:val="18"/>
                <w:szCs w:val="18"/>
                <w:lang w:eastAsia="sk-SK"/>
              </w:rPr>
              <w:t>7=4-3</w:t>
            </w:r>
          </w:p>
        </w:tc>
      </w:tr>
      <w:tr w:rsidR="00A57E96" w:rsidRPr="00FA0E93" w14:paraId="168411A0" w14:textId="77777777" w:rsidTr="00B768D9">
        <w:trPr>
          <w:trHeight w:val="330"/>
        </w:trPr>
        <w:tc>
          <w:tcPr>
            <w:tcW w:w="2680" w:type="dxa"/>
            <w:tcBorders>
              <w:top w:val="nil"/>
              <w:left w:val="nil"/>
              <w:bottom w:val="nil"/>
              <w:right w:val="nil"/>
            </w:tcBorders>
            <w:shd w:val="clear" w:color="000000" w:fill="FFFFFF"/>
            <w:vAlign w:val="center"/>
            <w:hideMark/>
          </w:tcPr>
          <w:p w14:paraId="25E25960" w14:textId="77777777" w:rsidR="00A57E96" w:rsidRPr="00FA0E93" w:rsidRDefault="00A57E96" w:rsidP="00B768D9">
            <w:pPr>
              <w:spacing w:after="0" w:line="240" w:lineRule="auto"/>
              <w:jc w:val="left"/>
              <w:rPr>
                <w:rFonts w:eastAsia="Times New Roman" w:cs="Times New Roman"/>
                <w:color w:val="000000"/>
                <w:sz w:val="18"/>
                <w:szCs w:val="18"/>
                <w:lang w:eastAsia="sk-SK"/>
              </w:rPr>
            </w:pPr>
            <w:r w:rsidRPr="00FA0E93">
              <w:rPr>
                <w:rFonts w:eastAsia="Times New Roman" w:cs="Times New Roman"/>
                <w:color w:val="000000"/>
                <w:sz w:val="18"/>
                <w:szCs w:val="18"/>
                <w:lang w:eastAsia="sk-SK"/>
              </w:rPr>
              <w:t>Vzdelávanie</w:t>
            </w:r>
          </w:p>
        </w:tc>
        <w:tc>
          <w:tcPr>
            <w:tcW w:w="820" w:type="dxa"/>
            <w:tcBorders>
              <w:top w:val="nil"/>
              <w:left w:val="nil"/>
              <w:bottom w:val="nil"/>
              <w:right w:val="nil"/>
            </w:tcBorders>
            <w:shd w:val="clear" w:color="auto" w:fill="auto"/>
            <w:noWrap/>
            <w:vAlign w:val="center"/>
            <w:hideMark/>
          </w:tcPr>
          <w:p w14:paraId="778B771D"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540 950</w:t>
            </w:r>
          </w:p>
        </w:tc>
        <w:tc>
          <w:tcPr>
            <w:tcW w:w="860" w:type="dxa"/>
            <w:tcBorders>
              <w:top w:val="nil"/>
              <w:left w:val="nil"/>
              <w:bottom w:val="nil"/>
              <w:right w:val="nil"/>
            </w:tcBorders>
            <w:shd w:val="clear" w:color="auto" w:fill="auto"/>
            <w:noWrap/>
            <w:vAlign w:val="center"/>
            <w:hideMark/>
          </w:tcPr>
          <w:p w14:paraId="3C657910"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554 771</w:t>
            </w:r>
          </w:p>
        </w:tc>
        <w:tc>
          <w:tcPr>
            <w:tcW w:w="840" w:type="dxa"/>
            <w:tcBorders>
              <w:top w:val="nil"/>
              <w:left w:val="nil"/>
              <w:bottom w:val="nil"/>
              <w:right w:val="nil"/>
            </w:tcBorders>
            <w:shd w:val="clear" w:color="000000" w:fill="FFFFFF"/>
            <w:noWrap/>
            <w:vAlign w:val="center"/>
            <w:hideMark/>
          </w:tcPr>
          <w:p w14:paraId="1BE23973"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606 067</w:t>
            </w:r>
          </w:p>
        </w:tc>
        <w:tc>
          <w:tcPr>
            <w:tcW w:w="880" w:type="dxa"/>
            <w:tcBorders>
              <w:top w:val="nil"/>
              <w:left w:val="nil"/>
              <w:bottom w:val="nil"/>
              <w:right w:val="nil"/>
            </w:tcBorders>
            <w:shd w:val="clear" w:color="auto" w:fill="auto"/>
            <w:noWrap/>
            <w:vAlign w:val="center"/>
            <w:hideMark/>
          </w:tcPr>
          <w:p w14:paraId="50C2B410"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644 837</w:t>
            </w:r>
          </w:p>
        </w:tc>
        <w:tc>
          <w:tcPr>
            <w:tcW w:w="940" w:type="dxa"/>
            <w:tcBorders>
              <w:top w:val="nil"/>
              <w:left w:val="nil"/>
              <w:bottom w:val="nil"/>
              <w:right w:val="nil"/>
            </w:tcBorders>
            <w:shd w:val="clear" w:color="auto" w:fill="auto"/>
            <w:noWrap/>
            <w:vAlign w:val="center"/>
            <w:hideMark/>
          </w:tcPr>
          <w:p w14:paraId="5882A7FF"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635 535</w:t>
            </w:r>
          </w:p>
        </w:tc>
        <w:tc>
          <w:tcPr>
            <w:tcW w:w="880" w:type="dxa"/>
            <w:tcBorders>
              <w:top w:val="nil"/>
              <w:left w:val="nil"/>
              <w:bottom w:val="nil"/>
              <w:right w:val="nil"/>
            </w:tcBorders>
            <w:shd w:val="clear" w:color="000000" w:fill="FFFFFF"/>
            <w:vAlign w:val="center"/>
            <w:hideMark/>
          </w:tcPr>
          <w:p w14:paraId="2773C7D7"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38 770</w:t>
            </w:r>
          </w:p>
        </w:tc>
        <w:tc>
          <w:tcPr>
            <w:tcW w:w="800" w:type="dxa"/>
            <w:tcBorders>
              <w:top w:val="nil"/>
              <w:left w:val="nil"/>
              <w:bottom w:val="nil"/>
              <w:right w:val="nil"/>
            </w:tcBorders>
            <w:shd w:val="clear" w:color="000000" w:fill="FFFFFF"/>
            <w:vAlign w:val="center"/>
            <w:hideMark/>
          </w:tcPr>
          <w:p w14:paraId="1FC653A8"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6,4</w:t>
            </w:r>
          </w:p>
        </w:tc>
      </w:tr>
      <w:tr w:rsidR="00A57E96" w:rsidRPr="00FA0E93" w14:paraId="43A76562" w14:textId="77777777" w:rsidTr="00B768D9">
        <w:trPr>
          <w:trHeight w:val="330"/>
        </w:trPr>
        <w:tc>
          <w:tcPr>
            <w:tcW w:w="2680" w:type="dxa"/>
            <w:tcBorders>
              <w:top w:val="nil"/>
              <w:left w:val="nil"/>
              <w:bottom w:val="nil"/>
              <w:right w:val="nil"/>
            </w:tcBorders>
            <w:shd w:val="clear" w:color="000000" w:fill="FFFFFF"/>
            <w:noWrap/>
            <w:vAlign w:val="center"/>
            <w:hideMark/>
          </w:tcPr>
          <w:p w14:paraId="63A4E670" w14:textId="77777777" w:rsidR="00A57E96" w:rsidRPr="00FA0E93" w:rsidRDefault="00A57E96" w:rsidP="00B768D9">
            <w:pPr>
              <w:spacing w:after="0" w:line="240" w:lineRule="auto"/>
              <w:jc w:val="left"/>
              <w:rPr>
                <w:rFonts w:eastAsia="Times New Roman" w:cs="Times New Roman"/>
                <w:color w:val="000000"/>
                <w:sz w:val="18"/>
                <w:szCs w:val="18"/>
                <w:lang w:eastAsia="sk-SK"/>
              </w:rPr>
            </w:pPr>
            <w:r w:rsidRPr="00FA0E93">
              <w:rPr>
                <w:rFonts w:eastAsia="Times New Roman" w:cs="Times New Roman"/>
                <w:color w:val="000000"/>
                <w:sz w:val="18"/>
                <w:szCs w:val="18"/>
                <w:lang w:eastAsia="sk-SK"/>
              </w:rPr>
              <w:t>Ekonomická oblasť</w:t>
            </w:r>
          </w:p>
        </w:tc>
        <w:tc>
          <w:tcPr>
            <w:tcW w:w="820" w:type="dxa"/>
            <w:tcBorders>
              <w:top w:val="nil"/>
              <w:left w:val="nil"/>
              <w:bottom w:val="nil"/>
              <w:right w:val="nil"/>
            </w:tcBorders>
            <w:shd w:val="clear" w:color="auto" w:fill="auto"/>
            <w:noWrap/>
            <w:vAlign w:val="center"/>
            <w:hideMark/>
          </w:tcPr>
          <w:p w14:paraId="4829432F"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31 330</w:t>
            </w:r>
          </w:p>
        </w:tc>
        <w:tc>
          <w:tcPr>
            <w:tcW w:w="860" w:type="dxa"/>
            <w:tcBorders>
              <w:top w:val="nil"/>
              <w:left w:val="nil"/>
              <w:bottom w:val="nil"/>
              <w:right w:val="nil"/>
            </w:tcBorders>
            <w:shd w:val="clear" w:color="auto" w:fill="auto"/>
            <w:noWrap/>
            <w:vAlign w:val="center"/>
            <w:hideMark/>
          </w:tcPr>
          <w:p w14:paraId="72033C83"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43 671</w:t>
            </w:r>
          </w:p>
        </w:tc>
        <w:tc>
          <w:tcPr>
            <w:tcW w:w="840" w:type="dxa"/>
            <w:tcBorders>
              <w:top w:val="nil"/>
              <w:left w:val="nil"/>
              <w:bottom w:val="nil"/>
              <w:right w:val="nil"/>
            </w:tcBorders>
            <w:shd w:val="clear" w:color="000000" w:fill="FFFFFF"/>
            <w:noWrap/>
            <w:vAlign w:val="center"/>
            <w:hideMark/>
          </w:tcPr>
          <w:p w14:paraId="013550A6"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0</w:t>
            </w:r>
          </w:p>
        </w:tc>
        <w:tc>
          <w:tcPr>
            <w:tcW w:w="880" w:type="dxa"/>
            <w:tcBorders>
              <w:top w:val="nil"/>
              <w:left w:val="nil"/>
              <w:bottom w:val="nil"/>
              <w:right w:val="nil"/>
            </w:tcBorders>
            <w:shd w:val="clear" w:color="auto" w:fill="auto"/>
            <w:noWrap/>
            <w:vAlign w:val="center"/>
            <w:hideMark/>
          </w:tcPr>
          <w:p w14:paraId="7563A8DF"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298 990</w:t>
            </w:r>
          </w:p>
        </w:tc>
        <w:tc>
          <w:tcPr>
            <w:tcW w:w="940" w:type="dxa"/>
            <w:tcBorders>
              <w:top w:val="nil"/>
              <w:left w:val="nil"/>
              <w:bottom w:val="nil"/>
              <w:right w:val="nil"/>
            </w:tcBorders>
            <w:shd w:val="clear" w:color="auto" w:fill="auto"/>
            <w:noWrap/>
            <w:vAlign w:val="center"/>
            <w:hideMark/>
          </w:tcPr>
          <w:p w14:paraId="0B52788A"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x</w:t>
            </w:r>
          </w:p>
        </w:tc>
        <w:tc>
          <w:tcPr>
            <w:tcW w:w="880" w:type="dxa"/>
            <w:tcBorders>
              <w:top w:val="nil"/>
              <w:left w:val="nil"/>
              <w:bottom w:val="nil"/>
              <w:right w:val="nil"/>
            </w:tcBorders>
            <w:shd w:val="clear" w:color="000000" w:fill="FFFFFF"/>
            <w:vAlign w:val="center"/>
            <w:hideMark/>
          </w:tcPr>
          <w:p w14:paraId="75E6F902"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298 990</w:t>
            </w:r>
          </w:p>
        </w:tc>
        <w:tc>
          <w:tcPr>
            <w:tcW w:w="800" w:type="dxa"/>
            <w:tcBorders>
              <w:top w:val="nil"/>
              <w:left w:val="nil"/>
              <w:bottom w:val="nil"/>
              <w:right w:val="nil"/>
            </w:tcBorders>
            <w:shd w:val="clear" w:color="000000" w:fill="FFFFFF"/>
            <w:vAlign w:val="center"/>
            <w:hideMark/>
          </w:tcPr>
          <w:p w14:paraId="38EBA861" w14:textId="3B67393E" w:rsidR="00A57E96" w:rsidRPr="00FA0E93"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A57E96" w:rsidRPr="00FA0E93" w14:paraId="560CC94F" w14:textId="77777777" w:rsidTr="00B768D9">
        <w:trPr>
          <w:trHeight w:val="330"/>
        </w:trPr>
        <w:tc>
          <w:tcPr>
            <w:tcW w:w="2680" w:type="dxa"/>
            <w:tcBorders>
              <w:top w:val="nil"/>
              <w:left w:val="nil"/>
              <w:bottom w:val="nil"/>
              <w:right w:val="nil"/>
            </w:tcBorders>
            <w:shd w:val="clear" w:color="000000" w:fill="FFFFFF"/>
            <w:noWrap/>
            <w:vAlign w:val="center"/>
            <w:hideMark/>
          </w:tcPr>
          <w:p w14:paraId="07E939C5" w14:textId="77777777" w:rsidR="00A57E96" w:rsidRPr="00FA0E93" w:rsidRDefault="00A57E96" w:rsidP="00B768D9">
            <w:pPr>
              <w:spacing w:after="0" w:line="240" w:lineRule="auto"/>
              <w:jc w:val="left"/>
              <w:rPr>
                <w:rFonts w:eastAsia="Times New Roman" w:cs="Times New Roman"/>
                <w:color w:val="000000"/>
                <w:sz w:val="18"/>
                <w:szCs w:val="18"/>
                <w:lang w:eastAsia="sk-SK"/>
              </w:rPr>
            </w:pPr>
            <w:r w:rsidRPr="00FA0E93">
              <w:rPr>
                <w:rFonts w:eastAsia="Times New Roman" w:cs="Times New Roman"/>
                <w:color w:val="000000"/>
                <w:sz w:val="18"/>
                <w:szCs w:val="18"/>
                <w:lang w:eastAsia="sk-SK"/>
              </w:rPr>
              <w:t>Bývanie a občianska vybavenosť</w:t>
            </w:r>
          </w:p>
        </w:tc>
        <w:tc>
          <w:tcPr>
            <w:tcW w:w="820" w:type="dxa"/>
            <w:tcBorders>
              <w:top w:val="nil"/>
              <w:left w:val="nil"/>
              <w:bottom w:val="nil"/>
              <w:right w:val="nil"/>
            </w:tcBorders>
            <w:shd w:val="clear" w:color="auto" w:fill="auto"/>
            <w:noWrap/>
            <w:vAlign w:val="center"/>
            <w:hideMark/>
          </w:tcPr>
          <w:p w14:paraId="1959F3E4"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x</w:t>
            </w:r>
          </w:p>
        </w:tc>
        <w:tc>
          <w:tcPr>
            <w:tcW w:w="860" w:type="dxa"/>
            <w:tcBorders>
              <w:top w:val="nil"/>
              <w:left w:val="nil"/>
              <w:bottom w:val="nil"/>
              <w:right w:val="nil"/>
            </w:tcBorders>
            <w:shd w:val="clear" w:color="auto" w:fill="auto"/>
            <w:noWrap/>
            <w:vAlign w:val="center"/>
            <w:hideMark/>
          </w:tcPr>
          <w:p w14:paraId="2AEE2395"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x</w:t>
            </w:r>
          </w:p>
        </w:tc>
        <w:tc>
          <w:tcPr>
            <w:tcW w:w="840" w:type="dxa"/>
            <w:tcBorders>
              <w:top w:val="nil"/>
              <w:left w:val="nil"/>
              <w:bottom w:val="nil"/>
              <w:right w:val="nil"/>
            </w:tcBorders>
            <w:shd w:val="clear" w:color="000000" w:fill="FFFFFF"/>
            <w:noWrap/>
            <w:vAlign w:val="center"/>
            <w:hideMark/>
          </w:tcPr>
          <w:p w14:paraId="0CD7D5FC"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0</w:t>
            </w:r>
          </w:p>
        </w:tc>
        <w:tc>
          <w:tcPr>
            <w:tcW w:w="880" w:type="dxa"/>
            <w:tcBorders>
              <w:top w:val="nil"/>
              <w:left w:val="nil"/>
              <w:bottom w:val="nil"/>
              <w:right w:val="nil"/>
            </w:tcBorders>
            <w:shd w:val="clear" w:color="auto" w:fill="auto"/>
            <w:noWrap/>
            <w:vAlign w:val="center"/>
            <w:hideMark/>
          </w:tcPr>
          <w:p w14:paraId="4F38E9A1"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28 500</w:t>
            </w:r>
          </w:p>
        </w:tc>
        <w:tc>
          <w:tcPr>
            <w:tcW w:w="940" w:type="dxa"/>
            <w:tcBorders>
              <w:top w:val="nil"/>
              <w:left w:val="nil"/>
              <w:bottom w:val="nil"/>
              <w:right w:val="nil"/>
            </w:tcBorders>
            <w:shd w:val="clear" w:color="auto" w:fill="auto"/>
            <w:noWrap/>
            <w:vAlign w:val="center"/>
            <w:hideMark/>
          </w:tcPr>
          <w:p w14:paraId="5567B175"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28 500</w:t>
            </w:r>
          </w:p>
        </w:tc>
        <w:tc>
          <w:tcPr>
            <w:tcW w:w="880" w:type="dxa"/>
            <w:tcBorders>
              <w:top w:val="nil"/>
              <w:left w:val="nil"/>
              <w:bottom w:val="nil"/>
              <w:right w:val="nil"/>
            </w:tcBorders>
            <w:shd w:val="clear" w:color="000000" w:fill="FFFFFF"/>
            <w:vAlign w:val="center"/>
            <w:hideMark/>
          </w:tcPr>
          <w:p w14:paraId="060FCBE5"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28 500</w:t>
            </w:r>
          </w:p>
        </w:tc>
        <w:tc>
          <w:tcPr>
            <w:tcW w:w="800" w:type="dxa"/>
            <w:tcBorders>
              <w:top w:val="nil"/>
              <w:left w:val="nil"/>
              <w:bottom w:val="nil"/>
              <w:right w:val="nil"/>
            </w:tcBorders>
            <w:shd w:val="clear" w:color="000000" w:fill="FFFFFF"/>
            <w:vAlign w:val="center"/>
            <w:hideMark/>
          </w:tcPr>
          <w:p w14:paraId="270DC35F" w14:textId="19908E20" w:rsidR="00A57E96" w:rsidRPr="00FA0E93"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A57E96" w:rsidRPr="00FA0E93" w14:paraId="3FBE7919" w14:textId="77777777" w:rsidTr="00B768D9">
        <w:trPr>
          <w:trHeight w:val="330"/>
        </w:trPr>
        <w:tc>
          <w:tcPr>
            <w:tcW w:w="2680" w:type="dxa"/>
            <w:tcBorders>
              <w:top w:val="nil"/>
              <w:left w:val="nil"/>
              <w:bottom w:val="nil"/>
              <w:right w:val="nil"/>
            </w:tcBorders>
            <w:shd w:val="clear" w:color="000000" w:fill="FFFFFF"/>
            <w:noWrap/>
            <w:vAlign w:val="center"/>
            <w:hideMark/>
          </w:tcPr>
          <w:p w14:paraId="4393C593" w14:textId="77777777" w:rsidR="00A57E96" w:rsidRPr="00FA0E93" w:rsidRDefault="00A57E96" w:rsidP="00B768D9">
            <w:pPr>
              <w:spacing w:after="0" w:line="240" w:lineRule="auto"/>
              <w:jc w:val="left"/>
              <w:rPr>
                <w:rFonts w:eastAsia="Times New Roman" w:cs="Times New Roman"/>
                <w:color w:val="000000"/>
                <w:sz w:val="18"/>
                <w:szCs w:val="18"/>
                <w:lang w:eastAsia="sk-SK"/>
              </w:rPr>
            </w:pPr>
            <w:r w:rsidRPr="00FA0E93">
              <w:rPr>
                <w:rFonts w:eastAsia="Times New Roman" w:cs="Times New Roman"/>
                <w:color w:val="000000"/>
                <w:sz w:val="18"/>
                <w:szCs w:val="18"/>
                <w:lang w:eastAsia="sk-SK"/>
              </w:rPr>
              <w:t>Sociálne zabezpečenie</w:t>
            </w:r>
          </w:p>
        </w:tc>
        <w:tc>
          <w:tcPr>
            <w:tcW w:w="820" w:type="dxa"/>
            <w:tcBorders>
              <w:top w:val="nil"/>
              <w:left w:val="nil"/>
              <w:bottom w:val="nil"/>
              <w:right w:val="nil"/>
            </w:tcBorders>
            <w:shd w:val="clear" w:color="auto" w:fill="auto"/>
            <w:noWrap/>
            <w:vAlign w:val="center"/>
            <w:hideMark/>
          </w:tcPr>
          <w:p w14:paraId="170F6522"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1 431</w:t>
            </w:r>
          </w:p>
        </w:tc>
        <w:tc>
          <w:tcPr>
            <w:tcW w:w="860" w:type="dxa"/>
            <w:tcBorders>
              <w:top w:val="nil"/>
              <w:left w:val="nil"/>
              <w:bottom w:val="nil"/>
              <w:right w:val="nil"/>
            </w:tcBorders>
            <w:shd w:val="clear" w:color="auto" w:fill="auto"/>
            <w:noWrap/>
            <w:vAlign w:val="center"/>
            <w:hideMark/>
          </w:tcPr>
          <w:p w14:paraId="44A77CD4"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3 513</w:t>
            </w:r>
          </w:p>
        </w:tc>
        <w:tc>
          <w:tcPr>
            <w:tcW w:w="840" w:type="dxa"/>
            <w:tcBorders>
              <w:top w:val="nil"/>
              <w:left w:val="nil"/>
              <w:bottom w:val="nil"/>
              <w:right w:val="nil"/>
            </w:tcBorders>
            <w:shd w:val="clear" w:color="000000" w:fill="FFFFFF"/>
            <w:noWrap/>
            <w:vAlign w:val="center"/>
            <w:hideMark/>
          </w:tcPr>
          <w:p w14:paraId="686CA2AF"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350</w:t>
            </w:r>
          </w:p>
        </w:tc>
        <w:tc>
          <w:tcPr>
            <w:tcW w:w="880" w:type="dxa"/>
            <w:tcBorders>
              <w:top w:val="nil"/>
              <w:left w:val="nil"/>
              <w:bottom w:val="nil"/>
              <w:right w:val="nil"/>
            </w:tcBorders>
            <w:shd w:val="clear" w:color="auto" w:fill="auto"/>
            <w:noWrap/>
            <w:vAlign w:val="center"/>
            <w:hideMark/>
          </w:tcPr>
          <w:p w14:paraId="2AAA1354"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19 541</w:t>
            </w:r>
          </w:p>
        </w:tc>
        <w:tc>
          <w:tcPr>
            <w:tcW w:w="940" w:type="dxa"/>
            <w:tcBorders>
              <w:top w:val="nil"/>
              <w:left w:val="nil"/>
              <w:bottom w:val="nil"/>
              <w:right w:val="nil"/>
            </w:tcBorders>
            <w:shd w:val="clear" w:color="auto" w:fill="auto"/>
            <w:noWrap/>
            <w:vAlign w:val="center"/>
            <w:hideMark/>
          </w:tcPr>
          <w:p w14:paraId="59B44BBD"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19 541</w:t>
            </w:r>
          </w:p>
        </w:tc>
        <w:tc>
          <w:tcPr>
            <w:tcW w:w="880" w:type="dxa"/>
            <w:tcBorders>
              <w:top w:val="nil"/>
              <w:left w:val="nil"/>
              <w:bottom w:val="nil"/>
              <w:right w:val="nil"/>
            </w:tcBorders>
            <w:shd w:val="clear" w:color="000000" w:fill="FFFFFF"/>
            <w:vAlign w:val="center"/>
            <w:hideMark/>
          </w:tcPr>
          <w:p w14:paraId="74CA83C6"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19 191</w:t>
            </w:r>
          </w:p>
        </w:tc>
        <w:tc>
          <w:tcPr>
            <w:tcW w:w="800" w:type="dxa"/>
            <w:tcBorders>
              <w:top w:val="nil"/>
              <w:left w:val="nil"/>
              <w:bottom w:val="nil"/>
              <w:right w:val="nil"/>
            </w:tcBorders>
            <w:shd w:val="clear" w:color="000000" w:fill="FFFFFF"/>
            <w:vAlign w:val="center"/>
            <w:hideMark/>
          </w:tcPr>
          <w:p w14:paraId="182E3546"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5 483,1</w:t>
            </w:r>
          </w:p>
        </w:tc>
      </w:tr>
      <w:tr w:rsidR="00A57E96" w:rsidRPr="00FA0E93" w14:paraId="4F226099" w14:textId="77777777" w:rsidTr="00B768D9">
        <w:trPr>
          <w:trHeight w:val="330"/>
        </w:trPr>
        <w:tc>
          <w:tcPr>
            <w:tcW w:w="2680" w:type="dxa"/>
            <w:tcBorders>
              <w:top w:val="nil"/>
              <w:left w:val="nil"/>
              <w:bottom w:val="nil"/>
              <w:right w:val="nil"/>
            </w:tcBorders>
            <w:shd w:val="clear" w:color="000000" w:fill="FFFFFF"/>
            <w:noWrap/>
            <w:vAlign w:val="center"/>
            <w:hideMark/>
          </w:tcPr>
          <w:p w14:paraId="0938968B" w14:textId="77777777" w:rsidR="00A57E96" w:rsidRPr="00FA0E93" w:rsidRDefault="00A57E96" w:rsidP="00B768D9">
            <w:pPr>
              <w:spacing w:after="0" w:line="240" w:lineRule="auto"/>
              <w:jc w:val="left"/>
              <w:rPr>
                <w:rFonts w:eastAsia="Times New Roman" w:cs="Times New Roman"/>
                <w:color w:val="000000"/>
                <w:sz w:val="18"/>
                <w:szCs w:val="18"/>
                <w:lang w:eastAsia="sk-SK"/>
              </w:rPr>
            </w:pPr>
            <w:r w:rsidRPr="00FA0E93">
              <w:rPr>
                <w:rFonts w:eastAsia="Times New Roman" w:cs="Times New Roman"/>
                <w:color w:val="000000"/>
                <w:sz w:val="18"/>
                <w:szCs w:val="18"/>
                <w:lang w:eastAsia="sk-SK"/>
              </w:rPr>
              <w:t>Všeobecné verejné služby</w:t>
            </w:r>
          </w:p>
        </w:tc>
        <w:tc>
          <w:tcPr>
            <w:tcW w:w="820" w:type="dxa"/>
            <w:tcBorders>
              <w:top w:val="nil"/>
              <w:left w:val="nil"/>
              <w:bottom w:val="nil"/>
              <w:right w:val="nil"/>
            </w:tcBorders>
            <w:shd w:val="clear" w:color="auto" w:fill="auto"/>
            <w:noWrap/>
            <w:vAlign w:val="center"/>
            <w:hideMark/>
          </w:tcPr>
          <w:p w14:paraId="5AF3F988"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4 211</w:t>
            </w:r>
          </w:p>
        </w:tc>
        <w:tc>
          <w:tcPr>
            <w:tcW w:w="860" w:type="dxa"/>
            <w:tcBorders>
              <w:top w:val="nil"/>
              <w:left w:val="nil"/>
              <w:bottom w:val="nil"/>
              <w:right w:val="nil"/>
            </w:tcBorders>
            <w:shd w:val="clear" w:color="auto" w:fill="auto"/>
            <w:noWrap/>
            <w:vAlign w:val="center"/>
            <w:hideMark/>
          </w:tcPr>
          <w:p w14:paraId="5CB8C898"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9 187</w:t>
            </w:r>
          </w:p>
        </w:tc>
        <w:tc>
          <w:tcPr>
            <w:tcW w:w="840" w:type="dxa"/>
            <w:tcBorders>
              <w:top w:val="nil"/>
              <w:left w:val="nil"/>
              <w:bottom w:val="nil"/>
              <w:right w:val="nil"/>
            </w:tcBorders>
            <w:shd w:val="clear" w:color="000000" w:fill="FFFFFF"/>
            <w:noWrap/>
            <w:vAlign w:val="center"/>
            <w:hideMark/>
          </w:tcPr>
          <w:p w14:paraId="37F46887"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2 304</w:t>
            </w:r>
          </w:p>
        </w:tc>
        <w:tc>
          <w:tcPr>
            <w:tcW w:w="880" w:type="dxa"/>
            <w:tcBorders>
              <w:top w:val="nil"/>
              <w:left w:val="nil"/>
              <w:bottom w:val="nil"/>
              <w:right w:val="nil"/>
            </w:tcBorders>
            <w:shd w:val="clear" w:color="auto" w:fill="auto"/>
            <w:noWrap/>
            <w:vAlign w:val="center"/>
            <w:hideMark/>
          </w:tcPr>
          <w:p w14:paraId="365ADFCE"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7 802</w:t>
            </w:r>
          </w:p>
        </w:tc>
        <w:tc>
          <w:tcPr>
            <w:tcW w:w="940" w:type="dxa"/>
            <w:tcBorders>
              <w:top w:val="nil"/>
              <w:left w:val="nil"/>
              <w:bottom w:val="nil"/>
              <w:right w:val="nil"/>
            </w:tcBorders>
            <w:shd w:val="clear" w:color="auto" w:fill="auto"/>
            <w:noWrap/>
            <w:vAlign w:val="center"/>
            <w:hideMark/>
          </w:tcPr>
          <w:p w14:paraId="5748B6BB"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186</w:t>
            </w:r>
          </w:p>
        </w:tc>
        <w:tc>
          <w:tcPr>
            <w:tcW w:w="880" w:type="dxa"/>
            <w:tcBorders>
              <w:top w:val="nil"/>
              <w:left w:val="nil"/>
              <w:bottom w:val="nil"/>
              <w:right w:val="nil"/>
            </w:tcBorders>
            <w:shd w:val="clear" w:color="000000" w:fill="FFFFFF"/>
            <w:vAlign w:val="center"/>
            <w:hideMark/>
          </w:tcPr>
          <w:p w14:paraId="1B96F60F"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5 498</w:t>
            </w:r>
          </w:p>
        </w:tc>
        <w:tc>
          <w:tcPr>
            <w:tcW w:w="800" w:type="dxa"/>
            <w:tcBorders>
              <w:top w:val="nil"/>
              <w:left w:val="nil"/>
              <w:bottom w:val="nil"/>
              <w:right w:val="nil"/>
            </w:tcBorders>
            <w:shd w:val="clear" w:color="000000" w:fill="FFFFFF"/>
            <w:vAlign w:val="center"/>
            <w:hideMark/>
          </w:tcPr>
          <w:p w14:paraId="096A53ED"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238,6</w:t>
            </w:r>
          </w:p>
        </w:tc>
      </w:tr>
      <w:tr w:rsidR="00A57E96" w:rsidRPr="00FA0E93" w14:paraId="490F0A07" w14:textId="77777777" w:rsidTr="00B768D9">
        <w:trPr>
          <w:trHeight w:val="330"/>
        </w:trPr>
        <w:tc>
          <w:tcPr>
            <w:tcW w:w="2680" w:type="dxa"/>
            <w:tcBorders>
              <w:top w:val="nil"/>
              <w:left w:val="nil"/>
              <w:bottom w:val="nil"/>
              <w:right w:val="nil"/>
            </w:tcBorders>
            <w:shd w:val="clear" w:color="000000" w:fill="FFFFFF"/>
            <w:vAlign w:val="center"/>
            <w:hideMark/>
          </w:tcPr>
          <w:p w14:paraId="74E09B94" w14:textId="77777777" w:rsidR="00A57E96" w:rsidRPr="00FA0E93" w:rsidRDefault="00A57E96" w:rsidP="00B768D9">
            <w:pPr>
              <w:spacing w:after="0" w:line="240" w:lineRule="auto"/>
              <w:jc w:val="left"/>
              <w:rPr>
                <w:rFonts w:eastAsia="Times New Roman" w:cs="Times New Roman"/>
                <w:color w:val="000000"/>
                <w:sz w:val="18"/>
                <w:szCs w:val="18"/>
                <w:lang w:eastAsia="sk-SK"/>
              </w:rPr>
            </w:pPr>
            <w:r w:rsidRPr="00FA0E93">
              <w:rPr>
                <w:rFonts w:eastAsia="Times New Roman" w:cs="Times New Roman"/>
                <w:color w:val="000000"/>
                <w:sz w:val="18"/>
                <w:szCs w:val="18"/>
                <w:lang w:eastAsia="sk-SK"/>
              </w:rPr>
              <w:t>Rekreácia, kultúra a náboženstvo</w:t>
            </w:r>
          </w:p>
        </w:tc>
        <w:tc>
          <w:tcPr>
            <w:tcW w:w="820" w:type="dxa"/>
            <w:tcBorders>
              <w:top w:val="nil"/>
              <w:left w:val="nil"/>
              <w:bottom w:val="nil"/>
              <w:right w:val="nil"/>
            </w:tcBorders>
            <w:shd w:val="clear" w:color="auto" w:fill="auto"/>
            <w:noWrap/>
            <w:vAlign w:val="center"/>
            <w:hideMark/>
          </w:tcPr>
          <w:p w14:paraId="67BD8056"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4 756</w:t>
            </w:r>
          </w:p>
        </w:tc>
        <w:tc>
          <w:tcPr>
            <w:tcW w:w="860" w:type="dxa"/>
            <w:tcBorders>
              <w:top w:val="nil"/>
              <w:left w:val="nil"/>
              <w:bottom w:val="nil"/>
              <w:right w:val="nil"/>
            </w:tcBorders>
            <w:shd w:val="clear" w:color="auto" w:fill="auto"/>
            <w:noWrap/>
            <w:vAlign w:val="center"/>
            <w:hideMark/>
          </w:tcPr>
          <w:p w14:paraId="6BF161F2"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1 053</w:t>
            </w:r>
          </w:p>
        </w:tc>
        <w:tc>
          <w:tcPr>
            <w:tcW w:w="840" w:type="dxa"/>
            <w:tcBorders>
              <w:top w:val="nil"/>
              <w:left w:val="nil"/>
              <w:bottom w:val="nil"/>
              <w:right w:val="nil"/>
            </w:tcBorders>
            <w:shd w:val="clear" w:color="000000" w:fill="FFFFFF"/>
            <w:noWrap/>
            <w:vAlign w:val="center"/>
            <w:hideMark/>
          </w:tcPr>
          <w:p w14:paraId="264760AD"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0</w:t>
            </w:r>
          </w:p>
        </w:tc>
        <w:tc>
          <w:tcPr>
            <w:tcW w:w="880" w:type="dxa"/>
            <w:tcBorders>
              <w:top w:val="nil"/>
              <w:left w:val="nil"/>
              <w:bottom w:val="nil"/>
              <w:right w:val="nil"/>
            </w:tcBorders>
            <w:shd w:val="clear" w:color="auto" w:fill="auto"/>
            <w:noWrap/>
            <w:vAlign w:val="center"/>
            <w:hideMark/>
          </w:tcPr>
          <w:p w14:paraId="1B5485B9"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7 045</w:t>
            </w:r>
          </w:p>
        </w:tc>
        <w:tc>
          <w:tcPr>
            <w:tcW w:w="940" w:type="dxa"/>
            <w:tcBorders>
              <w:top w:val="nil"/>
              <w:left w:val="nil"/>
              <w:bottom w:val="nil"/>
              <w:right w:val="nil"/>
            </w:tcBorders>
            <w:shd w:val="clear" w:color="auto" w:fill="auto"/>
            <w:noWrap/>
            <w:vAlign w:val="center"/>
            <w:hideMark/>
          </w:tcPr>
          <w:p w14:paraId="149AB884"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5 945</w:t>
            </w:r>
          </w:p>
        </w:tc>
        <w:tc>
          <w:tcPr>
            <w:tcW w:w="880" w:type="dxa"/>
            <w:tcBorders>
              <w:top w:val="nil"/>
              <w:left w:val="nil"/>
              <w:bottom w:val="nil"/>
              <w:right w:val="nil"/>
            </w:tcBorders>
            <w:shd w:val="clear" w:color="000000" w:fill="FFFFFF"/>
            <w:vAlign w:val="center"/>
            <w:hideMark/>
          </w:tcPr>
          <w:p w14:paraId="0EA55D2C"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7 045</w:t>
            </w:r>
          </w:p>
        </w:tc>
        <w:tc>
          <w:tcPr>
            <w:tcW w:w="800" w:type="dxa"/>
            <w:tcBorders>
              <w:top w:val="nil"/>
              <w:left w:val="nil"/>
              <w:bottom w:val="nil"/>
              <w:right w:val="nil"/>
            </w:tcBorders>
            <w:shd w:val="clear" w:color="000000" w:fill="FFFFFF"/>
            <w:vAlign w:val="center"/>
            <w:hideMark/>
          </w:tcPr>
          <w:p w14:paraId="78F423D1" w14:textId="4A52E450" w:rsidR="00A57E96" w:rsidRPr="00FA0E93"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A57E96" w:rsidRPr="00FA0E93" w14:paraId="6D1D2032" w14:textId="77777777" w:rsidTr="00B768D9">
        <w:trPr>
          <w:trHeight w:val="330"/>
        </w:trPr>
        <w:tc>
          <w:tcPr>
            <w:tcW w:w="2680" w:type="dxa"/>
            <w:tcBorders>
              <w:top w:val="nil"/>
              <w:left w:val="nil"/>
              <w:bottom w:val="nil"/>
              <w:right w:val="nil"/>
            </w:tcBorders>
            <w:shd w:val="clear" w:color="000000" w:fill="FFFFFF"/>
            <w:noWrap/>
            <w:vAlign w:val="center"/>
            <w:hideMark/>
          </w:tcPr>
          <w:p w14:paraId="6100872E" w14:textId="77777777" w:rsidR="00A57E96" w:rsidRPr="00FA0E93" w:rsidRDefault="00A57E96" w:rsidP="00B768D9">
            <w:pPr>
              <w:spacing w:after="0" w:line="240" w:lineRule="auto"/>
              <w:jc w:val="left"/>
              <w:rPr>
                <w:rFonts w:eastAsia="Times New Roman" w:cs="Times New Roman"/>
                <w:color w:val="000000"/>
                <w:sz w:val="18"/>
                <w:szCs w:val="18"/>
                <w:lang w:eastAsia="sk-SK"/>
              </w:rPr>
            </w:pPr>
            <w:r w:rsidRPr="00FA0E93">
              <w:rPr>
                <w:rFonts w:eastAsia="Times New Roman" w:cs="Times New Roman"/>
                <w:color w:val="000000"/>
                <w:sz w:val="18"/>
                <w:szCs w:val="18"/>
                <w:lang w:eastAsia="sk-SK"/>
              </w:rPr>
              <w:t>Ochrana životného prostredia</w:t>
            </w:r>
          </w:p>
        </w:tc>
        <w:tc>
          <w:tcPr>
            <w:tcW w:w="820" w:type="dxa"/>
            <w:tcBorders>
              <w:top w:val="nil"/>
              <w:left w:val="nil"/>
              <w:bottom w:val="nil"/>
              <w:right w:val="nil"/>
            </w:tcBorders>
            <w:shd w:val="clear" w:color="auto" w:fill="auto"/>
            <w:noWrap/>
            <w:vAlign w:val="center"/>
            <w:hideMark/>
          </w:tcPr>
          <w:p w14:paraId="6C4EEB57"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683</w:t>
            </w:r>
          </w:p>
        </w:tc>
        <w:tc>
          <w:tcPr>
            <w:tcW w:w="860" w:type="dxa"/>
            <w:tcBorders>
              <w:top w:val="nil"/>
              <w:left w:val="nil"/>
              <w:bottom w:val="nil"/>
              <w:right w:val="nil"/>
            </w:tcBorders>
            <w:shd w:val="clear" w:color="auto" w:fill="auto"/>
            <w:noWrap/>
            <w:vAlign w:val="center"/>
            <w:hideMark/>
          </w:tcPr>
          <w:p w14:paraId="2AA75D92"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397</w:t>
            </w:r>
          </w:p>
        </w:tc>
        <w:tc>
          <w:tcPr>
            <w:tcW w:w="840" w:type="dxa"/>
            <w:tcBorders>
              <w:top w:val="nil"/>
              <w:left w:val="nil"/>
              <w:bottom w:val="nil"/>
              <w:right w:val="nil"/>
            </w:tcBorders>
            <w:shd w:val="clear" w:color="000000" w:fill="FFFFFF"/>
            <w:noWrap/>
            <w:vAlign w:val="center"/>
            <w:hideMark/>
          </w:tcPr>
          <w:p w14:paraId="71BD7258"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0</w:t>
            </w:r>
          </w:p>
        </w:tc>
        <w:tc>
          <w:tcPr>
            <w:tcW w:w="880" w:type="dxa"/>
            <w:tcBorders>
              <w:top w:val="nil"/>
              <w:left w:val="nil"/>
              <w:bottom w:val="nil"/>
              <w:right w:val="nil"/>
            </w:tcBorders>
            <w:shd w:val="clear" w:color="auto" w:fill="auto"/>
            <w:noWrap/>
            <w:vAlign w:val="center"/>
            <w:hideMark/>
          </w:tcPr>
          <w:p w14:paraId="0BD87EAD"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5 621</w:t>
            </w:r>
          </w:p>
        </w:tc>
        <w:tc>
          <w:tcPr>
            <w:tcW w:w="940" w:type="dxa"/>
            <w:tcBorders>
              <w:top w:val="nil"/>
              <w:left w:val="nil"/>
              <w:bottom w:val="nil"/>
              <w:right w:val="nil"/>
            </w:tcBorders>
            <w:shd w:val="clear" w:color="auto" w:fill="auto"/>
            <w:noWrap/>
            <w:vAlign w:val="center"/>
            <w:hideMark/>
          </w:tcPr>
          <w:p w14:paraId="0B806B1F"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x</w:t>
            </w:r>
          </w:p>
        </w:tc>
        <w:tc>
          <w:tcPr>
            <w:tcW w:w="880" w:type="dxa"/>
            <w:tcBorders>
              <w:top w:val="nil"/>
              <w:left w:val="nil"/>
              <w:bottom w:val="nil"/>
              <w:right w:val="nil"/>
            </w:tcBorders>
            <w:shd w:val="clear" w:color="000000" w:fill="FFFFFF"/>
            <w:vAlign w:val="center"/>
            <w:hideMark/>
          </w:tcPr>
          <w:p w14:paraId="589A478C"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5 621</w:t>
            </w:r>
          </w:p>
        </w:tc>
        <w:tc>
          <w:tcPr>
            <w:tcW w:w="800" w:type="dxa"/>
            <w:tcBorders>
              <w:top w:val="nil"/>
              <w:left w:val="nil"/>
              <w:bottom w:val="nil"/>
              <w:right w:val="nil"/>
            </w:tcBorders>
            <w:shd w:val="clear" w:color="000000" w:fill="FFFFFF"/>
            <w:vAlign w:val="center"/>
            <w:hideMark/>
          </w:tcPr>
          <w:p w14:paraId="31B7A40C" w14:textId="4D81A4A8" w:rsidR="00A57E96" w:rsidRPr="00FA0E93"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A57E96" w:rsidRPr="00FA0E93" w14:paraId="01848B8A" w14:textId="77777777" w:rsidTr="00B768D9">
        <w:trPr>
          <w:trHeight w:val="330"/>
        </w:trPr>
        <w:tc>
          <w:tcPr>
            <w:tcW w:w="2680" w:type="dxa"/>
            <w:tcBorders>
              <w:top w:val="nil"/>
              <w:left w:val="nil"/>
              <w:bottom w:val="nil"/>
              <w:right w:val="nil"/>
            </w:tcBorders>
            <w:shd w:val="clear" w:color="000000" w:fill="FFFFFF"/>
            <w:vAlign w:val="center"/>
            <w:hideMark/>
          </w:tcPr>
          <w:p w14:paraId="11691514" w14:textId="77777777" w:rsidR="00A57E96" w:rsidRPr="00FA0E93" w:rsidRDefault="00A57E96" w:rsidP="00B768D9">
            <w:pPr>
              <w:spacing w:after="0" w:line="240" w:lineRule="auto"/>
              <w:jc w:val="left"/>
              <w:rPr>
                <w:rFonts w:eastAsia="Times New Roman" w:cs="Times New Roman"/>
                <w:color w:val="000000"/>
                <w:sz w:val="18"/>
                <w:szCs w:val="18"/>
                <w:lang w:eastAsia="sk-SK"/>
              </w:rPr>
            </w:pPr>
            <w:r w:rsidRPr="00FA0E93">
              <w:rPr>
                <w:rFonts w:eastAsia="Times New Roman" w:cs="Times New Roman"/>
                <w:color w:val="000000"/>
                <w:sz w:val="18"/>
                <w:szCs w:val="18"/>
                <w:lang w:eastAsia="sk-SK"/>
              </w:rPr>
              <w:t>Zdravotníctvo</w:t>
            </w:r>
          </w:p>
        </w:tc>
        <w:tc>
          <w:tcPr>
            <w:tcW w:w="820" w:type="dxa"/>
            <w:tcBorders>
              <w:top w:val="nil"/>
              <w:left w:val="nil"/>
              <w:bottom w:val="nil"/>
              <w:right w:val="nil"/>
            </w:tcBorders>
            <w:shd w:val="clear" w:color="auto" w:fill="auto"/>
            <w:noWrap/>
            <w:vAlign w:val="center"/>
            <w:hideMark/>
          </w:tcPr>
          <w:p w14:paraId="075A5DEF"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7 952</w:t>
            </w:r>
          </w:p>
        </w:tc>
        <w:tc>
          <w:tcPr>
            <w:tcW w:w="860" w:type="dxa"/>
            <w:tcBorders>
              <w:top w:val="nil"/>
              <w:left w:val="nil"/>
              <w:bottom w:val="nil"/>
              <w:right w:val="nil"/>
            </w:tcBorders>
            <w:shd w:val="clear" w:color="auto" w:fill="auto"/>
            <w:noWrap/>
            <w:vAlign w:val="center"/>
            <w:hideMark/>
          </w:tcPr>
          <w:p w14:paraId="30D2601C"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2 528</w:t>
            </w:r>
          </w:p>
        </w:tc>
        <w:tc>
          <w:tcPr>
            <w:tcW w:w="840" w:type="dxa"/>
            <w:tcBorders>
              <w:top w:val="nil"/>
              <w:left w:val="nil"/>
              <w:bottom w:val="nil"/>
              <w:right w:val="nil"/>
            </w:tcBorders>
            <w:shd w:val="clear" w:color="000000" w:fill="FFFFFF"/>
            <w:noWrap/>
            <w:vAlign w:val="center"/>
            <w:hideMark/>
          </w:tcPr>
          <w:p w14:paraId="11BDD430"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0</w:t>
            </w:r>
          </w:p>
        </w:tc>
        <w:tc>
          <w:tcPr>
            <w:tcW w:w="880" w:type="dxa"/>
            <w:tcBorders>
              <w:top w:val="nil"/>
              <w:left w:val="nil"/>
              <w:bottom w:val="nil"/>
              <w:right w:val="nil"/>
            </w:tcBorders>
            <w:shd w:val="clear" w:color="auto" w:fill="auto"/>
            <w:noWrap/>
            <w:vAlign w:val="center"/>
            <w:hideMark/>
          </w:tcPr>
          <w:p w14:paraId="3A81E9E3"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23</w:t>
            </w:r>
          </w:p>
        </w:tc>
        <w:tc>
          <w:tcPr>
            <w:tcW w:w="940" w:type="dxa"/>
            <w:tcBorders>
              <w:top w:val="nil"/>
              <w:left w:val="nil"/>
              <w:bottom w:val="nil"/>
              <w:right w:val="nil"/>
            </w:tcBorders>
            <w:shd w:val="clear" w:color="auto" w:fill="auto"/>
            <w:noWrap/>
            <w:vAlign w:val="center"/>
            <w:hideMark/>
          </w:tcPr>
          <w:p w14:paraId="24F68900"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23</w:t>
            </w:r>
          </w:p>
        </w:tc>
        <w:tc>
          <w:tcPr>
            <w:tcW w:w="880" w:type="dxa"/>
            <w:tcBorders>
              <w:top w:val="nil"/>
              <w:left w:val="nil"/>
              <w:bottom w:val="nil"/>
              <w:right w:val="nil"/>
            </w:tcBorders>
            <w:shd w:val="clear" w:color="000000" w:fill="FFFFFF"/>
            <w:vAlign w:val="center"/>
            <w:hideMark/>
          </w:tcPr>
          <w:p w14:paraId="20F28F2E" w14:textId="77777777" w:rsidR="00A57E96" w:rsidRPr="00FA0E93" w:rsidRDefault="00A57E96" w:rsidP="00B768D9">
            <w:pPr>
              <w:spacing w:after="0" w:line="240" w:lineRule="auto"/>
              <w:jc w:val="right"/>
              <w:rPr>
                <w:rFonts w:eastAsia="Times New Roman" w:cs="Times New Roman"/>
                <w:color w:val="000000"/>
                <w:sz w:val="18"/>
                <w:szCs w:val="18"/>
                <w:lang w:eastAsia="sk-SK"/>
              </w:rPr>
            </w:pPr>
            <w:r w:rsidRPr="00FA0E93">
              <w:rPr>
                <w:rFonts w:eastAsia="Times New Roman" w:cs="Times New Roman"/>
                <w:color w:val="000000"/>
                <w:sz w:val="18"/>
                <w:szCs w:val="18"/>
                <w:lang w:eastAsia="sk-SK"/>
              </w:rPr>
              <w:t>23</w:t>
            </w:r>
          </w:p>
        </w:tc>
        <w:tc>
          <w:tcPr>
            <w:tcW w:w="800" w:type="dxa"/>
            <w:tcBorders>
              <w:top w:val="nil"/>
              <w:left w:val="nil"/>
              <w:bottom w:val="nil"/>
              <w:right w:val="nil"/>
            </w:tcBorders>
            <w:shd w:val="clear" w:color="000000" w:fill="FFFFFF"/>
            <w:vAlign w:val="center"/>
            <w:hideMark/>
          </w:tcPr>
          <w:p w14:paraId="146BAACF" w14:textId="0B2A5E64" w:rsidR="00A57E96" w:rsidRPr="00FA0E93"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A57E96" w:rsidRPr="00FA0E93" w14:paraId="7B0A591D" w14:textId="77777777" w:rsidTr="00B768D9">
        <w:trPr>
          <w:trHeight w:val="345"/>
        </w:trPr>
        <w:tc>
          <w:tcPr>
            <w:tcW w:w="2680" w:type="dxa"/>
            <w:tcBorders>
              <w:top w:val="single" w:sz="4" w:space="0" w:color="auto"/>
              <w:left w:val="nil"/>
              <w:bottom w:val="single" w:sz="8" w:space="0" w:color="auto"/>
              <w:right w:val="nil"/>
            </w:tcBorders>
            <w:shd w:val="clear" w:color="000000" w:fill="FFFFFF"/>
            <w:noWrap/>
            <w:vAlign w:val="center"/>
            <w:hideMark/>
          </w:tcPr>
          <w:p w14:paraId="54E9D36C" w14:textId="77777777" w:rsidR="00A57E96" w:rsidRPr="00FA0E93" w:rsidRDefault="00A57E96" w:rsidP="00B768D9">
            <w:pPr>
              <w:spacing w:after="0" w:line="240" w:lineRule="auto"/>
              <w:jc w:val="left"/>
              <w:rPr>
                <w:rFonts w:eastAsia="Times New Roman" w:cs="Times New Roman"/>
                <w:b/>
                <w:bCs/>
                <w:color w:val="000000"/>
                <w:sz w:val="18"/>
                <w:szCs w:val="18"/>
                <w:lang w:eastAsia="sk-SK"/>
              </w:rPr>
            </w:pPr>
            <w:r w:rsidRPr="00FA0E93">
              <w:rPr>
                <w:rFonts w:eastAsia="Times New Roman" w:cs="Times New Roman"/>
                <w:b/>
                <w:bCs/>
                <w:color w:val="000000"/>
                <w:sz w:val="18"/>
                <w:szCs w:val="18"/>
                <w:lang w:eastAsia="sk-SK"/>
              </w:rPr>
              <w:t>Spolu</w:t>
            </w:r>
          </w:p>
        </w:tc>
        <w:tc>
          <w:tcPr>
            <w:tcW w:w="820" w:type="dxa"/>
            <w:tcBorders>
              <w:top w:val="single" w:sz="4" w:space="0" w:color="auto"/>
              <w:left w:val="nil"/>
              <w:bottom w:val="single" w:sz="8" w:space="0" w:color="auto"/>
              <w:right w:val="nil"/>
            </w:tcBorders>
            <w:shd w:val="clear" w:color="000000" w:fill="FFFFFF"/>
            <w:noWrap/>
            <w:vAlign w:val="center"/>
            <w:hideMark/>
          </w:tcPr>
          <w:p w14:paraId="2960A91C" w14:textId="77777777" w:rsidR="00A57E96" w:rsidRPr="00FA0E93" w:rsidRDefault="00A57E96" w:rsidP="00B768D9">
            <w:pPr>
              <w:spacing w:after="0" w:line="240" w:lineRule="auto"/>
              <w:jc w:val="right"/>
              <w:rPr>
                <w:rFonts w:eastAsia="Times New Roman" w:cs="Times New Roman"/>
                <w:b/>
                <w:bCs/>
                <w:color w:val="000000"/>
                <w:sz w:val="18"/>
                <w:szCs w:val="18"/>
                <w:lang w:eastAsia="sk-SK"/>
              </w:rPr>
            </w:pPr>
            <w:r w:rsidRPr="00FA0E93">
              <w:rPr>
                <w:rFonts w:eastAsia="Times New Roman" w:cs="Times New Roman"/>
                <w:b/>
                <w:bCs/>
                <w:color w:val="000000"/>
                <w:sz w:val="18"/>
                <w:szCs w:val="18"/>
                <w:lang w:eastAsia="sk-SK"/>
              </w:rPr>
              <w:t>591 313</w:t>
            </w:r>
          </w:p>
        </w:tc>
        <w:tc>
          <w:tcPr>
            <w:tcW w:w="860" w:type="dxa"/>
            <w:tcBorders>
              <w:top w:val="single" w:sz="4" w:space="0" w:color="auto"/>
              <w:left w:val="nil"/>
              <w:bottom w:val="single" w:sz="8" w:space="0" w:color="auto"/>
              <w:right w:val="nil"/>
            </w:tcBorders>
            <w:shd w:val="clear" w:color="000000" w:fill="FFFFFF"/>
            <w:noWrap/>
            <w:vAlign w:val="center"/>
            <w:hideMark/>
          </w:tcPr>
          <w:p w14:paraId="7C445210" w14:textId="77777777" w:rsidR="00A57E96" w:rsidRPr="00FA0E93" w:rsidRDefault="00A57E96" w:rsidP="00B768D9">
            <w:pPr>
              <w:spacing w:after="0" w:line="240" w:lineRule="auto"/>
              <w:jc w:val="right"/>
              <w:rPr>
                <w:rFonts w:eastAsia="Times New Roman" w:cs="Times New Roman"/>
                <w:b/>
                <w:bCs/>
                <w:color w:val="000000"/>
                <w:sz w:val="18"/>
                <w:szCs w:val="18"/>
                <w:lang w:eastAsia="sk-SK"/>
              </w:rPr>
            </w:pPr>
            <w:r w:rsidRPr="00FA0E93">
              <w:rPr>
                <w:rFonts w:eastAsia="Times New Roman" w:cs="Times New Roman"/>
                <w:b/>
                <w:bCs/>
                <w:color w:val="000000"/>
                <w:sz w:val="18"/>
                <w:szCs w:val="18"/>
                <w:lang w:eastAsia="sk-SK"/>
              </w:rPr>
              <w:t>615 120</w:t>
            </w:r>
          </w:p>
        </w:tc>
        <w:tc>
          <w:tcPr>
            <w:tcW w:w="840" w:type="dxa"/>
            <w:tcBorders>
              <w:top w:val="single" w:sz="4" w:space="0" w:color="auto"/>
              <w:left w:val="nil"/>
              <w:bottom w:val="single" w:sz="8" w:space="0" w:color="auto"/>
              <w:right w:val="nil"/>
            </w:tcBorders>
            <w:shd w:val="clear" w:color="000000" w:fill="FFFFFF"/>
            <w:noWrap/>
            <w:vAlign w:val="center"/>
            <w:hideMark/>
          </w:tcPr>
          <w:p w14:paraId="640D272C" w14:textId="77777777" w:rsidR="00A57E96" w:rsidRPr="00FA0E93" w:rsidRDefault="00A57E96" w:rsidP="00B768D9">
            <w:pPr>
              <w:spacing w:after="0" w:line="240" w:lineRule="auto"/>
              <w:jc w:val="right"/>
              <w:rPr>
                <w:rFonts w:eastAsia="Times New Roman" w:cs="Times New Roman"/>
                <w:b/>
                <w:bCs/>
                <w:color w:val="000000"/>
                <w:sz w:val="18"/>
                <w:szCs w:val="18"/>
                <w:lang w:eastAsia="sk-SK"/>
              </w:rPr>
            </w:pPr>
            <w:r w:rsidRPr="00FA0E93">
              <w:rPr>
                <w:rFonts w:eastAsia="Times New Roman" w:cs="Times New Roman"/>
                <w:b/>
                <w:bCs/>
                <w:color w:val="000000"/>
                <w:sz w:val="18"/>
                <w:szCs w:val="18"/>
                <w:lang w:eastAsia="sk-SK"/>
              </w:rPr>
              <w:t>608 721</w:t>
            </w:r>
          </w:p>
        </w:tc>
        <w:tc>
          <w:tcPr>
            <w:tcW w:w="880" w:type="dxa"/>
            <w:tcBorders>
              <w:top w:val="single" w:sz="4" w:space="0" w:color="auto"/>
              <w:left w:val="nil"/>
              <w:bottom w:val="single" w:sz="8" w:space="0" w:color="auto"/>
              <w:right w:val="nil"/>
            </w:tcBorders>
            <w:shd w:val="clear" w:color="auto" w:fill="auto"/>
            <w:noWrap/>
            <w:vAlign w:val="center"/>
            <w:hideMark/>
          </w:tcPr>
          <w:p w14:paraId="67A4AA75" w14:textId="77777777" w:rsidR="00A57E96" w:rsidRPr="00FA0E93" w:rsidRDefault="00A57E96" w:rsidP="00B768D9">
            <w:pPr>
              <w:spacing w:after="0" w:line="240" w:lineRule="auto"/>
              <w:jc w:val="right"/>
              <w:rPr>
                <w:rFonts w:eastAsia="Times New Roman" w:cs="Times New Roman"/>
                <w:b/>
                <w:bCs/>
                <w:color w:val="000000"/>
                <w:sz w:val="18"/>
                <w:szCs w:val="18"/>
                <w:lang w:eastAsia="sk-SK"/>
              </w:rPr>
            </w:pPr>
            <w:r w:rsidRPr="00FA0E93">
              <w:rPr>
                <w:rFonts w:eastAsia="Times New Roman" w:cs="Times New Roman"/>
                <w:b/>
                <w:bCs/>
                <w:color w:val="000000"/>
                <w:sz w:val="18"/>
                <w:szCs w:val="18"/>
                <w:lang w:eastAsia="sk-SK"/>
              </w:rPr>
              <w:t>1 012 359</w:t>
            </w:r>
          </w:p>
        </w:tc>
        <w:tc>
          <w:tcPr>
            <w:tcW w:w="940" w:type="dxa"/>
            <w:tcBorders>
              <w:top w:val="single" w:sz="4" w:space="0" w:color="auto"/>
              <w:left w:val="nil"/>
              <w:bottom w:val="single" w:sz="8" w:space="0" w:color="auto"/>
              <w:right w:val="nil"/>
            </w:tcBorders>
            <w:shd w:val="clear" w:color="auto" w:fill="auto"/>
            <w:noWrap/>
            <w:vAlign w:val="center"/>
            <w:hideMark/>
          </w:tcPr>
          <w:p w14:paraId="332C44CA" w14:textId="77777777" w:rsidR="00A57E96" w:rsidRPr="00FA0E93" w:rsidRDefault="00A57E96" w:rsidP="00B768D9">
            <w:pPr>
              <w:spacing w:after="0" w:line="240" w:lineRule="auto"/>
              <w:jc w:val="right"/>
              <w:rPr>
                <w:rFonts w:eastAsia="Times New Roman" w:cs="Times New Roman"/>
                <w:b/>
                <w:bCs/>
                <w:color w:val="000000"/>
                <w:sz w:val="18"/>
                <w:szCs w:val="18"/>
                <w:lang w:eastAsia="sk-SK"/>
              </w:rPr>
            </w:pPr>
            <w:r w:rsidRPr="00FA0E93">
              <w:rPr>
                <w:rFonts w:eastAsia="Times New Roman" w:cs="Times New Roman"/>
                <w:b/>
                <w:bCs/>
                <w:color w:val="000000"/>
                <w:sz w:val="18"/>
                <w:szCs w:val="18"/>
                <w:lang w:eastAsia="sk-SK"/>
              </w:rPr>
              <w:t>689 730</w:t>
            </w:r>
          </w:p>
        </w:tc>
        <w:tc>
          <w:tcPr>
            <w:tcW w:w="880" w:type="dxa"/>
            <w:tcBorders>
              <w:top w:val="single" w:sz="4" w:space="0" w:color="auto"/>
              <w:left w:val="nil"/>
              <w:bottom w:val="single" w:sz="8" w:space="0" w:color="auto"/>
              <w:right w:val="nil"/>
            </w:tcBorders>
            <w:shd w:val="clear" w:color="000000" w:fill="FFFFFF"/>
            <w:noWrap/>
            <w:vAlign w:val="center"/>
            <w:hideMark/>
          </w:tcPr>
          <w:p w14:paraId="4457BDA4" w14:textId="77777777" w:rsidR="00A57E96" w:rsidRPr="00FA0E93" w:rsidRDefault="00A57E96" w:rsidP="00B768D9">
            <w:pPr>
              <w:spacing w:after="0" w:line="240" w:lineRule="auto"/>
              <w:jc w:val="right"/>
              <w:rPr>
                <w:rFonts w:eastAsia="Times New Roman" w:cs="Times New Roman"/>
                <w:b/>
                <w:bCs/>
                <w:color w:val="000000"/>
                <w:sz w:val="18"/>
                <w:szCs w:val="18"/>
                <w:lang w:eastAsia="sk-SK"/>
              </w:rPr>
            </w:pPr>
            <w:r w:rsidRPr="00FA0E93">
              <w:rPr>
                <w:rFonts w:eastAsia="Times New Roman" w:cs="Times New Roman"/>
                <w:b/>
                <w:bCs/>
                <w:color w:val="000000"/>
                <w:sz w:val="18"/>
                <w:szCs w:val="18"/>
                <w:lang w:eastAsia="sk-SK"/>
              </w:rPr>
              <w:t>403 638</w:t>
            </w:r>
          </w:p>
        </w:tc>
        <w:tc>
          <w:tcPr>
            <w:tcW w:w="800" w:type="dxa"/>
            <w:tcBorders>
              <w:top w:val="single" w:sz="4" w:space="0" w:color="auto"/>
              <w:left w:val="nil"/>
              <w:bottom w:val="single" w:sz="8" w:space="0" w:color="auto"/>
              <w:right w:val="nil"/>
            </w:tcBorders>
            <w:shd w:val="clear" w:color="000000" w:fill="FFFFFF"/>
            <w:noWrap/>
            <w:vAlign w:val="center"/>
            <w:hideMark/>
          </w:tcPr>
          <w:p w14:paraId="7513289F" w14:textId="77777777" w:rsidR="00A57E96" w:rsidRPr="00FA0E93" w:rsidRDefault="00A57E96" w:rsidP="00B768D9">
            <w:pPr>
              <w:spacing w:after="0" w:line="240" w:lineRule="auto"/>
              <w:jc w:val="right"/>
              <w:rPr>
                <w:rFonts w:eastAsia="Times New Roman" w:cs="Times New Roman"/>
                <w:b/>
                <w:bCs/>
                <w:color w:val="000000"/>
                <w:sz w:val="18"/>
                <w:szCs w:val="18"/>
                <w:lang w:eastAsia="sk-SK"/>
              </w:rPr>
            </w:pPr>
            <w:r w:rsidRPr="00FA0E93">
              <w:rPr>
                <w:rFonts w:eastAsia="Times New Roman" w:cs="Times New Roman"/>
                <w:b/>
                <w:bCs/>
                <w:color w:val="000000"/>
                <w:sz w:val="18"/>
                <w:szCs w:val="18"/>
                <w:lang w:eastAsia="sk-SK"/>
              </w:rPr>
              <w:t>66,3</w:t>
            </w:r>
          </w:p>
        </w:tc>
      </w:tr>
    </w:tbl>
    <w:p w14:paraId="5709A964" w14:textId="0FE5B630" w:rsidR="00A57E96" w:rsidRDefault="00A57E96" w:rsidP="00A57E96">
      <w:pPr>
        <w:rPr>
          <w:rFonts w:eastAsia="Times New Roman" w:cs="Times New Roman"/>
          <w:color w:val="000000"/>
          <w:sz w:val="18"/>
          <w:szCs w:val="18"/>
          <w:lang w:eastAsia="sk-SK"/>
        </w:rPr>
      </w:pPr>
      <w:r>
        <w:rPr>
          <w:rFonts w:eastAsia="Times New Roman" w:cs="Times New Roman"/>
          <w:color w:val="000000"/>
          <w:sz w:val="18"/>
          <w:szCs w:val="18"/>
          <w:lang w:eastAsia="sk-SK"/>
        </w:rPr>
        <w:t xml:space="preserve">Poznámka: * len prostriedky štátneho rozpočtu </w:t>
      </w:r>
      <w:r>
        <w:rPr>
          <w:rFonts w:eastAsia="Times New Roman" w:cs="Times New Roman"/>
          <w:color w:val="000000"/>
          <w:sz w:val="18"/>
          <w:szCs w:val="18"/>
          <w:lang w:eastAsia="sk-SK"/>
        </w:rPr>
        <w:tab/>
      </w:r>
      <w:r>
        <w:rPr>
          <w:rFonts w:eastAsia="Times New Roman" w:cs="Times New Roman"/>
          <w:color w:val="000000"/>
          <w:sz w:val="18"/>
          <w:szCs w:val="18"/>
          <w:lang w:eastAsia="sk-SK"/>
        </w:rPr>
        <w:tab/>
      </w:r>
      <w:r>
        <w:rPr>
          <w:rFonts w:eastAsia="Times New Roman" w:cs="Times New Roman"/>
          <w:color w:val="000000"/>
          <w:sz w:val="18"/>
          <w:szCs w:val="18"/>
          <w:lang w:eastAsia="sk-SK"/>
        </w:rPr>
        <w:tab/>
      </w:r>
      <w:r>
        <w:rPr>
          <w:rFonts w:eastAsia="Times New Roman" w:cs="Times New Roman"/>
          <w:color w:val="000000"/>
          <w:sz w:val="18"/>
          <w:szCs w:val="18"/>
          <w:lang w:eastAsia="sk-SK"/>
        </w:rPr>
        <w:tab/>
      </w:r>
      <w:r>
        <w:rPr>
          <w:rFonts w:eastAsia="Times New Roman" w:cs="Times New Roman"/>
          <w:color w:val="000000"/>
          <w:sz w:val="18"/>
          <w:szCs w:val="18"/>
          <w:lang w:eastAsia="sk-SK"/>
        </w:rPr>
        <w:tab/>
      </w:r>
      <w:r>
        <w:rPr>
          <w:rFonts w:eastAsia="Times New Roman" w:cs="Times New Roman"/>
          <w:color w:val="000000"/>
          <w:sz w:val="18"/>
          <w:szCs w:val="18"/>
          <w:lang w:eastAsia="sk-SK"/>
        </w:rPr>
        <w:tab/>
      </w:r>
      <w:r w:rsidR="006F6A11">
        <w:rPr>
          <w:rFonts w:eastAsia="Times New Roman" w:cs="Times New Roman"/>
          <w:color w:val="000000"/>
          <w:sz w:val="18"/>
          <w:szCs w:val="18"/>
          <w:lang w:eastAsia="sk-SK"/>
        </w:rPr>
        <w:tab/>
      </w:r>
      <w:r w:rsidR="006F6A11">
        <w:rPr>
          <w:rFonts w:eastAsia="Times New Roman" w:cs="Times New Roman"/>
          <w:color w:val="000000"/>
          <w:sz w:val="18"/>
          <w:szCs w:val="18"/>
          <w:lang w:eastAsia="sk-SK"/>
        </w:rPr>
        <w:tab/>
      </w:r>
      <w:r w:rsidR="006F6A11">
        <w:rPr>
          <w:rFonts w:eastAsia="Times New Roman" w:cs="Times New Roman"/>
          <w:color w:val="000000"/>
          <w:sz w:val="18"/>
          <w:szCs w:val="18"/>
          <w:lang w:eastAsia="sk-SK"/>
        </w:rPr>
        <w:tab/>
      </w:r>
      <w:r w:rsidR="006F6A11">
        <w:rPr>
          <w:rFonts w:eastAsia="Times New Roman" w:cs="Times New Roman"/>
          <w:color w:val="000000"/>
          <w:sz w:val="18"/>
          <w:szCs w:val="18"/>
          <w:lang w:eastAsia="sk-SK"/>
        </w:rPr>
        <w:tab/>
      </w:r>
      <w:r>
        <w:rPr>
          <w:rFonts w:eastAsia="Times New Roman" w:cs="Times New Roman"/>
          <w:color w:val="000000"/>
          <w:sz w:val="18"/>
          <w:szCs w:val="18"/>
          <w:lang w:eastAsia="sk-SK"/>
        </w:rPr>
        <w:t>Zdroj: MF SR</w:t>
      </w:r>
    </w:p>
    <w:p w14:paraId="28B444E9" w14:textId="77777777" w:rsidR="00A57E96" w:rsidRDefault="00A57E96" w:rsidP="00A57E96">
      <w:pPr>
        <w:spacing w:line="240" w:lineRule="auto"/>
        <w:rPr>
          <w:sz w:val="24"/>
          <w:szCs w:val="24"/>
        </w:rPr>
      </w:pPr>
      <w:r>
        <w:rPr>
          <w:sz w:val="24"/>
          <w:szCs w:val="24"/>
        </w:rPr>
        <w:t>Do rozpočtov VÚC boli poskytnuté transfery z jednotlivých rozpočtových kapitol v nasledovnom členení:</w:t>
      </w:r>
    </w:p>
    <w:p w14:paraId="18FEDB8A" w14:textId="77777777" w:rsidR="00207B7D" w:rsidRDefault="00207B7D">
      <w:r>
        <w:br w:type="page"/>
      </w:r>
    </w:p>
    <w:tbl>
      <w:tblPr>
        <w:tblW w:w="9214" w:type="dxa"/>
        <w:tblCellMar>
          <w:left w:w="70" w:type="dxa"/>
          <w:right w:w="70" w:type="dxa"/>
        </w:tblCellMar>
        <w:tblLook w:val="04A0" w:firstRow="1" w:lastRow="0" w:firstColumn="1" w:lastColumn="0" w:noHBand="0" w:noVBand="1"/>
      </w:tblPr>
      <w:tblGrid>
        <w:gridCol w:w="2835"/>
        <w:gridCol w:w="993"/>
        <w:gridCol w:w="850"/>
        <w:gridCol w:w="851"/>
        <w:gridCol w:w="992"/>
        <w:gridCol w:w="850"/>
        <w:gridCol w:w="993"/>
        <w:gridCol w:w="850"/>
      </w:tblGrid>
      <w:tr w:rsidR="00A57E96" w:rsidRPr="00591F88" w14:paraId="651DB5CC" w14:textId="77777777" w:rsidTr="007961A0">
        <w:trPr>
          <w:trHeight w:val="345"/>
        </w:trPr>
        <w:tc>
          <w:tcPr>
            <w:tcW w:w="8364" w:type="dxa"/>
            <w:gridSpan w:val="7"/>
            <w:tcBorders>
              <w:top w:val="nil"/>
              <w:left w:val="nil"/>
              <w:bottom w:val="single" w:sz="8" w:space="0" w:color="auto"/>
              <w:right w:val="nil"/>
            </w:tcBorders>
            <w:shd w:val="clear" w:color="auto" w:fill="auto"/>
            <w:vAlign w:val="center"/>
            <w:hideMark/>
          </w:tcPr>
          <w:p w14:paraId="26C4617C" w14:textId="5DA449DD" w:rsidR="00A57E96" w:rsidRPr="00DD022A" w:rsidRDefault="00A57E96" w:rsidP="004A6E2F">
            <w:pPr>
              <w:spacing w:after="0" w:line="240" w:lineRule="auto"/>
              <w:jc w:val="left"/>
              <w:rPr>
                <w:rFonts w:eastAsia="Times New Roman" w:cs="Times New Roman"/>
                <w:b/>
                <w:bCs/>
                <w:color w:val="4F81BD"/>
                <w:sz w:val="20"/>
                <w:szCs w:val="20"/>
                <w:lang w:eastAsia="sk-SK"/>
              </w:rPr>
            </w:pPr>
            <w:r w:rsidRPr="00DD022A">
              <w:rPr>
                <w:rFonts w:eastAsia="Times New Roman" w:cs="Times New Roman"/>
                <w:b/>
                <w:bCs/>
                <w:color w:val="4F81BD"/>
                <w:sz w:val="20"/>
                <w:szCs w:val="20"/>
                <w:lang w:eastAsia="sk-SK"/>
              </w:rPr>
              <w:lastRenderedPageBreak/>
              <w:t>Tabuľka 4</w:t>
            </w:r>
            <w:r w:rsidR="004A6E2F">
              <w:rPr>
                <w:rFonts w:eastAsia="Times New Roman" w:cs="Times New Roman"/>
                <w:b/>
                <w:bCs/>
                <w:color w:val="4F81BD"/>
                <w:sz w:val="20"/>
                <w:szCs w:val="20"/>
                <w:lang w:eastAsia="sk-SK"/>
              </w:rPr>
              <w:t>8</w:t>
            </w:r>
            <w:r w:rsidRPr="00DD022A">
              <w:rPr>
                <w:rFonts w:eastAsia="Times New Roman" w:cs="Times New Roman"/>
                <w:b/>
                <w:bCs/>
                <w:color w:val="4F81BD"/>
                <w:sz w:val="20"/>
                <w:szCs w:val="20"/>
                <w:lang w:eastAsia="sk-SK"/>
              </w:rPr>
              <w:t xml:space="preserve"> - Transfery poskytnuté VÚC podľa kapitol ŠR</w:t>
            </w:r>
          </w:p>
        </w:tc>
        <w:tc>
          <w:tcPr>
            <w:tcW w:w="850" w:type="dxa"/>
            <w:tcBorders>
              <w:top w:val="nil"/>
              <w:left w:val="nil"/>
              <w:bottom w:val="single" w:sz="8" w:space="0" w:color="auto"/>
              <w:right w:val="nil"/>
            </w:tcBorders>
            <w:shd w:val="clear" w:color="auto" w:fill="auto"/>
            <w:noWrap/>
            <w:vAlign w:val="bottom"/>
            <w:hideMark/>
          </w:tcPr>
          <w:p w14:paraId="56DC866C" w14:textId="77777777" w:rsidR="00A57E96" w:rsidRPr="00591F88" w:rsidRDefault="00A57E96" w:rsidP="00B768D9">
            <w:pPr>
              <w:spacing w:after="0" w:line="240" w:lineRule="auto"/>
              <w:jc w:val="left"/>
              <w:rPr>
                <w:rFonts w:ascii="Arial Narrow" w:eastAsia="Times New Roman" w:hAnsi="Arial Narrow" w:cs="Times New Roman"/>
                <w:color w:val="000000"/>
                <w:lang w:eastAsia="sk-SK"/>
              </w:rPr>
            </w:pPr>
            <w:r w:rsidRPr="00591F88">
              <w:rPr>
                <w:rFonts w:ascii="Arial Narrow" w:eastAsia="Times New Roman" w:hAnsi="Arial Narrow" w:cs="Times New Roman"/>
                <w:color w:val="000000"/>
                <w:lang w:eastAsia="sk-SK"/>
              </w:rPr>
              <w:t> </w:t>
            </w:r>
          </w:p>
        </w:tc>
      </w:tr>
      <w:tr w:rsidR="00B41352" w:rsidRPr="00591F88" w14:paraId="37CC6CDF" w14:textId="77777777" w:rsidTr="006A0B96">
        <w:trPr>
          <w:trHeight w:val="510"/>
        </w:trPr>
        <w:tc>
          <w:tcPr>
            <w:tcW w:w="2835" w:type="dxa"/>
            <w:vMerge w:val="restart"/>
            <w:tcBorders>
              <w:top w:val="nil"/>
              <w:left w:val="nil"/>
              <w:right w:val="nil"/>
            </w:tcBorders>
            <w:shd w:val="clear" w:color="auto" w:fill="auto"/>
            <w:vAlign w:val="center"/>
            <w:hideMark/>
          </w:tcPr>
          <w:p w14:paraId="3FD447C6" w14:textId="390C87A1" w:rsidR="00B41352" w:rsidRPr="00591F88" w:rsidRDefault="00B41352" w:rsidP="00B41352">
            <w:pPr>
              <w:spacing w:after="0" w:line="240" w:lineRule="auto"/>
              <w:jc w:val="left"/>
              <w:rPr>
                <w:rFonts w:eastAsia="Times New Roman" w:cs="Times New Roman"/>
                <w:b/>
                <w:bCs/>
                <w:color w:val="000000"/>
                <w:sz w:val="18"/>
                <w:szCs w:val="18"/>
                <w:lang w:eastAsia="sk-SK"/>
              </w:rPr>
            </w:pPr>
            <w:r w:rsidRPr="00591F88">
              <w:rPr>
                <w:rFonts w:eastAsia="Times New Roman" w:cs="Times New Roman"/>
                <w:b/>
                <w:bCs/>
                <w:color w:val="000000"/>
                <w:sz w:val="18"/>
                <w:szCs w:val="18"/>
                <w:lang w:eastAsia="sk-SK"/>
              </w:rPr>
              <w:t>v tis. eur</w:t>
            </w:r>
            <w:r w:rsidRPr="00591F88">
              <w:rPr>
                <w:rFonts w:eastAsia="Times New Roman" w:cs="Times New Roman"/>
                <w:b/>
                <w:bCs/>
                <w:color w:val="FFFFFF"/>
                <w:sz w:val="18"/>
                <w:szCs w:val="18"/>
                <w:lang w:eastAsia="sk-SK"/>
              </w:rPr>
              <w:t> </w:t>
            </w:r>
          </w:p>
        </w:tc>
        <w:tc>
          <w:tcPr>
            <w:tcW w:w="993" w:type="dxa"/>
            <w:tcBorders>
              <w:top w:val="nil"/>
              <w:left w:val="nil"/>
              <w:bottom w:val="nil"/>
              <w:right w:val="nil"/>
            </w:tcBorders>
            <w:shd w:val="clear" w:color="auto" w:fill="auto"/>
            <w:vAlign w:val="center"/>
            <w:hideMark/>
          </w:tcPr>
          <w:p w14:paraId="4DD249A6" w14:textId="77777777" w:rsidR="00B41352" w:rsidRPr="00591F88" w:rsidRDefault="00B41352" w:rsidP="00B768D9">
            <w:pPr>
              <w:spacing w:after="0" w:line="240" w:lineRule="auto"/>
              <w:jc w:val="center"/>
              <w:rPr>
                <w:rFonts w:eastAsia="Times New Roman" w:cs="Times New Roman"/>
                <w:b/>
                <w:bCs/>
                <w:color w:val="000000"/>
                <w:sz w:val="18"/>
                <w:szCs w:val="18"/>
                <w:lang w:eastAsia="sk-SK"/>
              </w:rPr>
            </w:pPr>
            <w:r w:rsidRPr="00591F88">
              <w:rPr>
                <w:rFonts w:eastAsia="Times New Roman" w:cs="Times New Roman"/>
                <w:b/>
                <w:bCs/>
                <w:color w:val="000000"/>
                <w:sz w:val="18"/>
                <w:szCs w:val="18"/>
                <w:lang w:eastAsia="sk-SK"/>
              </w:rPr>
              <w:t>2021 S</w:t>
            </w:r>
          </w:p>
        </w:tc>
        <w:tc>
          <w:tcPr>
            <w:tcW w:w="850" w:type="dxa"/>
            <w:tcBorders>
              <w:top w:val="nil"/>
              <w:left w:val="nil"/>
              <w:bottom w:val="nil"/>
              <w:right w:val="nil"/>
            </w:tcBorders>
            <w:shd w:val="clear" w:color="auto" w:fill="auto"/>
            <w:vAlign w:val="center"/>
            <w:hideMark/>
          </w:tcPr>
          <w:p w14:paraId="17605387" w14:textId="77777777" w:rsidR="00B41352" w:rsidRPr="00591F88" w:rsidRDefault="00B41352" w:rsidP="00B768D9">
            <w:pPr>
              <w:spacing w:after="0" w:line="240" w:lineRule="auto"/>
              <w:jc w:val="center"/>
              <w:rPr>
                <w:rFonts w:eastAsia="Times New Roman" w:cs="Times New Roman"/>
                <w:b/>
                <w:bCs/>
                <w:color w:val="000000"/>
                <w:sz w:val="18"/>
                <w:szCs w:val="18"/>
                <w:lang w:eastAsia="sk-SK"/>
              </w:rPr>
            </w:pPr>
            <w:r w:rsidRPr="00591F88">
              <w:rPr>
                <w:rFonts w:eastAsia="Times New Roman" w:cs="Times New Roman"/>
                <w:b/>
                <w:bCs/>
                <w:color w:val="000000"/>
                <w:sz w:val="18"/>
                <w:szCs w:val="18"/>
                <w:lang w:eastAsia="sk-SK"/>
              </w:rPr>
              <w:t>2022 S</w:t>
            </w:r>
          </w:p>
        </w:tc>
        <w:tc>
          <w:tcPr>
            <w:tcW w:w="851" w:type="dxa"/>
            <w:tcBorders>
              <w:top w:val="nil"/>
              <w:left w:val="nil"/>
              <w:bottom w:val="nil"/>
              <w:right w:val="nil"/>
            </w:tcBorders>
            <w:shd w:val="clear" w:color="auto" w:fill="auto"/>
            <w:vAlign w:val="center"/>
            <w:hideMark/>
          </w:tcPr>
          <w:p w14:paraId="65711CEF" w14:textId="77777777" w:rsidR="00B41352" w:rsidRPr="00591F88" w:rsidRDefault="00B41352" w:rsidP="00B768D9">
            <w:pPr>
              <w:spacing w:after="0" w:line="240" w:lineRule="auto"/>
              <w:jc w:val="center"/>
              <w:rPr>
                <w:rFonts w:eastAsia="Times New Roman" w:cs="Times New Roman"/>
                <w:b/>
                <w:bCs/>
                <w:color w:val="000000"/>
                <w:sz w:val="18"/>
                <w:szCs w:val="18"/>
                <w:lang w:eastAsia="sk-SK"/>
              </w:rPr>
            </w:pPr>
            <w:r w:rsidRPr="00591F88">
              <w:rPr>
                <w:rFonts w:eastAsia="Times New Roman" w:cs="Times New Roman"/>
                <w:b/>
                <w:bCs/>
                <w:color w:val="000000"/>
                <w:sz w:val="18"/>
                <w:szCs w:val="18"/>
                <w:lang w:eastAsia="sk-SK"/>
              </w:rPr>
              <w:t>2023 R</w:t>
            </w:r>
          </w:p>
        </w:tc>
        <w:tc>
          <w:tcPr>
            <w:tcW w:w="992" w:type="dxa"/>
            <w:tcBorders>
              <w:top w:val="nil"/>
              <w:left w:val="nil"/>
              <w:bottom w:val="nil"/>
              <w:right w:val="nil"/>
            </w:tcBorders>
            <w:shd w:val="clear" w:color="auto" w:fill="auto"/>
            <w:vAlign w:val="center"/>
            <w:hideMark/>
          </w:tcPr>
          <w:p w14:paraId="3F6FF42F" w14:textId="77777777" w:rsidR="00B41352" w:rsidRPr="00591F88" w:rsidRDefault="00B41352" w:rsidP="00B768D9">
            <w:pPr>
              <w:spacing w:after="0" w:line="240" w:lineRule="auto"/>
              <w:jc w:val="center"/>
              <w:rPr>
                <w:rFonts w:eastAsia="Times New Roman" w:cs="Times New Roman"/>
                <w:b/>
                <w:bCs/>
                <w:color w:val="000000"/>
                <w:sz w:val="18"/>
                <w:szCs w:val="18"/>
                <w:lang w:eastAsia="sk-SK"/>
              </w:rPr>
            </w:pPr>
            <w:r w:rsidRPr="00591F88">
              <w:rPr>
                <w:rFonts w:eastAsia="Times New Roman" w:cs="Times New Roman"/>
                <w:b/>
                <w:bCs/>
                <w:color w:val="000000"/>
                <w:sz w:val="18"/>
                <w:szCs w:val="18"/>
                <w:lang w:eastAsia="sk-SK"/>
              </w:rPr>
              <w:t>2023 S</w:t>
            </w:r>
          </w:p>
        </w:tc>
        <w:tc>
          <w:tcPr>
            <w:tcW w:w="850" w:type="dxa"/>
            <w:tcBorders>
              <w:top w:val="nil"/>
              <w:left w:val="nil"/>
              <w:bottom w:val="nil"/>
              <w:right w:val="nil"/>
            </w:tcBorders>
            <w:shd w:val="clear" w:color="auto" w:fill="auto"/>
            <w:vAlign w:val="center"/>
            <w:hideMark/>
          </w:tcPr>
          <w:p w14:paraId="44F7967A" w14:textId="77777777" w:rsidR="00B41352" w:rsidRPr="00591F88" w:rsidRDefault="00B41352" w:rsidP="00B768D9">
            <w:pPr>
              <w:spacing w:after="0" w:line="240" w:lineRule="auto"/>
              <w:jc w:val="center"/>
              <w:rPr>
                <w:rFonts w:eastAsia="Times New Roman" w:cs="Times New Roman"/>
                <w:b/>
                <w:bCs/>
                <w:color w:val="000000"/>
                <w:sz w:val="18"/>
                <w:szCs w:val="18"/>
                <w:lang w:eastAsia="sk-SK"/>
              </w:rPr>
            </w:pPr>
            <w:r w:rsidRPr="00591F88">
              <w:rPr>
                <w:rFonts w:eastAsia="Times New Roman" w:cs="Times New Roman"/>
                <w:b/>
                <w:bCs/>
                <w:color w:val="000000"/>
                <w:sz w:val="18"/>
                <w:szCs w:val="18"/>
                <w:lang w:eastAsia="sk-SK"/>
              </w:rPr>
              <w:t>z toho: zdroj 111</w:t>
            </w:r>
            <w:r w:rsidRPr="00591F88">
              <w:rPr>
                <w:rFonts w:ascii="Arial Narrow" w:eastAsia="Times New Roman" w:hAnsi="Arial Narrow" w:cs="Times New Roman"/>
                <w:b/>
                <w:bCs/>
                <w:color w:val="000000"/>
                <w:sz w:val="18"/>
                <w:szCs w:val="18"/>
                <w:lang w:eastAsia="sk-SK"/>
              </w:rPr>
              <w:t>*</w:t>
            </w:r>
          </w:p>
        </w:tc>
        <w:tc>
          <w:tcPr>
            <w:tcW w:w="993" w:type="dxa"/>
            <w:tcBorders>
              <w:top w:val="nil"/>
              <w:left w:val="nil"/>
              <w:bottom w:val="nil"/>
              <w:right w:val="nil"/>
            </w:tcBorders>
            <w:shd w:val="clear" w:color="auto" w:fill="auto"/>
            <w:vAlign w:val="center"/>
            <w:hideMark/>
          </w:tcPr>
          <w:p w14:paraId="69549345" w14:textId="77777777" w:rsidR="00B41352" w:rsidRPr="00591F88" w:rsidRDefault="00B41352" w:rsidP="00B768D9">
            <w:pPr>
              <w:spacing w:after="0" w:line="240" w:lineRule="auto"/>
              <w:jc w:val="center"/>
              <w:rPr>
                <w:rFonts w:eastAsia="Times New Roman" w:cs="Times New Roman"/>
                <w:b/>
                <w:bCs/>
                <w:color w:val="000000"/>
                <w:sz w:val="18"/>
                <w:szCs w:val="18"/>
                <w:lang w:eastAsia="sk-SK"/>
              </w:rPr>
            </w:pPr>
            <w:r w:rsidRPr="00591F88">
              <w:rPr>
                <w:rFonts w:eastAsia="Times New Roman" w:cs="Times New Roman"/>
                <w:b/>
                <w:bCs/>
                <w:color w:val="000000"/>
                <w:sz w:val="18"/>
                <w:szCs w:val="18"/>
                <w:lang w:eastAsia="sk-SK"/>
              </w:rPr>
              <w:t>Rozdiel</w:t>
            </w:r>
          </w:p>
        </w:tc>
        <w:tc>
          <w:tcPr>
            <w:tcW w:w="850" w:type="dxa"/>
            <w:tcBorders>
              <w:top w:val="nil"/>
              <w:left w:val="nil"/>
              <w:bottom w:val="nil"/>
              <w:right w:val="nil"/>
            </w:tcBorders>
            <w:shd w:val="clear" w:color="auto" w:fill="auto"/>
            <w:vAlign w:val="center"/>
            <w:hideMark/>
          </w:tcPr>
          <w:p w14:paraId="6CA2ACCF" w14:textId="77777777" w:rsidR="00B41352" w:rsidRPr="00591F88" w:rsidRDefault="00B41352" w:rsidP="00B768D9">
            <w:pPr>
              <w:spacing w:after="0" w:line="240" w:lineRule="auto"/>
              <w:jc w:val="center"/>
              <w:rPr>
                <w:rFonts w:eastAsia="Times New Roman" w:cs="Times New Roman"/>
                <w:b/>
                <w:bCs/>
                <w:color w:val="000000"/>
                <w:sz w:val="18"/>
                <w:szCs w:val="18"/>
                <w:lang w:eastAsia="sk-SK"/>
              </w:rPr>
            </w:pPr>
            <w:r w:rsidRPr="00591F88">
              <w:rPr>
                <w:rFonts w:eastAsia="Times New Roman" w:cs="Times New Roman"/>
                <w:b/>
                <w:bCs/>
                <w:color w:val="000000"/>
                <w:sz w:val="18"/>
                <w:szCs w:val="18"/>
                <w:lang w:eastAsia="sk-SK"/>
              </w:rPr>
              <w:t>v %</w:t>
            </w:r>
          </w:p>
        </w:tc>
      </w:tr>
      <w:tr w:rsidR="00B41352" w:rsidRPr="00591F88" w14:paraId="1C97B782" w14:textId="77777777" w:rsidTr="006A0B96">
        <w:trPr>
          <w:trHeight w:val="345"/>
        </w:trPr>
        <w:tc>
          <w:tcPr>
            <w:tcW w:w="2835" w:type="dxa"/>
            <w:vMerge/>
            <w:tcBorders>
              <w:left w:val="nil"/>
              <w:bottom w:val="single" w:sz="8" w:space="0" w:color="auto"/>
              <w:right w:val="nil"/>
            </w:tcBorders>
            <w:shd w:val="clear" w:color="auto" w:fill="auto"/>
            <w:vAlign w:val="center"/>
            <w:hideMark/>
          </w:tcPr>
          <w:p w14:paraId="3879819A" w14:textId="5A507039" w:rsidR="00B41352" w:rsidRPr="00591F88" w:rsidRDefault="00B41352" w:rsidP="00B768D9">
            <w:pPr>
              <w:spacing w:after="0" w:line="240" w:lineRule="auto"/>
              <w:jc w:val="left"/>
              <w:rPr>
                <w:rFonts w:eastAsia="Times New Roman" w:cs="Times New Roman"/>
                <w:b/>
                <w:bCs/>
                <w:color w:val="FFFFFF"/>
                <w:sz w:val="18"/>
                <w:szCs w:val="18"/>
                <w:lang w:eastAsia="sk-SK"/>
              </w:rPr>
            </w:pPr>
          </w:p>
        </w:tc>
        <w:tc>
          <w:tcPr>
            <w:tcW w:w="993" w:type="dxa"/>
            <w:tcBorders>
              <w:top w:val="nil"/>
              <w:left w:val="nil"/>
              <w:bottom w:val="single" w:sz="8" w:space="0" w:color="auto"/>
              <w:right w:val="nil"/>
            </w:tcBorders>
            <w:shd w:val="clear" w:color="auto" w:fill="auto"/>
            <w:vAlign w:val="center"/>
            <w:hideMark/>
          </w:tcPr>
          <w:p w14:paraId="286DBB93" w14:textId="77777777" w:rsidR="00B41352" w:rsidRPr="00591F88" w:rsidRDefault="00B41352" w:rsidP="00B768D9">
            <w:pPr>
              <w:spacing w:after="0" w:line="240" w:lineRule="auto"/>
              <w:jc w:val="center"/>
              <w:rPr>
                <w:rFonts w:eastAsia="Times New Roman" w:cs="Times New Roman"/>
                <w:b/>
                <w:bCs/>
                <w:sz w:val="18"/>
                <w:szCs w:val="18"/>
                <w:lang w:eastAsia="sk-SK"/>
              </w:rPr>
            </w:pPr>
            <w:r w:rsidRPr="00591F88">
              <w:rPr>
                <w:rFonts w:eastAsia="Times New Roman" w:cs="Times New Roman"/>
                <w:b/>
                <w:bCs/>
                <w:sz w:val="18"/>
                <w:szCs w:val="18"/>
                <w:lang w:eastAsia="sk-SK"/>
              </w:rPr>
              <w:t>1</w:t>
            </w:r>
          </w:p>
        </w:tc>
        <w:tc>
          <w:tcPr>
            <w:tcW w:w="850" w:type="dxa"/>
            <w:tcBorders>
              <w:top w:val="nil"/>
              <w:left w:val="nil"/>
              <w:bottom w:val="single" w:sz="8" w:space="0" w:color="auto"/>
              <w:right w:val="nil"/>
            </w:tcBorders>
            <w:shd w:val="clear" w:color="auto" w:fill="auto"/>
            <w:vAlign w:val="center"/>
            <w:hideMark/>
          </w:tcPr>
          <w:p w14:paraId="14C1CCF3" w14:textId="77777777" w:rsidR="00B41352" w:rsidRPr="00591F88" w:rsidRDefault="00B41352" w:rsidP="00B768D9">
            <w:pPr>
              <w:spacing w:after="0" w:line="240" w:lineRule="auto"/>
              <w:jc w:val="center"/>
              <w:rPr>
                <w:rFonts w:eastAsia="Times New Roman" w:cs="Times New Roman"/>
                <w:b/>
                <w:bCs/>
                <w:sz w:val="18"/>
                <w:szCs w:val="18"/>
                <w:lang w:eastAsia="sk-SK"/>
              </w:rPr>
            </w:pPr>
            <w:r w:rsidRPr="00591F88">
              <w:rPr>
                <w:rFonts w:eastAsia="Times New Roman" w:cs="Times New Roman"/>
                <w:b/>
                <w:bCs/>
                <w:sz w:val="18"/>
                <w:szCs w:val="18"/>
                <w:lang w:eastAsia="sk-SK"/>
              </w:rPr>
              <w:t>2</w:t>
            </w:r>
          </w:p>
        </w:tc>
        <w:tc>
          <w:tcPr>
            <w:tcW w:w="851" w:type="dxa"/>
            <w:tcBorders>
              <w:top w:val="nil"/>
              <w:left w:val="nil"/>
              <w:bottom w:val="single" w:sz="8" w:space="0" w:color="auto"/>
              <w:right w:val="nil"/>
            </w:tcBorders>
            <w:shd w:val="clear" w:color="auto" w:fill="auto"/>
            <w:vAlign w:val="center"/>
            <w:hideMark/>
          </w:tcPr>
          <w:p w14:paraId="69E031E2" w14:textId="77777777" w:rsidR="00B41352" w:rsidRPr="00591F88" w:rsidRDefault="00B41352" w:rsidP="00B768D9">
            <w:pPr>
              <w:spacing w:after="0" w:line="240" w:lineRule="auto"/>
              <w:jc w:val="center"/>
              <w:rPr>
                <w:rFonts w:eastAsia="Times New Roman" w:cs="Times New Roman"/>
                <w:b/>
                <w:bCs/>
                <w:sz w:val="18"/>
                <w:szCs w:val="18"/>
                <w:lang w:eastAsia="sk-SK"/>
              </w:rPr>
            </w:pPr>
            <w:r w:rsidRPr="00591F88">
              <w:rPr>
                <w:rFonts w:eastAsia="Times New Roman" w:cs="Times New Roman"/>
                <w:b/>
                <w:bCs/>
                <w:sz w:val="18"/>
                <w:szCs w:val="18"/>
                <w:lang w:eastAsia="sk-SK"/>
              </w:rPr>
              <w:t>3</w:t>
            </w:r>
          </w:p>
        </w:tc>
        <w:tc>
          <w:tcPr>
            <w:tcW w:w="992" w:type="dxa"/>
            <w:tcBorders>
              <w:top w:val="nil"/>
              <w:left w:val="nil"/>
              <w:bottom w:val="single" w:sz="8" w:space="0" w:color="auto"/>
              <w:right w:val="nil"/>
            </w:tcBorders>
            <w:shd w:val="clear" w:color="auto" w:fill="auto"/>
            <w:vAlign w:val="center"/>
            <w:hideMark/>
          </w:tcPr>
          <w:p w14:paraId="58E6A05D" w14:textId="77777777" w:rsidR="00B41352" w:rsidRPr="00591F88" w:rsidRDefault="00B41352" w:rsidP="00B768D9">
            <w:pPr>
              <w:spacing w:after="0" w:line="240" w:lineRule="auto"/>
              <w:jc w:val="center"/>
              <w:rPr>
                <w:rFonts w:eastAsia="Times New Roman" w:cs="Times New Roman"/>
                <w:b/>
                <w:bCs/>
                <w:sz w:val="18"/>
                <w:szCs w:val="18"/>
                <w:lang w:eastAsia="sk-SK"/>
              </w:rPr>
            </w:pPr>
            <w:r w:rsidRPr="00591F88">
              <w:rPr>
                <w:rFonts w:eastAsia="Times New Roman" w:cs="Times New Roman"/>
                <w:b/>
                <w:bCs/>
                <w:sz w:val="18"/>
                <w:szCs w:val="18"/>
                <w:lang w:eastAsia="sk-SK"/>
              </w:rPr>
              <w:t>4</w:t>
            </w:r>
          </w:p>
        </w:tc>
        <w:tc>
          <w:tcPr>
            <w:tcW w:w="850" w:type="dxa"/>
            <w:tcBorders>
              <w:top w:val="nil"/>
              <w:left w:val="nil"/>
              <w:bottom w:val="single" w:sz="8" w:space="0" w:color="auto"/>
              <w:right w:val="nil"/>
            </w:tcBorders>
            <w:shd w:val="clear" w:color="auto" w:fill="auto"/>
            <w:vAlign w:val="center"/>
            <w:hideMark/>
          </w:tcPr>
          <w:p w14:paraId="22A2F3E4" w14:textId="77777777" w:rsidR="00B41352" w:rsidRPr="00591F88" w:rsidRDefault="00B41352" w:rsidP="00B768D9">
            <w:pPr>
              <w:spacing w:after="0" w:line="240" w:lineRule="auto"/>
              <w:jc w:val="center"/>
              <w:rPr>
                <w:rFonts w:eastAsia="Times New Roman" w:cs="Times New Roman"/>
                <w:b/>
                <w:bCs/>
                <w:sz w:val="18"/>
                <w:szCs w:val="18"/>
                <w:lang w:eastAsia="sk-SK"/>
              </w:rPr>
            </w:pPr>
            <w:r w:rsidRPr="00591F88">
              <w:rPr>
                <w:rFonts w:eastAsia="Times New Roman" w:cs="Times New Roman"/>
                <w:b/>
                <w:bCs/>
                <w:sz w:val="18"/>
                <w:szCs w:val="18"/>
                <w:lang w:eastAsia="sk-SK"/>
              </w:rPr>
              <w:t>5</w:t>
            </w:r>
          </w:p>
        </w:tc>
        <w:tc>
          <w:tcPr>
            <w:tcW w:w="993" w:type="dxa"/>
            <w:tcBorders>
              <w:top w:val="nil"/>
              <w:left w:val="nil"/>
              <w:bottom w:val="single" w:sz="8" w:space="0" w:color="auto"/>
              <w:right w:val="nil"/>
            </w:tcBorders>
            <w:shd w:val="clear" w:color="auto" w:fill="auto"/>
            <w:vAlign w:val="center"/>
            <w:hideMark/>
          </w:tcPr>
          <w:p w14:paraId="60733F14" w14:textId="77777777" w:rsidR="00B41352" w:rsidRPr="00591F88" w:rsidRDefault="00B41352" w:rsidP="00B768D9">
            <w:pPr>
              <w:spacing w:after="0" w:line="240" w:lineRule="auto"/>
              <w:jc w:val="center"/>
              <w:rPr>
                <w:rFonts w:eastAsia="Times New Roman" w:cs="Times New Roman"/>
                <w:b/>
                <w:bCs/>
                <w:sz w:val="18"/>
                <w:szCs w:val="18"/>
                <w:lang w:eastAsia="sk-SK"/>
              </w:rPr>
            </w:pPr>
            <w:r w:rsidRPr="00591F88">
              <w:rPr>
                <w:rFonts w:eastAsia="Times New Roman" w:cs="Times New Roman"/>
                <w:b/>
                <w:bCs/>
                <w:sz w:val="18"/>
                <w:szCs w:val="18"/>
                <w:lang w:eastAsia="sk-SK"/>
              </w:rPr>
              <w:t>6=4-3</w:t>
            </w:r>
          </w:p>
        </w:tc>
        <w:tc>
          <w:tcPr>
            <w:tcW w:w="850" w:type="dxa"/>
            <w:tcBorders>
              <w:top w:val="nil"/>
              <w:left w:val="nil"/>
              <w:bottom w:val="single" w:sz="8" w:space="0" w:color="auto"/>
              <w:right w:val="nil"/>
            </w:tcBorders>
            <w:shd w:val="clear" w:color="auto" w:fill="auto"/>
            <w:vAlign w:val="center"/>
            <w:hideMark/>
          </w:tcPr>
          <w:p w14:paraId="4047C685" w14:textId="77777777" w:rsidR="00B41352" w:rsidRPr="00591F88" w:rsidRDefault="00B41352" w:rsidP="00B768D9">
            <w:pPr>
              <w:spacing w:after="0" w:line="240" w:lineRule="auto"/>
              <w:jc w:val="center"/>
              <w:rPr>
                <w:rFonts w:eastAsia="Times New Roman" w:cs="Times New Roman"/>
                <w:b/>
                <w:bCs/>
                <w:sz w:val="18"/>
                <w:szCs w:val="18"/>
                <w:lang w:eastAsia="sk-SK"/>
              </w:rPr>
            </w:pPr>
            <w:r w:rsidRPr="00591F88">
              <w:rPr>
                <w:rFonts w:eastAsia="Times New Roman" w:cs="Times New Roman"/>
                <w:b/>
                <w:bCs/>
                <w:sz w:val="18"/>
                <w:szCs w:val="18"/>
                <w:lang w:eastAsia="sk-SK"/>
              </w:rPr>
              <w:t>7=4-3</w:t>
            </w:r>
          </w:p>
        </w:tc>
      </w:tr>
      <w:tr w:rsidR="00A57E96" w:rsidRPr="00591F88" w14:paraId="178666C4" w14:textId="77777777" w:rsidTr="007961A0">
        <w:trPr>
          <w:trHeight w:val="360"/>
        </w:trPr>
        <w:tc>
          <w:tcPr>
            <w:tcW w:w="2835" w:type="dxa"/>
            <w:tcBorders>
              <w:top w:val="nil"/>
              <w:left w:val="nil"/>
              <w:bottom w:val="nil"/>
              <w:right w:val="nil"/>
            </w:tcBorders>
            <w:shd w:val="clear" w:color="000000" w:fill="FFFFFF"/>
            <w:vAlign w:val="center"/>
            <w:hideMark/>
          </w:tcPr>
          <w:p w14:paraId="0367ABE1" w14:textId="77777777" w:rsidR="00A57E96" w:rsidRPr="00591F88" w:rsidRDefault="00A57E96" w:rsidP="00B768D9">
            <w:pPr>
              <w:spacing w:after="0" w:line="240" w:lineRule="auto"/>
              <w:jc w:val="left"/>
              <w:rPr>
                <w:rFonts w:eastAsia="Times New Roman" w:cs="Times New Roman"/>
                <w:color w:val="000000"/>
                <w:sz w:val="18"/>
                <w:szCs w:val="18"/>
                <w:lang w:eastAsia="sk-SK"/>
              </w:rPr>
            </w:pPr>
            <w:r w:rsidRPr="00591F88">
              <w:rPr>
                <w:rFonts w:eastAsia="Times New Roman" w:cs="Times New Roman"/>
                <w:color w:val="000000"/>
                <w:sz w:val="18"/>
                <w:szCs w:val="18"/>
                <w:lang w:eastAsia="sk-SK"/>
              </w:rPr>
              <w:t>Ministerstvo školstva, vedy, výskumu a športu SR</w:t>
            </w:r>
          </w:p>
        </w:tc>
        <w:tc>
          <w:tcPr>
            <w:tcW w:w="993" w:type="dxa"/>
            <w:tcBorders>
              <w:top w:val="nil"/>
              <w:left w:val="nil"/>
              <w:bottom w:val="nil"/>
              <w:right w:val="nil"/>
            </w:tcBorders>
            <w:shd w:val="clear" w:color="auto" w:fill="auto"/>
            <w:noWrap/>
            <w:vAlign w:val="center"/>
            <w:hideMark/>
          </w:tcPr>
          <w:p w14:paraId="3B398C50"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540 949</w:t>
            </w:r>
          </w:p>
        </w:tc>
        <w:tc>
          <w:tcPr>
            <w:tcW w:w="850" w:type="dxa"/>
            <w:tcBorders>
              <w:top w:val="nil"/>
              <w:left w:val="nil"/>
              <w:bottom w:val="nil"/>
              <w:right w:val="nil"/>
            </w:tcBorders>
            <w:shd w:val="clear" w:color="auto" w:fill="auto"/>
            <w:noWrap/>
            <w:vAlign w:val="center"/>
            <w:hideMark/>
          </w:tcPr>
          <w:p w14:paraId="29C8AE08"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554 655</w:t>
            </w:r>
          </w:p>
        </w:tc>
        <w:tc>
          <w:tcPr>
            <w:tcW w:w="851" w:type="dxa"/>
            <w:tcBorders>
              <w:top w:val="nil"/>
              <w:left w:val="nil"/>
              <w:bottom w:val="nil"/>
              <w:right w:val="nil"/>
            </w:tcBorders>
            <w:shd w:val="clear" w:color="000000" w:fill="FFFFFF"/>
            <w:noWrap/>
            <w:vAlign w:val="center"/>
            <w:hideMark/>
          </w:tcPr>
          <w:p w14:paraId="12C94200"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606 067</w:t>
            </w:r>
          </w:p>
        </w:tc>
        <w:tc>
          <w:tcPr>
            <w:tcW w:w="992" w:type="dxa"/>
            <w:tcBorders>
              <w:top w:val="nil"/>
              <w:left w:val="nil"/>
              <w:bottom w:val="nil"/>
              <w:right w:val="nil"/>
            </w:tcBorders>
            <w:shd w:val="clear" w:color="auto" w:fill="auto"/>
            <w:noWrap/>
            <w:vAlign w:val="center"/>
            <w:hideMark/>
          </w:tcPr>
          <w:p w14:paraId="4DF5AC5A"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644 844</w:t>
            </w:r>
          </w:p>
        </w:tc>
        <w:tc>
          <w:tcPr>
            <w:tcW w:w="850" w:type="dxa"/>
            <w:tcBorders>
              <w:top w:val="nil"/>
              <w:left w:val="nil"/>
              <w:bottom w:val="nil"/>
              <w:right w:val="nil"/>
            </w:tcBorders>
            <w:shd w:val="clear" w:color="auto" w:fill="auto"/>
            <w:noWrap/>
            <w:vAlign w:val="center"/>
            <w:hideMark/>
          </w:tcPr>
          <w:p w14:paraId="64E1D4EE"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635 542</w:t>
            </w:r>
          </w:p>
        </w:tc>
        <w:tc>
          <w:tcPr>
            <w:tcW w:w="993" w:type="dxa"/>
            <w:tcBorders>
              <w:top w:val="nil"/>
              <w:left w:val="nil"/>
              <w:bottom w:val="nil"/>
              <w:right w:val="nil"/>
            </w:tcBorders>
            <w:shd w:val="clear" w:color="000000" w:fill="FFFFFF"/>
            <w:vAlign w:val="center"/>
            <w:hideMark/>
          </w:tcPr>
          <w:p w14:paraId="46B29F4E"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38 777</w:t>
            </w:r>
          </w:p>
        </w:tc>
        <w:tc>
          <w:tcPr>
            <w:tcW w:w="850" w:type="dxa"/>
            <w:tcBorders>
              <w:top w:val="nil"/>
              <w:left w:val="nil"/>
              <w:bottom w:val="nil"/>
              <w:right w:val="nil"/>
            </w:tcBorders>
            <w:shd w:val="clear" w:color="000000" w:fill="FFFFFF"/>
            <w:vAlign w:val="center"/>
            <w:hideMark/>
          </w:tcPr>
          <w:p w14:paraId="4D963BF1"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6,4</w:t>
            </w:r>
          </w:p>
        </w:tc>
      </w:tr>
      <w:tr w:rsidR="00A57E96" w:rsidRPr="00591F88" w14:paraId="202391D4" w14:textId="77777777" w:rsidTr="007961A0">
        <w:trPr>
          <w:trHeight w:val="360"/>
        </w:trPr>
        <w:tc>
          <w:tcPr>
            <w:tcW w:w="2835" w:type="dxa"/>
            <w:tcBorders>
              <w:top w:val="nil"/>
              <w:left w:val="nil"/>
              <w:bottom w:val="nil"/>
              <w:right w:val="nil"/>
            </w:tcBorders>
            <w:shd w:val="clear" w:color="000000" w:fill="FFFFFF"/>
            <w:noWrap/>
            <w:vAlign w:val="center"/>
            <w:hideMark/>
          </w:tcPr>
          <w:p w14:paraId="1A213B5B" w14:textId="77777777" w:rsidR="00A57E96" w:rsidRPr="00591F88" w:rsidRDefault="00A57E96" w:rsidP="00B768D9">
            <w:pPr>
              <w:spacing w:after="0" w:line="240" w:lineRule="auto"/>
              <w:jc w:val="left"/>
              <w:rPr>
                <w:rFonts w:eastAsia="Times New Roman" w:cs="Times New Roman"/>
                <w:color w:val="000000"/>
                <w:sz w:val="18"/>
                <w:szCs w:val="18"/>
                <w:lang w:eastAsia="sk-SK"/>
              </w:rPr>
            </w:pPr>
            <w:r w:rsidRPr="00591F88">
              <w:rPr>
                <w:rFonts w:eastAsia="Times New Roman" w:cs="Times New Roman"/>
                <w:color w:val="000000"/>
                <w:sz w:val="18"/>
                <w:szCs w:val="18"/>
                <w:lang w:eastAsia="sk-SK"/>
              </w:rPr>
              <w:t xml:space="preserve">Ministerstvo investícií, reg. rozvoja a </w:t>
            </w:r>
            <w:proofErr w:type="spellStart"/>
            <w:r w:rsidRPr="00591F88">
              <w:rPr>
                <w:rFonts w:eastAsia="Times New Roman" w:cs="Times New Roman"/>
                <w:color w:val="000000"/>
                <w:sz w:val="18"/>
                <w:szCs w:val="18"/>
                <w:lang w:eastAsia="sk-SK"/>
              </w:rPr>
              <w:t>informatiz</w:t>
            </w:r>
            <w:proofErr w:type="spellEnd"/>
            <w:r w:rsidRPr="00591F88">
              <w:rPr>
                <w:rFonts w:eastAsia="Times New Roman" w:cs="Times New Roman"/>
                <w:color w:val="000000"/>
                <w:sz w:val="18"/>
                <w:szCs w:val="18"/>
                <w:lang w:eastAsia="sk-SK"/>
              </w:rPr>
              <w:t>. SR</w:t>
            </w:r>
          </w:p>
        </w:tc>
        <w:tc>
          <w:tcPr>
            <w:tcW w:w="993" w:type="dxa"/>
            <w:tcBorders>
              <w:top w:val="nil"/>
              <w:left w:val="nil"/>
              <w:bottom w:val="nil"/>
              <w:right w:val="nil"/>
            </w:tcBorders>
            <w:shd w:val="clear" w:color="auto" w:fill="auto"/>
            <w:noWrap/>
            <w:vAlign w:val="center"/>
            <w:hideMark/>
          </w:tcPr>
          <w:p w14:paraId="07EED6D9"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31 620</w:t>
            </w:r>
          </w:p>
        </w:tc>
        <w:tc>
          <w:tcPr>
            <w:tcW w:w="850" w:type="dxa"/>
            <w:tcBorders>
              <w:top w:val="nil"/>
              <w:left w:val="nil"/>
              <w:bottom w:val="nil"/>
              <w:right w:val="nil"/>
            </w:tcBorders>
            <w:shd w:val="clear" w:color="auto" w:fill="auto"/>
            <w:noWrap/>
            <w:vAlign w:val="center"/>
            <w:hideMark/>
          </w:tcPr>
          <w:p w14:paraId="70B4EC90"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37 115</w:t>
            </w:r>
          </w:p>
        </w:tc>
        <w:tc>
          <w:tcPr>
            <w:tcW w:w="851" w:type="dxa"/>
            <w:tcBorders>
              <w:top w:val="nil"/>
              <w:left w:val="nil"/>
              <w:bottom w:val="nil"/>
              <w:right w:val="nil"/>
            </w:tcBorders>
            <w:shd w:val="clear" w:color="000000" w:fill="FFFFFF"/>
            <w:noWrap/>
            <w:vAlign w:val="center"/>
            <w:hideMark/>
          </w:tcPr>
          <w:p w14:paraId="67E4572E"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1 654</w:t>
            </w:r>
          </w:p>
        </w:tc>
        <w:tc>
          <w:tcPr>
            <w:tcW w:w="992" w:type="dxa"/>
            <w:tcBorders>
              <w:top w:val="nil"/>
              <w:left w:val="nil"/>
              <w:bottom w:val="nil"/>
              <w:right w:val="nil"/>
            </w:tcBorders>
            <w:shd w:val="clear" w:color="auto" w:fill="auto"/>
            <w:noWrap/>
            <w:vAlign w:val="center"/>
            <w:hideMark/>
          </w:tcPr>
          <w:p w14:paraId="3DF17E1E"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300 754</w:t>
            </w:r>
          </w:p>
        </w:tc>
        <w:tc>
          <w:tcPr>
            <w:tcW w:w="850" w:type="dxa"/>
            <w:tcBorders>
              <w:top w:val="nil"/>
              <w:left w:val="nil"/>
              <w:bottom w:val="nil"/>
              <w:right w:val="nil"/>
            </w:tcBorders>
            <w:shd w:val="clear" w:color="auto" w:fill="auto"/>
            <w:noWrap/>
            <w:vAlign w:val="center"/>
            <w:hideMark/>
          </w:tcPr>
          <w:p w14:paraId="748008C8"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x</w:t>
            </w:r>
          </w:p>
        </w:tc>
        <w:tc>
          <w:tcPr>
            <w:tcW w:w="993" w:type="dxa"/>
            <w:tcBorders>
              <w:top w:val="nil"/>
              <w:left w:val="nil"/>
              <w:bottom w:val="nil"/>
              <w:right w:val="nil"/>
            </w:tcBorders>
            <w:shd w:val="clear" w:color="000000" w:fill="FFFFFF"/>
            <w:vAlign w:val="center"/>
            <w:hideMark/>
          </w:tcPr>
          <w:p w14:paraId="6EDDD039"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299 100</w:t>
            </w:r>
          </w:p>
        </w:tc>
        <w:tc>
          <w:tcPr>
            <w:tcW w:w="850" w:type="dxa"/>
            <w:tcBorders>
              <w:top w:val="nil"/>
              <w:left w:val="nil"/>
              <w:bottom w:val="nil"/>
              <w:right w:val="nil"/>
            </w:tcBorders>
            <w:shd w:val="clear" w:color="000000" w:fill="FFFFFF"/>
            <w:vAlign w:val="center"/>
            <w:hideMark/>
          </w:tcPr>
          <w:p w14:paraId="4E8A0661"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18 083,4</w:t>
            </w:r>
          </w:p>
        </w:tc>
      </w:tr>
      <w:tr w:rsidR="00A57E96" w:rsidRPr="00591F88" w14:paraId="63120832" w14:textId="77777777" w:rsidTr="007961A0">
        <w:trPr>
          <w:trHeight w:val="360"/>
        </w:trPr>
        <w:tc>
          <w:tcPr>
            <w:tcW w:w="2835" w:type="dxa"/>
            <w:tcBorders>
              <w:top w:val="nil"/>
              <w:left w:val="nil"/>
              <w:bottom w:val="nil"/>
              <w:right w:val="nil"/>
            </w:tcBorders>
            <w:shd w:val="clear" w:color="000000" w:fill="FFFFFF"/>
            <w:noWrap/>
            <w:vAlign w:val="center"/>
            <w:hideMark/>
          </w:tcPr>
          <w:p w14:paraId="0F9E3CA6" w14:textId="77777777" w:rsidR="00A57E96" w:rsidRPr="00591F88" w:rsidRDefault="00A57E96" w:rsidP="00B768D9">
            <w:pPr>
              <w:spacing w:after="0" w:line="240" w:lineRule="auto"/>
              <w:jc w:val="left"/>
              <w:rPr>
                <w:rFonts w:eastAsia="Times New Roman" w:cs="Times New Roman"/>
                <w:color w:val="000000"/>
                <w:sz w:val="18"/>
                <w:szCs w:val="18"/>
                <w:lang w:eastAsia="sk-SK"/>
              </w:rPr>
            </w:pPr>
            <w:r w:rsidRPr="00591F88">
              <w:rPr>
                <w:rFonts w:eastAsia="Times New Roman" w:cs="Times New Roman"/>
                <w:color w:val="000000"/>
                <w:sz w:val="18"/>
                <w:szCs w:val="18"/>
                <w:lang w:eastAsia="sk-SK"/>
              </w:rPr>
              <w:t>Všeobecná pokladničná správa</w:t>
            </w:r>
          </w:p>
        </w:tc>
        <w:tc>
          <w:tcPr>
            <w:tcW w:w="993" w:type="dxa"/>
            <w:tcBorders>
              <w:top w:val="nil"/>
              <w:left w:val="nil"/>
              <w:bottom w:val="nil"/>
              <w:right w:val="nil"/>
            </w:tcBorders>
            <w:shd w:val="clear" w:color="auto" w:fill="auto"/>
            <w:noWrap/>
            <w:vAlign w:val="center"/>
            <w:hideMark/>
          </w:tcPr>
          <w:p w14:paraId="44895C7C"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4 494</w:t>
            </w:r>
          </w:p>
        </w:tc>
        <w:tc>
          <w:tcPr>
            <w:tcW w:w="850" w:type="dxa"/>
            <w:tcBorders>
              <w:top w:val="nil"/>
              <w:left w:val="nil"/>
              <w:bottom w:val="nil"/>
              <w:right w:val="nil"/>
            </w:tcBorders>
            <w:shd w:val="clear" w:color="auto" w:fill="auto"/>
            <w:noWrap/>
            <w:vAlign w:val="center"/>
            <w:hideMark/>
          </w:tcPr>
          <w:p w14:paraId="64ADD304"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0</w:t>
            </w:r>
          </w:p>
        </w:tc>
        <w:tc>
          <w:tcPr>
            <w:tcW w:w="851" w:type="dxa"/>
            <w:tcBorders>
              <w:top w:val="nil"/>
              <w:left w:val="nil"/>
              <w:bottom w:val="nil"/>
              <w:right w:val="nil"/>
            </w:tcBorders>
            <w:shd w:val="clear" w:color="000000" w:fill="FFFFFF"/>
            <w:noWrap/>
            <w:vAlign w:val="center"/>
            <w:hideMark/>
          </w:tcPr>
          <w:p w14:paraId="7B8535B6"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406A9196"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34 600</w:t>
            </w:r>
          </w:p>
        </w:tc>
        <w:tc>
          <w:tcPr>
            <w:tcW w:w="850" w:type="dxa"/>
            <w:tcBorders>
              <w:top w:val="nil"/>
              <w:left w:val="nil"/>
              <w:bottom w:val="nil"/>
              <w:right w:val="nil"/>
            </w:tcBorders>
            <w:shd w:val="clear" w:color="auto" w:fill="auto"/>
            <w:noWrap/>
            <w:vAlign w:val="center"/>
            <w:hideMark/>
          </w:tcPr>
          <w:p w14:paraId="535FF4BE"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33 500</w:t>
            </w:r>
          </w:p>
        </w:tc>
        <w:tc>
          <w:tcPr>
            <w:tcW w:w="993" w:type="dxa"/>
            <w:tcBorders>
              <w:top w:val="nil"/>
              <w:left w:val="nil"/>
              <w:bottom w:val="nil"/>
              <w:right w:val="nil"/>
            </w:tcBorders>
            <w:shd w:val="clear" w:color="000000" w:fill="FFFFFF"/>
            <w:vAlign w:val="center"/>
            <w:hideMark/>
          </w:tcPr>
          <w:p w14:paraId="233D0148"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34 600</w:t>
            </w:r>
          </w:p>
        </w:tc>
        <w:tc>
          <w:tcPr>
            <w:tcW w:w="850" w:type="dxa"/>
            <w:tcBorders>
              <w:top w:val="nil"/>
              <w:left w:val="nil"/>
              <w:bottom w:val="nil"/>
              <w:right w:val="nil"/>
            </w:tcBorders>
            <w:shd w:val="clear" w:color="000000" w:fill="FFFFFF"/>
            <w:vAlign w:val="center"/>
            <w:hideMark/>
          </w:tcPr>
          <w:p w14:paraId="7666DBFA" w14:textId="4078FF02" w:rsidR="00A57E96" w:rsidRPr="00591F88"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A57E96" w:rsidRPr="00591F88" w14:paraId="6E26FF64" w14:textId="77777777" w:rsidTr="007961A0">
        <w:trPr>
          <w:trHeight w:val="360"/>
        </w:trPr>
        <w:tc>
          <w:tcPr>
            <w:tcW w:w="2835" w:type="dxa"/>
            <w:tcBorders>
              <w:top w:val="nil"/>
              <w:left w:val="nil"/>
              <w:bottom w:val="nil"/>
              <w:right w:val="nil"/>
            </w:tcBorders>
            <w:shd w:val="clear" w:color="000000" w:fill="FFFFFF"/>
            <w:vAlign w:val="center"/>
            <w:hideMark/>
          </w:tcPr>
          <w:p w14:paraId="45D1421A" w14:textId="77777777" w:rsidR="00A57E96" w:rsidRPr="00591F88" w:rsidRDefault="00A57E96" w:rsidP="00B768D9">
            <w:pPr>
              <w:spacing w:after="0" w:line="240" w:lineRule="auto"/>
              <w:jc w:val="left"/>
              <w:rPr>
                <w:rFonts w:eastAsia="Times New Roman" w:cs="Times New Roman"/>
                <w:color w:val="000000"/>
                <w:sz w:val="18"/>
                <w:szCs w:val="18"/>
                <w:lang w:eastAsia="sk-SK"/>
              </w:rPr>
            </w:pPr>
            <w:r w:rsidRPr="00591F88">
              <w:rPr>
                <w:rFonts w:eastAsia="Times New Roman" w:cs="Times New Roman"/>
                <w:color w:val="000000"/>
                <w:sz w:val="18"/>
                <w:szCs w:val="18"/>
                <w:lang w:eastAsia="sk-SK"/>
              </w:rPr>
              <w:t xml:space="preserve">Ministerstvo práce, </w:t>
            </w:r>
            <w:proofErr w:type="spellStart"/>
            <w:r w:rsidRPr="00591F88">
              <w:rPr>
                <w:rFonts w:eastAsia="Times New Roman" w:cs="Times New Roman"/>
                <w:color w:val="000000"/>
                <w:sz w:val="18"/>
                <w:szCs w:val="18"/>
                <w:lang w:eastAsia="sk-SK"/>
              </w:rPr>
              <w:t>soc.vecí</w:t>
            </w:r>
            <w:proofErr w:type="spellEnd"/>
            <w:r w:rsidRPr="00591F88">
              <w:rPr>
                <w:rFonts w:eastAsia="Times New Roman" w:cs="Times New Roman"/>
                <w:color w:val="000000"/>
                <w:sz w:val="18"/>
                <w:szCs w:val="18"/>
                <w:lang w:eastAsia="sk-SK"/>
              </w:rPr>
              <w:t xml:space="preserve"> a rodiny SR</w:t>
            </w:r>
          </w:p>
        </w:tc>
        <w:tc>
          <w:tcPr>
            <w:tcW w:w="993" w:type="dxa"/>
            <w:tcBorders>
              <w:top w:val="nil"/>
              <w:left w:val="nil"/>
              <w:bottom w:val="nil"/>
              <w:right w:val="nil"/>
            </w:tcBorders>
            <w:shd w:val="clear" w:color="auto" w:fill="auto"/>
            <w:noWrap/>
            <w:vAlign w:val="center"/>
            <w:hideMark/>
          </w:tcPr>
          <w:p w14:paraId="07E1B46B"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1 712</w:t>
            </w:r>
          </w:p>
        </w:tc>
        <w:tc>
          <w:tcPr>
            <w:tcW w:w="850" w:type="dxa"/>
            <w:tcBorders>
              <w:top w:val="nil"/>
              <w:left w:val="nil"/>
              <w:bottom w:val="nil"/>
              <w:right w:val="nil"/>
            </w:tcBorders>
            <w:shd w:val="clear" w:color="auto" w:fill="auto"/>
            <w:noWrap/>
            <w:vAlign w:val="center"/>
            <w:hideMark/>
          </w:tcPr>
          <w:p w14:paraId="78D31F98"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10 569</w:t>
            </w:r>
          </w:p>
        </w:tc>
        <w:tc>
          <w:tcPr>
            <w:tcW w:w="851" w:type="dxa"/>
            <w:tcBorders>
              <w:top w:val="nil"/>
              <w:left w:val="nil"/>
              <w:bottom w:val="nil"/>
              <w:right w:val="nil"/>
            </w:tcBorders>
            <w:shd w:val="clear" w:color="000000" w:fill="FFFFFF"/>
            <w:noWrap/>
            <w:vAlign w:val="center"/>
            <w:hideMark/>
          </w:tcPr>
          <w:p w14:paraId="5670094C"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350</w:t>
            </w:r>
          </w:p>
        </w:tc>
        <w:tc>
          <w:tcPr>
            <w:tcW w:w="992" w:type="dxa"/>
            <w:tcBorders>
              <w:top w:val="nil"/>
              <w:left w:val="nil"/>
              <w:bottom w:val="nil"/>
              <w:right w:val="nil"/>
            </w:tcBorders>
            <w:shd w:val="clear" w:color="auto" w:fill="auto"/>
            <w:noWrap/>
            <w:vAlign w:val="center"/>
            <w:hideMark/>
          </w:tcPr>
          <w:p w14:paraId="232184D9"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20 591</w:t>
            </w:r>
          </w:p>
        </w:tc>
        <w:tc>
          <w:tcPr>
            <w:tcW w:w="850" w:type="dxa"/>
            <w:tcBorders>
              <w:top w:val="nil"/>
              <w:left w:val="nil"/>
              <w:bottom w:val="nil"/>
              <w:right w:val="nil"/>
            </w:tcBorders>
            <w:shd w:val="clear" w:color="auto" w:fill="auto"/>
            <w:noWrap/>
            <w:vAlign w:val="center"/>
            <w:hideMark/>
          </w:tcPr>
          <w:p w14:paraId="57F2434F"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19 541</w:t>
            </w:r>
          </w:p>
        </w:tc>
        <w:tc>
          <w:tcPr>
            <w:tcW w:w="993" w:type="dxa"/>
            <w:tcBorders>
              <w:top w:val="nil"/>
              <w:left w:val="nil"/>
              <w:bottom w:val="nil"/>
              <w:right w:val="nil"/>
            </w:tcBorders>
            <w:shd w:val="clear" w:color="000000" w:fill="FFFFFF"/>
            <w:vAlign w:val="center"/>
            <w:hideMark/>
          </w:tcPr>
          <w:p w14:paraId="040D1CAC"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20 241</w:t>
            </w:r>
          </w:p>
        </w:tc>
        <w:tc>
          <w:tcPr>
            <w:tcW w:w="850" w:type="dxa"/>
            <w:tcBorders>
              <w:top w:val="nil"/>
              <w:left w:val="nil"/>
              <w:bottom w:val="nil"/>
              <w:right w:val="nil"/>
            </w:tcBorders>
            <w:shd w:val="clear" w:color="000000" w:fill="FFFFFF"/>
            <w:vAlign w:val="center"/>
            <w:hideMark/>
          </w:tcPr>
          <w:p w14:paraId="0611A657"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5 783,1</w:t>
            </w:r>
          </w:p>
        </w:tc>
      </w:tr>
      <w:tr w:rsidR="00A57E96" w:rsidRPr="00591F88" w14:paraId="5898F59C" w14:textId="77777777" w:rsidTr="007961A0">
        <w:trPr>
          <w:trHeight w:val="360"/>
        </w:trPr>
        <w:tc>
          <w:tcPr>
            <w:tcW w:w="2835" w:type="dxa"/>
            <w:tcBorders>
              <w:top w:val="nil"/>
              <w:left w:val="nil"/>
              <w:bottom w:val="nil"/>
              <w:right w:val="nil"/>
            </w:tcBorders>
            <w:shd w:val="clear" w:color="000000" w:fill="FFFFFF"/>
            <w:vAlign w:val="center"/>
            <w:hideMark/>
          </w:tcPr>
          <w:p w14:paraId="69208A79" w14:textId="77777777" w:rsidR="00A57E96" w:rsidRPr="00591F88" w:rsidRDefault="00A57E96" w:rsidP="00B768D9">
            <w:pPr>
              <w:spacing w:after="0" w:line="240" w:lineRule="auto"/>
              <w:jc w:val="left"/>
              <w:rPr>
                <w:rFonts w:eastAsia="Times New Roman" w:cs="Times New Roman"/>
                <w:color w:val="000000"/>
                <w:sz w:val="18"/>
                <w:szCs w:val="18"/>
                <w:lang w:eastAsia="sk-SK"/>
              </w:rPr>
            </w:pPr>
            <w:r w:rsidRPr="00591F88">
              <w:rPr>
                <w:rFonts w:eastAsia="Times New Roman" w:cs="Times New Roman"/>
                <w:color w:val="000000"/>
                <w:sz w:val="18"/>
                <w:szCs w:val="18"/>
                <w:lang w:eastAsia="sk-SK"/>
              </w:rPr>
              <w:t>Ministerstvo životného prostredia SR</w:t>
            </w:r>
          </w:p>
        </w:tc>
        <w:tc>
          <w:tcPr>
            <w:tcW w:w="993" w:type="dxa"/>
            <w:tcBorders>
              <w:top w:val="nil"/>
              <w:left w:val="nil"/>
              <w:bottom w:val="nil"/>
              <w:right w:val="nil"/>
            </w:tcBorders>
            <w:shd w:val="clear" w:color="auto" w:fill="auto"/>
            <w:noWrap/>
            <w:vAlign w:val="center"/>
            <w:hideMark/>
          </w:tcPr>
          <w:p w14:paraId="206D3A92"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683</w:t>
            </w:r>
          </w:p>
        </w:tc>
        <w:tc>
          <w:tcPr>
            <w:tcW w:w="850" w:type="dxa"/>
            <w:tcBorders>
              <w:top w:val="nil"/>
              <w:left w:val="nil"/>
              <w:bottom w:val="nil"/>
              <w:right w:val="nil"/>
            </w:tcBorders>
            <w:shd w:val="clear" w:color="auto" w:fill="auto"/>
            <w:noWrap/>
            <w:vAlign w:val="center"/>
            <w:hideMark/>
          </w:tcPr>
          <w:p w14:paraId="196CBB1F"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397</w:t>
            </w:r>
          </w:p>
        </w:tc>
        <w:tc>
          <w:tcPr>
            <w:tcW w:w="851" w:type="dxa"/>
            <w:tcBorders>
              <w:top w:val="nil"/>
              <w:left w:val="nil"/>
              <w:bottom w:val="nil"/>
              <w:right w:val="nil"/>
            </w:tcBorders>
            <w:shd w:val="clear" w:color="000000" w:fill="FFFFFF"/>
            <w:noWrap/>
            <w:vAlign w:val="center"/>
            <w:hideMark/>
          </w:tcPr>
          <w:p w14:paraId="7B53640F"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49327E72"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6 574</w:t>
            </w:r>
          </w:p>
        </w:tc>
        <w:tc>
          <w:tcPr>
            <w:tcW w:w="850" w:type="dxa"/>
            <w:tcBorders>
              <w:top w:val="nil"/>
              <w:left w:val="nil"/>
              <w:bottom w:val="nil"/>
              <w:right w:val="nil"/>
            </w:tcBorders>
            <w:shd w:val="clear" w:color="auto" w:fill="auto"/>
            <w:noWrap/>
            <w:vAlign w:val="center"/>
            <w:hideMark/>
          </w:tcPr>
          <w:p w14:paraId="3129C3F1"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x</w:t>
            </w:r>
          </w:p>
        </w:tc>
        <w:tc>
          <w:tcPr>
            <w:tcW w:w="993" w:type="dxa"/>
            <w:tcBorders>
              <w:top w:val="nil"/>
              <w:left w:val="nil"/>
              <w:bottom w:val="nil"/>
              <w:right w:val="nil"/>
            </w:tcBorders>
            <w:shd w:val="clear" w:color="000000" w:fill="FFFFFF"/>
            <w:vAlign w:val="center"/>
            <w:hideMark/>
          </w:tcPr>
          <w:p w14:paraId="2A4EB6F0"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6 574</w:t>
            </w:r>
          </w:p>
        </w:tc>
        <w:tc>
          <w:tcPr>
            <w:tcW w:w="850" w:type="dxa"/>
            <w:tcBorders>
              <w:top w:val="nil"/>
              <w:left w:val="nil"/>
              <w:bottom w:val="nil"/>
              <w:right w:val="nil"/>
            </w:tcBorders>
            <w:shd w:val="clear" w:color="000000" w:fill="FFFFFF"/>
            <w:vAlign w:val="center"/>
            <w:hideMark/>
          </w:tcPr>
          <w:p w14:paraId="28CCEC7B" w14:textId="13A5F5D2" w:rsidR="00A57E96" w:rsidRPr="00591F88"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A57E96" w:rsidRPr="00591F88" w14:paraId="4E14A7CF" w14:textId="77777777" w:rsidTr="007961A0">
        <w:trPr>
          <w:trHeight w:val="360"/>
        </w:trPr>
        <w:tc>
          <w:tcPr>
            <w:tcW w:w="2835" w:type="dxa"/>
            <w:tcBorders>
              <w:top w:val="nil"/>
              <w:left w:val="nil"/>
              <w:bottom w:val="nil"/>
              <w:right w:val="nil"/>
            </w:tcBorders>
            <w:shd w:val="clear" w:color="000000" w:fill="FFFFFF"/>
            <w:noWrap/>
            <w:vAlign w:val="center"/>
            <w:hideMark/>
          </w:tcPr>
          <w:p w14:paraId="7F135415" w14:textId="77777777" w:rsidR="00A57E96" w:rsidRPr="00591F88" w:rsidRDefault="00A57E96" w:rsidP="00B768D9">
            <w:pPr>
              <w:spacing w:after="0" w:line="240" w:lineRule="auto"/>
              <w:jc w:val="left"/>
              <w:rPr>
                <w:rFonts w:eastAsia="Times New Roman" w:cs="Times New Roman"/>
                <w:color w:val="000000"/>
                <w:sz w:val="18"/>
                <w:szCs w:val="18"/>
                <w:lang w:eastAsia="sk-SK"/>
              </w:rPr>
            </w:pPr>
            <w:r w:rsidRPr="00591F88">
              <w:rPr>
                <w:rFonts w:eastAsia="Times New Roman" w:cs="Times New Roman"/>
                <w:color w:val="000000"/>
                <w:sz w:val="18"/>
                <w:szCs w:val="18"/>
                <w:lang w:eastAsia="sk-SK"/>
              </w:rPr>
              <w:t>Ministerstvo vnútra SR</w:t>
            </w:r>
          </w:p>
        </w:tc>
        <w:tc>
          <w:tcPr>
            <w:tcW w:w="993" w:type="dxa"/>
            <w:tcBorders>
              <w:top w:val="nil"/>
              <w:left w:val="nil"/>
              <w:bottom w:val="nil"/>
              <w:right w:val="nil"/>
            </w:tcBorders>
            <w:shd w:val="clear" w:color="auto" w:fill="auto"/>
            <w:noWrap/>
            <w:vAlign w:val="center"/>
            <w:hideMark/>
          </w:tcPr>
          <w:p w14:paraId="238DB7D8"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3 475</w:t>
            </w:r>
          </w:p>
        </w:tc>
        <w:tc>
          <w:tcPr>
            <w:tcW w:w="850" w:type="dxa"/>
            <w:tcBorders>
              <w:top w:val="nil"/>
              <w:left w:val="nil"/>
              <w:bottom w:val="nil"/>
              <w:right w:val="nil"/>
            </w:tcBorders>
            <w:shd w:val="clear" w:color="auto" w:fill="auto"/>
            <w:noWrap/>
            <w:vAlign w:val="center"/>
            <w:hideMark/>
          </w:tcPr>
          <w:p w14:paraId="0ED2AA05"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8 486</w:t>
            </w:r>
          </w:p>
        </w:tc>
        <w:tc>
          <w:tcPr>
            <w:tcW w:w="851" w:type="dxa"/>
            <w:tcBorders>
              <w:top w:val="nil"/>
              <w:left w:val="nil"/>
              <w:bottom w:val="nil"/>
              <w:right w:val="nil"/>
            </w:tcBorders>
            <w:shd w:val="clear" w:color="000000" w:fill="FFFFFF"/>
            <w:noWrap/>
            <w:vAlign w:val="center"/>
            <w:hideMark/>
          </w:tcPr>
          <w:p w14:paraId="42D13F68"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707A5E75"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3 885</w:t>
            </w:r>
          </w:p>
        </w:tc>
        <w:tc>
          <w:tcPr>
            <w:tcW w:w="850" w:type="dxa"/>
            <w:tcBorders>
              <w:top w:val="nil"/>
              <w:left w:val="nil"/>
              <w:bottom w:val="nil"/>
              <w:right w:val="nil"/>
            </w:tcBorders>
            <w:shd w:val="clear" w:color="auto" w:fill="auto"/>
            <w:noWrap/>
            <w:vAlign w:val="center"/>
            <w:hideMark/>
          </w:tcPr>
          <w:p w14:paraId="21869B01"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134</w:t>
            </w:r>
          </w:p>
        </w:tc>
        <w:tc>
          <w:tcPr>
            <w:tcW w:w="993" w:type="dxa"/>
            <w:tcBorders>
              <w:top w:val="nil"/>
              <w:left w:val="nil"/>
              <w:bottom w:val="nil"/>
              <w:right w:val="nil"/>
            </w:tcBorders>
            <w:shd w:val="clear" w:color="000000" w:fill="FFFFFF"/>
            <w:vAlign w:val="center"/>
            <w:hideMark/>
          </w:tcPr>
          <w:p w14:paraId="43F52970"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3 885</w:t>
            </w:r>
          </w:p>
        </w:tc>
        <w:tc>
          <w:tcPr>
            <w:tcW w:w="850" w:type="dxa"/>
            <w:tcBorders>
              <w:top w:val="nil"/>
              <w:left w:val="nil"/>
              <w:bottom w:val="nil"/>
              <w:right w:val="nil"/>
            </w:tcBorders>
            <w:shd w:val="clear" w:color="000000" w:fill="FFFFFF"/>
            <w:vAlign w:val="center"/>
            <w:hideMark/>
          </w:tcPr>
          <w:p w14:paraId="2F4390BE" w14:textId="48641A40" w:rsidR="00A57E96" w:rsidRPr="00591F88"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A57E96" w:rsidRPr="00591F88" w14:paraId="2E6FA155" w14:textId="77777777" w:rsidTr="007961A0">
        <w:trPr>
          <w:trHeight w:val="360"/>
        </w:trPr>
        <w:tc>
          <w:tcPr>
            <w:tcW w:w="2835" w:type="dxa"/>
            <w:tcBorders>
              <w:top w:val="nil"/>
              <w:left w:val="nil"/>
              <w:bottom w:val="nil"/>
              <w:right w:val="nil"/>
            </w:tcBorders>
            <w:shd w:val="clear" w:color="000000" w:fill="FFFFFF"/>
            <w:vAlign w:val="center"/>
            <w:hideMark/>
          </w:tcPr>
          <w:p w14:paraId="0976816D" w14:textId="77777777" w:rsidR="00A57E96" w:rsidRPr="00591F88" w:rsidRDefault="00A57E96" w:rsidP="00B768D9">
            <w:pPr>
              <w:spacing w:after="0" w:line="240" w:lineRule="auto"/>
              <w:jc w:val="left"/>
              <w:rPr>
                <w:rFonts w:eastAsia="Times New Roman" w:cs="Times New Roman"/>
                <w:color w:val="000000"/>
                <w:sz w:val="18"/>
                <w:szCs w:val="18"/>
                <w:lang w:eastAsia="sk-SK"/>
              </w:rPr>
            </w:pPr>
            <w:r w:rsidRPr="00591F88">
              <w:rPr>
                <w:rFonts w:eastAsia="Times New Roman" w:cs="Times New Roman"/>
                <w:color w:val="000000"/>
                <w:sz w:val="18"/>
                <w:szCs w:val="18"/>
                <w:lang w:eastAsia="sk-SK"/>
              </w:rPr>
              <w:t>Ministerstvo kultúry SR</w:t>
            </w:r>
          </w:p>
        </w:tc>
        <w:tc>
          <w:tcPr>
            <w:tcW w:w="993" w:type="dxa"/>
            <w:tcBorders>
              <w:top w:val="nil"/>
              <w:left w:val="nil"/>
              <w:bottom w:val="nil"/>
              <w:right w:val="nil"/>
            </w:tcBorders>
            <w:shd w:val="clear" w:color="auto" w:fill="auto"/>
            <w:noWrap/>
            <w:vAlign w:val="center"/>
            <w:hideMark/>
          </w:tcPr>
          <w:p w14:paraId="224FE22E"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382</w:t>
            </w:r>
          </w:p>
        </w:tc>
        <w:tc>
          <w:tcPr>
            <w:tcW w:w="850" w:type="dxa"/>
            <w:tcBorders>
              <w:top w:val="nil"/>
              <w:left w:val="nil"/>
              <w:bottom w:val="nil"/>
              <w:right w:val="nil"/>
            </w:tcBorders>
            <w:shd w:val="clear" w:color="auto" w:fill="auto"/>
            <w:noWrap/>
            <w:vAlign w:val="center"/>
            <w:hideMark/>
          </w:tcPr>
          <w:p w14:paraId="6DA4BF4C"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1 177</w:t>
            </w:r>
          </w:p>
        </w:tc>
        <w:tc>
          <w:tcPr>
            <w:tcW w:w="851" w:type="dxa"/>
            <w:tcBorders>
              <w:top w:val="nil"/>
              <w:left w:val="nil"/>
              <w:bottom w:val="nil"/>
              <w:right w:val="nil"/>
            </w:tcBorders>
            <w:shd w:val="clear" w:color="000000" w:fill="FFFFFF"/>
            <w:noWrap/>
            <w:vAlign w:val="center"/>
            <w:hideMark/>
          </w:tcPr>
          <w:p w14:paraId="644BB67A"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47A44781"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945</w:t>
            </w:r>
          </w:p>
        </w:tc>
        <w:tc>
          <w:tcPr>
            <w:tcW w:w="850" w:type="dxa"/>
            <w:tcBorders>
              <w:top w:val="nil"/>
              <w:left w:val="nil"/>
              <w:bottom w:val="nil"/>
              <w:right w:val="nil"/>
            </w:tcBorders>
            <w:shd w:val="clear" w:color="auto" w:fill="auto"/>
            <w:noWrap/>
            <w:vAlign w:val="center"/>
            <w:hideMark/>
          </w:tcPr>
          <w:p w14:paraId="0457E9E5"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945</w:t>
            </w:r>
          </w:p>
        </w:tc>
        <w:tc>
          <w:tcPr>
            <w:tcW w:w="993" w:type="dxa"/>
            <w:tcBorders>
              <w:top w:val="nil"/>
              <w:left w:val="nil"/>
              <w:bottom w:val="nil"/>
              <w:right w:val="nil"/>
            </w:tcBorders>
            <w:shd w:val="clear" w:color="000000" w:fill="FFFFFF"/>
            <w:vAlign w:val="center"/>
            <w:hideMark/>
          </w:tcPr>
          <w:p w14:paraId="3BB4BB5A"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945</w:t>
            </w:r>
          </w:p>
        </w:tc>
        <w:tc>
          <w:tcPr>
            <w:tcW w:w="850" w:type="dxa"/>
            <w:tcBorders>
              <w:top w:val="nil"/>
              <w:left w:val="nil"/>
              <w:bottom w:val="nil"/>
              <w:right w:val="nil"/>
            </w:tcBorders>
            <w:shd w:val="clear" w:color="000000" w:fill="FFFFFF"/>
            <w:vAlign w:val="center"/>
            <w:hideMark/>
          </w:tcPr>
          <w:p w14:paraId="1F843846" w14:textId="6DC458A0" w:rsidR="00A57E96" w:rsidRPr="00591F88"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A57E96" w:rsidRPr="00591F88" w14:paraId="6402BAD4" w14:textId="77777777" w:rsidTr="007961A0">
        <w:trPr>
          <w:trHeight w:val="360"/>
        </w:trPr>
        <w:tc>
          <w:tcPr>
            <w:tcW w:w="2835" w:type="dxa"/>
            <w:tcBorders>
              <w:top w:val="nil"/>
              <w:left w:val="nil"/>
              <w:bottom w:val="nil"/>
              <w:right w:val="nil"/>
            </w:tcBorders>
            <w:shd w:val="clear" w:color="000000" w:fill="FFFFFF"/>
            <w:noWrap/>
            <w:vAlign w:val="center"/>
            <w:hideMark/>
          </w:tcPr>
          <w:p w14:paraId="0B8D13CC" w14:textId="77777777" w:rsidR="00A57E96" w:rsidRPr="00591F88" w:rsidRDefault="00A57E96" w:rsidP="00B768D9">
            <w:pPr>
              <w:spacing w:after="0" w:line="240" w:lineRule="auto"/>
              <w:jc w:val="left"/>
              <w:rPr>
                <w:rFonts w:eastAsia="Times New Roman" w:cs="Times New Roman"/>
                <w:color w:val="000000"/>
                <w:sz w:val="18"/>
                <w:szCs w:val="18"/>
                <w:lang w:eastAsia="sk-SK"/>
              </w:rPr>
            </w:pPr>
            <w:r w:rsidRPr="00591F88">
              <w:rPr>
                <w:rFonts w:eastAsia="Times New Roman" w:cs="Times New Roman"/>
                <w:color w:val="000000"/>
                <w:sz w:val="18"/>
                <w:szCs w:val="18"/>
                <w:lang w:eastAsia="sk-SK"/>
              </w:rPr>
              <w:t>Úrad vlády SR</w:t>
            </w:r>
          </w:p>
        </w:tc>
        <w:tc>
          <w:tcPr>
            <w:tcW w:w="993" w:type="dxa"/>
            <w:tcBorders>
              <w:top w:val="nil"/>
              <w:left w:val="nil"/>
              <w:bottom w:val="nil"/>
              <w:right w:val="nil"/>
            </w:tcBorders>
            <w:shd w:val="clear" w:color="auto" w:fill="auto"/>
            <w:noWrap/>
            <w:vAlign w:val="center"/>
            <w:hideMark/>
          </w:tcPr>
          <w:p w14:paraId="3E3D2B63"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40</w:t>
            </w:r>
          </w:p>
        </w:tc>
        <w:tc>
          <w:tcPr>
            <w:tcW w:w="850" w:type="dxa"/>
            <w:tcBorders>
              <w:top w:val="nil"/>
              <w:left w:val="nil"/>
              <w:bottom w:val="nil"/>
              <w:right w:val="nil"/>
            </w:tcBorders>
            <w:shd w:val="clear" w:color="auto" w:fill="auto"/>
            <w:noWrap/>
            <w:vAlign w:val="center"/>
            <w:hideMark/>
          </w:tcPr>
          <w:p w14:paraId="4BB64A3C"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181</w:t>
            </w:r>
          </w:p>
        </w:tc>
        <w:tc>
          <w:tcPr>
            <w:tcW w:w="851" w:type="dxa"/>
            <w:tcBorders>
              <w:top w:val="nil"/>
              <w:left w:val="nil"/>
              <w:bottom w:val="nil"/>
              <w:right w:val="nil"/>
            </w:tcBorders>
            <w:shd w:val="clear" w:color="000000" w:fill="FFFFFF"/>
            <w:noWrap/>
            <w:vAlign w:val="center"/>
            <w:hideMark/>
          </w:tcPr>
          <w:p w14:paraId="2B4AAE66"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650</w:t>
            </w:r>
          </w:p>
        </w:tc>
        <w:tc>
          <w:tcPr>
            <w:tcW w:w="992" w:type="dxa"/>
            <w:tcBorders>
              <w:top w:val="nil"/>
              <w:left w:val="nil"/>
              <w:bottom w:val="nil"/>
              <w:right w:val="nil"/>
            </w:tcBorders>
            <w:shd w:val="clear" w:color="auto" w:fill="auto"/>
            <w:noWrap/>
            <w:vAlign w:val="center"/>
            <w:hideMark/>
          </w:tcPr>
          <w:p w14:paraId="6B114749"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109</w:t>
            </w:r>
          </w:p>
        </w:tc>
        <w:tc>
          <w:tcPr>
            <w:tcW w:w="850" w:type="dxa"/>
            <w:tcBorders>
              <w:top w:val="nil"/>
              <w:left w:val="nil"/>
              <w:bottom w:val="nil"/>
              <w:right w:val="nil"/>
            </w:tcBorders>
            <w:shd w:val="clear" w:color="auto" w:fill="auto"/>
            <w:noWrap/>
            <w:vAlign w:val="center"/>
            <w:hideMark/>
          </w:tcPr>
          <w:p w14:paraId="10E89942"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45</w:t>
            </w:r>
          </w:p>
        </w:tc>
        <w:tc>
          <w:tcPr>
            <w:tcW w:w="993" w:type="dxa"/>
            <w:tcBorders>
              <w:top w:val="nil"/>
              <w:left w:val="nil"/>
              <w:bottom w:val="nil"/>
              <w:right w:val="nil"/>
            </w:tcBorders>
            <w:shd w:val="clear" w:color="000000" w:fill="FFFFFF"/>
            <w:vAlign w:val="center"/>
            <w:hideMark/>
          </w:tcPr>
          <w:p w14:paraId="464C3572"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-541</w:t>
            </w:r>
          </w:p>
        </w:tc>
        <w:tc>
          <w:tcPr>
            <w:tcW w:w="850" w:type="dxa"/>
            <w:tcBorders>
              <w:top w:val="nil"/>
              <w:left w:val="nil"/>
              <w:bottom w:val="nil"/>
              <w:right w:val="nil"/>
            </w:tcBorders>
            <w:shd w:val="clear" w:color="000000" w:fill="FFFFFF"/>
            <w:vAlign w:val="center"/>
            <w:hideMark/>
          </w:tcPr>
          <w:p w14:paraId="74AB204A"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-83,2</w:t>
            </w:r>
          </w:p>
        </w:tc>
      </w:tr>
      <w:tr w:rsidR="00A57E96" w:rsidRPr="00591F88" w14:paraId="1CEABA44" w14:textId="77777777" w:rsidTr="007961A0">
        <w:trPr>
          <w:trHeight w:val="360"/>
        </w:trPr>
        <w:tc>
          <w:tcPr>
            <w:tcW w:w="2835" w:type="dxa"/>
            <w:tcBorders>
              <w:top w:val="nil"/>
              <w:left w:val="nil"/>
              <w:bottom w:val="nil"/>
              <w:right w:val="nil"/>
            </w:tcBorders>
            <w:shd w:val="clear" w:color="000000" w:fill="FFFFFF"/>
            <w:vAlign w:val="center"/>
            <w:hideMark/>
          </w:tcPr>
          <w:p w14:paraId="57C65246" w14:textId="77777777" w:rsidR="00A57E96" w:rsidRPr="00591F88" w:rsidRDefault="00A57E96" w:rsidP="00B768D9">
            <w:pPr>
              <w:spacing w:after="0" w:line="240" w:lineRule="auto"/>
              <w:jc w:val="left"/>
              <w:rPr>
                <w:rFonts w:eastAsia="Times New Roman" w:cs="Times New Roman"/>
                <w:color w:val="000000"/>
                <w:sz w:val="18"/>
                <w:szCs w:val="18"/>
                <w:lang w:eastAsia="sk-SK"/>
              </w:rPr>
            </w:pPr>
            <w:r w:rsidRPr="00591F88">
              <w:rPr>
                <w:rFonts w:eastAsia="Times New Roman" w:cs="Times New Roman"/>
                <w:color w:val="000000"/>
                <w:sz w:val="18"/>
                <w:szCs w:val="18"/>
                <w:lang w:eastAsia="sk-SK"/>
              </w:rPr>
              <w:t>Ministerstvo dopravy SR</w:t>
            </w:r>
          </w:p>
        </w:tc>
        <w:tc>
          <w:tcPr>
            <w:tcW w:w="993" w:type="dxa"/>
            <w:tcBorders>
              <w:top w:val="nil"/>
              <w:left w:val="nil"/>
              <w:bottom w:val="nil"/>
              <w:right w:val="nil"/>
            </w:tcBorders>
            <w:shd w:val="clear" w:color="auto" w:fill="auto"/>
            <w:noWrap/>
            <w:vAlign w:val="center"/>
            <w:hideMark/>
          </w:tcPr>
          <w:p w14:paraId="6E4F198C"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x</w:t>
            </w:r>
          </w:p>
        </w:tc>
        <w:tc>
          <w:tcPr>
            <w:tcW w:w="850" w:type="dxa"/>
            <w:tcBorders>
              <w:top w:val="nil"/>
              <w:left w:val="nil"/>
              <w:bottom w:val="nil"/>
              <w:right w:val="nil"/>
            </w:tcBorders>
            <w:shd w:val="clear" w:color="auto" w:fill="auto"/>
            <w:noWrap/>
            <w:vAlign w:val="center"/>
            <w:hideMark/>
          </w:tcPr>
          <w:p w14:paraId="6B94130E"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x</w:t>
            </w:r>
          </w:p>
        </w:tc>
        <w:tc>
          <w:tcPr>
            <w:tcW w:w="851" w:type="dxa"/>
            <w:tcBorders>
              <w:top w:val="nil"/>
              <w:left w:val="nil"/>
              <w:bottom w:val="nil"/>
              <w:right w:val="nil"/>
            </w:tcBorders>
            <w:shd w:val="clear" w:color="000000" w:fill="FFFFFF"/>
            <w:noWrap/>
            <w:vAlign w:val="center"/>
            <w:hideMark/>
          </w:tcPr>
          <w:p w14:paraId="2AAC0263"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23E46503"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34</w:t>
            </w:r>
          </w:p>
        </w:tc>
        <w:tc>
          <w:tcPr>
            <w:tcW w:w="850" w:type="dxa"/>
            <w:tcBorders>
              <w:top w:val="nil"/>
              <w:left w:val="nil"/>
              <w:bottom w:val="nil"/>
              <w:right w:val="nil"/>
            </w:tcBorders>
            <w:shd w:val="clear" w:color="auto" w:fill="auto"/>
            <w:noWrap/>
            <w:vAlign w:val="center"/>
            <w:hideMark/>
          </w:tcPr>
          <w:p w14:paraId="0C03DDCA"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x</w:t>
            </w:r>
          </w:p>
        </w:tc>
        <w:tc>
          <w:tcPr>
            <w:tcW w:w="993" w:type="dxa"/>
            <w:tcBorders>
              <w:top w:val="nil"/>
              <w:left w:val="nil"/>
              <w:bottom w:val="nil"/>
              <w:right w:val="nil"/>
            </w:tcBorders>
            <w:shd w:val="clear" w:color="000000" w:fill="FFFFFF"/>
            <w:vAlign w:val="center"/>
            <w:hideMark/>
          </w:tcPr>
          <w:p w14:paraId="0B603C9E"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x</w:t>
            </w:r>
          </w:p>
        </w:tc>
        <w:tc>
          <w:tcPr>
            <w:tcW w:w="850" w:type="dxa"/>
            <w:tcBorders>
              <w:top w:val="nil"/>
              <w:left w:val="nil"/>
              <w:bottom w:val="nil"/>
              <w:right w:val="nil"/>
            </w:tcBorders>
            <w:shd w:val="clear" w:color="000000" w:fill="FFFFFF"/>
            <w:vAlign w:val="center"/>
            <w:hideMark/>
          </w:tcPr>
          <w:p w14:paraId="06022FA6" w14:textId="3D66F910" w:rsidR="00A57E96" w:rsidRPr="00591F88"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A57E96" w:rsidRPr="00591F88" w14:paraId="4EA0F018" w14:textId="77777777" w:rsidTr="007961A0">
        <w:trPr>
          <w:trHeight w:val="360"/>
        </w:trPr>
        <w:tc>
          <w:tcPr>
            <w:tcW w:w="2835" w:type="dxa"/>
            <w:tcBorders>
              <w:top w:val="nil"/>
              <w:left w:val="nil"/>
              <w:bottom w:val="nil"/>
              <w:right w:val="nil"/>
            </w:tcBorders>
            <w:shd w:val="clear" w:color="000000" w:fill="FFFFFF"/>
            <w:vAlign w:val="center"/>
            <w:hideMark/>
          </w:tcPr>
          <w:p w14:paraId="73F876B3" w14:textId="77777777" w:rsidR="00A57E96" w:rsidRPr="00591F88" w:rsidRDefault="00A57E96" w:rsidP="00B768D9">
            <w:pPr>
              <w:spacing w:after="0" w:line="240" w:lineRule="auto"/>
              <w:jc w:val="left"/>
              <w:rPr>
                <w:rFonts w:eastAsia="Times New Roman" w:cs="Times New Roman"/>
                <w:color w:val="000000"/>
                <w:sz w:val="18"/>
                <w:szCs w:val="18"/>
                <w:lang w:eastAsia="sk-SK"/>
              </w:rPr>
            </w:pPr>
            <w:r w:rsidRPr="00591F88">
              <w:rPr>
                <w:rFonts w:eastAsia="Times New Roman" w:cs="Times New Roman"/>
                <w:color w:val="000000"/>
                <w:sz w:val="18"/>
                <w:szCs w:val="18"/>
                <w:lang w:eastAsia="sk-SK"/>
              </w:rPr>
              <w:t>Ministerstvo zdravotníctva SR</w:t>
            </w:r>
          </w:p>
        </w:tc>
        <w:tc>
          <w:tcPr>
            <w:tcW w:w="993" w:type="dxa"/>
            <w:tcBorders>
              <w:top w:val="nil"/>
              <w:left w:val="nil"/>
              <w:bottom w:val="nil"/>
              <w:right w:val="nil"/>
            </w:tcBorders>
            <w:shd w:val="clear" w:color="auto" w:fill="auto"/>
            <w:noWrap/>
            <w:vAlign w:val="center"/>
            <w:hideMark/>
          </w:tcPr>
          <w:p w14:paraId="1DEEB37B"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7 952</w:t>
            </w:r>
          </w:p>
        </w:tc>
        <w:tc>
          <w:tcPr>
            <w:tcW w:w="850" w:type="dxa"/>
            <w:tcBorders>
              <w:top w:val="nil"/>
              <w:left w:val="nil"/>
              <w:bottom w:val="nil"/>
              <w:right w:val="nil"/>
            </w:tcBorders>
            <w:shd w:val="clear" w:color="auto" w:fill="auto"/>
            <w:noWrap/>
            <w:vAlign w:val="center"/>
            <w:hideMark/>
          </w:tcPr>
          <w:p w14:paraId="6968324C"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2 528</w:t>
            </w:r>
          </w:p>
        </w:tc>
        <w:tc>
          <w:tcPr>
            <w:tcW w:w="851" w:type="dxa"/>
            <w:tcBorders>
              <w:top w:val="nil"/>
              <w:left w:val="nil"/>
              <w:bottom w:val="nil"/>
              <w:right w:val="nil"/>
            </w:tcBorders>
            <w:shd w:val="clear" w:color="000000" w:fill="FFFFFF"/>
            <w:noWrap/>
            <w:vAlign w:val="center"/>
            <w:hideMark/>
          </w:tcPr>
          <w:p w14:paraId="5D5E8BCA"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0F2599BB"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23</w:t>
            </w:r>
          </w:p>
        </w:tc>
        <w:tc>
          <w:tcPr>
            <w:tcW w:w="850" w:type="dxa"/>
            <w:tcBorders>
              <w:top w:val="nil"/>
              <w:left w:val="nil"/>
              <w:bottom w:val="nil"/>
              <w:right w:val="nil"/>
            </w:tcBorders>
            <w:shd w:val="clear" w:color="auto" w:fill="auto"/>
            <w:noWrap/>
            <w:vAlign w:val="center"/>
            <w:hideMark/>
          </w:tcPr>
          <w:p w14:paraId="30874A24"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23</w:t>
            </w:r>
          </w:p>
        </w:tc>
        <w:tc>
          <w:tcPr>
            <w:tcW w:w="993" w:type="dxa"/>
            <w:tcBorders>
              <w:top w:val="nil"/>
              <w:left w:val="nil"/>
              <w:bottom w:val="nil"/>
              <w:right w:val="nil"/>
            </w:tcBorders>
            <w:shd w:val="clear" w:color="000000" w:fill="FFFFFF"/>
            <w:vAlign w:val="center"/>
            <w:hideMark/>
          </w:tcPr>
          <w:p w14:paraId="51340B30"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23</w:t>
            </w:r>
          </w:p>
        </w:tc>
        <w:tc>
          <w:tcPr>
            <w:tcW w:w="850" w:type="dxa"/>
            <w:tcBorders>
              <w:top w:val="nil"/>
              <w:left w:val="nil"/>
              <w:bottom w:val="nil"/>
              <w:right w:val="nil"/>
            </w:tcBorders>
            <w:shd w:val="clear" w:color="000000" w:fill="FFFFFF"/>
            <w:vAlign w:val="center"/>
            <w:hideMark/>
          </w:tcPr>
          <w:p w14:paraId="549E0E8C" w14:textId="3240044D" w:rsidR="00A57E96" w:rsidRPr="00591F88"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A57E96" w:rsidRPr="00591F88" w14:paraId="2ACDB84F" w14:textId="77777777" w:rsidTr="007961A0">
        <w:trPr>
          <w:trHeight w:val="330"/>
        </w:trPr>
        <w:tc>
          <w:tcPr>
            <w:tcW w:w="2835" w:type="dxa"/>
            <w:tcBorders>
              <w:top w:val="nil"/>
              <w:left w:val="nil"/>
              <w:bottom w:val="nil"/>
              <w:right w:val="nil"/>
            </w:tcBorders>
            <w:shd w:val="clear" w:color="000000" w:fill="FFFFFF"/>
            <w:vAlign w:val="center"/>
            <w:hideMark/>
          </w:tcPr>
          <w:p w14:paraId="0F279D64" w14:textId="77777777" w:rsidR="00A57E96" w:rsidRPr="00591F88" w:rsidRDefault="00A57E96" w:rsidP="00B768D9">
            <w:pPr>
              <w:spacing w:after="0" w:line="240" w:lineRule="auto"/>
              <w:jc w:val="left"/>
              <w:rPr>
                <w:rFonts w:eastAsia="Times New Roman" w:cs="Times New Roman"/>
                <w:color w:val="000000"/>
                <w:sz w:val="18"/>
                <w:szCs w:val="18"/>
                <w:lang w:eastAsia="sk-SK"/>
              </w:rPr>
            </w:pPr>
            <w:r w:rsidRPr="00591F88">
              <w:rPr>
                <w:rFonts w:eastAsia="Times New Roman" w:cs="Times New Roman"/>
                <w:color w:val="000000"/>
                <w:sz w:val="18"/>
                <w:szCs w:val="18"/>
                <w:lang w:eastAsia="sk-SK"/>
              </w:rPr>
              <w:t>Ministerstvo pôdohospodárstva a rozvoja vidieka SR</w:t>
            </w:r>
          </w:p>
        </w:tc>
        <w:tc>
          <w:tcPr>
            <w:tcW w:w="993" w:type="dxa"/>
            <w:tcBorders>
              <w:top w:val="nil"/>
              <w:left w:val="nil"/>
              <w:bottom w:val="nil"/>
              <w:right w:val="nil"/>
            </w:tcBorders>
            <w:shd w:val="clear" w:color="auto" w:fill="auto"/>
            <w:noWrap/>
            <w:vAlign w:val="center"/>
            <w:hideMark/>
          </w:tcPr>
          <w:p w14:paraId="7DCDC28B"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x</w:t>
            </w:r>
          </w:p>
        </w:tc>
        <w:tc>
          <w:tcPr>
            <w:tcW w:w="850" w:type="dxa"/>
            <w:tcBorders>
              <w:top w:val="nil"/>
              <w:left w:val="nil"/>
              <w:bottom w:val="nil"/>
              <w:right w:val="nil"/>
            </w:tcBorders>
            <w:shd w:val="clear" w:color="auto" w:fill="auto"/>
            <w:noWrap/>
            <w:vAlign w:val="center"/>
            <w:hideMark/>
          </w:tcPr>
          <w:p w14:paraId="59AD37B2"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10</w:t>
            </w:r>
          </w:p>
        </w:tc>
        <w:tc>
          <w:tcPr>
            <w:tcW w:w="851" w:type="dxa"/>
            <w:tcBorders>
              <w:top w:val="nil"/>
              <w:left w:val="nil"/>
              <w:bottom w:val="nil"/>
              <w:right w:val="nil"/>
            </w:tcBorders>
            <w:shd w:val="clear" w:color="000000" w:fill="FFFFFF"/>
            <w:noWrap/>
            <w:vAlign w:val="center"/>
            <w:hideMark/>
          </w:tcPr>
          <w:p w14:paraId="653E8266"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0</w:t>
            </w:r>
          </w:p>
        </w:tc>
        <w:tc>
          <w:tcPr>
            <w:tcW w:w="992" w:type="dxa"/>
            <w:tcBorders>
              <w:top w:val="nil"/>
              <w:left w:val="nil"/>
              <w:bottom w:val="nil"/>
              <w:right w:val="nil"/>
            </w:tcBorders>
            <w:shd w:val="clear" w:color="auto" w:fill="auto"/>
            <w:noWrap/>
            <w:vAlign w:val="center"/>
            <w:hideMark/>
          </w:tcPr>
          <w:p w14:paraId="2A1D81FC"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x</w:t>
            </w:r>
          </w:p>
        </w:tc>
        <w:tc>
          <w:tcPr>
            <w:tcW w:w="850" w:type="dxa"/>
            <w:tcBorders>
              <w:top w:val="nil"/>
              <w:left w:val="nil"/>
              <w:bottom w:val="nil"/>
              <w:right w:val="nil"/>
            </w:tcBorders>
            <w:shd w:val="clear" w:color="auto" w:fill="auto"/>
            <w:noWrap/>
            <w:vAlign w:val="center"/>
            <w:hideMark/>
          </w:tcPr>
          <w:p w14:paraId="49106ED9"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x</w:t>
            </w:r>
          </w:p>
        </w:tc>
        <w:tc>
          <w:tcPr>
            <w:tcW w:w="993" w:type="dxa"/>
            <w:tcBorders>
              <w:top w:val="nil"/>
              <w:left w:val="nil"/>
              <w:bottom w:val="nil"/>
              <w:right w:val="nil"/>
            </w:tcBorders>
            <w:shd w:val="clear" w:color="000000" w:fill="FFFFFF"/>
            <w:vAlign w:val="center"/>
            <w:hideMark/>
          </w:tcPr>
          <w:p w14:paraId="16794D8E"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x</w:t>
            </w:r>
          </w:p>
        </w:tc>
        <w:tc>
          <w:tcPr>
            <w:tcW w:w="850" w:type="dxa"/>
            <w:tcBorders>
              <w:top w:val="nil"/>
              <w:left w:val="nil"/>
              <w:bottom w:val="nil"/>
              <w:right w:val="nil"/>
            </w:tcBorders>
            <w:shd w:val="clear" w:color="000000" w:fill="FFFFFF"/>
            <w:vAlign w:val="center"/>
            <w:hideMark/>
          </w:tcPr>
          <w:p w14:paraId="46A10871" w14:textId="45FC6C35" w:rsidR="00A57E96" w:rsidRPr="00591F88"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A57E96" w:rsidRPr="00591F88" w14:paraId="1C612712" w14:textId="77777777" w:rsidTr="007961A0">
        <w:trPr>
          <w:trHeight w:val="345"/>
        </w:trPr>
        <w:tc>
          <w:tcPr>
            <w:tcW w:w="2835" w:type="dxa"/>
            <w:tcBorders>
              <w:top w:val="nil"/>
              <w:left w:val="nil"/>
              <w:bottom w:val="nil"/>
              <w:right w:val="nil"/>
            </w:tcBorders>
            <w:shd w:val="clear" w:color="000000" w:fill="FFFFFF"/>
            <w:vAlign w:val="center"/>
            <w:hideMark/>
          </w:tcPr>
          <w:p w14:paraId="31247FB3" w14:textId="77777777" w:rsidR="00A57E96" w:rsidRPr="00591F88" w:rsidRDefault="00A57E96" w:rsidP="00B768D9">
            <w:pPr>
              <w:spacing w:after="0" w:line="240" w:lineRule="auto"/>
              <w:jc w:val="left"/>
              <w:rPr>
                <w:rFonts w:eastAsia="Times New Roman" w:cs="Times New Roman"/>
                <w:color w:val="000000"/>
                <w:sz w:val="18"/>
                <w:szCs w:val="18"/>
                <w:lang w:eastAsia="sk-SK"/>
              </w:rPr>
            </w:pPr>
            <w:r w:rsidRPr="00591F88">
              <w:rPr>
                <w:rFonts w:eastAsia="Times New Roman" w:cs="Times New Roman"/>
                <w:color w:val="000000"/>
                <w:sz w:val="18"/>
                <w:szCs w:val="18"/>
                <w:lang w:eastAsia="sk-SK"/>
              </w:rPr>
              <w:t>Ministerstvo hospodárstva SR</w:t>
            </w:r>
          </w:p>
        </w:tc>
        <w:tc>
          <w:tcPr>
            <w:tcW w:w="993" w:type="dxa"/>
            <w:tcBorders>
              <w:top w:val="nil"/>
              <w:left w:val="nil"/>
              <w:bottom w:val="nil"/>
              <w:right w:val="nil"/>
            </w:tcBorders>
            <w:shd w:val="clear" w:color="auto" w:fill="auto"/>
            <w:noWrap/>
            <w:vAlign w:val="center"/>
            <w:hideMark/>
          </w:tcPr>
          <w:p w14:paraId="6043B710"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6</w:t>
            </w:r>
          </w:p>
        </w:tc>
        <w:tc>
          <w:tcPr>
            <w:tcW w:w="850" w:type="dxa"/>
            <w:tcBorders>
              <w:top w:val="nil"/>
              <w:left w:val="nil"/>
              <w:bottom w:val="nil"/>
              <w:right w:val="nil"/>
            </w:tcBorders>
            <w:shd w:val="clear" w:color="auto" w:fill="auto"/>
            <w:noWrap/>
            <w:vAlign w:val="center"/>
            <w:hideMark/>
          </w:tcPr>
          <w:p w14:paraId="20D2D421"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2</w:t>
            </w:r>
          </w:p>
        </w:tc>
        <w:tc>
          <w:tcPr>
            <w:tcW w:w="851" w:type="dxa"/>
            <w:tcBorders>
              <w:top w:val="nil"/>
              <w:left w:val="nil"/>
              <w:bottom w:val="nil"/>
              <w:right w:val="nil"/>
            </w:tcBorders>
            <w:shd w:val="clear" w:color="000000" w:fill="FFFFFF"/>
            <w:noWrap/>
            <w:vAlign w:val="center"/>
            <w:hideMark/>
          </w:tcPr>
          <w:p w14:paraId="5320BE5E"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x</w:t>
            </w:r>
          </w:p>
        </w:tc>
        <w:tc>
          <w:tcPr>
            <w:tcW w:w="992" w:type="dxa"/>
            <w:tcBorders>
              <w:top w:val="nil"/>
              <w:left w:val="nil"/>
              <w:bottom w:val="nil"/>
              <w:right w:val="nil"/>
            </w:tcBorders>
            <w:shd w:val="clear" w:color="auto" w:fill="auto"/>
            <w:noWrap/>
            <w:vAlign w:val="center"/>
            <w:hideMark/>
          </w:tcPr>
          <w:p w14:paraId="2A3407D2"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x</w:t>
            </w:r>
          </w:p>
        </w:tc>
        <w:tc>
          <w:tcPr>
            <w:tcW w:w="850" w:type="dxa"/>
            <w:tcBorders>
              <w:top w:val="nil"/>
              <w:left w:val="nil"/>
              <w:bottom w:val="nil"/>
              <w:right w:val="nil"/>
            </w:tcBorders>
            <w:shd w:val="clear" w:color="auto" w:fill="auto"/>
            <w:noWrap/>
            <w:vAlign w:val="center"/>
            <w:hideMark/>
          </w:tcPr>
          <w:p w14:paraId="291CDDCE"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x</w:t>
            </w:r>
          </w:p>
        </w:tc>
        <w:tc>
          <w:tcPr>
            <w:tcW w:w="993" w:type="dxa"/>
            <w:tcBorders>
              <w:top w:val="nil"/>
              <w:left w:val="nil"/>
              <w:bottom w:val="nil"/>
              <w:right w:val="nil"/>
            </w:tcBorders>
            <w:shd w:val="clear" w:color="000000" w:fill="FFFFFF"/>
            <w:vAlign w:val="center"/>
            <w:hideMark/>
          </w:tcPr>
          <w:p w14:paraId="5375EB7F" w14:textId="77777777" w:rsidR="00A57E96" w:rsidRPr="00591F88" w:rsidRDefault="00A57E96" w:rsidP="00B768D9">
            <w:pPr>
              <w:spacing w:after="0" w:line="240" w:lineRule="auto"/>
              <w:jc w:val="right"/>
              <w:rPr>
                <w:rFonts w:eastAsia="Times New Roman" w:cs="Times New Roman"/>
                <w:color w:val="000000"/>
                <w:sz w:val="18"/>
                <w:szCs w:val="18"/>
                <w:lang w:eastAsia="sk-SK"/>
              </w:rPr>
            </w:pPr>
            <w:r w:rsidRPr="00591F88">
              <w:rPr>
                <w:rFonts w:eastAsia="Times New Roman" w:cs="Times New Roman"/>
                <w:color w:val="000000"/>
                <w:sz w:val="18"/>
                <w:szCs w:val="18"/>
                <w:lang w:eastAsia="sk-SK"/>
              </w:rPr>
              <w:t>x</w:t>
            </w:r>
          </w:p>
        </w:tc>
        <w:tc>
          <w:tcPr>
            <w:tcW w:w="850" w:type="dxa"/>
            <w:tcBorders>
              <w:top w:val="nil"/>
              <w:left w:val="nil"/>
              <w:bottom w:val="nil"/>
              <w:right w:val="nil"/>
            </w:tcBorders>
            <w:shd w:val="clear" w:color="000000" w:fill="FFFFFF"/>
            <w:vAlign w:val="center"/>
            <w:hideMark/>
          </w:tcPr>
          <w:p w14:paraId="6DD841CC" w14:textId="6AAA1585" w:rsidR="00A57E96" w:rsidRPr="00591F88"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A57E96" w:rsidRPr="00591F88" w14:paraId="4204F83E" w14:textId="77777777" w:rsidTr="007961A0">
        <w:trPr>
          <w:trHeight w:val="345"/>
        </w:trPr>
        <w:tc>
          <w:tcPr>
            <w:tcW w:w="2835" w:type="dxa"/>
            <w:tcBorders>
              <w:top w:val="single" w:sz="4" w:space="0" w:color="auto"/>
              <w:left w:val="nil"/>
              <w:bottom w:val="single" w:sz="8" w:space="0" w:color="auto"/>
              <w:right w:val="nil"/>
            </w:tcBorders>
            <w:shd w:val="clear" w:color="000000" w:fill="FFFFFF"/>
            <w:noWrap/>
            <w:vAlign w:val="center"/>
            <w:hideMark/>
          </w:tcPr>
          <w:p w14:paraId="5624B009" w14:textId="77777777" w:rsidR="00A57E96" w:rsidRPr="00591F88" w:rsidRDefault="00A57E96" w:rsidP="00B768D9">
            <w:pPr>
              <w:spacing w:after="0" w:line="240" w:lineRule="auto"/>
              <w:jc w:val="left"/>
              <w:rPr>
                <w:rFonts w:eastAsia="Times New Roman" w:cs="Times New Roman"/>
                <w:b/>
                <w:bCs/>
                <w:color w:val="000000"/>
                <w:sz w:val="18"/>
                <w:szCs w:val="18"/>
                <w:lang w:eastAsia="sk-SK"/>
              </w:rPr>
            </w:pPr>
            <w:r w:rsidRPr="00591F88">
              <w:rPr>
                <w:rFonts w:eastAsia="Times New Roman" w:cs="Times New Roman"/>
                <w:b/>
                <w:bCs/>
                <w:color w:val="000000"/>
                <w:sz w:val="18"/>
                <w:szCs w:val="18"/>
                <w:lang w:eastAsia="sk-SK"/>
              </w:rPr>
              <w:t>Spolu</w:t>
            </w:r>
          </w:p>
        </w:tc>
        <w:tc>
          <w:tcPr>
            <w:tcW w:w="993" w:type="dxa"/>
            <w:tcBorders>
              <w:top w:val="single" w:sz="4" w:space="0" w:color="auto"/>
              <w:left w:val="nil"/>
              <w:bottom w:val="single" w:sz="8" w:space="0" w:color="auto"/>
              <w:right w:val="nil"/>
            </w:tcBorders>
            <w:shd w:val="clear" w:color="000000" w:fill="FFFFFF"/>
            <w:noWrap/>
            <w:vAlign w:val="center"/>
            <w:hideMark/>
          </w:tcPr>
          <w:p w14:paraId="58822295" w14:textId="77777777" w:rsidR="00A57E96" w:rsidRPr="00591F88" w:rsidRDefault="00A57E96" w:rsidP="00B768D9">
            <w:pPr>
              <w:spacing w:after="0" w:line="240" w:lineRule="auto"/>
              <w:jc w:val="right"/>
              <w:rPr>
                <w:rFonts w:eastAsia="Times New Roman" w:cs="Times New Roman"/>
                <w:b/>
                <w:bCs/>
                <w:color w:val="000000"/>
                <w:sz w:val="18"/>
                <w:szCs w:val="18"/>
                <w:lang w:eastAsia="sk-SK"/>
              </w:rPr>
            </w:pPr>
            <w:r w:rsidRPr="00591F88">
              <w:rPr>
                <w:rFonts w:eastAsia="Times New Roman" w:cs="Times New Roman"/>
                <w:b/>
                <w:bCs/>
                <w:color w:val="000000"/>
                <w:sz w:val="18"/>
                <w:szCs w:val="18"/>
                <w:lang w:eastAsia="sk-SK"/>
              </w:rPr>
              <w:t>591 313</w:t>
            </w:r>
          </w:p>
        </w:tc>
        <w:tc>
          <w:tcPr>
            <w:tcW w:w="850" w:type="dxa"/>
            <w:tcBorders>
              <w:top w:val="single" w:sz="4" w:space="0" w:color="auto"/>
              <w:left w:val="nil"/>
              <w:bottom w:val="single" w:sz="8" w:space="0" w:color="auto"/>
              <w:right w:val="nil"/>
            </w:tcBorders>
            <w:shd w:val="clear" w:color="000000" w:fill="FFFFFF"/>
            <w:noWrap/>
            <w:vAlign w:val="center"/>
            <w:hideMark/>
          </w:tcPr>
          <w:p w14:paraId="13759BC1" w14:textId="77777777" w:rsidR="00A57E96" w:rsidRPr="00591F88" w:rsidRDefault="00A57E96" w:rsidP="00B768D9">
            <w:pPr>
              <w:spacing w:after="0" w:line="240" w:lineRule="auto"/>
              <w:jc w:val="right"/>
              <w:rPr>
                <w:rFonts w:eastAsia="Times New Roman" w:cs="Times New Roman"/>
                <w:b/>
                <w:bCs/>
                <w:color w:val="000000"/>
                <w:sz w:val="18"/>
                <w:szCs w:val="18"/>
                <w:lang w:eastAsia="sk-SK"/>
              </w:rPr>
            </w:pPr>
            <w:r w:rsidRPr="00591F88">
              <w:rPr>
                <w:rFonts w:eastAsia="Times New Roman" w:cs="Times New Roman"/>
                <w:b/>
                <w:bCs/>
                <w:color w:val="000000"/>
                <w:sz w:val="18"/>
                <w:szCs w:val="18"/>
                <w:lang w:eastAsia="sk-SK"/>
              </w:rPr>
              <w:t>615 120</w:t>
            </w:r>
          </w:p>
        </w:tc>
        <w:tc>
          <w:tcPr>
            <w:tcW w:w="851" w:type="dxa"/>
            <w:tcBorders>
              <w:top w:val="single" w:sz="4" w:space="0" w:color="auto"/>
              <w:left w:val="nil"/>
              <w:bottom w:val="single" w:sz="8" w:space="0" w:color="auto"/>
              <w:right w:val="nil"/>
            </w:tcBorders>
            <w:shd w:val="clear" w:color="000000" w:fill="FFFFFF"/>
            <w:noWrap/>
            <w:vAlign w:val="center"/>
            <w:hideMark/>
          </w:tcPr>
          <w:p w14:paraId="21E4E4A0" w14:textId="77777777" w:rsidR="00A57E96" w:rsidRPr="00591F88" w:rsidRDefault="00A57E96" w:rsidP="00B768D9">
            <w:pPr>
              <w:spacing w:after="0" w:line="240" w:lineRule="auto"/>
              <w:jc w:val="right"/>
              <w:rPr>
                <w:rFonts w:eastAsia="Times New Roman" w:cs="Times New Roman"/>
                <w:b/>
                <w:bCs/>
                <w:color w:val="000000"/>
                <w:sz w:val="18"/>
                <w:szCs w:val="18"/>
                <w:lang w:eastAsia="sk-SK"/>
              </w:rPr>
            </w:pPr>
            <w:r w:rsidRPr="00591F88">
              <w:rPr>
                <w:rFonts w:eastAsia="Times New Roman" w:cs="Times New Roman"/>
                <w:b/>
                <w:bCs/>
                <w:color w:val="000000"/>
                <w:sz w:val="18"/>
                <w:szCs w:val="18"/>
                <w:lang w:eastAsia="sk-SK"/>
              </w:rPr>
              <w:t>608 721</w:t>
            </w:r>
          </w:p>
        </w:tc>
        <w:tc>
          <w:tcPr>
            <w:tcW w:w="992" w:type="dxa"/>
            <w:tcBorders>
              <w:top w:val="single" w:sz="4" w:space="0" w:color="auto"/>
              <w:left w:val="nil"/>
              <w:bottom w:val="single" w:sz="8" w:space="0" w:color="auto"/>
              <w:right w:val="nil"/>
            </w:tcBorders>
            <w:shd w:val="clear" w:color="000000" w:fill="FFFFFF"/>
            <w:noWrap/>
            <w:vAlign w:val="center"/>
            <w:hideMark/>
          </w:tcPr>
          <w:p w14:paraId="652399BA" w14:textId="77777777" w:rsidR="00A57E96" w:rsidRPr="00591F88" w:rsidRDefault="00A57E96" w:rsidP="00B768D9">
            <w:pPr>
              <w:spacing w:after="0" w:line="240" w:lineRule="auto"/>
              <w:jc w:val="right"/>
              <w:rPr>
                <w:rFonts w:eastAsia="Times New Roman" w:cs="Times New Roman"/>
                <w:b/>
                <w:bCs/>
                <w:color w:val="000000"/>
                <w:sz w:val="18"/>
                <w:szCs w:val="18"/>
                <w:lang w:eastAsia="sk-SK"/>
              </w:rPr>
            </w:pPr>
            <w:r w:rsidRPr="00591F88">
              <w:rPr>
                <w:rFonts w:eastAsia="Times New Roman" w:cs="Times New Roman"/>
                <w:b/>
                <w:bCs/>
                <w:color w:val="000000"/>
                <w:sz w:val="18"/>
                <w:szCs w:val="18"/>
                <w:lang w:eastAsia="sk-SK"/>
              </w:rPr>
              <w:t>1 012 359</w:t>
            </w:r>
          </w:p>
        </w:tc>
        <w:tc>
          <w:tcPr>
            <w:tcW w:w="850" w:type="dxa"/>
            <w:tcBorders>
              <w:top w:val="single" w:sz="4" w:space="0" w:color="auto"/>
              <w:left w:val="nil"/>
              <w:bottom w:val="single" w:sz="8" w:space="0" w:color="auto"/>
              <w:right w:val="nil"/>
            </w:tcBorders>
            <w:shd w:val="clear" w:color="000000" w:fill="FFFFFF"/>
            <w:noWrap/>
            <w:vAlign w:val="center"/>
            <w:hideMark/>
          </w:tcPr>
          <w:p w14:paraId="21CD58FA" w14:textId="77777777" w:rsidR="00A57E96" w:rsidRPr="00591F88" w:rsidRDefault="00A57E96" w:rsidP="00B768D9">
            <w:pPr>
              <w:spacing w:after="0" w:line="240" w:lineRule="auto"/>
              <w:jc w:val="right"/>
              <w:rPr>
                <w:rFonts w:eastAsia="Times New Roman" w:cs="Times New Roman"/>
                <w:b/>
                <w:bCs/>
                <w:color w:val="000000"/>
                <w:sz w:val="18"/>
                <w:szCs w:val="18"/>
                <w:lang w:eastAsia="sk-SK"/>
              </w:rPr>
            </w:pPr>
            <w:r w:rsidRPr="00591F88">
              <w:rPr>
                <w:rFonts w:eastAsia="Times New Roman" w:cs="Times New Roman"/>
                <w:b/>
                <w:bCs/>
                <w:color w:val="000000"/>
                <w:sz w:val="18"/>
                <w:szCs w:val="18"/>
                <w:lang w:eastAsia="sk-SK"/>
              </w:rPr>
              <w:t>689 730</w:t>
            </w:r>
          </w:p>
        </w:tc>
        <w:tc>
          <w:tcPr>
            <w:tcW w:w="993" w:type="dxa"/>
            <w:tcBorders>
              <w:top w:val="single" w:sz="4" w:space="0" w:color="auto"/>
              <w:left w:val="nil"/>
              <w:bottom w:val="single" w:sz="8" w:space="0" w:color="auto"/>
              <w:right w:val="nil"/>
            </w:tcBorders>
            <w:shd w:val="clear" w:color="000000" w:fill="FFFFFF"/>
            <w:noWrap/>
            <w:vAlign w:val="center"/>
            <w:hideMark/>
          </w:tcPr>
          <w:p w14:paraId="5DDB3194" w14:textId="77777777" w:rsidR="00A57E96" w:rsidRPr="00591F88" w:rsidRDefault="00A57E96" w:rsidP="00B768D9">
            <w:pPr>
              <w:spacing w:after="0" w:line="240" w:lineRule="auto"/>
              <w:jc w:val="right"/>
              <w:rPr>
                <w:rFonts w:eastAsia="Times New Roman" w:cs="Times New Roman"/>
                <w:b/>
                <w:bCs/>
                <w:color w:val="000000"/>
                <w:sz w:val="18"/>
                <w:szCs w:val="18"/>
                <w:lang w:eastAsia="sk-SK"/>
              </w:rPr>
            </w:pPr>
            <w:r w:rsidRPr="00591F88">
              <w:rPr>
                <w:rFonts w:eastAsia="Times New Roman" w:cs="Times New Roman"/>
                <w:b/>
                <w:bCs/>
                <w:color w:val="000000"/>
                <w:sz w:val="18"/>
                <w:szCs w:val="18"/>
                <w:lang w:eastAsia="sk-SK"/>
              </w:rPr>
              <w:t>403 604</w:t>
            </w:r>
          </w:p>
        </w:tc>
        <w:tc>
          <w:tcPr>
            <w:tcW w:w="850" w:type="dxa"/>
            <w:tcBorders>
              <w:top w:val="single" w:sz="4" w:space="0" w:color="auto"/>
              <w:left w:val="nil"/>
              <w:bottom w:val="single" w:sz="8" w:space="0" w:color="auto"/>
              <w:right w:val="nil"/>
            </w:tcBorders>
            <w:shd w:val="clear" w:color="000000" w:fill="FFFFFF"/>
            <w:noWrap/>
            <w:vAlign w:val="center"/>
            <w:hideMark/>
          </w:tcPr>
          <w:p w14:paraId="3D09F4E6" w14:textId="77777777" w:rsidR="00A57E96" w:rsidRPr="00591F88" w:rsidRDefault="00A57E96" w:rsidP="00B768D9">
            <w:pPr>
              <w:spacing w:after="0" w:line="240" w:lineRule="auto"/>
              <w:jc w:val="right"/>
              <w:rPr>
                <w:rFonts w:eastAsia="Times New Roman" w:cs="Times New Roman"/>
                <w:b/>
                <w:bCs/>
                <w:color w:val="000000"/>
                <w:sz w:val="18"/>
                <w:szCs w:val="18"/>
                <w:lang w:eastAsia="sk-SK"/>
              </w:rPr>
            </w:pPr>
            <w:r w:rsidRPr="00591F88">
              <w:rPr>
                <w:rFonts w:eastAsia="Times New Roman" w:cs="Times New Roman"/>
                <w:b/>
                <w:bCs/>
                <w:color w:val="000000"/>
                <w:sz w:val="18"/>
                <w:szCs w:val="18"/>
                <w:lang w:eastAsia="sk-SK"/>
              </w:rPr>
              <w:t>66,3</w:t>
            </w:r>
          </w:p>
        </w:tc>
      </w:tr>
    </w:tbl>
    <w:p w14:paraId="53B43073" w14:textId="76D6772C" w:rsidR="00A57E96" w:rsidRDefault="00A57E96" w:rsidP="00A57E96">
      <w:pPr>
        <w:spacing w:after="160" w:line="252" w:lineRule="auto"/>
        <w:jc w:val="left"/>
      </w:pPr>
      <w:r>
        <w:rPr>
          <w:rFonts w:eastAsia="Times New Roman" w:cs="Times New Roman"/>
          <w:color w:val="000000"/>
          <w:sz w:val="18"/>
          <w:szCs w:val="18"/>
          <w:lang w:eastAsia="sk-SK"/>
        </w:rPr>
        <w:t>Poznámka: * len prostriedky štátneho rozpočtu</w:t>
      </w:r>
      <w:r>
        <w:rPr>
          <w:rFonts w:eastAsia="Times New Roman" w:cs="Times New Roman"/>
          <w:color w:val="000000"/>
          <w:sz w:val="18"/>
          <w:szCs w:val="18"/>
          <w:lang w:eastAsia="sk-SK"/>
        </w:rPr>
        <w:tab/>
      </w:r>
      <w:r>
        <w:rPr>
          <w:rFonts w:eastAsia="Times New Roman" w:cs="Times New Roman"/>
          <w:color w:val="000000"/>
          <w:sz w:val="18"/>
          <w:szCs w:val="18"/>
          <w:lang w:eastAsia="sk-SK"/>
        </w:rPr>
        <w:tab/>
      </w:r>
      <w:r>
        <w:rPr>
          <w:rFonts w:eastAsia="Times New Roman" w:cs="Times New Roman"/>
          <w:color w:val="000000"/>
          <w:sz w:val="18"/>
          <w:szCs w:val="18"/>
          <w:lang w:eastAsia="sk-SK"/>
        </w:rPr>
        <w:tab/>
      </w:r>
      <w:r>
        <w:rPr>
          <w:rFonts w:eastAsia="Times New Roman" w:cs="Times New Roman"/>
          <w:color w:val="000000"/>
          <w:sz w:val="18"/>
          <w:szCs w:val="18"/>
          <w:lang w:eastAsia="sk-SK"/>
        </w:rPr>
        <w:tab/>
      </w:r>
      <w:r>
        <w:rPr>
          <w:rFonts w:eastAsia="Times New Roman" w:cs="Times New Roman"/>
          <w:color w:val="000000"/>
          <w:sz w:val="18"/>
          <w:szCs w:val="18"/>
          <w:lang w:eastAsia="sk-SK"/>
        </w:rPr>
        <w:tab/>
      </w:r>
      <w:r>
        <w:rPr>
          <w:rFonts w:eastAsia="Times New Roman" w:cs="Times New Roman"/>
          <w:color w:val="000000"/>
          <w:sz w:val="18"/>
          <w:szCs w:val="18"/>
          <w:lang w:eastAsia="sk-SK"/>
        </w:rPr>
        <w:tab/>
      </w:r>
      <w:r>
        <w:rPr>
          <w:rFonts w:eastAsia="Times New Roman" w:cs="Times New Roman"/>
          <w:color w:val="000000"/>
          <w:sz w:val="18"/>
          <w:szCs w:val="18"/>
          <w:lang w:eastAsia="sk-SK"/>
        </w:rPr>
        <w:tab/>
      </w:r>
      <w:r w:rsidR="006F6A11">
        <w:rPr>
          <w:rFonts w:eastAsia="Times New Roman" w:cs="Times New Roman"/>
          <w:color w:val="000000"/>
          <w:sz w:val="18"/>
          <w:szCs w:val="18"/>
          <w:lang w:eastAsia="sk-SK"/>
        </w:rPr>
        <w:tab/>
      </w:r>
      <w:r w:rsidR="006F6A11">
        <w:rPr>
          <w:rFonts w:eastAsia="Times New Roman" w:cs="Times New Roman"/>
          <w:color w:val="000000"/>
          <w:sz w:val="18"/>
          <w:szCs w:val="18"/>
          <w:lang w:eastAsia="sk-SK"/>
        </w:rPr>
        <w:tab/>
      </w:r>
      <w:r w:rsidR="006F6A11">
        <w:rPr>
          <w:rFonts w:eastAsia="Times New Roman" w:cs="Times New Roman"/>
          <w:color w:val="000000"/>
          <w:sz w:val="18"/>
          <w:szCs w:val="18"/>
          <w:lang w:eastAsia="sk-SK"/>
        </w:rPr>
        <w:tab/>
      </w:r>
      <w:r>
        <w:rPr>
          <w:rFonts w:eastAsia="Times New Roman" w:cs="Times New Roman"/>
          <w:color w:val="000000"/>
          <w:sz w:val="18"/>
          <w:szCs w:val="18"/>
          <w:lang w:eastAsia="sk-SK"/>
        </w:rPr>
        <w:t>Zdroj: MF SR</w:t>
      </w:r>
    </w:p>
    <w:p w14:paraId="42B38205" w14:textId="70B27664" w:rsidR="00A57E96" w:rsidRDefault="00A57E96" w:rsidP="00A57E96">
      <w:pPr>
        <w:spacing w:line="240" w:lineRule="auto"/>
        <w:rPr>
          <w:rFonts w:cs="Times New Roman"/>
          <w:color w:val="000000" w:themeColor="text1"/>
          <w:sz w:val="24"/>
          <w:szCs w:val="24"/>
        </w:rPr>
      </w:pPr>
      <w:r w:rsidRPr="00D458D2">
        <w:rPr>
          <w:color w:val="000000" w:themeColor="text1"/>
          <w:sz w:val="24"/>
          <w:szCs w:val="24"/>
        </w:rPr>
        <w:t xml:space="preserve">Okrem kapitol, prostredníctvom ktorých sa každoročne financujú kompetencie preneseného výkonu štátnej správy (najmä Ministerstvo školstva, vedy, výskumu a športu SR) sa u väčšiny kapitol schvaľoval rozpočet nulový. </w:t>
      </w:r>
      <w:r w:rsidRPr="00D458D2">
        <w:rPr>
          <w:rFonts w:cs="Times New Roman"/>
          <w:color w:val="000000" w:themeColor="text1"/>
          <w:sz w:val="24"/>
          <w:szCs w:val="24"/>
        </w:rPr>
        <w:t xml:space="preserve">Jedným z dôvodov je skutočnosť, že schválený rozpočet pre výdavky hradené z prostriedkov EÚ a prislúchajúceho spolufinancovania zo štátneho rozpočtu vychádza z očakávaných odhadov čerpania týchto prostriedkov v jednotlivých výzvach, a nie z už </w:t>
      </w:r>
      <w:proofErr w:type="spellStart"/>
      <w:r w:rsidRPr="00D458D2">
        <w:rPr>
          <w:rFonts w:cs="Times New Roman"/>
          <w:color w:val="000000" w:themeColor="text1"/>
          <w:sz w:val="24"/>
          <w:szCs w:val="24"/>
        </w:rPr>
        <w:t>zazmluvnených</w:t>
      </w:r>
      <w:proofErr w:type="spellEnd"/>
      <w:r w:rsidRPr="00D458D2">
        <w:rPr>
          <w:rFonts w:cs="Times New Roman"/>
          <w:color w:val="000000" w:themeColor="text1"/>
          <w:sz w:val="24"/>
          <w:szCs w:val="24"/>
        </w:rPr>
        <w:t xml:space="preserve"> prostriedkov. Uvedené odhady sa sledujú v štruktúre operačného programu na úrovni prioritných osí (opatrení), a nie v štruktúre podľa typu prijímateľov (odlíšených ekonomickou klasifikáciou). V schválenom rozpočte teda nie je možné presne definovať finančné objemy podľa konečných prijímateľov pomoci. Druhým dôvodom je skutočnosť, že finančné prostriedky, týkajúce sa už </w:t>
      </w:r>
      <w:proofErr w:type="spellStart"/>
      <w:r w:rsidRPr="00D458D2">
        <w:rPr>
          <w:rFonts w:cs="Times New Roman"/>
          <w:color w:val="000000" w:themeColor="text1"/>
          <w:sz w:val="24"/>
          <w:szCs w:val="24"/>
        </w:rPr>
        <w:t>zazmluvnených</w:t>
      </w:r>
      <w:proofErr w:type="spellEnd"/>
      <w:r w:rsidRPr="00D458D2">
        <w:rPr>
          <w:rFonts w:cs="Times New Roman"/>
          <w:color w:val="000000" w:themeColor="text1"/>
          <w:sz w:val="24"/>
          <w:szCs w:val="24"/>
        </w:rPr>
        <w:t xml:space="preserve"> projektov (rozpočtované už aj podľa reálnych prijímateľov) nie sú vždy vyplatené v danom rozpočtovom roku, ale až v nasledujúcom, čo umožňuje prevod finančných prostriedkov podľa § 8 zákona o rozpočtových pravidlách Uvoľnené prostriedky z pr</w:t>
      </w:r>
      <w:r>
        <w:rPr>
          <w:rFonts w:cs="Times New Roman"/>
          <w:color w:val="000000" w:themeColor="text1"/>
          <w:sz w:val="24"/>
          <w:szCs w:val="24"/>
        </w:rPr>
        <w:t>edošlého obdobia vstupujú až do </w:t>
      </w:r>
      <w:r w:rsidRPr="00D458D2">
        <w:rPr>
          <w:rFonts w:cs="Times New Roman"/>
          <w:color w:val="000000" w:themeColor="text1"/>
          <w:sz w:val="24"/>
          <w:szCs w:val="24"/>
        </w:rPr>
        <w:t>upraveného rozpočtu, čím umožňujú čerpanie na tejto podpoložke bez predchádzajúceho schváleného rozpočtu.</w:t>
      </w:r>
    </w:p>
    <w:tbl>
      <w:tblPr>
        <w:tblW w:w="9760" w:type="dxa"/>
        <w:tblCellMar>
          <w:left w:w="70" w:type="dxa"/>
          <w:right w:w="70" w:type="dxa"/>
        </w:tblCellMar>
        <w:tblLook w:val="04A0" w:firstRow="1" w:lastRow="0" w:firstColumn="1" w:lastColumn="0" w:noHBand="0" w:noVBand="1"/>
      </w:tblPr>
      <w:tblGrid>
        <w:gridCol w:w="3880"/>
        <w:gridCol w:w="820"/>
        <w:gridCol w:w="820"/>
        <w:gridCol w:w="760"/>
        <w:gridCol w:w="840"/>
        <w:gridCol w:w="880"/>
        <w:gridCol w:w="820"/>
        <w:gridCol w:w="940"/>
      </w:tblGrid>
      <w:tr w:rsidR="00A57E96" w:rsidRPr="00811482" w14:paraId="4EFD3E07" w14:textId="77777777" w:rsidTr="00B768D9">
        <w:trPr>
          <w:trHeight w:val="345"/>
        </w:trPr>
        <w:tc>
          <w:tcPr>
            <w:tcW w:w="8820" w:type="dxa"/>
            <w:gridSpan w:val="7"/>
            <w:tcBorders>
              <w:top w:val="nil"/>
              <w:left w:val="nil"/>
              <w:bottom w:val="single" w:sz="8" w:space="0" w:color="auto"/>
              <w:right w:val="nil"/>
            </w:tcBorders>
            <w:shd w:val="clear" w:color="auto" w:fill="auto"/>
            <w:vAlign w:val="center"/>
            <w:hideMark/>
          </w:tcPr>
          <w:p w14:paraId="7B8FD646" w14:textId="45267D14" w:rsidR="00A57E96" w:rsidRPr="00DD022A" w:rsidRDefault="00A57E96" w:rsidP="004A6E2F">
            <w:pPr>
              <w:spacing w:after="0" w:line="240" w:lineRule="auto"/>
              <w:jc w:val="left"/>
              <w:rPr>
                <w:rFonts w:eastAsia="Times New Roman" w:cs="Times New Roman"/>
                <w:b/>
                <w:bCs/>
                <w:color w:val="4F81BD"/>
                <w:sz w:val="20"/>
                <w:szCs w:val="20"/>
                <w:lang w:eastAsia="sk-SK"/>
              </w:rPr>
            </w:pPr>
            <w:r w:rsidRPr="00DD022A">
              <w:rPr>
                <w:rFonts w:eastAsia="Times New Roman" w:cs="Times New Roman"/>
                <w:b/>
                <w:bCs/>
                <w:color w:val="4F81BD"/>
                <w:sz w:val="20"/>
                <w:szCs w:val="20"/>
                <w:lang w:eastAsia="sk-SK"/>
              </w:rPr>
              <w:t xml:space="preserve">Tabuľka </w:t>
            </w:r>
            <w:r w:rsidR="004A6E2F">
              <w:rPr>
                <w:rFonts w:eastAsia="Times New Roman" w:cs="Times New Roman"/>
                <w:b/>
                <w:bCs/>
                <w:color w:val="4F81BD"/>
                <w:sz w:val="20"/>
                <w:szCs w:val="20"/>
                <w:lang w:eastAsia="sk-SK"/>
              </w:rPr>
              <w:t>49</w:t>
            </w:r>
            <w:r w:rsidRPr="00DD022A">
              <w:rPr>
                <w:rFonts w:eastAsia="Times New Roman" w:cs="Times New Roman"/>
                <w:b/>
                <w:bCs/>
                <w:color w:val="4F81BD"/>
                <w:sz w:val="20"/>
                <w:szCs w:val="20"/>
                <w:lang w:eastAsia="sk-SK"/>
              </w:rPr>
              <w:t xml:space="preserve"> - Kapitálové transfery poskytnuté VÚC podľa kapitol ŠR</w:t>
            </w:r>
          </w:p>
        </w:tc>
        <w:tc>
          <w:tcPr>
            <w:tcW w:w="940" w:type="dxa"/>
            <w:tcBorders>
              <w:top w:val="nil"/>
              <w:left w:val="nil"/>
              <w:bottom w:val="single" w:sz="8" w:space="0" w:color="auto"/>
              <w:right w:val="nil"/>
            </w:tcBorders>
            <w:shd w:val="clear" w:color="auto" w:fill="auto"/>
            <w:noWrap/>
            <w:vAlign w:val="bottom"/>
            <w:hideMark/>
          </w:tcPr>
          <w:p w14:paraId="581C412D" w14:textId="77777777" w:rsidR="00A57E96" w:rsidRPr="00811482" w:rsidRDefault="00A57E96" w:rsidP="00B768D9">
            <w:pPr>
              <w:spacing w:after="0" w:line="240" w:lineRule="auto"/>
              <w:jc w:val="left"/>
              <w:rPr>
                <w:rFonts w:ascii="Arial Narrow" w:eastAsia="Times New Roman" w:hAnsi="Arial Narrow" w:cs="Times New Roman"/>
                <w:color w:val="000000"/>
                <w:lang w:eastAsia="sk-SK"/>
              </w:rPr>
            </w:pPr>
            <w:r w:rsidRPr="00811482">
              <w:rPr>
                <w:rFonts w:ascii="Arial Narrow" w:eastAsia="Times New Roman" w:hAnsi="Arial Narrow" w:cs="Times New Roman"/>
                <w:color w:val="000000"/>
                <w:lang w:eastAsia="sk-SK"/>
              </w:rPr>
              <w:t> </w:t>
            </w:r>
          </w:p>
        </w:tc>
      </w:tr>
      <w:tr w:rsidR="00B41352" w:rsidRPr="00811482" w14:paraId="7BB60D35" w14:textId="77777777" w:rsidTr="006A0B96">
        <w:trPr>
          <w:trHeight w:val="510"/>
        </w:trPr>
        <w:tc>
          <w:tcPr>
            <w:tcW w:w="3880" w:type="dxa"/>
            <w:vMerge w:val="restart"/>
            <w:tcBorders>
              <w:top w:val="nil"/>
              <w:left w:val="nil"/>
              <w:right w:val="nil"/>
            </w:tcBorders>
            <w:shd w:val="clear" w:color="auto" w:fill="auto"/>
            <w:vAlign w:val="center"/>
            <w:hideMark/>
          </w:tcPr>
          <w:p w14:paraId="644174D9" w14:textId="651823DD" w:rsidR="00B41352" w:rsidRPr="00811482" w:rsidRDefault="00B41352" w:rsidP="00B41352">
            <w:pPr>
              <w:spacing w:after="0" w:line="240" w:lineRule="auto"/>
              <w:jc w:val="left"/>
              <w:rPr>
                <w:rFonts w:eastAsia="Times New Roman" w:cs="Times New Roman"/>
                <w:b/>
                <w:bCs/>
                <w:color w:val="000000"/>
                <w:sz w:val="18"/>
                <w:szCs w:val="18"/>
                <w:lang w:eastAsia="sk-SK"/>
              </w:rPr>
            </w:pPr>
            <w:r w:rsidRPr="00811482">
              <w:rPr>
                <w:rFonts w:eastAsia="Times New Roman" w:cs="Times New Roman"/>
                <w:b/>
                <w:bCs/>
                <w:color w:val="000000"/>
                <w:sz w:val="18"/>
                <w:szCs w:val="18"/>
                <w:lang w:eastAsia="sk-SK"/>
              </w:rPr>
              <w:t>v tis. eur</w:t>
            </w:r>
            <w:r w:rsidRPr="00811482">
              <w:rPr>
                <w:rFonts w:eastAsia="Times New Roman" w:cs="Times New Roman"/>
                <w:b/>
                <w:bCs/>
                <w:color w:val="FFFFFF"/>
                <w:sz w:val="18"/>
                <w:szCs w:val="18"/>
                <w:lang w:eastAsia="sk-SK"/>
              </w:rPr>
              <w:t> </w:t>
            </w:r>
          </w:p>
        </w:tc>
        <w:tc>
          <w:tcPr>
            <w:tcW w:w="820" w:type="dxa"/>
            <w:tcBorders>
              <w:top w:val="nil"/>
              <w:left w:val="nil"/>
              <w:bottom w:val="nil"/>
              <w:right w:val="nil"/>
            </w:tcBorders>
            <w:shd w:val="clear" w:color="auto" w:fill="auto"/>
            <w:vAlign w:val="center"/>
            <w:hideMark/>
          </w:tcPr>
          <w:p w14:paraId="3E2C8EA9" w14:textId="77777777" w:rsidR="00B41352" w:rsidRPr="00811482" w:rsidRDefault="00B41352" w:rsidP="00B768D9">
            <w:pPr>
              <w:spacing w:after="0" w:line="240" w:lineRule="auto"/>
              <w:jc w:val="center"/>
              <w:rPr>
                <w:rFonts w:eastAsia="Times New Roman" w:cs="Times New Roman"/>
                <w:b/>
                <w:bCs/>
                <w:color w:val="000000"/>
                <w:sz w:val="18"/>
                <w:szCs w:val="18"/>
                <w:lang w:eastAsia="sk-SK"/>
              </w:rPr>
            </w:pPr>
            <w:r w:rsidRPr="00811482">
              <w:rPr>
                <w:rFonts w:eastAsia="Times New Roman" w:cs="Times New Roman"/>
                <w:b/>
                <w:bCs/>
                <w:color w:val="000000"/>
                <w:sz w:val="18"/>
                <w:szCs w:val="18"/>
                <w:lang w:eastAsia="sk-SK"/>
              </w:rPr>
              <w:t>2021 S</w:t>
            </w:r>
          </w:p>
        </w:tc>
        <w:tc>
          <w:tcPr>
            <w:tcW w:w="820" w:type="dxa"/>
            <w:tcBorders>
              <w:top w:val="nil"/>
              <w:left w:val="nil"/>
              <w:bottom w:val="nil"/>
              <w:right w:val="nil"/>
            </w:tcBorders>
            <w:shd w:val="clear" w:color="auto" w:fill="auto"/>
            <w:vAlign w:val="center"/>
            <w:hideMark/>
          </w:tcPr>
          <w:p w14:paraId="4E69BD77" w14:textId="77777777" w:rsidR="00B41352" w:rsidRPr="00811482" w:rsidRDefault="00B41352" w:rsidP="00B768D9">
            <w:pPr>
              <w:spacing w:after="0" w:line="240" w:lineRule="auto"/>
              <w:jc w:val="center"/>
              <w:rPr>
                <w:rFonts w:eastAsia="Times New Roman" w:cs="Times New Roman"/>
                <w:b/>
                <w:bCs/>
                <w:color w:val="000000"/>
                <w:sz w:val="18"/>
                <w:szCs w:val="18"/>
                <w:lang w:eastAsia="sk-SK"/>
              </w:rPr>
            </w:pPr>
            <w:r w:rsidRPr="00811482">
              <w:rPr>
                <w:rFonts w:eastAsia="Times New Roman" w:cs="Times New Roman"/>
                <w:b/>
                <w:bCs/>
                <w:color w:val="000000"/>
                <w:sz w:val="18"/>
                <w:szCs w:val="18"/>
                <w:lang w:eastAsia="sk-SK"/>
              </w:rPr>
              <w:t>2022 S</w:t>
            </w:r>
          </w:p>
        </w:tc>
        <w:tc>
          <w:tcPr>
            <w:tcW w:w="760" w:type="dxa"/>
            <w:tcBorders>
              <w:top w:val="nil"/>
              <w:left w:val="nil"/>
              <w:bottom w:val="nil"/>
              <w:right w:val="nil"/>
            </w:tcBorders>
            <w:shd w:val="clear" w:color="auto" w:fill="auto"/>
            <w:vAlign w:val="center"/>
            <w:hideMark/>
          </w:tcPr>
          <w:p w14:paraId="4996506D" w14:textId="77777777" w:rsidR="00B41352" w:rsidRPr="00811482" w:rsidRDefault="00B41352" w:rsidP="00B768D9">
            <w:pPr>
              <w:spacing w:after="0" w:line="240" w:lineRule="auto"/>
              <w:jc w:val="center"/>
              <w:rPr>
                <w:rFonts w:eastAsia="Times New Roman" w:cs="Times New Roman"/>
                <w:b/>
                <w:bCs/>
                <w:color w:val="000000"/>
                <w:sz w:val="18"/>
                <w:szCs w:val="18"/>
                <w:lang w:eastAsia="sk-SK"/>
              </w:rPr>
            </w:pPr>
            <w:r w:rsidRPr="00811482">
              <w:rPr>
                <w:rFonts w:eastAsia="Times New Roman" w:cs="Times New Roman"/>
                <w:b/>
                <w:bCs/>
                <w:color w:val="000000"/>
                <w:sz w:val="18"/>
                <w:szCs w:val="18"/>
                <w:lang w:eastAsia="sk-SK"/>
              </w:rPr>
              <w:t>2023 R</w:t>
            </w:r>
          </w:p>
        </w:tc>
        <w:tc>
          <w:tcPr>
            <w:tcW w:w="840" w:type="dxa"/>
            <w:tcBorders>
              <w:top w:val="nil"/>
              <w:left w:val="nil"/>
              <w:bottom w:val="nil"/>
              <w:right w:val="nil"/>
            </w:tcBorders>
            <w:shd w:val="clear" w:color="auto" w:fill="auto"/>
            <w:vAlign w:val="center"/>
            <w:hideMark/>
          </w:tcPr>
          <w:p w14:paraId="26984967" w14:textId="77777777" w:rsidR="00B41352" w:rsidRPr="00811482" w:rsidRDefault="00B41352" w:rsidP="00B768D9">
            <w:pPr>
              <w:spacing w:after="0" w:line="240" w:lineRule="auto"/>
              <w:jc w:val="center"/>
              <w:rPr>
                <w:rFonts w:eastAsia="Times New Roman" w:cs="Times New Roman"/>
                <w:b/>
                <w:bCs/>
                <w:color w:val="000000"/>
                <w:sz w:val="18"/>
                <w:szCs w:val="18"/>
                <w:lang w:eastAsia="sk-SK"/>
              </w:rPr>
            </w:pPr>
            <w:r w:rsidRPr="00811482">
              <w:rPr>
                <w:rFonts w:eastAsia="Times New Roman" w:cs="Times New Roman"/>
                <w:b/>
                <w:bCs/>
                <w:color w:val="000000"/>
                <w:sz w:val="18"/>
                <w:szCs w:val="18"/>
                <w:lang w:eastAsia="sk-SK"/>
              </w:rPr>
              <w:t>2023 S</w:t>
            </w:r>
          </w:p>
        </w:tc>
        <w:tc>
          <w:tcPr>
            <w:tcW w:w="880" w:type="dxa"/>
            <w:tcBorders>
              <w:top w:val="nil"/>
              <w:left w:val="nil"/>
              <w:bottom w:val="nil"/>
              <w:right w:val="nil"/>
            </w:tcBorders>
            <w:shd w:val="clear" w:color="auto" w:fill="auto"/>
            <w:vAlign w:val="center"/>
            <w:hideMark/>
          </w:tcPr>
          <w:p w14:paraId="3B44CC29" w14:textId="77777777" w:rsidR="00B41352" w:rsidRPr="00811482" w:rsidRDefault="00B41352" w:rsidP="00B768D9">
            <w:pPr>
              <w:spacing w:after="0" w:line="240" w:lineRule="auto"/>
              <w:jc w:val="center"/>
              <w:rPr>
                <w:rFonts w:eastAsia="Times New Roman" w:cs="Times New Roman"/>
                <w:b/>
                <w:bCs/>
                <w:color w:val="000000"/>
                <w:sz w:val="18"/>
                <w:szCs w:val="18"/>
                <w:lang w:eastAsia="sk-SK"/>
              </w:rPr>
            </w:pPr>
            <w:r w:rsidRPr="00811482">
              <w:rPr>
                <w:rFonts w:eastAsia="Times New Roman" w:cs="Times New Roman"/>
                <w:b/>
                <w:bCs/>
                <w:color w:val="000000"/>
                <w:sz w:val="18"/>
                <w:szCs w:val="18"/>
                <w:lang w:eastAsia="sk-SK"/>
              </w:rPr>
              <w:t>z toho: zdroj 111</w:t>
            </w:r>
            <w:r w:rsidRPr="00811482">
              <w:rPr>
                <w:rFonts w:ascii="Arial Narrow" w:eastAsia="Times New Roman" w:hAnsi="Arial Narrow" w:cs="Times New Roman"/>
                <w:b/>
                <w:bCs/>
                <w:color w:val="000000"/>
                <w:sz w:val="18"/>
                <w:szCs w:val="18"/>
                <w:lang w:eastAsia="sk-SK"/>
              </w:rPr>
              <w:t>*</w:t>
            </w:r>
          </w:p>
        </w:tc>
        <w:tc>
          <w:tcPr>
            <w:tcW w:w="820" w:type="dxa"/>
            <w:tcBorders>
              <w:top w:val="nil"/>
              <w:left w:val="nil"/>
              <w:bottom w:val="nil"/>
              <w:right w:val="nil"/>
            </w:tcBorders>
            <w:shd w:val="clear" w:color="auto" w:fill="auto"/>
            <w:vAlign w:val="center"/>
            <w:hideMark/>
          </w:tcPr>
          <w:p w14:paraId="59590F45" w14:textId="77777777" w:rsidR="00B41352" w:rsidRPr="00811482" w:rsidRDefault="00B41352" w:rsidP="00B768D9">
            <w:pPr>
              <w:spacing w:after="0" w:line="240" w:lineRule="auto"/>
              <w:jc w:val="center"/>
              <w:rPr>
                <w:rFonts w:eastAsia="Times New Roman" w:cs="Times New Roman"/>
                <w:b/>
                <w:bCs/>
                <w:color w:val="000000"/>
                <w:sz w:val="18"/>
                <w:szCs w:val="18"/>
                <w:lang w:eastAsia="sk-SK"/>
              </w:rPr>
            </w:pPr>
            <w:r w:rsidRPr="00811482">
              <w:rPr>
                <w:rFonts w:eastAsia="Times New Roman" w:cs="Times New Roman"/>
                <w:b/>
                <w:bCs/>
                <w:color w:val="000000"/>
                <w:sz w:val="18"/>
                <w:szCs w:val="18"/>
                <w:lang w:eastAsia="sk-SK"/>
              </w:rPr>
              <w:t>Rozdiel</w:t>
            </w:r>
          </w:p>
        </w:tc>
        <w:tc>
          <w:tcPr>
            <w:tcW w:w="940" w:type="dxa"/>
            <w:tcBorders>
              <w:top w:val="nil"/>
              <w:left w:val="nil"/>
              <w:bottom w:val="nil"/>
              <w:right w:val="nil"/>
            </w:tcBorders>
            <w:shd w:val="clear" w:color="auto" w:fill="auto"/>
            <w:vAlign w:val="center"/>
            <w:hideMark/>
          </w:tcPr>
          <w:p w14:paraId="48ABA3C1" w14:textId="77777777" w:rsidR="00B41352" w:rsidRPr="00811482" w:rsidRDefault="00B41352" w:rsidP="00B768D9">
            <w:pPr>
              <w:spacing w:after="0" w:line="240" w:lineRule="auto"/>
              <w:jc w:val="center"/>
              <w:rPr>
                <w:rFonts w:eastAsia="Times New Roman" w:cs="Times New Roman"/>
                <w:b/>
                <w:bCs/>
                <w:color w:val="000000"/>
                <w:sz w:val="18"/>
                <w:szCs w:val="18"/>
                <w:lang w:eastAsia="sk-SK"/>
              </w:rPr>
            </w:pPr>
            <w:r w:rsidRPr="00811482">
              <w:rPr>
                <w:rFonts w:eastAsia="Times New Roman" w:cs="Times New Roman"/>
                <w:b/>
                <w:bCs/>
                <w:color w:val="000000"/>
                <w:sz w:val="18"/>
                <w:szCs w:val="18"/>
                <w:lang w:eastAsia="sk-SK"/>
              </w:rPr>
              <w:t>v %</w:t>
            </w:r>
          </w:p>
        </w:tc>
      </w:tr>
      <w:tr w:rsidR="00B41352" w:rsidRPr="00811482" w14:paraId="3E07B7E7" w14:textId="77777777" w:rsidTr="006A0B96">
        <w:trPr>
          <w:trHeight w:val="345"/>
        </w:trPr>
        <w:tc>
          <w:tcPr>
            <w:tcW w:w="3880" w:type="dxa"/>
            <w:vMerge/>
            <w:tcBorders>
              <w:left w:val="nil"/>
              <w:bottom w:val="single" w:sz="8" w:space="0" w:color="auto"/>
              <w:right w:val="nil"/>
            </w:tcBorders>
            <w:shd w:val="clear" w:color="auto" w:fill="auto"/>
            <w:vAlign w:val="center"/>
            <w:hideMark/>
          </w:tcPr>
          <w:p w14:paraId="1225B240" w14:textId="6F2BB4C6" w:rsidR="00B41352" w:rsidRPr="00811482" w:rsidRDefault="00B41352" w:rsidP="00B768D9">
            <w:pPr>
              <w:spacing w:after="0" w:line="240" w:lineRule="auto"/>
              <w:jc w:val="left"/>
              <w:rPr>
                <w:rFonts w:eastAsia="Times New Roman" w:cs="Times New Roman"/>
                <w:b/>
                <w:bCs/>
                <w:color w:val="FFFFFF"/>
                <w:sz w:val="18"/>
                <w:szCs w:val="18"/>
                <w:lang w:eastAsia="sk-SK"/>
              </w:rPr>
            </w:pPr>
          </w:p>
        </w:tc>
        <w:tc>
          <w:tcPr>
            <w:tcW w:w="820" w:type="dxa"/>
            <w:tcBorders>
              <w:top w:val="nil"/>
              <w:left w:val="nil"/>
              <w:bottom w:val="single" w:sz="8" w:space="0" w:color="auto"/>
              <w:right w:val="nil"/>
            </w:tcBorders>
            <w:shd w:val="clear" w:color="auto" w:fill="auto"/>
            <w:vAlign w:val="center"/>
            <w:hideMark/>
          </w:tcPr>
          <w:p w14:paraId="4B340ECD" w14:textId="77777777" w:rsidR="00B41352" w:rsidRPr="00811482" w:rsidRDefault="00B41352" w:rsidP="00B768D9">
            <w:pPr>
              <w:spacing w:after="0" w:line="240" w:lineRule="auto"/>
              <w:jc w:val="center"/>
              <w:rPr>
                <w:rFonts w:eastAsia="Times New Roman" w:cs="Times New Roman"/>
                <w:b/>
                <w:bCs/>
                <w:sz w:val="18"/>
                <w:szCs w:val="18"/>
                <w:lang w:eastAsia="sk-SK"/>
              </w:rPr>
            </w:pPr>
            <w:r w:rsidRPr="00811482">
              <w:rPr>
                <w:rFonts w:eastAsia="Times New Roman" w:cs="Times New Roman"/>
                <w:b/>
                <w:bCs/>
                <w:sz w:val="18"/>
                <w:szCs w:val="18"/>
                <w:lang w:eastAsia="sk-SK"/>
              </w:rPr>
              <w:t>1</w:t>
            </w:r>
          </w:p>
        </w:tc>
        <w:tc>
          <w:tcPr>
            <w:tcW w:w="820" w:type="dxa"/>
            <w:tcBorders>
              <w:top w:val="nil"/>
              <w:left w:val="nil"/>
              <w:bottom w:val="single" w:sz="8" w:space="0" w:color="auto"/>
              <w:right w:val="nil"/>
            </w:tcBorders>
            <w:shd w:val="clear" w:color="auto" w:fill="auto"/>
            <w:vAlign w:val="center"/>
            <w:hideMark/>
          </w:tcPr>
          <w:p w14:paraId="2728A83D" w14:textId="77777777" w:rsidR="00B41352" w:rsidRPr="00811482" w:rsidRDefault="00B41352" w:rsidP="00B768D9">
            <w:pPr>
              <w:spacing w:after="0" w:line="240" w:lineRule="auto"/>
              <w:jc w:val="center"/>
              <w:rPr>
                <w:rFonts w:eastAsia="Times New Roman" w:cs="Times New Roman"/>
                <w:b/>
                <w:bCs/>
                <w:sz w:val="18"/>
                <w:szCs w:val="18"/>
                <w:lang w:eastAsia="sk-SK"/>
              </w:rPr>
            </w:pPr>
            <w:r w:rsidRPr="00811482">
              <w:rPr>
                <w:rFonts w:eastAsia="Times New Roman" w:cs="Times New Roman"/>
                <w:b/>
                <w:bCs/>
                <w:sz w:val="18"/>
                <w:szCs w:val="18"/>
                <w:lang w:eastAsia="sk-SK"/>
              </w:rPr>
              <w:t>2</w:t>
            </w:r>
          </w:p>
        </w:tc>
        <w:tc>
          <w:tcPr>
            <w:tcW w:w="760" w:type="dxa"/>
            <w:tcBorders>
              <w:top w:val="nil"/>
              <w:left w:val="nil"/>
              <w:bottom w:val="single" w:sz="8" w:space="0" w:color="auto"/>
              <w:right w:val="nil"/>
            </w:tcBorders>
            <w:shd w:val="clear" w:color="auto" w:fill="auto"/>
            <w:vAlign w:val="center"/>
            <w:hideMark/>
          </w:tcPr>
          <w:p w14:paraId="5DCAF6DD" w14:textId="77777777" w:rsidR="00B41352" w:rsidRPr="00811482" w:rsidRDefault="00B41352" w:rsidP="00B768D9">
            <w:pPr>
              <w:spacing w:after="0" w:line="240" w:lineRule="auto"/>
              <w:jc w:val="center"/>
              <w:rPr>
                <w:rFonts w:eastAsia="Times New Roman" w:cs="Times New Roman"/>
                <w:b/>
                <w:bCs/>
                <w:sz w:val="18"/>
                <w:szCs w:val="18"/>
                <w:lang w:eastAsia="sk-SK"/>
              </w:rPr>
            </w:pPr>
            <w:r w:rsidRPr="00811482">
              <w:rPr>
                <w:rFonts w:eastAsia="Times New Roman" w:cs="Times New Roman"/>
                <w:b/>
                <w:bCs/>
                <w:sz w:val="18"/>
                <w:szCs w:val="18"/>
                <w:lang w:eastAsia="sk-SK"/>
              </w:rPr>
              <w:t>3</w:t>
            </w:r>
          </w:p>
        </w:tc>
        <w:tc>
          <w:tcPr>
            <w:tcW w:w="840" w:type="dxa"/>
            <w:tcBorders>
              <w:top w:val="nil"/>
              <w:left w:val="nil"/>
              <w:bottom w:val="single" w:sz="8" w:space="0" w:color="auto"/>
              <w:right w:val="nil"/>
            </w:tcBorders>
            <w:shd w:val="clear" w:color="auto" w:fill="auto"/>
            <w:vAlign w:val="center"/>
            <w:hideMark/>
          </w:tcPr>
          <w:p w14:paraId="4E6D59CC" w14:textId="77777777" w:rsidR="00B41352" w:rsidRPr="00811482" w:rsidRDefault="00B41352" w:rsidP="00B768D9">
            <w:pPr>
              <w:spacing w:after="0" w:line="240" w:lineRule="auto"/>
              <w:jc w:val="center"/>
              <w:rPr>
                <w:rFonts w:eastAsia="Times New Roman" w:cs="Times New Roman"/>
                <w:b/>
                <w:bCs/>
                <w:sz w:val="18"/>
                <w:szCs w:val="18"/>
                <w:lang w:eastAsia="sk-SK"/>
              </w:rPr>
            </w:pPr>
            <w:r w:rsidRPr="00811482">
              <w:rPr>
                <w:rFonts w:eastAsia="Times New Roman" w:cs="Times New Roman"/>
                <w:b/>
                <w:bCs/>
                <w:sz w:val="18"/>
                <w:szCs w:val="18"/>
                <w:lang w:eastAsia="sk-SK"/>
              </w:rPr>
              <w:t>4</w:t>
            </w:r>
          </w:p>
        </w:tc>
        <w:tc>
          <w:tcPr>
            <w:tcW w:w="880" w:type="dxa"/>
            <w:tcBorders>
              <w:top w:val="nil"/>
              <w:left w:val="nil"/>
              <w:bottom w:val="single" w:sz="8" w:space="0" w:color="auto"/>
              <w:right w:val="nil"/>
            </w:tcBorders>
            <w:shd w:val="clear" w:color="auto" w:fill="auto"/>
            <w:vAlign w:val="center"/>
            <w:hideMark/>
          </w:tcPr>
          <w:p w14:paraId="541AB4F5" w14:textId="77777777" w:rsidR="00B41352" w:rsidRPr="00811482" w:rsidRDefault="00B41352" w:rsidP="00B768D9">
            <w:pPr>
              <w:spacing w:after="0" w:line="240" w:lineRule="auto"/>
              <w:jc w:val="center"/>
              <w:rPr>
                <w:rFonts w:eastAsia="Times New Roman" w:cs="Times New Roman"/>
                <w:b/>
                <w:bCs/>
                <w:sz w:val="18"/>
                <w:szCs w:val="18"/>
                <w:lang w:eastAsia="sk-SK"/>
              </w:rPr>
            </w:pPr>
            <w:r w:rsidRPr="00811482">
              <w:rPr>
                <w:rFonts w:eastAsia="Times New Roman" w:cs="Times New Roman"/>
                <w:b/>
                <w:bCs/>
                <w:sz w:val="18"/>
                <w:szCs w:val="18"/>
                <w:lang w:eastAsia="sk-SK"/>
              </w:rPr>
              <w:t>5</w:t>
            </w:r>
          </w:p>
        </w:tc>
        <w:tc>
          <w:tcPr>
            <w:tcW w:w="820" w:type="dxa"/>
            <w:tcBorders>
              <w:top w:val="nil"/>
              <w:left w:val="nil"/>
              <w:bottom w:val="single" w:sz="8" w:space="0" w:color="auto"/>
              <w:right w:val="nil"/>
            </w:tcBorders>
            <w:shd w:val="clear" w:color="auto" w:fill="auto"/>
            <w:vAlign w:val="center"/>
            <w:hideMark/>
          </w:tcPr>
          <w:p w14:paraId="1F9D10A5" w14:textId="77777777" w:rsidR="00B41352" w:rsidRPr="00811482" w:rsidRDefault="00B41352" w:rsidP="00B768D9">
            <w:pPr>
              <w:spacing w:after="0" w:line="240" w:lineRule="auto"/>
              <w:jc w:val="center"/>
              <w:rPr>
                <w:rFonts w:eastAsia="Times New Roman" w:cs="Times New Roman"/>
                <w:b/>
                <w:bCs/>
                <w:sz w:val="18"/>
                <w:szCs w:val="18"/>
                <w:lang w:eastAsia="sk-SK"/>
              </w:rPr>
            </w:pPr>
            <w:r w:rsidRPr="00811482">
              <w:rPr>
                <w:rFonts w:eastAsia="Times New Roman" w:cs="Times New Roman"/>
                <w:b/>
                <w:bCs/>
                <w:sz w:val="18"/>
                <w:szCs w:val="18"/>
                <w:lang w:eastAsia="sk-SK"/>
              </w:rPr>
              <w:t>6=4-3</w:t>
            </w:r>
          </w:p>
        </w:tc>
        <w:tc>
          <w:tcPr>
            <w:tcW w:w="940" w:type="dxa"/>
            <w:tcBorders>
              <w:top w:val="nil"/>
              <w:left w:val="nil"/>
              <w:bottom w:val="single" w:sz="8" w:space="0" w:color="auto"/>
              <w:right w:val="nil"/>
            </w:tcBorders>
            <w:shd w:val="clear" w:color="auto" w:fill="auto"/>
            <w:vAlign w:val="center"/>
            <w:hideMark/>
          </w:tcPr>
          <w:p w14:paraId="67944429" w14:textId="77777777" w:rsidR="00B41352" w:rsidRPr="00811482" w:rsidRDefault="00B41352" w:rsidP="00B768D9">
            <w:pPr>
              <w:spacing w:after="0" w:line="240" w:lineRule="auto"/>
              <w:jc w:val="center"/>
              <w:rPr>
                <w:rFonts w:eastAsia="Times New Roman" w:cs="Times New Roman"/>
                <w:b/>
                <w:bCs/>
                <w:sz w:val="18"/>
                <w:szCs w:val="18"/>
                <w:lang w:eastAsia="sk-SK"/>
              </w:rPr>
            </w:pPr>
            <w:r w:rsidRPr="00811482">
              <w:rPr>
                <w:rFonts w:eastAsia="Times New Roman" w:cs="Times New Roman"/>
                <w:b/>
                <w:bCs/>
                <w:sz w:val="18"/>
                <w:szCs w:val="18"/>
                <w:lang w:eastAsia="sk-SK"/>
              </w:rPr>
              <w:t>7=4-3</w:t>
            </w:r>
          </w:p>
        </w:tc>
      </w:tr>
      <w:tr w:rsidR="00A57E96" w:rsidRPr="00811482" w14:paraId="13B89A2F" w14:textId="77777777" w:rsidTr="00B768D9">
        <w:trPr>
          <w:trHeight w:val="345"/>
        </w:trPr>
        <w:tc>
          <w:tcPr>
            <w:tcW w:w="3880" w:type="dxa"/>
            <w:tcBorders>
              <w:top w:val="nil"/>
              <w:left w:val="nil"/>
              <w:bottom w:val="nil"/>
              <w:right w:val="nil"/>
            </w:tcBorders>
            <w:shd w:val="clear" w:color="000000" w:fill="FFFFFF"/>
            <w:noWrap/>
            <w:vAlign w:val="center"/>
            <w:hideMark/>
          </w:tcPr>
          <w:p w14:paraId="4926FF0C" w14:textId="77777777" w:rsidR="00A57E96" w:rsidRPr="00811482" w:rsidRDefault="00A57E96" w:rsidP="00B768D9">
            <w:pPr>
              <w:spacing w:after="0" w:line="240" w:lineRule="auto"/>
              <w:jc w:val="left"/>
              <w:rPr>
                <w:rFonts w:eastAsia="Times New Roman" w:cs="Times New Roman"/>
                <w:color w:val="000000"/>
                <w:sz w:val="18"/>
                <w:szCs w:val="18"/>
                <w:lang w:eastAsia="sk-SK"/>
              </w:rPr>
            </w:pPr>
            <w:r w:rsidRPr="00811482">
              <w:rPr>
                <w:rFonts w:eastAsia="Times New Roman" w:cs="Times New Roman"/>
                <w:color w:val="000000"/>
                <w:sz w:val="18"/>
                <w:szCs w:val="18"/>
                <w:lang w:eastAsia="sk-SK"/>
              </w:rPr>
              <w:t xml:space="preserve">Ministerstvo investícií, reg. rozvoja a </w:t>
            </w:r>
            <w:proofErr w:type="spellStart"/>
            <w:r w:rsidRPr="00811482">
              <w:rPr>
                <w:rFonts w:eastAsia="Times New Roman" w:cs="Times New Roman"/>
                <w:color w:val="000000"/>
                <w:sz w:val="18"/>
                <w:szCs w:val="18"/>
                <w:lang w:eastAsia="sk-SK"/>
              </w:rPr>
              <w:t>informatiz</w:t>
            </w:r>
            <w:proofErr w:type="spellEnd"/>
            <w:r w:rsidRPr="00811482">
              <w:rPr>
                <w:rFonts w:eastAsia="Times New Roman" w:cs="Times New Roman"/>
                <w:color w:val="000000"/>
                <w:sz w:val="18"/>
                <w:szCs w:val="18"/>
                <w:lang w:eastAsia="sk-SK"/>
              </w:rPr>
              <w:t>. SR</w:t>
            </w:r>
          </w:p>
        </w:tc>
        <w:tc>
          <w:tcPr>
            <w:tcW w:w="820" w:type="dxa"/>
            <w:tcBorders>
              <w:top w:val="nil"/>
              <w:left w:val="nil"/>
              <w:bottom w:val="nil"/>
              <w:right w:val="nil"/>
            </w:tcBorders>
            <w:shd w:val="clear" w:color="auto" w:fill="auto"/>
            <w:noWrap/>
            <w:vAlign w:val="center"/>
            <w:hideMark/>
          </w:tcPr>
          <w:p w14:paraId="781338F0"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28 726</w:t>
            </w:r>
          </w:p>
        </w:tc>
        <w:tc>
          <w:tcPr>
            <w:tcW w:w="820" w:type="dxa"/>
            <w:tcBorders>
              <w:top w:val="nil"/>
              <w:left w:val="nil"/>
              <w:bottom w:val="nil"/>
              <w:right w:val="nil"/>
            </w:tcBorders>
            <w:shd w:val="clear" w:color="auto" w:fill="auto"/>
            <w:noWrap/>
            <w:vAlign w:val="center"/>
            <w:hideMark/>
          </w:tcPr>
          <w:p w14:paraId="147C3744"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34 412</w:t>
            </w:r>
          </w:p>
        </w:tc>
        <w:tc>
          <w:tcPr>
            <w:tcW w:w="760" w:type="dxa"/>
            <w:tcBorders>
              <w:top w:val="nil"/>
              <w:left w:val="nil"/>
              <w:bottom w:val="nil"/>
              <w:right w:val="nil"/>
            </w:tcBorders>
            <w:shd w:val="clear" w:color="000000" w:fill="FFFFFF"/>
            <w:noWrap/>
            <w:vAlign w:val="center"/>
            <w:hideMark/>
          </w:tcPr>
          <w:p w14:paraId="7C60EAB7"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0</w:t>
            </w:r>
          </w:p>
        </w:tc>
        <w:tc>
          <w:tcPr>
            <w:tcW w:w="840" w:type="dxa"/>
            <w:tcBorders>
              <w:top w:val="nil"/>
              <w:left w:val="nil"/>
              <w:bottom w:val="nil"/>
              <w:right w:val="nil"/>
            </w:tcBorders>
            <w:shd w:val="clear" w:color="auto" w:fill="auto"/>
            <w:noWrap/>
            <w:vAlign w:val="center"/>
            <w:hideMark/>
          </w:tcPr>
          <w:p w14:paraId="2D196578"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294 034</w:t>
            </w:r>
          </w:p>
        </w:tc>
        <w:tc>
          <w:tcPr>
            <w:tcW w:w="880" w:type="dxa"/>
            <w:tcBorders>
              <w:top w:val="nil"/>
              <w:left w:val="nil"/>
              <w:bottom w:val="nil"/>
              <w:right w:val="nil"/>
            </w:tcBorders>
            <w:shd w:val="clear" w:color="auto" w:fill="auto"/>
            <w:noWrap/>
            <w:vAlign w:val="center"/>
            <w:hideMark/>
          </w:tcPr>
          <w:p w14:paraId="42567127"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x</w:t>
            </w:r>
          </w:p>
        </w:tc>
        <w:tc>
          <w:tcPr>
            <w:tcW w:w="820" w:type="dxa"/>
            <w:tcBorders>
              <w:top w:val="nil"/>
              <w:left w:val="nil"/>
              <w:bottom w:val="nil"/>
              <w:right w:val="nil"/>
            </w:tcBorders>
            <w:shd w:val="clear" w:color="000000" w:fill="FFFFFF"/>
            <w:vAlign w:val="center"/>
            <w:hideMark/>
          </w:tcPr>
          <w:p w14:paraId="093FC6BA"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294 034</w:t>
            </w:r>
          </w:p>
        </w:tc>
        <w:tc>
          <w:tcPr>
            <w:tcW w:w="940" w:type="dxa"/>
            <w:tcBorders>
              <w:top w:val="nil"/>
              <w:left w:val="nil"/>
              <w:bottom w:val="nil"/>
              <w:right w:val="nil"/>
            </w:tcBorders>
            <w:shd w:val="clear" w:color="000000" w:fill="FFFFFF"/>
            <w:vAlign w:val="center"/>
            <w:hideMark/>
          </w:tcPr>
          <w:p w14:paraId="6EB79413" w14:textId="5046AEBC" w:rsidR="00A57E96" w:rsidRPr="00811482"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A57E96" w:rsidRPr="00811482" w14:paraId="0D7ACC31" w14:textId="77777777" w:rsidTr="00B768D9">
        <w:trPr>
          <w:trHeight w:val="345"/>
        </w:trPr>
        <w:tc>
          <w:tcPr>
            <w:tcW w:w="3880" w:type="dxa"/>
            <w:tcBorders>
              <w:top w:val="nil"/>
              <w:left w:val="nil"/>
              <w:bottom w:val="nil"/>
              <w:right w:val="nil"/>
            </w:tcBorders>
            <w:shd w:val="clear" w:color="000000" w:fill="FFFFFF"/>
            <w:vAlign w:val="center"/>
            <w:hideMark/>
          </w:tcPr>
          <w:p w14:paraId="2BFFCB87" w14:textId="77777777" w:rsidR="00A57E96" w:rsidRPr="00811482" w:rsidRDefault="00A57E96" w:rsidP="00B768D9">
            <w:pPr>
              <w:spacing w:after="0" w:line="240" w:lineRule="auto"/>
              <w:jc w:val="left"/>
              <w:rPr>
                <w:rFonts w:eastAsia="Times New Roman" w:cs="Times New Roman"/>
                <w:color w:val="000000"/>
                <w:sz w:val="18"/>
                <w:szCs w:val="18"/>
                <w:lang w:eastAsia="sk-SK"/>
              </w:rPr>
            </w:pPr>
            <w:r w:rsidRPr="00811482">
              <w:rPr>
                <w:rFonts w:eastAsia="Times New Roman" w:cs="Times New Roman"/>
                <w:color w:val="000000"/>
                <w:sz w:val="18"/>
                <w:szCs w:val="18"/>
                <w:lang w:eastAsia="sk-SK"/>
              </w:rPr>
              <w:t>Ministerstvo životného prostredia SR</w:t>
            </w:r>
          </w:p>
        </w:tc>
        <w:tc>
          <w:tcPr>
            <w:tcW w:w="820" w:type="dxa"/>
            <w:tcBorders>
              <w:top w:val="nil"/>
              <w:left w:val="nil"/>
              <w:bottom w:val="nil"/>
              <w:right w:val="nil"/>
            </w:tcBorders>
            <w:shd w:val="clear" w:color="auto" w:fill="auto"/>
            <w:noWrap/>
            <w:vAlign w:val="center"/>
            <w:hideMark/>
          </w:tcPr>
          <w:p w14:paraId="0F2FB457"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463</w:t>
            </w:r>
          </w:p>
        </w:tc>
        <w:tc>
          <w:tcPr>
            <w:tcW w:w="820" w:type="dxa"/>
            <w:tcBorders>
              <w:top w:val="nil"/>
              <w:left w:val="nil"/>
              <w:bottom w:val="nil"/>
              <w:right w:val="nil"/>
            </w:tcBorders>
            <w:shd w:val="clear" w:color="auto" w:fill="auto"/>
            <w:noWrap/>
            <w:vAlign w:val="center"/>
            <w:hideMark/>
          </w:tcPr>
          <w:p w14:paraId="34262D38"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18</w:t>
            </w:r>
          </w:p>
        </w:tc>
        <w:tc>
          <w:tcPr>
            <w:tcW w:w="760" w:type="dxa"/>
            <w:tcBorders>
              <w:top w:val="nil"/>
              <w:left w:val="nil"/>
              <w:bottom w:val="nil"/>
              <w:right w:val="nil"/>
            </w:tcBorders>
            <w:shd w:val="clear" w:color="000000" w:fill="FFFFFF"/>
            <w:noWrap/>
            <w:vAlign w:val="center"/>
            <w:hideMark/>
          </w:tcPr>
          <w:p w14:paraId="37A19F5A"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0</w:t>
            </w:r>
          </w:p>
        </w:tc>
        <w:tc>
          <w:tcPr>
            <w:tcW w:w="840" w:type="dxa"/>
            <w:tcBorders>
              <w:top w:val="nil"/>
              <w:left w:val="nil"/>
              <w:bottom w:val="nil"/>
              <w:right w:val="nil"/>
            </w:tcBorders>
            <w:shd w:val="clear" w:color="auto" w:fill="auto"/>
            <w:noWrap/>
            <w:vAlign w:val="center"/>
            <w:hideMark/>
          </w:tcPr>
          <w:p w14:paraId="4E6B09A6"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6 486</w:t>
            </w:r>
          </w:p>
        </w:tc>
        <w:tc>
          <w:tcPr>
            <w:tcW w:w="880" w:type="dxa"/>
            <w:tcBorders>
              <w:top w:val="nil"/>
              <w:left w:val="nil"/>
              <w:bottom w:val="nil"/>
              <w:right w:val="nil"/>
            </w:tcBorders>
            <w:shd w:val="clear" w:color="auto" w:fill="auto"/>
            <w:noWrap/>
            <w:vAlign w:val="center"/>
            <w:hideMark/>
          </w:tcPr>
          <w:p w14:paraId="7B5E09DB"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x</w:t>
            </w:r>
          </w:p>
        </w:tc>
        <w:tc>
          <w:tcPr>
            <w:tcW w:w="820" w:type="dxa"/>
            <w:tcBorders>
              <w:top w:val="nil"/>
              <w:left w:val="nil"/>
              <w:bottom w:val="nil"/>
              <w:right w:val="nil"/>
            </w:tcBorders>
            <w:shd w:val="clear" w:color="000000" w:fill="FFFFFF"/>
            <w:vAlign w:val="center"/>
            <w:hideMark/>
          </w:tcPr>
          <w:p w14:paraId="61AD0D9E"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6 486</w:t>
            </w:r>
          </w:p>
        </w:tc>
        <w:tc>
          <w:tcPr>
            <w:tcW w:w="940" w:type="dxa"/>
            <w:tcBorders>
              <w:top w:val="nil"/>
              <w:left w:val="nil"/>
              <w:bottom w:val="nil"/>
              <w:right w:val="nil"/>
            </w:tcBorders>
            <w:shd w:val="clear" w:color="000000" w:fill="FFFFFF"/>
            <w:vAlign w:val="center"/>
            <w:hideMark/>
          </w:tcPr>
          <w:p w14:paraId="46F0585D" w14:textId="1B5E3386" w:rsidR="00A57E96" w:rsidRPr="00811482"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A57E96" w:rsidRPr="00811482" w14:paraId="0FF57ED6" w14:textId="77777777" w:rsidTr="00B768D9">
        <w:trPr>
          <w:trHeight w:val="345"/>
        </w:trPr>
        <w:tc>
          <w:tcPr>
            <w:tcW w:w="3880" w:type="dxa"/>
            <w:tcBorders>
              <w:top w:val="nil"/>
              <w:left w:val="nil"/>
              <w:bottom w:val="nil"/>
              <w:right w:val="nil"/>
            </w:tcBorders>
            <w:shd w:val="clear" w:color="000000" w:fill="FFFFFF"/>
            <w:noWrap/>
            <w:vAlign w:val="center"/>
            <w:hideMark/>
          </w:tcPr>
          <w:p w14:paraId="3AF83690" w14:textId="77777777" w:rsidR="00A57E96" w:rsidRPr="00811482" w:rsidRDefault="00A57E96" w:rsidP="00B768D9">
            <w:pPr>
              <w:spacing w:after="0" w:line="240" w:lineRule="auto"/>
              <w:jc w:val="left"/>
              <w:rPr>
                <w:rFonts w:eastAsia="Times New Roman" w:cs="Times New Roman"/>
                <w:color w:val="000000"/>
                <w:sz w:val="18"/>
                <w:szCs w:val="18"/>
                <w:lang w:eastAsia="sk-SK"/>
              </w:rPr>
            </w:pPr>
            <w:r w:rsidRPr="00811482">
              <w:rPr>
                <w:rFonts w:eastAsia="Times New Roman" w:cs="Times New Roman"/>
                <w:color w:val="000000"/>
                <w:sz w:val="18"/>
                <w:szCs w:val="18"/>
                <w:lang w:eastAsia="sk-SK"/>
              </w:rPr>
              <w:t>Všeobecná pokladničná správa</w:t>
            </w:r>
          </w:p>
        </w:tc>
        <w:tc>
          <w:tcPr>
            <w:tcW w:w="820" w:type="dxa"/>
            <w:tcBorders>
              <w:top w:val="nil"/>
              <w:left w:val="nil"/>
              <w:bottom w:val="nil"/>
              <w:right w:val="nil"/>
            </w:tcBorders>
            <w:shd w:val="clear" w:color="auto" w:fill="auto"/>
            <w:noWrap/>
            <w:vAlign w:val="center"/>
            <w:hideMark/>
          </w:tcPr>
          <w:p w14:paraId="5F520615"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4 116</w:t>
            </w:r>
          </w:p>
        </w:tc>
        <w:tc>
          <w:tcPr>
            <w:tcW w:w="820" w:type="dxa"/>
            <w:tcBorders>
              <w:top w:val="nil"/>
              <w:left w:val="nil"/>
              <w:bottom w:val="nil"/>
              <w:right w:val="nil"/>
            </w:tcBorders>
            <w:shd w:val="clear" w:color="auto" w:fill="auto"/>
            <w:noWrap/>
            <w:vAlign w:val="center"/>
            <w:hideMark/>
          </w:tcPr>
          <w:p w14:paraId="68C03050"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0</w:t>
            </w:r>
          </w:p>
        </w:tc>
        <w:tc>
          <w:tcPr>
            <w:tcW w:w="760" w:type="dxa"/>
            <w:tcBorders>
              <w:top w:val="nil"/>
              <w:left w:val="nil"/>
              <w:bottom w:val="nil"/>
              <w:right w:val="nil"/>
            </w:tcBorders>
            <w:shd w:val="clear" w:color="000000" w:fill="FFFFFF"/>
            <w:noWrap/>
            <w:vAlign w:val="center"/>
            <w:hideMark/>
          </w:tcPr>
          <w:p w14:paraId="300A615A"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0</w:t>
            </w:r>
          </w:p>
        </w:tc>
        <w:tc>
          <w:tcPr>
            <w:tcW w:w="840" w:type="dxa"/>
            <w:tcBorders>
              <w:top w:val="nil"/>
              <w:left w:val="nil"/>
              <w:bottom w:val="nil"/>
              <w:right w:val="nil"/>
            </w:tcBorders>
            <w:shd w:val="clear" w:color="auto" w:fill="auto"/>
            <w:noWrap/>
            <w:vAlign w:val="center"/>
            <w:hideMark/>
          </w:tcPr>
          <w:p w14:paraId="19458FF1"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6 100</w:t>
            </w:r>
          </w:p>
        </w:tc>
        <w:tc>
          <w:tcPr>
            <w:tcW w:w="880" w:type="dxa"/>
            <w:tcBorders>
              <w:top w:val="nil"/>
              <w:left w:val="nil"/>
              <w:bottom w:val="nil"/>
              <w:right w:val="nil"/>
            </w:tcBorders>
            <w:shd w:val="clear" w:color="auto" w:fill="auto"/>
            <w:noWrap/>
            <w:vAlign w:val="center"/>
            <w:hideMark/>
          </w:tcPr>
          <w:p w14:paraId="1CAFC6A7"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5 000</w:t>
            </w:r>
          </w:p>
        </w:tc>
        <w:tc>
          <w:tcPr>
            <w:tcW w:w="820" w:type="dxa"/>
            <w:tcBorders>
              <w:top w:val="nil"/>
              <w:left w:val="nil"/>
              <w:bottom w:val="nil"/>
              <w:right w:val="nil"/>
            </w:tcBorders>
            <w:shd w:val="clear" w:color="000000" w:fill="FFFFFF"/>
            <w:vAlign w:val="center"/>
            <w:hideMark/>
          </w:tcPr>
          <w:p w14:paraId="1E64ADB1"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6 100</w:t>
            </w:r>
          </w:p>
        </w:tc>
        <w:tc>
          <w:tcPr>
            <w:tcW w:w="940" w:type="dxa"/>
            <w:tcBorders>
              <w:top w:val="nil"/>
              <w:left w:val="nil"/>
              <w:bottom w:val="nil"/>
              <w:right w:val="nil"/>
            </w:tcBorders>
            <w:shd w:val="clear" w:color="000000" w:fill="FFFFFF"/>
            <w:noWrap/>
            <w:vAlign w:val="center"/>
            <w:hideMark/>
          </w:tcPr>
          <w:p w14:paraId="17681B8C" w14:textId="6987C05B" w:rsidR="00A57E96" w:rsidRPr="00811482"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A57E96" w:rsidRPr="00811482" w14:paraId="11C5912E" w14:textId="77777777" w:rsidTr="00B768D9">
        <w:trPr>
          <w:trHeight w:val="345"/>
        </w:trPr>
        <w:tc>
          <w:tcPr>
            <w:tcW w:w="3880" w:type="dxa"/>
            <w:tcBorders>
              <w:top w:val="nil"/>
              <w:left w:val="nil"/>
              <w:bottom w:val="nil"/>
              <w:right w:val="nil"/>
            </w:tcBorders>
            <w:shd w:val="clear" w:color="000000" w:fill="FFFFFF"/>
            <w:vAlign w:val="center"/>
            <w:hideMark/>
          </w:tcPr>
          <w:p w14:paraId="580F9B54" w14:textId="77777777" w:rsidR="00A57E96" w:rsidRPr="00811482" w:rsidRDefault="00A57E96" w:rsidP="00B768D9">
            <w:pPr>
              <w:spacing w:after="0" w:line="240" w:lineRule="auto"/>
              <w:jc w:val="left"/>
              <w:rPr>
                <w:rFonts w:eastAsia="Times New Roman" w:cs="Times New Roman"/>
                <w:color w:val="000000"/>
                <w:sz w:val="18"/>
                <w:szCs w:val="18"/>
                <w:lang w:eastAsia="sk-SK"/>
              </w:rPr>
            </w:pPr>
            <w:r w:rsidRPr="00811482">
              <w:rPr>
                <w:rFonts w:eastAsia="Times New Roman" w:cs="Times New Roman"/>
                <w:color w:val="000000"/>
                <w:sz w:val="18"/>
                <w:szCs w:val="18"/>
                <w:lang w:eastAsia="sk-SK"/>
              </w:rPr>
              <w:t>Ministerstvo kultúry SR</w:t>
            </w:r>
          </w:p>
        </w:tc>
        <w:tc>
          <w:tcPr>
            <w:tcW w:w="820" w:type="dxa"/>
            <w:tcBorders>
              <w:top w:val="nil"/>
              <w:left w:val="nil"/>
              <w:bottom w:val="nil"/>
              <w:right w:val="nil"/>
            </w:tcBorders>
            <w:shd w:val="clear" w:color="auto" w:fill="auto"/>
            <w:noWrap/>
            <w:vAlign w:val="center"/>
            <w:hideMark/>
          </w:tcPr>
          <w:p w14:paraId="69C6B935"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74</w:t>
            </w:r>
          </w:p>
        </w:tc>
        <w:tc>
          <w:tcPr>
            <w:tcW w:w="820" w:type="dxa"/>
            <w:tcBorders>
              <w:top w:val="nil"/>
              <w:left w:val="nil"/>
              <w:bottom w:val="nil"/>
              <w:right w:val="nil"/>
            </w:tcBorders>
            <w:shd w:val="clear" w:color="auto" w:fill="auto"/>
            <w:noWrap/>
            <w:vAlign w:val="center"/>
            <w:hideMark/>
          </w:tcPr>
          <w:p w14:paraId="07BC2257"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580</w:t>
            </w:r>
          </w:p>
        </w:tc>
        <w:tc>
          <w:tcPr>
            <w:tcW w:w="760" w:type="dxa"/>
            <w:tcBorders>
              <w:top w:val="nil"/>
              <w:left w:val="nil"/>
              <w:bottom w:val="nil"/>
              <w:right w:val="nil"/>
            </w:tcBorders>
            <w:shd w:val="clear" w:color="000000" w:fill="FFFFFF"/>
            <w:noWrap/>
            <w:vAlign w:val="center"/>
            <w:hideMark/>
          </w:tcPr>
          <w:p w14:paraId="577E0F4A"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0</w:t>
            </w:r>
          </w:p>
        </w:tc>
        <w:tc>
          <w:tcPr>
            <w:tcW w:w="840" w:type="dxa"/>
            <w:tcBorders>
              <w:top w:val="nil"/>
              <w:left w:val="nil"/>
              <w:bottom w:val="nil"/>
              <w:right w:val="nil"/>
            </w:tcBorders>
            <w:shd w:val="clear" w:color="auto" w:fill="auto"/>
            <w:noWrap/>
            <w:vAlign w:val="center"/>
            <w:hideMark/>
          </w:tcPr>
          <w:p w14:paraId="1A1D5FC1"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748</w:t>
            </w:r>
          </w:p>
        </w:tc>
        <w:tc>
          <w:tcPr>
            <w:tcW w:w="880" w:type="dxa"/>
            <w:tcBorders>
              <w:top w:val="nil"/>
              <w:left w:val="nil"/>
              <w:bottom w:val="nil"/>
              <w:right w:val="nil"/>
            </w:tcBorders>
            <w:shd w:val="clear" w:color="auto" w:fill="auto"/>
            <w:noWrap/>
            <w:vAlign w:val="center"/>
            <w:hideMark/>
          </w:tcPr>
          <w:p w14:paraId="73EF28BB"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748</w:t>
            </w:r>
          </w:p>
        </w:tc>
        <w:tc>
          <w:tcPr>
            <w:tcW w:w="820" w:type="dxa"/>
            <w:tcBorders>
              <w:top w:val="nil"/>
              <w:left w:val="nil"/>
              <w:bottom w:val="nil"/>
              <w:right w:val="nil"/>
            </w:tcBorders>
            <w:shd w:val="clear" w:color="000000" w:fill="FFFFFF"/>
            <w:vAlign w:val="center"/>
            <w:hideMark/>
          </w:tcPr>
          <w:p w14:paraId="38FA81EC"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748</w:t>
            </w:r>
          </w:p>
        </w:tc>
        <w:tc>
          <w:tcPr>
            <w:tcW w:w="940" w:type="dxa"/>
            <w:tcBorders>
              <w:top w:val="nil"/>
              <w:left w:val="nil"/>
              <w:bottom w:val="nil"/>
              <w:right w:val="nil"/>
            </w:tcBorders>
            <w:shd w:val="clear" w:color="000000" w:fill="FFFFFF"/>
            <w:vAlign w:val="center"/>
            <w:hideMark/>
          </w:tcPr>
          <w:p w14:paraId="7D571B77" w14:textId="3A23EBD8" w:rsidR="00A57E96" w:rsidRPr="00811482"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A57E96" w:rsidRPr="00811482" w14:paraId="01580C4B" w14:textId="77777777" w:rsidTr="00B768D9">
        <w:trPr>
          <w:trHeight w:val="345"/>
        </w:trPr>
        <w:tc>
          <w:tcPr>
            <w:tcW w:w="3880" w:type="dxa"/>
            <w:tcBorders>
              <w:top w:val="nil"/>
              <w:left w:val="nil"/>
              <w:bottom w:val="nil"/>
              <w:right w:val="nil"/>
            </w:tcBorders>
            <w:shd w:val="clear" w:color="000000" w:fill="FFFFFF"/>
            <w:vAlign w:val="center"/>
            <w:hideMark/>
          </w:tcPr>
          <w:p w14:paraId="635F4961" w14:textId="77777777" w:rsidR="00A57E96" w:rsidRPr="00811482" w:rsidRDefault="00A57E96" w:rsidP="00B768D9">
            <w:pPr>
              <w:spacing w:after="0" w:line="240" w:lineRule="auto"/>
              <w:jc w:val="left"/>
              <w:rPr>
                <w:rFonts w:eastAsia="Times New Roman" w:cs="Times New Roman"/>
                <w:color w:val="000000"/>
                <w:sz w:val="18"/>
                <w:szCs w:val="18"/>
                <w:lang w:eastAsia="sk-SK"/>
              </w:rPr>
            </w:pPr>
            <w:r w:rsidRPr="00811482">
              <w:rPr>
                <w:rFonts w:eastAsia="Times New Roman" w:cs="Times New Roman"/>
                <w:color w:val="000000"/>
                <w:sz w:val="18"/>
                <w:szCs w:val="18"/>
                <w:lang w:eastAsia="sk-SK"/>
              </w:rPr>
              <w:lastRenderedPageBreak/>
              <w:t>Ministerstvo školstva, vedy, výskumu a športu SR</w:t>
            </w:r>
          </w:p>
        </w:tc>
        <w:tc>
          <w:tcPr>
            <w:tcW w:w="820" w:type="dxa"/>
            <w:tcBorders>
              <w:top w:val="nil"/>
              <w:left w:val="nil"/>
              <w:bottom w:val="nil"/>
              <w:right w:val="nil"/>
            </w:tcBorders>
            <w:shd w:val="clear" w:color="auto" w:fill="auto"/>
            <w:noWrap/>
            <w:vAlign w:val="center"/>
            <w:hideMark/>
          </w:tcPr>
          <w:p w14:paraId="598F0CDE"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269</w:t>
            </w:r>
          </w:p>
        </w:tc>
        <w:tc>
          <w:tcPr>
            <w:tcW w:w="820" w:type="dxa"/>
            <w:tcBorders>
              <w:top w:val="nil"/>
              <w:left w:val="nil"/>
              <w:bottom w:val="nil"/>
              <w:right w:val="nil"/>
            </w:tcBorders>
            <w:shd w:val="clear" w:color="auto" w:fill="auto"/>
            <w:noWrap/>
            <w:vAlign w:val="center"/>
            <w:hideMark/>
          </w:tcPr>
          <w:p w14:paraId="5FED7970"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576</w:t>
            </w:r>
          </w:p>
        </w:tc>
        <w:tc>
          <w:tcPr>
            <w:tcW w:w="760" w:type="dxa"/>
            <w:tcBorders>
              <w:top w:val="nil"/>
              <w:left w:val="nil"/>
              <w:bottom w:val="nil"/>
              <w:right w:val="nil"/>
            </w:tcBorders>
            <w:shd w:val="clear" w:color="000000" w:fill="FFFFFF"/>
            <w:noWrap/>
            <w:vAlign w:val="center"/>
            <w:hideMark/>
          </w:tcPr>
          <w:p w14:paraId="3458A0E5"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300</w:t>
            </w:r>
          </w:p>
        </w:tc>
        <w:tc>
          <w:tcPr>
            <w:tcW w:w="840" w:type="dxa"/>
            <w:tcBorders>
              <w:top w:val="nil"/>
              <w:left w:val="nil"/>
              <w:bottom w:val="nil"/>
              <w:right w:val="nil"/>
            </w:tcBorders>
            <w:shd w:val="clear" w:color="auto" w:fill="auto"/>
            <w:noWrap/>
            <w:vAlign w:val="center"/>
            <w:hideMark/>
          </w:tcPr>
          <w:p w14:paraId="4721378D"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595</w:t>
            </w:r>
          </w:p>
        </w:tc>
        <w:tc>
          <w:tcPr>
            <w:tcW w:w="880" w:type="dxa"/>
            <w:tcBorders>
              <w:top w:val="nil"/>
              <w:left w:val="nil"/>
              <w:bottom w:val="nil"/>
              <w:right w:val="nil"/>
            </w:tcBorders>
            <w:shd w:val="clear" w:color="auto" w:fill="auto"/>
            <w:noWrap/>
            <w:vAlign w:val="center"/>
            <w:hideMark/>
          </w:tcPr>
          <w:p w14:paraId="605CE533"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488</w:t>
            </w:r>
          </w:p>
        </w:tc>
        <w:tc>
          <w:tcPr>
            <w:tcW w:w="820" w:type="dxa"/>
            <w:tcBorders>
              <w:top w:val="nil"/>
              <w:left w:val="nil"/>
              <w:bottom w:val="nil"/>
              <w:right w:val="nil"/>
            </w:tcBorders>
            <w:shd w:val="clear" w:color="000000" w:fill="FFFFFF"/>
            <w:vAlign w:val="center"/>
            <w:hideMark/>
          </w:tcPr>
          <w:p w14:paraId="66D1D295"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295</w:t>
            </w:r>
          </w:p>
        </w:tc>
        <w:tc>
          <w:tcPr>
            <w:tcW w:w="940" w:type="dxa"/>
            <w:tcBorders>
              <w:top w:val="nil"/>
              <w:left w:val="nil"/>
              <w:bottom w:val="nil"/>
              <w:right w:val="nil"/>
            </w:tcBorders>
            <w:shd w:val="clear" w:color="000000" w:fill="FFFFFF"/>
            <w:vAlign w:val="center"/>
            <w:hideMark/>
          </w:tcPr>
          <w:p w14:paraId="1A887E0A"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98,3</w:t>
            </w:r>
          </w:p>
        </w:tc>
      </w:tr>
      <w:tr w:rsidR="00A57E96" w:rsidRPr="00811482" w14:paraId="7FEBD8D3" w14:textId="77777777" w:rsidTr="00B768D9">
        <w:trPr>
          <w:trHeight w:val="345"/>
        </w:trPr>
        <w:tc>
          <w:tcPr>
            <w:tcW w:w="3880" w:type="dxa"/>
            <w:tcBorders>
              <w:top w:val="nil"/>
              <w:left w:val="nil"/>
              <w:bottom w:val="nil"/>
              <w:right w:val="nil"/>
            </w:tcBorders>
            <w:shd w:val="clear" w:color="000000" w:fill="FFFFFF"/>
            <w:vAlign w:val="center"/>
            <w:hideMark/>
          </w:tcPr>
          <w:p w14:paraId="29DC57BD" w14:textId="77777777" w:rsidR="00A57E96" w:rsidRPr="00811482" w:rsidRDefault="00A57E96" w:rsidP="00B768D9">
            <w:pPr>
              <w:spacing w:after="0" w:line="240" w:lineRule="auto"/>
              <w:jc w:val="left"/>
              <w:rPr>
                <w:rFonts w:eastAsia="Times New Roman" w:cs="Times New Roman"/>
                <w:color w:val="000000"/>
                <w:sz w:val="18"/>
                <w:szCs w:val="18"/>
                <w:lang w:eastAsia="sk-SK"/>
              </w:rPr>
            </w:pPr>
            <w:r w:rsidRPr="00811482">
              <w:rPr>
                <w:rFonts w:eastAsia="Times New Roman" w:cs="Times New Roman"/>
                <w:color w:val="000000"/>
                <w:sz w:val="18"/>
                <w:szCs w:val="18"/>
                <w:lang w:eastAsia="sk-SK"/>
              </w:rPr>
              <w:t xml:space="preserve">Ministerstvo práce, </w:t>
            </w:r>
            <w:proofErr w:type="spellStart"/>
            <w:r w:rsidRPr="00811482">
              <w:rPr>
                <w:rFonts w:eastAsia="Times New Roman" w:cs="Times New Roman"/>
                <w:color w:val="000000"/>
                <w:sz w:val="18"/>
                <w:szCs w:val="18"/>
                <w:lang w:eastAsia="sk-SK"/>
              </w:rPr>
              <w:t>soc.vecí</w:t>
            </w:r>
            <w:proofErr w:type="spellEnd"/>
            <w:r w:rsidRPr="00811482">
              <w:rPr>
                <w:rFonts w:eastAsia="Times New Roman" w:cs="Times New Roman"/>
                <w:color w:val="000000"/>
                <w:sz w:val="18"/>
                <w:szCs w:val="18"/>
                <w:lang w:eastAsia="sk-SK"/>
              </w:rPr>
              <w:t xml:space="preserve"> a rodiny SR</w:t>
            </w:r>
          </w:p>
        </w:tc>
        <w:tc>
          <w:tcPr>
            <w:tcW w:w="820" w:type="dxa"/>
            <w:tcBorders>
              <w:top w:val="nil"/>
              <w:left w:val="nil"/>
              <w:bottom w:val="nil"/>
              <w:right w:val="nil"/>
            </w:tcBorders>
            <w:shd w:val="clear" w:color="auto" w:fill="auto"/>
            <w:noWrap/>
            <w:vAlign w:val="center"/>
            <w:hideMark/>
          </w:tcPr>
          <w:p w14:paraId="051EB3E0"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318</w:t>
            </w:r>
          </w:p>
        </w:tc>
        <w:tc>
          <w:tcPr>
            <w:tcW w:w="820" w:type="dxa"/>
            <w:tcBorders>
              <w:top w:val="nil"/>
              <w:left w:val="nil"/>
              <w:bottom w:val="nil"/>
              <w:right w:val="nil"/>
            </w:tcBorders>
            <w:shd w:val="clear" w:color="auto" w:fill="auto"/>
            <w:noWrap/>
            <w:vAlign w:val="center"/>
            <w:hideMark/>
          </w:tcPr>
          <w:p w14:paraId="05E73890"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531</w:t>
            </w:r>
          </w:p>
        </w:tc>
        <w:tc>
          <w:tcPr>
            <w:tcW w:w="760" w:type="dxa"/>
            <w:tcBorders>
              <w:top w:val="nil"/>
              <w:left w:val="nil"/>
              <w:bottom w:val="nil"/>
              <w:right w:val="nil"/>
            </w:tcBorders>
            <w:shd w:val="clear" w:color="000000" w:fill="FFFFFF"/>
            <w:noWrap/>
            <w:vAlign w:val="center"/>
            <w:hideMark/>
          </w:tcPr>
          <w:p w14:paraId="12718D2C"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0</w:t>
            </w:r>
          </w:p>
        </w:tc>
        <w:tc>
          <w:tcPr>
            <w:tcW w:w="840" w:type="dxa"/>
            <w:tcBorders>
              <w:top w:val="nil"/>
              <w:left w:val="nil"/>
              <w:bottom w:val="nil"/>
              <w:right w:val="nil"/>
            </w:tcBorders>
            <w:shd w:val="clear" w:color="auto" w:fill="auto"/>
            <w:noWrap/>
            <w:vAlign w:val="center"/>
            <w:hideMark/>
          </w:tcPr>
          <w:p w14:paraId="29418A32"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354</w:t>
            </w:r>
          </w:p>
        </w:tc>
        <w:tc>
          <w:tcPr>
            <w:tcW w:w="880" w:type="dxa"/>
            <w:tcBorders>
              <w:top w:val="nil"/>
              <w:left w:val="nil"/>
              <w:bottom w:val="nil"/>
              <w:right w:val="nil"/>
            </w:tcBorders>
            <w:shd w:val="clear" w:color="auto" w:fill="auto"/>
            <w:noWrap/>
            <w:vAlign w:val="center"/>
            <w:hideMark/>
          </w:tcPr>
          <w:p w14:paraId="525F5AA5"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354</w:t>
            </w:r>
          </w:p>
        </w:tc>
        <w:tc>
          <w:tcPr>
            <w:tcW w:w="820" w:type="dxa"/>
            <w:tcBorders>
              <w:top w:val="nil"/>
              <w:left w:val="nil"/>
              <w:bottom w:val="nil"/>
              <w:right w:val="nil"/>
            </w:tcBorders>
            <w:shd w:val="clear" w:color="000000" w:fill="FFFFFF"/>
            <w:vAlign w:val="center"/>
            <w:hideMark/>
          </w:tcPr>
          <w:p w14:paraId="2F255029"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354</w:t>
            </w:r>
          </w:p>
        </w:tc>
        <w:tc>
          <w:tcPr>
            <w:tcW w:w="940" w:type="dxa"/>
            <w:tcBorders>
              <w:top w:val="nil"/>
              <w:left w:val="nil"/>
              <w:bottom w:val="nil"/>
              <w:right w:val="nil"/>
            </w:tcBorders>
            <w:shd w:val="clear" w:color="000000" w:fill="FFFFFF"/>
            <w:vAlign w:val="center"/>
            <w:hideMark/>
          </w:tcPr>
          <w:p w14:paraId="4580F961" w14:textId="2E4F5CFB" w:rsidR="00A57E96" w:rsidRPr="00811482"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A57E96" w:rsidRPr="00811482" w14:paraId="5F04B332" w14:textId="77777777" w:rsidTr="00B768D9">
        <w:trPr>
          <w:trHeight w:val="345"/>
        </w:trPr>
        <w:tc>
          <w:tcPr>
            <w:tcW w:w="3880" w:type="dxa"/>
            <w:tcBorders>
              <w:top w:val="nil"/>
              <w:left w:val="nil"/>
              <w:bottom w:val="nil"/>
              <w:right w:val="nil"/>
            </w:tcBorders>
            <w:shd w:val="clear" w:color="000000" w:fill="FFFFFF"/>
            <w:noWrap/>
            <w:vAlign w:val="center"/>
            <w:hideMark/>
          </w:tcPr>
          <w:p w14:paraId="15EA07A6" w14:textId="77777777" w:rsidR="00A57E96" w:rsidRPr="00811482" w:rsidRDefault="00A57E96" w:rsidP="00B768D9">
            <w:pPr>
              <w:spacing w:after="0" w:line="240" w:lineRule="auto"/>
              <w:jc w:val="left"/>
              <w:rPr>
                <w:rFonts w:eastAsia="Times New Roman" w:cs="Times New Roman"/>
                <w:color w:val="000000"/>
                <w:sz w:val="18"/>
                <w:szCs w:val="18"/>
                <w:lang w:eastAsia="sk-SK"/>
              </w:rPr>
            </w:pPr>
            <w:r w:rsidRPr="00811482">
              <w:rPr>
                <w:rFonts w:eastAsia="Times New Roman" w:cs="Times New Roman"/>
                <w:color w:val="000000"/>
                <w:sz w:val="18"/>
                <w:szCs w:val="18"/>
                <w:lang w:eastAsia="sk-SK"/>
              </w:rPr>
              <w:t>Úrad vlády SR</w:t>
            </w:r>
          </w:p>
        </w:tc>
        <w:tc>
          <w:tcPr>
            <w:tcW w:w="820" w:type="dxa"/>
            <w:tcBorders>
              <w:top w:val="nil"/>
              <w:left w:val="nil"/>
              <w:bottom w:val="nil"/>
              <w:right w:val="nil"/>
            </w:tcBorders>
            <w:shd w:val="clear" w:color="auto" w:fill="auto"/>
            <w:noWrap/>
            <w:vAlign w:val="center"/>
            <w:hideMark/>
          </w:tcPr>
          <w:p w14:paraId="4E341B7C"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x</w:t>
            </w:r>
          </w:p>
        </w:tc>
        <w:tc>
          <w:tcPr>
            <w:tcW w:w="820" w:type="dxa"/>
            <w:tcBorders>
              <w:top w:val="nil"/>
              <w:left w:val="nil"/>
              <w:bottom w:val="nil"/>
              <w:right w:val="nil"/>
            </w:tcBorders>
            <w:shd w:val="clear" w:color="auto" w:fill="auto"/>
            <w:noWrap/>
            <w:vAlign w:val="center"/>
            <w:hideMark/>
          </w:tcPr>
          <w:p w14:paraId="400F3605"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9</w:t>
            </w:r>
          </w:p>
        </w:tc>
        <w:tc>
          <w:tcPr>
            <w:tcW w:w="760" w:type="dxa"/>
            <w:tcBorders>
              <w:top w:val="nil"/>
              <w:left w:val="nil"/>
              <w:bottom w:val="nil"/>
              <w:right w:val="nil"/>
            </w:tcBorders>
            <w:shd w:val="clear" w:color="000000" w:fill="FFFFFF"/>
            <w:noWrap/>
            <w:vAlign w:val="center"/>
            <w:hideMark/>
          </w:tcPr>
          <w:p w14:paraId="22982CB8"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0</w:t>
            </w:r>
          </w:p>
        </w:tc>
        <w:tc>
          <w:tcPr>
            <w:tcW w:w="840" w:type="dxa"/>
            <w:tcBorders>
              <w:top w:val="nil"/>
              <w:left w:val="nil"/>
              <w:bottom w:val="nil"/>
              <w:right w:val="nil"/>
            </w:tcBorders>
            <w:shd w:val="clear" w:color="auto" w:fill="auto"/>
            <w:noWrap/>
            <w:vAlign w:val="center"/>
            <w:hideMark/>
          </w:tcPr>
          <w:p w14:paraId="42F84C96"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67</w:t>
            </w:r>
          </w:p>
        </w:tc>
        <w:tc>
          <w:tcPr>
            <w:tcW w:w="880" w:type="dxa"/>
            <w:tcBorders>
              <w:top w:val="nil"/>
              <w:left w:val="nil"/>
              <w:bottom w:val="nil"/>
              <w:right w:val="nil"/>
            </w:tcBorders>
            <w:shd w:val="clear" w:color="auto" w:fill="auto"/>
            <w:noWrap/>
            <w:vAlign w:val="center"/>
            <w:hideMark/>
          </w:tcPr>
          <w:p w14:paraId="4A9EE3BE"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3</w:t>
            </w:r>
          </w:p>
        </w:tc>
        <w:tc>
          <w:tcPr>
            <w:tcW w:w="820" w:type="dxa"/>
            <w:tcBorders>
              <w:top w:val="nil"/>
              <w:left w:val="nil"/>
              <w:bottom w:val="nil"/>
              <w:right w:val="nil"/>
            </w:tcBorders>
            <w:shd w:val="clear" w:color="000000" w:fill="FFFFFF"/>
            <w:vAlign w:val="center"/>
            <w:hideMark/>
          </w:tcPr>
          <w:p w14:paraId="4C93D447"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67</w:t>
            </w:r>
          </w:p>
        </w:tc>
        <w:tc>
          <w:tcPr>
            <w:tcW w:w="940" w:type="dxa"/>
            <w:tcBorders>
              <w:top w:val="nil"/>
              <w:left w:val="nil"/>
              <w:bottom w:val="nil"/>
              <w:right w:val="nil"/>
            </w:tcBorders>
            <w:shd w:val="clear" w:color="000000" w:fill="FFFFFF"/>
            <w:vAlign w:val="center"/>
            <w:hideMark/>
          </w:tcPr>
          <w:p w14:paraId="5E4382FB" w14:textId="0D03E000" w:rsidR="00A57E96" w:rsidRPr="00811482"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A57E96" w:rsidRPr="00811482" w14:paraId="222F5E44" w14:textId="77777777" w:rsidTr="00B768D9">
        <w:trPr>
          <w:trHeight w:val="345"/>
        </w:trPr>
        <w:tc>
          <w:tcPr>
            <w:tcW w:w="3880" w:type="dxa"/>
            <w:tcBorders>
              <w:top w:val="nil"/>
              <w:left w:val="nil"/>
              <w:bottom w:val="nil"/>
              <w:right w:val="nil"/>
            </w:tcBorders>
            <w:shd w:val="clear" w:color="000000" w:fill="FFFFFF"/>
            <w:vAlign w:val="center"/>
            <w:hideMark/>
          </w:tcPr>
          <w:p w14:paraId="525B611A" w14:textId="77777777" w:rsidR="00A57E96" w:rsidRPr="00811482" w:rsidRDefault="00A57E96" w:rsidP="00B768D9">
            <w:pPr>
              <w:spacing w:after="0" w:line="240" w:lineRule="auto"/>
              <w:jc w:val="left"/>
              <w:rPr>
                <w:rFonts w:eastAsia="Times New Roman" w:cs="Times New Roman"/>
                <w:color w:val="000000"/>
                <w:sz w:val="18"/>
                <w:szCs w:val="18"/>
                <w:lang w:eastAsia="sk-SK"/>
              </w:rPr>
            </w:pPr>
            <w:r w:rsidRPr="00811482">
              <w:rPr>
                <w:rFonts w:eastAsia="Times New Roman" w:cs="Times New Roman"/>
                <w:color w:val="000000"/>
                <w:sz w:val="18"/>
                <w:szCs w:val="18"/>
                <w:lang w:eastAsia="sk-SK"/>
              </w:rPr>
              <w:t>Ministerstvo vnútra SR</w:t>
            </w:r>
          </w:p>
        </w:tc>
        <w:tc>
          <w:tcPr>
            <w:tcW w:w="820" w:type="dxa"/>
            <w:tcBorders>
              <w:top w:val="nil"/>
              <w:left w:val="nil"/>
              <w:bottom w:val="nil"/>
              <w:right w:val="nil"/>
            </w:tcBorders>
            <w:shd w:val="clear" w:color="auto" w:fill="auto"/>
            <w:noWrap/>
            <w:vAlign w:val="center"/>
            <w:hideMark/>
          </w:tcPr>
          <w:p w14:paraId="16A8F76B"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x</w:t>
            </w:r>
          </w:p>
        </w:tc>
        <w:tc>
          <w:tcPr>
            <w:tcW w:w="820" w:type="dxa"/>
            <w:tcBorders>
              <w:top w:val="nil"/>
              <w:left w:val="nil"/>
              <w:bottom w:val="nil"/>
              <w:right w:val="nil"/>
            </w:tcBorders>
            <w:shd w:val="clear" w:color="auto" w:fill="auto"/>
            <w:noWrap/>
            <w:vAlign w:val="center"/>
            <w:hideMark/>
          </w:tcPr>
          <w:p w14:paraId="6B287698"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349</w:t>
            </w:r>
          </w:p>
        </w:tc>
        <w:tc>
          <w:tcPr>
            <w:tcW w:w="760" w:type="dxa"/>
            <w:tcBorders>
              <w:top w:val="nil"/>
              <w:left w:val="nil"/>
              <w:bottom w:val="nil"/>
              <w:right w:val="nil"/>
            </w:tcBorders>
            <w:shd w:val="clear" w:color="000000" w:fill="FFFFFF"/>
            <w:noWrap/>
            <w:vAlign w:val="center"/>
            <w:hideMark/>
          </w:tcPr>
          <w:p w14:paraId="0A5AA44D"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0</w:t>
            </w:r>
          </w:p>
        </w:tc>
        <w:tc>
          <w:tcPr>
            <w:tcW w:w="840" w:type="dxa"/>
            <w:tcBorders>
              <w:top w:val="nil"/>
              <w:left w:val="nil"/>
              <w:bottom w:val="nil"/>
              <w:right w:val="nil"/>
            </w:tcBorders>
            <w:shd w:val="clear" w:color="auto" w:fill="auto"/>
            <w:noWrap/>
            <w:vAlign w:val="center"/>
            <w:hideMark/>
          </w:tcPr>
          <w:p w14:paraId="525DD3D8"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38</w:t>
            </w:r>
          </w:p>
        </w:tc>
        <w:tc>
          <w:tcPr>
            <w:tcW w:w="880" w:type="dxa"/>
            <w:tcBorders>
              <w:top w:val="nil"/>
              <w:left w:val="nil"/>
              <w:bottom w:val="nil"/>
              <w:right w:val="nil"/>
            </w:tcBorders>
            <w:shd w:val="clear" w:color="auto" w:fill="auto"/>
            <w:noWrap/>
            <w:vAlign w:val="center"/>
            <w:hideMark/>
          </w:tcPr>
          <w:p w14:paraId="7494F64F"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x</w:t>
            </w:r>
          </w:p>
        </w:tc>
        <w:tc>
          <w:tcPr>
            <w:tcW w:w="820" w:type="dxa"/>
            <w:tcBorders>
              <w:top w:val="nil"/>
              <w:left w:val="nil"/>
              <w:bottom w:val="nil"/>
              <w:right w:val="nil"/>
            </w:tcBorders>
            <w:shd w:val="clear" w:color="000000" w:fill="FFFFFF"/>
            <w:vAlign w:val="center"/>
            <w:hideMark/>
          </w:tcPr>
          <w:p w14:paraId="11BA23AC"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38</w:t>
            </w:r>
          </w:p>
        </w:tc>
        <w:tc>
          <w:tcPr>
            <w:tcW w:w="940" w:type="dxa"/>
            <w:tcBorders>
              <w:top w:val="nil"/>
              <w:left w:val="nil"/>
              <w:bottom w:val="nil"/>
              <w:right w:val="nil"/>
            </w:tcBorders>
            <w:shd w:val="clear" w:color="000000" w:fill="FFFFFF"/>
            <w:vAlign w:val="center"/>
            <w:hideMark/>
          </w:tcPr>
          <w:p w14:paraId="2CF73169" w14:textId="049F4DAC" w:rsidR="00A57E96" w:rsidRPr="00811482"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A57E96" w:rsidRPr="00811482" w14:paraId="4C1607B7" w14:textId="77777777" w:rsidTr="00B768D9">
        <w:trPr>
          <w:trHeight w:val="330"/>
        </w:trPr>
        <w:tc>
          <w:tcPr>
            <w:tcW w:w="3880" w:type="dxa"/>
            <w:tcBorders>
              <w:top w:val="nil"/>
              <w:left w:val="nil"/>
              <w:bottom w:val="nil"/>
              <w:right w:val="nil"/>
            </w:tcBorders>
            <w:shd w:val="clear" w:color="000000" w:fill="FFFFFF"/>
            <w:vAlign w:val="center"/>
            <w:hideMark/>
          </w:tcPr>
          <w:p w14:paraId="0E40175F" w14:textId="77777777" w:rsidR="00A57E96" w:rsidRPr="00811482" w:rsidRDefault="00A57E96" w:rsidP="00B768D9">
            <w:pPr>
              <w:spacing w:after="0" w:line="240" w:lineRule="auto"/>
              <w:jc w:val="left"/>
              <w:rPr>
                <w:rFonts w:eastAsia="Times New Roman" w:cs="Times New Roman"/>
                <w:color w:val="000000"/>
                <w:sz w:val="18"/>
                <w:szCs w:val="18"/>
                <w:lang w:eastAsia="sk-SK"/>
              </w:rPr>
            </w:pPr>
            <w:r w:rsidRPr="00811482">
              <w:rPr>
                <w:rFonts w:eastAsia="Times New Roman" w:cs="Times New Roman"/>
                <w:color w:val="000000"/>
                <w:sz w:val="18"/>
                <w:szCs w:val="18"/>
                <w:lang w:eastAsia="sk-SK"/>
              </w:rPr>
              <w:t>Ministerstvo dopravy SR</w:t>
            </w:r>
          </w:p>
        </w:tc>
        <w:tc>
          <w:tcPr>
            <w:tcW w:w="820" w:type="dxa"/>
            <w:tcBorders>
              <w:top w:val="nil"/>
              <w:left w:val="nil"/>
              <w:bottom w:val="nil"/>
              <w:right w:val="nil"/>
            </w:tcBorders>
            <w:shd w:val="clear" w:color="auto" w:fill="auto"/>
            <w:noWrap/>
            <w:vAlign w:val="center"/>
            <w:hideMark/>
          </w:tcPr>
          <w:p w14:paraId="4BCD419F"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x</w:t>
            </w:r>
          </w:p>
        </w:tc>
        <w:tc>
          <w:tcPr>
            <w:tcW w:w="820" w:type="dxa"/>
            <w:tcBorders>
              <w:top w:val="nil"/>
              <w:left w:val="nil"/>
              <w:bottom w:val="nil"/>
              <w:right w:val="nil"/>
            </w:tcBorders>
            <w:shd w:val="clear" w:color="auto" w:fill="auto"/>
            <w:noWrap/>
            <w:vAlign w:val="center"/>
            <w:hideMark/>
          </w:tcPr>
          <w:p w14:paraId="1C5B4DC0"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x</w:t>
            </w:r>
          </w:p>
        </w:tc>
        <w:tc>
          <w:tcPr>
            <w:tcW w:w="760" w:type="dxa"/>
            <w:tcBorders>
              <w:top w:val="nil"/>
              <w:left w:val="nil"/>
              <w:bottom w:val="nil"/>
              <w:right w:val="nil"/>
            </w:tcBorders>
            <w:shd w:val="clear" w:color="000000" w:fill="FFFFFF"/>
            <w:noWrap/>
            <w:vAlign w:val="center"/>
            <w:hideMark/>
          </w:tcPr>
          <w:p w14:paraId="75C2822F"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0</w:t>
            </w:r>
          </w:p>
        </w:tc>
        <w:tc>
          <w:tcPr>
            <w:tcW w:w="840" w:type="dxa"/>
            <w:tcBorders>
              <w:top w:val="nil"/>
              <w:left w:val="nil"/>
              <w:bottom w:val="nil"/>
              <w:right w:val="nil"/>
            </w:tcBorders>
            <w:shd w:val="clear" w:color="auto" w:fill="auto"/>
            <w:noWrap/>
            <w:vAlign w:val="center"/>
            <w:hideMark/>
          </w:tcPr>
          <w:p w14:paraId="42093132"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34</w:t>
            </w:r>
          </w:p>
        </w:tc>
        <w:tc>
          <w:tcPr>
            <w:tcW w:w="880" w:type="dxa"/>
            <w:tcBorders>
              <w:top w:val="nil"/>
              <w:left w:val="nil"/>
              <w:bottom w:val="nil"/>
              <w:right w:val="nil"/>
            </w:tcBorders>
            <w:shd w:val="clear" w:color="auto" w:fill="auto"/>
            <w:noWrap/>
            <w:vAlign w:val="center"/>
            <w:hideMark/>
          </w:tcPr>
          <w:p w14:paraId="75B12932"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x</w:t>
            </w:r>
          </w:p>
        </w:tc>
        <w:tc>
          <w:tcPr>
            <w:tcW w:w="820" w:type="dxa"/>
            <w:tcBorders>
              <w:top w:val="nil"/>
              <w:left w:val="nil"/>
              <w:bottom w:val="nil"/>
              <w:right w:val="nil"/>
            </w:tcBorders>
            <w:shd w:val="clear" w:color="000000" w:fill="FFFFFF"/>
            <w:vAlign w:val="center"/>
            <w:hideMark/>
          </w:tcPr>
          <w:p w14:paraId="288661CB" w14:textId="77777777" w:rsidR="00A57E96" w:rsidRPr="00811482" w:rsidRDefault="00A57E96" w:rsidP="00B768D9">
            <w:pPr>
              <w:spacing w:after="0" w:line="240" w:lineRule="auto"/>
              <w:jc w:val="right"/>
              <w:rPr>
                <w:rFonts w:eastAsia="Times New Roman" w:cs="Times New Roman"/>
                <w:color w:val="000000"/>
                <w:sz w:val="18"/>
                <w:szCs w:val="18"/>
                <w:lang w:eastAsia="sk-SK"/>
              </w:rPr>
            </w:pPr>
            <w:r w:rsidRPr="00811482">
              <w:rPr>
                <w:rFonts w:eastAsia="Times New Roman" w:cs="Times New Roman"/>
                <w:color w:val="000000"/>
                <w:sz w:val="18"/>
                <w:szCs w:val="18"/>
                <w:lang w:eastAsia="sk-SK"/>
              </w:rPr>
              <w:t>34</w:t>
            </w:r>
          </w:p>
        </w:tc>
        <w:tc>
          <w:tcPr>
            <w:tcW w:w="940" w:type="dxa"/>
            <w:tcBorders>
              <w:top w:val="nil"/>
              <w:left w:val="nil"/>
              <w:bottom w:val="nil"/>
              <w:right w:val="nil"/>
            </w:tcBorders>
            <w:shd w:val="clear" w:color="000000" w:fill="FFFFFF"/>
            <w:vAlign w:val="center"/>
            <w:hideMark/>
          </w:tcPr>
          <w:p w14:paraId="466281B0" w14:textId="5B45391C" w:rsidR="00A57E96" w:rsidRPr="00811482" w:rsidRDefault="0088439E" w:rsidP="00B768D9">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p>
        </w:tc>
      </w:tr>
      <w:tr w:rsidR="00A57E96" w:rsidRPr="00811482" w14:paraId="29A7104A" w14:textId="77777777" w:rsidTr="00B768D9">
        <w:trPr>
          <w:trHeight w:val="345"/>
        </w:trPr>
        <w:tc>
          <w:tcPr>
            <w:tcW w:w="3880" w:type="dxa"/>
            <w:tcBorders>
              <w:top w:val="single" w:sz="4" w:space="0" w:color="auto"/>
              <w:left w:val="nil"/>
              <w:bottom w:val="single" w:sz="8" w:space="0" w:color="auto"/>
              <w:right w:val="nil"/>
            </w:tcBorders>
            <w:shd w:val="clear" w:color="000000" w:fill="FFFFFF"/>
            <w:noWrap/>
            <w:vAlign w:val="center"/>
            <w:hideMark/>
          </w:tcPr>
          <w:p w14:paraId="0432DBF7" w14:textId="77777777" w:rsidR="00A57E96" w:rsidRPr="00811482" w:rsidRDefault="00A57E96" w:rsidP="00B768D9">
            <w:pPr>
              <w:spacing w:after="0" w:line="240" w:lineRule="auto"/>
              <w:jc w:val="left"/>
              <w:rPr>
                <w:rFonts w:eastAsia="Times New Roman" w:cs="Times New Roman"/>
                <w:b/>
                <w:bCs/>
                <w:color w:val="000000"/>
                <w:sz w:val="18"/>
                <w:szCs w:val="18"/>
                <w:lang w:eastAsia="sk-SK"/>
              </w:rPr>
            </w:pPr>
            <w:r w:rsidRPr="00811482">
              <w:rPr>
                <w:rFonts w:eastAsia="Times New Roman" w:cs="Times New Roman"/>
                <w:b/>
                <w:bCs/>
                <w:color w:val="000000"/>
                <w:sz w:val="18"/>
                <w:szCs w:val="18"/>
                <w:lang w:eastAsia="sk-SK"/>
              </w:rPr>
              <w:t>Spolu</w:t>
            </w:r>
          </w:p>
        </w:tc>
        <w:tc>
          <w:tcPr>
            <w:tcW w:w="820" w:type="dxa"/>
            <w:tcBorders>
              <w:top w:val="single" w:sz="4" w:space="0" w:color="auto"/>
              <w:left w:val="nil"/>
              <w:bottom w:val="single" w:sz="8" w:space="0" w:color="auto"/>
              <w:right w:val="nil"/>
            </w:tcBorders>
            <w:shd w:val="clear" w:color="000000" w:fill="FFFFFF"/>
            <w:noWrap/>
            <w:vAlign w:val="center"/>
            <w:hideMark/>
          </w:tcPr>
          <w:p w14:paraId="2E2D3619" w14:textId="77777777" w:rsidR="00A57E96" w:rsidRPr="00811482" w:rsidRDefault="00A57E96" w:rsidP="00B768D9">
            <w:pPr>
              <w:spacing w:after="0" w:line="240" w:lineRule="auto"/>
              <w:jc w:val="right"/>
              <w:rPr>
                <w:rFonts w:eastAsia="Times New Roman" w:cs="Times New Roman"/>
                <w:b/>
                <w:bCs/>
                <w:color w:val="000000"/>
                <w:sz w:val="18"/>
                <w:szCs w:val="18"/>
                <w:lang w:eastAsia="sk-SK"/>
              </w:rPr>
            </w:pPr>
            <w:r w:rsidRPr="00811482">
              <w:rPr>
                <w:rFonts w:eastAsia="Times New Roman" w:cs="Times New Roman"/>
                <w:b/>
                <w:bCs/>
                <w:color w:val="000000"/>
                <w:sz w:val="18"/>
                <w:szCs w:val="18"/>
                <w:lang w:eastAsia="sk-SK"/>
              </w:rPr>
              <w:t>33 966</w:t>
            </w:r>
          </w:p>
        </w:tc>
        <w:tc>
          <w:tcPr>
            <w:tcW w:w="820" w:type="dxa"/>
            <w:tcBorders>
              <w:top w:val="single" w:sz="4" w:space="0" w:color="auto"/>
              <w:left w:val="nil"/>
              <w:bottom w:val="single" w:sz="8" w:space="0" w:color="auto"/>
              <w:right w:val="nil"/>
            </w:tcBorders>
            <w:shd w:val="clear" w:color="000000" w:fill="FFFFFF"/>
            <w:noWrap/>
            <w:vAlign w:val="center"/>
            <w:hideMark/>
          </w:tcPr>
          <w:p w14:paraId="17812CBC" w14:textId="77777777" w:rsidR="00A57E96" w:rsidRPr="00811482" w:rsidRDefault="00A57E96" w:rsidP="00B768D9">
            <w:pPr>
              <w:spacing w:after="0" w:line="240" w:lineRule="auto"/>
              <w:jc w:val="right"/>
              <w:rPr>
                <w:rFonts w:eastAsia="Times New Roman" w:cs="Times New Roman"/>
                <w:b/>
                <w:bCs/>
                <w:color w:val="000000"/>
                <w:sz w:val="18"/>
                <w:szCs w:val="18"/>
                <w:lang w:eastAsia="sk-SK"/>
              </w:rPr>
            </w:pPr>
            <w:r w:rsidRPr="00811482">
              <w:rPr>
                <w:rFonts w:eastAsia="Times New Roman" w:cs="Times New Roman"/>
                <w:b/>
                <w:bCs/>
                <w:color w:val="000000"/>
                <w:sz w:val="18"/>
                <w:szCs w:val="18"/>
                <w:lang w:eastAsia="sk-SK"/>
              </w:rPr>
              <w:t>36 475</w:t>
            </w:r>
          </w:p>
        </w:tc>
        <w:tc>
          <w:tcPr>
            <w:tcW w:w="760" w:type="dxa"/>
            <w:tcBorders>
              <w:top w:val="single" w:sz="4" w:space="0" w:color="auto"/>
              <w:left w:val="nil"/>
              <w:bottom w:val="single" w:sz="8" w:space="0" w:color="auto"/>
              <w:right w:val="nil"/>
            </w:tcBorders>
            <w:shd w:val="clear" w:color="000000" w:fill="FFFFFF"/>
            <w:noWrap/>
            <w:vAlign w:val="center"/>
            <w:hideMark/>
          </w:tcPr>
          <w:p w14:paraId="519DDEFE" w14:textId="77777777" w:rsidR="00A57E96" w:rsidRPr="00811482" w:rsidRDefault="00A57E96" w:rsidP="00B768D9">
            <w:pPr>
              <w:spacing w:after="0" w:line="240" w:lineRule="auto"/>
              <w:jc w:val="right"/>
              <w:rPr>
                <w:rFonts w:eastAsia="Times New Roman" w:cs="Times New Roman"/>
                <w:b/>
                <w:bCs/>
                <w:color w:val="000000"/>
                <w:sz w:val="18"/>
                <w:szCs w:val="18"/>
                <w:lang w:eastAsia="sk-SK"/>
              </w:rPr>
            </w:pPr>
            <w:r w:rsidRPr="00811482">
              <w:rPr>
                <w:rFonts w:eastAsia="Times New Roman" w:cs="Times New Roman"/>
                <w:b/>
                <w:bCs/>
                <w:color w:val="000000"/>
                <w:sz w:val="18"/>
                <w:szCs w:val="18"/>
                <w:lang w:eastAsia="sk-SK"/>
              </w:rPr>
              <w:t>300</w:t>
            </w:r>
          </w:p>
        </w:tc>
        <w:tc>
          <w:tcPr>
            <w:tcW w:w="840" w:type="dxa"/>
            <w:tcBorders>
              <w:top w:val="single" w:sz="4" w:space="0" w:color="auto"/>
              <w:left w:val="nil"/>
              <w:bottom w:val="single" w:sz="8" w:space="0" w:color="auto"/>
              <w:right w:val="nil"/>
            </w:tcBorders>
            <w:shd w:val="clear" w:color="000000" w:fill="FFFFFF"/>
            <w:noWrap/>
            <w:vAlign w:val="center"/>
            <w:hideMark/>
          </w:tcPr>
          <w:p w14:paraId="3080A70B" w14:textId="77777777" w:rsidR="00A57E96" w:rsidRPr="00811482" w:rsidRDefault="00A57E96" w:rsidP="00B768D9">
            <w:pPr>
              <w:spacing w:after="0" w:line="240" w:lineRule="auto"/>
              <w:jc w:val="right"/>
              <w:rPr>
                <w:rFonts w:eastAsia="Times New Roman" w:cs="Times New Roman"/>
                <w:b/>
                <w:bCs/>
                <w:color w:val="000000"/>
                <w:sz w:val="18"/>
                <w:szCs w:val="18"/>
                <w:lang w:eastAsia="sk-SK"/>
              </w:rPr>
            </w:pPr>
            <w:r w:rsidRPr="00811482">
              <w:rPr>
                <w:rFonts w:eastAsia="Times New Roman" w:cs="Times New Roman"/>
                <w:b/>
                <w:bCs/>
                <w:color w:val="000000"/>
                <w:sz w:val="18"/>
                <w:szCs w:val="18"/>
                <w:lang w:eastAsia="sk-SK"/>
              </w:rPr>
              <w:t>308 456</w:t>
            </w:r>
          </w:p>
        </w:tc>
        <w:tc>
          <w:tcPr>
            <w:tcW w:w="880" w:type="dxa"/>
            <w:tcBorders>
              <w:top w:val="single" w:sz="4" w:space="0" w:color="auto"/>
              <w:left w:val="nil"/>
              <w:bottom w:val="single" w:sz="8" w:space="0" w:color="auto"/>
              <w:right w:val="nil"/>
            </w:tcBorders>
            <w:shd w:val="clear" w:color="000000" w:fill="FFFFFF"/>
            <w:noWrap/>
            <w:vAlign w:val="center"/>
            <w:hideMark/>
          </w:tcPr>
          <w:p w14:paraId="529512A2" w14:textId="77777777" w:rsidR="00A57E96" w:rsidRPr="00811482" w:rsidRDefault="00A57E96" w:rsidP="00B768D9">
            <w:pPr>
              <w:spacing w:after="0" w:line="240" w:lineRule="auto"/>
              <w:jc w:val="right"/>
              <w:rPr>
                <w:rFonts w:eastAsia="Times New Roman" w:cs="Times New Roman"/>
                <w:b/>
                <w:bCs/>
                <w:color w:val="000000"/>
                <w:sz w:val="18"/>
                <w:szCs w:val="18"/>
                <w:lang w:eastAsia="sk-SK"/>
              </w:rPr>
            </w:pPr>
            <w:r w:rsidRPr="00811482">
              <w:rPr>
                <w:rFonts w:eastAsia="Times New Roman" w:cs="Times New Roman"/>
                <w:b/>
                <w:bCs/>
                <w:color w:val="000000"/>
                <w:sz w:val="18"/>
                <w:szCs w:val="18"/>
                <w:lang w:eastAsia="sk-SK"/>
              </w:rPr>
              <w:t>6 593</w:t>
            </w:r>
          </w:p>
        </w:tc>
        <w:tc>
          <w:tcPr>
            <w:tcW w:w="820" w:type="dxa"/>
            <w:tcBorders>
              <w:top w:val="single" w:sz="4" w:space="0" w:color="auto"/>
              <w:left w:val="nil"/>
              <w:bottom w:val="single" w:sz="8" w:space="0" w:color="auto"/>
              <w:right w:val="nil"/>
            </w:tcBorders>
            <w:shd w:val="clear" w:color="000000" w:fill="FFFFFF"/>
            <w:noWrap/>
            <w:vAlign w:val="center"/>
            <w:hideMark/>
          </w:tcPr>
          <w:p w14:paraId="3BF8AF30" w14:textId="77777777" w:rsidR="00A57E96" w:rsidRPr="00811482" w:rsidRDefault="00A57E96" w:rsidP="00B768D9">
            <w:pPr>
              <w:spacing w:after="0" w:line="240" w:lineRule="auto"/>
              <w:jc w:val="right"/>
              <w:rPr>
                <w:rFonts w:eastAsia="Times New Roman" w:cs="Times New Roman"/>
                <w:b/>
                <w:bCs/>
                <w:color w:val="000000"/>
                <w:sz w:val="18"/>
                <w:szCs w:val="18"/>
                <w:lang w:eastAsia="sk-SK"/>
              </w:rPr>
            </w:pPr>
            <w:r w:rsidRPr="00811482">
              <w:rPr>
                <w:rFonts w:eastAsia="Times New Roman" w:cs="Times New Roman"/>
                <w:b/>
                <w:bCs/>
                <w:color w:val="000000"/>
                <w:sz w:val="18"/>
                <w:szCs w:val="18"/>
                <w:lang w:eastAsia="sk-SK"/>
              </w:rPr>
              <w:t>308 156</w:t>
            </w:r>
          </w:p>
        </w:tc>
        <w:tc>
          <w:tcPr>
            <w:tcW w:w="940" w:type="dxa"/>
            <w:tcBorders>
              <w:top w:val="single" w:sz="4" w:space="0" w:color="auto"/>
              <w:left w:val="nil"/>
              <w:bottom w:val="single" w:sz="8" w:space="0" w:color="auto"/>
              <w:right w:val="nil"/>
            </w:tcBorders>
            <w:shd w:val="clear" w:color="000000" w:fill="FFFFFF"/>
            <w:noWrap/>
            <w:vAlign w:val="center"/>
            <w:hideMark/>
          </w:tcPr>
          <w:p w14:paraId="4E659236" w14:textId="77777777" w:rsidR="00A57E96" w:rsidRPr="00811482" w:rsidRDefault="00A57E96" w:rsidP="00B768D9">
            <w:pPr>
              <w:spacing w:after="0" w:line="240" w:lineRule="auto"/>
              <w:jc w:val="right"/>
              <w:rPr>
                <w:rFonts w:eastAsia="Times New Roman" w:cs="Times New Roman"/>
                <w:b/>
                <w:bCs/>
                <w:color w:val="000000"/>
                <w:sz w:val="18"/>
                <w:szCs w:val="18"/>
                <w:lang w:eastAsia="sk-SK"/>
              </w:rPr>
            </w:pPr>
            <w:r w:rsidRPr="00811482">
              <w:rPr>
                <w:rFonts w:eastAsia="Times New Roman" w:cs="Times New Roman"/>
                <w:b/>
                <w:bCs/>
                <w:color w:val="000000"/>
                <w:sz w:val="18"/>
                <w:szCs w:val="18"/>
                <w:lang w:eastAsia="sk-SK"/>
              </w:rPr>
              <w:t>102 718,7</w:t>
            </w:r>
          </w:p>
        </w:tc>
      </w:tr>
    </w:tbl>
    <w:p w14:paraId="0928A53A" w14:textId="4D862ADE" w:rsidR="00A57E96" w:rsidRDefault="00A57E96" w:rsidP="00A57E96">
      <w:pPr>
        <w:spacing w:after="160" w:line="252" w:lineRule="auto"/>
        <w:jc w:val="left"/>
      </w:pPr>
      <w:r>
        <w:rPr>
          <w:rFonts w:eastAsia="Times New Roman" w:cs="Times New Roman"/>
          <w:color w:val="000000"/>
          <w:sz w:val="18"/>
          <w:szCs w:val="18"/>
          <w:lang w:eastAsia="sk-SK"/>
        </w:rPr>
        <w:t>Poznámka: * len prostriedky štátneho rozpočtu</w:t>
      </w:r>
      <w:r>
        <w:rPr>
          <w:rFonts w:eastAsia="Times New Roman" w:cs="Times New Roman"/>
          <w:color w:val="000000"/>
          <w:sz w:val="18"/>
          <w:szCs w:val="18"/>
          <w:lang w:eastAsia="sk-SK"/>
        </w:rPr>
        <w:tab/>
      </w:r>
      <w:r>
        <w:rPr>
          <w:rFonts w:eastAsia="Times New Roman" w:cs="Times New Roman"/>
          <w:color w:val="000000"/>
          <w:sz w:val="18"/>
          <w:szCs w:val="18"/>
          <w:lang w:eastAsia="sk-SK"/>
        </w:rPr>
        <w:tab/>
      </w:r>
      <w:r>
        <w:rPr>
          <w:rFonts w:eastAsia="Times New Roman" w:cs="Times New Roman"/>
          <w:color w:val="000000"/>
          <w:sz w:val="18"/>
          <w:szCs w:val="18"/>
          <w:lang w:eastAsia="sk-SK"/>
        </w:rPr>
        <w:tab/>
      </w:r>
      <w:r>
        <w:rPr>
          <w:rFonts w:eastAsia="Times New Roman" w:cs="Times New Roman"/>
          <w:color w:val="000000"/>
          <w:sz w:val="18"/>
          <w:szCs w:val="18"/>
          <w:lang w:eastAsia="sk-SK"/>
        </w:rPr>
        <w:tab/>
      </w:r>
      <w:r>
        <w:rPr>
          <w:rFonts w:eastAsia="Times New Roman" w:cs="Times New Roman"/>
          <w:color w:val="000000"/>
          <w:sz w:val="18"/>
          <w:szCs w:val="18"/>
          <w:lang w:eastAsia="sk-SK"/>
        </w:rPr>
        <w:tab/>
      </w:r>
      <w:r>
        <w:rPr>
          <w:rFonts w:eastAsia="Times New Roman" w:cs="Times New Roman"/>
          <w:color w:val="000000"/>
          <w:sz w:val="18"/>
          <w:szCs w:val="18"/>
          <w:lang w:eastAsia="sk-SK"/>
        </w:rPr>
        <w:tab/>
      </w:r>
      <w:r>
        <w:rPr>
          <w:rFonts w:eastAsia="Times New Roman" w:cs="Times New Roman"/>
          <w:color w:val="000000"/>
          <w:sz w:val="18"/>
          <w:szCs w:val="18"/>
          <w:lang w:eastAsia="sk-SK"/>
        </w:rPr>
        <w:tab/>
      </w:r>
      <w:r w:rsidR="005B6BBA">
        <w:rPr>
          <w:rFonts w:eastAsia="Times New Roman" w:cs="Times New Roman"/>
          <w:color w:val="000000"/>
          <w:sz w:val="18"/>
          <w:szCs w:val="18"/>
          <w:lang w:eastAsia="sk-SK"/>
        </w:rPr>
        <w:tab/>
      </w:r>
      <w:r w:rsidR="005B6BBA">
        <w:rPr>
          <w:rFonts w:eastAsia="Times New Roman" w:cs="Times New Roman"/>
          <w:color w:val="000000"/>
          <w:sz w:val="18"/>
          <w:szCs w:val="18"/>
          <w:lang w:eastAsia="sk-SK"/>
        </w:rPr>
        <w:tab/>
      </w:r>
      <w:r w:rsidR="005B6BBA">
        <w:rPr>
          <w:rFonts w:eastAsia="Times New Roman" w:cs="Times New Roman"/>
          <w:color w:val="000000"/>
          <w:sz w:val="18"/>
          <w:szCs w:val="18"/>
          <w:lang w:eastAsia="sk-SK"/>
        </w:rPr>
        <w:tab/>
      </w:r>
      <w:r>
        <w:rPr>
          <w:rFonts w:eastAsia="Times New Roman" w:cs="Times New Roman"/>
          <w:color w:val="000000"/>
          <w:sz w:val="18"/>
          <w:szCs w:val="18"/>
          <w:lang w:eastAsia="sk-SK"/>
        </w:rPr>
        <w:t>Zdroj: MF SR</w:t>
      </w:r>
    </w:p>
    <w:p w14:paraId="77575A57" w14:textId="77777777" w:rsidR="00A57E96" w:rsidRPr="0071507A" w:rsidRDefault="00A57E96" w:rsidP="00A57E96">
      <w:pPr>
        <w:spacing w:line="240" w:lineRule="auto"/>
        <w:rPr>
          <w:color w:val="000000" w:themeColor="text1"/>
          <w:sz w:val="24"/>
          <w:szCs w:val="24"/>
        </w:rPr>
      </w:pPr>
      <w:r w:rsidRPr="006B2B25">
        <w:rPr>
          <w:color w:val="000000" w:themeColor="text1"/>
          <w:sz w:val="24"/>
          <w:szCs w:val="24"/>
        </w:rPr>
        <w:t xml:space="preserve">Na celkovom objeme poskytnutých transferov VÚC sa najväčšou sumou podieľalo </w:t>
      </w:r>
      <w:r w:rsidRPr="006B2B25">
        <w:rPr>
          <w:color w:val="000000" w:themeColor="text1"/>
          <w:sz w:val="24"/>
          <w:szCs w:val="24"/>
          <w:u w:val="single"/>
        </w:rPr>
        <w:t>Ministerstvo školstva, vedy, výskumu a športu SR</w:t>
      </w:r>
      <w:r w:rsidRPr="006B2B25">
        <w:rPr>
          <w:color w:val="000000" w:themeColor="text1"/>
          <w:sz w:val="24"/>
          <w:szCs w:val="24"/>
        </w:rPr>
        <w:t xml:space="preserve">, ktoré na tento účel vynaložilo 644 844 tis. eur. </w:t>
      </w:r>
      <w:r w:rsidRPr="009722A6">
        <w:rPr>
          <w:color w:val="000000" w:themeColor="text1"/>
          <w:sz w:val="24"/>
          <w:szCs w:val="24"/>
        </w:rPr>
        <w:t xml:space="preserve">Z tejto sumy smerovala čiastka 637 483 tis. eur v rámci bežných výdavkov na financovanie kompetencií preneseného výkonu štátnej správy na úseku školstva. </w:t>
      </w:r>
      <w:r w:rsidRPr="00C1678C">
        <w:rPr>
          <w:color w:val="000000" w:themeColor="text1"/>
          <w:sz w:val="24"/>
          <w:szCs w:val="24"/>
        </w:rPr>
        <w:t>Išlo najmä o finančné prostriedky v sume 635 047 tis. eur školám v zriaďovateľskej pôsobnosti vyšších územných celkov podľa zákona č. 597/2003 Z. z. o financovaní základných škôl, stredných škôl a školských zariadení v znení neskorších predpisov.</w:t>
      </w:r>
      <w:r w:rsidRPr="00D42114">
        <w:rPr>
          <w:color w:val="FF0000"/>
          <w:sz w:val="24"/>
          <w:szCs w:val="24"/>
        </w:rPr>
        <w:t xml:space="preserve"> </w:t>
      </w:r>
      <w:r w:rsidRPr="00C1678C">
        <w:rPr>
          <w:color w:val="000000" w:themeColor="text1"/>
          <w:sz w:val="24"/>
          <w:szCs w:val="24"/>
        </w:rPr>
        <w:t>Tieto boli poskytnuté na zabezpečenie miezd, platov, služobných príjmov a ostatných osobných vyrovnaní vrátane poistného a príspevkov do poisťovní, prevádzky a modernizácie učebných pomôcok, špeciálnych učebných pomôcok a na riešenie havarijných situácií. </w:t>
      </w:r>
      <w:r w:rsidRPr="00C1678C">
        <w:rPr>
          <w:rFonts w:cs="Times New Roman"/>
          <w:color w:val="000000" w:themeColor="text1"/>
          <w:sz w:val="24"/>
          <w:szCs w:val="24"/>
        </w:rPr>
        <w:t xml:space="preserve">Finančné prostriedky zo zdroja 11UA boli poskytnuté školám v zriaďovateľskej pôsobnosti </w:t>
      </w:r>
      <w:r>
        <w:rPr>
          <w:rFonts w:cs="Times New Roman"/>
          <w:color w:val="000000" w:themeColor="text1"/>
          <w:sz w:val="24"/>
          <w:szCs w:val="24"/>
        </w:rPr>
        <w:t>vyšších územných celkov</w:t>
      </w:r>
      <w:r w:rsidRPr="00C1678C">
        <w:rPr>
          <w:rFonts w:cs="Times New Roman"/>
          <w:color w:val="000000" w:themeColor="text1"/>
          <w:sz w:val="24"/>
          <w:szCs w:val="24"/>
        </w:rPr>
        <w:t xml:space="preserve"> na financovanie jazykových kurzov cudzincov a na podporu začlenenia detí a žiakov z Ukrajiny v materských, základných a stredných školác</w:t>
      </w:r>
      <w:r>
        <w:rPr>
          <w:rFonts w:cs="Times New Roman"/>
          <w:color w:val="000000" w:themeColor="text1"/>
          <w:sz w:val="24"/>
          <w:szCs w:val="24"/>
        </w:rPr>
        <w:t>h (európske normatívy) v sume 2 </w:t>
      </w:r>
      <w:r w:rsidRPr="00C1678C">
        <w:rPr>
          <w:rFonts w:cs="Times New Roman"/>
          <w:color w:val="000000" w:themeColor="text1"/>
          <w:sz w:val="24"/>
          <w:szCs w:val="24"/>
        </w:rPr>
        <w:t>43</w:t>
      </w:r>
      <w:r>
        <w:rPr>
          <w:rFonts w:cs="Times New Roman"/>
          <w:color w:val="000000" w:themeColor="text1"/>
          <w:sz w:val="24"/>
          <w:szCs w:val="24"/>
        </w:rPr>
        <w:t>6 tis. eur</w:t>
      </w:r>
      <w:r w:rsidRPr="00C1678C">
        <w:rPr>
          <w:rFonts w:cs="Times New Roman"/>
          <w:color w:val="000000" w:themeColor="text1"/>
          <w:sz w:val="24"/>
          <w:szCs w:val="24"/>
        </w:rPr>
        <w:t>.</w:t>
      </w:r>
    </w:p>
    <w:p w14:paraId="6D31A540" w14:textId="77777777" w:rsidR="00A57E96" w:rsidRPr="00C1678C" w:rsidRDefault="00A57E96" w:rsidP="00A57E96">
      <w:pPr>
        <w:spacing w:line="240" w:lineRule="auto"/>
        <w:rPr>
          <w:rFonts w:cs="Times New Roman"/>
          <w:color w:val="000000" w:themeColor="text1"/>
          <w:sz w:val="24"/>
          <w:szCs w:val="24"/>
        </w:rPr>
      </w:pPr>
      <w:r w:rsidRPr="00C1678C">
        <w:rPr>
          <w:rFonts w:cs="Times New Roman"/>
          <w:color w:val="000000" w:themeColor="text1"/>
          <w:sz w:val="24"/>
          <w:szCs w:val="24"/>
        </w:rPr>
        <w:t>Rozdiel medzi schváleným rozpočtom a</w:t>
      </w:r>
      <w:r>
        <w:rPr>
          <w:rFonts w:cs="Times New Roman"/>
          <w:color w:val="000000" w:themeColor="text1"/>
          <w:sz w:val="24"/>
          <w:szCs w:val="24"/>
        </w:rPr>
        <w:t> skutočným čerpaním v sume 49 361 tis. eur tvorili</w:t>
      </w:r>
      <w:r w:rsidRPr="00C1678C">
        <w:rPr>
          <w:rFonts w:cs="Times New Roman"/>
          <w:color w:val="000000" w:themeColor="text1"/>
          <w:sz w:val="24"/>
          <w:szCs w:val="24"/>
        </w:rPr>
        <w:t xml:space="preserve"> finančné prostriedky, ktoré boli v priebehu roka 2023 pridelené do rozpočtu z Ministerstva financií SR, príp. presunuté z iných podpoložiek. </w:t>
      </w:r>
    </w:p>
    <w:p w14:paraId="249D8CF3" w14:textId="77777777" w:rsidR="00A57E96" w:rsidRPr="00DF06B4" w:rsidRDefault="00A57E96" w:rsidP="00A57E96">
      <w:pPr>
        <w:spacing w:line="240" w:lineRule="auto"/>
        <w:rPr>
          <w:color w:val="000000" w:themeColor="text1"/>
          <w:sz w:val="24"/>
          <w:szCs w:val="24"/>
        </w:rPr>
      </w:pPr>
      <w:r w:rsidRPr="00E809C4">
        <w:rPr>
          <w:color w:val="000000" w:themeColor="text1"/>
          <w:sz w:val="24"/>
          <w:szCs w:val="24"/>
        </w:rPr>
        <w:t>Bežné výdavky okrem transferu na úhradu nákladov preneseného výkonu štátnej správy boli vynaložené v objeme 6 766</w:t>
      </w:r>
      <w:r>
        <w:rPr>
          <w:color w:val="000000" w:themeColor="text1"/>
          <w:sz w:val="24"/>
          <w:szCs w:val="24"/>
        </w:rPr>
        <w:t> tis. </w:t>
      </w:r>
      <w:r w:rsidRPr="00E809C4">
        <w:rPr>
          <w:color w:val="000000" w:themeColor="text1"/>
          <w:sz w:val="24"/>
          <w:szCs w:val="24"/>
        </w:rPr>
        <w:t xml:space="preserve">eur </w:t>
      </w:r>
      <w:r w:rsidRPr="00DF06B4">
        <w:rPr>
          <w:color w:val="000000" w:themeColor="text1"/>
          <w:sz w:val="24"/>
          <w:szCs w:val="24"/>
        </w:rPr>
        <w:t>v rámci Operatívneho programu Ľudské zdroje.</w:t>
      </w:r>
    </w:p>
    <w:p w14:paraId="4B351421" w14:textId="3A22A1F0" w:rsidR="00A57E96" w:rsidRPr="005D0258" w:rsidRDefault="00A57E96" w:rsidP="00A57E96">
      <w:pPr>
        <w:spacing w:line="240" w:lineRule="auto"/>
        <w:rPr>
          <w:rFonts w:cs="Times New Roman"/>
          <w:color w:val="000000" w:themeColor="text1"/>
          <w:sz w:val="24"/>
          <w:szCs w:val="24"/>
        </w:rPr>
      </w:pPr>
      <w:r w:rsidRPr="00F53224">
        <w:rPr>
          <w:color w:val="000000" w:themeColor="text1"/>
          <w:sz w:val="24"/>
          <w:szCs w:val="24"/>
          <w:u w:val="single"/>
        </w:rPr>
        <w:t>Ministerstvo investícií, regionálneho rozvoja a informatizácie SR</w:t>
      </w:r>
      <w:r w:rsidRPr="00F53224">
        <w:rPr>
          <w:b/>
          <w:color w:val="000000" w:themeColor="text1"/>
          <w:sz w:val="24"/>
          <w:szCs w:val="24"/>
        </w:rPr>
        <w:t xml:space="preserve"> </w:t>
      </w:r>
      <w:r>
        <w:rPr>
          <w:color w:val="000000" w:themeColor="text1"/>
          <w:sz w:val="24"/>
          <w:szCs w:val="24"/>
        </w:rPr>
        <w:t xml:space="preserve">poskytlo </w:t>
      </w:r>
      <w:r w:rsidR="006B78BB">
        <w:rPr>
          <w:color w:val="000000" w:themeColor="text1"/>
          <w:sz w:val="24"/>
          <w:szCs w:val="24"/>
        </w:rPr>
        <w:t>VÚC</w:t>
      </w:r>
      <w:r>
        <w:rPr>
          <w:color w:val="000000" w:themeColor="text1"/>
          <w:sz w:val="24"/>
          <w:szCs w:val="24"/>
        </w:rPr>
        <w:t xml:space="preserve"> </w:t>
      </w:r>
      <w:r w:rsidRPr="00F53224">
        <w:rPr>
          <w:color w:val="000000" w:themeColor="text1"/>
          <w:sz w:val="24"/>
          <w:szCs w:val="24"/>
        </w:rPr>
        <w:t xml:space="preserve">sumu </w:t>
      </w:r>
      <w:r w:rsidRPr="00F53224">
        <w:rPr>
          <w:rFonts w:cs="Times New Roman"/>
          <w:color w:val="000000" w:themeColor="text1"/>
          <w:sz w:val="24"/>
          <w:szCs w:val="24"/>
        </w:rPr>
        <w:t xml:space="preserve">300 754 tis. eur, </w:t>
      </w:r>
      <w:r>
        <w:rPr>
          <w:rFonts w:cs="Times New Roman"/>
          <w:color w:val="000000" w:themeColor="text1"/>
          <w:sz w:val="24"/>
          <w:szCs w:val="24"/>
        </w:rPr>
        <w:t xml:space="preserve">čo je prekročenie schváleného rozpočtu až o 299 100 tis. eur. </w:t>
      </w:r>
      <w:r w:rsidRPr="005F1C38">
        <w:rPr>
          <w:rFonts w:cs="Times New Roman"/>
          <w:color w:val="000000" w:themeColor="text1"/>
          <w:sz w:val="24"/>
          <w:szCs w:val="24"/>
        </w:rPr>
        <w:t xml:space="preserve">Z celkových kapitálových výdavkov v sume 294 034 tis. eur bolo </w:t>
      </w:r>
      <w:r w:rsidRPr="005F1C38">
        <w:rPr>
          <w:color w:val="000000" w:themeColor="text1"/>
          <w:sz w:val="24"/>
          <w:szCs w:val="24"/>
        </w:rPr>
        <w:t>289 553 tis. eur poskytnut</w:t>
      </w:r>
      <w:r>
        <w:rPr>
          <w:color w:val="000000" w:themeColor="text1"/>
          <w:sz w:val="24"/>
          <w:szCs w:val="24"/>
        </w:rPr>
        <w:t>ých</w:t>
      </w:r>
      <w:r w:rsidRPr="005F1C38">
        <w:rPr>
          <w:color w:val="000000" w:themeColor="text1"/>
          <w:sz w:val="24"/>
          <w:szCs w:val="24"/>
        </w:rPr>
        <w:t xml:space="preserve"> v rámci Integrovaného regionálneho operačného programu, najmä na projekty v oblasti zlepšovania bezpečnosti a ekológie dopravy v regiónoch vrátane rekonštrukcie ciest 1. a 2. triedy a obnov</w:t>
      </w:r>
      <w:r>
        <w:rPr>
          <w:color w:val="000000" w:themeColor="text1"/>
          <w:sz w:val="24"/>
          <w:szCs w:val="24"/>
        </w:rPr>
        <w:t>u</w:t>
      </w:r>
      <w:r w:rsidRPr="005F1C38">
        <w:rPr>
          <w:color w:val="000000" w:themeColor="text1"/>
          <w:sz w:val="24"/>
          <w:szCs w:val="24"/>
        </w:rPr>
        <w:t xml:space="preserve"> dopravných prostriedkov verejnej osobnej dopravy. </w:t>
      </w:r>
      <w:r>
        <w:rPr>
          <w:color w:val="000000" w:themeColor="text1"/>
          <w:sz w:val="24"/>
          <w:szCs w:val="24"/>
        </w:rPr>
        <w:t xml:space="preserve">Najvyššie sumy boli poskytnuté </w:t>
      </w:r>
      <w:r w:rsidRPr="00297588">
        <w:rPr>
          <w:color w:val="000000" w:themeColor="text1"/>
          <w:sz w:val="24"/>
          <w:szCs w:val="24"/>
        </w:rPr>
        <w:t>Trenčianskemu samosprávnemu kraju (70 213 tis. eur), Banskobystrickému samosprávnemu kraju (57 375 tis. eur) a Prešovskému samosprávnemu kraju (56 408 tis. eur).</w:t>
      </w:r>
      <w:r w:rsidRPr="00297588">
        <w:rPr>
          <w:rFonts w:ascii="Arial Narrow" w:hAnsi="Arial Narrow"/>
          <w:color w:val="000000" w:themeColor="text1"/>
          <w:sz w:val="24"/>
          <w:szCs w:val="24"/>
        </w:rPr>
        <w:t xml:space="preserve"> </w:t>
      </w:r>
      <w:r w:rsidRPr="002D131C">
        <w:rPr>
          <w:rFonts w:cs="Times New Roman"/>
          <w:color w:val="000000" w:themeColor="text1"/>
          <w:sz w:val="24"/>
          <w:szCs w:val="24"/>
        </w:rPr>
        <w:t>Ďalšie prostriedky</w:t>
      </w:r>
      <w:r w:rsidRPr="002D131C">
        <w:rPr>
          <w:rFonts w:ascii="Arial Narrow" w:hAnsi="Arial Narrow"/>
          <w:color w:val="000000" w:themeColor="text1"/>
          <w:sz w:val="24"/>
          <w:szCs w:val="24"/>
        </w:rPr>
        <w:t xml:space="preserve"> </w:t>
      </w:r>
      <w:r w:rsidRPr="002D131C">
        <w:rPr>
          <w:rFonts w:cs="Times New Roman"/>
          <w:color w:val="000000" w:themeColor="text1"/>
          <w:sz w:val="24"/>
          <w:szCs w:val="24"/>
        </w:rPr>
        <w:t>smerovali na projekty v oblasti ochrany prírodného a kultúrneho dedičstva a na podporu udržateľných dopravných riešení, a to 1 177</w:t>
      </w:r>
      <w:r>
        <w:rPr>
          <w:rFonts w:cs="Times New Roman"/>
          <w:color w:val="000000" w:themeColor="text1"/>
          <w:sz w:val="24"/>
          <w:szCs w:val="24"/>
        </w:rPr>
        <w:t> tis. eur z programu INTERREG V-</w:t>
      </w:r>
      <w:r w:rsidRPr="002D131C">
        <w:rPr>
          <w:rFonts w:cs="Times New Roman"/>
          <w:color w:val="000000" w:themeColor="text1"/>
          <w:sz w:val="24"/>
          <w:szCs w:val="24"/>
        </w:rPr>
        <w:t xml:space="preserve">A SK-AT, </w:t>
      </w:r>
      <w:r w:rsidRPr="00C8278E">
        <w:rPr>
          <w:rFonts w:cs="Times New Roman"/>
          <w:color w:val="000000" w:themeColor="text1"/>
          <w:sz w:val="24"/>
          <w:szCs w:val="24"/>
        </w:rPr>
        <w:t xml:space="preserve">250 tis. eur z programu INTERREG V-A SK-CZ a 202 tis. eur z programov INTERREG V-A PL-SK a INTERREG V-A HU-SK. </w:t>
      </w:r>
      <w:r w:rsidRPr="005D0258">
        <w:rPr>
          <w:rFonts w:eastAsia="Times New Roman"/>
          <w:color w:val="000000" w:themeColor="text1"/>
          <w:sz w:val="24"/>
          <w:szCs w:val="24"/>
        </w:rPr>
        <w:t xml:space="preserve">Prostredníctvom OPII </w:t>
      </w:r>
      <w:r w:rsidR="00DF637E">
        <w:rPr>
          <w:rFonts w:eastAsia="Times New Roman"/>
          <w:color w:val="000000" w:themeColor="text1"/>
          <w:sz w:val="24"/>
          <w:szCs w:val="24"/>
        </w:rPr>
        <w:t>sa podporil projekt zameraný na </w:t>
      </w:r>
      <w:r w:rsidRPr="005D0258">
        <w:rPr>
          <w:rFonts w:eastAsia="Times New Roman"/>
          <w:color w:val="000000" w:themeColor="text1"/>
          <w:sz w:val="24"/>
          <w:szCs w:val="24"/>
        </w:rPr>
        <w:t>zavedenie nástrojov pre podporu asistovaného života a </w:t>
      </w:r>
      <w:proofErr w:type="spellStart"/>
      <w:r w:rsidRPr="005D0258">
        <w:rPr>
          <w:rFonts w:eastAsia="Times New Roman"/>
          <w:color w:val="000000" w:themeColor="text1"/>
          <w:sz w:val="24"/>
          <w:szCs w:val="24"/>
        </w:rPr>
        <w:t>telemedicíny</w:t>
      </w:r>
      <w:proofErr w:type="spellEnd"/>
      <w:r w:rsidRPr="005D0258">
        <w:rPr>
          <w:rFonts w:eastAsia="Times New Roman"/>
          <w:color w:val="000000" w:themeColor="text1"/>
          <w:sz w:val="24"/>
          <w:szCs w:val="24"/>
        </w:rPr>
        <w:t xml:space="preserve"> v objeme 2 852 tis. eur realizovaný Trenčianskym samosprávnym krajom.</w:t>
      </w:r>
    </w:p>
    <w:p w14:paraId="4E520543" w14:textId="3B0A900E" w:rsidR="00A57E96" w:rsidRPr="00287094" w:rsidRDefault="00A57E96" w:rsidP="00A57E96">
      <w:pPr>
        <w:spacing w:line="240" w:lineRule="auto"/>
        <w:rPr>
          <w:rFonts w:eastAsia="Times New Roman"/>
          <w:color w:val="000000" w:themeColor="text1"/>
          <w:sz w:val="24"/>
          <w:szCs w:val="24"/>
        </w:rPr>
      </w:pPr>
      <w:r w:rsidRPr="003476DA">
        <w:rPr>
          <w:rFonts w:cs="Times New Roman"/>
          <w:color w:val="000000" w:themeColor="text1"/>
          <w:sz w:val="24"/>
          <w:szCs w:val="24"/>
        </w:rPr>
        <w:t>Z bežných výdavkov v objeme 6 720 tis. eur bola suma 3 319 tis.</w:t>
      </w:r>
      <w:r w:rsidRPr="003476DA">
        <w:rPr>
          <w:color w:val="000000" w:themeColor="text1"/>
          <w:sz w:val="24"/>
          <w:szCs w:val="24"/>
        </w:rPr>
        <w:t> eur</w:t>
      </w:r>
      <w:r w:rsidRPr="003476DA">
        <w:rPr>
          <w:rFonts w:cs="Times New Roman"/>
          <w:color w:val="000000" w:themeColor="text1"/>
          <w:sz w:val="24"/>
          <w:szCs w:val="24"/>
        </w:rPr>
        <w:t xml:space="preserve"> poskytnutá v rámci Integrovaného regionálneho operačného programu </w:t>
      </w:r>
      <w:r w:rsidRPr="003476DA">
        <w:rPr>
          <w:rFonts w:eastAsia="Times New Roman"/>
          <w:color w:val="000000" w:themeColor="text1"/>
          <w:sz w:val="24"/>
          <w:szCs w:val="24"/>
        </w:rPr>
        <w:t xml:space="preserve">najmä </w:t>
      </w:r>
      <w:r w:rsidR="008172CD">
        <w:rPr>
          <w:rFonts w:eastAsia="Times New Roman"/>
          <w:color w:val="000000" w:themeColor="text1"/>
          <w:sz w:val="24"/>
          <w:szCs w:val="24"/>
        </w:rPr>
        <w:t xml:space="preserve">na projekty technickej pomoci a </w:t>
      </w:r>
      <w:r w:rsidRPr="003476DA">
        <w:rPr>
          <w:rFonts w:eastAsia="Times New Roman"/>
          <w:color w:val="000000" w:themeColor="text1"/>
          <w:sz w:val="24"/>
          <w:szCs w:val="24"/>
        </w:rPr>
        <w:t xml:space="preserve">tiež na projekty v oblasti zlepšovania bezpečnosti a ekológie dopravy v regiónoch. </w:t>
      </w:r>
      <w:r>
        <w:rPr>
          <w:rFonts w:eastAsia="Times New Roman"/>
          <w:color w:val="000000" w:themeColor="text1"/>
          <w:sz w:val="24"/>
          <w:szCs w:val="24"/>
        </w:rPr>
        <w:t>Čiastka 2 451 tis. eur z programov cezhraničnej spolupráce INTEREG smerovala na projekty zamerané na rozvoj miestnych iniciatív, ochranu prírodného a</w:t>
      </w:r>
      <w:r w:rsidR="008172CD">
        <w:rPr>
          <w:rFonts w:eastAsia="Times New Roman"/>
          <w:color w:val="000000" w:themeColor="text1"/>
          <w:sz w:val="24"/>
          <w:szCs w:val="24"/>
        </w:rPr>
        <w:t xml:space="preserve"> </w:t>
      </w:r>
      <w:r>
        <w:rPr>
          <w:rFonts w:eastAsia="Times New Roman"/>
          <w:color w:val="000000" w:themeColor="text1"/>
          <w:sz w:val="24"/>
          <w:szCs w:val="24"/>
        </w:rPr>
        <w:t>kultúrneho dedičstva biodiverzity.</w:t>
      </w:r>
      <w:r w:rsidR="008172CD" w:rsidRPr="00287094">
        <w:rPr>
          <w:rFonts w:eastAsia="Times New Roman"/>
          <w:color w:val="000000" w:themeColor="text1"/>
          <w:sz w:val="24"/>
          <w:szCs w:val="24"/>
        </w:rPr>
        <w:t xml:space="preserve"> </w:t>
      </w:r>
      <w:r w:rsidRPr="00287094">
        <w:rPr>
          <w:rFonts w:eastAsia="Times New Roman"/>
          <w:color w:val="000000" w:themeColor="text1"/>
          <w:sz w:val="24"/>
          <w:szCs w:val="24"/>
        </w:rPr>
        <w:t xml:space="preserve">Na projekty informatizácie pre </w:t>
      </w:r>
      <w:r>
        <w:rPr>
          <w:rFonts w:eastAsia="Times New Roman"/>
          <w:color w:val="000000" w:themeColor="text1"/>
          <w:sz w:val="24"/>
          <w:szCs w:val="24"/>
        </w:rPr>
        <w:t>vyššie územné celky sa</w:t>
      </w:r>
      <w:r w:rsidRPr="00287094">
        <w:rPr>
          <w:rFonts w:eastAsia="Times New Roman"/>
          <w:color w:val="000000" w:themeColor="text1"/>
          <w:sz w:val="24"/>
          <w:szCs w:val="24"/>
        </w:rPr>
        <w:t xml:space="preserve"> poskytl</w:t>
      </w:r>
      <w:r>
        <w:rPr>
          <w:rFonts w:eastAsia="Times New Roman"/>
          <w:color w:val="000000" w:themeColor="text1"/>
          <w:sz w:val="24"/>
          <w:szCs w:val="24"/>
        </w:rPr>
        <w:t>i</w:t>
      </w:r>
      <w:r w:rsidRPr="00287094">
        <w:rPr>
          <w:rFonts w:eastAsia="Times New Roman"/>
          <w:color w:val="000000" w:themeColor="text1"/>
          <w:sz w:val="24"/>
          <w:szCs w:val="24"/>
        </w:rPr>
        <w:t xml:space="preserve"> prostredníctvom OPII finančné prostriedky v objeme 9</w:t>
      </w:r>
      <w:r>
        <w:rPr>
          <w:rFonts w:eastAsia="Times New Roman"/>
          <w:color w:val="000000" w:themeColor="text1"/>
          <w:sz w:val="24"/>
          <w:szCs w:val="24"/>
        </w:rPr>
        <w:t>50 tis. </w:t>
      </w:r>
      <w:r w:rsidRPr="00287094">
        <w:rPr>
          <w:rFonts w:eastAsia="Times New Roman"/>
          <w:color w:val="000000" w:themeColor="text1"/>
          <w:sz w:val="24"/>
          <w:szCs w:val="24"/>
        </w:rPr>
        <w:t>eur.</w:t>
      </w:r>
    </w:p>
    <w:p w14:paraId="3BA0BBEC" w14:textId="1ECD5EF7" w:rsidR="00A57E96" w:rsidRPr="008172CD" w:rsidRDefault="00A57E96" w:rsidP="00A57E96">
      <w:pPr>
        <w:spacing w:line="240" w:lineRule="auto"/>
        <w:rPr>
          <w:sz w:val="24"/>
          <w:szCs w:val="24"/>
        </w:rPr>
      </w:pPr>
      <w:r w:rsidRPr="007C7C95">
        <w:rPr>
          <w:color w:val="000000" w:themeColor="text1"/>
          <w:sz w:val="24"/>
          <w:szCs w:val="24"/>
        </w:rPr>
        <w:lastRenderedPageBreak/>
        <w:t xml:space="preserve">Z kapitoly </w:t>
      </w:r>
      <w:r w:rsidRPr="007C7C95">
        <w:rPr>
          <w:color w:val="000000" w:themeColor="text1"/>
          <w:sz w:val="24"/>
          <w:szCs w:val="24"/>
          <w:u w:val="single"/>
        </w:rPr>
        <w:t>Všeobecná pokladničná správa</w:t>
      </w:r>
      <w:r>
        <w:rPr>
          <w:color w:val="000000" w:themeColor="text1"/>
          <w:sz w:val="24"/>
          <w:szCs w:val="24"/>
        </w:rPr>
        <w:t xml:space="preserve"> sa vynaložila na transfery vyšším územným celkom suma 34 600 tis. eur. </w:t>
      </w:r>
      <w:r w:rsidRPr="00C44F37">
        <w:rPr>
          <w:color w:val="000000" w:themeColor="text1"/>
          <w:sz w:val="24"/>
          <w:szCs w:val="24"/>
        </w:rPr>
        <w:t xml:space="preserve">V schválenom rozpočte kapitoly neboli rozpočtované žiadne prostriedky. V priebehu roka bol rozpočet </w:t>
      </w:r>
      <w:r w:rsidRPr="008172CD">
        <w:rPr>
          <w:sz w:val="24"/>
          <w:szCs w:val="24"/>
        </w:rPr>
        <w:t>upravený rozpočtovými opatreniami o sumu 34 600 tis. eur, z toho na bežné výdavky v sume 28 500 tis. eur v súvislosti s negatívnymi dôsledkami inflácie</w:t>
      </w:r>
      <w:r w:rsidR="00DF637E" w:rsidRPr="008172CD">
        <w:rPr>
          <w:sz w:val="24"/>
          <w:szCs w:val="24"/>
        </w:rPr>
        <w:t xml:space="preserve"> </w:t>
      </w:r>
      <w:r w:rsidR="006B78BB" w:rsidRPr="008172CD">
        <w:rPr>
          <w:sz w:val="24"/>
          <w:szCs w:val="24"/>
        </w:rPr>
        <w:t>pre </w:t>
      </w:r>
      <w:r w:rsidRPr="008172CD">
        <w:rPr>
          <w:sz w:val="24"/>
          <w:szCs w:val="24"/>
        </w:rPr>
        <w:t>jednotlivé samosprávne kraje. Kapitálové výdavky v sume 6 100 tis. </w:t>
      </w:r>
      <w:r w:rsidR="006B78BB" w:rsidRPr="008172CD">
        <w:rPr>
          <w:sz w:val="24"/>
          <w:szCs w:val="24"/>
        </w:rPr>
        <w:t>eur boli poskytnuté na </w:t>
      </w:r>
      <w:r w:rsidRPr="008172CD">
        <w:rPr>
          <w:sz w:val="24"/>
          <w:szCs w:val="24"/>
        </w:rPr>
        <w:t>základe uznesení vlády SR Trenčianskemu samosprávnemu k</w:t>
      </w:r>
      <w:r w:rsidR="006B78BB" w:rsidRPr="008172CD">
        <w:rPr>
          <w:sz w:val="24"/>
          <w:szCs w:val="24"/>
        </w:rPr>
        <w:t>raju v objeme 5 000 tis. eur na </w:t>
      </w:r>
      <w:r w:rsidRPr="008172CD">
        <w:rPr>
          <w:sz w:val="24"/>
          <w:szCs w:val="24"/>
        </w:rPr>
        <w:t>pilotný projekt hotelovej akadémie. Dotácia rozpočtovaná na rekonštrukciu Múzea moderného umenia A. Warhola v Medzilaborciach v sume 1 100 tis. eur bola rozpočtovým opatrením viazaná v roku 2022 podľa § 8 zákona č. 523/2004 Z. z. o rozpočtových pravidlách verejnej správy a o zmene a doplnení niektorých zákonov v znení neskorších predpisov a ponechaná na použitie v nasledujúcom roku. V roku 2023 bola dotácia poskytnutá Prešovskému samosprávnemu kraju.</w:t>
      </w:r>
    </w:p>
    <w:p w14:paraId="20562BBF" w14:textId="7306B3DC" w:rsidR="00A57E96" w:rsidRDefault="00A57E96" w:rsidP="00A57E96">
      <w:pPr>
        <w:spacing w:line="240" w:lineRule="auto"/>
        <w:rPr>
          <w:sz w:val="24"/>
          <w:szCs w:val="24"/>
        </w:rPr>
      </w:pPr>
      <w:r w:rsidRPr="008172CD">
        <w:rPr>
          <w:sz w:val="24"/>
          <w:szCs w:val="24"/>
          <w:lang w:eastAsia="sk-SK"/>
        </w:rPr>
        <w:t xml:space="preserve">Kapitola </w:t>
      </w:r>
      <w:r w:rsidRPr="008172CD">
        <w:rPr>
          <w:sz w:val="24"/>
          <w:szCs w:val="24"/>
          <w:u w:val="single"/>
          <w:lang w:eastAsia="sk-SK"/>
        </w:rPr>
        <w:t>Ministerstva práce, sociálnych vecí a rodiny SR</w:t>
      </w:r>
      <w:r w:rsidRPr="008172CD">
        <w:rPr>
          <w:b/>
          <w:sz w:val="24"/>
          <w:szCs w:val="24"/>
          <w:lang w:eastAsia="sk-SK"/>
        </w:rPr>
        <w:t xml:space="preserve"> </w:t>
      </w:r>
      <w:r w:rsidRPr="008172CD">
        <w:rPr>
          <w:sz w:val="24"/>
          <w:szCs w:val="24"/>
          <w:lang w:eastAsia="sk-SK"/>
        </w:rPr>
        <w:t xml:space="preserve">poukázala vyšším územným celkom čiastku 20 591 tis. eur, z toho suma 17 278 tis. eur predstavovala najmä bežné dotácie poskytnuté v súlade so zákonom č. 544/2010 Z. z. a </w:t>
      </w:r>
      <w:r w:rsidRPr="009B34CE">
        <w:rPr>
          <w:rFonts w:cs="Times New Roman"/>
          <w:color w:val="000000" w:themeColor="text1"/>
          <w:sz w:val="24"/>
          <w:szCs w:val="24"/>
        </w:rPr>
        <w:t xml:space="preserve">nariadeniami vlády SR na stabilizačný príspevok. </w:t>
      </w:r>
      <w:r>
        <w:rPr>
          <w:rFonts w:cs="Times New Roman"/>
          <w:color w:val="000000" w:themeColor="text1"/>
          <w:sz w:val="24"/>
          <w:szCs w:val="24"/>
        </w:rPr>
        <w:t xml:space="preserve">Ďalšia suma 1 617 tis. eur bola poskytnutá </w:t>
      </w:r>
      <w:r w:rsidRPr="009A420E">
        <w:rPr>
          <w:rFonts w:cs="Times New Roman"/>
          <w:sz w:val="24"/>
          <w:szCs w:val="24"/>
        </w:rPr>
        <w:t>úradmi prá</w:t>
      </w:r>
      <w:r w:rsidR="00DF637E">
        <w:rPr>
          <w:rFonts w:cs="Times New Roman"/>
          <w:sz w:val="24"/>
          <w:szCs w:val="24"/>
        </w:rPr>
        <w:t>ce, sociálnych vecí a rodiny na </w:t>
      </w:r>
      <w:r w:rsidRPr="009A420E">
        <w:rPr>
          <w:rFonts w:cs="Times New Roman"/>
          <w:sz w:val="24"/>
          <w:szCs w:val="24"/>
        </w:rPr>
        <w:t>podporu výchovy</w:t>
      </w:r>
      <w:r>
        <w:rPr>
          <w:rFonts w:cs="Times New Roman"/>
          <w:sz w:val="24"/>
          <w:szCs w:val="24"/>
        </w:rPr>
        <w:t xml:space="preserve"> k stravovacím návykom, </w:t>
      </w:r>
      <w:r w:rsidRPr="009A420E">
        <w:rPr>
          <w:rFonts w:cs="Times New Roman"/>
          <w:sz w:val="24"/>
          <w:szCs w:val="24"/>
        </w:rPr>
        <w:t xml:space="preserve">na stravu pre </w:t>
      </w:r>
      <w:r>
        <w:rPr>
          <w:rFonts w:cs="Times New Roman"/>
          <w:sz w:val="24"/>
          <w:szCs w:val="24"/>
        </w:rPr>
        <w:t xml:space="preserve">dieťa v hmotnej núdzi a </w:t>
      </w:r>
      <w:r w:rsidRPr="009A420E">
        <w:rPr>
          <w:rFonts w:cs="Times New Roman"/>
          <w:sz w:val="24"/>
          <w:szCs w:val="24"/>
        </w:rPr>
        <w:t>na školské po</w:t>
      </w:r>
      <w:r>
        <w:rPr>
          <w:rFonts w:cs="Times New Roman"/>
          <w:sz w:val="24"/>
          <w:szCs w:val="24"/>
        </w:rPr>
        <w:t>treby pre dieťa v hmotnej núdzi</w:t>
      </w:r>
      <w:r w:rsidRPr="009A420E">
        <w:rPr>
          <w:rFonts w:cs="Times New Roman"/>
          <w:sz w:val="24"/>
          <w:szCs w:val="24"/>
        </w:rPr>
        <w:t>.</w:t>
      </w:r>
      <w:r>
        <w:rPr>
          <w:rFonts w:cs="Times New Roman"/>
          <w:color w:val="000000" w:themeColor="text1"/>
          <w:sz w:val="24"/>
          <w:szCs w:val="24"/>
        </w:rPr>
        <w:t xml:space="preserve"> </w:t>
      </w:r>
      <w:r w:rsidRPr="002C158D">
        <w:rPr>
          <w:sz w:val="24"/>
          <w:szCs w:val="24"/>
        </w:rPr>
        <w:t>Schválený rozpočet</w:t>
      </w:r>
      <w:r>
        <w:rPr>
          <w:sz w:val="24"/>
          <w:szCs w:val="24"/>
        </w:rPr>
        <w:t xml:space="preserve"> na rok 2023 bol v sume 350 tis. eur na </w:t>
      </w:r>
      <w:r w:rsidRPr="002C158D">
        <w:rPr>
          <w:sz w:val="24"/>
          <w:szCs w:val="24"/>
        </w:rPr>
        <w:t xml:space="preserve">základe skutočnosti poskytnutých dotácií predchádzajúceho roka v rámci ostatných iniciatív. V priebehu roka bol rozpočet navýšený z dôvodu legislatívnych zmien, z toho najvýznamnejšou zmenou bol </w:t>
      </w:r>
      <w:r>
        <w:rPr>
          <w:sz w:val="24"/>
          <w:szCs w:val="24"/>
          <w:lang w:eastAsia="cs-CZ"/>
        </w:rPr>
        <w:t>zákon č. </w:t>
      </w:r>
      <w:r w:rsidRPr="002C158D">
        <w:rPr>
          <w:sz w:val="24"/>
          <w:szCs w:val="24"/>
          <w:lang w:eastAsia="cs-CZ"/>
        </w:rPr>
        <w:t>65/2023 Z. z., k</w:t>
      </w:r>
      <w:r>
        <w:rPr>
          <w:sz w:val="24"/>
          <w:szCs w:val="24"/>
          <w:lang w:eastAsia="cs-CZ"/>
        </w:rPr>
        <w:t>torým sa mení a dopĺňa zákon č. </w:t>
      </w:r>
      <w:r w:rsidRPr="002C158D">
        <w:rPr>
          <w:sz w:val="24"/>
          <w:szCs w:val="24"/>
          <w:lang w:eastAsia="cs-CZ"/>
        </w:rPr>
        <w:t>544/20210 Z. z. o dotáciách v</w:t>
      </w:r>
      <w:r>
        <w:rPr>
          <w:sz w:val="24"/>
          <w:szCs w:val="24"/>
          <w:lang w:eastAsia="cs-CZ"/>
        </w:rPr>
        <w:t xml:space="preserve"> pôsobnosti MPSVR SR a zákon č. 417/2023 Z. z. o pomoci v </w:t>
      </w:r>
      <w:r w:rsidR="00DF637E">
        <w:rPr>
          <w:sz w:val="24"/>
          <w:szCs w:val="24"/>
          <w:lang w:eastAsia="cs-CZ"/>
        </w:rPr>
        <w:t>hmotnej núdzi s účinnosťou od 1. 5. </w:t>
      </w:r>
      <w:r w:rsidRPr="002C158D">
        <w:rPr>
          <w:sz w:val="24"/>
          <w:szCs w:val="24"/>
          <w:lang w:eastAsia="cs-CZ"/>
        </w:rPr>
        <w:t>2023</w:t>
      </w:r>
      <w:r>
        <w:rPr>
          <w:sz w:val="24"/>
          <w:szCs w:val="24"/>
          <w:lang w:eastAsia="cs-CZ"/>
        </w:rPr>
        <w:t xml:space="preserve"> (</w:t>
      </w:r>
      <w:r w:rsidRPr="002C158D">
        <w:rPr>
          <w:sz w:val="24"/>
          <w:szCs w:val="24"/>
        </w:rPr>
        <w:t>dotácia na podporu výchovy k stravovacím návykom die</w:t>
      </w:r>
      <w:r>
        <w:rPr>
          <w:sz w:val="24"/>
          <w:szCs w:val="24"/>
        </w:rPr>
        <w:t xml:space="preserve">ťaťa, </w:t>
      </w:r>
      <w:r w:rsidRPr="002C158D">
        <w:rPr>
          <w:sz w:val="24"/>
          <w:szCs w:val="24"/>
        </w:rPr>
        <w:t>stabilizačn</w:t>
      </w:r>
      <w:r>
        <w:rPr>
          <w:sz w:val="24"/>
          <w:szCs w:val="24"/>
        </w:rPr>
        <w:t>ý</w:t>
      </w:r>
      <w:r w:rsidRPr="002C158D">
        <w:rPr>
          <w:sz w:val="24"/>
          <w:szCs w:val="24"/>
        </w:rPr>
        <w:t xml:space="preserve"> príspev</w:t>
      </w:r>
      <w:r>
        <w:rPr>
          <w:sz w:val="24"/>
          <w:szCs w:val="24"/>
        </w:rPr>
        <w:t>ok</w:t>
      </w:r>
      <w:r w:rsidRPr="002C158D">
        <w:rPr>
          <w:sz w:val="24"/>
          <w:szCs w:val="24"/>
        </w:rPr>
        <w:t xml:space="preserve"> pre zamestnanca, ktorý sa zaviazal odpracovať 3 ro</w:t>
      </w:r>
      <w:r w:rsidR="00DF637E">
        <w:rPr>
          <w:sz w:val="24"/>
          <w:szCs w:val="24"/>
        </w:rPr>
        <w:t>ky u zamestnávateľa v súlade s </w:t>
      </w:r>
      <w:r w:rsidRPr="002C158D">
        <w:rPr>
          <w:sz w:val="24"/>
          <w:szCs w:val="24"/>
        </w:rPr>
        <w:t>uznesením vlády S</w:t>
      </w:r>
      <w:r w:rsidR="00F16AE0">
        <w:rPr>
          <w:sz w:val="24"/>
          <w:szCs w:val="24"/>
        </w:rPr>
        <w:t>R č. 823</w:t>
      </w:r>
      <w:r w:rsidR="00492E8C">
        <w:rPr>
          <w:sz w:val="24"/>
          <w:szCs w:val="24"/>
        </w:rPr>
        <w:t>/2022</w:t>
      </w:r>
      <w:r w:rsidR="00F16AE0">
        <w:rPr>
          <w:sz w:val="24"/>
          <w:szCs w:val="24"/>
        </w:rPr>
        <w:t xml:space="preserve">, ktorým bol schválený </w:t>
      </w:r>
      <w:r w:rsidRPr="002C158D">
        <w:rPr>
          <w:sz w:val="24"/>
          <w:szCs w:val="24"/>
        </w:rPr>
        <w:t>návrh nariadenia vlády SR, ktorým sa dopĺňa nariadenie vlády SR č. 131/2022 Z. z. o niektorých opatreniach v oblasti dotácií v pôsobnosti MPSVR SR</w:t>
      </w:r>
      <w:r>
        <w:rPr>
          <w:sz w:val="24"/>
          <w:szCs w:val="24"/>
        </w:rPr>
        <w:t>)</w:t>
      </w:r>
      <w:r w:rsidRPr="002C158D">
        <w:rPr>
          <w:sz w:val="24"/>
          <w:szCs w:val="24"/>
        </w:rPr>
        <w:t>.</w:t>
      </w:r>
    </w:p>
    <w:p w14:paraId="24D8FE27" w14:textId="3F4D401E" w:rsidR="00A57E96" w:rsidRPr="007531DF" w:rsidRDefault="00A57E96" w:rsidP="00A57E96">
      <w:pPr>
        <w:spacing w:line="240" w:lineRule="auto"/>
        <w:rPr>
          <w:sz w:val="24"/>
          <w:szCs w:val="24"/>
        </w:rPr>
      </w:pPr>
      <w:r>
        <w:rPr>
          <w:sz w:val="24"/>
          <w:szCs w:val="24"/>
        </w:rPr>
        <w:t xml:space="preserve">Z kapitoly </w:t>
      </w:r>
      <w:r w:rsidRPr="003F3DF5">
        <w:rPr>
          <w:sz w:val="24"/>
          <w:szCs w:val="24"/>
          <w:u w:val="single"/>
        </w:rPr>
        <w:t>Ministerstva životného prostredia SR</w:t>
      </w:r>
      <w:r>
        <w:rPr>
          <w:sz w:val="24"/>
          <w:szCs w:val="24"/>
          <w:u w:val="single"/>
        </w:rPr>
        <w:t xml:space="preserve"> </w:t>
      </w:r>
      <w:r>
        <w:rPr>
          <w:sz w:val="24"/>
          <w:szCs w:val="24"/>
        </w:rPr>
        <w:t>sa vyšším územným celkom poskytla celková suma 6 574 tis. eur, z toho 6 486 tis</w:t>
      </w:r>
      <w:r w:rsidR="00512DAF">
        <w:rPr>
          <w:sz w:val="24"/>
          <w:szCs w:val="24"/>
        </w:rPr>
        <w:t>.</w:t>
      </w:r>
      <w:r>
        <w:rPr>
          <w:sz w:val="24"/>
          <w:szCs w:val="24"/>
        </w:rPr>
        <w:t xml:space="preserve"> eur formou kapitálových transferov v rámci Operačného programu Kvalita životného prostredia. </w:t>
      </w:r>
      <w:r w:rsidRPr="007531DF">
        <w:rPr>
          <w:color w:val="000000" w:themeColor="text1"/>
          <w:sz w:val="24"/>
          <w:szCs w:val="24"/>
        </w:rPr>
        <w:t xml:space="preserve">Najväčší príjemcovia finančných prostriedkov </w:t>
      </w:r>
      <w:r>
        <w:rPr>
          <w:color w:val="000000" w:themeColor="text1"/>
          <w:sz w:val="24"/>
          <w:szCs w:val="24"/>
        </w:rPr>
        <w:t>boli</w:t>
      </w:r>
      <w:r w:rsidRPr="007531DF">
        <w:rPr>
          <w:color w:val="000000" w:themeColor="text1"/>
          <w:sz w:val="24"/>
          <w:szCs w:val="24"/>
        </w:rPr>
        <w:t xml:space="preserve"> Košický samosprávny kraj (5</w:t>
      </w:r>
      <w:r>
        <w:rPr>
          <w:color w:val="000000" w:themeColor="text1"/>
          <w:sz w:val="24"/>
          <w:szCs w:val="24"/>
        </w:rPr>
        <w:t> </w:t>
      </w:r>
      <w:r w:rsidRPr="007531DF">
        <w:rPr>
          <w:color w:val="000000" w:themeColor="text1"/>
          <w:sz w:val="24"/>
          <w:szCs w:val="24"/>
        </w:rPr>
        <w:t>13</w:t>
      </w:r>
      <w:r>
        <w:rPr>
          <w:color w:val="000000" w:themeColor="text1"/>
          <w:sz w:val="24"/>
          <w:szCs w:val="24"/>
        </w:rPr>
        <w:t>3 tis. eur)</w:t>
      </w:r>
      <w:r w:rsidRPr="007531DF">
        <w:rPr>
          <w:color w:val="000000" w:themeColor="text1"/>
          <w:sz w:val="24"/>
          <w:szCs w:val="24"/>
        </w:rPr>
        <w:t xml:space="preserve"> a Žilinský samosprávny kraj (1</w:t>
      </w:r>
      <w:r>
        <w:rPr>
          <w:color w:val="000000" w:themeColor="text1"/>
          <w:sz w:val="24"/>
          <w:szCs w:val="24"/>
        </w:rPr>
        <w:t> </w:t>
      </w:r>
      <w:r w:rsidRPr="007531DF">
        <w:rPr>
          <w:color w:val="000000" w:themeColor="text1"/>
          <w:sz w:val="24"/>
          <w:szCs w:val="24"/>
        </w:rPr>
        <w:t>35</w:t>
      </w:r>
      <w:r>
        <w:rPr>
          <w:color w:val="000000" w:themeColor="text1"/>
          <w:sz w:val="24"/>
          <w:szCs w:val="24"/>
        </w:rPr>
        <w:t>4 tis. eur) a tieto prostriedky</w:t>
      </w:r>
      <w:r>
        <w:rPr>
          <w:sz w:val="24"/>
          <w:szCs w:val="24"/>
        </w:rPr>
        <w:t xml:space="preserve"> </w:t>
      </w:r>
      <w:r>
        <w:rPr>
          <w:color w:val="000000" w:themeColor="text1"/>
          <w:sz w:val="24"/>
          <w:szCs w:val="24"/>
        </w:rPr>
        <w:t>sa použili na účely realizácie projektov</w:t>
      </w:r>
      <w:r>
        <w:rPr>
          <w:sz w:val="24"/>
          <w:szCs w:val="24"/>
        </w:rPr>
        <w:t xml:space="preserve"> </w:t>
      </w:r>
      <w:proofErr w:type="spellStart"/>
      <w:r w:rsidRPr="007531DF">
        <w:rPr>
          <w:color w:val="000000" w:themeColor="text1"/>
          <w:sz w:val="24"/>
          <w:szCs w:val="24"/>
        </w:rPr>
        <w:t>KlimaPark</w:t>
      </w:r>
      <w:proofErr w:type="spellEnd"/>
      <w:r w:rsidRPr="007531DF">
        <w:rPr>
          <w:color w:val="000000" w:themeColor="text1"/>
          <w:sz w:val="24"/>
          <w:szCs w:val="24"/>
        </w:rPr>
        <w:t xml:space="preserve"> Kysak</w:t>
      </w:r>
      <w:r>
        <w:rPr>
          <w:color w:val="000000" w:themeColor="text1"/>
          <w:sz w:val="24"/>
          <w:szCs w:val="24"/>
        </w:rPr>
        <w:t>, o</w:t>
      </w:r>
      <w:r w:rsidRPr="007531DF">
        <w:rPr>
          <w:color w:val="000000" w:themeColor="text1"/>
          <w:sz w:val="24"/>
          <w:szCs w:val="24"/>
        </w:rPr>
        <w:t>chrana a obnova biodiverzity v lesný</w:t>
      </w:r>
      <w:r>
        <w:rPr>
          <w:color w:val="000000" w:themeColor="text1"/>
          <w:sz w:val="24"/>
          <w:szCs w:val="24"/>
        </w:rPr>
        <w:t>ch ekosystémoch Košického kraja, s</w:t>
      </w:r>
      <w:r w:rsidRPr="007531DF">
        <w:rPr>
          <w:color w:val="000000" w:themeColor="text1"/>
          <w:sz w:val="24"/>
          <w:szCs w:val="24"/>
        </w:rPr>
        <w:t xml:space="preserve">tavebné úpravy budovy školy - zateplenie obvodového plášťa, výmena okien </w:t>
      </w:r>
      <w:r>
        <w:rPr>
          <w:color w:val="000000" w:themeColor="text1"/>
          <w:sz w:val="24"/>
          <w:szCs w:val="24"/>
        </w:rPr>
        <w:t>strednej odbornej školy</w:t>
      </w:r>
      <w:r w:rsidRPr="007531DF">
        <w:rPr>
          <w:color w:val="000000" w:themeColor="text1"/>
          <w:sz w:val="24"/>
          <w:szCs w:val="24"/>
        </w:rPr>
        <w:t xml:space="preserve"> strojníck</w:t>
      </w:r>
      <w:r>
        <w:rPr>
          <w:color w:val="000000" w:themeColor="text1"/>
          <w:sz w:val="24"/>
          <w:szCs w:val="24"/>
        </w:rPr>
        <w:t>ej</w:t>
      </w:r>
      <w:r w:rsidRPr="007531DF">
        <w:rPr>
          <w:color w:val="000000" w:themeColor="text1"/>
          <w:sz w:val="24"/>
          <w:szCs w:val="24"/>
        </w:rPr>
        <w:t xml:space="preserve"> Kysucké Nové Mesto</w:t>
      </w:r>
      <w:r>
        <w:rPr>
          <w:sz w:val="24"/>
          <w:szCs w:val="24"/>
        </w:rPr>
        <w:t xml:space="preserve"> a na </w:t>
      </w:r>
      <w:r>
        <w:rPr>
          <w:color w:val="000000" w:themeColor="text1"/>
          <w:sz w:val="24"/>
          <w:szCs w:val="24"/>
        </w:rPr>
        <w:t>z</w:t>
      </w:r>
      <w:r w:rsidRPr="007531DF">
        <w:rPr>
          <w:color w:val="000000" w:themeColor="text1"/>
          <w:sz w:val="24"/>
          <w:szCs w:val="24"/>
        </w:rPr>
        <w:t xml:space="preserve">níženie energetickej náročnosti objektu </w:t>
      </w:r>
      <w:r>
        <w:rPr>
          <w:color w:val="000000" w:themeColor="text1"/>
          <w:sz w:val="24"/>
          <w:szCs w:val="24"/>
        </w:rPr>
        <w:t>Stredná odborná škola</w:t>
      </w:r>
      <w:r w:rsidRPr="007531DF">
        <w:rPr>
          <w:color w:val="000000" w:themeColor="text1"/>
          <w:sz w:val="24"/>
          <w:szCs w:val="24"/>
        </w:rPr>
        <w:t xml:space="preserve"> podnikania a služieb Námestovo</w:t>
      </w:r>
      <w:r>
        <w:rPr>
          <w:color w:val="000000" w:themeColor="text1"/>
          <w:sz w:val="24"/>
          <w:szCs w:val="24"/>
        </w:rPr>
        <w:t>.</w:t>
      </w:r>
    </w:p>
    <w:p w14:paraId="339AE7C0" w14:textId="40E4ED82" w:rsidR="00A57E96" w:rsidRPr="00A0360A" w:rsidRDefault="00A57E96" w:rsidP="00A57E96">
      <w:pPr>
        <w:spacing w:line="240" w:lineRule="auto"/>
        <w:rPr>
          <w:rFonts w:cs="Times New Roman"/>
          <w:sz w:val="24"/>
          <w:szCs w:val="24"/>
        </w:rPr>
      </w:pPr>
      <w:r w:rsidRPr="00EA1C91">
        <w:rPr>
          <w:color w:val="000000" w:themeColor="text1"/>
          <w:sz w:val="24"/>
          <w:szCs w:val="24"/>
          <w:lang w:eastAsia="sk-SK"/>
        </w:rPr>
        <w:t xml:space="preserve">Kapitola </w:t>
      </w:r>
      <w:r w:rsidRPr="00EA1C91">
        <w:rPr>
          <w:color w:val="000000" w:themeColor="text1"/>
          <w:sz w:val="24"/>
          <w:szCs w:val="24"/>
          <w:u w:val="single"/>
          <w:lang w:eastAsia="sk-SK"/>
        </w:rPr>
        <w:t>Ministerstva vnútra SR</w:t>
      </w:r>
      <w:r w:rsidRPr="00EA1C91">
        <w:rPr>
          <w:color w:val="000000" w:themeColor="text1"/>
          <w:sz w:val="24"/>
          <w:szCs w:val="24"/>
          <w:lang w:eastAsia="sk-SK"/>
        </w:rPr>
        <w:t xml:space="preserve"> vynaložila na transfery vyšším územným celkom celkovú sumu 3 8</w:t>
      </w:r>
      <w:r>
        <w:rPr>
          <w:color w:val="000000" w:themeColor="text1"/>
          <w:sz w:val="24"/>
          <w:szCs w:val="24"/>
          <w:lang w:eastAsia="sk-SK"/>
        </w:rPr>
        <w:t>85</w:t>
      </w:r>
      <w:r w:rsidRPr="00EA1C91">
        <w:rPr>
          <w:color w:val="000000" w:themeColor="text1"/>
          <w:sz w:val="24"/>
          <w:szCs w:val="24"/>
          <w:lang w:eastAsia="sk-SK"/>
        </w:rPr>
        <w:t xml:space="preserve"> tis. eur, </w:t>
      </w:r>
      <w:r w:rsidRPr="00491554">
        <w:rPr>
          <w:color w:val="000000" w:themeColor="text1"/>
          <w:sz w:val="24"/>
          <w:szCs w:val="24"/>
          <w:lang w:eastAsia="sk-SK"/>
        </w:rPr>
        <w:t xml:space="preserve">z toho </w:t>
      </w:r>
      <w:r w:rsidRPr="00491554">
        <w:rPr>
          <w:rFonts w:cs="Times New Roman"/>
          <w:sz w:val="24"/>
          <w:szCs w:val="24"/>
        </w:rPr>
        <w:t xml:space="preserve">finančné prostriedky vo výške </w:t>
      </w:r>
      <w:r w:rsidRPr="00527A15">
        <w:rPr>
          <w:sz w:val="24"/>
          <w:szCs w:val="24"/>
        </w:rPr>
        <w:t>2 </w:t>
      </w:r>
      <w:r w:rsidRPr="00527A15">
        <w:rPr>
          <w:rFonts w:cs="Times New Roman"/>
          <w:sz w:val="24"/>
          <w:szCs w:val="24"/>
        </w:rPr>
        <w:t>36</w:t>
      </w:r>
      <w:r w:rsidRPr="00527A15">
        <w:rPr>
          <w:sz w:val="24"/>
          <w:szCs w:val="24"/>
        </w:rPr>
        <w:t>4</w:t>
      </w:r>
      <w:r>
        <w:t> tis. </w:t>
      </w:r>
      <w:r w:rsidRPr="00491554">
        <w:rPr>
          <w:rFonts w:cs="Times New Roman"/>
          <w:sz w:val="24"/>
          <w:szCs w:val="24"/>
        </w:rPr>
        <w:t>eur boli poskytnuté z prostriedkov Európskeho sociálneho fondu, v rámci Operačn</w:t>
      </w:r>
      <w:r>
        <w:t>ého</w:t>
      </w:r>
      <w:r w:rsidRPr="00491554">
        <w:rPr>
          <w:rFonts w:cs="Times New Roman"/>
          <w:sz w:val="24"/>
          <w:szCs w:val="24"/>
        </w:rPr>
        <w:t xml:space="preserve"> program</w:t>
      </w:r>
      <w:r>
        <w:t>u</w:t>
      </w:r>
      <w:r w:rsidRPr="00491554">
        <w:rPr>
          <w:rFonts w:cs="Times New Roman"/>
          <w:sz w:val="24"/>
          <w:szCs w:val="24"/>
        </w:rPr>
        <w:t xml:space="preserve"> Efektívna verejná správa, prioritná os č. 1 - Posilnené inštitucionálne kapacity a efektívna VS na</w:t>
      </w:r>
      <w:r w:rsidR="00DF637E">
        <w:rPr>
          <w:rFonts w:cs="Times New Roman"/>
          <w:sz w:val="24"/>
          <w:szCs w:val="24"/>
        </w:rPr>
        <w:t xml:space="preserve"> základe schválených žiadostí o </w:t>
      </w:r>
      <w:r w:rsidRPr="00491554">
        <w:rPr>
          <w:rFonts w:cs="Times New Roman"/>
          <w:sz w:val="24"/>
          <w:szCs w:val="24"/>
        </w:rPr>
        <w:t>platbu.</w:t>
      </w:r>
      <w:r>
        <w:t xml:space="preserve"> </w:t>
      </w:r>
      <w:r>
        <w:rPr>
          <w:rFonts w:cs="Times New Roman"/>
          <w:sz w:val="24"/>
          <w:szCs w:val="24"/>
        </w:rPr>
        <w:t>Suma</w:t>
      </w:r>
      <w:r w:rsidRPr="00491554">
        <w:rPr>
          <w:rFonts w:cs="Times New Roman"/>
          <w:sz w:val="24"/>
          <w:szCs w:val="24"/>
        </w:rPr>
        <w:t xml:space="preserve"> 81</w:t>
      </w:r>
      <w:r>
        <w:rPr>
          <w:rFonts w:cs="Times New Roman"/>
          <w:sz w:val="24"/>
          <w:szCs w:val="24"/>
        </w:rPr>
        <w:t>3 tis. </w:t>
      </w:r>
      <w:r w:rsidRPr="00491554">
        <w:rPr>
          <w:rFonts w:cs="Times New Roman"/>
          <w:sz w:val="24"/>
          <w:szCs w:val="24"/>
        </w:rPr>
        <w:t>eur bol</w:t>
      </w:r>
      <w:r>
        <w:rPr>
          <w:rFonts w:cs="Times New Roman"/>
          <w:sz w:val="24"/>
          <w:szCs w:val="24"/>
        </w:rPr>
        <w:t>a</w:t>
      </w:r>
      <w:r w:rsidRPr="00491554">
        <w:rPr>
          <w:rFonts w:cs="Times New Roman"/>
          <w:sz w:val="24"/>
          <w:szCs w:val="24"/>
        </w:rPr>
        <w:t xml:space="preserve"> poskytnut</w:t>
      </w:r>
      <w:r>
        <w:rPr>
          <w:rFonts w:cs="Times New Roman"/>
          <w:sz w:val="24"/>
          <w:szCs w:val="24"/>
        </w:rPr>
        <w:t>á</w:t>
      </w:r>
      <w:r w:rsidRPr="00491554">
        <w:rPr>
          <w:rFonts w:cs="Times New Roman"/>
          <w:sz w:val="24"/>
          <w:szCs w:val="24"/>
        </w:rPr>
        <w:t xml:space="preserve"> </w:t>
      </w:r>
      <w:r>
        <w:rPr>
          <w:rFonts w:cs="Times New Roman"/>
          <w:sz w:val="24"/>
          <w:szCs w:val="24"/>
        </w:rPr>
        <w:t>vyšším územným celkom</w:t>
      </w:r>
      <w:r w:rsidRPr="00491554">
        <w:rPr>
          <w:rFonts w:cs="Times New Roman"/>
          <w:sz w:val="24"/>
          <w:szCs w:val="24"/>
        </w:rPr>
        <w:t xml:space="preserve"> prostredníctvom Úradu splnomocnenca vlády </w:t>
      </w:r>
      <w:r>
        <w:rPr>
          <w:rFonts w:cs="Times New Roman"/>
          <w:sz w:val="24"/>
          <w:szCs w:val="24"/>
        </w:rPr>
        <w:t>SR</w:t>
      </w:r>
      <w:r w:rsidRPr="00491554">
        <w:rPr>
          <w:rFonts w:cs="Times New Roman"/>
          <w:sz w:val="24"/>
          <w:szCs w:val="24"/>
        </w:rPr>
        <w:t xml:space="preserve"> pre rozvoj občianskej spoločnosti z prostriedkov Európskeho sociálneho fondu, operačný pr</w:t>
      </w:r>
      <w:r>
        <w:rPr>
          <w:rFonts w:cs="Times New Roman"/>
          <w:sz w:val="24"/>
          <w:szCs w:val="24"/>
        </w:rPr>
        <w:t xml:space="preserve">ogram Efektívna verejná správa. Ďalšie </w:t>
      </w:r>
      <w:r w:rsidR="00DF637E">
        <w:rPr>
          <w:sz w:val="24"/>
          <w:szCs w:val="24"/>
        </w:rPr>
        <w:t>finančné prostriedky vo </w:t>
      </w:r>
      <w:r w:rsidRPr="00491554">
        <w:rPr>
          <w:sz w:val="24"/>
          <w:szCs w:val="24"/>
        </w:rPr>
        <w:t xml:space="preserve">výške </w:t>
      </w:r>
      <w:r>
        <w:rPr>
          <w:sz w:val="24"/>
          <w:szCs w:val="24"/>
        </w:rPr>
        <w:t>536 tis. </w:t>
      </w:r>
      <w:r w:rsidRPr="00491554">
        <w:rPr>
          <w:sz w:val="24"/>
          <w:szCs w:val="24"/>
        </w:rPr>
        <w:t>eur</w:t>
      </w:r>
      <w:r>
        <w:rPr>
          <w:sz w:val="24"/>
          <w:szCs w:val="24"/>
        </w:rPr>
        <w:t xml:space="preserve"> boli</w:t>
      </w:r>
      <w:r w:rsidRPr="00491554">
        <w:rPr>
          <w:sz w:val="24"/>
          <w:szCs w:val="24"/>
        </w:rPr>
        <w:t xml:space="preserve"> použité na záchranné práce - úhradu nákladov súvisiacich s hromadným prílevom utečencov</w:t>
      </w:r>
      <w:r>
        <w:rPr>
          <w:sz w:val="24"/>
          <w:szCs w:val="24"/>
        </w:rPr>
        <w:t xml:space="preserve"> spôsobeným ozbrojeným konfliktom na území Ukrajiny.</w:t>
      </w:r>
      <w:r w:rsidRPr="00491554">
        <w:rPr>
          <w:sz w:val="24"/>
          <w:szCs w:val="24"/>
        </w:rPr>
        <w:t xml:space="preserve"> </w:t>
      </w:r>
    </w:p>
    <w:p w14:paraId="5D68FE2B" w14:textId="77777777" w:rsidR="00A57E96" w:rsidRDefault="00A57E96" w:rsidP="00A57E96">
      <w:pPr>
        <w:spacing w:line="240" w:lineRule="auto"/>
        <w:rPr>
          <w:b/>
          <w:i/>
        </w:rPr>
      </w:pPr>
      <w:r>
        <w:rPr>
          <w:b/>
          <w:i/>
        </w:rPr>
        <w:t>Prehľad záväzných limitov dotácií VÚC za rok 2023 je uvedený v tabuľkovej časti štátneho záverečného účtu SR, v tabuľke č. 22.</w:t>
      </w:r>
    </w:p>
    <w:p w14:paraId="2AA440BD" w14:textId="721108E4" w:rsidR="00CE7E53" w:rsidRDefault="008254BE" w:rsidP="008172CD">
      <w:pPr>
        <w:pStyle w:val="Nadpis3"/>
        <w:spacing w:line="336" w:lineRule="auto"/>
      </w:pPr>
      <w:bookmarkStart w:id="58" w:name="_Toc6415650"/>
      <w:bookmarkStart w:id="59" w:name="_Toc164846950"/>
      <w:r w:rsidRPr="00E936AB">
        <w:lastRenderedPageBreak/>
        <w:t>Čerpanie rezerv štátneho rozpočtu</w:t>
      </w:r>
      <w:bookmarkEnd w:id="58"/>
      <w:bookmarkEnd w:id="59"/>
    </w:p>
    <w:p w14:paraId="2149E070" w14:textId="77777777" w:rsidR="00E76212" w:rsidRPr="000961FC" w:rsidRDefault="00E76212" w:rsidP="00E76212">
      <w:pPr>
        <w:spacing w:line="240" w:lineRule="auto"/>
        <w:rPr>
          <w:sz w:val="24"/>
          <w:szCs w:val="24"/>
        </w:rPr>
      </w:pPr>
      <w:r w:rsidRPr="000961FC">
        <w:rPr>
          <w:sz w:val="24"/>
          <w:szCs w:val="24"/>
        </w:rPr>
        <w:t xml:space="preserve">Na zabezpečenie rozpočtového hospodárenia sa na krytie v čase alebo výške neistých nevyhnutných alebo nepredvídateľných výdavkov vytvárajú v štátnom rozpočte rozpočtové rezervy. </w:t>
      </w:r>
    </w:p>
    <w:p w14:paraId="2A33DFC3" w14:textId="77777777" w:rsidR="00E76212" w:rsidRPr="000961FC" w:rsidRDefault="00E76212" w:rsidP="00E76212">
      <w:pPr>
        <w:spacing w:line="240" w:lineRule="auto"/>
        <w:rPr>
          <w:sz w:val="24"/>
          <w:szCs w:val="24"/>
        </w:rPr>
      </w:pPr>
      <w:r w:rsidRPr="000961FC">
        <w:rPr>
          <w:sz w:val="24"/>
          <w:szCs w:val="24"/>
        </w:rPr>
        <w:t>Podľa us</w:t>
      </w:r>
      <w:r>
        <w:rPr>
          <w:sz w:val="24"/>
          <w:szCs w:val="24"/>
        </w:rPr>
        <w:t>tanovenia § 10 ods. 4 zákona č. 523/2004 </w:t>
      </w:r>
      <w:r w:rsidRPr="000961FC">
        <w:rPr>
          <w:sz w:val="24"/>
          <w:szCs w:val="24"/>
        </w:rPr>
        <w:t>Z.</w:t>
      </w:r>
      <w:r>
        <w:rPr>
          <w:sz w:val="24"/>
          <w:szCs w:val="24"/>
        </w:rPr>
        <w:t> z. o </w:t>
      </w:r>
      <w:r w:rsidRPr="000961FC">
        <w:rPr>
          <w:sz w:val="24"/>
          <w:szCs w:val="24"/>
        </w:rPr>
        <w:t>rozpočtových pravidlách verejnej správy a o zmene a doplnení niektorých zákonov v znení neskorších</w:t>
      </w:r>
      <w:r>
        <w:rPr>
          <w:sz w:val="24"/>
          <w:szCs w:val="24"/>
        </w:rPr>
        <w:t xml:space="preserve"> predpisov (ďalej len „zákon č. 523/2004 Z. </w:t>
      </w:r>
      <w:r w:rsidRPr="000961FC">
        <w:rPr>
          <w:sz w:val="24"/>
          <w:szCs w:val="24"/>
        </w:rPr>
        <w:t xml:space="preserve">z.“) vláda Slovenskej republiky informuje Národnú radu Slovenskej republiky v rámci štátneho </w:t>
      </w:r>
      <w:r>
        <w:rPr>
          <w:sz w:val="24"/>
          <w:szCs w:val="24"/>
        </w:rPr>
        <w:t>záverečného účtu o </w:t>
      </w:r>
      <w:r w:rsidRPr="000961FC">
        <w:rPr>
          <w:sz w:val="24"/>
          <w:szCs w:val="24"/>
        </w:rPr>
        <w:t>uvoľnených alebo o použitých prostriedkoch v členení podľa správcov kapitol alebo po</w:t>
      </w:r>
      <w:r>
        <w:rPr>
          <w:sz w:val="24"/>
          <w:szCs w:val="24"/>
        </w:rPr>
        <w:t>dľa prijímateľov prostriedkov z </w:t>
      </w:r>
      <w:r w:rsidRPr="000961FC">
        <w:rPr>
          <w:sz w:val="24"/>
          <w:szCs w:val="24"/>
        </w:rPr>
        <w:t>rozpočtových rezerv, podľa účelu a výšky ich čerpania.</w:t>
      </w:r>
    </w:p>
    <w:p w14:paraId="231C02B9" w14:textId="77777777" w:rsidR="00E76212" w:rsidRDefault="00E76212" w:rsidP="00E76212">
      <w:pPr>
        <w:spacing w:line="240" w:lineRule="auto"/>
        <w:rPr>
          <w:sz w:val="24"/>
          <w:szCs w:val="24"/>
        </w:rPr>
      </w:pPr>
      <w:r w:rsidRPr="000961FC">
        <w:rPr>
          <w:sz w:val="24"/>
          <w:szCs w:val="24"/>
        </w:rPr>
        <w:t xml:space="preserve">Výšku rozpočtových rezerv na rok 2023 schválila Národná rada </w:t>
      </w:r>
      <w:r>
        <w:rPr>
          <w:sz w:val="24"/>
          <w:szCs w:val="24"/>
        </w:rPr>
        <w:t>Slovenskej republiky zákonom č. </w:t>
      </w:r>
      <w:r w:rsidRPr="000961FC">
        <w:rPr>
          <w:sz w:val="24"/>
          <w:szCs w:val="24"/>
        </w:rPr>
        <w:t>526/2022</w:t>
      </w:r>
      <w:r>
        <w:rPr>
          <w:sz w:val="24"/>
          <w:szCs w:val="24"/>
        </w:rPr>
        <w:t> </w:t>
      </w:r>
      <w:r w:rsidRPr="000961FC">
        <w:rPr>
          <w:sz w:val="24"/>
          <w:szCs w:val="24"/>
        </w:rPr>
        <w:t>Z.</w:t>
      </w:r>
      <w:r>
        <w:rPr>
          <w:sz w:val="24"/>
          <w:szCs w:val="24"/>
        </w:rPr>
        <w:t> </w:t>
      </w:r>
      <w:r w:rsidRPr="000961FC">
        <w:rPr>
          <w:sz w:val="24"/>
          <w:szCs w:val="24"/>
        </w:rPr>
        <w:t>z. o</w:t>
      </w:r>
      <w:r>
        <w:rPr>
          <w:sz w:val="24"/>
          <w:szCs w:val="24"/>
        </w:rPr>
        <w:t> </w:t>
      </w:r>
      <w:r w:rsidRPr="000961FC">
        <w:rPr>
          <w:sz w:val="24"/>
          <w:szCs w:val="24"/>
        </w:rPr>
        <w:t xml:space="preserve">štátnom rozpočte na rok 2023. </w:t>
      </w:r>
    </w:p>
    <w:p w14:paraId="04A1469B" w14:textId="781BBBB1" w:rsidR="00E76212" w:rsidRPr="00C97ADB" w:rsidRDefault="00E76212" w:rsidP="00B41352">
      <w:pPr>
        <w:keepNext/>
        <w:spacing w:line="240" w:lineRule="auto"/>
        <w:rPr>
          <w:b/>
          <w:bCs/>
          <w:color w:val="5B9BD5"/>
          <w:sz w:val="20"/>
          <w:szCs w:val="20"/>
        </w:rPr>
      </w:pPr>
      <w:bookmarkStart w:id="60" w:name="_Toc52973624"/>
      <w:r w:rsidRPr="00C97ADB">
        <w:rPr>
          <w:b/>
          <w:bCs/>
          <w:color w:val="5B9BD5"/>
          <w:sz w:val="20"/>
          <w:szCs w:val="20"/>
        </w:rPr>
        <w:t xml:space="preserve">Tabuľka </w:t>
      </w:r>
      <w:r w:rsidR="00DD022A">
        <w:rPr>
          <w:b/>
          <w:bCs/>
          <w:color w:val="5B9BD5"/>
          <w:sz w:val="20"/>
          <w:szCs w:val="20"/>
        </w:rPr>
        <w:t>50</w:t>
      </w:r>
      <w:r w:rsidRPr="00C97ADB">
        <w:rPr>
          <w:b/>
          <w:bCs/>
          <w:color w:val="5B9BD5"/>
          <w:sz w:val="20"/>
          <w:szCs w:val="20"/>
        </w:rPr>
        <w:t xml:space="preserve"> - Prehľad hospodárenia s rezervami v roku 202</w:t>
      </w:r>
      <w:bookmarkEnd w:id="60"/>
      <w:r w:rsidRPr="00C97ADB">
        <w:rPr>
          <w:b/>
          <w:bCs/>
          <w:color w:val="5B9BD5"/>
          <w:sz w:val="20"/>
          <w:szCs w:val="20"/>
        </w:rPr>
        <w:t>3</w:t>
      </w:r>
    </w:p>
    <w:tbl>
      <w:tblPr>
        <w:tblW w:w="9088" w:type="dxa"/>
        <w:tblCellMar>
          <w:left w:w="70" w:type="dxa"/>
          <w:right w:w="70" w:type="dxa"/>
        </w:tblCellMar>
        <w:tblLook w:val="04A0" w:firstRow="1" w:lastRow="0" w:firstColumn="1" w:lastColumn="0" w:noHBand="0" w:noVBand="1"/>
      </w:tblPr>
      <w:tblGrid>
        <w:gridCol w:w="4499"/>
        <w:gridCol w:w="1098"/>
        <w:gridCol w:w="1082"/>
        <w:gridCol w:w="1276"/>
        <w:gridCol w:w="1152"/>
      </w:tblGrid>
      <w:tr w:rsidR="00E76212" w:rsidRPr="009819F0" w14:paraId="6C70C122" w14:textId="77777777" w:rsidTr="00D2560E">
        <w:trPr>
          <w:trHeight w:val="357"/>
        </w:trPr>
        <w:tc>
          <w:tcPr>
            <w:tcW w:w="4499" w:type="dxa"/>
            <w:vMerge w:val="restart"/>
            <w:tcBorders>
              <w:top w:val="single" w:sz="8" w:space="0" w:color="auto"/>
              <w:left w:val="nil"/>
              <w:bottom w:val="single" w:sz="8" w:space="0" w:color="000000"/>
              <w:right w:val="nil"/>
            </w:tcBorders>
            <w:shd w:val="clear" w:color="auto" w:fill="auto"/>
            <w:noWrap/>
            <w:vAlign w:val="center"/>
            <w:hideMark/>
          </w:tcPr>
          <w:p w14:paraId="3A1E6227" w14:textId="77777777" w:rsidR="00E76212" w:rsidRPr="009819F0" w:rsidRDefault="00E76212" w:rsidP="00D2560E">
            <w:pPr>
              <w:spacing w:after="0" w:line="240" w:lineRule="auto"/>
              <w:rPr>
                <w:rFonts w:eastAsia="Times New Roman" w:cs="Times New Roman"/>
                <w:b/>
                <w:bCs/>
                <w:sz w:val="18"/>
                <w:szCs w:val="18"/>
                <w:lang w:eastAsia="sk-SK"/>
              </w:rPr>
            </w:pPr>
            <w:r w:rsidRPr="009819F0">
              <w:rPr>
                <w:rFonts w:eastAsia="Times New Roman" w:cs="Times New Roman"/>
                <w:b/>
                <w:bCs/>
                <w:sz w:val="18"/>
                <w:szCs w:val="18"/>
                <w:lang w:eastAsia="sk-SK"/>
              </w:rPr>
              <w:t>v tis. eur</w:t>
            </w:r>
          </w:p>
        </w:tc>
        <w:tc>
          <w:tcPr>
            <w:tcW w:w="1098" w:type="dxa"/>
            <w:vMerge w:val="restart"/>
            <w:tcBorders>
              <w:top w:val="single" w:sz="8" w:space="0" w:color="auto"/>
              <w:left w:val="nil"/>
              <w:bottom w:val="single" w:sz="8" w:space="0" w:color="000000"/>
              <w:right w:val="nil"/>
            </w:tcBorders>
            <w:shd w:val="clear" w:color="auto" w:fill="auto"/>
            <w:vAlign w:val="center"/>
            <w:hideMark/>
          </w:tcPr>
          <w:p w14:paraId="3AA854B3" w14:textId="77777777" w:rsidR="00E76212" w:rsidRPr="009819F0" w:rsidRDefault="00E76212" w:rsidP="00D2560E">
            <w:pPr>
              <w:spacing w:after="0" w:line="240" w:lineRule="auto"/>
              <w:jc w:val="center"/>
              <w:rPr>
                <w:rFonts w:eastAsia="Times New Roman" w:cs="Times New Roman"/>
                <w:b/>
                <w:bCs/>
                <w:sz w:val="18"/>
                <w:szCs w:val="18"/>
                <w:lang w:eastAsia="sk-SK"/>
              </w:rPr>
            </w:pPr>
            <w:r w:rsidRPr="009819F0">
              <w:rPr>
                <w:rFonts w:eastAsia="Times New Roman" w:cs="Times New Roman"/>
                <w:b/>
                <w:bCs/>
                <w:sz w:val="18"/>
                <w:szCs w:val="18"/>
                <w:lang w:eastAsia="sk-SK"/>
              </w:rPr>
              <w:t>Schválený rozpočet</w:t>
            </w:r>
          </w:p>
        </w:tc>
        <w:tc>
          <w:tcPr>
            <w:tcW w:w="1082" w:type="dxa"/>
            <w:vMerge w:val="restart"/>
            <w:tcBorders>
              <w:top w:val="single" w:sz="8" w:space="0" w:color="auto"/>
              <w:left w:val="nil"/>
              <w:bottom w:val="single" w:sz="8" w:space="0" w:color="000000"/>
              <w:right w:val="nil"/>
            </w:tcBorders>
            <w:shd w:val="clear" w:color="auto" w:fill="auto"/>
            <w:vAlign w:val="center"/>
            <w:hideMark/>
          </w:tcPr>
          <w:p w14:paraId="66C62B65" w14:textId="77777777" w:rsidR="00E76212" w:rsidRPr="009819F0" w:rsidRDefault="00E76212" w:rsidP="00D2560E">
            <w:pPr>
              <w:spacing w:after="0" w:line="240" w:lineRule="auto"/>
              <w:jc w:val="center"/>
              <w:rPr>
                <w:rFonts w:eastAsia="Times New Roman" w:cs="Times New Roman"/>
                <w:b/>
                <w:bCs/>
                <w:sz w:val="18"/>
                <w:szCs w:val="18"/>
                <w:lang w:eastAsia="sk-SK"/>
              </w:rPr>
            </w:pPr>
            <w:r w:rsidRPr="009819F0">
              <w:rPr>
                <w:rFonts w:eastAsia="Times New Roman" w:cs="Times New Roman"/>
                <w:b/>
                <w:bCs/>
                <w:sz w:val="18"/>
                <w:szCs w:val="18"/>
                <w:lang w:eastAsia="sk-SK"/>
              </w:rPr>
              <w:t>Upravený rozpočet*</w:t>
            </w:r>
          </w:p>
        </w:tc>
        <w:tc>
          <w:tcPr>
            <w:tcW w:w="1257" w:type="dxa"/>
            <w:tcBorders>
              <w:top w:val="single" w:sz="8" w:space="0" w:color="auto"/>
              <w:left w:val="nil"/>
              <w:bottom w:val="nil"/>
              <w:right w:val="nil"/>
            </w:tcBorders>
            <w:shd w:val="clear" w:color="auto" w:fill="auto"/>
            <w:vAlign w:val="bottom"/>
            <w:hideMark/>
          </w:tcPr>
          <w:p w14:paraId="5B7BAFC2" w14:textId="5FF1B7C9" w:rsidR="00E76212" w:rsidRPr="009819F0" w:rsidRDefault="00E76212" w:rsidP="00D2560E">
            <w:pPr>
              <w:spacing w:after="0" w:line="240" w:lineRule="auto"/>
              <w:jc w:val="center"/>
              <w:rPr>
                <w:rFonts w:eastAsia="Times New Roman" w:cs="Times New Roman"/>
                <w:b/>
                <w:bCs/>
                <w:sz w:val="18"/>
                <w:szCs w:val="18"/>
                <w:lang w:eastAsia="sk-SK"/>
              </w:rPr>
            </w:pPr>
            <w:r w:rsidRPr="009819F0">
              <w:rPr>
                <w:rFonts w:eastAsia="Times New Roman" w:cs="Times New Roman"/>
                <w:b/>
                <w:bCs/>
                <w:sz w:val="18"/>
                <w:szCs w:val="18"/>
                <w:lang w:eastAsia="sk-SK"/>
              </w:rPr>
              <w:t>Uvoľnené</w:t>
            </w:r>
          </w:p>
        </w:tc>
        <w:tc>
          <w:tcPr>
            <w:tcW w:w="1152" w:type="dxa"/>
            <w:tcBorders>
              <w:top w:val="single" w:sz="8" w:space="0" w:color="auto"/>
              <w:left w:val="nil"/>
              <w:bottom w:val="nil"/>
              <w:right w:val="nil"/>
            </w:tcBorders>
            <w:shd w:val="clear" w:color="auto" w:fill="auto"/>
            <w:vAlign w:val="bottom"/>
            <w:hideMark/>
          </w:tcPr>
          <w:p w14:paraId="33129F29" w14:textId="0763366E" w:rsidR="00E76212" w:rsidRPr="009819F0" w:rsidRDefault="00E76212" w:rsidP="00D2560E">
            <w:pPr>
              <w:spacing w:after="0" w:line="240" w:lineRule="auto"/>
              <w:jc w:val="center"/>
              <w:rPr>
                <w:rFonts w:eastAsia="Times New Roman" w:cs="Times New Roman"/>
                <w:b/>
                <w:bCs/>
                <w:sz w:val="18"/>
                <w:szCs w:val="18"/>
                <w:lang w:eastAsia="sk-SK"/>
              </w:rPr>
            </w:pPr>
            <w:r w:rsidRPr="009819F0">
              <w:rPr>
                <w:rFonts w:eastAsia="Times New Roman" w:cs="Times New Roman"/>
                <w:b/>
                <w:bCs/>
                <w:sz w:val="18"/>
                <w:szCs w:val="18"/>
                <w:lang w:eastAsia="sk-SK"/>
              </w:rPr>
              <w:t>Nevyčerpané</w:t>
            </w:r>
          </w:p>
        </w:tc>
      </w:tr>
      <w:tr w:rsidR="00E76212" w:rsidRPr="009819F0" w14:paraId="681614C2" w14:textId="77777777" w:rsidTr="00D2560E">
        <w:trPr>
          <w:trHeight w:val="342"/>
        </w:trPr>
        <w:tc>
          <w:tcPr>
            <w:tcW w:w="4499" w:type="dxa"/>
            <w:vMerge/>
            <w:tcBorders>
              <w:top w:val="single" w:sz="8" w:space="0" w:color="auto"/>
              <w:left w:val="nil"/>
              <w:bottom w:val="single" w:sz="8" w:space="0" w:color="000000"/>
              <w:right w:val="nil"/>
            </w:tcBorders>
            <w:vAlign w:val="center"/>
            <w:hideMark/>
          </w:tcPr>
          <w:p w14:paraId="3CAE1C01" w14:textId="77777777" w:rsidR="00E76212" w:rsidRPr="009819F0" w:rsidRDefault="00E76212" w:rsidP="00D2560E">
            <w:pPr>
              <w:spacing w:after="0" w:line="240" w:lineRule="auto"/>
              <w:rPr>
                <w:rFonts w:eastAsia="Times New Roman" w:cs="Times New Roman"/>
                <w:b/>
                <w:bCs/>
                <w:sz w:val="18"/>
                <w:szCs w:val="18"/>
                <w:lang w:eastAsia="sk-SK"/>
              </w:rPr>
            </w:pPr>
          </w:p>
        </w:tc>
        <w:tc>
          <w:tcPr>
            <w:tcW w:w="1098" w:type="dxa"/>
            <w:vMerge/>
            <w:tcBorders>
              <w:top w:val="single" w:sz="8" w:space="0" w:color="auto"/>
              <w:left w:val="nil"/>
              <w:bottom w:val="single" w:sz="8" w:space="0" w:color="000000"/>
              <w:right w:val="nil"/>
            </w:tcBorders>
            <w:vAlign w:val="center"/>
            <w:hideMark/>
          </w:tcPr>
          <w:p w14:paraId="7E752681" w14:textId="77777777" w:rsidR="00E76212" w:rsidRPr="009819F0" w:rsidRDefault="00E76212" w:rsidP="00D2560E">
            <w:pPr>
              <w:spacing w:after="0" w:line="240" w:lineRule="auto"/>
              <w:rPr>
                <w:rFonts w:eastAsia="Times New Roman" w:cs="Times New Roman"/>
                <w:b/>
                <w:bCs/>
                <w:sz w:val="18"/>
                <w:szCs w:val="18"/>
                <w:lang w:eastAsia="sk-SK"/>
              </w:rPr>
            </w:pPr>
          </w:p>
        </w:tc>
        <w:tc>
          <w:tcPr>
            <w:tcW w:w="1082" w:type="dxa"/>
            <w:vMerge/>
            <w:tcBorders>
              <w:top w:val="single" w:sz="8" w:space="0" w:color="auto"/>
              <w:left w:val="nil"/>
              <w:bottom w:val="single" w:sz="8" w:space="0" w:color="000000"/>
              <w:right w:val="nil"/>
            </w:tcBorders>
            <w:vAlign w:val="center"/>
            <w:hideMark/>
          </w:tcPr>
          <w:p w14:paraId="6F532264" w14:textId="77777777" w:rsidR="00E76212" w:rsidRPr="009819F0" w:rsidRDefault="00E76212" w:rsidP="00D2560E">
            <w:pPr>
              <w:spacing w:after="0" w:line="240" w:lineRule="auto"/>
              <w:rPr>
                <w:rFonts w:eastAsia="Times New Roman" w:cs="Times New Roman"/>
                <w:b/>
                <w:bCs/>
                <w:sz w:val="18"/>
                <w:szCs w:val="18"/>
                <w:lang w:eastAsia="sk-SK"/>
              </w:rPr>
            </w:pPr>
          </w:p>
        </w:tc>
        <w:tc>
          <w:tcPr>
            <w:tcW w:w="1257" w:type="dxa"/>
            <w:tcBorders>
              <w:top w:val="nil"/>
              <w:left w:val="nil"/>
              <w:bottom w:val="single" w:sz="8" w:space="0" w:color="auto"/>
              <w:right w:val="nil"/>
            </w:tcBorders>
            <w:shd w:val="clear" w:color="auto" w:fill="auto"/>
            <w:vAlign w:val="center"/>
            <w:hideMark/>
          </w:tcPr>
          <w:p w14:paraId="635B3629" w14:textId="3829D182" w:rsidR="00E76212" w:rsidRPr="009819F0" w:rsidRDefault="009819F0" w:rsidP="009819F0">
            <w:pPr>
              <w:spacing w:after="0" w:line="240" w:lineRule="auto"/>
              <w:jc w:val="right"/>
              <w:rPr>
                <w:rFonts w:eastAsia="Times New Roman" w:cs="Times New Roman"/>
                <w:b/>
                <w:bCs/>
                <w:sz w:val="18"/>
                <w:szCs w:val="18"/>
                <w:lang w:eastAsia="sk-SK"/>
              </w:rPr>
            </w:pPr>
            <w:r>
              <w:rPr>
                <w:rFonts w:eastAsia="Times New Roman" w:cs="Times New Roman"/>
                <w:b/>
                <w:bCs/>
                <w:sz w:val="18"/>
                <w:szCs w:val="18"/>
                <w:lang w:eastAsia="sk-SK"/>
              </w:rPr>
              <w:t>k </w:t>
            </w:r>
            <w:r w:rsidR="00E76212" w:rsidRPr="009819F0">
              <w:rPr>
                <w:rFonts w:eastAsia="Times New Roman" w:cs="Times New Roman"/>
                <w:b/>
                <w:bCs/>
                <w:sz w:val="18"/>
                <w:szCs w:val="18"/>
                <w:lang w:eastAsia="sk-SK"/>
              </w:rPr>
              <w:t>31.12.2023**</w:t>
            </w:r>
          </w:p>
        </w:tc>
        <w:tc>
          <w:tcPr>
            <w:tcW w:w="1152" w:type="dxa"/>
            <w:tcBorders>
              <w:top w:val="nil"/>
              <w:left w:val="nil"/>
              <w:bottom w:val="single" w:sz="8" w:space="0" w:color="auto"/>
              <w:right w:val="nil"/>
            </w:tcBorders>
            <w:shd w:val="clear" w:color="auto" w:fill="auto"/>
            <w:vAlign w:val="center"/>
            <w:hideMark/>
          </w:tcPr>
          <w:p w14:paraId="3D39A906" w14:textId="77777777" w:rsidR="00E76212" w:rsidRPr="009819F0" w:rsidRDefault="00E76212" w:rsidP="00D2560E">
            <w:pPr>
              <w:spacing w:after="0" w:line="240" w:lineRule="auto"/>
              <w:jc w:val="right"/>
              <w:rPr>
                <w:rFonts w:eastAsia="Times New Roman" w:cs="Times New Roman"/>
                <w:b/>
                <w:bCs/>
                <w:sz w:val="18"/>
                <w:szCs w:val="18"/>
                <w:lang w:eastAsia="sk-SK"/>
              </w:rPr>
            </w:pPr>
            <w:r w:rsidRPr="009819F0">
              <w:rPr>
                <w:rFonts w:eastAsia="Times New Roman" w:cs="Times New Roman"/>
                <w:b/>
                <w:bCs/>
                <w:sz w:val="18"/>
                <w:szCs w:val="18"/>
                <w:lang w:eastAsia="sk-SK"/>
              </w:rPr>
              <w:t>k 31.12.2023</w:t>
            </w:r>
          </w:p>
        </w:tc>
      </w:tr>
      <w:tr w:rsidR="00E76212" w:rsidRPr="009819F0" w14:paraId="3712D438" w14:textId="77777777" w:rsidTr="00D2560E">
        <w:trPr>
          <w:trHeight w:val="327"/>
        </w:trPr>
        <w:tc>
          <w:tcPr>
            <w:tcW w:w="4499" w:type="dxa"/>
            <w:tcBorders>
              <w:top w:val="nil"/>
              <w:left w:val="nil"/>
              <w:bottom w:val="nil"/>
              <w:right w:val="nil"/>
            </w:tcBorders>
            <w:shd w:val="clear" w:color="auto" w:fill="auto"/>
            <w:noWrap/>
            <w:vAlign w:val="center"/>
            <w:hideMark/>
          </w:tcPr>
          <w:p w14:paraId="32273E8E" w14:textId="77777777" w:rsidR="00E76212" w:rsidRPr="009819F0" w:rsidRDefault="00E76212" w:rsidP="00D2560E">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 xml:space="preserve">Rezerva vlády </w:t>
            </w:r>
          </w:p>
        </w:tc>
        <w:tc>
          <w:tcPr>
            <w:tcW w:w="1098" w:type="dxa"/>
            <w:tcBorders>
              <w:top w:val="nil"/>
              <w:left w:val="nil"/>
              <w:bottom w:val="nil"/>
              <w:right w:val="nil"/>
            </w:tcBorders>
            <w:shd w:val="clear" w:color="auto" w:fill="auto"/>
            <w:noWrap/>
            <w:vAlign w:val="center"/>
            <w:hideMark/>
          </w:tcPr>
          <w:p w14:paraId="26978C87"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5 000</w:t>
            </w:r>
          </w:p>
        </w:tc>
        <w:tc>
          <w:tcPr>
            <w:tcW w:w="1082" w:type="dxa"/>
            <w:tcBorders>
              <w:top w:val="nil"/>
              <w:left w:val="nil"/>
              <w:bottom w:val="nil"/>
              <w:right w:val="nil"/>
            </w:tcBorders>
            <w:shd w:val="clear" w:color="auto" w:fill="auto"/>
            <w:noWrap/>
            <w:vAlign w:val="center"/>
            <w:hideMark/>
          </w:tcPr>
          <w:p w14:paraId="1EF6E0B3"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5 000</w:t>
            </w:r>
          </w:p>
        </w:tc>
        <w:tc>
          <w:tcPr>
            <w:tcW w:w="1257" w:type="dxa"/>
            <w:tcBorders>
              <w:top w:val="nil"/>
              <w:left w:val="nil"/>
              <w:bottom w:val="nil"/>
              <w:right w:val="nil"/>
            </w:tcBorders>
            <w:shd w:val="clear" w:color="auto" w:fill="auto"/>
            <w:noWrap/>
            <w:vAlign w:val="center"/>
            <w:hideMark/>
          </w:tcPr>
          <w:p w14:paraId="0016FBB6"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4 120</w:t>
            </w:r>
          </w:p>
        </w:tc>
        <w:tc>
          <w:tcPr>
            <w:tcW w:w="1152" w:type="dxa"/>
            <w:tcBorders>
              <w:top w:val="nil"/>
              <w:left w:val="nil"/>
              <w:bottom w:val="nil"/>
              <w:right w:val="nil"/>
            </w:tcBorders>
            <w:shd w:val="clear" w:color="auto" w:fill="auto"/>
            <w:noWrap/>
            <w:vAlign w:val="center"/>
            <w:hideMark/>
          </w:tcPr>
          <w:p w14:paraId="0CC32FF0"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880</w:t>
            </w:r>
          </w:p>
        </w:tc>
      </w:tr>
      <w:tr w:rsidR="00E76212" w:rsidRPr="009819F0" w14:paraId="089E8833" w14:textId="77777777" w:rsidTr="00D2560E">
        <w:trPr>
          <w:trHeight w:val="327"/>
        </w:trPr>
        <w:tc>
          <w:tcPr>
            <w:tcW w:w="4499" w:type="dxa"/>
            <w:tcBorders>
              <w:top w:val="nil"/>
              <w:left w:val="nil"/>
              <w:bottom w:val="nil"/>
              <w:right w:val="nil"/>
            </w:tcBorders>
            <w:shd w:val="clear" w:color="auto" w:fill="auto"/>
            <w:noWrap/>
            <w:vAlign w:val="center"/>
            <w:hideMark/>
          </w:tcPr>
          <w:p w14:paraId="68643B28" w14:textId="77777777" w:rsidR="00E76212" w:rsidRPr="009819F0" w:rsidRDefault="00E76212" w:rsidP="00D2560E">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Rezerva predsedu vlády</w:t>
            </w:r>
          </w:p>
        </w:tc>
        <w:tc>
          <w:tcPr>
            <w:tcW w:w="1098" w:type="dxa"/>
            <w:tcBorders>
              <w:top w:val="nil"/>
              <w:left w:val="nil"/>
              <w:bottom w:val="nil"/>
              <w:right w:val="nil"/>
            </w:tcBorders>
            <w:shd w:val="clear" w:color="auto" w:fill="auto"/>
            <w:noWrap/>
            <w:vAlign w:val="center"/>
            <w:hideMark/>
          </w:tcPr>
          <w:p w14:paraId="683E5AD9"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1 500</w:t>
            </w:r>
          </w:p>
        </w:tc>
        <w:tc>
          <w:tcPr>
            <w:tcW w:w="1082" w:type="dxa"/>
            <w:tcBorders>
              <w:top w:val="nil"/>
              <w:left w:val="nil"/>
              <w:bottom w:val="nil"/>
              <w:right w:val="nil"/>
            </w:tcBorders>
            <w:shd w:val="clear" w:color="auto" w:fill="auto"/>
            <w:noWrap/>
            <w:vAlign w:val="center"/>
            <w:hideMark/>
          </w:tcPr>
          <w:p w14:paraId="3B30378F"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2 027</w:t>
            </w:r>
          </w:p>
        </w:tc>
        <w:tc>
          <w:tcPr>
            <w:tcW w:w="1257" w:type="dxa"/>
            <w:tcBorders>
              <w:top w:val="nil"/>
              <w:left w:val="nil"/>
              <w:bottom w:val="nil"/>
              <w:right w:val="nil"/>
            </w:tcBorders>
            <w:shd w:val="clear" w:color="auto" w:fill="auto"/>
            <w:noWrap/>
            <w:vAlign w:val="center"/>
            <w:hideMark/>
          </w:tcPr>
          <w:p w14:paraId="43D04509"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2 018</w:t>
            </w:r>
          </w:p>
        </w:tc>
        <w:tc>
          <w:tcPr>
            <w:tcW w:w="1152" w:type="dxa"/>
            <w:tcBorders>
              <w:top w:val="nil"/>
              <w:left w:val="nil"/>
              <w:bottom w:val="nil"/>
              <w:right w:val="nil"/>
            </w:tcBorders>
            <w:shd w:val="clear" w:color="auto" w:fill="auto"/>
            <w:noWrap/>
            <w:vAlign w:val="center"/>
            <w:hideMark/>
          </w:tcPr>
          <w:p w14:paraId="27F54D2D"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9</w:t>
            </w:r>
          </w:p>
        </w:tc>
      </w:tr>
      <w:tr w:rsidR="00E76212" w:rsidRPr="009819F0" w14:paraId="557C2366" w14:textId="77777777" w:rsidTr="00D2560E">
        <w:trPr>
          <w:trHeight w:val="327"/>
        </w:trPr>
        <w:tc>
          <w:tcPr>
            <w:tcW w:w="4499" w:type="dxa"/>
            <w:tcBorders>
              <w:top w:val="nil"/>
              <w:left w:val="nil"/>
              <w:bottom w:val="nil"/>
              <w:right w:val="nil"/>
            </w:tcBorders>
            <w:shd w:val="clear" w:color="auto" w:fill="auto"/>
            <w:vAlign w:val="center"/>
            <w:hideMark/>
          </w:tcPr>
          <w:p w14:paraId="44DBBFA1" w14:textId="77777777" w:rsidR="00E76212" w:rsidRPr="009819F0" w:rsidRDefault="00E76212" w:rsidP="00D2560E">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Rezerva na prostriedky Európskej únie a odvody Európskej únii</w:t>
            </w:r>
          </w:p>
        </w:tc>
        <w:tc>
          <w:tcPr>
            <w:tcW w:w="1098" w:type="dxa"/>
            <w:tcBorders>
              <w:top w:val="nil"/>
              <w:left w:val="nil"/>
              <w:bottom w:val="nil"/>
              <w:right w:val="nil"/>
            </w:tcBorders>
            <w:shd w:val="clear" w:color="auto" w:fill="auto"/>
            <w:noWrap/>
            <w:vAlign w:val="center"/>
            <w:hideMark/>
          </w:tcPr>
          <w:p w14:paraId="3D5358AF"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404 870</w:t>
            </w:r>
          </w:p>
        </w:tc>
        <w:tc>
          <w:tcPr>
            <w:tcW w:w="1082" w:type="dxa"/>
            <w:tcBorders>
              <w:top w:val="nil"/>
              <w:left w:val="nil"/>
              <w:bottom w:val="nil"/>
              <w:right w:val="nil"/>
            </w:tcBorders>
            <w:shd w:val="clear" w:color="auto" w:fill="auto"/>
            <w:noWrap/>
            <w:vAlign w:val="center"/>
            <w:hideMark/>
          </w:tcPr>
          <w:p w14:paraId="417DF935"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446 823</w:t>
            </w:r>
          </w:p>
        </w:tc>
        <w:tc>
          <w:tcPr>
            <w:tcW w:w="1257" w:type="dxa"/>
            <w:tcBorders>
              <w:top w:val="nil"/>
              <w:left w:val="nil"/>
              <w:bottom w:val="nil"/>
              <w:right w:val="nil"/>
            </w:tcBorders>
            <w:shd w:val="clear" w:color="auto" w:fill="auto"/>
            <w:noWrap/>
            <w:vAlign w:val="center"/>
            <w:hideMark/>
          </w:tcPr>
          <w:p w14:paraId="18CE329C"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446 823</w:t>
            </w:r>
          </w:p>
        </w:tc>
        <w:tc>
          <w:tcPr>
            <w:tcW w:w="1152" w:type="dxa"/>
            <w:tcBorders>
              <w:top w:val="nil"/>
              <w:left w:val="nil"/>
              <w:bottom w:val="nil"/>
              <w:right w:val="nil"/>
            </w:tcBorders>
            <w:shd w:val="clear" w:color="auto" w:fill="auto"/>
            <w:noWrap/>
            <w:vAlign w:val="center"/>
            <w:hideMark/>
          </w:tcPr>
          <w:p w14:paraId="397841AC"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0</w:t>
            </w:r>
          </w:p>
        </w:tc>
      </w:tr>
      <w:tr w:rsidR="00E76212" w:rsidRPr="009819F0" w14:paraId="204DDC3C" w14:textId="77777777" w:rsidTr="00D2560E">
        <w:trPr>
          <w:trHeight w:val="327"/>
        </w:trPr>
        <w:tc>
          <w:tcPr>
            <w:tcW w:w="4499" w:type="dxa"/>
            <w:tcBorders>
              <w:top w:val="nil"/>
              <w:left w:val="nil"/>
              <w:bottom w:val="nil"/>
              <w:right w:val="nil"/>
            </w:tcBorders>
            <w:shd w:val="clear" w:color="auto" w:fill="auto"/>
            <w:vAlign w:val="center"/>
            <w:hideMark/>
          </w:tcPr>
          <w:p w14:paraId="1666D793" w14:textId="77777777" w:rsidR="00E76212" w:rsidRPr="009819F0" w:rsidRDefault="00E76212" w:rsidP="00D2560E">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Rezerva na riešenie vplyvov legislatívnych zmien</w:t>
            </w:r>
          </w:p>
        </w:tc>
        <w:tc>
          <w:tcPr>
            <w:tcW w:w="1098" w:type="dxa"/>
            <w:tcBorders>
              <w:top w:val="nil"/>
              <w:left w:val="nil"/>
              <w:bottom w:val="nil"/>
              <w:right w:val="nil"/>
            </w:tcBorders>
            <w:shd w:val="clear" w:color="auto" w:fill="auto"/>
            <w:noWrap/>
            <w:vAlign w:val="center"/>
            <w:hideMark/>
          </w:tcPr>
          <w:p w14:paraId="0268DBE0"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857 992</w:t>
            </w:r>
          </w:p>
        </w:tc>
        <w:tc>
          <w:tcPr>
            <w:tcW w:w="1082" w:type="dxa"/>
            <w:tcBorders>
              <w:top w:val="nil"/>
              <w:left w:val="nil"/>
              <w:bottom w:val="nil"/>
              <w:right w:val="nil"/>
            </w:tcBorders>
            <w:shd w:val="clear" w:color="auto" w:fill="auto"/>
            <w:noWrap/>
            <w:vAlign w:val="center"/>
            <w:hideMark/>
          </w:tcPr>
          <w:p w14:paraId="0BC7E011"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1 831 627</w:t>
            </w:r>
          </w:p>
        </w:tc>
        <w:tc>
          <w:tcPr>
            <w:tcW w:w="1257" w:type="dxa"/>
            <w:tcBorders>
              <w:top w:val="nil"/>
              <w:left w:val="nil"/>
              <w:bottom w:val="nil"/>
              <w:right w:val="nil"/>
            </w:tcBorders>
            <w:shd w:val="clear" w:color="auto" w:fill="auto"/>
            <w:noWrap/>
            <w:vAlign w:val="center"/>
            <w:hideMark/>
          </w:tcPr>
          <w:p w14:paraId="0DEBAECB"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1 831 627</w:t>
            </w:r>
          </w:p>
        </w:tc>
        <w:tc>
          <w:tcPr>
            <w:tcW w:w="1152" w:type="dxa"/>
            <w:tcBorders>
              <w:top w:val="nil"/>
              <w:left w:val="nil"/>
              <w:bottom w:val="nil"/>
              <w:right w:val="nil"/>
            </w:tcBorders>
            <w:shd w:val="clear" w:color="auto" w:fill="auto"/>
            <w:noWrap/>
            <w:vAlign w:val="center"/>
            <w:hideMark/>
          </w:tcPr>
          <w:p w14:paraId="259D5836"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0</w:t>
            </w:r>
          </w:p>
        </w:tc>
      </w:tr>
      <w:tr w:rsidR="00E76212" w:rsidRPr="009819F0" w14:paraId="0CBE9184" w14:textId="77777777" w:rsidTr="00D2560E">
        <w:trPr>
          <w:trHeight w:val="447"/>
        </w:trPr>
        <w:tc>
          <w:tcPr>
            <w:tcW w:w="4499" w:type="dxa"/>
            <w:tcBorders>
              <w:top w:val="nil"/>
              <w:left w:val="nil"/>
              <w:bottom w:val="nil"/>
              <w:right w:val="nil"/>
            </w:tcBorders>
            <w:shd w:val="clear" w:color="auto" w:fill="auto"/>
            <w:vAlign w:val="center"/>
            <w:hideMark/>
          </w:tcPr>
          <w:p w14:paraId="6606A600" w14:textId="77777777" w:rsidR="00E76212" w:rsidRPr="009819F0" w:rsidRDefault="00E76212" w:rsidP="00D2560E">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Rezerva na riešenie krízových situácií mimo času vojny a vojnového stavu a vykonávanie povodňových prác</w:t>
            </w:r>
          </w:p>
        </w:tc>
        <w:tc>
          <w:tcPr>
            <w:tcW w:w="1098" w:type="dxa"/>
            <w:tcBorders>
              <w:top w:val="nil"/>
              <w:left w:val="nil"/>
              <w:bottom w:val="nil"/>
              <w:right w:val="nil"/>
            </w:tcBorders>
            <w:shd w:val="clear" w:color="auto" w:fill="auto"/>
            <w:noWrap/>
            <w:vAlign w:val="center"/>
            <w:hideMark/>
          </w:tcPr>
          <w:p w14:paraId="281B3909"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21 000</w:t>
            </w:r>
          </w:p>
        </w:tc>
        <w:tc>
          <w:tcPr>
            <w:tcW w:w="1082" w:type="dxa"/>
            <w:tcBorders>
              <w:top w:val="nil"/>
              <w:left w:val="nil"/>
              <w:bottom w:val="nil"/>
              <w:right w:val="nil"/>
            </w:tcBorders>
            <w:shd w:val="clear" w:color="auto" w:fill="auto"/>
            <w:noWrap/>
            <w:vAlign w:val="center"/>
            <w:hideMark/>
          </w:tcPr>
          <w:p w14:paraId="3767E723"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21 000</w:t>
            </w:r>
          </w:p>
        </w:tc>
        <w:tc>
          <w:tcPr>
            <w:tcW w:w="1257" w:type="dxa"/>
            <w:tcBorders>
              <w:top w:val="nil"/>
              <w:left w:val="nil"/>
              <w:bottom w:val="nil"/>
              <w:right w:val="nil"/>
            </w:tcBorders>
            <w:shd w:val="clear" w:color="auto" w:fill="auto"/>
            <w:noWrap/>
            <w:vAlign w:val="center"/>
            <w:hideMark/>
          </w:tcPr>
          <w:p w14:paraId="281AED87"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6 034</w:t>
            </w:r>
          </w:p>
        </w:tc>
        <w:tc>
          <w:tcPr>
            <w:tcW w:w="1152" w:type="dxa"/>
            <w:tcBorders>
              <w:top w:val="nil"/>
              <w:left w:val="nil"/>
              <w:bottom w:val="nil"/>
              <w:right w:val="nil"/>
            </w:tcBorders>
            <w:shd w:val="clear" w:color="auto" w:fill="auto"/>
            <w:noWrap/>
            <w:vAlign w:val="center"/>
            <w:hideMark/>
          </w:tcPr>
          <w:p w14:paraId="2C171648"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14 966</w:t>
            </w:r>
          </w:p>
        </w:tc>
      </w:tr>
      <w:tr w:rsidR="00E76212" w:rsidRPr="009819F0" w14:paraId="65B5E82A" w14:textId="77777777" w:rsidTr="00D2560E">
        <w:trPr>
          <w:trHeight w:val="327"/>
        </w:trPr>
        <w:tc>
          <w:tcPr>
            <w:tcW w:w="4499" w:type="dxa"/>
            <w:tcBorders>
              <w:top w:val="nil"/>
              <w:left w:val="nil"/>
              <w:bottom w:val="nil"/>
              <w:right w:val="nil"/>
            </w:tcBorders>
            <w:shd w:val="clear" w:color="auto" w:fill="auto"/>
            <w:vAlign w:val="center"/>
            <w:hideMark/>
          </w:tcPr>
          <w:p w14:paraId="05E121C4" w14:textId="77777777" w:rsidR="00E76212" w:rsidRPr="009819F0" w:rsidRDefault="00E76212" w:rsidP="00D2560E">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Rezerva na realizáciu súdnych a exekučných rozhodnutí</w:t>
            </w:r>
          </w:p>
        </w:tc>
        <w:tc>
          <w:tcPr>
            <w:tcW w:w="1098" w:type="dxa"/>
            <w:tcBorders>
              <w:top w:val="nil"/>
              <w:left w:val="nil"/>
              <w:bottom w:val="nil"/>
              <w:right w:val="nil"/>
            </w:tcBorders>
            <w:shd w:val="clear" w:color="auto" w:fill="auto"/>
            <w:noWrap/>
            <w:vAlign w:val="center"/>
            <w:hideMark/>
          </w:tcPr>
          <w:p w14:paraId="28D90125"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10 000</w:t>
            </w:r>
          </w:p>
        </w:tc>
        <w:tc>
          <w:tcPr>
            <w:tcW w:w="1082" w:type="dxa"/>
            <w:tcBorders>
              <w:top w:val="nil"/>
              <w:left w:val="nil"/>
              <w:bottom w:val="nil"/>
              <w:right w:val="nil"/>
            </w:tcBorders>
            <w:shd w:val="clear" w:color="auto" w:fill="auto"/>
            <w:noWrap/>
            <w:vAlign w:val="center"/>
            <w:hideMark/>
          </w:tcPr>
          <w:p w14:paraId="280DB0F9"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10 000</w:t>
            </w:r>
          </w:p>
        </w:tc>
        <w:tc>
          <w:tcPr>
            <w:tcW w:w="1257" w:type="dxa"/>
            <w:tcBorders>
              <w:top w:val="nil"/>
              <w:left w:val="nil"/>
              <w:bottom w:val="nil"/>
              <w:right w:val="nil"/>
            </w:tcBorders>
            <w:shd w:val="clear" w:color="auto" w:fill="auto"/>
            <w:noWrap/>
            <w:vAlign w:val="center"/>
            <w:hideMark/>
          </w:tcPr>
          <w:p w14:paraId="304B13B4"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2 646</w:t>
            </w:r>
          </w:p>
        </w:tc>
        <w:tc>
          <w:tcPr>
            <w:tcW w:w="1152" w:type="dxa"/>
            <w:tcBorders>
              <w:top w:val="nil"/>
              <w:left w:val="nil"/>
              <w:bottom w:val="nil"/>
              <w:right w:val="nil"/>
            </w:tcBorders>
            <w:shd w:val="clear" w:color="auto" w:fill="auto"/>
            <w:noWrap/>
            <w:vAlign w:val="center"/>
            <w:hideMark/>
          </w:tcPr>
          <w:p w14:paraId="4B3FB2A9"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7 354</w:t>
            </w:r>
          </w:p>
        </w:tc>
      </w:tr>
      <w:tr w:rsidR="00E76212" w:rsidRPr="009819F0" w14:paraId="23F38704" w14:textId="77777777" w:rsidTr="00D2560E">
        <w:trPr>
          <w:trHeight w:val="327"/>
        </w:trPr>
        <w:tc>
          <w:tcPr>
            <w:tcW w:w="4499" w:type="dxa"/>
            <w:tcBorders>
              <w:top w:val="nil"/>
              <w:left w:val="nil"/>
              <w:bottom w:val="nil"/>
              <w:right w:val="nil"/>
            </w:tcBorders>
            <w:shd w:val="clear" w:color="auto" w:fill="auto"/>
            <w:vAlign w:val="center"/>
            <w:hideMark/>
          </w:tcPr>
          <w:p w14:paraId="0E988D3F" w14:textId="77777777" w:rsidR="00E76212" w:rsidRPr="009819F0" w:rsidRDefault="00E76212" w:rsidP="00D2560E">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Rezerva na mzdy a poistné</w:t>
            </w:r>
          </w:p>
        </w:tc>
        <w:tc>
          <w:tcPr>
            <w:tcW w:w="1098" w:type="dxa"/>
            <w:tcBorders>
              <w:top w:val="nil"/>
              <w:left w:val="nil"/>
              <w:bottom w:val="nil"/>
              <w:right w:val="nil"/>
            </w:tcBorders>
            <w:shd w:val="clear" w:color="auto" w:fill="auto"/>
            <w:noWrap/>
            <w:vAlign w:val="center"/>
            <w:hideMark/>
          </w:tcPr>
          <w:p w14:paraId="0D6F5247"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187 662</w:t>
            </w:r>
          </w:p>
        </w:tc>
        <w:tc>
          <w:tcPr>
            <w:tcW w:w="1082" w:type="dxa"/>
            <w:tcBorders>
              <w:top w:val="nil"/>
              <w:left w:val="nil"/>
              <w:bottom w:val="nil"/>
              <w:right w:val="nil"/>
            </w:tcBorders>
            <w:shd w:val="clear" w:color="auto" w:fill="auto"/>
            <w:noWrap/>
            <w:vAlign w:val="center"/>
            <w:hideMark/>
          </w:tcPr>
          <w:p w14:paraId="02B41D9A"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190 144</w:t>
            </w:r>
          </w:p>
        </w:tc>
        <w:tc>
          <w:tcPr>
            <w:tcW w:w="1257" w:type="dxa"/>
            <w:tcBorders>
              <w:top w:val="nil"/>
              <w:left w:val="nil"/>
              <w:bottom w:val="nil"/>
              <w:right w:val="nil"/>
            </w:tcBorders>
            <w:shd w:val="clear" w:color="auto" w:fill="auto"/>
            <w:noWrap/>
            <w:vAlign w:val="center"/>
            <w:hideMark/>
          </w:tcPr>
          <w:p w14:paraId="52E04C13"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189 924</w:t>
            </w:r>
          </w:p>
        </w:tc>
        <w:tc>
          <w:tcPr>
            <w:tcW w:w="1152" w:type="dxa"/>
            <w:tcBorders>
              <w:top w:val="nil"/>
              <w:left w:val="nil"/>
              <w:bottom w:val="nil"/>
              <w:right w:val="nil"/>
            </w:tcBorders>
            <w:shd w:val="clear" w:color="auto" w:fill="auto"/>
            <w:noWrap/>
            <w:vAlign w:val="center"/>
            <w:hideMark/>
          </w:tcPr>
          <w:p w14:paraId="01D3586A"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220</w:t>
            </w:r>
          </w:p>
        </w:tc>
      </w:tr>
      <w:tr w:rsidR="00E76212" w:rsidRPr="009819F0" w14:paraId="623FFDA4" w14:textId="77777777" w:rsidTr="00D2560E">
        <w:trPr>
          <w:trHeight w:val="327"/>
        </w:trPr>
        <w:tc>
          <w:tcPr>
            <w:tcW w:w="4499" w:type="dxa"/>
            <w:tcBorders>
              <w:top w:val="nil"/>
              <w:left w:val="nil"/>
              <w:bottom w:val="nil"/>
              <w:right w:val="nil"/>
            </w:tcBorders>
            <w:shd w:val="clear" w:color="auto" w:fill="auto"/>
            <w:vAlign w:val="center"/>
            <w:hideMark/>
          </w:tcPr>
          <w:p w14:paraId="508F7A3F" w14:textId="77777777" w:rsidR="00E76212" w:rsidRPr="009819F0" w:rsidRDefault="00E76212" w:rsidP="00D2560E">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Rezerva na výdavky súvisiace s vojnovým konfliktom na Ukrajine</w:t>
            </w:r>
          </w:p>
        </w:tc>
        <w:tc>
          <w:tcPr>
            <w:tcW w:w="1098" w:type="dxa"/>
            <w:tcBorders>
              <w:top w:val="nil"/>
              <w:left w:val="nil"/>
              <w:bottom w:val="nil"/>
              <w:right w:val="nil"/>
            </w:tcBorders>
            <w:shd w:val="clear" w:color="auto" w:fill="auto"/>
            <w:noWrap/>
            <w:vAlign w:val="center"/>
            <w:hideMark/>
          </w:tcPr>
          <w:p w14:paraId="2B51B2E8"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100 000</w:t>
            </w:r>
          </w:p>
        </w:tc>
        <w:tc>
          <w:tcPr>
            <w:tcW w:w="1082" w:type="dxa"/>
            <w:tcBorders>
              <w:top w:val="nil"/>
              <w:left w:val="nil"/>
              <w:bottom w:val="nil"/>
              <w:right w:val="nil"/>
            </w:tcBorders>
            <w:shd w:val="clear" w:color="auto" w:fill="auto"/>
            <w:noWrap/>
            <w:vAlign w:val="center"/>
            <w:hideMark/>
          </w:tcPr>
          <w:p w14:paraId="784936F5"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110 000</w:t>
            </w:r>
          </w:p>
        </w:tc>
        <w:tc>
          <w:tcPr>
            <w:tcW w:w="1257" w:type="dxa"/>
            <w:tcBorders>
              <w:top w:val="nil"/>
              <w:left w:val="nil"/>
              <w:bottom w:val="nil"/>
              <w:right w:val="nil"/>
            </w:tcBorders>
            <w:shd w:val="clear" w:color="auto" w:fill="auto"/>
            <w:noWrap/>
            <w:vAlign w:val="center"/>
            <w:hideMark/>
          </w:tcPr>
          <w:p w14:paraId="2BCE5C8D"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107 015</w:t>
            </w:r>
          </w:p>
        </w:tc>
        <w:tc>
          <w:tcPr>
            <w:tcW w:w="1152" w:type="dxa"/>
            <w:tcBorders>
              <w:top w:val="nil"/>
              <w:left w:val="nil"/>
              <w:bottom w:val="nil"/>
              <w:right w:val="nil"/>
            </w:tcBorders>
            <w:shd w:val="clear" w:color="auto" w:fill="auto"/>
            <w:noWrap/>
            <w:vAlign w:val="center"/>
            <w:hideMark/>
          </w:tcPr>
          <w:p w14:paraId="26C15754"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2 985</w:t>
            </w:r>
          </w:p>
        </w:tc>
      </w:tr>
      <w:tr w:rsidR="00E76212" w:rsidRPr="009819F0" w14:paraId="3BBFB7F1" w14:textId="77777777" w:rsidTr="00D2560E">
        <w:trPr>
          <w:trHeight w:val="327"/>
        </w:trPr>
        <w:tc>
          <w:tcPr>
            <w:tcW w:w="4499" w:type="dxa"/>
            <w:tcBorders>
              <w:top w:val="nil"/>
              <w:left w:val="nil"/>
              <w:bottom w:val="nil"/>
              <w:right w:val="nil"/>
            </w:tcBorders>
            <w:shd w:val="clear" w:color="auto" w:fill="auto"/>
            <w:vAlign w:val="center"/>
            <w:hideMark/>
          </w:tcPr>
          <w:p w14:paraId="4BF26B66" w14:textId="77777777" w:rsidR="00E76212" w:rsidRPr="009819F0" w:rsidRDefault="00E76212" w:rsidP="00D2560E">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Rezerva na kompenzačné opatrenia súvisiace s rastom cien energií</w:t>
            </w:r>
          </w:p>
        </w:tc>
        <w:tc>
          <w:tcPr>
            <w:tcW w:w="1098" w:type="dxa"/>
            <w:tcBorders>
              <w:top w:val="nil"/>
              <w:left w:val="nil"/>
              <w:bottom w:val="nil"/>
              <w:right w:val="nil"/>
            </w:tcBorders>
            <w:shd w:val="clear" w:color="auto" w:fill="auto"/>
            <w:noWrap/>
            <w:vAlign w:val="center"/>
            <w:hideMark/>
          </w:tcPr>
          <w:p w14:paraId="2E0EF455"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860 000</w:t>
            </w:r>
          </w:p>
        </w:tc>
        <w:tc>
          <w:tcPr>
            <w:tcW w:w="1082" w:type="dxa"/>
            <w:tcBorders>
              <w:top w:val="nil"/>
              <w:left w:val="nil"/>
              <w:bottom w:val="nil"/>
              <w:right w:val="nil"/>
            </w:tcBorders>
            <w:shd w:val="clear" w:color="auto" w:fill="auto"/>
            <w:noWrap/>
            <w:vAlign w:val="center"/>
            <w:hideMark/>
          </w:tcPr>
          <w:p w14:paraId="0EC03746"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1 718 716</w:t>
            </w:r>
          </w:p>
        </w:tc>
        <w:tc>
          <w:tcPr>
            <w:tcW w:w="1257" w:type="dxa"/>
            <w:tcBorders>
              <w:top w:val="nil"/>
              <w:left w:val="nil"/>
              <w:bottom w:val="nil"/>
              <w:right w:val="nil"/>
            </w:tcBorders>
            <w:shd w:val="clear" w:color="auto" w:fill="auto"/>
            <w:noWrap/>
            <w:vAlign w:val="center"/>
            <w:hideMark/>
          </w:tcPr>
          <w:p w14:paraId="7F153C76"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1 718 716</w:t>
            </w:r>
          </w:p>
        </w:tc>
        <w:tc>
          <w:tcPr>
            <w:tcW w:w="1152" w:type="dxa"/>
            <w:tcBorders>
              <w:top w:val="nil"/>
              <w:left w:val="nil"/>
              <w:bottom w:val="nil"/>
              <w:right w:val="nil"/>
            </w:tcBorders>
            <w:shd w:val="clear" w:color="auto" w:fill="auto"/>
            <w:noWrap/>
            <w:vAlign w:val="center"/>
            <w:hideMark/>
          </w:tcPr>
          <w:p w14:paraId="6CBD785F"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0</w:t>
            </w:r>
          </w:p>
        </w:tc>
      </w:tr>
      <w:tr w:rsidR="00E76212" w:rsidRPr="009819F0" w14:paraId="5EBC85B6" w14:textId="77777777" w:rsidTr="00D2560E">
        <w:trPr>
          <w:trHeight w:val="372"/>
        </w:trPr>
        <w:tc>
          <w:tcPr>
            <w:tcW w:w="4499" w:type="dxa"/>
            <w:tcBorders>
              <w:top w:val="single" w:sz="4" w:space="0" w:color="auto"/>
              <w:left w:val="nil"/>
              <w:bottom w:val="single" w:sz="4" w:space="0" w:color="auto"/>
              <w:right w:val="nil"/>
            </w:tcBorders>
            <w:shd w:val="clear" w:color="auto" w:fill="auto"/>
            <w:vAlign w:val="center"/>
            <w:hideMark/>
          </w:tcPr>
          <w:p w14:paraId="450073E3" w14:textId="77777777" w:rsidR="00E76212" w:rsidRPr="009819F0" w:rsidRDefault="00E76212" w:rsidP="00D2560E">
            <w:pPr>
              <w:spacing w:after="0" w:line="240" w:lineRule="auto"/>
              <w:rPr>
                <w:rFonts w:eastAsia="Times New Roman" w:cs="Times New Roman"/>
                <w:b/>
                <w:bCs/>
                <w:sz w:val="18"/>
                <w:szCs w:val="18"/>
                <w:lang w:eastAsia="sk-SK"/>
              </w:rPr>
            </w:pPr>
            <w:r w:rsidRPr="009819F0">
              <w:rPr>
                <w:rFonts w:eastAsia="Times New Roman" w:cs="Times New Roman"/>
                <w:b/>
                <w:bCs/>
                <w:sz w:val="18"/>
                <w:szCs w:val="18"/>
                <w:lang w:eastAsia="sk-SK"/>
              </w:rPr>
              <w:t>Spolu</w:t>
            </w:r>
          </w:p>
        </w:tc>
        <w:tc>
          <w:tcPr>
            <w:tcW w:w="1098" w:type="dxa"/>
            <w:tcBorders>
              <w:top w:val="single" w:sz="4" w:space="0" w:color="auto"/>
              <w:left w:val="nil"/>
              <w:bottom w:val="single" w:sz="4" w:space="0" w:color="auto"/>
              <w:right w:val="nil"/>
            </w:tcBorders>
            <w:shd w:val="clear" w:color="auto" w:fill="auto"/>
            <w:noWrap/>
            <w:vAlign w:val="center"/>
            <w:hideMark/>
          </w:tcPr>
          <w:p w14:paraId="3D6AB56A" w14:textId="77777777" w:rsidR="00E76212" w:rsidRPr="009819F0" w:rsidRDefault="00E76212" w:rsidP="00D2560E">
            <w:pPr>
              <w:spacing w:after="0" w:line="240" w:lineRule="auto"/>
              <w:jc w:val="right"/>
              <w:rPr>
                <w:rFonts w:eastAsia="Times New Roman" w:cs="Times New Roman"/>
                <w:b/>
                <w:bCs/>
                <w:sz w:val="18"/>
                <w:szCs w:val="18"/>
                <w:lang w:eastAsia="sk-SK"/>
              </w:rPr>
            </w:pPr>
            <w:r w:rsidRPr="009819F0">
              <w:rPr>
                <w:rFonts w:eastAsia="Times New Roman" w:cs="Times New Roman"/>
                <w:b/>
                <w:bCs/>
                <w:sz w:val="18"/>
                <w:szCs w:val="18"/>
                <w:lang w:eastAsia="sk-SK"/>
              </w:rPr>
              <w:t>2 448 024</w:t>
            </w:r>
          </w:p>
        </w:tc>
        <w:tc>
          <w:tcPr>
            <w:tcW w:w="1082" w:type="dxa"/>
            <w:tcBorders>
              <w:top w:val="single" w:sz="4" w:space="0" w:color="auto"/>
              <w:left w:val="nil"/>
              <w:bottom w:val="single" w:sz="4" w:space="0" w:color="auto"/>
              <w:right w:val="nil"/>
            </w:tcBorders>
            <w:shd w:val="clear" w:color="auto" w:fill="auto"/>
            <w:noWrap/>
            <w:vAlign w:val="center"/>
            <w:hideMark/>
          </w:tcPr>
          <w:p w14:paraId="41BE7734" w14:textId="77777777" w:rsidR="00E76212" w:rsidRPr="009819F0" w:rsidRDefault="00E76212" w:rsidP="00D2560E">
            <w:pPr>
              <w:spacing w:after="0" w:line="240" w:lineRule="auto"/>
              <w:jc w:val="right"/>
              <w:rPr>
                <w:rFonts w:eastAsia="Times New Roman" w:cs="Times New Roman"/>
                <w:b/>
                <w:bCs/>
                <w:sz w:val="18"/>
                <w:szCs w:val="18"/>
                <w:lang w:eastAsia="sk-SK"/>
              </w:rPr>
            </w:pPr>
            <w:r w:rsidRPr="009819F0">
              <w:rPr>
                <w:rFonts w:eastAsia="Times New Roman" w:cs="Times New Roman"/>
                <w:b/>
                <w:bCs/>
                <w:sz w:val="18"/>
                <w:szCs w:val="18"/>
                <w:lang w:eastAsia="sk-SK"/>
              </w:rPr>
              <w:t>4 335 337</w:t>
            </w:r>
          </w:p>
        </w:tc>
        <w:tc>
          <w:tcPr>
            <w:tcW w:w="1257" w:type="dxa"/>
            <w:tcBorders>
              <w:top w:val="single" w:sz="4" w:space="0" w:color="auto"/>
              <w:left w:val="nil"/>
              <w:bottom w:val="single" w:sz="4" w:space="0" w:color="auto"/>
              <w:right w:val="nil"/>
            </w:tcBorders>
            <w:shd w:val="clear" w:color="auto" w:fill="auto"/>
            <w:noWrap/>
            <w:vAlign w:val="center"/>
            <w:hideMark/>
          </w:tcPr>
          <w:p w14:paraId="42EFDB9C" w14:textId="77777777" w:rsidR="00E76212" w:rsidRPr="009819F0" w:rsidRDefault="00E76212" w:rsidP="00D2560E">
            <w:pPr>
              <w:spacing w:after="0" w:line="240" w:lineRule="auto"/>
              <w:jc w:val="right"/>
              <w:rPr>
                <w:rFonts w:eastAsia="Times New Roman" w:cs="Times New Roman"/>
                <w:b/>
                <w:bCs/>
                <w:sz w:val="18"/>
                <w:szCs w:val="18"/>
                <w:lang w:eastAsia="sk-SK"/>
              </w:rPr>
            </w:pPr>
            <w:r w:rsidRPr="009819F0">
              <w:rPr>
                <w:rFonts w:eastAsia="Times New Roman" w:cs="Times New Roman"/>
                <w:b/>
                <w:bCs/>
                <w:sz w:val="18"/>
                <w:szCs w:val="18"/>
                <w:lang w:eastAsia="sk-SK"/>
              </w:rPr>
              <w:t>4 308 923</w:t>
            </w:r>
          </w:p>
        </w:tc>
        <w:tc>
          <w:tcPr>
            <w:tcW w:w="1152" w:type="dxa"/>
            <w:tcBorders>
              <w:top w:val="single" w:sz="4" w:space="0" w:color="auto"/>
              <w:left w:val="nil"/>
              <w:bottom w:val="single" w:sz="4" w:space="0" w:color="auto"/>
              <w:right w:val="nil"/>
            </w:tcBorders>
            <w:shd w:val="clear" w:color="auto" w:fill="auto"/>
            <w:noWrap/>
            <w:vAlign w:val="center"/>
            <w:hideMark/>
          </w:tcPr>
          <w:p w14:paraId="06C8C1B9" w14:textId="77777777" w:rsidR="00E76212" w:rsidRPr="009819F0" w:rsidRDefault="00E76212" w:rsidP="00D2560E">
            <w:pPr>
              <w:spacing w:after="0" w:line="240" w:lineRule="auto"/>
              <w:jc w:val="right"/>
              <w:rPr>
                <w:rFonts w:eastAsia="Times New Roman" w:cs="Times New Roman"/>
                <w:b/>
                <w:bCs/>
                <w:sz w:val="18"/>
                <w:szCs w:val="18"/>
                <w:lang w:eastAsia="sk-SK"/>
              </w:rPr>
            </w:pPr>
            <w:r w:rsidRPr="009819F0">
              <w:rPr>
                <w:rFonts w:eastAsia="Times New Roman" w:cs="Times New Roman"/>
                <w:b/>
                <w:bCs/>
                <w:sz w:val="18"/>
                <w:szCs w:val="18"/>
                <w:lang w:eastAsia="sk-SK"/>
              </w:rPr>
              <w:t>26 414</w:t>
            </w:r>
          </w:p>
        </w:tc>
      </w:tr>
      <w:tr w:rsidR="00E76212" w:rsidRPr="009819F0" w14:paraId="7BDD0945" w14:textId="77777777" w:rsidTr="00D2560E">
        <w:trPr>
          <w:trHeight w:val="100"/>
        </w:trPr>
        <w:tc>
          <w:tcPr>
            <w:tcW w:w="6679" w:type="dxa"/>
            <w:gridSpan w:val="3"/>
            <w:tcBorders>
              <w:top w:val="nil"/>
              <w:left w:val="nil"/>
              <w:bottom w:val="nil"/>
              <w:right w:val="nil"/>
            </w:tcBorders>
            <w:shd w:val="clear" w:color="auto" w:fill="auto"/>
            <w:noWrap/>
            <w:vAlign w:val="center"/>
            <w:hideMark/>
          </w:tcPr>
          <w:p w14:paraId="0162771B" w14:textId="77777777" w:rsidR="00E76212" w:rsidRPr="009819F0" w:rsidRDefault="00E76212" w:rsidP="00D2560E">
            <w:pPr>
              <w:spacing w:after="0" w:line="240" w:lineRule="auto"/>
              <w:rPr>
                <w:rFonts w:eastAsia="Times New Roman" w:cs="Times New Roman"/>
                <w:iCs/>
                <w:sz w:val="18"/>
                <w:szCs w:val="18"/>
                <w:lang w:eastAsia="sk-SK"/>
              </w:rPr>
            </w:pPr>
          </w:p>
        </w:tc>
        <w:tc>
          <w:tcPr>
            <w:tcW w:w="2409" w:type="dxa"/>
            <w:gridSpan w:val="2"/>
            <w:tcBorders>
              <w:top w:val="nil"/>
              <w:left w:val="nil"/>
              <w:bottom w:val="nil"/>
              <w:right w:val="nil"/>
            </w:tcBorders>
            <w:shd w:val="clear" w:color="auto" w:fill="auto"/>
            <w:noWrap/>
            <w:vAlign w:val="bottom"/>
            <w:hideMark/>
          </w:tcPr>
          <w:p w14:paraId="397FEE12" w14:textId="77777777" w:rsidR="00E76212" w:rsidRPr="009819F0" w:rsidRDefault="00E76212" w:rsidP="00D2560E">
            <w:pPr>
              <w:tabs>
                <w:tab w:val="right" w:pos="2106"/>
              </w:tabs>
              <w:spacing w:after="0" w:line="240" w:lineRule="auto"/>
              <w:jc w:val="right"/>
              <w:rPr>
                <w:rFonts w:eastAsia="Times New Roman" w:cs="Times New Roman"/>
                <w:iCs/>
                <w:sz w:val="18"/>
                <w:szCs w:val="18"/>
                <w:lang w:eastAsia="sk-SK"/>
              </w:rPr>
            </w:pPr>
            <w:r w:rsidRPr="009819F0">
              <w:rPr>
                <w:rFonts w:eastAsia="Times New Roman" w:cs="Times New Roman"/>
                <w:iCs/>
                <w:sz w:val="18"/>
                <w:szCs w:val="18"/>
                <w:lang w:eastAsia="sk-SK"/>
              </w:rPr>
              <w:t>Zdroj: MF SR, ÚV SR</w:t>
            </w:r>
          </w:p>
        </w:tc>
      </w:tr>
      <w:tr w:rsidR="00E76212" w:rsidRPr="0035337C" w14:paraId="090805C1" w14:textId="77777777" w:rsidTr="00D2560E">
        <w:trPr>
          <w:trHeight w:val="327"/>
        </w:trPr>
        <w:tc>
          <w:tcPr>
            <w:tcW w:w="7936" w:type="dxa"/>
            <w:gridSpan w:val="4"/>
            <w:tcBorders>
              <w:top w:val="nil"/>
              <w:left w:val="nil"/>
              <w:bottom w:val="nil"/>
              <w:right w:val="nil"/>
            </w:tcBorders>
            <w:shd w:val="clear" w:color="auto" w:fill="auto"/>
            <w:noWrap/>
            <w:vAlign w:val="center"/>
            <w:hideMark/>
          </w:tcPr>
          <w:p w14:paraId="69B99479" w14:textId="77777777" w:rsidR="00E76212" w:rsidRPr="0035337C" w:rsidRDefault="00E76212" w:rsidP="00D2560E">
            <w:pPr>
              <w:spacing w:after="0" w:line="240" w:lineRule="auto"/>
              <w:rPr>
                <w:rFonts w:eastAsia="Times New Roman" w:cs="Times New Roman"/>
                <w:iCs/>
                <w:sz w:val="16"/>
                <w:szCs w:val="16"/>
                <w:lang w:eastAsia="sk-SK"/>
              </w:rPr>
            </w:pPr>
            <w:r w:rsidRPr="0035337C">
              <w:rPr>
                <w:rFonts w:eastAsia="Times New Roman" w:cs="Times New Roman"/>
                <w:iCs/>
                <w:sz w:val="16"/>
                <w:szCs w:val="16"/>
                <w:lang w:eastAsia="sk-SK"/>
              </w:rPr>
              <w:t>* Upravený rozpočet predstavuje celkový disponibilný zdroj prostriedkov jednotlivých rezerv v roku 2023</w:t>
            </w:r>
          </w:p>
          <w:p w14:paraId="0F81E244" w14:textId="77777777" w:rsidR="00E76212" w:rsidRPr="0035337C" w:rsidRDefault="00E76212" w:rsidP="00D2560E">
            <w:pPr>
              <w:spacing w:after="0" w:line="240" w:lineRule="auto"/>
              <w:rPr>
                <w:rFonts w:eastAsia="Times New Roman" w:cs="Times New Roman"/>
                <w:iCs/>
                <w:sz w:val="16"/>
                <w:szCs w:val="16"/>
                <w:lang w:eastAsia="sk-SK"/>
              </w:rPr>
            </w:pPr>
            <w:r w:rsidRPr="0035337C">
              <w:rPr>
                <w:rFonts w:eastAsia="Times New Roman" w:cs="Times New Roman"/>
                <w:iCs/>
                <w:sz w:val="16"/>
                <w:szCs w:val="16"/>
                <w:lang w:eastAsia="sk-SK"/>
              </w:rPr>
              <w:t>** Zohľadňuje uvoľnenie prostriedkov prostredníctvom rozpočtových opatrení a platobných príkazov.</w:t>
            </w:r>
          </w:p>
        </w:tc>
        <w:tc>
          <w:tcPr>
            <w:tcW w:w="1152" w:type="dxa"/>
            <w:tcBorders>
              <w:top w:val="nil"/>
              <w:left w:val="nil"/>
              <w:bottom w:val="nil"/>
              <w:right w:val="nil"/>
            </w:tcBorders>
            <w:shd w:val="clear" w:color="auto" w:fill="auto"/>
            <w:noWrap/>
            <w:vAlign w:val="bottom"/>
            <w:hideMark/>
          </w:tcPr>
          <w:p w14:paraId="04D20B4C" w14:textId="77777777" w:rsidR="00E76212" w:rsidRPr="0035337C" w:rsidRDefault="00E76212" w:rsidP="00D2560E">
            <w:pPr>
              <w:spacing w:after="0" w:line="240" w:lineRule="auto"/>
              <w:rPr>
                <w:rFonts w:eastAsia="Times New Roman" w:cs="Times New Roman"/>
                <w:iCs/>
                <w:sz w:val="16"/>
                <w:szCs w:val="16"/>
                <w:lang w:eastAsia="sk-SK"/>
              </w:rPr>
            </w:pPr>
          </w:p>
        </w:tc>
      </w:tr>
    </w:tbl>
    <w:p w14:paraId="13D177DC" w14:textId="77777777" w:rsidR="00E76212" w:rsidRDefault="00E76212" w:rsidP="00E76212">
      <w:pPr>
        <w:tabs>
          <w:tab w:val="left" w:pos="0"/>
          <w:tab w:val="left" w:pos="720"/>
          <w:tab w:val="left" w:pos="1440"/>
          <w:tab w:val="left" w:pos="2160"/>
          <w:tab w:val="left" w:pos="2880"/>
          <w:tab w:val="left" w:pos="3600"/>
          <w:tab w:val="left" w:pos="4320"/>
        </w:tabs>
        <w:adjustRightInd w:val="0"/>
        <w:spacing w:after="0" w:line="240" w:lineRule="auto"/>
        <w:rPr>
          <w:rFonts w:cs="Times New Roman"/>
          <w:b/>
          <w:iCs/>
          <w:szCs w:val="24"/>
        </w:rPr>
      </w:pPr>
    </w:p>
    <w:p w14:paraId="65EFF5FB" w14:textId="77777777" w:rsidR="00E76212" w:rsidRPr="00C97ADB" w:rsidRDefault="00E76212" w:rsidP="00E76212">
      <w:pPr>
        <w:spacing w:line="240" w:lineRule="auto"/>
        <w:rPr>
          <w:rFonts w:eastAsia="Calibri" w:cs="Times New Roman"/>
          <w:sz w:val="24"/>
          <w:szCs w:val="24"/>
          <w:lang w:eastAsia="cs-CZ"/>
        </w:rPr>
      </w:pPr>
      <w:r w:rsidRPr="00C97ADB">
        <w:rPr>
          <w:rFonts w:eastAsia="Calibri" w:cs="Times New Roman"/>
          <w:sz w:val="24"/>
          <w:szCs w:val="24"/>
          <w:lang w:eastAsia="cs-CZ"/>
        </w:rPr>
        <w:t>Podľa čl. 12 ods. 5. písm. b) ústavného zákona č. 493/2011 Z. z. o rozpočtovej zodpovednosti nebolo možné v období od 5. mája 2023 do schválenia programového vyhlásenia vlády a vyslovenia dôvery vláde 13. novembra 2023 poskytovať prostriedky z rezervy predsedu vlády a z rezervy vlády. Uvedené ustanovenie zákona bolo dodržané.</w:t>
      </w:r>
    </w:p>
    <w:p w14:paraId="41BC8DD4" w14:textId="77777777" w:rsidR="00E76212" w:rsidRPr="002F73F1"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cs="Times New Roman"/>
          <w:b/>
          <w:iCs/>
          <w:sz w:val="24"/>
          <w:szCs w:val="24"/>
        </w:rPr>
      </w:pPr>
      <w:r w:rsidRPr="002F73F1">
        <w:rPr>
          <w:rFonts w:cs="Times New Roman"/>
          <w:b/>
          <w:iCs/>
          <w:sz w:val="24"/>
          <w:szCs w:val="24"/>
        </w:rPr>
        <w:t>Rezerva vlády</w:t>
      </w:r>
    </w:p>
    <w:p w14:paraId="7999CA37" w14:textId="77777777" w:rsidR="00E76212" w:rsidRPr="00CA173A" w:rsidRDefault="00E76212" w:rsidP="00E76212">
      <w:pPr>
        <w:spacing w:line="240" w:lineRule="auto"/>
        <w:rPr>
          <w:rFonts w:eastAsia="Calibri" w:cs="Times New Roman"/>
          <w:sz w:val="24"/>
          <w:szCs w:val="24"/>
          <w:lang w:eastAsia="cs-CZ"/>
        </w:rPr>
      </w:pPr>
      <w:r w:rsidRPr="00CA173A">
        <w:rPr>
          <w:rFonts w:eastAsia="Calibri" w:cs="Times New Roman"/>
          <w:sz w:val="24"/>
          <w:szCs w:val="24"/>
          <w:lang w:eastAsia="cs-CZ"/>
        </w:rPr>
        <w:t>Z rozpočtovanej rezervy v sume 5</w:t>
      </w:r>
      <w:r>
        <w:rPr>
          <w:rFonts w:eastAsia="Calibri" w:cs="Times New Roman"/>
          <w:sz w:val="24"/>
          <w:szCs w:val="24"/>
          <w:lang w:eastAsia="cs-CZ"/>
        </w:rPr>
        <w:t> </w:t>
      </w:r>
      <w:r w:rsidRPr="00CA173A">
        <w:rPr>
          <w:rFonts w:eastAsia="Calibri" w:cs="Times New Roman"/>
          <w:sz w:val="24"/>
          <w:szCs w:val="24"/>
          <w:lang w:eastAsia="cs-CZ"/>
        </w:rPr>
        <w:t>000</w:t>
      </w:r>
      <w:r>
        <w:rPr>
          <w:rFonts w:eastAsia="Calibri" w:cs="Times New Roman"/>
          <w:sz w:val="24"/>
          <w:szCs w:val="24"/>
          <w:lang w:eastAsia="cs-CZ"/>
        </w:rPr>
        <w:t> </w:t>
      </w:r>
      <w:r w:rsidRPr="00CA173A">
        <w:rPr>
          <w:rFonts w:eastAsia="Calibri" w:cs="Times New Roman"/>
          <w:sz w:val="24"/>
          <w:szCs w:val="24"/>
          <w:lang w:eastAsia="cs-CZ"/>
        </w:rPr>
        <w:t>tis.</w:t>
      </w:r>
      <w:r>
        <w:rPr>
          <w:rFonts w:eastAsia="Calibri" w:cs="Times New Roman"/>
          <w:sz w:val="24"/>
          <w:szCs w:val="24"/>
          <w:lang w:eastAsia="cs-CZ"/>
        </w:rPr>
        <w:t> </w:t>
      </w:r>
      <w:r w:rsidRPr="00CA173A">
        <w:rPr>
          <w:rFonts w:eastAsia="Calibri" w:cs="Times New Roman"/>
          <w:sz w:val="24"/>
          <w:szCs w:val="24"/>
          <w:lang w:eastAsia="cs-CZ"/>
        </w:rPr>
        <w:t>eur sa uvoľnili prostriedky v sume 4</w:t>
      </w:r>
      <w:r>
        <w:rPr>
          <w:rFonts w:eastAsia="Calibri" w:cs="Times New Roman"/>
          <w:sz w:val="24"/>
          <w:szCs w:val="24"/>
          <w:lang w:eastAsia="cs-CZ"/>
        </w:rPr>
        <w:t> </w:t>
      </w:r>
      <w:r w:rsidRPr="00CA173A">
        <w:rPr>
          <w:rFonts w:eastAsia="Calibri" w:cs="Times New Roman"/>
          <w:sz w:val="24"/>
          <w:szCs w:val="24"/>
          <w:lang w:eastAsia="cs-CZ"/>
        </w:rPr>
        <w:t>120</w:t>
      </w:r>
      <w:r>
        <w:rPr>
          <w:rFonts w:eastAsia="Calibri" w:cs="Times New Roman"/>
          <w:sz w:val="24"/>
          <w:szCs w:val="24"/>
          <w:lang w:eastAsia="cs-CZ"/>
        </w:rPr>
        <w:t> </w:t>
      </w:r>
      <w:r w:rsidRPr="00CA173A">
        <w:rPr>
          <w:rFonts w:eastAsia="Calibri" w:cs="Times New Roman"/>
          <w:sz w:val="24"/>
          <w:szCs w:val="24"/>
          <w:lang w:eastAsia="cs-CZ"/>
        </w:rPr>
        <w:t>tis.</w:t>
      </w:r>
      <w:r>
        <w:rPr>
          <w:rFonts w:eastAsia="Calibri" w:cs="Times New Roman"/>
          <w:sz w:val="24"/>
          <w:szCs w:val="24"/>
          <w:lang w:eastAsia="cs-CZ"/>
        </w:rPr>
        <w:t> </w:t>
      </w:r>
      <w:r w:rsidRPr="00CA173A">
        <w:rPr>
          <w:rFonts w:eastAsia="Calibri" w:cs="Times New Roman"/>
          <w:sz w:val="24"/>
          <w:szCs w:val="24"/>
          <w:lang w:eastAsia="cs-CZ"/>
        </w:rPr>
        <w:t>eur a nevyčerpaný zostatok predstavuje sumu 880</w:t>
      </w:r>
      <w:r>
        <w:rPr>
          <w:rFonts w:eastAsia="Calibri" w:cs="Times New Roman"/>
          <w:sz w:val="24"/>
          <w:szCs w:val="24"/>
          <w:lang w:eastAsia="cs-CZ"/>
        </w:rPr>
        <w:t> </w:t>
      </w:r>
      <w:r w:rsidRPr="00CA173A">
        <w:rPr>
          <w:rFonts w:eastAsia="Calibri" w:cs="Times New Roman"/>
          <w:sz w:val="24"/>
          <w:szCs w:val="24"/>
          <w:lang w:eastAsia="cs-CZ"/>
        </w:rPr>
        <w:t>tis.</w:t>
      </w:r>
      <w:r>
        <w:rPr>
          <w:rFonts w:eastAsia="Calibri" w:cs="Times New Roman"/>
          <w:sz w:val="24"/>
          <w:szCs w:val="24"/>
          <w:lang w:eastAsia="cs-CZ"/>
        </w:rPr>
        <w:t> </w:t>
      </w:r>
      <w:r w:rsidRPr="00CA173A">
        <w:rPr>
          <w:rFonts w:eastAsia="Calibri" w:cs="Times New Roman"/>
          <w:sz w:val="24"/>
          <w:szCs w:val="24"/>
          <w:lang w:eastAsia="cs-CZ"/>
        </w:rPr>
        <w:t>eur.</w:t>
      </w:r>
    </w:p>
    <w:p w14:paraId="1BEF95C5" w14:textId="36A5DBB4" w:rsidR="00E76212" w:rsidRDefault="00E76212" w:rsidP="00E76212">
      <w:pPr>
        <w:spacing w:line="240" w:lineRule="auto"/>
        <w:rPr>
          <w:rFonts w:eastAsia="Calibri" w:cs="Times New Roman"/>
          <w:sz w:val="24"/>
          <w:szCs w:val="24"/>
          <w:lang w:eastAsia="cs-CZ"/>
        </w:rPr>
      </w:pPr>
      <w:r w:rsidRPr="00CA173A">
        <w:rPr>
          <w:rFonts w:eastAsia="Calibri" w:cs="Times New Roman"/>
          <w:sz w:val="24"/>
          <w:szCs w:val="24"/>
          <w:lang w:eastAsia="cs-CZ"/>
        </w:rPr>
        <w:t xml:space="preserve">Podrobné informácie o uvoľnených prostriedkoch sú prezentované v </w:t>
      </w:r>
      <w:r w:rsidRPr="00DD022A">
        <w:rPr>
          <w:rFonts w:eastAsia="Calibri" w:cs="Times New Roman"/>
          <w:sz w:val="24"/>
          <w:szCs w:val="24"/>
          <w:lang w:eastAsia="cs-CZ"/>
        </w:rPr>
        <w:t xml:space="preserve">Tabuľke </w:t>
      </w:r>
      <w:r w:rsidR="00DD022A">
        <w:rPr>
          <w:rFonts w:eastAsia="Calibri" w:cs="Times New Roman"/>
          <w:sz w:val="24"/>
          <w:szCs w:val="24"/>
          <w:lang w:eastAsia="cs-CZ"/>
        </w:rPr>
        <w:t>51</w:t>
      </w:r>
      <w:r w:rsidRPr="00CA173A">
        <w:rPr>
          <w:rFonts w:eastAsia="Calibri" w:cs="Times New Roman"/>
          <w:sz w:val="24"/>
          <w:szCs w:val="24"/>
          <w:lang w:eastAsia="cs-CZ"/>
        </w:rPr>
        <w:t>.</w:t>
      </w:r>
    </w:p>
    <w:p w14:paraId="3C1185F9" w14:textId="66869749" w:rsidR="00E76212" w:rsidRPr="00CA173A" w:rsidRDefault="00E76212" w:rsidP="00B41352">
      <w:pPr>
        <w:keepNext/>
        <w:spacing w:line="240" w:lineRule="auto"/>
        <w:rPr>
          <w:b/>
          <w:bCs/>
          <w:color w:val="5B9BD5"/>
          <w:sz w:val="20"/>
          <w:szCs w:val="20"/>
        </w:rPr>
      </w:pPr>
      <w:r w:rsidRPr="00CA173A">
        <w:rPr>
          <w:b/>
          <w:bCs/>
          <w:color w:val="5B9BD5"/>
          <w:sz w:val="20"/>
          <w:szCs w:val="20"/>
        </w:rPr>
        <w:t xml:space="preserve">Tabuľka </w:t>
      </w:r>
      <w:r w:rsidR="00DD022A">
        <w:rPr>
          <w:b/>
          <w:bCs/>
          <w:color w:val="5B9BD5"/>
          <w:sz w:val="20"/>
          <w:szCs w:val="20"/>
        </w:rPr>
        <w:t>51</w:t>
      </w:r>
      <w:r w:rsidRPr="00CA173A">
        <w:rPr>
          <w:b/>
          <w:bCs/>
          <w:color w:val="5B9BD5"/>
          <w:sz w:val="20"/>
          <w:szCs w:val="20"/>
        </w:rPr>
        <w:t xml:space="preserve"> - Rezerva vlády </w:t>
      </w:r>
    </w:p>
    <w:tbl>
      <w:tblPr>
        <w:tblW w:w="9062" w:type="dxa"/>
        <w:tblCellMar>
          <w:left w:w="70" w:type="dxa"/>
          <w:right w:w="70" w:type="dxa"/>
        </w:tblCellMar>
        <w:tblLook w:val="04A0" w:firstRow="1" w:lastRow="0" w:firstColumn="1" w:lastColumn="0" w:noHBand="0" w:noVBand="1"/>
      </w:tblPr>
      <w:tblGrid>
        <w:gridCol w:w="2268"/>
        <w:gridCol w:w="5387"/>
        <w:gridCol w:w="283"/>
        <w:gridCol w:w="1124"/>
      </w:tblGrid>
      <w:tr w:rsidR="00E76212" w:rsidRPr="009819F0" w14:paraId="7086875D" w14:textId="77777777" w:rsidTr="009819F0">
        <w:trPr>
          <w:cantSplit/>
          <w:trHeight w:val="330"/>
          <w:tblHeader/>
        </w:trPr>
        <w:tc>
          <w:tcPr>
            <w:tcW w:w="2268" w:type="dxa"/>
            <w:tcBorders>
              <w:top w:val="single" w:sz="4" w:space="0" w:color="auto"/>
              <w:left w:val="nil"/>
              <w:bottom w:val="single" w:sz="4" w:space="0" w:color="auto"/>
              <w:right w:val="nil"/>
            </w:tcBorders>
            <w:shd w:val="clear" w:color="auto" w:fill="auto"/>
            <w:vAlign w:val="center"/>
            <w:hideMark/>
          </w:tcPr>
          <w:p w14:paraId="074D8856" w14:textId="77777777" w:rsidR="00E76212" w:rsidRPr="009819F0" w:rsidRDefault="00E76212" w:rsidP="00D2560E">
            <w:pPr>
              <w:spacing w:after="0" w:line="240" w:lineRule="auto"/>
              <w:rPr>
                <w:rFonts w:eastAsia="Times New Roman" w:cs="Times New Roman"/>
                <w:b/>
                <w:bCs/>
                <w:sz w:val="18"/>
                <w:szCs w:val="18"/>
                <w:lang w:eastAsia="sk-SK"/>
              </w:rPr>
            </w:pPr>
            <w:r w:rsidRPr="009819F0">
              <w:rPr>
                <w:rFonts w:eastAsia="Times New Roman" w:cs="Times New Roman"/>
                <w:b/>
                <w:bCs/>
                <w:sz w:val="18"/>
                <w:szCs w:val="18"/>
                <w:lang w:eastAsia="sk-SK"/>
              </w:rPr>
              <w:t>Prijímateľ</w:t>
            </w:r>
          </w:p>
        </w:tc>
        <w:tc>
          <w:tcPr>
            <w:tcW w:w="5387" w:type="dxa"/>
            <w:tcBorders>
              <w:top w:val="single" w:sz="4" w:space="0" w:color="auto"/>
              <w:left w:val="nil"/>
              <w:bottom w:val="single" w:sz="4" w:space="0" w:color="auto"/>
              <w:right w:val="nil"/>
            </w:tcBorders>
            <w:shd w:val="clear" w:color="auto" w:fill="auto"/>
            <w:vAlign w:val="center"/>
            <w:hideMark/>
          </w:tcPr>
          <w:p w14:paraId="44740DC7" w14:textId="77777777" w:rsidR="00E76212" w:rsidRPr="009819F0" w:rsidRDefault="00E76212" w:rsidP="00D2560E">
            <w:pPr>
              <w:spacing w:after="0" w:line="240" w:lineRule="auto"/>
              <w:jc w:val="center"/>
              <w:rPr>
                <w:rFonts w:eastAsia="Times New Roman" w:cs="Times New Roman"/>
                <w:b/>
                <w:bCs/>
                <w:sz w:val="18"/>
                <w:szCs w:val="18"/>
                <w:lang w:eastAsia="sk-SK"/>
              </w:rPr>
            </w:pPr>
            <w:r w:rsidRPr="009819F0">
              <w:rPr>
                <w:rFonts w:eastAsia="Times New Roman" w:cs="Times New Roman"/>
                <w:b/>
                <w:bCs/>
                <w:sz w:val="18"/>
                <w:szCs w:val="18"/>
                <w:lang w:eastAsia="sk-SK"/>
              </w:rPr>
              <w:t>Účel</w:t>
            </w:r>
          </w:p>
        </w:tc>
        <w:tc>
          <w:tcPr>
            <w:tcW w:w="1407" w:type="dxa"/>
            <w:gridSpan w:val="2"/>
            <w:tcBorders>
              <w:top w:val="single" w:sz="4" w:space="0" w:color="auto"/>
              <w:left w:val="nil"/>
              <w:bottom w:val="single" w:sz="4" w:space="0" w:color="auto"/>
              <w:right w:val="nil"/>
            </w:tcBorders>
            <w:shd w:val="clear" w:color="auto" w:fill="auto"/>
            <w:vAlign w:val="center"/>
            <w:hideMark/>
          </w:tcPr>
          <w:p w14:paraId="33417086" w14:textId="77777777" w:rsidR="00E76212" w:rsidRPr="009819F0" w:rsidRDefault="00E76212" w:rsidP="00D2560E">
            <w:pPr>
              <w:spacing w:after="0" w:line="240" w:lineRule="auto"/>
              <w:jc w:val="right"/>
              <w:rPr>
                <w:rFonts w:eastAsia="Times New Roman" w:cs="Times New Roman"/>
                <w:b/>
                <w:bCs/>
                <w:sz w:val="18"/>
                <w:szCs w:val="18"/>
                <w:lang w:eastAsia="sk-SK"/>
              </w:rPr>
            </w:pPr>
            <w:r w:rsidRPr="009819F0">
              <w:rPr>
                <w:rFonts w:eastAsia="Times New Roman" w:cs="Times New Roman"/>
                <w:b/>
                <w:bCs/>
                <w:sz w:val="18"/>
                <w:szCs w:val="18"/>
                <w:lang w:eastAsia="sk-SK"/>
              </w:rPr>
              <w:t>Suma v tis. eur</w:t>
            </w:r>
          </w:p>
        </w:tc>
      </w:tr>
      <w:tr w:rsidR="00E76212" w:rsidRPr="009819F0" w14:paraId="5ABECB14" w14:textId="77777777" w:rsidTr="009819F0">
        <w:trPr>
          <w:trHeight w:val="703"/>
        </w:trPr>
        <w:tc>
          <w:tcPr>
            <w:tcW w:w="2268" w:type="dxa"/>
            <w:tcBorders>
              <w:top w:val="single" w:sz="4" w:space="0" w:color="auto"/>
              <w:left w:val="nil"/>
              <w:right w:val="nil"/>
            </w:tcBorders>
            <w:shd w:val="clear" w:color="auto" w:fill="auto"/>
            <w:vAlign w:val="center"/>
          </w:tcPr>
          <w:p w14:paraId="7403EDF2" w14:textId="581222C4" w:rsidR="00E76212" w:rsidRPr="009819F0" w:rsidRDefault="00E76212" w:rsidP="00536426">
            <w:pPr>
              <w:rPr>
                <w:rFonts w:cs="Times New Roman"/>
                <w:sz w:val="18"/>
                <w:szCs w:val="18"/>
              </w:rPr>
            </w:pPr>
            <w:r w:rsidRPr="009819F0">
              <w:rPr>
                <w:rFonts w:cs="Times New Roman"/>
                <w:sz w:val="18"/>
                <w:szCs w:val="18"/>
              </w:rPr>
              <w:t>Mesto Banská Štiavnica</w:t>
            </w:r>
          </w:p>
        </w:tc>
        <w:tc>
          <w:tcPr>
            <w:tcW w:w="5387" w:type="dxa"/>
            <w:tcBorders>
              <w:top w:val="single" w:sz="4" w:space="0" w:color="auto"/>
              <w:left w:val="nil"/>
              <w:right w:val="nil"/>
            </w:tcBorders>
            <w:shd w:val="clear" w:color="auto" w:fill="auto"/>
            <w:vAlign w:val="bottom"/>
          </w:tcPr>
          <w:p w14:paraId="1D2B4D7E" w14:textId="6524216B" w:rsidR="00E76212" w:rsidRPr="009819F0" w:rsidRDefault="00E76212" w:rsidP="00D2560E">
            <w:pPr>
              <w:spacing w:after="0" w:line="240" w:lineRule="auto"/>
              <w:rPr>
                <w:rFonts w:cs="Times New Roman"/>
                <w:sz w:val="18"/>
                <w:szCs w:val="18"/>
              </w:rPr>
            </w:pPr>
            <w:r w:rsidRPr="009819F0">
              <w:rPr>
                <w:rFonts w:cs="Times New Roman"/>
                <w:sz w:val="18"/>
                <w:szCs w:val="18"/>
              </w:rPr>
              <w:t>Na odstránenie následkov ničivého požiaru v Banskej Štiavnici podľa UZN č. 199/2023</w:t>
            </w:r>
          </w:p>
          <w:p w14:paraId="21489106" w14:textId="77777777" w:rsidR="00E76212" w:rsidRPr="009819F0" w:rsidRDefault="00E76212" w:rsidP="00D2560E">
            <w:pPr>
              <w:spacing w:after="0" w:line="240" w:lineRule="auto"/>
              <w:rPr>
                <w:rFonts w:cs="Times New Roman"/>
                <w:sz w:val="18"/>
                <w:szCs w:val="18"/>
              </w:rPr>
            </w:pPr>
          </w:p>
        </w:tc>
        <w:tc>
          <w:tcPr>
            <w:tcW w:w="1407" w:type="dxa"/>
            <w:gridSpan w:val="2"/>
            <w:tcBorders>
              <w:top w:val="single" w:sz="4" w:space="0" w:color="auto"/>
              <w:left w:val="nil"/>
              <w:right w:val="nil"/>
            </w:tcBorders>
            <w:shd w:val="clear" w:color="auto" w:fill="auto"/>
            <w:vAlign w:val="center"/>
          </w:tcPr>
          <w:p w14:paraId="77F05A22" w14:textId="77777777" w:rsidR="00E76212" w:rsidRPr="009819F0" w:rsidRDefault="00E76212" w:rsidP="00D2560E">
            <w:pPr>
              <w:jc w:val="right"/>
              <w:rPr>
                <w:rFonts w:cs="Times New Roman"/>
                <w:sz w:val="18"/>
                <w:szCs w:val="18"/>
              </w:rPr>
            </w:pPr>
            <w:r w:rsidRPr="009819F0">
              <w:rPr>
                <w:rFonts w:cs="Times New Roman"/>
                <w:sz w:val="18"/>
                <w:szCs w:val="18"/>
              </w:rPr>
              <w:t xml:space="preserve">4 000 </w:t>
            </w:r>
          </w:p>
        </w:tc>
      </w:tr>
      <w:tr w:rsidR="00E76212" w:rsidRPr="009819F0" w14:paraId="1755529E" w14:textId="77777777" w:rsidTr="009819F0">
        <w:trPr>
          <w:trHeight w:val="93"/>
        </w:trPr>
        <w:tc>
          <w:tcPr>
            <w:tcW w:w="2268" w:type="dxa"/>
            <w:tcBorders>
              <w:left w:val="nil"/>
              <w:right w:val="nil"/>
            </w:tcBorders>
            <w:shd w:val="clear" w:color="auto" w:fill="auto"/>
            <w:vAlign w:val="center"/>
          </w:tcPr>
          <w:p w14:paraId="64819A80" w14:textId="0723F0E9" w:rsidR="00E76212" w:rsidRPr="009819F0" w:rsidRDefault="00E76212" w:rsidP="009819F0">
            <w:pPr>
              <w:rPr>
                <w:rFonts w:cs="Times New Roman"/>
                <w:sz w:val="18"/>
                <w:szCs w:val="18"/>
              </w:rPr>
            </w:pPr>
            <w:r w:rsidRPr="009819F0">
              <w:rPr>
                <w:rFonts w:cs="Times New Roman"/>
                <w:sz w:val="18"/>
                <w:szCs w:val="18"/>
              </w:rPr>
              <w:lastRenderedPageBreak/>
              <w:t>Ministerstvo školstva, vedy, výskumu a</w:t>
            </w:r>
            <w:r w:rsidR="009819F0">
              <w:rPr>
                <w:rFonts w:cs="Times New Roman"/>
                <w:sz w:val="18"/>
                <w:szCs w:val="18"/>
              </w:rPr>
              <w:t xml:space="preserve"> </w:t>
            </w:r>
            <w:r w:rsidRPr="009819F0">
              <w:rPr>
                <w:rFonts w:cs="Times New Roman"/>
                <w:sz w:val="18"/>
                <w:szCs w:val="18"/>
              </w:rPr>
              <w:t>športu SR</w:t>
            </w:r>
          </w:p>
        </w:tc>
        <w:tc>
          <w:tcPr>
            <w:tcW w:w="5387" w:type="dxa"/>
            <w:tcBorders>
              <w:left w:val="nil"/>
              <w:right w:val="nil"/>
            </w:tcBorders>
            <w:shd w:val="clear" w:color="auto" w:fill="auto"/>
            <w:vAlign w:val="bottom"/>
          </w:tcPr>
          <w:p w14:paraId="5B111157" w14:textId="77777777" w:rsidR="00E76212" w:rsidRPr="009819F0" w:rsidRDefault="00E76212" w:rsidP="00D2560E">
            <w:pPr>
              <w:rPr>
                <w:rFonts w:cs="Times New Roman"/>
                <w:sz w:val="18"/>
                <w:szCs w:val="18"/>
              </w:rPr>
            </w:pPr>
            <w:r w:rsidRPr="009819F0">
              <w:rPr>
                <w:rFonts w:cs="Times New Roman"/>
                <w:sz w:val="18"/>
                <w:szCs w:val="18"/>
              </w:rPr>
              <w:t>Na prenájom sídla po zosnulom kardinálovi J. Tomkovi prostredníctvom Slovenského historického ústavu v Ríme podľa UZN č. 70/2023</w:t>
            </w:r>
          </w:p>
        </w:tc>
        <w:tc>
          <w:tcPr>
            <w:tcW w:w="1407" w:type="dxa"/>
            <w:gridSpan w:val="2"/>
            <w:tcBorders>
              <w:left w:val="nil"/>
              <w:right w:val="nil"/>
            </w:tcBorders>
            <w:shd w:val="clear" w:color="auto" w:fill="auto"/>
            <w:vAlign w:val="center"/>
          </w:tcPr>
          <w:p w14:paraId="38D32593" w14:textId="77777777" w:rsidR="00E76212" w:rsidRPr="009819F0" w:rsidRDefault="00E76212" w:rsidP="00D2560E">
            <w:pPr>
              <w:jc w:val="right"/>
              <w:rPr>
                <w:rFonts w:cs="Times New Roman"/>
                <w:sz w:val="18"/>
                <w:szCs w:val="18"/>
              </w:rPr>
            </w:pPr>
            <w:r w:rsidRPr="009819F0">
              <w:rPr>
                <w:rFonts w:cs="Times New Roman"/>
                <w:sz w:val="18"/>
                <w:szCs w:val="18"/>
              </w:rPr>
              <w:t xml:space="preserve">120 </w:t>
            </w:r>
          </w:p>
        </w:tc>
      </w:tr>
      <w:tr w:rsidR="00E76212" w:rsidRPr="009819F0" w14:paraId="34AFD7D3" w14:textId="77777777" w:rsidTr="00D2560E">
        <w:trPr>
          <w:trHeight w:val="330"/>
        </w:trPr>
        <w:tc>
          <w:tcPr>
            <w:tcW w:w="7938" w:type="dxa"/>
            <w:gridSpan w:val="3"/>
            <w:tcBorders>
              <w:top w:val="single" w:sz="4" w:space="0" w:color="auto"/>
              <w:left w:val="nil"/>
              <w:bottom w:val="single" w:sz="4" w:space="0" w:color="auto"/>
              <w:right w:val="nil"/>
            </w:tcBorders>
            <w:shd w:val="clear" w:color="auto" w:fill="auto"/>
            <w:vAlign w:val="center"/>
            <w:hideMark/>
          </w:tcPr>
          <w:p w14:paraId="3F4F458D" w14:textId="77777777" w:rsidR="00E76212" w:rsidRPr="009819F0" w:rsidRDefault="00E76212" w:rsidP="009819F0">
            <w:pPr>
              <w:spacing w:after="0" w:line="240" w:lineRule="auto"/>
              <w:jc w:val="left"/>
              <w:rPr>
                <w:rFonts w:eastAsia="Times New Roman" w:cs="Times New Roman"/>
                <w:b/>
                <w:bCs/>
                <w:sz w:val="18"/>
                <w:szCs w:val="18"/>
                <w:lang w:eastAsia="sk-SK"/>
              </w:rPr>
            </w:pPr>
            <w:r w:rsidRPr="009819F0">
              <w:rPr>
                <w:rFonts w:eastAsia="Times New Roman" w:cs="Times New Roman"/>
                <w:b/>
                <w:bCs/>
                <w:sz w:val="18"/>
                <w:szCs w:val="18"/>
                <w:lang w:eastAsia="sk-SK"/>
              </w:rPr>
              <w:t>Spolu celkom</w:t>
            </w:r>
          </w:p>
        </w:tc>
        <w:tc>
          <w:tcPr>
            <w:tcW w:w="1124" w:type="dxa"/>
            <w:tcBorders>
              <w:top w:val="single" w:sz="4" w:space="0" w:color="auto"/>
              <w:left w:val="nil"/>
              <w:bottom w:val="single" w:sz="4" w:space="0" w:color="auto"/>
              <w:right w:val="nil"/>
            </w:tcBorders>
            <w:shd w:val="clear" w:color="auto" w:fill="auto"/>
            <w:noWrap/>
            <w:vAlign w:val="center"/>
            <w:hideMark/>
          </w:tcPr>
          <w:p w14:paraId="5F2BF701" w14:textId="77777777" w:rsidR="00E76212" w:rsidRPr="009819F0" w:rsidRDefault="00E76212" w:rsidP="00D2560E">
            <w:pPr>
              <w:spacing w:after="0" w:line="240" w:lineRule="auto"/>
              <w:jc w:val="right"/>
              <w:rPr>
                <w:rFonts w:eastAsia="Times New Roman" w:cs="Times New Roman"/>
                <w:b/>
                <w:bCs/>
                <w:sz w:val="18"/>
                <w:szCs w:val="18"/>
                <w:lang w:eastAsia="sk-SK"/>
              </w:rPr>
            </w:pPr>
            <w:r w:rsidRPr="009819F0">
              <w:rPr>
                <w:rFonts w:eastAsia="Times New Roman" w:cs="Times New Roman"/>
                <w:b/>
                <w:bCs/>
                <w:sz w:val="18"/>
                <w:szCs w:val="18"/>
                <w:lang w:eastAsia="sk-SK"/>
              </w:rPr>
              <w:t xml:space="preserve">4 120 </w:t>
            </w:r>
          </w:p>
        </w:tc>
      </w:tr>
    </w:tbl>
    <w:p w14:paraId="58F79A29" w14:textId="4C31AEF6" w:rsidR="00E76212" w:rsidRPr="0035337C" w:rsidRDefault="00E76212" w:rsidP="009819F0">
      <w:pPr>
        <w:tabs>
          <w:tab w:val="left" w:pos="0"/>
          <w:tab w:val="left" w:pos="720"/>
          <w:tab w:val="left" w:pos="1440"/>
          <w:tab w:val="left" w:pos="2160"/>
          <w:tab w:val="left" w:pos="2880"/>
          <w:tab w:val="left" w:pos="3600"/>
          <w:tab w:val="left" w:pos="4320"/>
        </w:tabs>
        <w:adjustRightInd w:val="0"/>
        <w:spacing w:after="0" w:line="240" w:lineRule="auto"/>
        <w:jc w:val="right"/>
        <w:rPr>
          <w:rFonts w:eastAsia="Times New Roman" w:cs="Times New Roman"/>
          <w:color w:val="000000"/>
          <w:sz w:val="18"/>
          <w:szCs w:val="18"/>
          <w:lang w:eastAsia="cs-CZ"/>
        </w:rPr>
      </w:pPr>
      <w:r w:rsidRPr="0035337C">
        <w:rPr>
          <w:rFonts w:eastAsia="Times New Roman" w:cs="Times New Roman"/>
          <w:color w:val="000000"/>
          <w:sz w:val="18"/>
          <w:szCs w:val="18"/>
          <w:lang w:eastAsia="cs-CZ"/>
        </w:rPr>
        <w:t>Zdroj: MF SR</w:t>
      </w:r>
    </w:p>
    <w:p w14:paraId="2DE1EEF0" w14:textId="77777777" w:rsidR="00E76212" w:rsidRPr="004E3DEF" w:rsidRDefault="00E76212" w:rsidP="008172CD">
      <w:pPr>
        <w:tabs>
          <w:tab w:val="left" w:pos="0"/>
          <w:tab w:val="left" w:pos="720"/>
          <w:tab w:val="left" w:pos="1440"/>
          <w:tab w:val="left" w:pos="2160"/>
          <w:tab w:val="left" w:pos="2880"/>
          <w:tab w:val="left" w:pos="3600"/>
          <w:tab w:val="left" w:pos="4320"/>
        </w:tabs>
        <w:adjustRightInd w:val="0"/>
        <w:spacing w:line="240" w:lineRule="auto"/>
        <w:rPr>
          <w:rFonts w:cs="Times New Roman"/>
          <w:b/>
          <w:iCs/>
          <w:sz w:val="24"/>
          <w:szCs w:val="24"/>
        </w:rPr>
      </w:pPr>
      <w:r w:rsidRPr="004E3DEF">
        <w:rPr>
          <w:rFonts w:cs="Times New Roman"/>
          <w:b/>
          <w:iCs/>
          <w:sz w:val="24"/>
          <w:szCs w:val="24"/>
        </w:rPr>
        <w:t xml:space="preserve">Rezerva predsedu vlády </w:t>
      </w:r>
    </w:p>
    <w:p w14:paraId="4F983112" w14:textId="3FB51E30" w:rsidR="00E76212" w:rsidRPr="004E3DEF" w:rsidRDefault="00E76212" w:rsidP="008172CD">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4E3DEF">
        <w:rPr>
          <w:rFonts w:eastAsia="Times New Roman" w:cs="Times New Roman"/>
          <w:color w:val="000000"/>
          <w:sz w:val="24"/>
          <w:szCs w:val="24"/>
          <w:lang w:eastAsia="cs-CZ"/>
        </w:rPr>
        <w:t>Rezerva predsedu vlády sa rozpočtovala v sume 1</w:t>
      </w:r>
      <w:r>
        <w:rPr>
          <w:rFonts w:eastAsia="Times New Roman" w:cs="Times New Roman"/>
          <w:color w:val="000000"/>
          <w:sz w:val="24"/>
          <w:szCs w:val="24"/>
          <w:lang w:eastAsia="cs-CZ"/>
        </w:rPr>
        <w:t> </w:t>
      </w:r>
      <w:r w:rsidRPr="004E3DEF">
        <w:rPr>
          <w:rFonts w:eastAsia="Times New Roman" w:cs="Times New Roman"/>
          <w:color w:val="000000"/>
          <w:sz w:val="24"/>
          <w:szCs w:val="24"/>
          <w:lang w:eastAsia="cs-CZ"/>
        </w:rPr>
        <w:t>500</w:t>
      </w:r>
      <w:r>
        <w:rPr>
          <w:rFonts w:eastAsia="Times New Roman" w:cs="Times New Roman"/>
          <w:color w:val="000000"/>
          <w:sz w:val="24"/>
          <w:szCs w:val="24"/>
          <w:lang w:eastAsia="cs-CZ"/>
        </w:rPr>
        <w:t> tis. eur. V súlade s</w:t>
      </w:r>
      <w:r w:rsidR="0035337C">
        <w:rPr>
          <w:rFonts w:eastAsia="Times New Roman" w:cs="Times New Roman"/>
          <w:color w:val="000000"/>
          <w:sz w:val="24"/>
          <w:szCs w:val="24"/>
          <w:lang w:eastAsia="cs-CZ"/>
        </w:rPr>
        <w:t xml:space="preserve"> </w:t>
      </w:r>
      <w:r>
        <w:rPr>
          <w:rFonts w:eastAsia="Times New Roman" w:cs="Times New Roman"/>
          <w:color w:val="000000"/>
          <w:sz w:val="24"/>
          <w:szCs w:val="24"/>
          <w:lang w:eastAsia="cs-CZ"/>
        </w:rPr>
        <w:t>§ </w:t>
      </w:r>
      <w:r w:rsidRPr="004E3DEF">
        <w:rPr>
          <w:rFonts w:eastAsia="Times New Roman" w:cs="Times New Roman"/>
          <w:color w:val="000000"/>
          <w:sz w:val="24"/>
          <w:szCs w:val="24"/>
          <w:lang w:eastAsia="cs-CZ"/>
        </w:rPr>
        <w:t>8 ods.</w:t>
      </w:r>
      <w:r w:rsidR="0035337C">
        <w:rPr>
          <w:rFonts w:eastAsia="Times New Roman" w:cs="Times New Roman"/>
          <w:color w:val="000000"/>
          <w:sz w:val="24"/>
          <w:szCs w:val="24"/>
          <w:lang w:eastAsia="cs-CZ"/>
        </w:rPr>
        <w:t xml:space="preserve"> </w:t>
      </w:r>
      <w:r w:rsidRPr="004E3DEF">
        <w:rPr>
          <w:rFonts w:eastAsia="Times New Roman" w:cs="Times New Roman"/>
          <w:color w:val="000000"/>
          <w:sz w:val="24"/>
          <w:szCs w:val="24"/>
          <w:lang w:eastAsia="cs-CZ"/>
        </w:rPr>
        <w:t>6</w:t>
      </w:r>
      <w:r w:rsidR="0035337C">
        <w:rPr>
          <w:rFonts w:eastAsia="Times New Roman" w:cs="Times New Roman"/>
          <w:color w:val="000000"/>
          <w:sz w:val="24"/>
          <w:szCs w:val="24"/>
          <w:lang w:eastAsia="cs-CZ"/>
        </w:rPr>
        <w:t xml:space="preserve"> </w:t>
      </w:r>
      <w:r w:rsidRPr="004E3DEF">
        <w:rPr>
          <w:rFonts w:eastAsia="Times New Roman" w:cs="Times New Roman"/>
          <w:color w:val="000000"/>
          <w:sz w:val="24"/>
          <w:szCs w:val="24"/>
          <w:lang w:eastAsia="cs-CZ"/>
        </w:rPr>
        <w:t>zákona</w:t>
      </w:r>
      <w:r w:rsidR="0035337C">
        <w:rPr>
          <w:rFonts w:eastAsia="Times New Roman" w:cs="Times New Roman"/>
          <w:color w:val="000000"/>
          <w:sz w:val="24"/>
          <w:szCs w:val="24"/>
          <w:lang w:eastAsia="cs-CZ"/>
        </w:rPr>
        <w:t xml:space="preserve"> </w:t>
      </w:r>
      <w:r w:rsidRPr="004E3DEF">
        <w:rPr>
          <w:rFonts w:eastAsia="Times New Roman" w:cs="Times New Roman"/>
          <w:color w:val="000000"/>
          <w:sz w:val="24"/>
          <w:szCs w:val="24"/>
          <w:lang w:eastAsia="cs-CZ"/>
        </w:rPr>
        <w:t>č. 523/2004 Z. z. sa povolilo prekročenie limitu kapitálových výdavkov z pr</w:t>
      </w:r>
      <w:r>
        <w:rPr>
          <w:rFonts w:eastAsia="Times New Roman" w:cs="Times New Roman"/>
          <w:color w:val="000000"/>
          <w:sz w:val="24"/>
          <w:szCs w:val="24"/>
          <w:lang w:eastAsia="cs-CZ"/>
        </w:rPr>
        <w:t>edchádzajúcich rokov v sume 527 tis. </w:t>
      </w:r>
      <w:r w:rsidRPr="004E3DEF">
        <w:rPr>
          <w:rFonts w:eastAsia="Times New Roman" w:cs="Times New Roman"/>
          <w:color w:val="000000"/>
          <w:sz w:val="24"/>
          <w:szCs w:val="24"/>
          <w:lang w:eastAsia="cs-CZ"/>
        </w:rPr>
        <w:t>eur.</w:t>
      </w:r>
    </w:p>
    <w:p w14:paraId="1C9F6F1C" w14:textId="68BAC3AA" w:rsidR="00E76212" w:rsidRPr="004E3DEF" w:rsidRDefault="00E76212" w:rsidP="008172CD">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4E3DEF">
        <w:rPr>
          <w:rFonts w:eastAsia="Times New Roman" w:cs="Times New Roman"/>
          <w:color w:val="000000"/>
          <w:sz w:val="24"/>
          <w:szCs w:val="24"/>
          <w:lang w:eastAsia="cs-CZ"/>
        </w:rPr>
        <w:t xml:space="preserve">Kapitole </w:t>
      </w:r>
      <w:r>
        <w:rPr>
          <w:rFonts w:eastAsia="Times New Roman" w:cs="Times New Roman"/>
          <w:color w:val="000000"/>
          <w:sz w:val="24"/>
          <w:szCs w:val="24"/>
          <w:lang w:eastAsia="cs-CZ"/>
        </w:rPr>
        <w:t>Ministerstvo spravodlivosti</w:t>
      </w:r>
      <w:r w:rsidRPr="004E3DEF">
        <w:rPr>
          <w:rFonts w:eastAsia="Times New Roman" w:cs="Times New Roman"/>
          <w:color w:val="000000"/>
          <w:sz w:val="24"/>
          <w:szCs w:val="24"/>
          <w:lang w:eastAsia="cs-CZ"/>
        </w:rPr>
        <w:t xml:space="preserve"> SR a</w:t>
      </w:r>
      <w:r w:rsidR="0035337C">
        <w:rPr>
          <w:rFonts w:eastAsia="Times New Roman" w:cs="Times New Roman"/>
          <w:color w:val="000000"/>
          <w:sz w:val="24"/>
          <w:szCs w:val="24"/>
          <w:lang w:eastAsia="cs-CZ"/>
        </w:rPr>
        <w:t xml:space="preserve"> </w:t>
      </w:r>
      <w:r w:rsidRPr="00706747">
        <w:rPr>
          <w:rFonts w:eastAsia="Times New Roman" w:cs="Times New Roman"/>
          <w:color w:val="000000"/>
          <w:sz w:val="24"/>
          <w:szCs w:val="24"/>
          <w:lang w:eastAsia="cs-CZ"/>
        </w:rPr>
        <w:t>M</w:t>
      </w:r>
      <w:r w:rsidR="0035337C">
        <w:rPr>
          <w:rFonts w:eastAsia="Times New Roman" w:cs="Times New Roman"/>
          <w:color w:val="000000"/>
          <w:sz w:val="24"/>
          <w:szCs w:val="24"/>
          <w:lang w:eastAsia="cs-CZ"/>
        </w:rPr>
        <w:t xml:space="preserve">inisterstvo zahraničných vecí a </w:t>
      </w:r>
      <w:r w:rsidRPr="00706747">
        <w:rPr>
          <w:rFonts w:eastAsia="Times New Roman" w:cs="Times New Roman"/>
          <w:color w:val="000000"/>
          <w:sz w:val="24"/>
          <w:szCs w:val="24"/>
          <w:lang w:eastAsia="cs-CZ"/>
        </w:rPr>
        <w:t xml:space="preserve">európskych záležitostí </w:t>
      </w:r>
      <w:r w:rsidRPr="004E3DEF">
        <w:rPr>
          <w:rFonts w:eastAsia="Times New Roman" w:cs="Times New Roman"/>
          <w:color w:val="000000"/>
          <w:sz w:val="24"/>
          <w:szCs w:val="24"/>
          <w:lang w:eastAsia="cs-CZ"/>
        </w:rPr>
        <w:t>SR boli rozpočtovými opatreniami uvoľnené</w:t>
      </w:r>
      <w:r>
        <w:rPr>
          <w:rFonts w:eastAsia="Times New Roman" w:cs="Times New Roman"/>
          <w:color w:val="000000"/>
          <w:sz w:val="24"/>
          <w:szCs w:val="24"/>
          <w:lang w:eastAsia="cs-CZ"/>
        </w:rPr>
        <w:t xml:space="preserve"> prostriedky v celkovej sume 50 </w:t>
      </w:r>
      <w:r w:rsidRPr="004E3DEF">
        <w:rPr>
          <w:rFonts w:eastAsia="Times New Roman" w:cs="Times New Roman"/>
          <w:color w:val="000000"/>
          <w:sz w:val="24"/>
          <w:szCs w:val="24"/>
          <w:lang w:eastAsia="cs-CZ"/>
        </w:rPr>
        <w:t>tis.</w:t>
      </w:r>
      <w:r>
        <w:rPr>
          <w:rFonts w:eastAsia="Times New Roman" w:cs="Times New Roman"/>
          <w:color w:val="000000"/>
          <w:sz w:val="24"/>
          <w:szCs w:val="24"/>
          <w:lang w:eastAsia="cs-CZ"/>
        </w:rPr>
        <w:t> </w:t>
      </w:r>
      <w:r w:rsidRPr="004E3DEF">
        <w:rPr>
          <w:rFonts w:eastAsia="Times New Roman" w:cs="Times New Roman"/>
          <w:color w:val="000000"/>
          <w:sz w:val="24"/>
          <w:szCs w:val="24"/>
          <w:lang w:eastAsia="cs-CZ"/>
        </w:rPr>
        <w:t>eur a príjemcom, k</w:t>
      </w:r>
      <w:r w:rsidR="0035337C">
        <w:rPr>
          <w:rFonts w:eastAsia="Times New Roman" w:cs="Times New Roman"/>
          <w:color w:val="000000"/>
          <w:sz w:val="24"/>
          <w:szCs w:val="24"/>
          <w:lang w:eastAsia="cs-CZ"/>
        </w:rPr>
        <w:t xml:space="preserve">torými boli predovšetkým obce a </w:t>
      </w:r>
      <w:r w:rsidRPr="004E3DEF">
        <w:rPr>
          <w:rFonts w:eastAsia="Times New Roman" w:cs="Times New Roman"/>
          <w:color w:val="000000"/>
          <w:sz w:val="24"/>
          <w:szCs w:val="24"/>
          <w:lang w:eastAsia="cs-CZ"/>
        </w:rPr>
        <w:t>mestá, občianske združenia, neziskové organizácie, cirkev a náboženské organizácie, boli poskytnuté dotácie v celkovej sume 1</w:t>
      </w:r>
      <w:r>
        <w:rPr>
          <w:rFonts w:eastAsia="Times New Roman" w:cs="Times New Roman"/>
          <w:color w:val="000000"/>
          <w:sz w:val="24"/>
          <w:szCs w:val="24"/>
          <w:lang w:eastAsia="cs-CZ"/>
        </w:rPr>
        <w:t> </w:t>
      </w:r>
      <w:r w:rsidRPr="004E3DEF">
        <w:rPr>
          <w:rFonts w:eastAsia="Times New Roman" w:cs="Times New Roman"/>
          <w:color w:val="000000"/>
          <w:sz w:val="24"/>
          <w:szCs w:val="24"/>
          <w:lang w:eastAsia="cs-CZ"/>
        </w:rPr>
        <w:t>968</w:t>
      </w:r>
      <w:r>
        <w:rPr>
          <w:rFonts w:eastAsia="Times New Roman" w:cs="Times New Roman"/>
          <w:color w:val="000000"/>
          <w:sz w:val="24"/>
          <w:szCs w:val="24"/>
          <w:lang w:eastAsia="cs-CZ"/>
        </w:rPr>
        <w:t> </w:t>
      </w:r>
      <w:r w:rsidRPr="004E3DEF">
        <w:rPr>
          <w:rFonts w:eastAsia="Times New Roman" w:cs="Times New Roman"/>
          <w:color w:val="000000"/>
          <w:sz w:val="24"/>
          <w:szCs w:val="24"/>
          <w:lang w:eastAsia="cs-CZ"/>
        </w:rPr>
        <w:t>tis.</w:t>
      </w:r>
      <w:r>
        <w:rPr>
          <w:rFonts w:eastAsia="Times New Roman" w:cs="Times New Roman"/>
          <w:color w:val="000000"/>
          <w:sz w:val="24"/>
          <w:szCs w:val="24"/>
          <w:lang w:eastAsia="cs-CZ"/>
        </w:rPr>
        <w:t> </w:t>
      </w:r>
      <w:r w:rsidRPr="004E3DEF">
        <w:rPr>
          <w:rFonts w:eastAsia="Times New Roman" w:cs="Times New Roman"/>
          <w:color w:val="000000"/>
          <w:sz w:val="24"/>
          <w:szCs w:val="24"/>
          <w:lang w:eastAsia="cs-CZ"/>
        </w:rPr>
        <w:t xml:space="preserve">eur. </w:t>
      </w:r>
    </w:p>
    <w:p w14:paraId="2B764A68" w14:textId="77777777" w:rsidR="00E76212" w:rsidRPr="004E3DEF" w:rsidRDefault="00E76212" w:rsidP="008172CD">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Pr>
          <w:rFonts w:eastAsia="Times New Roman" w:cs="Times New Roman"/>
          <w:color w:val="000000"/>
          <w:sz w:val="24"/>
          <w:szCs w:val="24"/>
          <w:lang w:eastAsia="cs-CZ"/>
        </w:rPr>
        <w:t>Rozdiel v sume 9 </w:t>
      </w:r>
      <w:r w:rsidRPr="004E3DEF">
        <w:rPr>
          <w:rFonts w:eastAsia="Times New Roman" w:cs="Times New Roman"/>
          <w:color w:val="000000"/>
          <w:sz w:val="24"/>
          <w:szCs w:val="24"/>
          <w:lang w:eastAsia="cs-CZ"/>
        </w:rPr>
        <w:t>tis.</w:t>
      </w:r>
      <w:r>
        <w:rPr>
          <w:rFonts w:eastAsia="Times New Roman" w:cs="Times New Roman"/>
          <w:color w:val="000000"/>
          <w:sz w:val="24"/>
          <w:szCs w:val="24"/>
          <w:lang w:eastAsia="cs-CZ"/>
        </w:rPr>
        <w:t> </w:t>
      </w:r>
      <w:r w:rsidRPr="004E3DEF">
        <w:rPr>
          <w:rFonts w:eastAsia="Times New Roman" w:cs="Times New Roman"/>
          <w:color w:val="000000"/>
          <w:sz w:val="24"/>
          <w:szCs w:val="24"/>
          <w:lang w:eastAsia="cs-CZ"/>
        </w:rPr>
        <w:t xml:space="preserve">eur oproti upravenému rozpočtu predstavujú nevyčerpané prostriedky z dôvodu vrátených dotácií, resp. časti dotácií poskytnutých v roku 2023. </w:t>
      </w:r>
    </w:p>
    <w:p w14:paraId="74114B53" w14:textId="5200F75F" w:rsidR="00E76212" w:rsidRPr="004E3DEF" w:rsidRDefault="00E76212" w:rsidP="008172CD">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4E3DEF">
        <w:rPr>
          <w:rFonts w:eastAsia="Times New Roman" w:cs="Times New Roman"/>
          <w:color w:val="000000"/>
          <w:sz w:val="24"/>
          <w:szCs w:val="24"/>
          <w:lang w:eastAsia="cs-CZ"/>
        </w:rPr>
        <w:t>Podrobné inform</w:t>
      </w:r>
      <w:r>
        <w:rPr>
          <w:rFonts w:eastAsia="Times New Roman" w:cs="Times New Roman"/>
          <w:color w:val="000000"/>
          <w:sz w:val="24"/>
          <w:szCs w:val="24"/>
          <w:lang w:eastAsia="cs-CZ"/>
        </w:rPr>
        <w:t>ácie sú prezentované v </w:t>
      </w:r>
      <w:r w:rsidRPr="00DD022A">
        <w:rPr>
          <w:rFonts w:eastAsia="Times New Roman" w:cs="Times New Roman"/>
          <w:color w:val="000000"/>
          <w:sz w:val="24"/>
          <w:szCs w:val="24"/>
          <w:lang w:eastAsia="cs-CZ"/>
        </w:rPr>
        <w:t xml:space="preserve">Tabuľke </w:t>
      </w:r>
      <w:r w:rsidR="00DD022A" w:rsidRPr="00DD022A">
        <w:rPr>
          <w:rFonts w:eastAsia="Times New Roman" w:cs="Times New Roman"/>
          <w:color w:val="000000"/>
          <w:sz w:val="24"/>
          <w:szCs w:val="24"/>
          <w:lang w:eastAsia="cs-CZ"/>
        </w:rPr>
        <w:t xml:space="preserve">52 a </w:t>
      </w:r>
      <w:r w:rsidRPr="00DD022A">
        <w:rPr>
          <w:rFonts w:eastAsia="Times New Roman" w:cs="Times New Roman"/>
          <w:color w:val="000000"/>
          <w:sz w:val="24"/>
          <w:szCs w:val="24"/>
          <w:lang w:eastAsia="cs-CZ"/>
        </w:rPr>
        <w:t>5</w:t>
      </w:r>
      <w:r w:rsidR="00DD022A" w:rsidRPr="00DD022A">
        <w:rPr>
          <w:rFonts w:eastAsia="Times New Roman" w:cs="Times New Roman"/>
          <w:color w:val="000000"/>
          <w:sz w:val="24"/>
          <w:szCs w:val="24"/>
          <w:lang w:eastAsia="cs-CZ"/>
        </w:rPr>
        <w:t>3</w:t>
      </w:r>
      <w:r w:rsidRPr="004E3DEF">
        <w:rPr>
          <w:rFonts w:eastAsia="Times New Roman" w:cs="Times New Roman"/>
          <w:color w:val="000000"/>
          <w:sz w:val="24"/>
          <w:szCs w:val="24"/>
          <w:lang w:eastAsia="cs-CZ"/>
        </w:rPr>
        <w:t>.</w:t>
      </w:r>
    </w:p>
    <w:p w14:paraId="56839D4C" w14:textId="2A44CC5D" w:rsidR="00E76212" w:rsidRPr="004E3DEF" w:rsidRDefault="00E76212" w:rsidP="00E76212">
      <w:pPr>
        <w:keepNext/>
        <w:spacing w:after="0" w:line="240" w:lineRule="auto"/>
        <w:rPr>
          <w:b/>
          <w:bCs/>
          <w:color w:val="5B9BD5"/>
          <w:sz w:val="20"/>
          <w:szCs w:val="20"/>
        </w:rPr>
      </w:pPr>
      <w:r w:rsidRPr="004E3DEF">
        <w:rPr>
          <w:b/>
          <w:bCs/>
          <w:color w:val="5B9BD5"/>
          <w:sz w:val="20"/>
          <w:szCs w:val="20"/>
        </w:rPr>
        <w:t xml:space="preserve">Tabuľka </w:t>
      </w:r>
      <w:r w:rsidR="00DD022A">
        <w:rPr>
          <w:b/>
          <w:bCs/>
          <w:color w:val="5B9BD5"/>
          <w:sz w:val="20"/>
          <w:szCs w:val="20"/>
        </w:rPr>
        <w:t>52</w:t>
      </w:r>
      <w:r w:rsidRPr="004E3DEF">
        <w:rPr>
          <w:b/>
          <w:bCs/>
          <w:color w:val="5B9BD5"/>
          <w:sz w:val="20"/>
          <w:szCs w:val="20"/>
        </w:rPr>
        <w:t xml:space="preserve"> - Rezerva predsedu vlády - uvoľnené kapitolám</w:t>
      </w:r>
    </w:p>
    <w:tbl>
      <w:tblPr>
        <w:tblW w:w="9111" w:type="dxa"/>
        <w:tblCellMar>
          <w:left w:w="70" w:type="dxa"/>
          <w:right w:w="70" w:type="dxa"/>
        </w:tblCellMar>
        <w:tblLook w:val="04A0" w:firstRow="1" w:lastRow="0" w:firstColumn="1" w:lastColumn="0" w:noHBand="0" w:noVBand="1"/>
      </w:tblPr>
      <w:tblGrid>
        <w:gridCol w:w="2323"/>
        <w:gridCol w:w="5474"/>
        <w:gridCol w:w="1314"/>
      </w:tblGrid>
      <w:tr w:rsidR="00E76212" w:rsidRPr="008C63ED" w14:paraId="2771F578" w14:textId="77777777" w:rsidTr="00D2560E">
        <w:trPr>
          <w:trHeight w:val="542"/>
        </w:trPr>
        <w:tc>
          <w:tcPr>
            <w:tcW w:w="2323" w:type="dxa"/>
            <w:tcBorders>
              <w:top w:val="single" w:sz="4" w:space="0" w:color="auto"/>
              <w:left w:val="nil"/>
              <w:bottom w:val="single" w:sz="4" w:space="0" w:color="auto"/>
              <w:right w:val="nil"/>
            </w:tcBorders>
            <w:shd w:val="clear" w:color="auto" w:fill="auto"/>
            <w:noWrap/>
            <w:vAlign w:val="center"/>
            <w:hideMark/>
          </w:tcPr>
          <w:p w14:paraId="1236470D" w14:textId="098A6572" w:rsidR="00E76212" w:rsidRPr="009819F0" w:rsidRDefault="00E76212" w:rsidP="00D2560E">
            <w:pPr>
              <w:spacing w:after="0" w:line="240" w:lineRule="auto"/>
              <w:rPr>
                <w:rFonts w:eastAsia="Times New Roman" w:cs="Times New Roman"/>
                <w:b/>
                <w:bCs/>
                <w:sz w:val="18"/>
                <w:szCs w:val="18"/>
                <w:lang w:eastAsia="sk-SK"/>
              </w:rPr>
            </w:pPr>
            <w:r w:rsidRPr="009819F0">
              <w:rPr>
                <w:rFonts w:eastAsia="Times New Roman" w:cs="Times New Roman"/>
                <w:b/>
                <w:bCs/>
                <w:sz w:val="18"/>
                <w:szCs w:val="18"/>
                <w:lang w:eastAsia="sk-SK"/>
              </w:rPr>
              <w:t>Prijímateľ</w:t>
            </w:r>
          </w:p>
        </w:tc>
        <w:tc>
          <w:tcPr>
            <w:tcW w:w="5474" w:type="dxa"/>
            <w:tcBorders>
              <w:top w:val="single" w:sz="4" w:space="0" w:color="auto"/>
              <w:left w:val="nil"/>
              <w:bottom w:val="single" w:sz="4" w:space="0" w:color="auto"/>
              <w:right w:val="nil"/>
            </w:tcBorders>
            <w:shd w:val="clear" w:color="auto" w:fill="auto"/>
            <w:noWrap/>
            <w:vAlign w:val="center"/>
            <w:hideMark/>
          </w:tcPr>
          <w:p w14:paraId="47507A6A" w14:textId="77777777" w:rsidR="00E76212" w:rsidRPr="009819F0" w:rsidRDefault="00E76212" w:rsidP="00D2560E">
            <w:pPr>
              <w:spacing w:after="0" w:line="240" w:lineRule="auto"/>
              <w:jc w:val="center"/>
              <w:rPr>
                <w:rFonts w:eastAsia="Times New Roman" w:cs="Times New Roman"/>
                <w:b/>
                <w:bCs/>
                <w:sz w:val="18"/>
                <w:szCs w:val="18"/>
                <w:lang w:eastAsia="sk-SK"/>
              </w:rPr>
            </w:pPr>
            <w:r w:rsidRPr="009819F0">
              <w:rPr>
                <w:rFonts w:eastAsia="Times New Roman" w:cs="Times New Roman"/>
                <w:b/>
                <w:bCs/>
                <w:sz w:val="18"/>
                <w:szCs w:val="18"/>
                <w:lang w:eastAsia="sk-SK"/>
              </w:rPr>
              <w:t>Účel</w:t>
            </w:r>
          </w:p>
        </w:tc>
        <w:tc>
          <w:tcPr>
            <w:tcW w:w="1314" w:type="dxa"/>
            <w:tcBorders>
              <w:top w:val="single" w:sz="4" w:space="0" w:color="auto"/>
              <w:left w:val="nil"/>
              <w:bottom w:val="single" w:sz="4" w:space="0" w:color="auto"/>
              <w:right w:val="nil"/>
            </w:tcBorders>
            <w:shd w:val="clear" w:color="auto" w:fill="auto"/>
            <w:vAlign w:val="center"/>
            <w:hideMark/>
          </w:tcPr>
          <w:p w14:paraId="7575134A" w14:textId="77777777" w:rsidR="00E76212" w:rsidRPr="009819F0" w:rsidRDefault="00E76212" w:rsidP="00D2560E">
            <w:pPr>
              <w:spacing w:after="0" w:line="240" w:lineRule="auto"/>
              <w:jc w:val="right"/>
              <w:rPr>
                <w:rFonts w:eastAsia="Times New Roman" w:cs="Times New Roman"/>
                <w:b/>
                <w:bCs/>
                <w:sz w:val="18"/>
                <w:szCs w:val="18"/>
                <w:lang w:eastAsia="sk-SK"/>
              </w:rPr>
            </w:pPr>
            <w:r w:rsidRPr="009819F0">
              <w:rPr>
                <w:rFonts w:eastAsia="Times New Roman" w:cs="Times New Roman"/>
                <w:b/>
                <w:bCs/>
                <w:sz w:val="18"/>
                <w:szCs w:val="18"/>
                <w:lang w:eastAsia="sk-SK"/>
              </w:rPr>
              <w:t xml:space="preserve">Suma v tis. eur </w:t>
            </w:r>
          </w:p>
        </w:tc>
      </w:tr>
      <w:tr w:rsidR="00E76212" w:rsidRPr="008C63ED" w14:paraId="5B832900" w14:textId="77777777" w:rsidTr="00D2560E">
        <w:trPr>
          <w:trHeight w:val="587"/>
        </w:trPr>
        <w:tc>
          <w:tcPr>
            <w:tcW w:w="2323" w:type="dxa"/>
            <w:tcBorders>
              <w:top w:val="nil"/>
              <w:left w:val="nil"/>
              <w:bottom w:val="nil"/>
              <w:right w:val="nil"/>
            </w:tcBorders>
            <w:shd w:val="clear" w:color="auto" w:fill="auto"/>
            <w:vAlign w:val="center"/>
            <w:hideMark/>
          </w:tcPr>
          <w:p w14:paraId="59E2D289" w14:textId="77777777" w:rsidR="00E76212" w:rsidRPr="009819F0" w:rsidRDefault="00E76212" w:rsidP="00D2560E">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Ministerstvo spravodlivosti SR</w:t>
            </w:r>
          </w:p>
        </w:tc>
        <w:tc>
          <w:tcPr>
            <w:tcW w:w="5474" w:type="dxa"/>
            <w:tcBorders>
              <w:top w:val="nil"/>
              <w:left w:val="nil"/>
              <w:bottom w:val="nil"/>
              <w:right w:val="nil"/>
            </w:tcBorders>
            <w:shd w:val="clear" w:color="auto" w:fill="auto"/>
            <w:vAlign w:val="center"/>
            <w:hideMark/>
          </w:tcPr>
          <w:p w14:paraId="6DB3B8B8" w14:textId="77777777" w:rsidR="00E76212" w:rsidRPr="009819F0" w:rsidRDefault="00E76212" w:rsidP="00D2560E">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Na projektovú dokumentáciu na výstavbu kostola Premenenia Pána v Ústave</w:t>
            </w:r>
          </w:p>
          <w:p w14:paraId="22C25AB7" w14:textId="77777777" w:rsidR="00E76212" w:rsidRPr="009819F0" w:rsidRDefault="00E76212" w:rsidP="00D2560E">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na výkon trestu odňatia slobody a výkon väzby Leopoldov</w:t>
            </w:r>
          </w:p>
        </w:tc>
        <w:tc>
          <w:tcPr>
            <w:tcW w:w="1314" w:type="dxa"/>
            <w:tcBorders>
              <w:top w:val="nil"/>
              <w:left w:val="nil"/>
              <w:bottom w:val="nil"/>
              <w:right w:val="nil"/>
            </w:tcBorders>
            <w:shd w:val="clear" w:color="auto" w:fill="auto"/>
            <w:noWrap/>
            <w:vAlign w:val="center"/>
            <w:hideMark/>
          </w:tcPr>
          <w:p w14:paraId="151ED94D" w14:textId="4084F318" w:rsidR="00E76212" w:rsidRPr="009819F0" w:rsidRDefault="00E76212" w:rsidP="00536426">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35</w:t>
            </w:r>
          </w:p>
        </w:tc>
      </w:tr>
      <w:tr w:rsidR="00E76212" w:rsidRPr="008C63ED" w14:paraId="2DBFDDA7" w14:textId="77777777" w:rsidTr="00D2560E">
        <w:trPr>
          <w:trHeight w:val="422"/>
        </w:trPr>
        <w:tc>
          <w:tcPr>
            <w:tcW w:w="2323" w:type="dxa"/>
            <w:tcBorders>
              <w:top w:val="nil"/>
              <w:left w:val="nil"/>
              <w:bottom w:val="nil"/>
              <w:right w:val="nil"/>
            </w:tcBorders>
            <w:shd w:val="clear" w:color="auto" w:fill="auto"/>
            <w:vAlign w:val="center"/>
            <w:hideMark/>
          </w:tcPr>
          <w:p w14:paraId="51C8D085" w14:textId="77777777" w:rsidR="00E76212" w:rsidRPr="009819F0" w:rsidRDefault="00E76212" w:rsidP="00D2560E">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Ministerstvo zahraničných vecí a európskych záležitostí SR</w:t>
            </w:r>
          </w:p>
        </w:tc>
        <w:tc>
          <w:tcPr>
            <w:tcW w:w="5474" w:type="dxa"/>
            <w:tcBorders>
              <w:top w:val="nil"/>
              <w:left w:val="nil"/>
              <w:bottom w:val="nil"/>
              <w:right w:val="nil"/>
            </w:tcBorders>
            <w:shd w:val="clear" w:color="auto" w:fill="auto"/>
            <w:vAlign w:val="center"/>
            <w:hideMark/>
          </w:tcPr>
          <w:p w14:paraId="1FF47142" w14:textId="77777777" w:rsidR="00E76212" w:rsidRPr="009819F0" w:rsidRDefault="00E76212" w:rsidP="00D2560E">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Na nájom priestorov Slovenskej katolíckej misie v Paríži</w:t>
            </w:r>
          </w:p>
        </w:tc>
        <w:tc>
          <w:tcPr>
            <w:tcW w:w="1314" w:type="dxa"/>
            <w:tcBorders>
              <w:top w:val="nil"/>
              <w:left w:val="nil"/>
              <w:bottom w:val="nil"/>
              <w:right w:val="nil"/>
            </w:tcBorders>
            <w:shd w:val="clear" w:color="auto" w:fill="auto"/>
            <w:noWrap/>
            <w:vAlign w:val="center"/>
            <w:hideMark/>
          </w:tcPr>
          <w:p w14:paraId="7FA9BCE0" w14:textId="62722846" w:rsidR="00E76212" w:rsidRPr="009819F0" w:rsidRDefault="00E76212" w:rsidP="00536426">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15</w:t>
            </w:r>
          </w:p>
        </w:tc>
      </w:tr>
      <w:tr w:rsidR="00E76212" w:rsidRPr="008C63ED" w14:paraId="34507FB2" w14:textId="77777777" w:rsidTr="00D2560E">
        <w:trPr>
          <w:trHeight w:val="380"/>
        </w:trPr>
        <w:tc>
          <w:tcPr>
            <w:tcW w:w="7797" w:type="dxa"/>
            <w:gridSpan w:val="2"/>
            <w:tcBorders>
              <w:top w:val="single" w:sz="4" w:space="0" w:color="auto"/>
              <w:left w:val="nil"/>
              <w:bottom w:val="single" w:sz="4" w:space="0" w:color="auto"/>
              <w:right w:val="nil"/>
            </w:tcBorders>
            <w:shd w:val="clear" w:color="000000" w:fill="FFFFFF"/>
            <w:vAlign w:val="center"/>
            <w:hideMark/>
          </w:tcPr>
          <w:p w14:paraId="34A7284F" w14:textId="77777777" w:rsidR="00E76212" w:rsidRPr="009819F0" w:rsidRDefault="00E76212" w:rsidP="009819F0">
            <w:pPr>
              <w:spacing w:after="0" w:line="240" w:lineRule="auto"/>
              <w:jc w:val="left"/>
              <w:rPr>
                <w:rFonts w:eastAsia="Times New Roman" w:cs="Times New Roman"/>
                <w:b/>
                <w:bCs/>
                <w:sz w:val="18"/>
                <w:szCs w:val="18"/>
                <w:lang w:eastAsia="sk-SK"/>
              </w:rPr>
            </w:pPr>
            <w:r w:rsidRPr="009819F0">
              <w:rPr>
                <w:rFonts w:eastAsia="Times New Roman" w:cs="Times New Roman"/>
                <w:b/>
                <w:bCs/>
                <w:sz w:val="18"/>
                <w:szCs w:val="18"/>
                <w:lang w:eastAsia="sk-SK"/>
              </w:rPr>
              <w:t>Spolu celkom</w:t>
            </w:r>
          </w:p>
        </w:tc>
        <w:tc>
          <w:tcPr>
            <w:tcW w:w="1314" w:type="dxa"/>
            <w:tcBorders>
              <w:top w:val="single" w:sz="4" w:space="0" w:color="auto"/>
              <w:left w:val="nil"/>
              <w:bottom w:val="single" w:sz="4" w:space="0" w:color="auto"/>
              <w:right w:val="nil"/>
            </w:tcBorders>
            <w:shd w:val="clear" w:color="auto" w:fill="auto"/>
            <w:noWrap/>
            <w:vAlign w:val="center"/>
            <w:hideMark/>
          </w:tcPr>
          <w:p w14:paraId="0BC233F9" w14:textId="77777777" w:rsidR="00E76212" w:rsidRPr="009819F0" w:rsidRDefault="00E76212" w:rsidP="00D2560E">
            <w:pPr>
              <w:spacing w:after="0" w:line="240" w:lineRule="auto"/>
              <w:jc w:val="right"/>
              <w:rPr>
                <w:rFonts w:eastAsia="Times New Roman" w:cs="Times New Roman"/>
                <w:b/>
                <w:bCs/>
                <w:sz w:val="18"/>
                <w:szCs w:val="18"/>
                <w:lang w:eastAsia="sk-SK"/>
              </w:rPr>
            </w:pPr>
            <w:r w:rsidRPr="009819F0">
              <w:rPr>
                <w:rFonts w:eastAsia="Times New Roman" w:cs="Times New Roman"/>
                <w:b/>
                <w:bCs/>
                <w:sz w:val="18"/>
                <w:szCs w:val="18"/>
                <w:lang w:eastAsia="sk-SK"/>
              </w:rPr>
              <w:t xml:space="preserve">50  </w:t>
            </w:r>
          </w:p>
        </w:tc>
      </w:tr>
    </w:tbl>
    <w:p w14:paraId="0F3F97E6" w14:textId="77777777" w:rsidR="00E76212" w:rsidRPr="008C63ED" w:rsidRDefault="00E76212" w:rsidP="009819F0">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sz w:val="24"/>
          <w:szCs w:val="24"/>
          <w:lang w:eastAsia="cs-CZ"/>
        </w:rPr>
      </w:pPr>
    </w:p>
    <w:p w14:paraId="15B309EE" w14:textId="0980C886" w:rsidR="00E76212" w:rsidRPr="004E3DEF" w:rsidRDefault="00E76212" w:rsidP="00E76212">
      <w:pPr>
        <w:keepNext/>
        <w:spacing w:after="0" w:line="240" w:lineRule="auto"/>
        <w:rPr>
          <w:b/>
          <w:bCs/>
          <w:color w:val="5B9BD5"/>
          <w:sz w:val="20"/>
          <w:szCs w:val="20"/>
        </w:rPr>
      </w:pPr>
      <w:r w:rsidRPr="004E3DEF">
        <w:rPr>
          <w:b/>
          <w:bCs/>
          <w:color w:val="5B9BD5"/>
          <w:sz w:val="20"/>
          <w:szCs w:val="20"/>
        </w:rPr>
        <w:t xml:space="preserve">Tabuľka </w:t>
      </w:r>
      <w:r w:rsidR="00DD022A">
        <w:rPr>
          <w:b/>
          <w:bCs/>
          <w:color w:val="5B9BD5"/>
          <w:sz w:val="20"/>
          <w:szCs w:val="20"/>
        </w:rPr>
        <w:t>53</w:t>
      </w:r>
      <w:r w:rsidRPr="004E3DEF">
        <w:rPr>
          <w:b/>
          <w:bCs/>
          <w:color w:val="5B9BD5"/>
          <w:sz w:val="20"/>
          <w:szCs w:val="20"/>
        </w:rPr>
        <w:t xml:space="preserve"> - Rezerva predsedu vlády – uvoľnené jednotlivým prijímateľom</w:t>
      </w:r>
    </w:p>
    <w:tbl>
      <w:tblPr>
        <w:tblW w:w="9356" w:type="dxa"/>
        <w:tblCellMar>
          <w:left w:w="70" w:type="dxa"/>
          <w:right w:w="70" w:type="dxa"/>
        </w:tblCellMar>
        <w:tblLook w:val="04A0" w:firstRow="1" w:lastRow="0" w:firstColumn="1" w:lastColumn="0" w:noHBand="0" w:noVBand="1"/>
      </w:tblPr>
      <w:tblGrid>
        <w:gridCol w:w="3969"/>
        <w:gridCol w:w="3828"/>
        <w:gridCol w:w="1559"/>
      </w:tblGrid>
      <w:tr w:rsidR="00E76212" w:rsidRPr="008C63ED" w14:paraId="3C95326B" w14:textId="77777777" w:rsidTr="00536426">
        <w:trPr>
          <w:trHeight w:val="419"/>
        </w:trPr>
        <w:tc>
          <w:tcPr>
            <w:tcW w:w="3969" w:type="dxa"/>
            <w:tcBorders>
              <w:top w:val="single" w:sz="4" w:space="0" w:color="auto"/>
              <w:left w:val="nil"/>
              <w:bottom w:val="single" w:sz="4" w:space="0" w:color="auto"/>
              <w:right w:val="nil"/>
            </w:tcBorders>
            <w:shd w:val="clear" w:color="auto" w:fill="auto"/>
            <w:noWrap/>
            <w:vAlign w:val="center"/>
            <w:hideMark/>
          </w:tcPr>
          <w:p w14:paraId="1090ABDB" w14:textId="77777777" w:rsidR="00E76212" w:rsidRPr="009819F0" w:rsidRDefault="00E76212" w:rsidP="00D2560E">
            <w:pPr>
              <w:spacing w:after="0" w:line="240" w:lineRule="auto"/>
              <w:rPr>
                <w:rFonts w:eastAsia="Times New Roman" w:cs="Times New Roman"/>
                <w:b/>
                <w:bCs/>
                <w:sz w:val="18"/>
                <w:szCs w:val="18"/>
                <w:lang w:eastAsia="sk-SK"/>
              </w:rPr>
            </w:pPr>
            <w:r w:rsidRPr="009819F0">
              <w:rPr>
                <w:rFonts w:eastAsia="Times New Roman" w:cs="Times New Roman"/>
                <w:b/>
                <w:bCs/>
                <w:sz w:val="18"/>
                <w:szCs w:val="18"/>
                <w:lang w:eastAsia="sk-SK"/>
              </w:rPr>
              <w:t>Prijímateľ</w:t>
            </w:r>
          </w:p>
        </w:tc>
        <w:tc>
          <w:tcPr>
            <w:tcW w:w="3828" w:type="dxa"/>
            <w:tcBorders>
              <w:top w:val="single" w:sz="4" w:space="0" w:color="auto"/>
              <w:left w:val="nil"/>
              <w:bottom w:val="single" w:sz="4" w:space="0" w:color="auto"/>
              <w:right w:val="nil"/>
            </w:tcBorders>
            <w:shd w:val="clear" w:color="auto" w:fill="auto"/>
            <w:noWrap/>
            <w:vAlign w:val="center"/>
            <w:hideMark/>
          </w:tcPr>
          <w:p w14:paraId="191DB379" w14:textId="77777777" w:rsidR="00E76212" w:rsidRPr="009819F0" w:rsidRDefault="00E76212" w:rsidP="00D2560E">
            <w:pPr>
              <w:spacing w:after="0" w:line="240" w:lineRule="auto"/>
              <w:rPr>
                <w:rFonts w:eastAsia="Times New Roman" w:cs="Times New Roman"/>
                <w:b/>
                <w:bCs/>
                <w:sz w:val="18"/>
                <w:szCs w:val="18"/>
                <w:lang w:eastAsia="sk-SK"/>
              </w:rPr>
            </w:pPr>
            <w:r w:rsidRPr="009819F0">
              <w:rPr>
                <w:rFonts w:eastAsia="Times New Roman" w:cs="Times New Roman"/>
                <w:b/>
                <w:bCs/>
                <w:sz w:val="18"/>
                <w:szCs w:val="18"/>
                <w:lang w:eastAsia="sk-SK"/>
              </w:rPr>
              <w:t>Účel</w:t>
            </w:r>
          </w:p>
        </w:tc>
        <w:tc>
          <w:tcPr>
            <w:tcW w:w="1559" w:type="dxa"/>
            <w:tcBorders>
              <w:top w:val="single" w:sz="4" w:space="0" w:color="auto"/>
              <w:left w:val="nil"/>
              <w:bottom w:val="single" w:sz="4" w:space="0" w:color="auto"/>
              <w:right w:val="nil"/>
            </w:tcBorders>
            <w:shd w:val="clear" w:color="auto" w:fill="auto"/>
            <w:vAlign w:val="center"/>
            <w:hideMark/>
          </w:tcPr>
          <w:p w14:paraId="237AE44D" w14:textId="77777777" w:rsidR="00E76212" w:rsidRPr="009819F0" w:rsidRDefault="00E76212" w:rsidP="00D2560E">
            <w:pPr>
              <w:spacing w:after="0" w:line="240" w:lineRule="auto"/>
              <w:jc w:val="right"/>
              <w:rPr>
                <w:rFonts w:eastAsia="Times New Roman" w:cs="Times New Roman"/>
                <w:b/>
                <w:bCs/>
                <w:sz w:val="18"/>
                <w:szCs w:val="18"/>
                <w:lang w:eastAsia="sk-SK"/>
              </w:rPr>
            </w:pPr>
            <w:r w:rsidRPr="009819F0">
              <w:rPr>
                <w:rFonts w:eastAsia="Times New Roman" w:cs="Times New Roman"/>
                <w:b/>
                <w:bCs/>
                <w:sz w:val="18"/>
                <w:szCs w:val="18"/>
                <w:lang w:eastAsia="sk-SK"/>
              </w:rPr>
              <w:t xml:space="preserve">Suma v tis. eur </w:t>
            </w:r>
          </w:p>
        </w:tc>
      </w:tr>
      <w:tr w:rsidR="00E76212" w:rsidRPr="008C63ED" w14:paraId="245EFCF2" w14:textId="77777777" w:rsidTr="00536426">
        <w:trPr>
          <w:trHeight w:val="329"/>
        </w:trPr>
        <w:tc>
          <w:tcPr>
            <w:tcW w:w="3969" w:type="dxa"/>
            <w:tcBorders>
              <w:top w:val="nil"/>
              <w:left w:val="nil"/>
              <w:bottom w:val="nil"/>
              <w:right w:val="nil"/>
            </w:tcBorders>
            <w:shd w:val="clear" w:color="auto" w:fill="auto"/>
            <w:vAlign w:val="center"/>
            <w:hideMark/>
          </w:tcPr>
          <w:p w14:paraId="42BC018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Linka detskej istoty, n. o., Na vŕšku 338/6, 811 01 Bratislava</w:t>
            </w:r>
          </w:p>
        </w:tc>
        <w:tc>
          <w:tcPr>
            <w:tcW w:w="3828" w:type="dxa"/>
            <w:tcBorders>
              <w:top w:val="nil"/>
              <w:left w:val="nil"/>
              <w:bottom w:val="nil"/>
              <w:right w:val="nil"/>
            </w:tcBorders>
            <w:shd w:val="clear" w:color="auto" w:fill="auto"/>
            <w:vAlign w:val="center"/>
            <w:hideMark/>
          </w:tcPr>
          <w:p w14:paraId="4194270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prevádzku Linky detskej istoty v roku 2023</w:t>
            </w:r>
          </w:p>
        </w:tc>
        <w:tc>
          <w:tcPr>
            <w:tcW w:w="1559" w:type="dxa"/>
            <w:tcBorders>
              <w:top w:val="nil"/>
              <w:left w:val="nil"/>
              <w:bottom w:val="nil"/>
              <w:right w:val="nil"/>
            </w:tcBorders>
            <w:shd w:val="clear" w:color="auto" w:fill="auto"/>
            <w:noWrap/>
            <w:vAlign w:val="center"/>
            <w:hideMark/>
          </w:tcPr>
          <w:p w14:paraId="6BAB441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100</w:t>
            </w:r>
          </w:p>
        </w:tc>
      </w:tr>
      <w:tr w:rsidR="00E76212" w:rsidRPr="008C63ED" w14:paraId="2F7BCCD0" w14:textId="77777777" w:rsidTr="00536426">
        <w:trPr>
          <w:trHeight w:val="329"/>
        </w:trPr>
        <w:tc>
          <w:tcPr>
            <w:tcW w:w="3969" w:type="dxa"/>
            <w:tcBorders>
              <w:top w:val="nil"/>
              <w:left w:val="nil"/>
              <w:bottom w:val="nil"/>
              <w:right w:val="nil"/>
            </w:tcBorders>
            <w:shd w:val="clear" w:color="auto" w:fill="auto"/>
            <w:vAlign w:val="center"/>
            <w:hideMark/>
          </w:tcPr>
          <w:p w14:paraId="6B1A8F60" w14:textId="77777777" w:rsidR="00E76212" w:rsidRPr="008C63ED" w:rsidRDefault="00E76212" w:rsidP="00D2560E">
            <w:pPr>
              <w:spacing w:after="0" w:line="240" w:lineRule="auto"/>
              <w:rPr>
                <w:rFonts w:eastAsia="Times New Roman" w:cs="Times New Roman"/>
                <w:sz w:val="16"/>
                <w:szCs w:val="16"/>
                <w:lang w:eastAsia="sk-SK"/>
              </w:rPr>
            </w:pPr>
            <w:proofErr w:type="spellStart"/>
            <w:r w:rsidRPr="008C63ED">
              <w:rPr>
                <w:rFonts w:eastAsia="Times New Roman" w:cs="Times New Roman"/>
                <w:sz w:val="16"/>
                <w:szCs w:val="16"/>
                <w:lang w:eastAsia="sk-SK"/>
              </w:rPr>
              <w:t>IPčko</w:t>
            </w:r>
            <w:proofErr w:type="spellEnd"/>
            <w:r w:rsidRPr="008C63ED">
              <w:rPr>
                <w:rFonts w:eastAsia="Times New Roman" w:cs="Times New Roman"/>
                <w:sz w:val="16"/>
                <w:szCs w:val="16"/>
                <w:lang w:eastAsia="sk-SK"/>
              </w:rPr>
              <w:t>, Na vŕšku 6, 911 01 Bratislava</w:t>
            </w:r>
          </w:p>
        </w:tc>
        <w:tc>
          <w:tcPr>
            <w:tcW w:w="3828" w:type="dxa"/>
            <w:tcBorders>
              <w:top w:val="nil"/>
              <w:left w:val="nil"/>
              <w:bottom w:val="nil"/>
              <w:right w:val="nil"/>
            </w:tcBorders>
            <w:shd w:val="clear" w:color="auto" w:fill="auto"/>
            <w:vAlign w:val="center"/>
            <w:hideMark/>
          </w:tcPr>
          <w:p w14:paraId="74FB504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prevádzku liniek pomoci v roku 2023</w:t>
            </w:r>
          </w:p>
        </w:tc>
        <w:tc>
          <w:tcPr>
            <w:tcW w:w="1559" w:type="dxa"/>
            <w:tcBorders>
              <w:top w:val="nil"/>
              <w:left w:val="nil"/>
              <w:bottom w:val="nil"/>
              <w:right w:val="nil"/>
            </w:tcBorders>
            <w:shd w:val="clear" w:color="auto" w:fill="auto"/>
            <w:noWrap/>
            <w:vAlign w:val="center"/>
            <w:hideMark/>
          </w:tcPr>
          <w:p w14:paraId="6844B90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100</w:t>
            </w:r>
          </w:p>
        </w:tc>
      </w:tr>
      <w:tr w:rsidR="00E76212" w:rsidRPr="008C63ED" w14:paraId="08E2417E" w14:textId="77777777" w:rsidTr="00536426">
        <w:trPr>
          <w:trHeight w:val="329"/>
        </w:trPr>
        <w:tc>
          <w:tcPr>
            <w:tcW w:w="3969" w:type="dxa"/>
            <w:tcBorders>
              <w:top w:val="nil"/>
              <w:left w:val="nil"/>
              <w:bottom w:val="nil"/>
              <w:right w:val="nil"/>
            </w:tcBorders>
            <w:shd w:val="clear" w:color="auto" w:fill="auto"/>
            <w:vAlign w:val="center"/>
            <w:hideMark/>
          </w:tcPr>
          <w:p w14:paraId="3B6D1E0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Liga za duševné zdravie SR, </w:t>
            </w:r>
            <w:proofErr w:type="spellStart"/>
            <w:r w:rsidRPr="008C63ED">
              <w:rPr>
                <w:rFonts w:eastAsia="Times New Roman" w:cs="Times New Roman"/>
                <w:sz w:val="16"/>
                <w:szCs w:val="16"/>
                <w:lang w:eastAsia="sk-SK"/>
              </w:rPr>
              <w:t>Ševčenkova</w:t>
            </w:r>
            <w:proofErr w:type="spellEnd"/>
            <w:r w:rsidRPr="008C63ED">
              <w:rPr>
                <w:rFonts w:eastAsia="Times New Roman" w:cs="Times New Roman"/>
                <w:sz w:val="16"/>
                <w:szCs w:val="16"/>
                <w:lang w:eastAsia="sk-SK"/>
              </w:rPr>
              <w:t xml:space="preserve"> 21, 851 01 Bratislava</w:t>
            </w:r>
          </w:p>
        </w:tc>
        <w:tc>
          <w:tcPr>
            <w:tcW w:w="3828" w:type="dxa"/>
            <w:tcBorders>
              <w:top w:val="nil"/>
              <w:left w:val="nil"/>
              <w:bottom w:val="nil"/>
              <w:right w:val="nil"/>
            </w:tcBorders>
            <w:shd w:val="clear" w:color="auto" w:fill="auto"/>
            <w:vAlign w:val="center"/>
            <w:hideMark/>
          </w:tcPr>
          <w:p w14:paraId="6425E3E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prevádzku Linky dôvery Nezábudka v roku 2023</w:t>
            </w:r>
          </w:p>
        </w:tc>
        <w:tc>
          <w:tcPr>
            <w:tcW w:w="1559" w:type="dxa"/>
            <w:tcBorders>
              <w:top w:val="nil"/>
              <w:left w:val="nil"/>
              <w:bottom w:val="nil"/>
              <w:right w:val="nil"/>
            </w:tcBorders>
            <w:shd w:val="clear" w:color="auto" w:fill="auto"/>
            <w:noWrap/>
            <w:vAlign w:val="center"/>
            <w:hideMark/>
          </w:tcPr>
          <w:p w14:paraId="1CA534A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50</w:t>
            </w:r>
          </w:p>
        </w:tc>
      </w:tr>
      <w:tr w:rsidR="00E76212" w:rsidRPr="008C63ED" w14:paraId="67F42E2F" w14:textId="77777777" w:rsidTr="00536426">
        <w:trPr>
          <w:trHeight w:val="449"/>
        </w:trPr>
        <w:tc>
          <w:tcPr>
            <w:tcW w:w="3969" w:type="dxa"/>
            <w:tcBorders>
              <w:top w:val="nil"/>
              <w:left w:val="nil"/>
              <w:bottom w:val="nil"/>
              <w:right w:val="nil"/>
            </w:tcBorders>
            <w:shd w:val="clear" w:color="auto" w:fill="auto"/>
            <w:vAlign w:val="center"/>
            <w:hideMark/>
          </w:tcPr>
          <w:p w14:paraId="6AF7292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Pútnické centrum Hora </w:t>
            </w:r>
            <w:proofErr w:type="spellStart"/>
            <w:r w:rsidRPr="008C63ED">
              <w:rPr>
                <w:rFonts w:eastAsia="Times New Roman" w:cs="Times New Roman"/>
                <w:sz w:val="16"/>
                <w:szCs w:val="16"/>
                <w:lang w:eastAsia="sk-SK"/>
              </w:rPr>
              <w:t>Zvir</w:t>
            </w:r>
            <w:proofErr w:type="spellEnd"/>
            <w:r w:rsidRPr="008C63ED">
              <w:rPr>
                <w:rFonts w:eastAsia="Times New Roman" w:cs="Times New Roman"/>
                <w:sz w:val="16"/>
                <w:szCs w:val="16"/>
                <w:lang w:eastAsia="sk-SK"/>
              </w:rPr>
              <w:t xml:space="preserve"> v Litmanovej, Litmanová 10, 065 31 Litmanová</w:t>
            </w:r>
          </w:p>
        </w:tc>
        <w:tc>
          <w:tcPr>
            <w:tcW w:w="3828" w:type="dxa"/>
            <w:tcBorders>
              <w:top w:val="nil"/>
              <w:left w:val="nil"/>
              <w:bottom w:val="nil"/>
              <w:right w:val="nil"/>
            </w:tcBorders>
            <w:shd w:val="clear" w:color="auto" w:fill="auto"/>
            <w:vAlign w:val="center"/>
            <w:hideMark/>
          </w:tcPr>
          <w:p w14:paraId="26F3C29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prestavbu objektu Pútnický dom</w:t>
            </w:r>
          </w:p>
        </w:tc>
        <w:tc>
          <w:tcPr>
            <w:tcW w:w="1559" w:type="dxa"/>
            <w:tcBorders>
              <w:top w:val="nil"/>
              <w:left w:val="nil"/>
              <w:bottom w:val="nil"/>
              <w:right w:val="nil"/>
            </w:tcBorders>
            <w:shd w:val="clear" w:color="auto" w:fill="auto"/>
            <w:noWrap/>
            <w:vAlign w:val="center"/>
            <w:hideMark/>
          </w:tcPr>
          <w:p w14:paraId="707C346D"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50</w:t>
            </w:r>
          </w:p>
        </w:tc>
      </w:tr>
      <w:tr w:rsidR="00E76212" w:rsidRPr="008C63ED" w14:paraId="16B693DF" w14:textId="77777777" w:rsidTr="00536426">
        <w:trPr>
          <w:trHeight w:val="449"/>
        </w:trPr>
        <w:tc>
          <w:tcPr>
            <w:tcW w:w="3969" w:type="dxa"/>
            <w:tcBorders>
              <w:top w:val="nil"/>
              <w:left w:val="nil"/>
              <w:bottom w:val="nil"/>
              <w:right w:val="nil"/>
            </w:tcBorders>
            <w:shd w:val="clear" w:color="auto" w:fill="auto"/>
            <w:vAlign w:val="center"/>
            <w:hideMark/>
          </w:tcPr>
          <w:p w14:paraId="1D9CB33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Pútnické centrum Klokočov n. o., Klokočov 139, 072 31 Klokočov</w:t>
            </w:r>
          </w:p>
        </w:tc>
        <w:tc>
          <w:tcPr>
            <w:tcW w:w="3828" w:type="dxa"/>
            <w:tcBorders>
              <w:top w:val="nil"/>
              <w:left w:val="nil"/>
              <w:bottom w:val="nil"/>
              <w:right w:val="nil"/>
            </w:tcBorders>
            <w:shd w:val="clear" w:color="auto" w:fill="auto"/>
            <w:vAlign w:val="center"/>
            <w:hideMark/>
          </w:tcPr>
          <w:p w14:paraId="1F932AC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rekonštrukciu poľného oltára v areáli pútnického miesta Klokočov </w:t>
            </w:r>
          </w:p>
        </w:tc>
        <w:tc>
          <w:tcPr>
            <w:tcW w:w="1559" w:type="dxa"/>
            <w:tcBorders>
              <w:top w:val="nil"/>
              <w:left w:val="nil"/>
              <w:bottom w:val="nil"/>
              <w:right w:val="nil"/>
            </w:tcBorders>
            <w:shd w:val="clear" w:color="auto" w:fill="auto"/>
            <w:noWrap/>
            <w:vAlign w:val="center"/>
            <w:hideMark/>
          </w:tcPr>
          <w:p w14:paraId="6BDCF52C"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40</w:t>
            </w:r>
          </w:p>
        </w:tc>
      </w:tr>
      <w:tr w:rsidR="00E76212" w:rsidRPr="008C63ED" w14:paraId="0A73B36E" w14:textId="77777777" w:rsidTr="00536426">
        <w:trPr>
          <w:trHeight w:val="449"/>
        </w:trPr>
        <w:tc>
          <w:tcPr>
            <w:tcW w:w="3969" w:type="dxa"/>
            <w:tcBorders>
              <w:top w:val="nil"/>
              <w:left w:val="nil"/>
              <w:bottom w:val="nil"/>
              <w:right w:val="nil"/>
            </w:tcBorders>
            <w:shd w:val="clear" w:color="auto" w:fill="auto"/>
            <w:vAlign w:val="center"/>
            <w:hideMark/>
          </w:tcPr>
          <w:p w14:paraId="7553814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Rímskokatolícka cirkev Farnosť Korňa, Korňa 886, 023 21 Korňa</w:t>
            </w:r>
          </w:p>
        </w:tc>
        <w:tc>
          <w:tcPr>
            <w:tcW w:w="3828" w:type="dxa"/>
            <w:tcBorders>
              <w:top w:val="nil"/>
              <w:left w:val="nil"/>
              <w:bottom w:val="nil"/>
              <w:right w:val="nil"/>
            </w:tcBorders>
            <w:shd w:val="clear" w:color="auto" w:fill="auto"/>
            <w:vAlign w:val="center"/>
            <w:hideMark/>
          </w:tcPr>
          <w:p w14:paraId="1F93E55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výstavbu </w:t>
            </w:r>
            <w:proofErr w:type="spellStart"/>
            <w:r w:rsidRPr="008C63ED">
              <w:rPr>
                <w:rFonts w:eastAsia="Times New Roman" w:cs="Times New Roman"/>
                <w:sz w:val="16"/>
                <w:szCs w:val="16"/>
                <w:lang w:eastAsia="sk-SK"/>
              </w:rPr>
              <w:t>Exercično</w:t>
            </w:r>
            <w:proofErr w:type="spellEnd"/>
            <w:r w:rsidRPr="008C63ED">
              <w:rPr>
                <w:rFonts w:eastAsia="Times New Roman" w:cs="Times New Roman"/>
                <w:sz w:val="16"/>
                <w:szCs w:val="16"/>
                <w:lang w:eastAsia="sk-SK"/>
              </w:rPr>
              <w:t xml:space="preserve"> - pastoračného zariadenia "Marta"</w:t>
            </w:r>
          </w:p>
        </w:tc>
        <w:tc>
          <w:tcPr>
            <w:tcW w:w="1559" w:type="dxa"/>
            <w:tcBorders>
              <w:top w:val="nil"/>
              <w:left w:val="nil"/>
              <w:bottom w:val="nil"/>
              <w:right w:val="nil"/>
            </w:tcBorders>
            <w:shd w:val="clear" w:color="auto" w:fill="auto"/>
            <w:noWrap/>
            <w:vAlign w:val="center"/>
            <w:hideMark/>
          </w:tcPr>
          <w:p w14:paraId="07D17B4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40</w:t>
            </w:r>
          </w:p>
        </w:tc>
      </w:tr>
      <w:tr w:rsidR="00E76212" w:rsidRPr="008C63ED" w14:paraId="28DA65DB" w14:textId="77777777" w:rsidTr="00536426">
        <w:trPr>
          <w:trHeight w:val="329"/>
        </w:trPr>
        <w:tc>
          <w:tcPr>
            <w:tcW w:w="3969" w:type="dxa"/>
            <w:tcBorders>
              <w:top w:val="nil"/>
              <w:left w:val="nil"/>
              <w:bottom w:val="nil"/>
              <w:right w:val="nil"/>
            </w:tcBorders>
            <w:shd w:val="clear" w:color="auto" w:fill="auto"/>
            <w:vAlign w:val="center"/>
            <w:hideMark/>
          </w:tcPr>
          <w:p w14:paraId="13B74BD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Obec Nižná Hutka, </w:t>
            </w:r>
            <w:proofErr w:type="spellStart"/>
            <w:r w:rsidRPr="008C63ED">
              <w:rPr>
                <w:rFonts w:eastAsia="Times New Roman" w:cs="Times New Roman"/>
                <w:sz w:val="16"/>
                <w:szCs w:val="16"/>
                <w:lang w:eastAsia="sk-SK"/>
              </w:rPr>
              <w:t>Ortášska</w:t>
            </w:r>
            <w:proofErr w:type="spellEnd"/>
            <w:r w:rsidRPr="008C63ED">
              <w:rPr>
                <w:rFonts w:eastAsia="Times New Roman" w:cs="Times New Roman"/>
                <w:sz w:val="16"/>
                <w:szCs w:val="16"/>
                <w:lang w:eastAsia="sk-SK"/>
              </w:rPr>
              <w:t xml:space="preserve"> 85/8, 040 18 Nižná Hutka</w:t>
            </w:r>
          </w:p>
        </w:tc>
        <w:tc>
          <w:tcPr>
            <w:tcW w:w="3828" w:type="dxa"/>
            <w:tcBorders>
              <w:top w:val="nil"/>
              <w:left w:val="nil"/>
              <w:bottom w:val="nil"/>
              <w:right w:val="nil"/>
            </w:tcBorders>
            <w:shd w:val="clear" w:color="auto" w:fill="auto"/>
            <w:vAlign w:val="center"/>
            <w:hideMark/>
          </w:tcPr>
          <w:p w14:paraId="79E6535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administratívnej budovy v obci</w:t>
            </w:r>
          </w:p>
        </w:tc>
        <w:tc>
          <w:tcPr>
            <w:tcW w:w="1559" w:type="dxa"/>
            <w:tcBorders>
              <w:top w:val="nil"/>
              <w:left w:val="nil"/>
              <w:bottom w:val="nil"/>
              <w:right w:val="nil"/>
            </w:tcBorders>
            <w:shd w:val="clear" w:color="auto" w:fill="auto"/>
            <w:noWrap/>
            <w:vAlign w:val="center"/>
            <w:hideMark/>
          </w:tcPr>
          <w:p w14:paraId="1419478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40</w:t>
            </w:r>
          </w:p>
        </w:tc>
      </w:tr>
      <w:tr w:rsidR="00E76212" w:rsidRPr="008C63ED" w14:paraId="0BE83BF9" w14:textId="77777777" w:rsidTr="00536426">
        <w:trPr>
          <w:trHeight w:val="449"/>
        </w:trPr>
        <w:tc>
          <w:tcPr>
            <w:tcW w:w="3969" w:type="dxa"/>
            <w:tcBorders>
              <w:top w:val="nil"/>
              <w:left w:val="nil"/>
              <w:bottom w:val="nil"/>
              <w:right w:val="nil"/>
            </w:tcBorders>
            <w:shd w:val="clear" w:color="auto" w:fill="auto"/>
            <w:vAlign w:val="center"/>
            <w:hideMark/>
          </w:tcPr>
          <w:p w14:paraId="5D824B8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Gréckokatolícka cirkev, farnosť Klokočov, Klokočov 139, 072 31 Klokočov</w:t>
            </w:r>
          </w:p>
        </w:tc>
        <w:tc>
          <w:tcPr>
            <w:tcW w:w="3828" w:type="dxa"/>
            <w:tcBorders>
              <w:top w:val="nil"/>
              <w:left w:val="nil"/>
              <w:bottom w:val="nil"/>
              <w:right w:val="nil"/>
            </w:tcBorders>
            <w:shd w:val="clear" w:color="auto" w:fill="auto"/>
            <w:vAlign w:val="center"/>
            <w:hideMark/>
          </w:tcPr>
          <w:p w14:paraId="6A98C3D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rekonštrukciu strechy na chráme v </w:t>
            </w:r>
            <w:proofErr w:type="spellStart"/>
            <w:r w:rsidRPr="008C63ED">
              <w:rPr>
                <w:rFonts w:eastAsia="Times New Roman" w:cs="Times New Roman"/>
                <w:sz w:val="16"/>
                <w:szCs w:val="16"/>
                <w:lang w:eastAsia="sk-SK"/>
              </w:rPr>
              <w:t>Klokočove</w:t>
            </w:r>
            <w:proofErr w:type="spellEnd"/>
          </w:p>
        </w:tc>
        <w:tc>
          <w:tcPr>
            <w:tcW w:w="1559" w:type="dxa"/>
            <w:tcBorders>
              <w:top w:val="nil"/>
              <w:left w:val="nil"/>
              <w:bottom w:val="nil"/>
              <w:right w:val="nil"/>
            </w:tcBorders>
            <w:shd w:val="clear" w:color="auto" w:fill="auto"/>
            <w:noWrap/>
            <w:vAlign w:val="center"/>
            <w:hideMark/>
          </w:tcPr>
          <w:p w14:paraId="019D5591"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40</w:t>
            </w:r>
          </w:p>
        </w:tc>
      </w:tr>
      <w:tr w:rsidR="00E76212" w:rsidRPr="008C63ED" w14:paraId="6F982E39" w14:textId="77777777" w:rsidTr="00536426">
        <w:trPr>
          <w:trHeight w:val="449"/>
        </w:trPr>
        <w:tc>
          <w:tcPr>
            <w:tcW w:w="3969" w:type="dxa"/>
            <w:tcBorders>
              <w:top w:val="nil"/>
              <w:left w:val="nil"/>
              <w:bottom w:val="nil"/>
              <w:right w:val="nil"/>
            </w:tcBorders>
            <w:shd w:val="clear" w:color="auto" w:fill="auto"/>
            <w:vAlign w:val="center"/>
            <w:hideMark/>
          </w:tcPr>
          <w:p w14:paraId="67517DF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Kotmanová, Kotmanová 122, 985 53 Kotmanová</w:t>
            </w:r>
          </w:p>
        </w:tc>
        <w:tc>
          <w:tcPr>
            <w:tcW w:w="3828" w:type="dxa"/>
            <w:tcBorders>
              <w:top w:val="nil"/>
              <w:left w:val="nil"/>
              <w:bottom w:val="nil"/>
              <w:right w:val="nil"/>
            </w:tcBorders>
            <w:shd w:val="clear" w:color="auto" w:fill="auto"/>
            <w:vAlign w:val="center"/>
            <w:hideMark/>
          </w:tcPr>
          <w:p w14:paraId="3C59A4F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komplexnú rekonštrukciu budovy Klubu mladých v obci</w:t>
            </w:r>
          </w:p>
        </w:tc>
        <w:tc>
          <w:tcPr>
            <w:tcW w:w="1559" w:type="dxa"/>
            <w:tcBorders>
              <w:top w:val="nil"/>
              <w:left w:val="nil"/>
              <w:bottom w:val="nil"/>
              <w:right w:val="nil"/>
            </w:tcBorders>
            <w:shd w:val="clear" w:color="auto" w:fill="auto"/>
            <w:noWrap/>
            <w:vAlign w:val="center"/>
            <w:hideMark/>
          </w:tcPr>
          <w:p w14:paraId="561B47A3"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38</w:t>
            </w:r>
          </w:p>
        </w:tc>
      </w:tr>
      <w:tr w:rsidR="00E76212" w:rsidRPr="008C63ED" w14:paraId="1C47D4CE" w14:textId="77777777" w:rsidTr="00536426">
        <w:trPr>
          <w:trHeight w:val="673"/>
        </w:trPr>
        <w:tc>
          <w:tcPr>
            <w:tcW w:w="3969" w:type="dxa"/>
            <w:tcBorders>
              <w:top w:val="nil"/>
              <w:left w:val="nil"/>
              <w:bottom w:val="nil"/>
              <w:right w:val="nil"/>
            </w:tcBorders>
            <w:shd w:val="clear" w:color="auto" w:fill="auto"/>
            <w:vAlign w:val="center"/>
            <w:hideMark/>
          </w:tcPr>
          <w:p w14:paraId="3C32442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Prešovský samosprávny kraj, Námestie mieru 5043/2, 080 01 Prešov</w:t>
            </w:r>
          </w:p>
        </w:tc>
        <w:tc>
          <w:tcPr>
            <w:tcW w:w="3828" w:type="dxa"/>
            <w:tcBorders>
              <w:top w:val="nil"/>
              <w:left w:val="nil"/>
              <w:bottom w:val="nil"/>
              <w:right w:val="nil"/>
            </w:tcBorders>
            <w:shd w:val="clear" w:color="auto" w:fill="auto"/>
            <w:vAlign w:val="center"/>
            <w:hideMark/>
          </w:tcPr>
          <w:p w14:paraId="6F6C96E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Pre Vihorlatskú hvezdáreň v Humennom na revitalizáciu verejných priestorov a na modernizáciu technického vybavenia </w:t>
            </w:r>
          </w:p>
        </w:tc>
        <w:tc>
          <w:tcPr>
            <w:tcW w:w="1559" w:type="dxa"/>
            <w:tcBorders>
              <w:top w:val="nil"/>
              <w:left w:val="nil"/>
              <w:bottom w:val="nil"/>
              <w:right w:val="nil"/>
            </w:tcBorders>
            <w:shd w:val="clear" w:color="auto" w:fill="auto"/>
            <w:noWrap/>
            <w:vAlign w:val="center"/>
            <w:hideMark/>
          </w:tcPr>
          <w:p w14:paraId="33E611D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30</w:t>
            </w:r>
          </w:p>
        </w:tc>
      </w:tr>
      <w:tr w:rsidR="00E76212" w:rsidRPr="008C63ED" w14:paraId="30A4A243" w14:textId="77777777" w:rsidTr="00536426">
        <w:trPr>
          <w:trHeight w:val="449"/>
        </w:trPr>
        <w:tc>
          <w:tcPr>
            <w:tcW w:w="3969" w:type="dxa"/>
            <w:tcBorders>
              <w:top w:val="nil"/>
              <w:left w:val="nil"/>
              <w:bottom w:val="nil"/>
              <w:right w:val="nil"/>
            </w:tcBorders>
            <w:shd w:val="clear" w:color="auto" w:fill="auto"/>
            <w:vAlign w:val="center"/>
            <w:hideMark/>
          </w:tcPr>
          <w:p w14:paraId="0ABB98F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Rímskokatolícka farnosť sv. Vojtecha, Gaboltov, Gaboltov 28, 086 02 Gaboltov</w:t>
            </w:r>
          </w:p>
        </w:tc>
        <w:tc>
          <w:tcPr>
            <w:tcW w:w="3828" w:type="dxa"/>
            <w:tcBorders>
              <w:top w:val="nil"/>
              <w:left w:val="nil"/>
              <w:bottom w:val="nil"/>
              <w:right w:val="nil"/>
            </w:tcBorders>
            <w:shd w:val="clear" w:color="auto" w:fill="auto"/>
            <w:vAlign w:val="center"/>
            <w:hideMark/>
          </w:tcPr>
          <w:p w14:paraId="59E6E83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rekonštrukciu strechy nad farským úradom </w:t>
            </w:r>
          </w:p>
        </w:tc>
        <w:tc>
          <w:tcPr>
            <w:tcW w:w="1559" w:type="dxa"/>
            <w:tcBorders>
              <w:top w:val="nil"/>
              <w:left w:val="nil"/>
              <w:bottom w:val="nil"/>
              <w:right w:val="nil"/>
            </w:tcBorders>
            <w:shd w:val="clear" w:color="auto" w:fill="auto"/>
            <w:noWrap/>
            <w:vAlign w:val="center"/>
            <w:hideMark/>
          </w:tcPr>
          <w:p w14:paraId="0A671BDD"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30</w:t>
            </w:r>
          </w:p>
        </w:tc>
      </w:tr>
      <w:tr w:rsidR="00E76212" w:rsidRPr="008C63ED" w14:paraId="59DAD647" w14:textId="77777777" w:rsidTr="00536426">
        <w:trPr>
          <w:trHeight w:val="669"/>
        </w:trPr>
        <w:tc>
          <w:tcPr>
            <w:tcW w:w="3969" w:type="dxa"/>
            <w:tcBorders>
              <w:top w:val="nil"/>
              <w:left w:val="nil"/>
              <w:bottom w:val="nil"/>
              <w:right w:val="nil"/>
            </w:tcBorders>
            <w:shd w:val="clear" w:color="auto" w:fill="auto"/>
            <w:vAlign w:val="center"/>
            <w:hideMark/>
          </w:tcPr>
          <w:p w14:paraId="36F1A7E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lastRenderedPageBreak/>
              <w:t>Vysokošpecializovaný odborný ústav geriatrický sv. Lukáša v Košiciach n. o., Strojárenská 1099/13, 040 01 Košice</w:t>
            </w:r>
          </w:p>
        </w:tc>
        <w:tc>
          <w:tcPr>
            <w:tcW w:w="3828" w:type="dxa"/>
            <w:tcBorders>
              <w:top w:val="nil"/>
              <w:left w:val="nil"/>
              <w:bottom w:val="nil"/>
              <w:right w:val="nil"/>
            </w:tcBorders>
            <w:shd w:val="clear" w:color="auto" w:fill="auto"/>
            <w:vAlign w:val="center"/>
            <w:hideMark/>
          </w:tcPr>
          <w:p w14:paraId="6FC402C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budovy nemocnice</w:t>
            </w:r>
          </w:p>
        </w:tc>
        <w:tc>
          <w:tcPr>
            <w:tcW w:w="1559" w:type="dxa"/>
            <w:tcBorders>
              <w:top w:val="nil"/>
              <w:left w:val="nil"/>
              <w:bottom w:val="nil"/>
              <w:right w:val="nil"/>
            </w:tcBorders>
            <w:shd w:val="clear" w:color="auto" w:fill="auto"/>
            <w:noWrap/>
            <w:vAlign w:val="center"/>
            <w:hideMark/>
          </w:tcPr>
          <w:p w14:paraId="4DABFB7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30</w:t>
            </w:r>
          </w:p>
        </w:tc>
      </w:tr>
      <w:tr w:rsidR="00E76212" w:rsidRPr="008C63ED" w14:paraId="55455B04" w14:textId="77777777" w:rsidTr="00536426">
        <w:trPr>
          <w:trHeight w:val="424"/>
        </w:trPr>
        <w:tc>
          <w:tcPr>
            <w:tcW w:w="3969" w:type="dxa"/>
            <w:tcBorders>
              <w:top w:val="nil"/>
              <w:left w:val="nil"/>
              <w:bottom w:val="nil"/>
              <w:right w:val="nil"/>
            </w:tcBorders>
            <w:shd w:val="clear" w:color="auto" w:fill="auto"/>
            <w:vAlign w:val="center"/>
            <w:hideMark/>
          </w:tcPr>
          <w:p w14:paraId="3B5B37A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Žilinský samosprávny kraj, Komenského 48, 011 09 Žilina</w:t>
            </w:r>
          </w:p>
        </w:tc>
        <w:tc>
          <w:tcPr>
            <w:tcW w:w="3828" w:type="dxa"/>
            <w:tcBorders>
              <w:top w:val="nil"/>
              <w:left w:val="nil"/>
              <w:bottom w:val="nil"/>
              <w:right w:val="nil"/>
            </w:tcBorders>
            <w:shd w:val="clear" w:color="auto" w:fill="auto"/>
            <w:vAlign w:val="center"/>
            <w:hideMark/>
          </w:tcPr>
          <w:p w14:paraId="35732E6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Pre Hornoorav</w:t>
            </w:r>
            <w:r>
              <w:rPr>
                <w:rFonts w:eastAsia="Times New Roman" w:cs="Times New Roman"/>
                <w:sz w:val="16"/>
                <w:szCs w:val="16"/>
                <w:lang w:eastAsia="sk-SK"/>
              </w:rPr>
              <w:t>skú nemocnicu s poliklinikou na</w:t>
            </w:r>
            <w:r w:rsidRPr="008C63ED">
              <w:rPr>
                <w:rFonts w:eastAsia="Times New Roman" w:cs="Times New Roman"/>
                <w:sz w:val="16"/>
                <w:szCs w:val="16"/>
                <w:lang w:eastAsia="sk-SK"/>
              </w:rPr>
              <w:t xml:space="preserve"> rekonštrukciu </w:t>
            </w:r>
            <w:proofErr w:type="spellStart"/>
            <w:r w:rsidRPr="008C63ED">
              <w:rPr>
                <w:rFonts w:eastAsia="Times New Roman" w:cs="Times New Roman"/>
                <w:sz w:val="16"/>
                <w:szCs w:val="16"/>
                <w:lang w:eastAsia="sk-SK"/>
              </w:rPr>
              <w:t>pochôdznej</w:t>
            </w:r>
            <w:proofErr w:type="spellEnd"/>
            <w:r w:rsidRPr="008C63ED">
              <w:rPr>
                <w:rFonts w:eastAsia="Times New Roman" w:cs="Times New Roman"/>
                <w:sz w:val="16"/>
                <w:szCs w:val="16"/>
                <w:lang w:eastAsia="sk-SK"/>
              </w:rPr>
              <w:t xml:space="preserve"> strechy a skladových priestorov</w:t>
            </w:r>
          </w:p>
        </w:tc>
        <w:tc>
          <w:tcPr>
            <w:tcW w:w="1559" w:type="dxa"/>
            <w:tcBorders>
              <w:top w:val="nil"/>
              <w:left w:val="nil"/>
              <w:bottom w:val="nil"/>
              <w:right w:val="nil"/>
            </w:tcBorders>
            <w:shd w:val="clear" w:color="auto" w:fill="auto"/>
            <w:noWrap/>
            <w:vAlign w:val="center"/>
            <w:hideMark/>
          </w:tcPr>
          <w:p w14:paraId="1EC70CDE"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30</w:t>
            </w:r>
          </w:p>
        </w:tc>
      </w:tr>
      <w:tr w:rsidR="00E76212" w:rsidRPr="008C63ED" w14:paraId="189442C6" w14:textId="77777777" w:rsidTr="00536426">
        <w:trPr>
          <w:trHeight w:val="449"/>
        </w:trPr>
        <w:tc>
          <w:tcPr>
            <w:tcW w:w="3969" w:type="dxa"/>
            <w:tcBorders>
              <w:top w:val="nil"/>
              <w:left w:val="nil"/>
              <w:bottom w:val="nil"/>
              <w:right w:val="nil"/>
            </w:tcBorders>
            <w:shd w:val="clear" w:color="auto" w:fill="auto"/>
            <w:vAlign w:val="center"/>
            <w:hideMark/>
          </w:tcPr>
          <w:p w14:paraId="60C1956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Spoločnosť priateľov detí</w:t>
            </w:r>
            <w:r>
              <w:rPr>
                <w:rFonts w:eastAsia="Times New Roman" w:cs="Times New Roman"/>
                <w:sz w:val="16"/>
                <w:szCs w:val="16"/>
                <w:lang w:eastAsia="sk-SK"/>
              </w:rPr>
              <w:t xml:space="preserve"> - Lienka, </w:t>
            </w:r>
            <w:proofErr w:type="spellStart"/>
            <w:r>
              <w:rPr>
                <w:rFonts w:eastAsia="Times New Roman" w:cs="Times New Roman"/>
                <w:sz w:val="16"/>
                <w:szCs w:val="16"/>
                <w:lang w:eastAsia="sk-SK"/>
              </w:rPr>
              <w:t>Zvoničná</w:t>
            </w:r>
            <w:proofErr w:type="spellEnd"/>
            <w:r>
              <w:rPr>
                <w:rFonts w:eastAsia="Times New Roman" w:cs="Times New Roman"/>
                <w:sz w:val="16"/>
                <w:szCs w:val="16"/>
                <w:lang w:eastAsia="sk-SK"/>
              </w:rPr>
              <w:t xml:space="preserve"> 202/18, 044</w:t>
            </w:r>
            <w:r w:rsidRPr="008C63ED">
              <w:rPr>
                <w:rFonts w:eastAsia="Times New Roman" w:cs="Times New Roman"/>
                <w:sz w:val="16"/>
                <w:szCs w:val="16"/>
                <w:lang w:eastAsia="sk-SK"/>
              </w:rPr>
              <w:t> 13 Valaliky</w:t>
            </w:r>
          </w:p>
        </w:tc>
        <w:tc>
          <w:tcPr>
            <w:tcW w:w="3828" w:type="dxa"/>
            <w:tcBorders>
              <w:top w:val="nil"/>
              <w:left w:val="nil"/>
              <w:bottom w:val="nil"/>
              <w:right w:val="nil"/>
            </w:tcBorders>
            <w:shd w:val="clear" w:color="auto" w:fill="auto"/>
            <w:vAlign w:val="center"/>
            <w:hideMark/>
          </w:tcPr>
          <w:p w14:paraId="7D8D47F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prevádzku Linky detskej dôvery v roku 2023</w:t>
            </w:r>
          </w:p>
        </w:tc>
        <w:tc>
          <w:tcPr>
            <w:tcW w:w="1559" w:type="dxa"/>
            <w:tcBorders>
              <w:top w:val="nil"/>
              <w:left w:val="nil"/>
              <w:bottom w:val="nil"/>
              <w:right w:val="nil"/>
            </w:tcBorders>
            <w:shd w:val="clear" w:color="auto" w:fill="auto"/>
            <w:noWrap/>
            <w:vAlign w:val="center"/>
            <w:hideMark/>
          </w:tcPr>
          <w:p w14:paraId="300DB2E2"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30</w:t>
            </w:r>
          </w:p>
        </w:tc>
      </w:tr>
      <w:tr w:rsidR="00E76212" w:rsidRPr="008C63ED" w14:paraId="6E2241F2" w14:textId="77777777" w:rsidTr="00536426">
        <w:trPr>
          <w:trHeight w:val="449"/>
        </w:trPr>
        <w:tc>
          <w:tcPr>
            <w:tcW w:w="3969" w:type="dxa"/>
            <w:tcBorders>
              <w:top w:val="nil"/>
              <w:left w:val="nil"/>
              <w:bottom w:val="nil"/>
              <w:right w:val="nil"/>
            </w:tcBorders>
            <w:shd w:val="clear" w:color="auto" w:fill="auto"/>
            <w:vAlign w:val="center"/>
            <w:hideMark/>
          </w:tcPr>
          <w:p w14:paraId="0AD2620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Fórum pre pomoc starším - národná sieť, Záhradnícka 24, 971 01 Prievidza</w:t>
            </w:r>
          </w:p>
        </w:tc>
        <w:tc>
          <w:tcPr>
            <w:tcW w:w="3828" w:type="dxa"/>
            <w:tcBorders>
              <w:top w:val="nil"/>
              <w:left w:val="nil"/>
              <w:bottom w:val="nil"/>
              <w:right w:val="nil"/>
            </w:tcBorders>
            <w:shd w:val="clear" w:color="auto" w:fill="auto"/>
            <w:vAlign w:val="center"/>
            <w:hideMark/>
          </w:tcPr>
          <w:p w14:paraId="44074D9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prevádzku Senior linky v roku 2023</w:t>
            </w:r>
          </w:p>
        </w:tc>
        <w:tc>
          <w:tcPr>
            <w:tcW w:w="1559" w:type="dxa"/>
            <w:tcBorders>
              <w:top w:val="nil"/>
              <w:left w:val="nil"/>
              <w:bottom w:val="nil"/>
              <w:right w:val="nil"/>
            </w:tcBorders>
            <w:shd w:val="clear" w:color="auto" w:fill="auto"/>
            <w:noWrap/>
            <w:vAlign w:val="center"/>
            <w:hideMark/>
          </w:tcPr>
          <w:p w14:paraId="673818F4"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30</w:t>
            </w:r>
          </w:p>
        </w:tc>
      </w:tr>
      <w:tr w:rsidR="00E76212" w:rsidRPr="008C63ED" w14:paraId="17601CE1" w14:textId="77777777" w:rsidTr="00536426">
        <w:trPr>
          <w:trHeight w:val="673"/>
        </w:trPr>
        <w:tc>
          <w:tcPr>
            <w:tcW w:w="3969" w:type="dxa"/>
            <w:tcBorders>
              <w:top w:val="nil"/>
              <w:left w:val="nil"/>
              <w:bottom w:val="nil"/>
              <w:right w:val="nil"/>
            </w:tcBorders>
            <w:shd w:val="clear" w:color="auto" w:fill="auto"/>
            <w:vAlign w:val="center"/>
            <w:hideMark/>
          </w:tcPr>
          <w:p w14:paraId="3348E40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Mesto Ružomberok, Nám. A. Hlinku 1098/1, 034 01 Ružomberok</w:t>
            </w:r>
          </w:p>
        </w:tc>
        <w:tc>
          <w:tcPr>
            <w:tcW w:w="3828" w:type="dxa"/>
            <w:tcBorders>
              <w:top w:val="nil"/>
              <w:left w:val="nil"/>
              <w:bottom w:val="nil"/>
              <w:right w:val="nil"/>
            </w:tcBorders>
            <w:shd w:val="clear" w:color="auto" w:fill="auto"/>
            <w:vAlign w:val="center"/>
            <w:hideMark/>
          </w:tcPr>
          <w:p w14:paraId="0E6128A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rekonštrukciu sociálnych zariadení a šatní </w:t>
            </w:r>
            <w:r w:rsidRPr="008C63ED">
              <w:rPr>
                <w:rFonts w:eastAsia="Times New Roman" w:cs="Times New Roman"/>
                <w:sz w:val="16"/>
                <w:szCs w:val="16"/>
                <w:lang w:eastAsia="sk-SK"/>
              </w:rPr>
              <w:br/>
              <w:t>v Materskej škole, Hrabovská cesta 2, Ružomberok</w:t>
            </w:r>
          </w:p>
        </w:tc>
        <w:tc>
          <w:tcPr>
            <w:tcW w:w="1559" w:type="dxa"/>
            <w:tcBorders>
              <w:top w:val="nil"/>
              <w:left w:val="nil"/>
              <w:bottom w:val="nil"/>
              <w:right w:val="nil"/>
            </w:tcBorders>
            <w:shd w:val="clear" w:color="auto" w:fill="auto"/>
            <w:noWrap/>
            <w:vAlign w:val="center"/>
            <w:hideMark/>
          </w:tcPr>
          <w:p w14:paraId="406254E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30</w:t>
            </w:r>
          </w:p>
        </w:tc>
      </w:tr>
      <w:tr w:rsidR="00E76212" w:rsidRPr="008C63ED" w14:paraId="4EEFBF2D" w14:textId="77777777" w:rsidTr="00536426">
        <w:trPr>
          <w:trHeight w:val="329"/>
        </w:trPr>
        <w:tc>
          <w:tcPr>
            <w:tcW w:w="3969" w:type="dxa"/>
            <w:tcBorders>
              <w:top w:val="nil"/>
              <w:left w:val="nil"/>
              <w:bottom w:val="nil"/>
              <w:right w:val="nil"/>
            </w:tcBorders>
            <w:shd w:val="clear" w:color="auto" w:fill="auto"/>
            <w:vAlign w:val="center"/>
            <w:hideMark/>
          </w:tcPr>
          <w:p w14:paraId="5D4099F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Bobrov, Námestie sv. Jakuba 173/3, 029 42 Bobrov</w:t>
            </w:r>
          </w:p>
        </w:tc>
        <w:tc>
          <w:tcPr>
            <w:tcW w:w="3828" w:type="dxa"/>
            <w:tcBorders>
              <w:top w:val="nil"/>
              <w:left w:val="nil"/>
              <w:bottom w:val="nil"/>
              <w:right w:val="nil"/>
            </w:tcBorders>
            <w:shd w:val="clear" w:color="auto" w:fill="auto"/>
            <w:vAlign w:val="center"/>
            <w:hideMark/>
          </w:tcPr>
          <w:p w14:paraId="126045D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administratívnej budovy v obci</w:t>
            </w:r>
          </w:p>
        </w:tc>
        <w:tc>
          <w:tcPr>
            <w:tcW w:w="1559" w:type="dxa"/>
            <w:tcBorders>
              <w:top w:val="nil"/>
              <w:left w:val="nil"/>
              <w:bottom w:val="nil"/>
              <w:right w:val="nil"/>
            </w:tcBorders>
            <w:shd w:val="clear" w:color="auto" w:fill="auto"/>
            <w:noWrap/>
            <w:vAlign w:val="center"/>
            <w:hideMark/>
          </w:tcPr>
          <w:p w14:paraId="12653004"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30</w:t>
            </w:r>
          </w:p>
        </w:tc>
      </w:tr>
      <w:tr w:rsidR="00E76212" w:rsidRPr="008C63ED" w14:paraId="32AA8C13" w14:textId="77777777" w:rsidTr="00536426">
        <w:trPr>
          <w:trHeight w:val="449"/>
        </w:trPr>
        <w:tc>
          <w:tcPr>
            <w:tcW w:w="3969" w:type="dxa"/>
            <w:tcBorders>
              <w:top w:val="nil"/>
              <w:left w:val="nil"/>
              <w:bottom w:val="nil"/>
              <w:right w:val="nil"/>
            </w:tcBorders>
            <w:shd w:val="clear" w:color="auto" w:fill="auto"/>
            <w:vAlign w:val="center"/>
            <w:hideMark/>
          </w:tcPr>
          <w:p w14:paraId="5E86044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Vysoká nad Kysucou, Vysoká nad Kysucou 215, 023 55 Vysoká nad Kysucou</w:t>
            </w:r>
          </w:p>
        </w:tc>
        <w:tc>
          <w:tcPr>
            <w:tcW w:w="3828" w:type="dxa"/>
            <w:tcBorders>
              <w:top w:val="nil"/>
              <w:left w:val="nil"/>
              <w:bottom w:val="nil"/>
              <w:right w:val="nil"/>
            </w:tcBorders>
            <w:shd w:val="clear" w:color="auto" w:fill="auto"/>
            <w:vAlign w:val="center"/>
            <w:hideMark/>
          </w:tcPr>
          <w:p w14:paraId="565E027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budovy zdravotného strediska v obci</w:t>
            </w:r>
          </w:p>
        </w:tc>
        <w:tc>
          <w:tcPr>
            <w:tcW w:w="1559" w:type="dxa"/>
            <w:tcBorders>
              <w:top w:val="nil"/>
              <w:left w:val="nil"/>
              <w:bottom w:val="nil"/>
              <w:right w:val="nil"/>
            </w:tcBorders>
            <w:shd w:val="clear" w:color="auto" w:fill="auto"/>
            <w:noWrap/>
            <w:vAlign w:val="center"/>
            <w:hideMark/>
          </w:tcPr>
          <w:p w14:paraId="6F914254"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30</w:t>
            </w:r>
          </w:p>
        </w:tc>
      </w:tr>
      <w:tr w:rsidR="00E76212" w:rsidRPr="008C63ED" w14:paraId="3926A43E" w14:textId="77777777" w:rsidTr="00536426">
        <w:trPr>
          <w:trHeight w:val="449"/>
        </w:trPr>
        <w:tc>
          <w:tcPr>
            <w:tcW w:w="3969" w:type="dxa"/>
            <w:tcBorders>
              <w:top w:val="nil"/>
              <w:left w:val="nil"/>
              <w:bottom w:val="nil"/>
              <w:right w:val="nil"/>
            </w:tcBorders>
            <w:shd w:val="clear" w:color="auto" w:fill="auto"/>
            <w:vAlign w:val="center"/>
            <w:hideMark/>
          </w:tcPr>
          <w:p w14:paraId="53CC7C9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Žilinský samosprávny kraj, Komenského 2622/48, 011 09 Žilina</w:t>
            </w:r>
          </w:p>
        </w:tc>
        <w:tc>
          <w:tcPr>
            <w:tcW w:w="3828" w:type="dxa"/>
            <w:tcBorders>
              <w:top w:val="nil"/>
              <w:left w:val="nil"/>
              <w:bottom w:val="nil"/>
              <w:right w:val="nil"/>
            </w:tcBorders>
            <w:shd w:val="clear" w:color="auto" w:fill="auto"/>
            <w:vAlign w:val="center"/>
            <w:hideMark/>
          </w:tcPr>
          <w:p w14:paraId="66D53FF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Pre Centrum sociálnych služieb ORAVA, </w:t>
            </w:r>
            <w:proofErr w:type="spellStart"/>
            <w:r w:rsidRPr="008C63ED">
              <w:rPr>
                <w:rFonts w:eastAsia="Times New Roman" w:cs="Times New Roman"/>
                <w:sz w:val="16"/>
                <w:szCs w:val="16"/>
                <w:lang w:eastAsia="sk-SK"/>
              </w:rPr>
              <w:t>Medvedzie</w:t>
            </w:r>
            <w:proofErr w:type="spellEnd"/>
            <w:r w:rsidRPr="008C63ED">
              <w:rPr>
                <w:rFonts w:eastAsia="Times New Roman" w:cs="Times New Roman"/>
                <w:sz w:val="16"/>
                <w:szCs w:val="16"/>
                <w:lang w:eastAsia="sk-SK"/>
              </w:rPr>
              <w:t xml:space="preserve"> 136, 027 44 Tvrdošín na modernizáciu budovy centra</w:t>
            </w:r>
          </w:p>
        </w:tc>
        <w:tc>
          <w:tcPr>
            <w:tcW w:w="1559" w:type="dxa"/>
            <w:tcBorders>
              <w:top w:val="nil"/>
              <w:left w:val="nil"/>
              <w:bottom w:val="nil"/>
              <w:right w:val="nil"/>
            </w:tcBorders>
            <w:shd w:val="clear" w:color="auto" w:fill="auto"/>
            <w:noWrap/>
            <w:vAlign w:val="center"/>
            <w:hideMark/>
          </w:tcPr>
          <w:p w14:paraId="1E04CC84"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30</w:t>
            </w:r>
          </w:p>
        </w:tc>
      </w:tr>
      <w:tr w:rsidR="00E76212" w:rsidRPr="008C63ED" w14:paraId="31F30DAD" w14:textId="77777777" w:rsidTr="00536426">
        <w:trPr>
          <w:trHeight w:val="449"/>
        </w:trPr>
        <w:tc>
          <w:tcPr>
            <w:tcW w:w="3969" w:type="dxa"/>
            <w:tcBorders>
              <w:top w:val="nil"/>
              <w:left w:val="nil"/>
              <w:bottom w:val="nil"/>
              <w:right w:val="nil"/>
            </w:tcBorders>
            <w:shd w:val="clear" w:color="auto" w:fill="auto"/>
            <w:vAlign w:val="center"/>
            <w:hideMark/>
          </w:tcPr>
          <w:p w14:paraId="1A77B28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Lehota pod Vtáčnikom, Námestie SNP 33/1, 972 42 Lehota pod Vtáčnikom</w:t>
            </w:r>
          </w:p>
        </w:tc>
        <w:tc>
          <w:tcPr>
            <w:tcW w:w="3828" w:type="dxa"/>
            <w:tcBorders>
              <w:top w:val="nil"/>
              <w:left w:val="nil"/>
              <w:bottom w:val="nil"/>
              <w:right w:val="nil"/>
            </w:tcBorders>
            <w:shd w:val="clear" w:color="auto" w:fill="auto"/>
            <w:vAlign w:val="center"/>
            <w:hideMark/>
          </w:tcPr>
          <w:p w14:paraId="7D08638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rekonštrukciu prírodného amfiteátra na </w:t>
            </w:r>
            <w:proofErr w:type="spellStart"/>
            <w:r w:rsidRPr="008C63ED">
              <w:rPr>
                <w:rFonts w:eastAsia="Times New Roman" w:cs="Times New Roman"/>
                <w:sz w:val="16"/>
                <w:szCs w:val="16"/>
                <w:lang w:eastAsia="sk-SK"/>
              </w:rPr>
              <w:t>Sekaninách</w:t>
            </w:r>
            <w:proofErr w:type="spellEnd"/>
          </w:p>
        </w:tc>
        <w:tc>
          <w:tcPr>
            <w:tcW w:w="1559" w:type="dxa"/>
            <w:tcBorders>
              <w:top w:val="nil"/>
              <w:left w:val="nil"/>
              <w:bottom w:val="nil"/>
              <w:right w:val="nil"/>
            </w:tcBorders>
            <w:shd w:val="clear" w:color="auto" w:fill="auto"/>
            <w:noWrap/>
            <w:vAlign w:val="center"/>
            <w:hideMark/>
          </w:tcPr>
          <w:p w14:paraId="45DFB36C"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28</w:t>
            </w:r>
          </w:p>
        </w:tc>
      </w:tr>
      <w:tr w:rsidR="00E76212" w:rsidRPr="008C63ED" w14:paraId="33012767" w14:textId="77777777" w:rsidTr="00536426">
        <w:trPr>
          <w:trHeight w:val="449"/>
        </w:trPr>
        <w:tc>
          <w:tcPr>
            <w:tcW w:w="3969" w:type="dxa"/>
            <w:tcBorders>
              <w:top w:val="nil"/>
              <w:left w:val="nil"/>
              <w:bottom w:val="nil"/>
              <w:right w:val="nil"/>
            </w:tcBorders>
            <w:shd w:val="clear" w:color="auto" w:fill="auto"/>
            <w:vAlign w:val="center"/>
            <w:hideMark/>
          </w:tcPr>
          <w:p w14:paraId="54607EB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Lehota pod Vtáčnikom, Námestie SNP 33/1, 972 42 Lehota pod Vtáčnikom</w:t>
            </w:r>
          </w:p>
        </w:tc>
        <w:tc>
          <w:tcPr>
            <w:tcW w:w="3828" w:type="dxa"/>
            <w:tcBorders>
              <w:top w:val="nil"/>
              <w:left w:val="nil"/>
              <w:bottom w:val="nil"/>
              <w:right w:val="nil"/>
            </w:tcBorders>
            <w:shd w:val="clear" w:color="auto" w:fill="auto"/>
            <w:vAlign w:val="center"/>
            <w:hideMark/>
          </w:tcPr>
          <w:p w14:paraId="14E9F64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sociálnych zariadení v priestoroch Základnej školy v obci</w:t>
            </w:r>
          </w:p>
        </w:tc>
        <w:tc>
          <w:tcPr>
            <w:tcW w:w="1559" w:type="dxa"/>
            <w:tcBorders>
              <w:top w:val="nil"/>
              <w:left w:val="nil"/>
              <w:bottom w:val="nil"/>
              <w:right w:val="nil"/>
            </w:tcBorders>
            <w:shd w:val="clear" w:color="auto" w:fill="auto"/>
            <w:noWrap/>
            <w:vAlign w:val="center"/>
            <w:hideMark/>
          </w:tcPr>
          <w:p w14:paraId="6E9A5D7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26</w:t>
            </w:r>
          </w:p>
        </w:tc>
      </w:tr>
      <w:tr w:rsidR="00E76212" w:rsidRPr="008C63ED" w14:paraId="48C27F0C" w14:textId="77777777" w:rsidTr="00536426">
        <w:trPr>
          <w:trHeight w:val="449"/>
        </w:trPr>
        <w:tc>
          <w:tcPr>
            <w:tcW w:w="3969" w:type="dxa"/>
            <w:tcBorders>
              <w:top w:val="nil"/>
              <w:left w:val="nil"/>
              <w:bottom w:val="nil"/>
              <w:right w:val="nil"/>
            </w:tcBorders>
            <w:shd w:val="clear" w:color="auto" w:fill="auto"/>
            <w:vAlign w:val="center"/>
            <w:hideMark/>
          </w:tcPr>
          <w:p w14:paraId="4E516DA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Gréckokatolícka </w:t>
            </w:r>
            <w:proofErr w:type="spellStart"/>
            <w:r w:rsidRPr="008C63ED">
              <w:rPr>
                <w:rFonts w:eastAsia="Times New Roman" w:cs="Times New Roman"/>
                <w:sz w:val="16"/>
                <w:szCs w:val="16"/>
                <w:lang w:eastAsia="sk-SK"/>
              </w:rPr>
              <w:t>eparchia</w:t>
            </w:r>
            <w:proofErr w:type="spellEnd"/>
            <w:r w:rsidRPr="008C63ED">
              <w:rPr>
                <w:rFonts w:eastAsia="Times New Roman" w:cs="Times New Roman"/>
                <w:sz w:val="16"/>
                <w:szCs w:val="16"/>
                <w:lang w:eastAsia="sk-SK"/>
              </w:rPr>
              <w:t xml:space="preserve"> Košice, Dominikánske námestie 575/2, 043 43 Košice - Mestská časť Staré Mesto</w:t>
            </w:r>
          </w:p>
        </w:tc>
        <w:tc>
          <w:tcPr>
            <w:tcW w:w="3828" w:type="dxa"/>
            <w:tcBorders>
              <w:top w:val="nil"/>
              <w:left w:val="nil"/>
              <w:bottom w:val="nil"/>
              <w:right w:val="nil"/>
            </w:tcBorders>
            <w:shd w:val="clear" w:color="auto" w:fill="auto"/>
            <w:vAlign w:val="center"/>
            <w:hideMark/>
          </w:tcPr>
          <w:p w14:paraId="24E8E50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odstránenie havarijného stavu budovy Meštianskeho domu v historickej časti mesta Košice</w:t>
            </w:r>
          </w:p>
        </w:tc>
        <w:tc>
          <w:tcPr>
            <w:tcW w:w="1559" w:type="dxa"/>
            <w:tcBorders>
              <w:top w:val="nil"/>
              <w:left w:val="nil"/>
              <w:bottom w:val="nil"/>
              <w:right w:val="nil"/>
            </w:tcBorders>
            <w:shd w:val="clear" w:color="auto" w:fill="auto"/>
            <w:noWrap/>
            <w:vAlign w:val="center"/>
            <w:hideMark/>
          </w:tcPr>
          <w:p w14:paraId="15A72852"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25</w:t>
            </w:r>
          </w:p>
        </w:tc>
      </w:tr>
      <w:tr w:rsidR="00E76212" w:rsidRPr="008C63ED" w14:paraId="4F1BA396" w14:textId="77777777" w:rsidTr="00536426">
        <w:trPr>
          <w:trHeight w:val="449"/>
        </w:trPr>
        <w:tc>
          <w:tcPr>
            <w:tcW w:w="3969" w:type="dxa"/>
            <w:tcBorders>
              <w:top w:val="nil"/>
              <w:left w:val="nil"/>
              <w:bottom w:val="nil"/>
              <w:right w:val="nil"/>
            </w:tcBorders>
            <w:shd w:val="clear" w:color="auto" w:fill="auto"/>
            <w:vAlign w:val="center"/>
            <w:hideMark/>
          </w:tcPr>
          <w:p w14:paraId="6890BE1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Lenartov, Lenartov 37, 086 06 Lenartov</w:t>
            </w:r>
          </w:p>
        </w:tc>
        <w:tc>
          <w:tcPr>
            <w:tcW w:w="3828" w:type="dxa"/>
            <w:tcBorders>
              <w:top w:val="nil"/>
              <w:left w:val="nil"/>
              <w:bottom w:val="nil"/>
              <w:right w:val="nil"/>
            </w:tcBorders>
            <w:shd w:val="clear" w:color="auto" w:fill="auto"/>
            <w:vAlign w:val="center"/>
            <w:hideMark/>
          </w:tcPr>
          <w:p w14:paraId="13DA0E5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opravu strechy na budove obecného úradu a kultúrneho domu</w:t>
            </w:r>
          </w:p>
        </w:tc>
        <w:tc>
          <w:tcPr>
            <w:tcW w:w="1559" w:type="dxa"/>
            <w:tcBorders>
              <w:top w:val="nil"/>
              <w:left w:val="nil"/>
              <w:bottom w:val="nil"/>
              <w:right w:val="nil"/>
            </w:tcBorders>
            <w:shd w:val="clear" w:color="auto" w:fill="auto"/>
            <w:noWrap/>
            <w:vAlign w:val="center"/>
            <w:hideMark/>
          </w:tcPr>
          <w:p w14:paraId="2F64F51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25</w:t>
            </w:r>
          </w:p>
        </w:tc>
      </w:tr>
      <w:tr w:rsidR="00E76212" w:rsidRPr="008C63ED" w14:paraId="7B5D32B5" w14:textId="77777777" w:rsidTr="00536426">
        <w:trPr>
          <w:trHeight w:val="673"/>
        </w:trPr>
        <w:tc>
          <w:tcPr>
            <w:tcW w:w="3969" w:type="dxa"/>
            <w:tcBorders>
              <w:top w:val="nil"/>
              <w:left w:val="nil"/>
              <w:bottom w:val="nil"/>
              <w:right w:val="nil"/>
            </w:tcBorders>
            <w:shd w:val="clear" w:color="auto" w:fill="auto"/>
            <w:vAlign w:val="center"/>
            <w:hideMark/>
          </w:tcPr>
          <w:p w14:paraId="725F93B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SVB a NP "SVB Okružná", Okružná 7/52, 972 51 Handlová</w:t>
            </w:r>
          </w:p>
        </w:tc>
        <w:tc>
          <w:tcPr>
            <w:tcW w:w="3828" w:type="dxa"/>
            <w:tcBorders>
              <w:top w:val="nil"/>
              <w:left w:val="nil"/>
              <w:bottom w:val="nil"/>
              <w:right w:val="nil"/>
            </w:tcBorders>
            <w:shd w:val="clear" w:color="auto" w:fill="auto"/>
            <w:vAlign w:val="center"/>
            <w:hideMark/>
          </w:tcPr>
          <w:p w14:paraId="57B2FF1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opravu bytového domu Okružná 1860/7 v Handlovej po požiari</w:t>
            </w:r>
          </w:p>
        </w:tc>
        <w:tc>
          <w:tcPr>
            <w:tcW w:w="1559" w:type="dxa"/>
            <w:tcBorders>
              <w:top w:val="nil"/>
              <w:left w:val="nil"/>
              <w:bottom w:val="nil"/>
              <w:right w:val="nil"/>
            </w:tcBorders>
            <w:shd w:val="clear" w:color="auto" w:fill="auto"/>
            <w:noWrap/>
            <w:vAlign w:val="center"/>
            <w:hideMark/>
          </w:tcPr>
          <w:p w14:paraId="08F0078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25</w:t>
            </w:r>
          </w:p>
        </w:tc>
      </w:tr>
      <w:tr w:rsidR="00E76212" w:rsidRPr="008C63ED" w14:paraId="55346D78" w14:textId="77777777" w:rsidTr="00536426">
        <w:trPr>
          <w:trHeight w:val="122"/>
        </w:trPr>
        <w:tc>
          <w:tcPr>
            <w:tcW w:w="3969" w:type="dxa"/>
            <w:tcBorders>
              <w:top w:val="nil"/>
              <w:left w:val="nil"/>
              <w:bottom w:val="nil"/>
              <w:right w:val="nil"/>
            </w:tcBorders>
            <w:shd w:val="clear" w:color="auto" w:fill="auto"/>
            <w:vAlign w:val="center"/>
            <w:hideMark/>
          </w:tcPr>
          <w:p w14:paraId="416F4F3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Skýcov, Školská 294/2, 951 85 Skýcov</w:t>
            </w:r>
          </w:p>
        </w:tc>
        <w:tc>
          <w:tcPr>
            <w:tcW w:w="3828" w:type="dxa"/>
            <w:tcBorders>
              <w:top w:val="nil"/>
              <w:left w:val="nil"/>
              <w:bottom w:val="nil"/>
              <w:right w:val="nil"/>
            </w:tcBorders>
            <w:shd w:val="clear" w:color="auto" w:fill="auto"/>
            <w:vAlign w:val="center"/>
            <w:hideMark/>
          </w:tcPr>
          <w:p w14:paraId="663E44B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budovy obecného úradu</w:t>
            </w:r>
          </w:p>
        </w:tc>
        <w:tc>
          <w:tcPr>
            <w:tcW w:w="1559" w:type="dxa"/>
            <w:tcBorders>
              <w:top w:val="nil"/>
              <w:left w:val="nil"/>
              <w:bottom w:val="nil"/>
              <w:right w:val="nil"/>
            </w:tcBorders>
            <w:shd w:val="clear" w:color="auto" w:fill="auto"/>
            <w:noWrap/>
            <w:vAlign w:val="center"/>
            <w:hideMark/>
          </w:tcPr>
          <w:p w14:paraId="7DDE5373"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24</w:t>
            </w:r>
          </w:p>
        </w:tc>
      </w:tr>
      <w:tr w:rsidR="00E76212" w:rsidRPr="008C63ED" w14:paraId="4C0E328D" w14:textId="77777777" w:rsidTr="00536426">
        <w:trPr>
          <w:trHeight w:val="329"/>
        </w:trPr>
        <w:tc>
          <w:tcPr>
            <w:tcW w:w="3969" w:type="dxa"/>
            <w:tcBorders>
              <w:top w:val="nil"/>
              <w:left w:val="nil"/>
              <w:bottom w:val="nil"/>
              <w:right w:val="nil"/>
            </w:tcBorders>
            <w:shd w:val="clear" w:color="auto" w:fill="auto"/>
            <w:vAlign w:val="center"/>
            <w:hideMark/>
          </w:tcPr>
          <w:p w14:paraId="575876D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AETÓS, Školská ulica 7/4, 076 62 Dvorianky</w:t>
            </w:r>
          </w:p>
        </w:tc>
        <w:tc>
          <w:tcPr>
            <w:tcW w:w="3828" w:type="dxa"/>
            <w:tcBorders>
              <w:top w:val="nil"/>
              <w:left w:val="nil"/>
              <w:bottom w:val="nil"/>
              <w:right w:val="nil"/>
            </w:tcBorders>
            <w:shd w:val="clear" w:color="auto" w:fill="auto"/>
            <w:vAlign w:val="center"/>
            <w:hideMark/>
          </w:tcPr>
          <w:p w14:paraId="77D35B8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nákup mikrobusu</w:t>
            </w:r>
          </w:p>
        </w:tc>
        <w:tc>
          <w:tcPr>
            <w:tcW w:w="1559" w:type="dxa"/>
            <w:tcBorders>
              <w:top w:val="nil"/>
              <w:left w:val="nil"/>
              <w:bottom w:val="nil"/>
              <w:right w:val="nil"/>
            </w:tcBorders>
            <w:shd w:val="clear" w:color="auto" w:fill="auto"/>
            <w:noWrap/>
            <w:vAlign w:val="center"/>
            <w:hideMark/>
          </w:tcPr>
          <w:p w14:paraId="026A88C9"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20</w:t>
            </w:r>
          </w:p>
        </w:tc>
      </w:tr>
      <w:tr w:rsidR="00E76212" w:rsidRPr="008C63ED" w14:paraId="68B2F8B3" w14:textId="77777777" w:rsidTr="00536426">
        <w:trPr>
          <w:trHeight w:val="329"/>
        </w:trPr>
        <w:tc>
          <w:tcPr>
            <w:tcW w:w="3969" w:type="dxa"/>
            <w:tcBorders>
              <w:top w:val="nil"/>
              <w:left w:val="nil"/>
              <w:bottom w:val="nil"/>
              <w:right w:val="nil"/>
            </w:tcBorders>
            <w:shd w:val="clear" w:color="auto" w:fill="auto"/>
            <w:vAlign w:val="center"/>
            <w:hideMark/>
          </w:tcPr>
          <w:p w14:paraId="57B6398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Nadácia PRONEA, Rudolfa Jašíka 159/10, 958 01 Partizánske </w:t>
            </w:r>
          </w:p>
        </w:tc>
        <w:tc>
          <w:tcPr>
            <w:tcW w:w="3828" w:type="dxa"/>
            <w:tcBorders>
              <w:top w:val="nil"/>
              <w:left w:val="nil"/>
              <w:bottom w:val="nil"/>
              <w:right w:val="nil"/>
            </w:tcBorders>
            <w:shd w:val="clear" w:color="auto" w:fill="auto"/>
            <w:vAlign w:val="center"/>
            <w:hideMark/>
          </w:tcPr>
          <w:p w14:paraId="04C97C2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výstavbu komunitného cvičiska</w:t>
            </w:r>
          </w:p>
        </w:tc>
        <w:tc>
          <w:tcPr>
            <w:tcW w:w="1559" w:type="dxa"/>
            <w:tcBorders>
              <w:top w:val="nil"/>
              <w:left w:val="nil"/>
              <w:bottom w:val="nil"/>
              <w:right w:val="nil"/>
            </w:tcBorders>
            <w:shd w:val="clear" w:color="auto" w:fill="auto"/>
            <w:noWrap/>
            <w:vAlign w:val="center"/>
            <w:hideMark/>
          </w:tcPr>
          <w:p w14:paraId="40ADDAE2"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20</w:t>
            </w:r>
          </w:p>
        </w:tc>
      </w:tr>
      <w:tr w:rsidR="00E76212" w:rsidRPr="008C63ED" w14:paraId="7EEAFF24" w14:textId="77777777" w:rsidTr="00536426">
        <w:trPr>
          <w:trHeight w:val="449"/>
        </w:trPr>
        <w:tc>
          <w:tcPr>
            <w:tcW w:w="3969" w:type="dxa"/>
            <w:tcBorders>
              <w:top w:val="nil"/>
              <w:left w:val="nil"/>
              <w:bottom w:val="nil"/>
              <w:right w:val="nil"/>
            </w:tcBorders>
            <w:shd w:val="clear" w:color="auto" w:fill="auto"/>
            <w:vAlign w:val="center"/>
            <w:hideMark/>
          </w:tcPr>
          <w:p w14:paraId="34FBDAB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Vyšné Ladičkovce, Vyšné Ladičkovce 24, 067 11 Vyšné Ladičkovce</w:t>
            </w:r>
          </w:p>
        </w:tc>
        <w:tc>
          <w:tcPr>
            <w:tcW w:w="3828" w:type="dxa"/>
            <w:tcBorders>
              <w:top w:val="nil"/>
              <w:left w:val="nil"/>
              <w:bottom w:val="nil"/>
              <w:right w:val="nil"/>
            </w:tcBorders>
            <w:shd w:val="clear" w:color="auto" w:fill="auto"/>
            <w:vAlign w:val="center"/>
            <w:hideMark/>
          </w:tcPr>
          <w:p w14:paraId="3D03A48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vybudovanie detského ihriska</w:t>
            </w:r>
          </w:p>
        </w:tc>
        <w:tc>
          <w:tcPr>
            <w:tcW w:w="1559" w:type="dxa"/>
            <w:tcBorders>
              <w:top w:val="nil"/>
              <w:left w:val="nil"/>
              <w:bottom w:val="nil"/>
              <w:right w:val="nil"/>
            </w:tcBorders>
            <w:shd w:val="clear" w:color="auto" w:fill="auto"/>
            <w:noWrap/>
            <w:vAlign w:val="center"/>
            <w:hideMark/>
          </w:tcPr>
          <w:p w14:paraId="4FCCCD4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20</w:t>
            </w:r>
          </w:p>
        </w:tc>
      </w:tr>
      <w:tr w:rsidR="00E76212" w:rsidRPr="008C63ED" w14:paraId="6D7F7D0D" w14:textId="77777777" w:rsidTr="00536426">
        <w:trPr>
          <w:trHeight w:val="673"/>
        </w:trPr>
        <w:tc>
          <w:tcPr>
            <w:tcW w:w="3969" w:type="dxa"/>
            <w:tcBorders>
              <w:top w:val="nil"/>
              <w:left w:val="nil"/>
              <w:bottom w:val="nil"/>
              <w:right w:val="nil"/>
            </w:tcBorders>
            <w:shd w:val="clear" w:color="auto" w:fill="auto"/>
            <w:vAlign w:val="center"/>
            <w:hideMark/>
          </w:tcPr>
          <w:p w14:paraId="184B01B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Gréckokatolícka cirkev, farnosť Košice – Ťahanovce, Budapeštianska 2452/48, 040 13 Košice – mestská časť Sídlisko Ťahanovce</w:t>
            </w:r>
          </w:p>
        </w:tc>
        <w:tc>
          <w:tcPr>
            <w:tcW w:w="3828" w:type="dxa"/>
            <w:tcBorders>
              <w:top w:val="nil"/>
              <w:left w:val="nil"/>
              <w:bottom w:val="nil"/>
              <w:right w:val="nil"/>
            </w:tcBorders>
            <w:shd w:val="clear" w:color="auto" w:fill="auto"/>
            <w:vAlign w:val="center"/>
            <w:hideMark/>
          </w:tcPr>
          <w:p w14:paraId="108C8F4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opravu strechy chrámu v mestskej časti Sídlisko Ťahanovce v Košiciach</w:t>
            </w:r>
          </w:p>
        </w:tc>
        <w:tc>
          <w:tcPr>
            <w:tcW w:w="1559" w:type="dxa"/>
            <w:tcBorders>
              <w:top w:val="nil"/>
              <w:left w:val="nil"/>
              <w:bottom w:val="nil"/>
              <w:right w:val="nil"/>
            </w:tcBorders>
            <w:shd w:val="clear" w:color="auto" w:fill="auto"/>
            <w:noWrap/>
            <w:vAlign w:val="center"/>
            <w:hideMark/>
          </w:tcPr>
          <w:p w14:paraId="7B61AEE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20</w:t>
            </w:r>
          </w:p>
        </w:tc>
      </w:tr>
      <w:tr w:rsidR="00E76212" w:rsidRPr="008C63ED" w14:paraId="4AEA1C54" w14:textId="77777777" w:rsidTr="00536426">
        <w:trPr>
          <w:trHeight w:val="329"/>
        </w:trPr>
        <w:tc>
          <w:tcPr>
            <w:tcW w:w="3969" w:type="dxa"/>
            <w:tcBorders>
              <w:top w:val="nil"/>
              <w:left w:val="nil"/>
              <w:bottom w:val="nil"/>
              <w:right w:val="nil"/>
            </w:tcBorders>
            <w:shd w:val="clear" w:color="auto" w:fill="auto"/>
            <w:vAlign w:val="center"/>
            <w:hideMark/>
          </w:tcPr>
          <w:p w14:paraId="4EED514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Hlivištia, Hlivištia 73, 073 01 Hlivištia</w:t>
            </w:r>
          </w:p>
        </w:tc>
        <w:tc>
          <w:tcPr>
            <w:tcW w:w="3828" w:type="dxa"/>
            <w:tcBorders>
              <w:top w:val="nil"/>
              <w:left w:val="nil"/>
              <w:bottom w:val="nil"/>
              <w:right w:val="nil"/>
            </w:tcBorders>
            <w:shd w:val="clear" w:color="auto" w:fill="auto"/>
            <w:vAlign w:val="center"/>
            <w:hideMark/>
          </w:tcPr>
          <w:p w14:paraId="0154373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opravu strechy Domu smútku v obci</w:t>
            </w:r>
          </w:p>
        </w:tc>
        <w:tc>
          <w:tcPr>
            <w:tcW w:w="1559" w:type="dxa"/>
            <w:tcBorders>
              <w:top w:val="nil"/>
              <w:left w:val="nil"/>
              <w:bottom w:val="nil"/>
              <w:right w:val="nil"/>
            </w:tcBorders>
            <w:shd w:val="clear" w:color="auto" w:fill="auto"/>
            <w:noWrap/>
            <w:vAlign w:val="center"/>
            <w:hideMark/>
          </w:tcPr>
          <w:p w14:paraId="16D6D65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18</w:t>
            </w:r>
          </w:p>
        </w:tc>
      </w:tr>
      <w:tr w:rsidR="00E76212" w:rsidRPr="008C63ED" w14:paraId="59C89219" w14:textId="77777777" w:rsidTr="00536426">
        <w:trPr>
          <w:trHeight w:val="449"/>
        </w:trPr>
        <w:tc>
          <w:tcPr>
            <w:tcW w:w="3969" w:type="dxa"/>
            <w:tcBorders>
              <w:top w:val="nil"/>
              <w:left w:val="nil"/>
              <w:bottom w:val="nil"/>
              <w:right w:val="nil"/>
            </w:tcBorders>
            <w:shd w:val="clear" w:color="auto" w:fill="auto"/>
            <w:vAlign w:val="center"/>
            <w:hideMark/>
          </w:tcPr>
          <w:p w14:paraId="124D9B7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Liptovská Kokava, Liptovská Kokava 390, 032 44 Liptovská Kokava</w:t>
            </w:r>
          </w:p>
        </w:tc>
        <w:tc>
          <w:tcPr>
            <w:tcW w:w="3828" w:type="dxa"/>
            <w:tcBorders>
              <w:top w:val="nil"/>
              <w:left w:val="nil"/>
              <w:bottom w:val="nil"/>
              <w:right w:val="nil"/>
            </w:tcBorders>
            <w:shd w:val="clear" w:color="auto" w:fill="auto"/>
            <w:vAlign w:val="center"/>
            <w:hideMark/>
          </w:tcPr>
          <w:p w14:paraId="4653122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opravu strechy budovy Základnej školy s materskou školou</w:t>
            </w:r>
          </w:p>
        </w:tc>
        <w:tc>
          <w:tcPr>
            <w:tcW w:w="1559" w:type="dxa"/>
            <w:tcBorders>
              <w:top w:val="nil"/>
              <w:left w:val="nil"/>
              <w:bottom w:val="nil"/>
              <w:right w:val="nil"/>
            </w:tcBorders>
            <w:shd w:val="clear" w:color="auto" w:fill="auto"/>
            <w:noWrap/>
            <w:vAlign w:val="center"/>
            <w:hideMark/>
          </w:tcPr>
          <w:p w14:paraId="7BED4DA4"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18</w:t>
            </w:r>
          </w:p>
        </w:tc>
      </w:tr>
      <w:tr w:rsidR="00E76212" w:rsidRPr="008C63ED" w14:paraId="37EDD167" w14:textId="77777777" w:rsidTr="00536426">
        <w:trPr>
          <w:trHeight w:val="449"/>
        </w:trPr>
        <w:tc>
          <w:tcPr>
            <w:tcW w:w="3969" w:type="dxa"/>
            <w:tcBorders>
              <w:top w:val="nil"/>
              <w:left w:val="nil"/>
              <w:bottom w:val="nil"/>
              <w:right w:val="nil"/>
            </w:tcBorders>
            <w:shd w:val="clear" w:color="auto" w:fill="auto"/>
            <w:vAlign w:val="center"/>
            <w:hideMark/>
          </w:tcPr>
          <w:p w14:paraId="7E99BD4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Dolná Krupá, Nám. L. van Beethovena 139/1, 919 65 Dolná Krupá</w:t>
            </w:r>
          </w:p>
        </w:tc>
        <w:tc>
          <w:tcPr>
            <w:tcW w:w="3828" w:type="dxa"/>
            <w:tcBorders>
              <w:top w:val="nil"/>
              <w:left w:val="nil"/>
              <w:bottom w:val="nil"/>
              <w:right w:val="nil"/>
            </w:tcBorders>
            <w:shd w:val="clear" w:color="auto" w:fill="auto"/>
            <w:vAlign w:val="center"/>
            <w:hideMark/>
          </w:tcPr>
          <w:p w14:paraId="6AFFDBE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rekonštrukciu kabín v areáli Obecného športového klubu v obci </w:t>
            </w:r>
          </w:p>
        </w:tc>
        <w:tc>
          <w:tcPr>
            <w:tcW w:w="1559" w:type="dxa"/>
            <w:tcBorders>
              <w:top w:val="nil"/>
              <w:left w:val="nil"/>
              <w:bottom w:val="nil"/>
              <w:right w:val="nil"/>
            </w:tcBorders>
            <w:shd w:val="clear" w:color="auto" w:fill="auto"/>
            <w:noWrap/>
            <w:vAlign w:val="center"/>
            <w:hideMark/>
          </w:tcPr>
          <w:p w14:paraId="74A34DD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17</w:t>
            </w:r>
          </w:p>
        </w:tc>
      </w:tr>
      <w:tr w:rsidR="00E76212" w:rsidRPr="008C63ED" w14:paraId="3818D115" w14:textId="77777777" w:rsidTr="00536426">
        <w:trPr>
          <w:trHeight w:val="224"/>
        </w:trPr>
        <w:tc>
          <w:tcPr>
            <w:tcW w:w="3969" w:type="dxa"/>
            <w:tcBorders>
              <w:top w:val="nil"/>
              <w:left w:val="nil"/>
              <w:bottom w:val="nil"/>
              <w:right w:val="nil"/>
            </w:tcBorders>
            <w:shd w:val="clear" w:color="auto" w:fill="auto"/>
            <w:vAlign w:val="center"/>
            <w:hideMark/>
          </w:tcPr>
          <w:p w14:paraId="39871AF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Mesto Veľký Meder, Komárňanská 207/9, 932 01 Veľký Meder</w:t>
            </w:r>
          </w:p>
        </w:tc>
        <w:tc>
          <w:tcPr>
            <w:tcW w:w="3828" w:type="dxa"/>
            <w:tcBorders>
              <w:top w:val="nil"/>
              <w:left w:val="nil"/>
              <w:bottom w:val="nil"/>
              <w:right w:val="nil"/>
            </w:tcBorders>
            <w:shd w:val="clear" w:color="auto" w:fill="auto"/>
            <w:vAlign w:val="center"/>
            <w:hideMark/>
          </w:tcPr>
          <w:p w14:paraId="0F2302B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opravu terás materskej školy </w:t>
            </w:r>
          </w:p>
        </w:tc>
        <w:tc>
          <w:tcPr>
            <w:tcW w:w="1559" w:type="dxa"/>
            <w:tcBorders>
              <w:top w:val="nil"/>
              <w:left w:val="nil"/>
              <w:bottom w:val="nil"/>
              <w:right w:val="nil"/>
            </w:tcBorders>
            <w:shd w:val="clear" w:color="auto" w:fill="auto"/>
            <w:noWrap/>
            <w:vAlign w:val="center"/>
            <w:hideMark/>
          </w:tcPr>
          <w:p w14:paraId="4D2C507E"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17</w:t>
            </w:r>
          </w:p>
        </w:tc>
      </w:tr>
      <w:tr w:rsidR="00E76212" w:rsidRPr="008C63ED" w14:paraId="447C1ECF" w14:textId="77777777" w:rsidTr="00536426">
        <w:trPr>
          <w:trHeight w:val="224"/>
        </w:trPr>
        <w:tc>
          <w:tcPr>
            <w:tcW w:w="3969" w:type="dxa"/>
            <w:tcBorders>
              <w:top w:val="nil"/>
              <w:left w:val="nil"/>
              <w:bottom w:val="nil"/>
              <w:right w:val="nil"/>
            </w:tcBorders>
            <w:shd w:val="clear" w:color="auto" w:fill="auto"/>
            <w:vAlign w:val="center"/>
            <w:hideMark/>
          </w:tcPr>
          <w:p w14:paraId="2B19EE4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Malé Zlievce, Malé Zlievce 75, 991 22 Malé Zlievce</w:t>
            </w:r>
          </w:p>
        </w:tc>
        <w:tc>
          <w:tcPr>
            <w:tcW w:w="3828" w:type="dxa"/>
            <w:tcBorders>
              <w:top w:val="nil"/>
              <w:left w:val="nil"/>
              <w:bottom w:val="nil"/>
              <w:right w:val="nil"/>
            </w:tcBorders>
            <w:shd w:val="clear" w:color="auto" w:fill="auto"/>
            <w:vAlign w:val="center"/>
            <w:hideMark/>
          </w:tcPr>
          <w:p w14:paraId="1CD6862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opravu strechy obecnej budovy </w:t>
            </w:r>
          </w:p>
        </w:tc>
        <w:tc>
          <w:tcPr>
            <w:tcW w:w="1559" w:type="dxa"/>
            <w:tcBorders>
              <w:top w:val="nil"/>
              <w:left w:val="nil"/>
              <w:bottom w:val="nil"/>
              <w:right w:val="nil"/>
            </w:tcBorders>
            <w:shd w:val="clear" w:color="auto" w:fill="auto"/>
            <w:noWrap/>
            <w:vAlign w:val="center"/>
            <w:hideMark/>
          </w:tcPr>
          <w:p w14:paraId="6CE5BC7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16</w:t>
            </w:r>
          </w:p>
        </w:tc>
      </w:tr>
      <w:tr w:rsidR="00E76212" w:rsidRPr="008C63ED" w14:paraId="6081D167" w14:textId="77777777" w:rsidTr="00536426">
        <w:trPr>
          <w:trHeight w:val="449"/>
        </w:trPr>
        <w:tc>
          <w:tcPr>
            <w:tcW w:w="3969" w:type="dxa"/>
            <w:tcBorders>
              <w:top w:val="nil"/>
              <w:left w:val="nil"/>
              <w:bottom w:val="nil"/>
              <w:right w:val="nil"/>
            </w:tcBorders>
            <w:shd w:val="clear" w:color="auto" w:fill="auto"/>
            <w:vAlign w:val="center"/>
            <w:hideMark/>
          </w:tcPr>
          <w:p w14:paraId="68B6D58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Rumanová, Rumanová 1, 951 37 Rumanová</w:t>
            </w:r>
          </w:p>
        </w:tc>
        <w:tc>
          <w:tcPr>
            <w:tcW w:w="3828" w:type="dxa"/>
            <w:tcBorders>
              <w:top w:val="nil"/>
              <w:left w:val="nil"/>
              <w:bottom w:val="nil"/>
              <w:right w:val="nil"/>
            </w:tcBorders>
            <w:shd w:val="clear" w:color="auto" w:fill="auto"/>
            <w:vAlign w:val="center"/>
            <w:hideMark/>
          </w:tcPr>
          <w:p w14:paraId="492A45D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vypracovanie projektovej dokumentácie na revitalizáciu centra obce</w:t>
            </w:r>
          </w:p>
        </w:tc>
        <w:tc>
          <w:tcPr>
            <w:tcW w:w="1559" w:type="dxa"/>
            <w:tcBorders>
              <w:top w:val="nil"/>
              <w:left w:val="nil"/>
              <w:bottom w:val="nil"/>
              <w:right w:val="nil"/>
            </w:tcBorders>
            <w:shd w:val="clear" w:color="auto" w:fill="auto"/>
            <w:noWrap/>
            <w:vAlign w:val="center"/>
            <w:hideMark/>
          </w:tcPr>
          <w:p w14:paraId="75C6A3A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16</w:t>
            </w:r>
          </w:p>
        </w:tc>
      </w:tr>
      <w:tr w:rsidR="00E76212" w:rsidRPr="008C63ED" w14:paraId="783AC80C" w14:textId="77777777" w:rsidTr="00536426">
        <w:trPr>
          <w:trHeight w:val="449"/>
        </w:trPr>
        <w:tc>
          <w:tcPr>
            <w:tcW w:w="3969" w:type="dxa"/>
            <w:tcBorders>
              <w:top w:val="nil"/>
              <w:left w:val="nil"/>
              <w:bottom w:val="nil"/>
              <w:right w:val="nil"/>
            </w:tcBorders>
            <w:shd w:val="clear" w:color="auto" w:fill="auto"/>
            <w:vAlign w:val="center"/>
            <w:hideMark/>
          </w:tcPr>
          <w:p w14:paraId="6F4B470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Rímskokatolícka cirkev, farnosť Bôrka, Bôrka 50, 049 42 Bôrka</w:t>
            </w:r>
          </w:p>
        </w:tc>
        <w:tc>
          <w:tcPr>
            <w:tcW w:w="3828" w:type="dxa"/>
            <w:tcBorders>
              <w:top w:val="nil"/>
              <w:left w:val="nil"/>
              <w:bottom w:val="nil"/>
              <w:right w:val="nil"/>
            </w:tcBorders>
            <w:shd w:val="clear" w:color="auto" w:fill="auto"/>
            <w:vAlign w:val="center"/>
            <w:hideMark/>
          </w:tcPr>
          <w:p w14:paraId="35F136A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vybudovanie sociálnych zariadení na pútnickom mieste Bôrka</w:t>
            </w:r>
          </w:p>
        </w:tc>
        <w:tc>
          <w:tcPr>
            <w:tcW w:w="1559" w:type="dxa"/>
            <w:tcBorders>
              <w:top w:val="nil"/>
              <w:left w:val="nil"/>
              <w:bottom w:val="nil"/>
              <w:right w:val="nil"/>
            </w:tcBorders>
            <w:shd w:val="clear" w:color="auto" w:fill="auto"/>
            <w:noWrap/>
            <w:vAlign w:val="center"/>
            <w:hideMark/>
          </w:tcPr>
          <w:p w14:paraId="01CB885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15</w:t>
            </w:r>
          </w:p>
        </w:tc>
      </w:tr>
      <w:tr w:rsidR="00E76212" w:rsidRPr="008C63ED" w14:paraId="60CEE6D8" w14:textId="77777777" w:rsidTr="00536426">
        <w:trPr>
          <w:trHeight w:val="449"/>
        </w:trPr>
        <w:tc>
          <w:tcPr>
            <w:tcW w:w="3969" w:type="dxa"/>
            <w:tcBorders>
              <w:top w:val="nil"/>
              <w:left w:val="nil"/>
              <w:bottom w:val="nil"/>
              <w:right w:val="nil"/>
            </w:tcBorders>
            <w:shd w:val="clear" w:color="auto" w:fill="auto"/>
            <w:vAlign w:val="center"/>
            <w:hideMark/>
          </w:tcPr>
          <w:p w14:paraId="02196F0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Rímskokatolícka cirkev, Farnosť Staré Hory, Staré Hory 169, 976 02 Staré Hory</w:t>
            </w:r>
          </w:p>
        </w:tc>
        <w:tc>
          <w:tcPr>
            <w:tcW w:w="3828" w:type="dxa"/>
            <w:tcBorders>
              <w:top w:val="nil"/>
              <w:left w:val="nil"/>
              <w:bottom w:val="nil"/>
              <w:right w:val="nil"/>
            </w:tcBorders>
            <w:shd w:val="clear" w:color="auto" w:fill="auto"/>
            <w:vAlign w:val="center"/>
            <w:hideMark/>
          </w:tcPr>
          <w:p w14:paraId="24C4EA8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rekonštrukciu interiéru kaplnky sv. Anny </w:t>
            </w:r>
          </w:p>
        </w:tc>
        <w:tc>
          <w:tcPr>
            <w:tcW w:w="1559" w:type="dxa"/>
            <w:tcBorders>
              <w:top w:val="nil"/>
              <w:left w:val="nil"/>
              <w:bottom w:val="nil"/>
              <w:right w:val="nil"/>
            </w:tcBorders>
            <w:shd w:val="clear" w:color="auto" w:fill="auto"/>
            <w:noWrap/>
            <w:vAlign w:val="center"/>
            <w:hideMark/>
          </w:tcPr>
          <w:p w14:paraId="31673E54"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15</w:t>
            </w:r>
          </w:p>
        </w:tc>
      </w:tr>
      <w:tr w:rsidR="00E76212" w:rsidRPr="008C63ED" w14:paraId="1341A65A" w14:textId="77777777" w:rsidTr="00536426">
        <w:trPr>
          <w:trHeight w:val="449"/>
        </w:trPr>
        <w:tc>
          <w:tcPr>
            <w:tcW w:w="3969" w:type="dxa"/>
            <w:tcBorders>
              <w:top w:val="nil"/>
              <w:left w:val="nil"/>
              <w:bottom w:val="nil"/>
              <w:right w:val="nil"/>
            </w:tcBorders>
            <w:shd w:val="clear" w:color="auto" w:fill="auto"/>
            <w:vAlign w:val="center"/>
            <w:hideMark/>
          </w:tcPr>
          <w:p w14:paraId="7C7ACD7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Cirkevný zbor Evanjelickej cirkvi augsburského vyznania na Slovensku Kameňany, Kameňany 6, 049 62 Kameňany</w:t>
            </w:r>
          </w:p>
        </w:tc>
        <w:tc>
          <w:tcPr>
            <w:tcW w:w="3828" w:type="dxa"/>
            <w:tcBorders>
              <w:top w:val="nil"/>
              <w:left w:val="nil"/>
              <w:bottom w:val="nil"/>
              <w:right w:val="nil"/>
            </w:tcBorders>
            <w:shd w:val="clear" w:color="auto" w:fill="auto"/>
            <w:vAlign w:val="center"/>
            <w:hideMark/>
          </w:tcPr>
          <w:p w14:paraId="0E2A89F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odstránenie havarijného stavu historickej budovy školy v Kameňanoch</w:t>
            </w:r>
          </w:p>
        </w:tc>
        <w:tc>
          <w:tcPr>
            <w:tcW w:w="1559" w:type="dxa"/>
            <w:tcBorders>
              <w:top w:val="nil"/>
              <w:left w:val="nil"/>
              <w:bottom w:val="nil"/>
              <w:right w:val="nil"/>
            </w:tcBorders>
            <w:shd w:val="clear" w:color="auto" w:fill="auto"/>
            <w:noWrap/>
            <w:vAlign w:val="center"/>
            <w:hideMark/>
          </w:tcPr>
          <w:p w14:paraId="10FB498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15</w:t>
            </w:r>
          </w:p>
        </w:tc>
      </w:tr>
      <w:tr w:rsidR="00E76212" w:rsidRPr="008C63ED" w14:paraId="78623150" w14:textId="77777777" w:rsidTr="00536426">
        <w:trPr>
          <w:trHeight w:val="224"/>
        </w:trPr>
        <w:tc>
          <w:tcPr>
            <w:tcW w:w="3969" w:type="dxa"/>
            <w:tcBorders>
              <w:top w:val="nil"/>
              <w:left w:val="nil"/>
              <w:bottom w:val="nil"/>
              <w:right w:val="nil"/>
            </w:tcBorders>
            <w:shd w:val="clear" w:color="auto" w:fill="auto"/>
            <w:vAlign w:val="center"/>
            <w:hideMark/>
          </w:tcPr>
          <w:p w14:paraId="5897956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Rímskokatolícka farnosť Božieho milosrdenstva - Košice KVP </w:t>
            </w:r>
          </w:p>
        </w:tc>
        <w:tc>
          <w:tcPr>
            <w:tcW w:w="3828" w:type="dxa"/>
            <w:tcBorders>
              <w:top w:val="nil"/>
              <w:left w:val="nil"/>
              <w:bottom w:val="nil"/>
              <w:right w:val="nil"/>
            </w:tcBorders>
            <w:shd w:val="clear" w:color="auto" w:fill="auto"/>
            <w:vAlign w:val="center"/>
            <w:hideMark/>
          </w:tcPr>
          <w:p w14:paraId="4A4B479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rekonštrukcia Svätyne - nová maľba </w:t>
            </w:r>
            <w:proofErr w:type="spellStart"/>
            <w:r w:rsidRPr="008C63ED">
              <w:rPr>
                <w:rFonts w:eastAsia="Times New Roman" w:cs="Times New Roman"/>
                <w:sz w:val="16"/>
                <w:szCs w:val="16"/>
                <w:lang w:eastAsia="sk-SK"/>
              </w:rPr>
              <w:t>patrocínia</w:t>
            </w:r>
            <w:proofErr w:type="spellEnd"/>
            <w:r w:rsidRPr="008C63ED">
              <w:rPr>
                <w:rFonts w:eastAsia="Times New Roman" w:cs="Times New Roman"/>
                <w:sz w:val="16"/>
                <w:szCs w:val="16"/>
                <w:lang w:eastAsia="sk-SK"/>
              </w:rPr>
              <w:t xml:space="preserve"> </w:t>
            </w:r>
          </w:p>
        </w:tc>
        <w:tc>
          <w:tcPr>
            <w:tcW w:w="1559" w:type="dxa"/>
            <w:tcBorders>
              <w:top w:val="nil"/>
              <w:left w:val="nil"/>
              <w:bottom w:val="nil"/>
              <w:right w:val="nil"/>
            </w:tcBorders>
            <w:shd w:val="clear" w:color="auto" w:fill="auto"/>
            <w:noWrap/>
            <w:vAlign w:val="center"/>
            <w:hideMark/>
          </w:tcPr>
          <w:p w14:paraId="4505538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15</w:t>
            </w:r>
          </w:p>
        </w:tc>
      </w:tr>
      <w:tr w:rsidR="00E76212" w:rsidRPr="008C63ED" w14:paraId="538EEB11" w14:textId="77777777" w:rsidTr="00536426">
        <w:trPr>
          <w:trHeight w:val="597"/>
        </w:trPr>
        <w:tc>
          <w:tcPr>
            <w:tcW w:w="3969" w:type="dxa"/>
            <w:tcBorders>
              <w:top w:val="nil"/>
              <w:left w:val="nil"/>
              <w:bottom w:val="nil"/>
              <w:right w:val="nil"/>
            </w:tcBorders>
            <w:shd w:val="clear" w:color="auto" w:fill="auto"/>
            <w:vAlign w:val="center"/>
            <w:hideMark/>
          </w:tcPr>
          <w:p w14:paraId="6A0AD10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BK </w:t>
            </w:r>
            <w:proofErr w:type="spellStart"/>
            <w:r w:rsidRPr="008C63ED">
              <w:rPr>
                <w:rFonts w:eastAsia="Times New Roman" w:cs="Times New Roman"/>
                <w:sz w:val="16"/>
                <w:szCs w:val="16"/>
                <w:lang w:eastAsia="sk-SK"/>
              </w:rPr>
              <w:t>Inter</w:t>
            </w:r>
            <w:proofErr w:type="spellEnd"/>
            <w:r w:rsidRPr="008C63ED">
              <w:rPr>
                <w:rFonts w:eastAsia="Times New Roman" w:cs="Times New Roman"/>
                <w:sz w:val="16"/>
                <w:szCs w:val="16"/>
                <w:lang w:eastAsia="sk-SK"/>
              </w:rPr>
              <w:t xml:space="preserve"> Bratislava mládež, Trnavská 1373/29, 832 84 Bratislava - mestská časť Nové Mesto </w:t>
            </w:r>
          </w:p>
        </w:tc>
        <w:tc>
          <w:tcPr>
            <w:tcW w:w="3828" w:type="dxa"/>
            <w:tcBorders>
              <w:top w:val="nil"/>
              <w:left w:val="nil"/>
              <w:bottom w:val="nil"/>
              <w:right w:val="nil"/>
            </w:tcBorders>
            <w:shd w:val="clear" w:color="auto" w:fill="auto"/>
            <w:vAlign w:val="center"/>
            <w:hideMark/>
          </w:tcPr>
          <w:p w14:paraId="3C0118D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podporu talentovanej basketbalovej mládeže </w:t>
            </w:r>
          </w:p>
        </w:tc>
        <w:tc>
          <w:tcPr>
            <w:tcW w:w="1559" w:type="dxa"/>
            <w:tcBorders>
              <w:top w:val="nil"/>
              <w:left w:val="nil"/>
              <w:bottom w:val="nil"/>
              <w:right w:val="nil"/>
            </w:tcBorders>
            <w:shd w:val="clear" w:color="auto" w:fill="auto"/>
            <w:noWrap/>
            <w:vAlign w:val="center"/>
            <w:hideMark/>
          </w:tcPr>
          <w:p w14:paraId="1121AA4C"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15</w:t>
            </w:r>
          </w:p>
        </w:tc>
      </w:tr>
      <w:tr w:rsidR="00E76212" w:rsidRPr="008C63ED" w14:paraId="45D54C38" w14:textId="77777777" w:rsidTr="00536426">
        <w:trPr>
          <w:trHeight w:val="224"/>
        </w:trPr>
        <w:tc>
          <w:tcPr>
            <w:tcW w:w="3969" w:type="dxa"/>
            <w:tcBorders>
              <w:top w:val="nil"/>
              <w:left w:val="nil"/>
              <w:bottom w:val="nil"/>
              <w:right w:val="nil"/>
            </w:tcBorders>
            <w:shd w:val="clear" w:color="auto" w:fill="auto"/>
            <w:vAlign w:val="center"/>
            <w:hideMark/>
          </w:tcPr>
          <w:p w14:paraId="2CDCD3A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Nemčice, Hlohovská cesta 376, 955 01 Nemčice</w:t>
            </w:r>
          </w:p>
        </w:tc>
        <w:tc>
          <w:tcPr>
            <w:tcW w:w="3828" w:type="dxa"/>
            <w:tcBorders>
              <w:top w:val="nil"/>
              <w:left w:val="nil"/>
              <w:bottom w:val="nil"/>
              <w:right w:val="nil"/>
            </w:tcBorders>
            <w:shd w:val="clear" w:color="auto" w:fill="auto"/>
            <w:vAlign w:val="center"/>
            <w:hideMark/>
          </w:tcPr>
          <w:p w14:paraId="2EAF82E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prevádzkové výdavky obce </w:t>
            </w:r>
          </w:p>
        </w:tc>
        <w:tc>
          <w:tcPr>
            <w:tcW w:w="1559" w:type="dxa"/>
            <w:tcBorders>
              <w:top w:val="nil"/>
              <w:left w:val="nil"/>
              <w:bottom w:val="nil"/>
              <w:right w:val="nil"/>
            </w:tcBorders>
            <w:shd w:val="clear" w:color="auto" w:fill="auto"/>
            <w:noWrap/>
            <w:vAlign w:val="center"/>
            <w:hideMark/>
          </w:tcPr>
          <w:p w14:paraId="1E3DD9B2"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15</w:t>
            </w:r>
          </w:p>
        </w:tc>
      </w:tr>
      <w:tr w:rsidR="00E76212" w:rsidRPr="008C63ED" w14:paraId="7BC94ABC" w14:textId="77777777" w:rsidTr="00536426">
        <w:trPr>
          <w:trHeight w:val="449"/>
        </w:trPr>
        <w:tc>
          <w:tcPr>
            <w:tcW w:w="3969" w:type="dxa"/>
            <w:tcBorders>
              <w:top w:val="nil"/>
              <w:left w:val="nil"/>
              <w:bottom w:val="nil"/>
              <w:right w:val="nil"/>
            </w:tcBorders>
            <w:shd w:val="clear" w:color="auto" w:fill="auto"/>
            <w:vAlign w:val="center"/>
            <w:hideMark/>
          </w:tcPr>
          <w:p w14:paraId="22D9CFE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Rímskokatolícka cirkev farnosť Vyšný Medzev, Hrdinov SNP 80/40, 044 25 Vyšný Medzev</w:t>
            </w:r>
          </w:p>
        </w:tc>
        <w:tc>
          <w:tcPr>
            <w:tcW w:w="3828" w:type="dxa"/>
            <w:tcBorders>
              <w:top w:val="nil"/>
              <w:left w:val="nil"/>
              <w:bottom w:val="nil"/>
              <w:right w:val="nil"/>
            </w:tcBorders>
            <w:shd w:val="clear" w:color="auto" w:fill="auto"/>
            <w:vAlign w:val="center"/>
            <w:hideMark/>
          </w:tcPr>
          <w:p w14:paraId="190A407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obnovu maľby kostola sv. Márie Magdalény</w:t>
            </w:r>
          </w:p>
        </w:tc>
        <w:tc>
          <w:tcPr>
            <w:tcW w:w="1559" w:type="dxa"/>
            <w:tcBorders>
              <w:top w:val="nil"/>
              <w:left w:val="nil"/>
              <w:bottom w:val="nil"/>
              <w:right w:val="nil"/>
            </w:tcBorders>
            <w:shd w:val="clear" w:color="auto" w:fill="auto"/>
            <w:noWrap/>
            <w:vAlign w:val="center"/>
            <w:hideMark/>
          </w:tcPr>
          <w:p w14:paraId="3957E3C2"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15</w:t>
            </w:r>
          </w:p>
        </w:tc>
      </w:tr>
      <w:tr w:rsidR="00E76212" w:rsidRPr="008C63ED" w14:paraId="3FCFBD73" w14:textId="77777777" w:rsidTr="00536426">
        <w:trPr>
          <w:trHeight w:val="449"/>
        </w:trPr>
        <w:tc>
          <w:tcPr>
            <w:tcW w:w="3969" w:type="dxa"/>
            <w:tcBorders>
              <w:top w:val="nil"/>
              <w:left w:val="nil"/>
              <w:bottom w:val="nil"/>
              <w:right w:val="nil"/>
            </w:tcBorders>
            <w:shd w:val="clear" w:color="auto" w:fill="auto"/>
            <w:vAlign w:val="center"/>
            <w:hideMark/>
          </w:tcPr>
          <w:p w14:paraId="7445168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lastRenderedPageBreak/>
              <w:t>Rímskokatolícka cirkev, farnosť Petržalka I, Daliborovo nám. 1997/1, 851 01 Bratislava – mestská časť Petržalka</w:t>
            </w:r>
          </w:p>
        </w:tc>
        <w:tc>
          <w:tcPr>
            <w:tcW w:w="3828" w:type="dxa"/>
            <w:tcBorders>
              <w:top w:val="nil"/>
              <w:left w:val="nil"/>
              <w:bottom w:val="nil"/>
              <w:right w:val="nil"/>
            </w:tcBorders>
            <w:shd w:val="clear" w:color="auto" w:fill="auto"/>
            <w:vAlign w:val="center"/>
            <w:hideMark/>
          </w:tcPr>
          <w:p w14:paraId="197DA87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Kaplnky sv. Kríža</w:t>
            </w:r>
          </w:p>
        </w:tc>
        <w:tc>
          <w:tcPr>
            <w:tcW w:w="1559" w:type="dxa"/>
            <w:tcBorders>
              <w:top w:val="nil"/>
              <w:left w:val="nil"/>
              <w:bottom w:val="nil"/>
              <w:right w:val="nil"/>
            </w:tcBorders>
            <w:shd w:val="clear" w:color="auto" w:fill="auto"/>
            <w:noWrap/>
            <w:vAlign w:val="center"/>
            <w:hideMark/>
          </w:tcPr>
          <w:p w14:paraId="04B5717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14</w:t>
            </w:r>
          </w:p>
        </w:tc>
      </w:tr>
      <w:tr w:rsidR="00E76212" w:rsidRPr="008C63ED" w14:paraId="1130E7E5" w14:textId="77777777" w:rsidTr="00536426">
        <w:trPr>
          <w:trHeight w:val="449"/>
        </w:trPr>
        <w:tc>
          <w:tcPr>
            <w:tcW w:w="3969" w:type="dxa"/>
            <w:tcBorders>
              <w:top w:val="nil"/>
              <w:left w:val="nil"/>
              <w:bottom w:val="nil"/>
              <w:right w:val="nil"/>
            </w:tcBorders>
            <w:shd w:val="clear" w:color="auto" w:fill="auto"/>
            <w:vAlign w:val="center"/>
            <w:hideMark/>
          </w:tcPr>
          <w:p w14:paraId="1FA3B3F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Slovenská Ľupča, Námestie SNP 1/13, 976 13 Slovenská Ľupča</w:t>
            </w:r>
          </w:p>
        </w:tc>
        <w:tc>
          <w:tcPr>
            <w:tcW w:w="3828" w:type="dxa"/>
            <w:tcBorders>
              <w:top w:val="nil"/>
              <w:left w:val="nil"/>
              <w:bottom w:val="nil"/>
              <w:right w:val="nil"/>
            </w:tcBorders>
            <w:shd w:val="clear" w:color="auto" w:fill="auto"/>
            <w:vAlign w:val="center"/>
            <w:hideMark/>
          </w:tcPr>
          <w:p w14:paraId="663C576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opravu miestnych komunikácií </w:t>
            </w:r>
          </w:p>
        </w:tc>
        <w:tc>
          <w:tcPr>
            <w:tcW w:w="1559" w:type="dxa"/>
            <w:tcBorders>
              <w:top w:val="nil"/>
              <w:left w:val="nil"/>
              <w:bottom w:val="nil"/>
              <w:right w:val="nil"/>
            </w:tcBorders>
            <w:shd w:val="clear" w:color="auto" w:fill="auto"/>
            <w:noWrap/>
            <w:vAlign w:val="center"/>
            <w:hideMark/>
          </w:tcPr>
          <w:p w14:paraId="33F3207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14</w:t>
            </w:r>
          </w:p>
        </w:tc>
      </w:tr>
      <w:tr w:rsidR="00E76212" w:rsidRPr="008C63ED" w14:paraId="747FA75C" w14:textId="77777777" w:rsidTr="00536426">
        <w:trPr>
          <w:trHeight w:val="224"/>
        </w:trPr>
        <w:tc>
          <w:tcPr>
            <w:tcW w:w="3969" w:type="dxa"/>
            <w:tcBorders>
              <w:top w:val="nil"/>
              <w:left w:val="nil"/>
              <w:bottom w:val="nil"/>
              <w:right w:val="nil"/>
            </w:tcBorders>
            <w:shd w:val="clear" w:color="auto" w:fill="auto"/>
            <w:vAlign w:val="center"/>
            <w:hideMark/>
          </w:tcPr>
          <w:p w14:paraId="1C3D094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Pača, Hlavná 18, 049 41 Pača</w:t>
            </w:r>
          </w:p>
        </w:tc>
        <w:tc>
          <w:tcPr>
            <w:tcW w:w="3828" w:type="dxa"/>
            <w:tcBorders>
              <w:top w:val="nil"/>
              <w:left w:val="nil"/>
              <w:bottom w:val="nil"/>
              <w:right w:val="nil"/>
            </w:tcBorders>
            <w:shd w:val="clear" w:color="auto" w:fill="auto"/>
            <w:vAlign w:val="center"/>
            <w:hideMark/>
          </w:tcPr>
          <w:p w14:paraId="6C9A589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kotolne polyfunkčnej budovy v obci</w:t>
            </w:r>
          </w:p>
        </w:tc>
        <w:tc>
          <w:tcPr>
            <w:tcW w:w="1559" w:type="dxa"/>
            <w:tcBorders>
              <w:top w:val="nil"/>
              <w:left w:val="nil"/>
              <w:bottom w:val="nil"/>
              <w:right w:val="nil"/>
            </w:tcBorders>
            <w:shd w:val="clear" w:color="auto" w:fill="auto"/>
            <w:noWrap/>
            <w:vAlign w:val="center"/>
            <w:hideMark/>
          </w:tcPr>
          <w:p w14:paraId="78446FBD"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13</w:t>
            </w:r>
          </w:p>
        </w:tc>
      </w:tr>
      <w:tr w:rsidR="00E76212" w:rsidRPr="008C63ED" w14:paraId="708A3098" w14:textId="77777777" w:rsidTr="00536426">
        <w:trPr>
          <w:trHeight w:val="449"/>
        </w:trPr>
        <w:tc>
          <w:tcPr>
            <w:tcW w:w="3969" w:type="dxa"/>
            <w:tcBorders>
              <w:top w:val="nil"/>
              <w:left w:val="nil"/>
              <w:bottom w:val="nil"/>
              <w:right w:val="nil"/>
            </w:tcBorders>
            <w:shd w:val="clear" w:color="auto" w:fill="auto"/>
            <w:vAlign w:val="center"/>
            <w:hideMark/>
          </w:tcPr>
          <w:p w14:paraId="60445E7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Gréckokatolícka </w:t>
            </w:r>
            <w:proofErr w:type="spellStart"/>
            <w:r w:rsidRPr="008C63ED">
              <w:rPr>
                <w:rFonts w:eastAsia="Times New Roman" w:cs="Times New Roman"/>
                <w:sz w:val="16"/>
                <w:szCs w:val="16"/>
                <w:lang w:eastAsia="sk-SK"/>
              </w:rPr>
              <w:t>eparchia</w:t>
            </w:r>
            <w:proofErr w:type="spellEnd"/>
            <w:r w:rsidRPr="008C63ED">
              <w:rPr>
                <w:rFonts w:eastAsia="Times New Roman" w:cs="Times New Roman"/>
                <w:sz w:val="16"/>
                <w:szCs w:val="16"/>
                <w:lang w:eastAsia="sk-SK"/>
              </w:rPr>
              <w:t xml:space="preserve"> Košice, Dominikánske námestie 575/2, 043 43 Košice - Mestská časť Staré Mesto</w:t>
            </w:r>
          </w:p>
        </w:tc>
        <w:tc>
          <w:tcPr>
            <w:tcW w:w="3828" w:type="dxa"/>
            <w:tcBorders>
              <w:top w:val="nil"/>
              <w:left w:val="nil"/>
              <w:bottom w:val="nil"/>
              <w:right w:val="nil"/>
            </w:tcBorders>
            <w:shd w:val="clear" w:color="auto" w:fill="auto"/>
            <w:vAlign w:val="center"/>
            <w:hideMark/>
          </w:tcPr>
          <w:p w14:paraId="39E8162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realizáciu projektu: "Návšteva kardinála </w:t>
            </w:r>
            <w:proofErr w:type="spellStart"/>
            <w:r w:rsidRPr="008C63ED">
              <w:rPr>
                <w:rFonts w:eastAsia="Times New Roman" w:cs="Times New Roman"/>
                <w:sz w:val="16"/>
                <w:szCs w:val="16"/>
                <w:lang w:eastAsia="sk-SK"/>
              </w:rPr>
              <w:t>Kurta</w:t>
            </w:r>
            <w:proofErr w:type="spellEnd"/>
            <w:r w:rsidRPr="008C63ED">
              <w:rPr>
                <w:rFonts w:eastAsia="Times New Roman" w:cs="Times New Roman"/>
                <w:sz w:val="16"/>
                <w:szCs w:val="16"/>
                <w:lang w:eastAsia="sk-SK"/>
              </w:rPr>
              <w:t xml:space="preserve"> </w:t>
            </w:r>
            <w:proofErr w:type="spellStart"/>
            <w:r w:rsidRPr="008C63ED">
              <w:rPr>
                <w:rFonts w:eastAsia="Times New Roman" w:cs="Times New Roman"/>
                <w:sz w:val="16"/>
                <w:szCs w:val="16"/>
                <w:lang w:eastAsia="sk-SK"/>
              </w:rPr>
              <w:t>Kocha</w:t>
            </w:r>
            <w:proofErr w:type="spellEnd"/>
            <w:r w:rsidRPr="008C63ED">
              <w:rPr>
                <w:rFonts w:eastAsia="Times New Roman" w:cs="Times New Roman"/>
                <w:sz w:val="16"/>
                <w:szCs w:val="16"/>
                <w:lang w:eastAsia="sk-SK"/>
              </w:rPr>
              <w:t xml:space="preserve"> na Slovensku" </w:t>
            </w:r>
          </w:p>
        </w:tc>
        <w:tc>
          <w:tcPr>
            <w:tcW w:w="1559" w:type="dxa"/>
            <w:tcBorders>
              <w:top w:val="nil"/>
              <w:left w:val="nil"/>
              <w:bottom w:val="nil"/>
              <w:right w:val="nil"/>
            </w:tcBorders>
            <w:shd w:val="clear" w:color="auto" w:fill="auto"/>
            <w:noWrap/>
            <w:vAlign w:val="center"/>
            <w:hideMark/>
          </w:tcPr>
          <w:p w14:paraId="17A6AEBC"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12</w:t>
            </w:r>
          </w:p>
        </w:tc>
      </w:tr>
      <w:tr w:rsidR="00E76212" w:rsidRPr="008C63ED" w14:paraId="007FF8FD" w14:textId="77777777" w:rsidTr="00536426">
        <w:trPr>
          <w:trHeight w:val="449"/>
        </w:trPr>
        <w:tc>
          <w:tcPr>
            <w:tcW w:w="3969" w:type="dxa"/>
            <w:tcBorders>
              <w:top w:val="nil"/>
              <w:left w:val="nil"/>
              <w:bottom w:val="nil"/>
              <w:right w:val="nil"/>
            </w:tcBorders>
            <w:shd w:val="clear" w:color="auto" w:fill="auto"/>
            <w:vAlign w:val="center"/>
            <w:hideMark/>
          </w:tcPr>
          <w:p w14:paraId="0077304F" w14:textId="0BAB68F1" w:rsidR="00E76212" w:rsidRPr="008C63ED" w:rsidRDefault="00E76212" w:rsidP="00536426">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Nevidzany, Nevidzany 106, 951 62 Nevidzany</w:t>
            </w:r>
          </w:p>
        </w:tc>
        <w:tc>
          <w:tcPr>
            <w:tcW w:w="3828" w:type="dxa"/>
            <w:tcBorders>
              <w:top w:val="nil"/>
              <w:left w:val="nil"/>
              <w:bottom w:val="nil"/>
              <w:right w:val="nil"/>
            </w:tcBorders>
            <w:shd w:val="clear" w:color="auto" w:fill="auto"/>
            <w:vAlign w:val="center"/>
            <w:hideMark/>
          </w:tcPr>
          <w:p w14:paraId="7784E83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úpravu verejného priestranstva a na opravu miestnej komunikácie </w:t>
            </w:r>
          </w:p>
        </w:tc>
        <w:tc>
          <w:tcPr>
            <w:tcW w:w="1559" w:type="dxa"/>
            <w:tcBorders>
              <w:top w:val="nil"/>
              <w:left w:val="nil"/>
              <w:bottom w:val="nil"/>
              <w:right w:val="nil"/>
            </w:tcBorders>
            <w:shd w:val="clear" w:color="auto" w:fill="auto"/>
            <w:noWrap/>
            <w:vAlign w:val="center"/>
            <w:hideMark/>
          </w:tcPr>
          <w:p w14:paraId="40CC810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11</w:t>
            </w:r>
          </w:p>
        </w:tc>
      </w:tr>
      <w:tr w:rsidR="00E76212" w:rsidRPr="008C63ED" w14:paraId="537A3C9C" w14:textId="77777777" w:rsidTr="00536426">
        <w:trPr>
          <w:trHeight w:val="224"/>
        </w:trPr>
        <w:tc>
          <w:tcPr>
            <w:tcW w:w="3969" w:type="dxa"/>
            <w:tcBorders>
              <w:top w:val="nil"/>
              <w:left w:val="nil"/>
              <w:bottom w:val="nil"/>
              <w:right w:val="nil"/>
            </w:tcBorders>
            <w:shd w:val="clear" w:color="auto" w:fill="auto"/>
            <w:vAlign w:val="center"/>
            <w:hideMark/>
          </w:tcPr>
          <w:p w14:paraId="487FC1E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Mesto Hnúšťa, </w:t>
            </w:r>
            <w:proofErr w:type="spellStart"/>
            <w:r w:rsidRPr="008C63ED">
              <w:rPr>
                <w:rFonts w:eastAsia="Times New Roman" w:cs="Times New Roman"/>
                <w:sz w:val="16"/>
                <w:szCs w:val="16"/>
                <w:lang w:eastAsia="sk-SK"/>
              </w:rPr>
              <w:t>Francisciho</w:t>
            </w:r>
            <w:proofErr w:type="spellEnd"/>
            <w:r w:rsidRPr="008C63ED">
              <w:rPr>
                <w:rFonts w:eastAsia="Times New Roman" w:cs="Times New Roman"/>
                <w:sz w:val="16"/>
                <w:szCs w:val="16"/>
                <w:lang w:eastAsia="sk-SK"/>
              </w:rPr>
              <w:t xml:space="preserve"> 74/2, 981 01 Hnúšťa</w:t>
            </w:r>
          </w:p>
        </w:tc>
        <w:tc>
          <w:tcPr>
            <w:tcW w:w="3828" w:type="dxa"/>
            <w:tcBorders>
              <w:top w:val="nil"/>
              <w:left w:val="nil"/>
              <w:bottom w:val="nil"/>
              <w:right w:val="nil"/>
            </w:tcBorders>
            <w:shd w:val="clear" w:color="auto" w:fill="auto"/>
            <w:vAlign w:val="center"/>
            <w:hideMark/>
          </w:tcPr>
          <w:p w14:paraId="683E730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rekonštrukciu detského dopravného ihriska v meste </w:t>
            </w:r>
          </w:p>
        </w:tc>
        <w:tc>
          <w:tcPr>
            <w:tcW w:w="1559" w:type="dxa"/>
            <w:tcBorders>
              <w:top w:val="nil"/>
              <w:left w:val="nil"/>
              <w:bottom w:val="nil"/>
              <w:right w:val="nil"/>
            </w:tcBorders>
            <w:shd w:val="clear" w:color="auto" w:fill="auto"/>
            <w:noWrap/>
            <w:vAlign w:val="center"/>
            <w:hideMark/>
          </w:tcPr>
          <w:p w14:paraId="3ED02DC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w:t>
            </w:r>
          </w:p>
        </w:tc>
      </w:tr>
      <w:tr w:rsidR="00E76212" w:rsidRPr="008C63ED" w14:paraId="7E3B665E" w14:textId="77777777" w:rsidTr="00536426">
        <w:trPr>
          <w:trHeight w:val="449"/>
        </w:trPr>
        <w:tc>
          <w:tcPr>
            <w:tcW w:w="3969" w:type="dxa"/>
            <w:tcBorders>
              <w:top w:val="nil"/>
              <w:left w:val="nil"/>
              <w:bottom w:val="nil"/>
              <w:right w:val="nil"/>
            </w:tcBorders>
            <w:shd w:val="clear" w:color="auto" w:fill="auto"/>
            <w:vAlign w:val="center"/>
            <w:hideMark/>
          </w:tcPr>
          <w:p w14:paraId="1374016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Drienica, Drienica 168, 083 01 Drienica</w:t>
            </w:r>
          </w:p>
        </w:tc>
        <w:tc>
          <w:tcPr>
            <w:tcW w:w="3828" w:type="dxa"/>
            <w:tcBorders>
              <w:top w:val="nil"/>
              <w:left w:val="nil"/>
              <w:bottom w:val="nil"/>
              <w:right w:val="nil"/>
            </w:tcBorders>
            <w:shd w:val="clear" w:color="auto" w:fill="auto"/>
            <w:vAlign w:val="center"/>
            <w:hideMark/>
          </w:tcPr>
          <w:p w14:paraId="64672A0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tribúny a altánku na multifunkčnom ihrisku</w:t>
            </w:r>
          </w:p>
        </w:tc>
        <w:tc>
          <w:tcPr>
            <w:tcW w:w="1559" w:type="dxa"/>
            <w:tcBorders>
              <w:top w:val="nil"/>
              <w:left w:val="nil"/>
              <w:bottom w:val="nil"/>
              <w:right w:val="nil"/>
            </w:tcBorders>
            <w:shd w:val="clear" w:color="auto" w:fill="auto"/>
            <w:noWrap/>
            <w:vAlign w:val="center"/>
            <w:hideMark/>
          </w:tcPr>
          <w:p w14:paraId="64C5402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w:t>
            </w:r>
          </w:p>
        </w:tc>
      </w:tr>
      <w:tr w:rsidR="00E76212" w:rsidRPr="008C63ED" w14:paraId="7B139E45" w14:textId="77777777" w:rsidTr="00536426">
        <w:trPr>
          <w:trHeight w:val="449"/>
        </w:trPr>
        <w:tc>
          <w:tcPr>
            <w:tcW w:w="3969" w:type="dxa"/>
            <w:tcBorders>
              <w:top w:val="nil"/>
              <w:left w:val="nil"/>
              <w:bottom w:val="nil"/>
              <w:right w:val="nil"/>
            </w:tcBorders>
            <w:shd w:val="clear" w:color="auto" w:fill="auto"/>
            <w:vAlign w:val="center"/>
            <w:hideMark/>
          </w:tcPr>
          <w:p w14:paraId="47D31F8E" w14:textId="776A22E4"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Iniciatíva Poď na dvor, </w:t>
            </w:r>
            <w:r w:rsidR="00AA1476">
              <w:rPr>
                <w:rFonts w:eastAsia="Times New Roman" w:cs="Times New Roman"/>
                <w:sz w:val="16"/>
                <w:szCs w:val="16"/>
                <w:lang w:eastAsia="sk-SK"/>
              </w:rPr>
              <w:t>Tomášikova 146/23</w:t>
            </w:r>
            <w:r w:rsidRPr="008C63ED">
              <w:rPr>
                <w:rFonts w:eastAsia="Times New Roman" w:cs="Times New Roman"/>
                <w:sz w:val="16"/>
                <w:szCs w:val="16"/>
                <w:lang w:eastAsia="sk-SK"/>
              </w:rPr>
              <w:t>, 040 01 Košice - mestská časť Sever</w:t>
            </w:r>
          </w:p>
        </w:tc>
        <w:tc>
          <w:tcPr>
            <w:tcW w:w="3828" w:type="dxa"/>
            <w:tcBorders>
              <w:top w:val="nil"/>
              <w:left w:val="nil"/>
              <w:bottom w:val="nil"/>
              <w:right w:val="nil"/>
            </w:tcBorders>
            <w:shd w:val="clear" w:color="auto" w:fill="auto"/>
            <w:vAlign w:val="center"/>
            <w:hideMark/>
          </w:tcPr>
          <w:p w14:paraId="096E6AB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„Komunitná záhrada“</w:t>
            </w:r>
          </w:p>
        </w:tc>
        <w:tc>
          <w:tcPr>
            <w:tcW w:w="1559" w:type="dxa"/>
            <w:tcBorders>
              <w:top w:val="nil"/>
              <w:left w:val="nil"/>
              <w:bottom w:val="nil"/>
              <w:right w:val="nil"/>
            </w:tcBorders>
            <w:shd w:val="clear" w:color="auto" w:fill="auto"/>
            <w:noWrap/>
            <w:vAlign w:val="center"/>
            <w:hideMark/>
          </w:tcPr>
          <w:p w14:paraId="6C00F06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w:t>
            </w:r>
          </w:p>
        </w:tc>
      </w:tr>
      <w:tr w:rsidR="00E76212" w:rsidRPr="008C63ED" w14:paraId="26362DF6" w14:textId="77777777" w:rsidTr="00536426">
        <w:trPr>
          <w:trHeight w:val="449"/>
        </w:trPr>
        <w:tc>
          <w:tcPr>
            <w:tcW w:w="3969" w:type="dxa"/>
            <w:tcBorders>
              <w:top w:val="nil"/>
              <w:left w:val="nil"/>
              <w:bottom w:val="nil"/>
              <w:right w:val="nil"/>
            </w:tcBorders>
            <w:shd w:val="clear" w:color="auto" w:fill="auto"/>
            <w:vAlign w:val="center"/>
            <w:hideMark/>
          </w:tcPr>
          <w:p w14:paraId="3AABAAD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Mesto Gbely, Námestie slobody 1261/1, 908 45 Gbely</w:t>
            </w:r>
          </w:p>
        </w:tc>
        <w:tc>
          <w:tcPr>
            <w:tcW w:w="3828" w:type="dxa"/>
            <w:tcBorders>
              <w:top w:val="nil"/>
              <w:left w:val="nil"/>
              <w:bottom w:val="nil"/>
              <w:right w:val="nil"/>
            </w:tcBorders>
            <w:shd w:val="clear" w:color="auto" w:fill="auto"/>
            <w:vAlign w:val="center"/>
            <w:hideMark/>
          </w:tcPr>
          <w:p w14:paraId="66C5B1A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„Náučný chodník v lokálnom biocentre Gbely“</w:t>
            </w:r>
          </w:p>
        </w:tc>
        <w:tc>
          <w:tcPr>
            <w:tcW w:w="1559" w:type="dxa"/>
            <w:tcBorders>
              <w:top w:val="nil"/>
              <w:left w:val="nil"/>
              <w:bottom w:val="nil"/>
              <w:right w:val="nil"/>
            </w:tcBorders>
            <w:shd w:val="clear" w:color="auto" w:fill="auto"/>
            <w:noWrap/>
            <w:vAlign w:val="center"/>
            <w:hideMark/>
          </w:tcPr>
          <w:p w14:paraId="493C37D1"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w:t>
            </w:r>
          </w:p>
        </w:tc>
      </w:tr>
      <w:tr w:rsidR="00E76212" w:rsidRPr="008C63ED" w14:paraId="32F39423" w14:textId="77777777" w:rsidTr="00536426">
        <w:trPr>
          <w:trHeight w:val="673"/>
        </w:trPr>
        <w:tc>
          <w:tcPr>
            <w:tcW w:w="3969" w:type="dxa"/>
            <w:tcBorders>
              <w:top w:val="nil"/>
              <w:left w:val="nil"/>
              <w:bottom w:val="nil"/>
              <w:right w:val="nil"/>
            </w:tcBorders>
            <w:shd w:val="clear" w:color="auto" w:fill="auto"/>
            <w:vAlign w:val="center"/>
            <w:hideMark/>
          </w:tcPr>
          <w:p w14:paraId="078DF277" w14:textId="77777777" w:rsidR="00E76212" w:rsidRPr="008C63ED" w:rsidRDefault="00E76212" w:rsidP="00D2560E">
            <w:pPr>
              <w:spacing w:after="0" w:line="240" w:lineRule="auto"/>
              <w:rPr>
                <w:rFonts w:eastAsia="Times New Roman" w:cs="Times New Roman"/>
                <w:sz w:val="16"/>
                <w:szCs w:val="16"/>
                <w:highlight w:val="yellow"/>
                <w:lang w:eastAsia="sk-SK"/>
              </w:rPr>
            </w:pPr>
            <w:r w:rsidRPr="008C63ED">
              <w:rPr>
                <w:rFonts w:eastAsia="Times New Roman" w:cs="Times New Roman"/>
                <w:sz w:val="16"/>
                <w:szCs w:val="16"/>
                <w:lang w:eastAsia="sk-SK"/>
              </w:rPr>
              <w:t>Mestská časť Bratislava - Karlova Ves, Námestie sv. Františka 8, 842 62 Bratislava - Mestská časť Karlova Ves</w:t>
            </w:r>
          </w:p>
        </w:tc>
        <w:tc>
          <w:tcPr>
            <w:tcW w:w="3828" w:type="dxa"/>
            <w:tcBorders>
              <w:top w:val="nil"/>
              <w:left w:val="nil"/>
              <w:bottom w:val="nil"/>
              <w:right w:val="nil"/>
            </w:tcBorders>
            <w:shd w:val="clear" w:color="auto" w:fill="auto"/>
            <w:vAlign w:val="center"/>
            <w:hideMark/>
          </w:tcPr>
          <w:p w14:paraId="6B9B664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realizáciu projektu: „Revitalizácia zelenej infraštruktúry - verejný park </w:t>
            </w:r>
            <w:proofErr w:type="spellStart"/>
            <w:r w:rsidRPr="008C63ED">
              <w:rPr>
                <w:rFonts w:eastAsia="Times New Roman" w:cs="Times New Roman"/>
                <w:sz w:val="16"/>
                <w:szCs w:val="16"/>
                <w:lang w:eastAsia="sk-SK"/>
              </w:rPr>
              <w:t>Kempelenova</w:t>
            </w:r>
            <w:proofErr w:type="spellEnd"/>
            <w:r w:rsidRPr="008C63ED">
              <w:rPr>
                <w:rFonts w:eastAsia="Times New Roman" w:cs="Times New Roman"/>
                <w:sz w:val="16"/>
                <w:szCs w:val="16"/>
                <w:lang w:eastAsia="sk-SK"/>
              </w:rPr>
              <w:t xml:space="preserve"> v Bratislave - Karlovej Vsi“</w:t>
            </w:r>
          </w:p>
        </w:tc>
        <w:tc>
          <w:tcPr>
            <w:tcW w:w="1559" w:type="dxa"/>
            <w:tcBorders>
              <w:top w:val="nil"/>
              <w:left w:val="nil"/>
              <w:bottom w:val="nil"/>
              <w:right w:val="nil"/>
            </w:tcBorders>
            <w:shd w:val="clear" w:color="auto" w:fill="auto"/>
            <w:noWrap/>
            <w:vAlign w:val="center"/>
            <w:hideMark/>
          </w:tcPr>
          <w:p w14:paraId="43AF30E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w:t>
            </w:r>
          </w:p>
        </w:tc>
      </w:tr>
      <w:tr w:rsidR="00E76212" w:rsidRPr="008C63ED" w14:paraId="7FC8B247" w14:textId="77777777" w:rsidTr="00536426">
        <w:trPr>
          <w:trHeight w:val="673"/>
        </w:trPr>
        <w:tc>
          <w:tcPr>
            <w:tcW w:w="3969" w:type="dxa"/>
            <w:tcBorders>
              <w:top w:val="nil"/>
              <w:left w:val="nil"/>
              <w:bottom w:val="nil"/>
              <w:right w:val="nil"/>
            </w:tcBorders>
            <w:shd w:val="clear" w:color="auto" w:fill="auto"/>
            <w:vAlign w:val="center"/>
            <w:hideMark/>
          </w:tcPr>
          <w:p w14:paraId="4586DF7A" w14:textId="437A0AA6" w:rsidR="00E76212" w:rsidRPr="008C63ED" w:rsidRDefault="00E76212" w:rsidP="00536426">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Lukáčovce, Lukáčovce 2, 951 23 Lukáčovce</w:t>
            </w:r>
          </w:p>
        </w:tc>
        <w:tc>
          <w:tcPr>
            <w:tcW w:w="3828" w:type="dxa"/>
            <w:tcBorders>
              <w:top w:val="nil"/>
              <w:left w:val="nil"/>
              <w:bottom w:val="nil"/>
              <w:right w:val="nil"/>
            </w:tcBorders>
            <w:shd w:val="clear" w:color="auto" w:fill="auto"/>
            <w:vAlign w:val="center"/>
            <w:hideMark/>
          </w:tcPr>
          <w:p w14:paraId="6238203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realizáciu projektu: „Revitalizácia verejného priestranstva prístupná pre občanov s podporou </w:t>
            </w:r>
            <w:proofErr w:type="spellStart"/>
            <w:r w:rsidRPr="008C63ED">
              <w:rPr>
                <w:rFonts w:eastAsia="Times New Roman" w:cs="Times New Roman"/>
                <w:sz w:val="16"/>
                <w:szCs w:val="16"/>
                <w:lang w:eastAsia="sk-SK"/>
              </w:rPr>
              <w:t>vodozádržných</w:t>
            </w:r>
            <w:proofErr w:type="spellEnd"/>
            <w:r w:rsidRPr="008C63ED">
              <w:rPr>
                <w:rFonts w:eastAsia="Times New Roman" w:cs="Times New Roman"/>
                <w:sz w:val="16"/>
                <w:szCs w:val="16"/>
                <w:lang w:eastAsia="sk-SK"/>
              </w:rPr>
              <w:t xml:space="preserve"> opatrení v obci“</w:t>
            </w:r>
          </w:p>
        </w:tc>
        <w:tc>
          <w:tcPr>
            <w:tcW w:w="1559" w:type="dxa"/>
            <w:tcBorders>
              <w:top w:val="nil"/>
              <w:left w:val="nil"/>
              <w:bottom w:val="nil"/>
              <w:right w:val="nil"/>
            </w:tcBorders>
            <w:shd w:val="clear" w:color="auto" w:fill="auto"/>
            <w:noWrap/>
            <w:vAlign w:val="center"/>
            <w:hideMark/>
          </w:tcPr>
          <w:p w14:paraId="1E38B01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w:t>
            </w:r>
          </w:p>
        </w:tc>
      </w:tr>
      <w:tr w:rsidR="00E76212" w:rsidRPr="008C63ED" w14:paraId="7D0042D5" w14:textId="77777777" w:rsidTr="00536426">
        <w:trPr>
          <w:trHeight w:val="673"/>
        </w:trPr>
        <w:tc>
          <w:tcPr>
            <w:tcW w:w="3969" w:type="dxa"/>
            <w:tcBorders>
              <w:top w:val="nil"/>
              <w:left w:val="nil"/>
              <w:bottom w:val="nil"/>
              <w:right w:val="nil"/>
            </w:tcBorders>
            <w:shd w:val="clear" w:color="auto" w:fill="auto"/>
            <w:vAlign w:val="center"/>
            <w:hideMark/>
          </w:tcPr>
          <w:p w14:paraId="516C500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Obec Šenkvice, Námestie Gabriela </w:t>
            </w:r>
            <w:proofErr w:type="spellStart"/>
            <w:r w:rsidRPr="008C63ED">
              <w:rPr>
                <w:rFonts w:eastAsia="Times New Roman" w:cs="Times New Roman"/>
                <w:sz w:val="16"/>
                <w:szCs w:val="16"/>
                <w:lang w:eastAsia="sk-SK"/>
              </w:rPr>
              <w:t>Kolinoviča</w:t>
            </w:r>
            <w:proofErr w:type="spellEnd"/>
            <w:r w:rsidRPr="008C63ED">
              <w:rPr>
                <w:rFonts w:eastAsia="Times New Roman" w:cs="Times New Roman"/>
                <w:sz w:val="16"/>
                <w:szCs w:val="16"/>
                <w:lang w:eastAsia="sk-SK"/>
              </w:rPr>
              <w:t xml:space="preserve"> 610/5, 900 81 Šenkvice</w:t>
            </w:r>
          </w:p>
        </w:tc>
        <w:tc>
          <w:tcPr>
            <w:tcW w:w="3828" w:type="dxa"/>
            <w:tcBorders>
              <w:top w:val="nil"/>
              <w:left w:val="nil"/>
              <w:bottom w:val="nil"/>
              <w:right w:val="nil"/>
            </w:tcBorders>
            <w:shd w:val="clear" w:color="auto" w:fill="auto"/>
            <w:vAlign w:val="center"/>
            <w:hideMark/>
          </w:tcPr>
          <w:p w14:paraId="43469DF7" w14:textId="15605370" w:rsidR="00E76212" w:rsidRPr="008C63ED" w:rsidRDefault="00E76212" w:rsidP="00536426">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realizáciu projektu: „Revitalizácia výsadieb na Námestí Gabriela </w:t>
            </w:r>
            <w:proofErr w:type="spellStart"/>
            <w:r w:rsidRPr="008C63ED">
              <w:rPr>
                <w:rFonts w:eastAsia="Times New Roman" w:cs="Times New Roman"/>
                <w:sz w:val="16"/>
                <w:szCs w:val="16"/>
                <w:lang w:eastAsia="sk-SK"/>
              </w:rPr>
              <w:t>Kolinoviča</w:t>
            </w:r>
            <w:proofErr w:type="spellEnd"/>
            <w:r w:rsidRPr="008C63ED">
              <w:rPr>
                <w:rFonts w:eastAsia="Times New Roman" w:cs="Times New Roman"/>
                <w:sz w:val="16"/>
                <w:szCs w:val="16"/>
                <w:lang w:eastAsia="sk-SK"/>
              </w:rPr>
              <w:t xml:space="preserve"> v rámci zelenej infraštruktúry obce Šenkvice“</w:t>
            </w:r>
          </w:p>
        </w:tc>
        <w:tc>
          <w:tcPr>
            <w:tcW w:w="1559" w:type="dxa"/>
            <w:tcBorders>
              <w:top w:val="nil"/>
              <w:left w:val="nil"/>
              <w:bottom w:val="nil"/>
              <w:right w:val="nil"/>
            </w:tcBorders>
            <w:shd w:val="clear" w:color="auto" w:fill="auto"/>
            <w:noWrap/>
            <w:vAlign w:val="center"/>
            <w:hideMark/>
          </w:tcPr>
          <w:p w14:paraId="0726F7E2"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w:t>
            </w:r>
          </w:p>
        </w:tc>
      </w:tr>
      <w:tr w:rsidR="00E76212" w:rsidRPr="008C63ED" w14:paraId="2B35018F" w14:textId="77777777" w:rsidTr="00536426">
        <w:trPr>
          <w:trHeight w:val="449"/>
        </w:trPr>
        <w:tc>
          <w:tcPr>
            <w:tcW w:w="3969" w:type="dxa"/>
            <w:tcBorders>
              <w:top w:val="nil"/>
              <w:left w:val="nil"/>
              <w:bottom w:val="nil"/>
              <w:right w:val="nil"/>
            </w:tcBorders>
            <w:shd w:val="clear" w:color="auto" w:fill="auto"/>
            <w:vAlign w:val="center"/>
            <w:hideMark/>
          </w:tcPr>
          <w:p w14:paraId="0E10EC4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Veľké Chlievany, Veľké Chlievany 80, 956 55 Veľké Chlievany</w:t>
            </w:r>
          </w:p>
        </w:tc>
        <w:tc>
          <w:tcPr>
            <w:tcW w:w="3828" w:type="dxa"/>
            <w:tcBorders>
              <w:top w:val="nil"/>
              <w:left w:val="nil"/>
              <w:bottom w:val="nil"/>
              <w:right w:val="nil"/>
            </w:tcBorders>
            <w:shd w:val="clear" w:color="auto" w:fill="auto"/>
            <w:vAlign w:val="center"/>
            <w:hideMark/>
          </w:tcPr>
          <w:p w14:paraId="3A442B4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realizáciu projektu: „Revitalizácia zelene v Parku Juraja Palkoviča s </w:t>
            </w:r>
            <w:proofErr w:type="spellStart"/>
            <w:r w:rsidRPr="008C63ED">
              <w:rPr>
                <w:rFonts w:eastAsia="Times New Roman" w:cs="Times New Roman"/>
                <w:sz w:val="16"/>
                <w:szCs w:val="16"/>
                <w:lang w:eastAsia="sk-SK"/>
              </w:rPr>
              <w:t>mobiliárom</w:t>
            </w:r>
            <w:proofErr w:type="spellEnd"/>
            <w:r w:rsidRPr="008C63ED">
              <w:rPr>
                <w:rFonts w:eastAsia="Times New Roman" w:cs="Times New Roman"/>
                <w:sz w:val="16"/>
                <w:szCs w:val="16"/>
                <w:lang w:eastAsia="sk-SK"/>
              </w:rPr>
              <w:t>“</w:t>
            </w:r>
          </w:p>
        </w:tc>
        <w:tc>
          <w:tcPr>
            <w:tcW w:w="1559" w:type="dxa"/>
            <w:tcBorders>
              <w:top w:val="nil"/>
              <w:left w:val="nil"/>
              <w:bottom w:val="nil"/>
              <w:right w:val="nil"/>
            </w:tcBorders>
            <w:shd w:val="clear" w:color="auto" w:fill="auto"/>
            <w:noWrap/>
            <w:vAlign w:val="center"/>
            <w:hideMark/>
          </w:tcPr>
          <w:p w14:paraId="643DA021"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w:t>
            </w:r>
          </w:p>
        </w:tc>
      </w:tr>
      <w:tr w:rsidR="00E76212" w:rsidRPr="008C63ED" w14:paraId="781F1BC8" w14:textId="77777777" w:rsidTr="00536426">
        <w:trPr>
          <w:trHeight w:val="449"/>
        </w:trPr>
        <w:tc>
          <w:tcPr>
            <w:tcW w:w="3969" w:type="dxa"/>
            <w:tcBorders>
              <w:top w:val="nil"/>
              <w:left w:val="nil"/>
              <w:bottom w:val="nil"/>
              <w:right w:val="nil"/>
            </w:tcBorders>
            <w:shd w:val="clear" w:color="auto" w:fill="auto"/>
            <w:vAlign w:val="center"/>
            <w:hideMark/>
          </w:tcPr>
          <w:p w14:paraId="2B89902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Jablonov nad Turňou, Jablonov nad Turňou 73, 049 43 Jablonov nad Turňou</w:t>
            </w:r>
          </w:p>
        </w:tc>
        <w:tc>
          <w:tcPr>
            <w:tcW w:w="3828" w:type="dxa"/>
            <w:tcBorders>
              <w:top w:val="nil"/>
              <w:left w:val="nil"/>
              <w:bottom w:val="nil"/>
              <w:right w:val="nil"/>
            </w:tcBorders>
            <w:shd w:val="clear" w:color="auto" w:fill="auto"/>
            <w:vAlign w:val="center"/>
            <w:hideMark/>
          </w:tcPr>
          <w:p w14:paraId="576D2E9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opravu budovy knižnice v obci</w:t>
            </w:r>
          </w:p>
        </w:tc>
        <w:tc>
          <w:tcPr>
            <w:tcW w:w="1559" w:type="dxa"/>
            <w:tcBorders>
              <w:top w:val="nil"/>
              <w:left w:val="nil"/>
              <w:bottom w:val="nil"/>
              <w:right w:val="nil"/>
            </w:tcBorders>
            <w:shd w:val="clear" w:color="auto" w:fill="auto"/>
            <w:noWrap/>
            <w:vAlign w:val="center"/>
            <w:hideMark/>
          </w:tcPr>
          <w:p w14:paraId="12A2518C"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w:t>
            </w:r>
          </w:p>
        </w:tc>
      </w:tr>
      <w:tr w:rsidR="00E76212" w:rsidRPr="008C63ED" w14:paraId="033E4620" w14:textId="77777777" w:rsidTr="00536426">
        <w:trPr>
          <w:trHeight w:val="449"/>
        </w:trPr>
        <w:tc>
          <w:tcPr>
            <w:tcW w:w="3969" w:type="dxa"/>
            <w:tcBorders>
              <w:top w:val="nil"/>
              <w:left w:val="nil"/>
              <w:bottom w:val="nil"/>
              <w:right w:val="nil"/>
            </w:tcBorders>
            <w:shd w:val="clear" w:color="auto" w:fill="auto"/>
            <w:vAlign w:val="center"/>
            <w:hideMark/>
          </w:tcPr>
          <w:p w14:paraId="5C79C32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Tuhár, Tuhár 56, 985 12 Tuhár</w:t>
            </w:r>
          </w:p>
        </w:tc>
        <w:tc>
          <w:tcPr>
            <w:tcW w:w="3828" w:type="dxa"/>
            <w:tcBorders>
              <w:top w:val="nil"/>
              <w:left w:val="nil"/>
              <w:bottom w:val="nil"/>
              <w:right w:val="nil"/>
            </w:tcBorders>
            <w:shd w:val="clear" w:color="auto" w:fill="auto"/>
            <w:vAlign w:val="center"/>
            <w:hideMark/>
          </w:tcPr>
          <w:p w14:paraId="463FFCB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odstránenie havarijného stavu kuchyne v kultúrnom dome v obci</w:t>
            </w:r>
          </w:p>
        </w:tc>
        <w:tc>
          <w:tcPr>
            <w:tcW w:w="1559" w:type="dxa"/>
            <w:tcBorders>
              <w:top w:val="nil"/>
              <w:left w:val="nil"/>
              <w:bottom w:val="nil"/>
              <w:right w:val="nil"/>
            </w:tcBorders>
            <w:shd w:val="clear" w:color="auto" w:fill="auto"/>
            <w:noWrap/>
            <w:vAlign w:val="center"/>
            <w:hideMark/>
          </w:tcPr>
          <w:p w14:paraId="1FCFD58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w:t>
            </w:r>
          </w:p>
        </w:tc>
      </w:tr>
      <w:tr w:rsidR="00E76212" w:rsidRPr="008C63ED" w14:paraId="39310495" w14:textId="77777777" w:rsidTr="00536426">
        <w:trPr>
          <w:trHeight w:val="673"/>
        </w:trPr>
        <w:tc>
          <w:tcPr>
            <w:tcW w:w="3969" w:type="dxa"/>
            <w:tcBorders>
              <w:top w:val="nil"/>
              <w:left w:val="nil"/>
              <w:bottom w:val="nil"/>
              <w:right w:val="nil"/>
            </w:tcBorders>
            <w:shd w:val="clear" w:color="auto" w:fill="auto"/>
            <w:vAlign w:val="center"/>
            <w:hideMark/>
          </w:tcPr>
          <w:p w14:paraId="0714FD1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Dohňany, Dohňany 68, 020 51 Dohňany</w:t>
            </w:r>
          </w:p>
        </w:tc>
        <w:tc>
          <w:tcPr>
            <w:tcW w:w="3828" w:type="dxa"/>
            <w:tcBorders>
              <w:top w:val="nil"/>
              <w:left w:val="nil"/>
              <w:bottom w:val="nil"/>
              <w:right w:val="nil"/>
            </w:tcBorders>
            <w:shd w:val="clear" w:color="auto" w:fill="auto"/>
            <w:hideMark/>
          </w:tcPr>
          <w:p w14:paraId="4B3D149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opravu elektroinštalácie a vykurovania v ZŠ s MŠ Dohňany </w:t>
            </w:r>
          </w:p>
        </w:tc>
        <w:tc>
          <w:tcPr>
            <w:tcW w:w="1559" w:type="dxa"/>
            <w:tcBorders>
              <w:top w:val="nil"/>
              <w:left w:val="nil"/>
              <w:bottom w:val="nil"/>
              <w:right w:val="nil"/>
            </w:tcBorders>
            <w:shd w:val="clear" w:color="auto" w:fill="auto"/>
            <w:noWrap/>
            <w:vAlign w:val="center"/>
            <w:hideMark/>
          </w:tcPr>
          <w:p w14:paraId="014B19F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w:t>
            </w:r>
          </w:p>
        </w:tc>
      </w:tr>
      <w:tr w:rsidR="00E76212" w:rsidRPr="008C63ED" w14:paraId="7E0BF394" w14:textId="77777777" w:rsidTr="00536426">
        <w:trPr>
          <w:trHeight w:val="353"/>
        </w:trPr>
        <w:tc>
          <w:tcPr>
            <w:tcW w:w="3969" w:type="dxa"/>
            <w:tcBorders>
              <w:top w:val="nil"/>
              <w:left w:val="nil"/>
              <w:bottom w:val="nil"/>
              <w:right w:val="nil"/>
            </w:tcBorders>
            <w:shd w:val="clear" w:color="auto" w:fill="auto"/>
            <w:vAlign w:val="center"/>
            <w:hideMark/>
          </w:tcPr>
          <w:p w14:paraId="2889A3C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Mesto Spišská Nová Ves, Radničné námestie 1843/7, 052 70 Spišská Nová Ves</w:t>
            </w:r>
          </w:p>
        </w:tc>
        <w:tc>
          <w:tcPr>
            <w:tcW w:w="3828" w:type="dxa"/>
            <w:tcBorders>
              <w:top w:val="nil"/>
              <w:left w:val="nil"/>
              <w:bottom w:val="nil"/>
              <w:right w:val="nil"/>
            </w:tcBorders>
            <w:shd w:val="clear" w:color="auto" w:fill="auto"/>
            <w:vAlign w:val="center"/>
            <w:hideMark/>
          </w:tcPr>
          <w:p w14:paraId="435C812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Pre Správu telovýchovných zariadení, Za Hornádom 898/15, 052 01 Spišská Nová Ves na opravu havarijného stavu športovej haly</w:t>
            </w:r>
          </w:p>
        </w:tc>
        <w:tc>
          <w:tcPr>
            <w:tcW w:w="1559" w:type="dxa"/>
            <w:tcBorders>
              <w:top w:val="nil"/>
              <w:left w:val="nil"/>
              <w:bottom w:val="nil"/>
              <w:right w:val="nil"/>
            </w:tcBorders>
            <w:shd w:val="clear" w:color="auto" w:fill="auto"/>
            <w:noWrap/>
            <w:vAlign w:val="center"/>
            <w:hideMark/>
          </w:tcPr>
          <w:p w14:paraId="4ED28A2E"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w:t>
            </w:r>
          </w:p>
        </w:tc>
      </w:tr>
      <w:tr w:rsidR="00E76212" w:rsidRPr="008C63ED" w14:paraId="73150C89" w14:textId="77777777" w:rsidTr="00536426">
        <w:trPr>
          <w:trHeight w:val="224"/>
        </w:trPr>
        <w:tc>
          <w:tcPr>
            <w:tcW w:w="3969" w:type="dxa"/>
            <w:tcBorders>
              <w:top w:val="nil"/>
              <w:left w:val="nil"/>
              <w:bottom w:val="nil"/>
              <w:right w:val="nil"/>
            </w:tcBorders>
            <w:shd w:val="clear" w:color="auto" w:fill="auto"/>
            <w:vAlign w:val="center"/>
            <w:hideMark/>
          </w:tcPr>
          <w:p w14:paraId="2B8C720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Hromoš, Hromoš 114, 065 45 Plavnica</w:t>
            </w:r>
          </w:p>
        </w:tc>
        <w:tc>
          <w:tcPr>
            <w:tcW w:w="3828" w:type="dxa"/>
            <w:tcBorders>
              <w:top w:val="nil"/>
              <w:left w:val="nil"/>
              <w:bottom w:val="nil"/>
              <w:right w:val="nil"/>
            </w:tcBorders>
            <w:shd w:val="clear" w:color="auto" w:fill="auto"/>
            <w:vAlign w:val="center"/>
            <w:hideMark/>
          </w:tcPr>
          <w:p w14:paraId="460004C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opravu budovy obecného vodojemu </w:t>
            </w:r>
          </w:p>
        </w:tc>
        <w:tc>
          <w:tcPr>
            <w:tcW w:w="1559" w:type="dxa"/>
            <w:tcBorders>
              <w:top w:val="nil"/>
              <w:left w:val="nil"/>
              <w:bottom w:val="nil"/>
              <w:right w:val="nil"/>
            </w:tcBorders>
            <w:shd w:val="clear" w:color="auto" w:fill="auto"/>
            <w:noWrap/>
            <w:vAlign w:val="center"/>
            <w:hideMark/>
          </w:tcPr>
          <w:p w14:paraId="09C559DC"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w:t>
            </w:r>
          </w:p>
        </w:tc>
      </w:tr>
      <w:tr w:rsidR="00E76212" w:rsidRPr="008C63ED" w14:paraId="092AF5C1" w14:textId="77777777" w:rsidTr="00536426">
        <w:trPr>
          <w:trHeight w:val="449"/>
        </w:trPr>
        <w:tc>
          <w:tcPr>
            <w:tcW w:w="3969" w:type="dxa"/>
            <w:tcBorders>
              <w:top w:val="nil"/>
              <w:left w:val="nil"/>
              <w:bottom w:val="nil"/>
              <w:right w:val="nil"/>
            </w:tcBorders>
            <w:shd w:val="clear" w:color="auto" w:fill="auto"/>
            <w:vAlign w:val="center"/>
            <w:hideMark/>
          </w:tcPr>
          <w:p w14:paraId="098EC5C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Lieskovec, Stredisková 154/26, 962 21 Lieskovec</w:t>
            </w:r>
          </w:p>
        </w:tc>
        <w:tc>
          <w:tcPr>
            <w:tcW w:w="3828" w:type="dxa"/>
            <w:tcBorders>
              <w:top w:val="nil"/>
              <w:left w:val="nil"/>
              <w:bottom w:val="nil"/>
              <w:right w:val="nil"/>
            </w:tcBorders>
            <w:shd w:val="clear" w:color="auto" w:fill="auto"/>
            <w:vAlign w:val="center"/>
            <w:hideMark/>
          </w:tcPr>
          <w:p w14:paraId="45462D3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odstránenie havarijného stavu vodovodnej prípojky a vodoinštalácie v dome smútku</w:t>
            </w:r>
          </w:p>
        </w:tc>
        <w:tc>
          <w:tcPr>
            <w:tcW w:w="1559" w:type="dxa"/>
            <w:tcBorders>
              <w:top w:val="nil"/>
              <w:left w:val="nil"/>
              <w:bottom w:val="nil"/>
              <w:right w:val="nil"/>
            </w:tcBorders>
            <w:shd w:val="clear" w:color="auto" w:fill="auto"/>
            <w:noWrap/>
            <w:vAlign w:val="center"/>
            <w:hideMark/>
          </w:tcPr>
          <w:p w14:paraId="3042AE71"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w:t>
            </w:r>
          </w:p>
        </w:tc>
      </w:tr>
      <w:tr w:rsidR="00E76212" w:rsidRPr="008C63ED" w14:paraId="6ED57FD2" w14:textId="77777777" w:rsidTr="00536426">
        <w:trPr>
          <w:trHeight w:val="449"/>
        </w:trPr>
        <w:tc>
          <w:tcPr>
            <w:tcW w:w="3969" w:type="dxa"/>
            <w:tcBorders>
              <w:top w:val="nil"/>
              <w:left w:val="nil"/>
              <w:bottom w:val="nil"/>
              <w:right w:val="nil"/>
            </w:tcBorders>
            <w:shd w:val="clear" w:color="auto" w:fill="auto"/>
            <w:vAlign w:val="center"/>
            <w:hideMark/>
          </w:tcPr>
          <w:p w14:paraId="5022924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Vysoká pri Morave, Hlavná 196/102, 900 66 Vysoká pri Morave</w:t>
            </w:r>
          </w:p>
        </w:tc>
        <w:tc>
          <w:tcPr>
            <w:tcW w:w="3828" w:type="dxa"/>
            <w:tcBorders>
              <w:top w:val="nil"/>
              <w:left w:val="nil"/>
              <w:bottom w:val="nil"/>
              <w:right w:val="nil"/>
            </w:tcBorders>
            <w:shd w:val="clear" w:color="auto" w:fill="auto"/>
            <w:vAlign w:val="center"/>
            <w:hideMark/>
          </w:tcPr>
          <w:p w14:paraId="59528B3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sociálnych zariadení v materskej škole</w:t>
            </w:r>
          </w:p>
        </w:tc>
        <w:tc>
          <w:tcPr>
            <w:tcW w:w="1559" w:type="dxa"/>
            <w:tcBorders>
              <w:top w:val="nil"/>
              <w:left w:val="nil"/>
              <w:bottom w:val="nil"/>
              <w:right w:val="nil"/>
            </w:tcBorders>
            <w:shd w:val="clear" w:color="auto" w:fill="auto"/>
            <w:noWrap/>
            <w:vAlign w:val="center"/>
            <w:hideMark/>
          </w:tcPr>
          <w:p w14:paraId="4EB41D51"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w:t>
            </w:r>
          </w:p>
        </w:tc>
      </w:tr>
      <w:tr w:rsidR="00E76212" w:rsidRPr="008C63ED" w14:paraId="1623EEA2" w14:textId="77777777" w:rsidTr="00536426">
        <w:trPr>
          <w:trHeight w:val="449"/>
        </w:trPr>
        <w:tc>
          <w:tcPr>
            <w:tcW w:w="3969" w:type="dxa"/>
            <w:tcBorders>
              <w:top w:val="nil"/>
              <w:left w:val="nil"/>
              <w:bottom w:val="nil"/>
              <w:right w:val="nil"/>
            </w:tcBorders>
            <w:shd w:val="clear" w:color="auto" w:fill="auto"/>
            <w:vAlign w:val="center"/>
            <w:hideMark/>
          </w:tcPr>
          <w:p w14:paraId="0F957B8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Občania sídliska KVP, Trieda KVP 3132/1, 040 11 Košice - mestská časť Sídlisko KVP</w:t>
            </w:r>
          </w:p>
        </w:tc>
        <w:tc>
          <w:tcPr>
            <w:tcW w:w="3828" w:type="dxa"/>
            <w:tcBorders>
              <w:top w:val="nil"/>
              <w:left w:val="nil"/>
              <w:bottom w:val="nil"/>
              <w:right w:val="nil"/>
            </w:tcBorders>
            <w:shd w:val="clear" w:color="auto" w:fill="auto"/>
            <w:vAlign w:val="center"/>
            <w:hideMark/>
          </w:tcPr>
          <w:p w14:paraId="74AF99AA" w14:textId="5C39DE3C" w:rsidR="00E76212" w:rsidRPr="008C63ED" w:rsidRDefault="00E76212" w:rsidP="00536426">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výstavbu dažďovej záhrady na Sídlisku KVP</w:t>
            </w:r>
          </w:p>
        </w:tc>
        <w:tc>
          <w:tcPr>
            <w:tcW w:w="1559" w:type="dxa"/>
            <w:tcBorders>
              <w:top w:val="nil"/>
              <w:left w:val="nil"/>
              <w:bottom w:val="nil"/>
              <w:right w:val="nil"/>
            </w:tcBorders>
            <w:shd w:val="clear" w:color="auto" w:fill="auto"/>
            <w:noWrap/>
            <w:vAlign w:val="center"/>
            <w:hideMark/>
          </w:tcPr>
          <w:p w14:paraId="0FA7097E"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w:t>
            </w:r>
          </w:p>
        </w:tc>
      </w:tr>
      <w:tr w:rsidR="00E76212" w:rsidRPr="008C63ED" w14:paraId="1350F143" w14:textId="77777777" w:rsidTr="00536426">
        <w:trPr>
          <w:trHeight w:val="449"/>
        </w:trPr>
        <w:tc>
          <w:tcPr>
            <w:tcW w:w="3969" w:type="dxa"/>
            <w:tcBorders>
              <w:top w:val="nil"/>
              <w:left w:val="nil"/>
              <w:bottom w:val="nil"/>
              <w:right w:val="nil"/>
            </w:tcBorders>
            <w:shd w:val="clear" w:color="auto" w:fill="auto"/>
            <w:vAlign w:val="center"/>
            <w:hideMark/>
          </w:tcPr>
          <w:p w14:paraId="7B8677B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Vyšné Repaše, Vyšné Repaše 53, 053 71 Vyšné Repaše</w:t>
            </w:r>
          </w:p>
        </w:tc>
        <w:tc>
          <w:tcPr>
            <w:tcW w:w="3828" w:type="dxa"/>
            <w:tcBorders>
              <w:top w:val="nil"/>
              <w:left w:val="nil"/>
              <w:bottom w:val="nil"/>
              <w:right w:val="nil"/>
            </w:tcBorders>
            <w:shd w:val="clear" w:color="auto" w:fill="auto"/>
            <w:vAlign w:val="center"/>
            <w:hideMark/>
          </w:tcPr>
          <w:p w14:paraId="70ACAB6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vybudovanie bezbariérového prístupu a zázemia </w:t>
            </w:r>
            <w:proofErr w:type="spellStart"/>
            <w:r w:rsidRPr="008C63ED">
              <w:rPr>
                <w:rFonts w:eastAsia="Times New Roman" w:cs="Times New Roman"/>
                <w:sz w:val="16"/>
                <w:szCs w:val="16"/>
                <w:lang w:eastAsia="sk-SK"/>
              </w:rPr>
              <w:t>Seniorcentra</w:t>
            </w:r>
            <w:proofErr w:type="spellEnd"/>
            <w:r w:rsidRPr="008C63ED">
              <w:rPr>
                <w:rFonts w:eastAsia="Times New Roman" w:cs="Times New Roman"/>
                <w:sz w:val="16"/>
                <w:szCs w:val="16"/>
                <w:lang w:eastAsia="sk-SK"/>
              </w:rPr>
              <w:t xml:space="preserve"> vo Vyšných Repašoch </w:t>
            </w:r>
          </w:p>
        </w:tc>
        <w:tc>
          <w:tcPr>
            <w:tcW w:w="1559" w:type="dxa"/>
            <w:tcBorders>
              <w:top w:val="nil"/>
              <w:left w:val="nil"/>
              <w:bottom w:val="nil"/>
              <w:right w:val="nil"/>
            </w:tcBorders>
            <w:shd w:val="clear" w:color="auto" w:fill="auto"/>
            <w:noWrap/>
            <w:vAlign w:val="center"/>
            <w:hideMark/>
          </w:tcPr>
          <w:p w14:paraId="2B37B614"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w:t>
            </w:r>
          </w:p>
        </w:tc>
      </w:tr>
      <w:tr w:rsidR="00E76212" w:rsidRPr="008C63ED" w14:paraId="6CB849F5" w14:textId="77777777" w:rsidTr="00536426">
        <w:trPr>
          <w:trHeight w:val="449"/>
        </w:trPr>
        <w:tc>
          <w:tcPr>
            <w:tcW w:w="3969" w:type="dxa"/>
            <w:tcBorders>
              <w:top w:val="nil"/>
              <w:left w:val="nil"/>
              <w:bottom w:val="nil"/>
              <w:right w:val="nil"/>
            </w:tcBorders>
            <w:shd w:val="clear" w:color="auto" w:fill="auto"/>
            <w:vAlign w:val="center"/>
            <w:hideMark/>
          </w:tcPr>
          <w:p w14:paraId="2344629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Mesto Trstená, Bernolákova 96/8, 028 01 Trstená</w:t>
            </w:r>
          </w:p>
        </w:tc>
        <w:tc>
          <w:tcPr>
            <w:tcW w:w="3828" w:type="dxa"/>
            <w:tcBorders>
              <w:top w:val="nil"/>
              <w:left w:val="nil"/>
              <w:bottom w:val="nil"/>
              <w:right w:val="nil"/>
            </w:tcBorders>
            <w:shd w:val="clear" w:color="auto" w:fill="auto"/>
            <w:vAlign w:val="center"/>
            <w:hideMark/>
          </w:tcPr>
          <w:p w14:paraId="11863C9B" w14:textId="7AEC4A9A" w:rsidR="00E76212" w:rsidRPr="008C63ED" w:rsidRDefault="00E76212" w:rsidP="00536426">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„Prvý mestský park Zelene v meste Trstená“</w:t>
            </w:r>
          </w:p>
        </w:tc>
        <w:tc>
          <w:tcPr>
            <w:tcW w:w="1559" w:type="dxa"/>
            <w:tcBorders>
              <w:top w:val="nil"/>
              <w:left w:val="nil"/>
              <w:bottom w:val="nil"/>
              <w:right w:val="nil"/>
            </w:tcBorders>
            <w:shd w:val="clear" w:color="auto" w:fill="auto"/>
            <w:noWrap/>
            <w:vAlign w:val="center"/>
            <w:hideMark/>
          </w:tcPr>
          <w:p w14:paraId="65CFB74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w:t>
            </w:r>
          </w:p>
        </w:tc>
      </w:tr>
      <w:tr w:rsidR="00E76212" w:rsidRPr="008C63ED" w14:paraId="258CD00C" w14:textId="77777777" w:rsidTr="00536426">
        <w:trPr>
          <w:trHeight w:val="449"/>
        </w:trPr>
        <w:tc>
          <w:tcPr>
            <w:tcW w:w="3969" w:type="dxa"/>
            <w:tcBorders>
              <w:top w:val="nil"/>
              <w:left w:val="nil"/>
              <w:bottom w:val="nil"/>
              <w:right w:val="nil"/>
            </w:tcBorders>
            <w:shd w:val="clear" w:color="auto" w:fill="auto"/>
            <w:vAlign w:val="center"/>
            <w:hideMark/>
          </w:tcPr>
          <w:p w14:paraId="74FA2A4C" w14:textId="529ADE10" w:rsidR="00E76212" w:rsidRPr="008C63ED" w:rsidRDefault="00E76212" w:rsidP="00536426">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Ludanice, SNP 448/69, 956 11 Ludanice</w:t>
            </w:r>
          </w:p>
        </w:tc>
        <w:tc>
          <w:tcPr>
            <w:tcW w:w="3828" w:type="dxa"/>
            <w:tcBorders>
              <w:top w:val="nil"/>
              <w:left w:val="nil"/>
              <w:bottom w:val="nil"/>
              <w:right w:val="nil"/>
            </w:tcBorders>
            <w:shd w:val="clear" w:color="auto" w:fill="auto"/>
            <w:vAlign w:val="center"/>
            <w:hideMark/>
          </w:tcPr>
          <w:p w14:paraId="3C358DD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„Revitalizácia obecného parku v Ludaniciach“</w:t>
            </w:r>
          </w:p>
        </w:tc>
        <w:tc>
          <w:tcPr>
            <w:tcW w:w="1559" w:type="dxa"/>
            <w:tcBorders>
              <w:top w:val="nil"/>
              <w:left w:val="nil"/>
              <w:bottom w:val="nil"/>
              <w:right w:val="nil"/>
            </w:tcBorders>
            <w:shd w:val="clear" w:color="auto" w:fill="auto"/>
            <w:noWrap/>
            <w:vAlign w:val="center"/>
            <w:hideMark/>
          </w:tcPr>
          <w:p w14:paraId="6D8F17B1"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w:t>
            </w:r>
          </w:p>
        </w:tc>
      </w:tr>
      <w:tr w:rsidR="00E76212" w:rsidRPr="008C63ED" w14:paraId="7DE7EB71" w14:textId="77777777" w:rsidTr="00536426">
        <w:trPr>
          <w:trHeight w:val="449"/>
        </w:trPr>
        <w:tc>
          <w:tcPr>
            <w:tcW w:w="3969" w:type="dxa"/>
            <w:tcBorders>
              <w:top w:val="nil"/>
              <w:left w:val="nil"/>
              <w:bottom w:val="nil"/>
              <w:right w:val="nil"/>
            </w:tcBorders>
            <w:shd w:val="clear" w:color="auto" w:fill="auto"/>
            <w:vAlign w:val="center"/>
            <w:hideMark/>
          </w:tcPr>
          <w:p w14:paraId="261621D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Koňuš, Koňuš 39, 072 63 Koňuš</w:t>
            </w:r>
          </w:p>
        </w:tc>
        <w:tc>
          <w:tcPr>
            <w:tcW w:w="3828" w:type="dxa"/>
            <w:tcBorders>
              <w:top w:val="nil"/>
              <w:left w:val="nil"/>
              <w:bottom w:val="nil"/>
              <w:right w:val="nil"/>
            </w:tcBorders>
            <w:shd w:val="clear" w:color="auto" w:fill="auto"/>
            <w:vAlign w:val="center"/>
            <w:hideMark/>
          </w:tcPr>
          <w:p w14:paraId="3A1C376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„Revitalizácia územia v centre obce Koňuš“</w:t>
            </w:r>
          </w:p>
        </w:tc>
        <w:tc>
          <w:tcPr>
            <w:tcW w:w="1559" w:type="dxa"/>
            <w:tcBorders>
              <w:top w:val="nil"/>
              <w:left w:val="nil"/>
              <w:bottom w:val="nil"/>
              <w:right w:val="nil"/>
            </w:tcBorders>
            <w:shd w:val="clear" w:color="auto" w:fill="auto"/>
            <w:noWrap/>
            <w:vAlign w:val="center"/>
            <w:hideMark/>
          </w:tcPr>
          <w:p w14:paraId="67853FA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w:t>
            </w:r>
          </w:p>
        </w:tc>
      </w:tr>
      <w:tr w:rsidR="00E76212" w:rsidRPr="008C63ED" w14:paraId="469B0B65" w14:textId="77777777" w:rsidTr="00536426">
        <w:trPr>
          <w:trHeight w:val="449"/>
        </w:trPr>
        <w:tc>
          <w:tcPr>
            <w:tcW w:w="3969" w:type="dxa"/>
            <w:tcBorders>
              <w:top w:val="nil"/>
              <w:left w:val="nil"/>
              <w:bottom w:val="nil"/>
              <w:right w:val="nil"/>
            </w:tcBorders>
            <w:shd w:val="clear" w:color="auto" w:fill="auto"/>
            <w:vAlign w:val="center"/>
            <w:hideMark/>
          </w:tcPr>
          <w:p w14:paraId="45403EF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Zemplínske Hámre, Hlavná 152/183, 067 77 Zemplínske Hámre</w:t>
            </w:r>
          </w:p>
        </w:tc>
        <w:tc>
          <w:tcPr>
            <w:tcW w:w="3828" w:type="dxa"/>
            <w:tcBorders>
              <w:top w:val="nil"/>
              <w:left w:val="nil"/>
              <w:bottom w:val="nil"/>
              <w:right w:val="nil"/>
            </w:tcBorders>
            <w:shd w:val="clear" w:color="auto" w:fill="auto"/>
            <w:vAlign w:val="center"/>
            <w:hideMark/>
          </w:tcPr>
          <w:p w14:paraId="4CBC7FBE" w14:textId="45E6E793" w:rsidR="00E76212" w:rsidRPr="008C63ED" w:rsidRDefault="00E76212" w:rsidP="00536426">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„Záhrada starej mamy“</w:t>
            </w:r>
          </w:p>
        </w:tc>
        <w:tc>
          <w:tcPr>
            <w:tcW w:w="1559" w:type="dxa"/>
            <w:tcBorders>
              <w:top w:val="nil"/>
              <w:left w:val="nil"/>
              <w:bottom w:val="nil"/>
              <w:right w:val="nil"/>
            </w:tcBorders>
            <w:shd w:val="clear" w:color="auto" w:fill="auto"/>
            <w:noWrap/>
            <w:vAlign w:val="center"/>
            <w:hideMark/>
          </w:tcPr>
          <w:p w14:paraId="767D791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w:t>
            </w:r>
          </w:p>
        </w:tc>
      </w:tr>
      <w:tr w:rsidR="00E76212" w:rsidRPr="008C63ED" w14:paraId="17BFEBC9" w14:textId="77777777" w:rsidTr="00536426">
        <w:trPr>
          <w:trHeight w:val="224"/>
        </w:trPr>
        <w:tc>
          <w:tcPr>
            <w:tcW w:w="3969" w:type="dxa"/>
            <w:tcBorders>
              <w:top w:val="nil"/>
              <w:left w:val="nil"/>
              <w:bottom w:val="nil"/>
              <w:right w:val="nil"/>
            </w:tcBorders>
            <w:shd w:val="clear" w:color="auto" w:fill="auto"/>
            <w:vAlign w:val="center"/>
            <w:hideMark/>
          </w:tcPr>
          <w:p w14:paraId="451109C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Šávoľ, Šávoľ 220, 985 41 Šávoľ</w:t>
            </w:r>
          </w:p>
        </w:tc>
        <w:tc>
          <w:tcPr>
            <w:tcW w:w="3828" w:type="dxa"/>
            <w:tcBorders>
              <w:top w:val="nil"/>
              <w:left w:val="nil"/>
              <w:bottom w:val="nil"/>
              <w:right w:val="nil"/>
            </w:tcBorders>
            <w:shd w:val="clear" w:color="auto" w:fill="auto"/>
            <w:vAlign w:val="center"/>
            <w:hideMark/>
          </w:tcPr>
          <w:p w14:paraId="39B0898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Domu remesiel</w:t>
            </w:r>
          </w:p>
        </w:tc>
        <w:tc>
          <w:tcPr>
            <w:tcW w:w="1559" w:type="dxa"/>
            <w:tcBorders>
              <w:top w:val="nil"/>
              <w:left w:val="nil"/>
              <w:bottom w:val="nil"/>
              <w:right w:val="nil"/>
            </w:tcBorders>
            <w:shd w:val="clear" w:color="auto" w:fill="auto"/>
            <w:noWrap/>
            <w:vAlign w:val="center"/>
            <w:hideMark/>
          </w:tcPr>
          <w:p w14:paraId="449809E2"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9</w:t>
            </w:r>
          </w:p>
        </w:tc>
      </w:tr>
      <w:tr w:rsidR="00E76212" w:rsidRPr="008C63ED" w14:paraId="03961EF5" w14:textId="77777777" w:rsidTr="00536426">
        <w:trPr>
          <w:trHeight w:val="449"/>
        </w:trPr>
        <w:tc>
          <w:tcPr>
            <w:tcW w:w="3969" w:type="dxa"/>
            <w:tcBorders>
              <w:top w:val="nil"/>
              <w:left w:val="nil"/>
              <w:bottom w:val="nil"/>
              <w:right w:val="nil"/>
            </w:tcBorders>
            <w:shd w:val="clear" w:color="auto" w:fill="auto"/>
            <w:vAlign w:val="center"/>
            <w:hideMark/>
          </w:tcPr>
          <w:p w14:paraId="38C538D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Dolná Ždaňa, Dolná Ždaňa 46, 966 01 Dolná Ždaňa</w:t>
            </w:r>
          </w:p>
        </w:tc>
        <w:tc>
          <w:tcPr>
            <w:tcW w:w="3828" w:type="dxa"/>
            <w:tcBorders>
              <w:top w:val="nil"/>
              <w:left w:val="nil"/>
              <w:bottom w:val="nil"/>
              <w:right w:val="nil"/>
            </w:tcBorders>
            <w:shd w:val="clear" w:color="auto" w:fill="auto"/>
            <w:vAlign w:val="center"/>
            <w:hideMark/>
          </w:tcPr>
          <w:p w14:paraId="01225A2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„Revitalizácia víchricou zničeného parku pred spoločenským domom“</w:t>
            </w:r>
          </w:p>
        </w:tc>
        <w:tc>
          <w:tcPr>
            <w:tcW w:w="1559" w:type="dxa"/>
            <w:tcBorders>
              <w:top w:val="nil"/>
              <w:left w:val="nil"/>
              <w:bottom w:val="nil"/>
              <w:right w:val="nil"/>
            </w:tcBorders>
            <w:shd w:val="clear" w:color="auto" w:fill="auto"/>
            <w:noWrap/>
            <w:vAlign w:val="center"/>
            <w:hideMark/>
          </w:tcPr>
          <w:p w14:paraId="1DE8B5E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9</w:t>
            </w:r>
          </w:p>
        </w:tc>
      </w:tr>
      <w:tr w:rsidR="00E76212" w:rsidRPr="008C63ED" w14:paraId="6925B773" w14:textId="77777777" w:rsidTr="00536426">
        <w:trPr>
          <w:trHeight w:val="449"/>
        </w:trPr>
        <w:tc>
          <w:tcPr>
            <w:tcW w:w="3969" w:type="dxa"/>
            <w:tcBorders>
              <w:top w:val="nil"/>
              <w:left w:val="nil"/>
              <w:bottom w:val="nil"/>
              <w:right w:val="nil"/>
            </w:tcBorders>
            <w:shd w:val="clear" w:color="auto" w:fill="auto"/>
            <w:vAlign w:val="center"/>
            <w:hideMark/>
          </w:tcPr>
          <w:p w14:paraId="312E4E0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Obec Zemianske Kostoľany, 4. apríla 60/28, 972 43 Zemianske Kostoľany </w:t>
            </w:r>
          </w:p>
        </w:tc>
        <w:tc>
          <w:tcPr>
            <w:tcW w:w="3828" w:type="dxa"/>
            <w:tcBorders>
              <w:top w:val="nil"/>
              <w:left w:val="nil"/>
              <w:bottom w:val="nil"/>
              <w:right w:val="nil"/>
            </w:tcBorders>
            <w:shd w:val="clear" w:color="auto" w:fill="auto"/>
            <w:vAlign w:val="center"/>
            <w:hideMark/>
          </w:tcPr>
          <w:p w14:paraId="5874E48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opravu strechy Domu kultúry SNP</w:t>
            </w:r>
          </w:p>
        </w:tc>
        <w:tc>
          <w:tcPr>
            <w:tcW w:w="1559" w:type="dxa"/>
            <w:tcBorders>
              <w:top w:val="nil"/>
              <w:left w:val="nil"/>
              <w:bottom w:val="nil"/>
              <w:right w:val="nil"/>
            </w:tcBorders>
            <w:shd w:val="clear" w:color="auto" w:fill="auto"/>
            <w:noWrap/>
            <w:vAlign w:val="center"/>
            <w:hideMark/>
          </w:tcPr>
          <w:p w14:paraId="17711B01"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9</w:t>
            </w:r>
          </w:p>
        </w:tc>
      </w:tr>
      <w:tr w:rsidR="00E76212" w:rsidRPr="008C63ED" w14:paraId="59E5B42E" w14:textId="77777777" w:rsidTr="00536426">
        <w:trPr>
          <w:trHeight w:val="224"/>
        </w:trPr>
        <w:tc>
          <w:tcPr>
            <w:tcW w:w="3969" w:type="dxa"/>
            <w:tcBorders>
              <w:top w:val="nil"/>
              <w:left w:val="nil"/>
              <w:bottom w:val="nil"/>
              <w:right w:val="nil"/>
            </w:tcBorders>
            <w:shd w:val="clear" w:color="auto" w:fill="auto"/>
            <w:vAlign w:val="center"/>
            <w:hideMark/>
          </w:tcPr>
          <w:p w14:paraId="66FB988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Ružindol, Hlavná 130/118, 919 61 Ružindol</w:t>
            </w:r>
          </w:p>
        </w:tc>
        <w:tc>
          <w:tcPr>
            <w:tcW w:w="3828" w:type="dxa"/>
            <w:tcBorders>
              <w:top w:val="nil"/>
              <w:left w:val="nil"/>
              <w:bottom w:val="nil"/>
              <w:right w:val="nil"/>
            </w:tcBorders>
            <w:shd w:val="clear" w:color="auto" w:fill="auto"/>
            <w:vAlign w:val="center"/>
            <w:hideMark/>
          </w:tcPr>
          <w:p w14:paraId="5D18815C" w14:textId="77777777" w:rsidR="00E76212" w:rsidRPr="008C63ED" w:rsidRDefault="00E76212" w:rsidP="00D2560E">
            <w:pPr>
              <w:spacing w:after="0" w:line="240" w:lineRule="auto"/>
              <w:rPr>
                <w:rFonts w:eastAsia="Times New Roman" w:cs="Times New Roman"/>
                <w:sz w:val="16"/>
                <w:szCs w:val="16"/>
                <w:lang w:eastAsia="sk-SK"/>
              </w:rPr>
            </w:pPr>
            <w:r>
              <w:rPr>
                <w:rFonts w:eastAsia="Times New Roman" w:cs="Times New Roman"/>
                <w:sz w:val="16"/>
                <w:szCs w:val="16"/>
                <w:lang w:eastAsia="sk-SK"/>
              </w:rPr>
              <w:t xml:space="preserve">Na realizáciu projektu: </w:t>
            </w:r>
            <w:r w:rsidRPr="008C63ED">
              <w:rPr>
                <w:rFonts w:eastAsia="Times New Roman" w:cs="Times New Roman"/>
                <w:sz w:val="16"/>
                <w:szCs w:val="16"/>
                <w:lang w:eastAsia="sk-SK"/>
              </w:rPr>
              <w:t>„Revitalizácia školskej záhrady“</w:t>
            </w:r>
          </w:p>
        </w:tc>
        <w:tc>
          <w:tcPr>
            <w:tcW w:w="1559" w:type="dxa"/>
            <w:tcBorders>
              <w:top w:val="nil"/>
              <w:left w:val="nil"/>
              <w:bottom w:val="nil"/>
              <w:right w:val="nil"/>
            </w:tcBorders>
            <w:shd w:val="clear" w:color="auto" w:fill="auto"/>
            <w:noWrap/>
            <w:vAlign w:val="center"/>
            <w:hideMark/>
          </w:tcPr>
          <w:p w14:paraId="1027975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9</w:t>
            </w:r>
          </w:p>
        </w:tc>
      </w:tr>
      <w:tr w:rsidR="00E76212" w:rsidRPr="008C63ED" w14:paraId="1FB16638" w14:textId="77777777" w:rsidTr="00536426">
        <w:trPr>
          <w:trHeight w:val="449"/>
        </w:trPr>
        <w:tc>
          <w:tcPr>
            <w:tcW w:w="3969" w:type="dxa"/>
            <w:tcBorders>
              <w:top w:val="nil"/>
              <w:left w:val="nil"/>
              <w:bottom w:val="nil"/>
              <w:right w:val="nil"/>
            </w:tcBorders>
            <w:shd w:val="clear" w:color="auto" w:fill="auto"/>
            <w:vAlign w:val="center"/>
            <w:hideMark/>
          </w:tcPr>
          <w:p w14:paraId="5C3E1EC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Modrovka, Modrovka 35, 916 35 Modrovka</w:t>
            </w:r>
          </w:p>
        </w:tc>
        <w:tc>
          <w:tcPr>
            <w:tcW w:w="3828" w:type="dxa"/>
            <w:tcBorders>
              <w:top w:val="nil"/>
              <w:left w:val="nil"/>
              <w:bottom w:val="nil"/>
              <w:right w:val="nil"/>
            </w:tcBorders>
            <w:shd w:val="clear" w:color="auto" w:fill="auto"/>
            <w:vAlign w:val="center"/>
            <w:hideMark/>
          </w:tcPr>
          <w:p w14:paraId="5630935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odstránenie havarijného stavu vykurovania v Materskej škole Modrovka</w:t>
            </w:r>
          </w:p>
        </w:tc>
        <w:tc>
          <w:tcPr>
            <w:tcW w:w="1559" w:type="dxa"/>
            <w:tcBorders>
              <w:top w:val="nil"/>
              <w:left w:val="nil"/>
              <w:bottom w:val="nil"/>
              <w:right w:val="nil"/>
            </w:tcBorders>
            <w:shd w:val="clear" w:color="auto" w:fill="auto"/>
            <w:noWrap/>
            <w:vAlign w:val="center"/>
            <w:hideMark/>
          </w:tcPr>
          <w:p w14:paraId="2092180D"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9</w:t>
            </w:r>
          </w:p>
        </w:tc>
      </w:tr>
      <w:tr w:rsidR="00E76212" w:rsidRPr="008C63ED" w14:paraId="4A22BFD1" w14:textId="77777777" w:rsidTr="00536426">
        <w:trPr>
          <w:trHeight w:val="449"/>
        </w:trPr>
        <w:tc>
          <w:tcPr>
            <w:tcW w:w="3969" w:type="dxa"/>
            <w:tcBorders>
              <w:top w:val="nil"/>
              <w:left w:val="nil"/>
              <w:bottom w:val="nil"/>
              <w:right w:val="nil"/>
            </w:tcBorders>
            <w:shd w:val="clear" w:color="auto" w:fill="auto"/>
            <w:vAlign w:val="center"/>
            <w:hideMark/>
          </w:tcPr>
          <w:p w14:paraId="73AB2E5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lastRenderedPageBreak/>
              <w:t>Obec Sološnica, Sološnica 527, 906 37 Sološnica</w:t>
            </w:r>
          </w:p>
        </w:tc>
        <w:tc>
          <w:tcPr>
            <w:tcW w:w="3828" w:type="dxa"/>
            <w:tcBorders>
              <w:top w:val="nil"/>
              <w:left w:val="nil"/>
              <w:bottom w:val="nil"/>
              <w:right w:val="nil"/>
            </w:tcBorders>
            <w:shd w:val="clear" w:color="auto" w:fill="auto"/>
            <w:vAlign w:val="center"/>
            <w:hideMark/>
          </w:tcPr>
          <w:p w14:paraId="091E6C39" w14:textId="159FDBD6" w:rsidR="00E76212" w:rsidRPr="008C63ED" w:rsidRDefault="00E76212" w:rsidP="00536426">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w:t>
            </w:r>
            <w:r w:rsidR="00536426">
              <w:rPr>
                <w:rFonts w:eastAsia="Times New Roman" w:cs="Times New Roman"/>
                <w:sz w:val="16"/>
                <w:szCs w:val="16"/>
                <w:lang w:eastAsia="sk-SK"/>
              </w:rPr>
              <w:t>Komu sa nelení, tomu sa zelení“</w:t>
            </w:r>
          </w:p>
        </w:tc>
        <w:tc>
          <w:tcPr>
            <w:tcW w:w="1559" w:type="dxa"/>
            <w:tcBorders>
              <w:top w:val="nil"/>
              <w:left w:val="nil"/>
              <w:bottom w:val="nil"/>
              <w:right w:val="nil"/>
            </w:tcBorders>
            <w:shd w:val="clear" w:color="auto" w:fill="auto"/>
            <w:noWrap/>
            <w:vAlign w:val="center"/>
            <w:hideMark/>
          </w:tcPr>
          <w:p w14:paraId="6F2A704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9</w:t>
            </w:r>
          </w:p>
        </w:tc>
      </w:tr>
      <w:tr w:rsidR="00E76212" w:rsidRPr="008C63ED" w14:paraId="2639B746" w14:textId="77777777" w:rsidTr="00536426">
        <w:trPr>
          <w:trHeight w:val="449"/>
        </w:trPr>
        <w:tc>
          <w:tcPr>
            <w:tcW w:w="3969" w:type="dxa"/>
            <w:tcBorders>
              <w:top w:val="nil"/>
              <w:left w:val="nil"/>
              <w:bottom w:val="nil"/>
              <w:right w:val="nil"/>
            </w:tcBorders>
            <w:shd w:val="clear" w:color="auto" w:fill="auto"/>
            <w:vAlign w:val="center"/>
            <w:hideMark/>
          </w:tcPr>
          <w:p w14:paraId="3225955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Župčany, Župčany 95, 080 01 Župčany</w:t>
            </w:r>
          </w:p>
        </w:tc>
        <w:tc>
          <w:tcPr>
            <w:tcW w:w="3828" w:type="dxa"/>
            <w:tcBorders>
              <w:top w:val="nil"/>
              <w:left w:val="nil"/>
              <w:bottom w:val="nil"/>
              <w:right w:val="nil"/>
            </w:tcBorders>
            <w:shd w:val="clear" w:color="auto" w:fill="auto"/>
            <w:vAlign w:val="center"/>
            <w:hideMark/>
          </w:tcPr>
          <w:p w14:paraId="66DFBB7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„Obnova ovocného sadu pri školskej záhrade“</w:t>
            </w:r>
          </w:p>
        </w:tc>
        <w:tc>
          <w:tcPr>
            <w:tcW w:w="1559" w:type="dxa"/>
            <w:tcBorders>
              <w:top w:val="nil"/>
              <w:left w:val="nil"/>
              <w:bottom w:val="nil"/>
              <w:right w:val="nil"/>
            </w:tcBorders>
            <w:shd w:val="clear" w:color="auto" w:fill="auto"/>
            <w:noWrap/>
            <w:vAlign w:val="center"/>
            <w:hideMark/>
          </w:tcPr>
          <w:p w14:paraId="3028BF2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9</w:t>
            </w:r>
          </w:p>
        </w:tc>
      </w:tr>
      <w:tr w:rsidR="00E76212" w:rsidRPr="008C63ED" w14:paraId="2176D0B8" w14:textId="77777777" w:rsidTr="00536426">
        <w:trPr>
          <w:trHeight w:val="449"/>
        </w:trPr>
        <w:tc>
          <w:tcPr>
            <w:tcW w:w="3969" w:type="dxa"/>
            <w:tcBorders>
              <w:top w:val="nil"/>
              <w:left w:val="nil"/>
              <w:bottom w:val="nil"/>
              <w:right w:val="nil"/>
            </w:tcBorders>
            <w:shd w:val="clear" w:color="auto" w:fill="auto"/>
            <w:vAlign w:val="center"/>
            <w:hideMark/>
          </w:tcPr>
          <w:p w14:paraId="0F38C13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Padarovce, Padarovce 4, 980 23 Padarovce</w:t>
            </w:r>
          </w:p>
        </w:tc>
        <w:tc>
          <w:tcPr>
            <w:tcW w:w="3828" w:type="dxa"/>
            <w:tcBorders>
              <w:top w:val="nil"/>
              <w:left w:val="nil"/>
              <w:bottom w:val="nil"/>
              <w:right w:val="nil"/>
            </w:tcBorders>
            <w:shd w:val="clear" w:color="auto" w:fill="auto"/>
            <w:vAlign w:val="center"/>
            <w:hideMark/>
          </w:tcPr>
          <w:p w14:paraId="0F58103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odstránenie havarijného stavu budovy kultúrneho domu</w:t>
            </w:r>
          </w:p>
        </w:tc>
        <w:tc>
          <w:tcPr>
            <w:tcW w:w="1559" w:type="dxa"/>
            <w:tcBorders>
              <w:top w:val="nil"/>
              <w:left w:val="nil"/>
              <w:bottom w:val="nil"/>
              <w:right w:val="nil"/>
            </w:tcBorders>
            <w:shd w:val="clear" w:color="auto" w:fill="auto"/>
            <w:noWrap/>
            <w:vAlign w:val="center"/>
            <w:hideMark/>
          </w:tcPr>
          <w:p w14:paraId="407346F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9</w:t>
            </w:r>
          </w:p>
        </w:tc>
      </w:tr>
      <w:tr w:rsidR="00E76212" w:rsidRPr="008C63ED" w14:paraId="7806B598" w14:textId="77777777" w:rsidTr="00536426">
        <w:trPr>
          <w:trHeight w:val="224"/>
        </w:trPr>
        <w:tc>
          <w:tcPr>
            <w:tcW w:w="3969" w:type="dxa"/>
            <w:tcBorders>
              <w:top w:val="nil"/>
              <w:left w:val="nil"/>
              <w:bottom w:val="nil"/>
              <w:right w:val="nil"/>
            </w:tcBorders>
            <w:shd w:val="clear" w:color="auto" w:fill="auto"/>
            <w:vAlign w:val="center"/>
            <w:hideMark/>
          </w:tcPr>
          <w:p w14:paraId="6631EBE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Obec Beloveža, Beloveža 94, 086 14 Beloveža </w:t>
            </w:r>
          </w:p>
        </w:tc>
        <w:tc>
          <w:tcPr>
            <w:tcW w:w="3828" w:type="dxa"/>
            <w:tcBorders>
              <w:top w:val="nil"/>
              <w:left w:val="nil"/>
              <w:bottom w:val="nil"/>
              <w:right w:val="nil"/>
            </w:tcBorders>
            <w:shd w:val="clear" w:color="auto" w:fill="auto"/>
            <w:vAlign w:val="center"/>
            <w:hideMark/>
          </w:tcPr>
          <w:p w14:paraId="2433B43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rekonštrukciu budovy Požiarnej zbrojnice </w:t>
            </w:r>
          </w:p>
        </w:tc>
        <w:tc>
          <w:tcPr>
            <w:tcW w:w="1559" w:type="dxa"/>
            <w:tcBorders>
              <w:top w:val="nil"/>
              <w:left w:val="nil"/>
              <w:bottom w:val="nil"/>
              <w:right w:val="nil"/>
            </w:tcBorders>
            <w:shd w:val="clear" w:color="auto" w:fill="auto"/>
            <w:noWrap/>
            <w:vAlign w:val="center"/>
            <w:hideMark/>
          </w:tcPr>
          <w:p w14:paraId="6E957DC4"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8</w:t>
            </w:r>
          </w:p>
        </w:tc>
      </w:tr>
      <w:tr w:rsidR="00E76212" w:rsidRPr="008C63ED" w14:paraId="481303E0" w14:textId="77777777" w:rsidTr="00536426">
        <w:trPr>
          <w:trHeight w:val="449"/>
        </w:trPr>
        <w:tc>
          <w:tcPr>
            <w:tcW w:w="3969" w:type="dxa"/>
            <w:tcBorders>
              <w:top w:val="nil"/>
              <w:left w:val="nil"/>
              <w:bottom w:val="nil"/>
              <w:right w:val="nil"/>
            </w:tcBorders>
            <w:shd w:val="clear" w:color="auto" w:fill="auto"/>
            <w:vAlign w:val="center"/>
            <w:hideMark/>
          </w:tcPr>
          <w:p w14:paraId="34718FE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Mesto Veľký Krtíš, J. A. Komenského 3, 990 01 Veľký Krtíš</w:t>
            </w:r>
          </w:p>
        </w:tc>
        <w:tc>
          <w:tcPr>
            <w:tcW w:w="3828" w:type="dxa"/>
            <w:tcBorders>
              <w:top w:val="nil"/>
              <w:left w:val="nil"/>
              <w:bottom w:val="nil"/>
              <w:right w:val="nil"/>
            </w:tcBorders>
            <w:shd w:val="clear" w:color="auto" w:fill="auto"/>
            <w:vAlign w:val="center"/>
            <w:hideMark/>
          </w:tcPr>
          <w:p w14:paraId="03AADC0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realizáciu projektu: „Parkové a sadové úpravy na ulici B. </w:t>
            </w:r>
            <w:proofErr w:type="spellStart"/>
            <w:r w:rsidRPr="008C63ED">
              <w:rPr>
                <w:rFonts w:eastAsia="Times New Roman" w:cs="Times New Roman"/>
                <w:sz w:val="16"/>
                <w:szCs w:val="16"/>
                <w:lang w:eastAsia="sk-SK"/>
              </w:rPr>
              <w:t>Němcovej</w:t>
            </w:r>
            <w:proofErr w:type="spellEnd"/>
            <w:r w:rsidRPr="008C63ED">
              <w:rPr>
                <w:rFonts w:eastAsia="Times New Roman" w:cs="Times New Roman"/>
                <w:sz w:val="16"/>
                <w:szCs w:val="16"/>
                <w:lang w:eastAsia="sk-SK"/>
              </w:rPr>
              <w:t>“</w:t>
            </w:r>
          </w:p>
        </w:tc>
        <w:tc>
          <w:tcPr>
            <w:tcW w:w="1559" w:type="dxa"/>
            <w:tcBorders>
              <w:top w:val="nil"/>
              <w:left w:val="nil"/>
              <w:bottom w:val="nil"/>
              <w:right w:val="nil"/>
            </w:tcBorders>
            <w:shd w:val="clear" w:color="auto" w:fill="auto"/>
            <w:noWrap/>
            <w:vAlign w:val="center"/>
            <w:hideMark/>
          </w:tcPr>
          <w:p w14:paraId="4CC8A29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8</w:t>
            </w:r>
          </w:p>
        </w:tc>
      </w:tr>
      <w:tr w:rsidR="00E76212" w:rsidRPr="008C63ED" w14:paraId="7F8DFEBA" w14:textId="77777777" w:rsidTr="00536426">
        <w:trPr>
          <w:trHeight w:val="224"/>
        </w:trPr>
        <w:tc>
          <w:tcPr>
            <w:tcW w:w="3969" w:type="dxa"/>
            <w:tcBorders>
              <w:top w:val="nil"/>
              <w:left w:val="nil"/>
              <w:bottom w:val="nil"/>
              <w:right w:val="nil"/>
            </w:tcBorders>
            <w:shd w:val="clear" w:color="auto" w:fill="auto"/>
            <w:vAlign w:val="center"/>
            <w:hideMark/>
          </w:tcPr>
          <w:p w14:paraId="1C8893F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Láb, Hlavná 503/9, 900 67 Láb</w:t>
            </w:r>
          </w:p>
        </w:tc>
        <w:tc>
          <w:tcPr>
            <w:tcW w:w="3828" w:type="dxa"/>
            <w:tcBorders>
              <w:top w:val="nil"/>
              <w:left w:val="nil"/>
              <w:bottom w:val="nil"/>
              <w:right w:val="nil"/>
            </w:tcBorders>
            <w:shd w:val="clear" w:color="auto" w:fill="auto"/>
            <w:vAlign w:val="center"/>
            <w:hideMark/>
          </w:tcPr>
          <w:p w14:paraId="3EA18B0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rekonštrukciu Domu smútku v obci </w:t>
            </w:r>
          </w:p>
        </w:tc>
        <w:tc>
          <w:tcPr>
            <w:tcW w:w="1559" w:type="dxa"/>
            <w:tcBorders>
              <w:top w:val="nil"/>
              <w:left w:val="nil"/>
              <w:bottom w:val="nil"/>
              <w:right w:val="nil"/>
            </w:tcBorders>
            <w:shd w:val="clear" w:color="auto" w:fill="auto"/>
            <w:noWrap/>
            <w:vAlign w:val="center"/>
            <w:hideMark/>
          </w:tcPr>
          <w:p w14:paraId="565E6D2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8</w:t>
            </w:r>
          </w:p>
        </w:tc>
      </w:tr>
      <w:tr w:rsidR="00E76212" w:rsidRPr="008C63ED" w14:paraId="3954EBB2" w14:textId="77777777" w:rsidTr="00536426">
        <w:trPr>
          <w:trHeight w:val="898"/>
        </w:trPr>
        <w:tc>
          <w:tcPr>
            <w:tcW w:w="3969" w:type="dxa"/>
            <w:tcBorders>
              <w:top w:val="nil"/>
              <w:left w:val="nil"/>
              <w:bottom w:val="nil"/>
              <w:right w:val="nil"/>
            </w:tcBorders>
            <w:shd w:val="clear" w:color="auto" w:fill="auto"/>
            <w:vAlign w:val="center"/>
            <w:hideMark/>
          </w:tcPr>
          <w:p w14:paraId="0572210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Žilinský samosprávny kraj, Komenského 2622/48, 011 09 Žilina</w:t>
            </w:r>
          </w:p>
        </w:tc>
        <w:tc>
          <w:tcPr>
            <w:tcW w:w="3828" w:type="dxa"/>
            <w:tcBorders>
              <w:top w:val="nil"/>
              <w:left w:val="nil"/>
              <w:bottom w:val="nil"/>
              <w:right w:val="nil"/>
            </w:tcBorders>
            <w:shd w:val="clear" w:color="auto" w:fill="auto"/>
            <w:vAlign w:val="center"/>
            <w:hideMark/>
          </w:tcPr>
          <w:p w14:paraId="066AD6C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Pre Strednú odbornú školu lesnícku a drevársku Jozefa </w:t>
            </w:r>
            <w:proofErr w:type="spellStart"/>
            <w:r w:rsidRPr="008C63ED">
              <w:rPr>
                <w:rFonts w:eastAsia="Times New Roman" w:cs="Times New Roman"/>
                <w:sz w:val="16"/>
                <w:szCs w:val="16"/>
                <w:lang w:eastAsia="sk-SK"/>
              </w:rPr>
              <w:t>Dekreta</w:t>
            </w:r>
            <w:proofErr w:type="spellEnd"/>
            <w:r w:rsidRPr="008C63ED">
              <w:rPr>
                <w:rFonts w:eastAsia="Times New Roman" w:cs="Times New Roman"/>
                <w:sz w:val="16"/>
                <w:szCs w:val="16"/>
                <w:lang w:eastAsia="sk-SK"/>
              </w:rPr>
              <w:t xml:space="preserve"> </w:t>
            </w:r>
            <w:proofErr w:type="spellStart"/>
            <w:r w:rsidRPr="008C63ED">
              <w:rPr>
                <w:rFonts w:eastAsia="Times New Roman" w:cs="Times New Roman"/>
                <w:sz w:val="16"/>
                <w:szCs w:val="16"/>
                <w:lang w:eastAsia="sk-SK"/>
              </w:rPr>
              <w:t>Matejovie</w:t>
            </w:r>
            <w:proofErr w:type="spellEnd"/>
            <w:r w:rsidRPr="008C63ED">
              <w:rPr>
                <w:rFonts w:eastAsia="Times New Roman" w:cs="Times New Roman"/>
                <w:sz w:val="16"/>
                <w:szCs w:val="16"/>
                <w:lang w:eastAsia="sk-SK"/>
              </w:rPr>
              <w:t>, Hradná 534, Liptovský Hrádok na realizáciu projektu: „Po stopách drevín z celého sveta (nultá etapa obnovy Hrádockého arboréta)“</w:t>
            </w:r>
          </w:p>
        </w:tc>
        <w:tc>
          <w:tcPr>
            <w:tcW w:w="1559" w:type="dxa"/>
            <w:tcBorders>
              <w:top w:val="nil"/>
              <w:left w:val="nil"/>
              <w:bottom w:val="nil"/>
              <w:right w:val="nil"/>
            </w:tcBorders>
            <w:shd w:val="clear" w:color="auto" w:fill="auto"/>
            <w:noWrap/>
            <w:vAlign w:val="center"/>
            <w:hideMark/>
          </w:tcPr>
          <w:p w14:paraId="4BBD5439"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8</w:t>
            </w:r>
          </w:p>
        </w:tc>
      </w:tr>
      <w:tr w:rsidR="00E76212" w:rsidRPr="008C63ED" w14:paraId="2619D27F" w14:textId="77777777" w:rsidTr="00536426">
        <w:trPr>
          <w:trHeight w:val="224"/>
        </w:trPr>
        <w:tc>
          <w:tcPr>
            <w:tcW w:w="3969" w:type="dxa"/>
            <w:tcBorders>
              <w:top w:val="nil"/>
              <w:left w:val="nil"/>
              <w:bottom w:val="nil"/>
              <w:right w:val="nil"/>
            </w:tcBorders>
            <w:shd w:val="clear" w:color="auto" w:fill="auto"/>
            <w:vAlign w:val="center"/>
            <w:hideMark/>
          </w:tcPr>
          <w:p w14:paraId="09E2CF1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Veľké Leváre, Štefánikova 747, 908 73 Veľké Leváre</w:t>
            </w:r>
          </w:p>
        </w:tc>
        <w:tc>
          <w:tcPr>
            <w:tcW w:w="3828" w:type="dxa"/>
            <w:tcBorders>
              <w:top w:val="nil"/>
              <w:left w:val="nil"/>
              <w:bottom w:val="nil"/>
              <w:right w:val="nil"/>
            </w:tcBorders>
            <w:shd w:val="clear" w:color="auto" w:fill="auto"/>
            <w:vAlign w:val="center"/>
            <w:hideMark/>
          </w:tcPr>
          <w:p w14:paraId="5D2FDE3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barokového stĺpu hanby</w:t>
            </w:r>
          </w:p>
        </w:tc>
        <w:tc>
          <w:tcPr>
            <w:tcW w:w="1559" w:type="dxa"/>
            <w:tcBorders>
              <w:top w:val="nil"/>
              <w:left w:val="nil"/>
              <w:bottom w:val="nil"/>
              <w:right w:val="nil"/>
            </w:tcBorders>
            <w:shd w:val="clear" w:color="auto" w:fill="auto"/>
            <w:noWrap/>
            <w:vAlign w:val="center"/>
            <w:hideMark/>
          </w:tcPr>
          <w:p w14:paraId="106C4ED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8</w:t>
            </w:r>
          </w:p>
        </w:tc>
      </w:tr>
      <w:tr w:rsidR="00E76212" w:rsidRPr="008C63ED" w14:paraId="6C90D7FA" w14:textId="77777777" w:rsidTr="00536426">
        <w:trPr>
          <w:trHeight w:val="449"/>
        </w:trPr>
        <w:tc>
          <w:tcPr>
            <w:tcW w:w="3969" w:type="dxa"/>
            <w:tcBorders>
              <w:top w:val="nil"/>
              <w:left w:val="nil"/>
              <w:bottom w:val="nil"/>
              <w:right w:val="nil"/>
            </w:tcBorders>
            <w:shd w:val="clear" w:color="auto" w:fill="auto"/>
            <w:vAlign w:val="center"/>
            <w:hideMark/>
          </w:tcPr>
          <w:p w14:paraId="47AD08A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Hontianske Moravce, Hontianska 255/29, 962 71 Hontianske Moravce</w:t>
            </w:r>
          </w:p>
        </w:tc>
        <w:tc>
          <w:tcPr>
            <w:tcW w:w="3828" w:type="dxa"/>
            <w:tcBorders>
              <w:top w:val="nil"/>
              <w:left w:val="nil"/>
              <w:bottom w:val="nil"/>
              <w:right w:val="nil"/>
            </w:tcBorders>
            <w:shd w:val="clear" w:color="auto" w:fill="auto"/>
            <w:vAlign w:val="center"/>
            <w:hideMark/>
          </w:tcPr>
          <w:p w14:paraId="5433046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opravu domu smútku v obci</w:t>
            </w:r>
          </w:p>
        </w:tc>
        <w:tc>
          <w:tcPr>
            <w:tcW w:w="1559" w:type="dxa"/>
            <w:tcBorders>
              <w:top w:val="nil"/>
              <w:left w:val="nil"/>
              <w:bottom w:val="nil"/>
              <w:right w:val="nil"/>
            </w:tcBorders>
            <w:shd w:val="clear" w:color="auto" w:fill="auto"/>
            <w:noWrap/>
            <w:vAlign w:val="center"/>
            <w:hideMark/>
          </w:tcPr>
          <w:p w14:paraId="443CD3A9"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8</w:t>
            </w:r>
          </w:p>
        </w:tc>
      </w:tr>
      <w:tr w:rsidR="00E76212" w:rsidRPr="008C63ED" w14:paraId="18DFC822" w14:textId="77777777" w:rsidTr="00536426">
        <w:trPr>
          <w:trHeight w:val="224"/>
        </w:trPr>
        <w:tc>
          <w:tcPr>
            <w:tcW w:w="3969" w:type="dxa"/>
            <w:tcBorders>
              <w:top w:val="nil"/>
              <w:left w:val="nil"/>
              <w:bottom w:val="nil"/>
              <w:right w:val="nil"/>
            </w:tcBorders>
            <w:shd w:val="clear" w:color="auto" w:fill="auto"/>
            <w:vAlign w:val="center"/>
            <w:hideMark/>
          </w:tcPr>
          <w:p w14:paraId="0BBA8D0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Sirník, Hlavná 152/21, 076 03 Sirník</w:t>
            </w:r>
          </w:p>
        </w:tc>
        <w:tc>
          <w:tcPr>
            <w:tcW w:w="3828" w:type="dxa"/>
            <w:tcBorders>
              <w:top w:val="nil"/>
              <w:left w:val="nil"/>
              <w:bottom w:val="nil"/>
              <w:right w:val="nil"/>
            </w:tcBorders>
            <w:shd w:val="clear" w:color="auto" w:fill="auto"/>
            <w:vAlign w:val="center"/>
            <w:hideMark/>
          </w:tcPr>
          <w:p w14:paraId="0EC02A8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rekonštrukciu multifunkčného ihriska v obci </w:t>
            </w:r>
          </w:p>
        </w:tc>
        <w:tc>
          <w:tcPr>
            <w:tcW w:w="1559" w:type="dxa"/>
            <w:tcBorders>
              <w:top w:val="nil"/>
              <w:left w:val="nil"/>
              <w:bottom w:val="nil"/>
              <w:right w:val="nil"/>
            </w:tcBorders>
            <w:shd w:val="clear" w:color="auto" w:fill="auto"/>
            <w:noWrap/>
            <w:vAlign w:val="center"/>
            <w:hideMark/>
          </w:tcPr>
          <w:p w14:paraId="7D2BEAE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8</w:t>
            </w:r>
          </w:p>
        </w:tc>
      </w:tr>
      <w:tr w:rsidR="00E76212" w:rsidRPr="008C63ED" w14:paraId="3A801041" w14:textId="77777777" w:rsidTr="00536426">
        <w:trPr>
          <w:trHeight w:val="449"/>
        </w:trPr>
        <w:tc>
          <w:tcPr>
            <w:tcW w:w="3969" w:type="dxa"/>
            <w:tcBorders>
              <w:top w:val="nil"/>
              <w:left w:val="nil"/>
              <w:bottom w:val="nil"/>
              <w:right w:val="nil"/>
            </w:tcBorders>
            <w:shd w:val="clear" w:color="auto" w:fill="auto"/>
            <w:vAlign w:val="center"/>
            <w:hideMark/>
          </w:tcPr>
          <w:p w14:paraId="5C0D91F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Mesto Liptovský Hrádok, Hviezdoslavova 170, 033 01 Liptovský Hrádok</w:t>
            </w:r>
          </w:p>
        </w:tc>
        <w:tc>
          <w:tcPr>
            <w:tcW w:w="3828" w:type="dxa"/>
            <w:tcBorders>
              <w:top w:val="nil"/>
              <w:left w:val="nil"/>
              <w:bottom w:val="nil"/>
              <w:right w:val="nil"/>
            </w:tcBorders>
            <w:shd w:val="clear" w:color="auto" w:fill="auto"/>
            <w:vAlign w:val="center"/>
            <w:hideMark/>
          </w:tcPr>
          <w:p w14:paraId="0FA4E9B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„Obnova pomníka padlým v I. a II. svetovej vojne“</w:t>
            </w:r>
          </w:p>
        </w:tc>
        <w:tc>
          <w:tcPr>
            <w:tcW w:w="1559" w:type="dxa"/>
            <w:tcBorders>
              <w:top w:val="nil"/>
              <w:left w:val="nil"/>
              <w:bottom w:val="nil"/>
              <w:right w:val="nil"/>
            </w:tcBorders>
            <w:shd w:val="clear" w:color="auto" w:fill="auto"/>
            <w:noWrap/>
            <w:vAlign w:val="center"/>
            <w:hideMark/>
          </w:tcPr>
          <w:p w14:paraId="44A64A6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8</w:t>
            </w:r>
          </w:p>
        </w:tc>
      </w:tr>
      <w:tr w:rsidR="00E76212" w:rsidRPr="008C63ED" w14:paraId="4A66A4E2" w14:textId="77777777" w:rsidTr="00536426">
        <w:trPr>
          <w:trHeight w:val="224"/>
        </w:trPr>
        <w:tc>
          <w:tcPr>
            <w:tcW w:w="3969" w:type="dxa"/>
            <w:tcBorders>
              <w:top w:val="nil"/>
              <w:left w:val="nil"/>
              <w:bottom w:val="nil"/>
              <w:right w:val="nil"/>
            </w:tcBorders>
            <w:shd w:val="clear" w:color="auto" w:fill="auto"/>
            <w:vAlign w:val="center"/>
            <w:hideMark/>
          </w:tcPr>
          <w:p w14:paraId="5DFC5D1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Mesto Tisovec, Nám. Dr. V. Clementisa 1/1, 980 61 Tisovec</w:t>
            </w:r>
          </w:p>
        </w:tc>
        <w:tc>
          <w:tcPr>
            <w:tcW w:w="3828" w:type="dxa"/>
            <w:tcBorders>
              <w:top w:val="nil"/>
              <w:left w:val="nil"/>
              <w:bottom w:val="nil"/>
              <w:right w:val="nil"/>
            </w:tcBorders>
            <w:shd w:val="clear" w:color="auto" w:fill="auto"/>
            <w:vAlign w:val="center"/>
            <w:hideMark/>
          </w:tcPr>
          <w:p w14:paraId="358CF0A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„Príjemné prostredie spája“</w:t>
            </w:r>
          </w:p>
        </w:tc>
        <w:tc>
          <w:tcPr>
            <w:tcW w:w="1559" w:type="dxa"/>
            <w:tcBorders>
              <w:top w:val="nil"/>
              <w:left w:val="nil"/>
              <w:bottom w:val="nil"/>
              <w:right w:val="nil"/>
            </w:tcBorders>
            <w:shd w:val="clear" w:color="auto" w:fill="auto"/>
            <w:noWrap/>
            <w:vAlign w:val="center"/>
            <w:hideMark/>
          </w:tcPr>
          <w:p w14:paraId="7AF9560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8</w:t>
            </w:r>
          </w:p>
        </w:tc>
      </w:tr>
      <w:tr w:rsidR="00E76212" w:rsidRPr="008C63ED" w14:paraId="51B6DF03" w14:textId="77777777" w:rsidTr="00536426">
        <w:trPr>
          <w:trHeight w:val="449"/>
        </w:trPr>
        <w:tc>
          <w:tcPr>
            <w:tcW w:w="3969" w:type="dxa"/>
            <w:tcBorders>
              <w:top w:val="nil"/>
              <w:left w:val="nil"/>
              <w:bottom w:val="nil"/>
              <w:right w:val="nil"/>
            </w:tcBorders>
            <w:shd w:val="clear" w:color="auto" w:fill="auto"/>
            <w:vAlign w:val="center"/>
            <w:hideMark/>
          </w:tcPr>
          <w:p w14:paraId="5ED057A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Gréckokatolícka cirkev, farnosť Svetlice, Svetlice 59, 067 16 Svetlice</w:t>
            </w:r>
          </w:p>
        </w:tc>
        <w:tc>
          <w:tcPr>
            <w:tcW w:w="3828" w:type="dxa"/>
            <w:tcBorders>
              <w:top w:val="nil"/>
              <w:left w:val="nil"/>
              <w:bottom w:val="nil"/>
              <w:right w:val="nil"/>
            </w:tcBorders>
            <w:shd w:val="clear" w:color="auto" w:fill="auto"/>
            <w:vAlign w:val="center"/>
            <w:hideMark/>
          </w:tcPr>
          <w:p w14:paraId="79BE9A0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fary a farskej kaplnky</w:t>
            </w:r>
          </w:p>
        </w:tc>
        <w:tc>
          <w:tcPr>
            <w:tcW w:w="1559" w:type="dxa"/>
            <w:tcBorders>
              <w:top w:val="nil"/>
              <w:left w:val="nil"/>
              <w:bottom w:val="nil"/>
              <w:right w:val="nil"/>
            </w:tcBorders>
            <w:shd w:val="clear" w:color="auto" w:fill="auto"/>
            <w:noWrap/>
            <w:vAlign w:val="center"/>
            <w:hideMark/>
          </w:tcPr>
          <w:p w14:paraId="2028A10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8</w:t>
            </w:r>
          </w:p>
        </w:tc>
      </w:tr>
      <w:tr w:rsidR="00E76212" w:rsidRPr="008C63ED" w14:paraId="3E26DE7F" w14:textId="77777777" w:rsidTr="00536426">
        <w:trPr>
          <w:trHeight w:val="449"/>
        </w:trPr>
        <w:tc>
          <w:tcPr>
            <w:tcW w:w="3969" w:type="dxa"/>
            <w:tcBorders>
              <w:top w:val="nil"/>
              <w:left w:val="nil"/>
              <w:bottom w:val="nil"/>
              <w:right w:val="nil"/>
            </w:tcBorders>
            <w:shd w:val="clear" w:color="auto" w:fill="auto"/>
            <w:vAlign w:val="center"/>
            <w:hideMark/>
          </w:tcPr>
          <w:p w14:paraId="6F9662E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Mesto Šaľa, Nám. Sv. Trojice 1953/7, 927 15 Šaľa</w:t>
            </w:r>
          </w:p>
        </w:tc>
        <w:tc>
          <w:tcPr>
            <w:tcW w:w="3828" w:type="dxa"/>
            <w:tcBorders>
              <w:top w:val="nil"/>
              <w:left w:val="nil"/>
              <w:bottom w:val="nil"/>
              <w:right w:val="nil"/>
            </w:tcBorders>
            <w:shd w:val="clear" w:color="auto" w:fill="auto"/>
            <w:vAlign w:val="center"/>
            <w:hideMark/>
          </w:tcPr>
          <w:p w14:paraId="775C6E6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rekonštrukciu detského ihriska a viacúčelovej hracej plochy na Ul. kpt. </w:t>
            </w:r>
            <w:proofErr w:type="spellStart"/>
            <w:r w:rsidRPr="008C63ED">
              <w:rPr>
                <w:rFonts w:eastAsia="Times New Roman" w:cs="Times New Roman"/>
                <w:sz w:val="16"/>
                <w:szCs w:val="16"/>
                <w:lang w:eastAsia="sk-SK"/>
              </w:rPr>
              <w:t>Jaroša</w:t>
            </w:r>
            <w:proofErr w:type="spellEnd"/>
            <w:r w:rsidRPr="008C63ED">
              <w:rPr>
                <w:rFonts w:eastAsia="Times New Roman" w:cs="Times New Roman"/>
                <w:sz w:val="16"/>
                <w:szCs w:val="16"/>
                <w:lang w:eastAsia="sk-SK"/>
              </w:rPr>
              <w:t xml:space="preserve"> v Šali</w:t>
            </w:r>
          </w:p>
        </w:tc>
        <w:tc>
          <w:tcPr>
            <w:tcW w:w="1559" w:type="dxa"/>
            <w:tcBorders>
              <w:top w:val="nil"/>
              <w:left w:val="nil"/>
              <w:bottom w:val="nil"/>
              <w:right w:val="nil"/>
            </w:tcBorders>
            <w:shd w:val="clear" w:color="auto" w:fill="auto"/>
            <w:noWrap/>
            <w:vAlign w:val="center"/>
            <w:hideMark/>
          </w:tcPr>
          <w:p w14:paraId="3004AB2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7</w:t>
            </w:r>
          </w:p>
        </w:tc>
      </w:tr>
      <w:tr w:rsidR="00E76212" w:rsidRPr="008C63ED" w14:paraId="76770D9E" w14:textId="77777777" w:rsidTr="00536426">
        <w:trPr>
          <w:trHeight w:val="449"/>
        </w:trPr>
        <w:tc>
          <w:tcPr>
            <w:tcW w:w="3969" w:type="dxa"/>
            <w:tcBorders>
              <w:top w:val="nil"/>
              <w:left w:val="nil"/>
              <w:bottom w:val="nil"/>
              <w:right w:val="nil"/>
            </w:tcBorders>
            <w:shd w:val="clear" w:color="auto" w:fill="auto"/>
            <w:vAlign w:val="center"/>
            <w:hideMark/>
          </w:tcPr>
          <w:p w14:paraId="7432741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Tisinec, Tisinec 1, 091 01 Tisinec</w:t>
            </w:r>
          </w:p>
        </w:tc>
        <w:tc>
          <w:tcPr>
            <w:tcW w:w="3828" w:type="dxa"/>
            <w:tcBorders>
              <w:top w:val="nil"/>
              <w:left w:val="nil"/>
              <w:bottom w:val="nil"/>
              <w:right w:val="nil"/>
            </w:tcBorders>
            <w:shd w:val="clear" w:color="auto" w:fill="auto"/>
            <w:vAlign w:val="center"/>
            <w:hideMark/>
          </w:tcPr>
          <w:p w14:paraId="4E9D95C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ústredného kúrenia v budove športového futbalového klubu</w:t>
            </w:r>
          </w:p>
        </w:tc>
        <w:tc>
          <w:tcPr>
            <w:tcW w:w="1559" w:type="dxa"/>
            <w:tcBorders>
              <w:top w:val="nil"/>
              <w:left w:val="nil"/>
              <w:bottom w:val="nil"/>
              <w:right w:val="nil"/>
            </w:tcBorders>
            <w:shd w:val="clear" w:color="auto" w:fill="auto"/>
            <w:noWrap/>
            <w:vAlign w:val="center"/>
            <w:hideMark/>
          </w:tcPr>
          <w:p w14:paraId="0E87453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7</w:t>
            </w:r>
          </w:p>
        </w:tc>
      </w:tr>
      <w:tr w:rsidR="00E76212" w:rsidRPr="008C63ED" w14:paraId="047E2718" w14:textId="77777777" w:rsidTr="00536426">
        <w:trPr>
          <w:trHeight w:val="224"/>
        </w:trPr>
        <w:tc>
          <w:tcPr>
            <w:tcW w:w="3969" w:type="dxa"/>
            <w:tcBorders>
              <w:top w:val="nil"/>
              <w:left w:val="nil"/>
              <w:bottom w:val="nil"/>
              <w:right w:val="nil"/>
            </w:tcBorders>
            <w:shd w:val="clear" w:color="auto" w:fill="auto"/>
            <w:vAlign w:val="center"/>
            <w:hideMark/>
          </w:tcPr>
          <w:p w14:paraId="505260E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Podtureň, Hlavná 164; 033 01 Podtureň</w:t>
            </w:r>
          </w:p>
        </w:tc>
        <w:tc>
          <w:tcPr>
            <w:tcW w:w="3828" w:type="dxa"/>
            <w:tcBorders>
              <w:top w:val="nil"/>
              <w:left w:val="nil"/>
              <w:bottom w:val="nil"/>
              <w:right w:val="nil"/>
            </w:tcBorders>
            <w:shd w:val="clear" w:color="auto" w:fill="auto"/>
            <w:vAlign w:val="center"/>
            <w:hideMark/>
          </w:tcPr>
          <w:p w14:paraId="035C7D8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opravu autobusových zastávok v obci </w:t>
            </w:r>
          </w:p>
        </w:tc>
        <w:tc>
          <w:tcPr>
            <w:tcW w:w="1559" w:type="dxa"/>
            <w:tcBorders>
              <w:top w:val="nil"/>
              <w:left w:val="nil"/>
              <w:bottom w:val="nil"/>
              <w:right w:val="nil"/>
            </w:tcBorders>
            <w:shd w:val="clear" w:color="auto" w:fill="auto"/>
            <w:noWrap/>
            <w:vAlign w:val="center"/>
            <w:hideMark/>
          </w:tcPr>
          <w:p w14:paraId="0E483DF9"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7</w:t>
            </w:r>
          </w:p>
        </w:tc>
      </w:tr>
      <w:tr w:rsidR="00E76212" w:rsidRPr="008C63ED" w14:paraId="07CC67E9" w14:textId="77777777" w:rsidTr="00536426">
        <w:trPr>
          <w:trHeight w:val="449"/>
        </w:trPr>
        <w:tc>
          <w:tcPr>
            <w:tcW w:w="3969" w:type="dxa"/>
            <w:tcBorders>
              <w:top w:val="nil"/>
              <w:left w:val="nil"/>
              <w:bottom w:val="nil"/>
              <w:right w:val="nil"/>
            </w:tcBorders>
            <w:shd w:val="clear" w:color="auto" w:fill="auto"/>
            <w:vAlign w:val="center"/>
            <w:hideMark/>
          </w:tcPr>
          <w:p w14:paraId="76AE689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Mesto Gelnica, Banícke námestie 4, 056 01 Gelnica</w:t>
            </w:r>
          </w:p>
        </w:tc>
        <w:tc>
          <w:tcPr>
            <w:tcW w:w="3828" w:type="dxa"/>
            <w:tcBorders>
              <w:top w:val="nil"/>
              <w:left w:val="nil"/>
              <w:bottom w:val="nil"/>
              <w:right w:val="nil"/>
            </w:tcBorders>
            <w:shd w:val="clear" w:color="auto" w:fill="auto"/>
            <w:vAlign w:val="center"/>
            <w:hideMark/>
          </w:tcPr>
          <w:p w14:paraId="1BEF040F" w14:textId="332AB1D6" w:rsidR="00E76212" w:rsidRPr="008C63ED" w:rsidRDefault="00E76212" w:rsidP="00536426">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realizáciu projektu: „Obnova a revitalizácia parku v meste </w:t>
            </w:r>
            <w:r w:rsidR="00536426">
              <w:rPr>
                <w:rFonts w:eastAsia="Times New Roman" w:cs="Times New Roman"/>
                <w:sz w:val="16"/>
                <w:szCs w:val="16"/>
                <w:lang w:eastAsia="sk-SK"/>
              </w:rPr>
              <w:t>Gelnica“</w:t>
            </w:r>
          </w:p>
        </w:tc>
        <w:tc>
          <w:tcPr>
            <w:tcW w:w="1559" w:type="dxa"/>
            <w:tcBorders>
              <w:top w:val="nil"/>
              <w:left w:val="nil"/>
              <w:bottom w:val="nil"/>
              <w:right w:val="nil"/>
            </w:tcBorders>
            <w:shd w:val="clear" w:color="auto" w:fill="auto"/>
            <w:noWrap/>
            <w:vAlign w:val="center"/>
            <w:hideMark/>
          </w:tcPr>
          <w:p w14:paraId="3B7B648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7</w:t>
            </w:r>
          </w:p>
        </w:tc>
      </w:tr>
      <w:tr w:rsidR="00E76212" w:rsidRPr="008C63ED" w14:paraId="237DED7C" w14:textId="77777777" w:rsidTr="00536426">
        <w:trPr>
          <w:trHeight w:val="673"/>
        </w:trPr>
        <w:tc>
          <w:tcPr>
            <w:tcW w:w="3969" w:type="dxa"/>
            <w:tcBorders>
              <w:top w:val="nil"/>
              <w:left w:val="nil"/>
              <w:bottom w:val="nil"/>
              <w:right w:val="nil"/>
            </w:tcBorders>
            <w:shd w:val="clear" w:color="auto" w:fill="auto"/>
            <w:vAlign w:val="center"/>
            <w:hideMark/>
          </w:tcPr>
          <w:p w14:paraId="47BB1974" w14:textId="0A7ADD12" w:rsidR="00E76212" w:rsidRPr="008C63ED" w:rsidRDefault="00E76212" w:rsidP="00AA1476">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Centrum environmentálnej a etickej výchovy Živica, Račianska 1575/78, 831 02 Bratislava - mestská časť Nové Mesto</w:t>
            </w:r>
          </w:p>
        </w:tc>
        <w:tc>
          <w:tcPr>
            <w:tcW w:w="3828" w:type="dxa"/>
            <w:tcBorders>
              <w:top w:val="nil"/>
              <w:left w:val="nil"/>
              <w:bottom w:val="nil"/>
              <w:right w:val="nil"/>
            </w:tcBorders>
            <w:shd w:val="clear" w:color="auto" w:fill="auto"/>
            <w:vAlign w:val="center"/>
            <w:hideMark/>
          </w:tcPr>
          <w:p w14:paraId="6FCC5FB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realizáciu projektu: „Školský a komunitný sad starých a krajových odrôd ovocných stromov v </w:t>
            </w:r>
            <w:proofErr w:type="spellStart"/>
            <w:r w:rsidRPr="008C63ED">
              <w:rPr>
                <w:rFonts w:eastAsia="Times New Roman" w:cs="Times New Roman"/>
                <w:sz w:val="16"/>
                <w:szCs w:val="16"/>
                <w:lang w:eastAsia="sk-SK"/>
              </w:rPr>
              <w:t>Zaježovej</w:t>
            </w:r>
            <w:proofErr w:type="spellEnd"/>
            <w:r w:rsidRPr="008C63ED">
              <w:rPr>
                <w:rFonts w:eastAsia="Times New Roman" w:cs="Times New Roman"/>
                <w:sz w:val="16"/>
                <w:szCs w:val="16"/>
                <w:lang w:eastAsia="sk-SK"/>
              </w:rPr>
              <w:t>“</w:t>
            </w:r>
          </w:p>
        </w:tc>
        <w:tc>
          <w:tcPr>
            <w:tcW w:w="1559" w:type="dxa"/>
            <w:tcBorders>
              <w:top w:val="nil"/>
              <w:left w:val="nil"/>
              <w:bottom w:val="nil"/>
              <w:right w:val="nil"/>
            </w:tcBorders>
            <w:shd w:val="clear" w:color="auto" w:fill="auto"/>
            <w:noWrap/>
            <w:vAlign w:val="center"/>
            <w:hideMark/>
          </w:tcPr>
          <w:p w14:paraId="0E81C562"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7</w:t>
            </w:r>
          </w:p>
        </w:tc>
      </w:tr>
      <w:tr w:rsidR="00E76212" w:rsidRPr="008C63ED" w14:paraId="6C92968D" w14:textId="77777777" w:rsidTr="00536426">
        <w:trPr>
          <w:trHeight w:val="224"/>
        </w:trPr>
        <w:tc>
          <w:tcPr>
            <w:tcW w:w="3969" w:type="dxa"/>
            <w:tcBorders>
              <w:top w:val="nil"/>
              <w:left w:val="nil"/>
              <w:bottom w:val="nil"/>
              <w:right w:val="nil"/>
            </w:tcBorders>
            <w:shd w:val="clear" w:color="auto" w:fill="auto"/>
            <w:vAlign w:val="center"/>
            <w:hideMark/>
          </w:tcPr>
          <w:p w14:paraId="310C805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Mesto Čadca, Námestie Slobody 30/2, 022 01 Čadca</w:t>
            </w:r>
          </w:p>
        </w:tc>
        <w:tc>
          <w:tcPr>
            <w:tcW w:w="3828" w:type="dxa"/>
            <w:tcBorders>
              <w:top w:val="nil"/>
              <w:left w:val="nil"/>
              <w:bottom w:val="nil"/>
              <w:right w:val="nil"/>
            </w:tcBorders>
            <w:shd w:val="clear" w:color="auto" w:fill="auto"/>
            <w:vAlign w:val="center"/>
            <w:hideMark/>
          </w:tcPr>
          <w:p w14:paraId="47A38E3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„Zelené oázy“</w:t>
            </w:r>
          </w:p>
        </w:tc>
        <w:tc>
          <w:tcPr>
            <w:tcW w:w="1559" w:type="dxa"/>
            <w:tcBorders>
              <w:top w:val="nil"/>
              <w:left w:val="nil"/>
              <w:bottom w:val="nil"/>
              <w:right w:val="nil"/>
            </w:tcBorders>
            <w:shd w:val="clear" w:color="auto" w:fill="auto"/>
            <w:noWrap/>
            <w:vAlign w:val="center"/>
            <w:hideMark/>
          </w:tcPr>
          <w:p w14:paraId="68930E2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7</w:t>
            </w:r>
          </w:p>
        </w:tc>
      </w:tr>
      <w:tr w:rsidR="00E76212" w:rsidRPr="008C63ED" w14:paraId="49C3FA93" w14:textId="77777777" w:rsidTr="00536426">
        <w:trPr>
          <w:trHeight w:val="449"/>
        </w:trPr>
        <w:tc>
          <w:tcPr>
            <w:tcW w:w="3969" w:type="dxa"/>
            <w:tcBorders>
              <w:top w:val="nil"/>
              <w:left w:val="nil"/>
              <w:bottom w:val="nil"/>
              <w:right w:val="nil"/>
            </w:tcBorders>
            <w:shd w:val="clear" w:color="auto" w:fill="auto"/>
            <w:vAlign w:val="center"/>
            <w:hideMark/>
          </w:tcPr>
          <w:p w14:paraId="4EA69BC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Rímskokatolícke cirkev, farnosť Podolie, Farská 845, 916 22 Podolie</w:t>
            </w:r>
          </w:p>
        </w:tc>
        <w:tc>
          <w:tcPr>
            <w:tcW w:w="3828" w:type="dxa"/>
            <w:tcBorders>
              <w:top w:val="nil"/>
              <w:left w:val="nil"/>
              <w:bottom w:val="nil"/>
              <w:right w:val="nil"/>
            </w:tcBorders>
            <w:shd w:val="clear" w:color="auto" w:fill="auto"/>
            <w:vAlign w:val="center"/>
            <w:hideMark/>
          </w:tcPr>
          <w:p w14:paraId="68B210C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opravu krytiny veže kostola </w:t>
            </w:r>
          </w:p>
        </w:tc>
        <w:tc>
          <w:tcPr>
            <w:tcW w:w="1559" w:type="dxa"/>
            <w:tcBorders>
              <w:top w:val="nil"/>
              <w:left w:val="nil"/>
              <w:bottom w:val="nil"/>
              <w:right w:val="nil"/>
            </w:tcBorders>
            <w:shd w:val="clear" w:color="auto" w:fill="auto"/>
            <w:noWrap/>
            <w:vAlign w:val="center"/>
            <w:hideMark/>
          </w:tcPr>
          <w:p w14:paraId="1239AD8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w:t>
            </w:r>
          </w:p>
        </w:tc>
      </w:tr>
      <w:tr w:rsidR="00E76212" w:rsidRPr="008C63ED" w14:paraId="7C7A2B4B" w14:textId="77777777" w:rsidTr="00536426">
        <w:trPr>
          <w:trHeight w:val="449"/>
        </w:trPr>
        <w:tc>
          <w:tcPr>
            <w:tcW w:w="3969" w:type="dxa"/>
            <w:tcBorders>
              <w:top w:val="nil"/>
              <w:left w:val="nil"/>
              <w:bottom w:val="nil"/>
              <w:right w:val="nil"/>
            </w:tcBorders>
            <w:shd w:val="clear" w:color="auto" w:fill="auto"/>
            <w:vAlign w:val="center"/>
            <w:hideMark/>
          </w:tcPr>
          <w:p w14:paraId="7E70B90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Veľká Ves nad Ipľom, Veľká Ves nad Ipľom 124, 991 10 Veľká Ves nad Ipľom</w:t>
            </w:r>
          </w:p>
        </w:tc>
        <w:tc>
          <w:tcPr>
            <w:tcW w:w="3828" w:type="dxa"/>
            <w:tcBorders>
              <w:top w:val="nil"/>
              <w:left w:val="nil"/>
              <w:bottom w:val="nil"/>
              <w:right w:val="nil"/>
            </w:tcBorders>
            <w:shd w:val="clear" w:color="auto" w:fill="auto"/>
            <w:vAlign w:val="center"/>
            <w:hideMark/>
          </w:tcPr>
          <w:p w14:paraId="4576793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vstupu do kultúrneho domu v obci</w:t>
            </w:r>
          </w:p>
        </w:tc>
        <w:tc>
          <w:tcPr>
            <w:tcW w:w="1559" w:type="dxa"/>
            <w:tcBorders>
              <w:top w:val="nil"/>
              <w:left w:val="nil"/>
              <w:bottom w:val="nil"/>
              <w:right w:val="nil"/>
            </w:tcBorders>
            <w:shd w:val="clear" w:color="auto" w:fill="auto"/>
            <w:noWrap/>
            <w:vAlign w:val="center"/>
            <w:hideMark/>
          </w:tcPr>
          <w:p w14:paraId="6D15E83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w:t>
            </w:r>
          </w:p>
        </w:tc>
      </w:tr>
      <w:tr w:rsidR="00E76212" w:rsidRPr="008C63ED" w14:paraId="5E7E33A4" w14:textId="77777777" w:rsidTr="00536426">
        <w:trPr>
          <w:trHeight w:val="449"/>
        </w:trPr>
        <w:tc>
          <w:tcPr>
            <w:tcW w:w="3969" w:type="dxa"/>
            <w:tcBorders>
              <w:top w:val="nil"/>
              <w:left w:val="nil"/>
              <w:bottom w:val="nil"/>
              <w:right w:val="nil"/>
            </w:tcBorders>
            <w:shd w:val="clear" w:color="auto" w:fill="auto"/>
            <w:vAlign w:val="center"/>
            <w:hideMark/>
          </w:tcPr>
          <w:p w14:paraId="75DBC7C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Suchá nad Parnou, Suchá nad Parnou 68, 919 01 Suchá nad Parnou</w:t>
            </w:r>
          </w:p>
        </w:tc>
        <w:tc>
          <w:tcPr>
            <w:tcW w:w="3828" w:type="dxa"/>
            <w:tcBorders>
              <w:top w:val="nil"/>
              <w:left w:val="nil"/>
              <w:bottom w:val="nil"/>
              <w:right w:val="nil"/>
            </w:tcBorders>
            <w:shd w:val="clear" w:color="auto" w:fill="auto"/>
            <w:vAlign w:val="center"/>
            <w:hideMark/>
          </w:tcPr>
          <w:p w14:paraId="0B8B9D3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„Zavlažovacie vaky pre mladé stromčeky a nové stromčeky do obecného sadu“</w:t>
            </w:r>
          </w:p>
        </w:tc>
        <w:tc>
          <w:tcPr>
            <w:tcW w:w="1559" w:type="dxa"/>
            <w:tcBorders>
              <w:top w:val="nil"/>
              <w:left w:val="nil"/>
              <w:bottom w:val="nil"/>
              <w:right w:val="nil"/>
            </w:tcBorders>
            <w:shd w:val="clear" w:color="auto" w:fill="auto"/>
            <w:noWrap/>
            <w:vAlign w:val="center"/>
            <w:hideMark/>
          </w:tcPr>
          <w:p w14:paraId="061B404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w:t>
            </w:r>
          </w:p>
        </w:tc>
      </w:tr>
      <w:tr w:rsidR="00E76212" w:rsidRPr="008C63ED" w14:paraId="59155433" w14:textId="77777777" w:rsidTr="00536426">
        <w:trPr>
          <w:trHeight w:val="224"/>
        </w:trPr>
        <w:tc>
          <w:tcPr>
            <w:tcW w:w="3969" w:type="dxa"/>
            <w:tcBorders>
              <w:top w:val="nil"/>
              <w:left w:val="nil"/>
              <w:bottom w:val="nil"/>
              <w:right w:val="nil"/>
            </w:tcBorders>
            <w:shd w:val="clear" w:color="auto" w:fill="auto"/>
            <w:vAlign w:val="center"/>
            <w:hideMark/>
          </w:tcPr>
          <w:p w14:paraId="2A9015D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Brdárka, Brdárka 35, 049 34 Brdárka</w:t>
            </w:r>
          </w:p>
        </w:tc>
        <w:tc>
          <w:tcPr>
            <w:tcW w:w="3828" w:type="dxa"/>
            <w:tcBorders>
              <w:top w:val="nil"/>
              <w:left w:val="nil"/>
              <w:bottom w:val="nil"/>
              <w:right w:val="nil"/>
            </w:tcBorders>
            <w:shd w:val="clear" w:color="auto" w:fill="auto"/>
            <w:vAlign w:val="center"/>
            <w:hideMark/>
          </w:tcPr>
          <w:p w14:paraId="74A284D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dvoch turistických prístreškov</w:t>
            </w:r>
          </w:p>
        </w:tc>
        <w:tc>
          <w:tcPr>
            <w:tcW w:w="1559" w:type="dxa"/>
            <w:tcBorders>
              <w:top w:val="nil"/>
              <w:left w:val="nil"/>
              <w:bottom w:val="nil"/>
              <w:right w:val="nil"/>
            </w:tcBorders>
            <w:shd w:val="clear" w:color="auto" w:fill="auto"/>
            <w:noWrap/>
            <w:vAlign w:val="center"/>
            <w:hideMark/>
          </w:tcPr>
          <w:p w14:paraId="19CFEF2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w:t>
            </w:r>
          </w:p>
        </w:tc>
      </w:tr>
      <w:tr w:rsidR="00E76212" w:rsidRPr="008C63ED" w14:paraId="689C5A41" w14:textId="77777777" w:rsidTr="00536426">
        <w:trPr>
          <w:trHeight w:val="449"/>
        </w:trPr>
        <w:tc>
          <w:tcPr>
            <w:tcW w:w="3969" w:type="dxa"/>
            <w:tcBorders>
              <w:top w:val="nil"/>
              <w:left w:val="nil"/>
              <w:bottom w:val="nil"/>
              <w:right w:val="nil"/>
            </w:tcBorders>
            <w:shd w:val="clear" w:color="auto" w:fill="auto"/>
            <w:vAlign w:val="center"/>
            <w:hideMark/>
          </w:tcPr>
          <w:p w14:paraId="224BFD8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Hronský Beňadik, Mýtne Námestie 445/26, 966 53 Hronský Beňadik</w:t>
            </w:r>
          </w:p>
        </w:tc>
        <w:tc>
          <w:tcPr>
            <w:tcW w:w="3828" w:type="dxa"/>
            <w:tcBorders>
              <w:top w:val="nil"/>
              <w:left w:val="nil"/>
              <w:bottom w:val="nil"/>
              <w:right w:val="nil"/>
            </w:tcBorders>
            <w:shd w:val="clear" w:color="auto" w:fill="auto"/>
            <w:vAlign w:val="center"/>
            <w:hideMark/>
          </w:tcPr>
          <w:p w14:paraId="5848CA3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obecnej budovy pre potreby výdaja stravy</w:t>
            </w:r>
          </w:p>
        </w:tc>
        <w:tc>
          <w:tcPr>
            <w:tcW w:w="1559" w:type="dxa"/>
            <w:tcBorders>
              <w:top w:val="nil"/>
              <w:left w:val="nil"/>
              <w:bottom w:val="nil"/>
              <w:right w:val="nil"/>
            </w:tcBorders>
            <w:shd w:val="clear" w:color="auto" w:fill="auto"/>
            <w:noWrap/>
            <w:vAlign w:val="center"/>
            <w:hideMark/>
          </w:tcPr>
          <w:p w14:paraId="7B82EBC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w:t>
            </w:r>
          </w:p>
        </w:tc>
      </w:tr>
      <w:tr w:rsidR="00E76212" w:rsidRPr="008C63ED" w14:paraId="5038C951" w14:textId="77777777" w:rsidTr="00536426">
        <w:trPr>
          <w:trHeight w:val="449"/>
        </w:trPr>
        <w:tc>
          <w:tcPr>
            <w:tcW w:w="3969" w:type="dxa"/>
            <w:tcBorders>
              <w:top w:val="nil"/>
              <w:left w:val="nil"/>
              <w:bottom w:val="nil"/>
              <w:right w:val="nil"/>
            </w:tcBorders>
            <w:shd w:val="clear" w:color="auto" w:fill="auto"/>
            <w:vAlign w:val="center"/>
            <w:hideMark/>
          </w:tcPr>
          <w:p w14:paraId="513F608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Matejovce nad Hornádom, Matejovce nad Hornádom 97, 053 21 Matejovce nad Hornádom</w:t>
            </w:r>
          </w:p>
        </w:tc>
        <w:tc>
          <w:tcPr>
            <w:tcW w:w="3828" w:type="dxa"/>
            <w:tcBorders>
              <w:top w:val="nil"/>
              <w:left w:val="nil"/>
              <w:bottom w:val="nil"/>
              <w:right w:val="nil"/>
            </w:tcBorders>
            <w:shd w:val="clear" w:color="auto" w:fill="auto"/>
            <w:vAlign w:val="center"/>
            <w:hideMark/>
          </w:tcPr>
          <w:p w14:paraId="076710FC" w14:textId="1724BB5B" w:rsidR="00E76212" w:rsidRPr="008C63ED" w:rsidRDefault="00E76212" w:rsidP="00536426">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„Živý d(t)vor“</w:t>
            </w:r>
          </w:p>
        </w:tc>
        <w:tc>
          <w:tcPr>
            <w:tcW w:w="1559" w:type="dxa"/>
            <w:tcBorders>
              <w:top w:val="nil"/>
              <w:left w:val="nil"/>
              <w:bottom w:val="nil"/>
              <w:right w:val="nil"/>
            </w:tcBorders>
            <w:shd w:val="clear" w:color="auto" w:fill="auto"/>
            <w:noWrap/>
            <w:vAlign w:val="center"/>
            <w:hideMark/>
          </w:tcPr>
          <w:p w14:paraId="1803434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w:t>
            </w:r>
          </w:p>
        </w:tc>
      </w:tr>
      <w:tr w:rsidR="00E76212" w:rsidRPr="008C63ED" w14:paraId="28A80C3D" w14:textId="77777777" w:rsidTr="00536426">
        <w:trPr>
          <w:trHeight w:val="224"/>
        </w:trPr>
        <w:tc>
          <w:tcPr>
            <w:tcW w:w="3969" w:type="dxa"/>
            <w:tcBorders>
              <w:top w:val="nil"/>
              <w:left w:val="nil"/>
              <w:bottom w:val="nil"/>
              <w:right w:val="nil"/>
            </w:tcBorders>
            <w:shd w:val="clear" w:color="auto" w:fill="auto"/>
            <w:vAlign w:val="center"/>
            <w:hideMark/>
          </w:tcPr>
          <w:p w14:paraId="2D90100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Mesto Stará Ľubovňa, Obchodná 1108/1, 064 01 Stará Ľubovňa</w:t>
            </w:r>
          </w:p>
        </w:tc>
        <w:tc>
          <w:tcPr>
            <w:tcW w:w="3828" w:type="dxa"/>
            <w:tcBorders>
              <w:top w:val="nil"/>
              <w:left w:val="nil"/>
              <w:bottom w:val="nil"/>
              <w:right w:val="nil"/>
            </w:tcBorders>
            <w:shd w:val="clear" w:color="auto" w:fill="auto"/>
            <w:vAlign w:val="center"/>
            <w:hideMark/>
          </w:tcPr>
          <w:p w14:paraId="0AC4A495" w14:textId="0946AFA2" w:rsidR="00E76212" w:rsidRPr="008C63ED" w:rsidRDefault="00E76212" w:rsidP="00536426">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w:t>
            </w:r>
            <w:proofErr w:type="spellStart"/>
            <w:r w:rsidRPr="008C63ED">
              <w:rPr>
                <w:rFonts w:eastAsia="Times New Roman" w:cs="Times New Roman"/>
                <w:sz w:val="16"/>
                <w:szCs w:val="16"/>
                <w:lang w:eastAsia="sk-SK"/>
              </w:rPr>
              <w:t>Alej</w:t>
            </w:r>
            <w:proofErr w:type="spellEnd"/>
            <w:r w:rsidRPr="008C63ED">
              <w:rPr>
                <w:rFonts w:eastAsia="Times New Roman" w:cs="Times New Roman"/>
                <w:sz w:val="16"/>
                <w:szCs w:val="16"/>
                <w:lang w:eastAsia="sk-SK"/>
              </w:rPr>
              <w:t xml:space="preserve"> za vodou“</w:t>
            </w:r>
          </w:p>
        </w:tc>
        <w:tc>
          <w:tcPr>
            <w:tcW w:w="1559" w:type="dxa"/>
            <w:tcBorders>
              <w:top w:val="nil"/>
              <w:left w:val="nil"/>
              <w:bottom w:val="nil"/>
              <w:right w:val="nil"/>
            </w:tcBorders>
            <w:shd w:val="clear" w:color="auto" w:fill="auto"/>
            <w:noWrap/>
            <w:vAlign w:val="center"/>
            <w:hideMark/>
          </w:tcPr>
          <w:p w14:paraId="34EAA426"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w:t>
            </w:r>
          </w:p>
        </w:tc>
      </w:tr>
      <w:tr w:rsidR="00E76212" w:rsidRPr="008C63ED" w14:paraId="00B7A2D7" w14:textId="77777777" w:rsidTr="00536426">
        <w:trPr>
          <w:trHeight w:val="224"/>
        </w:trPr>
        <w:tc>
          <w:tcPr>
            <w:tcW w:w="3969" w:type="dxa"/>
            <w:tcBorders>
              <w:top w:val="nil"/>
              <w:left w:val="nil"/>
              <w:bottom w:val="nil"/>
              <w:right w:val="nil"/>
            </w:tcBorders>
            <w:shd w:val="clear" w:color="auto" w:fill="auto"/>
            <w:vAlign w:val="center"/>
            <w:hideMark/>
          </w:tcPr>
          <w:p w14:paraId="51EA501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Obec Zázrivá, Stred 409, 027 05 Zázrivá </w:t>
            </w:r>
          </w:p>
        </w:tc>
        <w:tc>
          <w:tcPr>
            <w:tcW w:w="3828" w:type="dxa"/>
            <w:tcBorders>
              <w:top w:val="nil"/>
              <w:left w:val="nil"/>
              <w:bottom w:val="nil"/>
              <w:right w:val="nil"/>
            </w:tcBorders>
            <w:shd w:val="clear" w:color="auto" w:fill="auto"/>
            <w:vAlign w:val="center"/>
            <w:hideMark/>
          </w:tcPr>
          <w:p w14:paraId="251014B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opravu miestnych komunikácií v obci</w:t>
            </w:r>
          </w:p>
        </w:tc>
        <w:tc>
          <w:tcPr>
            <w:tcW w:w="1559" w:type="dxa"/>
            <w:tcBorders>
              <w:top w:val="nil"/>
              <w:left w:val="nil"/>
              <w:bottom w:val="nil"/>
              <w:right w:val="nil"/>
            </w:tcBorders>
            <w:shd w:val="clear" w:color="auto" w:fill="auto"/>
            <w:noWrap/>
            <w:vAlign w:val="center"/>
            <w:hideMark/>
          </w:tcPr>
          <w:p w14:paraId="74F89D4E"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w:t>
            </w:r>
          </w:p>
        </w:tc>
      </w:tr>
      <w:tr w:rsidR="00E76212" w:rsidRPr="008C63ED" w14:paraId="3193A1B5" w14:textId="77777777" w:rsidTr="00536426">
        <w:trPr>
          <w:trHeight w:val="224"/>
        </w:trPr>
        <w:tc>
          <w:tcPr>
            <w:tcW w:w="3969" w:type="dxa"/>
            <w:tcBorders>
              <w:top w:val="nil"/>
              <w:left w:val="nil"/>
              <w:bottom w:val="nil"/>
              <w:right w:val="nil"/>
            </w:tcBorders>
            <w:shd w:val="clear" w:color="auto" w:fill="auto"/>
            <w:vAlign w:val="center"/>
            <w:hideMark/>
          </w:tcPr>
          <w:p w14:paraId="1FEEBBF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Ochodnica, Ochodnica 121, 023 35 Ochodnica</w:t>
            </w:r>
          </w:p>
        </w:tc>
        <w:tc>
          <w:tcPr>
            <w:tcW w:w="3828" w:type="dxa"/>
            <w:tcBorders>
              <w:top w:val="nil"/>
              <w:left w:val="nil"/>
              <w:bottom w:val="nil"/>
              <w:right w:val="nil"/>
            </w:tcBorders>
            <w:shd w:val="clear" w:color="auto" w:fill="auto"/>
            <w:vAlign w:val="center"/>
            <w:hideMark/>
          </w:tcPr>
          <w:p w14:paraId="24AEC75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elektroinštalácie v materskej škole</w:t>
            </w:r>
          </w:p>
        </w:tc>
        <w:tc>
          <w:tcPr>
            <w:tcW w:w="1559" w:type="dxa"/>
            <w:tcBorders>
              <w:top w:val="nil"/>
              <w:left w:val="nil"/>
              <w:bottom w:val="nil"/>
              <w:right w:val="nil"/>
            </w:tcBorders>
            <w:shd w:val="clear" w:color="auto" w:fill="auto"/>
            <w:noWrap/>
            <w:vAlign w:val="center"/>
            <w:hideMark/>
          </w:tcPr>
          <w:p w14:paraId="6022C95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w:t>
            </w:r>
          </w:p>
        </w:tc>
      </w:tr>
      <w:tr w:rsidR="00E76212" w:rsidRPr="008C63ED" w14:paraId="6ED3DDA8" w14:textId="77777777" w:rsidTr="00536426">
        <w:trPr>
          <w:trHeight w:val="449"/>
        </w:trPr>
        <w:tc>
          <w:tcPr>
            <w:tcW w:w="3969" w:type="dxa"/>
            <w:tcBorders>
              <w:top w:val="nil"/>
              <w:left w:val="nil"/>
              <w:bottom w:val="nil"/>
              <w:right w:val="nil"/>
            </w:tcBorders>
            <w:shd w:val="clear" w:color="auto" w:fill="auto"/>
            <w:vAlign w:val="center"/>
            <w:hideMark/>
          </w:tcPr>
          <w:p w14:paraId="07AF5F4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Prša, Prša 79, 985 41 Prša</w:t>
            </w:r>
          </w:p>
        </w:tc>
        <w:tc>
          <w:tcPr>
            <w:tcW w:w="3828" w:type="dxa"/>
            <w:tcBorders>
              <w:top w:val="nil"/>
              <w:left w:val="nil"/>
              <w:bottom w:val="nil"/>
              <w:right w:val="nil"/>
            </w:tcBorders>
            <w:shd w:val="clear" w:color="auto" w:fill="auto"/>
            <w:vAlign w:val="center"/>
            <w:hideMark/>
          </w:tcPr>
          <w:p w14:paraId="6DE77F1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záchranu </w:t>
            </w:r>
            <w:proofErr w:type="spellStart"/>
            <w:r w:rsidRPr="008C63ED">
              <w:rPr>
                <w:rFonts w:eastAsia="Times New Roman" w:cs="Times New Roman"/>
                <w:sz w:val="16"/>
                <w:szCs w:val="16"/>
                <w:lang w:eastAsia="sk-SK"/>
              </w:rPr>
              <w:t>neorománskeho</w:t>
            </w:r>
            <w:proofErr w:type="spellEnd"/>
            <w:r w:rsidRPr="008C63ED">
              <w:rPr>
                <w:rFonts w:eastAsia="Times New Roman" w:cs="Times New Roman"/>
                <w:sz w:val="16"/>
                <w:szCs w:val="16"/>
                <w:lang w:eastAsia="sk-SK"/>
              </w:rPr>
              <w:t xml:space="preserve"> rímskokatolíckeho kostola v Prši</w:t>
            </w:r>
          </w:p>
        </w:tc>
        <w:tc>
          <w:tcPr>
            <w:tcW w:w="1559" w:type="dxa"/>
            <w:tcBorders>
              <w:top w:val="nil"/>
              <w:left w:val="nil"/>
              <w:bottom w:val="nil"/>
              <w:right w:val="nil"/>
            </w:tcBorders>
            <w:shd w:val="clear" w:color="auto" w:fill="auto"/>
            <w:noWrap/>
            <w:vAlign w:val="center"/>
            <w:hideMark/>
          </w:tcPr>
          <w:p w14:paraId="65043E3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w:t>
            </w:r>
          </w:p>
        </w:tc>
      </w:tr>
      <w:tr w:rsidR="00E76212" w:rsidRPr="008C63ED" w14:paraId="7EB13F75" w14:textId="77777777" w:rsidTr="00536426">
        <w:trPr>
          <w:trHeight w:val="449"/>
        </w:trPr>
        <w:tc>
          <w:tcPr>
            <w:tcW w:w="3969" w:type="dxa"/>
            <w:tcBorders>
              <w:top w:val="nil"/>
              <w:left w:val="nil"/>
              <w:bottom w:val="nil"/>
              <w:right w:val="nil"/>
            </w:tcBorders>
            <w:shd w:val="clear" w:color="auto" w:fill="auto"/>
            <w:vAlign w:val="center"/>
            <w:hideMark/>
          </w:tcPr>
          <w:p w14:paraId="50EB64C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PODZÁMČOK, Oravský Podzámok 51, 027 41 Oravský Podzámok</w:t>
            </w:r>
          </w:p>
        </w:tc>
        <w:tc>
          <w:tcPr>
            <w:tcW w:w="3828" w:type="dxa"/>
            <w:tcBorders>
              <w:top w:val="nil"/>
              <w:left w:val="nil"/>
              <w:bottom w:val="nil"/>
              <w:right w:val="nil"/>
            </w:tcBorders>
            <w:shd w:val="clear" w:color="auto" w:fill="auto"/>
            <w:vAlign w:val="center"/>
            <w:hideMark/>
          </w:tcPr>
          <w:p w14:paraId="7185EBC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„Park radosti“</w:t>
            </w:r>
          </w:p>
        </w:tc>
        <w:tc>
          <w:tcPr>
            <w:tcW w:w="1559" w:type="dxa"/>
            <w:tcBorders>
              <w:top w:val="nil"/>
              <w:left w:val="nil"/>
              <w:bottom w:val="nil"/>
              <w:right w:val="nil"/>
            </w:tcBorders>
            <w:shd w:val="clear" w:color="auto" w:fill="auto"/>
            <w:noWrap/>
            <w:vAlign w:val="center"/>
            <w:hideMark/>
          </w:tcPr>
          <w:p w14:paraId="39B20D33"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6F73E3F1" w14:textId="77777777" w:rsidTr="00536426">
        <w:trPr>
          <w:trHeight w:val="974"/>
        </w:trPr>
        <w:tc>
          <w:tcPr>
            <w:tcW w:w="3969" w:type="dxa"/>
            <w:tcBorders>
              <w:top w:val="nil"/>
              <w:left w:val="nil"/>
              <w:bottom w:val="nil"/>
              <w:right w:val="nil"/>
            </w:tcBorders>
            <w:shd w:val="clear" w:color="auto" w:fill="auto"/>
            <w:vAlign w:val="center"/>
            <w:hideMark/>
          </w:tcPr>
          <w:p w14:paraId="70DC54D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Atletický klub Slávia Technická univerzita Košice, o. z. Wats+M41:M74onova 1912/4A, 040 01 Košice – mestská časť Sever</w:t>
            </w:r>
          </w:p>
        </w:tc>
        <w:tc>
          <w:tcPr>
            <w:tcW w:w="3828" w:type="dxa"/>
            <w:tcBorders>
              <w:top w:val="nil"/>
              <w:left w:val="nil"/>
              <w:bottom w:val="nil"/>
              <w:right w:val="nil"/>
            </w:tcBorders>
            <w:shd w:val="clear" w:color="auto" w:fill="auto"/>
            <w:vAlign w:val="center"/>
            <w:hideMark/>
          </w:tcPr>
          <w:p w14:paraId="4FB0180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výdavky spojené s prípravou a tréningovým procesom talentovanej atlétky, bežkyne, chodkyne na medzinárodných pretekoch a talentovaného diskára</w:t>
            </w:r>
          </w:p>
        </w:tc>
        <w:tc>
          <w:tcPr>
            <w:tcW w:w="1559" w:type="dxa"/>
            <w:tcBorders>
              <w:top w:val="nil"/>
              <w:left w:val="nil"/>
              <w:bottom w:val="nil"/>
              <w:right w:val="nil"/>
            </w:tcBorders>
            <w:shd w:val="clear" w:color="auto" w:fill="auto"/>
            <w:noWrap/>
            <w:vAlign w:val="center"/>
            <w:hideMark/>
          </w:tcPr>
          <w:p w14:paraId="3196562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37EB05D0" w14:textId="77777777" w:rsidTr="00536426">
        <w:trPr>
          <w:trHeight w:val="68"/>
        </w:trPr>
        <w:tc>
          <w:tcPr>
            <w:tcW w:w="3969" w:type="dxa"/>
            <w:tcBorders>
              <w:top w:val="nil"/>
              <w:left w:val="nil"/>
              <w:bottom w:val="nil"/>
              <w:right w:val="nil"/>
            </w:tcBorders>
            <w:shd w:val="clear" w:color="auto" w:fill="auto"/>
            <w:vAlign w:val="center"/>
            <w:hideMark/>
          </w:tcPr>
          <w:p w14:paraId="4BFC8338" w14:textId="77777777" w:rsidR="00E76212" w:rsidRPr="008C63ED" w:rsidRDefault="00E76212" w:rsidP="00D2560E">
            <w:pPr>
              <w:spacing w:after="0" w:line="240" w:lineRule="auto"/>
              <w:rPr>
                <w:rFonts w:eastAsia="Times New Roman" w:cs="Times New Roman"/>
                <w:sz w:val="16"/>
                <w:szCs w:val="16"/>
                <w:highlight w:val="yellow"/>
                <w:lang w:eastAsia="sk-SK"/>
              </w:rPr>
            </w:pPr>
            <w:r w:rsidRPr="008C63ED">
              <w:rPr>
                <w:rFonts w:eastAsia="Times New Roman" w:cs="Times New Roman"/>
                <w:sz w:val="16"/>
                <w:szCs w:val="16"/>
                <w:lang w:eastAsia="sk-SK"/>
              </w:rPr>
              <w:t xml:space="preserve">OTCHENASH TEAM, </w:t>
            </w:r>
            <w:proofErr w:type="spellStart"/>
            <w:r w:rsidRPr="008C63ED">
              <w:rPr>
                <w:rFonts w:eastAsia="Times New Roman" w:cs="Times New Roman"/>
                <w:sz w:val="16"/>
                <w:szCs w:val="16"/>
                <w:lang w:eastAsia="sk-SK"/>
              </w:rPr>
              <w:t>Králická</w:t>
            </w:r>
            <w:proofErr w:type="spellEnd"/>
            <w:r w:rsidRPr="008C63ED">
              <w:rPr>
                <w:rFonts w:eastAsia="Times New Roman" w:cs="Times New Roman"/>
                <w:sz w:val="16"/>
                <w:szCs w:val="16"/>
                <w:lang w:eastAsia="sk-SK"/>
              </w:rPr>
              <w:t xml:space="preserve"> 200/140, 976 34 Králiky</w:t>
            </w:r>
          </w:p>
        </w:tc>
        <w:tc>
          <w:tcPr>
            <w:tcW w:w="3828" w:type="dxa"/>
            <w:tcBorders>
              <w:top w:val="nil"/>
              <w:left w:val="nil"/>
              <w:bottom w:val="nil"/>
              <w:right w:val="nil"/>
            </w:tcBorders>
            <w:shd w:val="clear" w:color="auto" w:fill="auto"/>
            <w:vAlign w:val="center"/>
            <w:hideMark/>
          </w:tcPr>
          <w:p w14:paraId="3142E02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podporu 4 biatlonistov</w:t>
            </w:r>
          </w:p>
        </w:tc>
        <w:tc>
          <w:tcPr>
            <w:tcW w:w="1559" w:type="dxa"/>
            <w:tcBorders>
              <w:top w:val="nil"/>
              <w:left w:val="nil"/>
              <w:bottom w:val="nil"/>
              <w:right w:val="nil"/>
            </w:tcBorders>
            <w:shd w:val="clear" w:color="auto" w:fill="auto"/>
            <w:noWrap/>
            <w:vAlign w:val="center"/>
            <w:hideMark/>
          </w:tcPr>
          <w:p w14:paraId="6D9CEADD"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331CF097" w14:textId="77777777" w:rsidTr="00536426">
        <w:trPr>
          <w:trHeight w:val="449"/>
        </w:trPr>
        <w:tc>
          <w:tcPr>
            <w:tcW w:w="3969" w:type="dxa"/>
            <w:tcBorders>
              <w:top w:val="nil"/>
              <w:left w:val="nil"/>
              <w:bottom w:val="nil"/>
              <w:right w:val="nil"/>
            </w:tcBorders>
            <w:shd w:val="clear" w:color="auto" w:fill="auto"/>
            <w:vAlign w:val="center"/>
            <w:hideMark/>
          </w:tcPr>
          <w:p w14:paraId="4E4ADB3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Slovenský horolezecký spolok JAMES, Junácka 2951/6, 832 80 Bratislava – mestská časť Nové Mesto</w:t>
            </w:r>
          </w:p>
        </w:tc>
        <w:tc>
          <w:tcPr>
            <w:tcW w:w="3828" w:type="dxa"/>
            <w:tcBorders>
              <w:top w:val="nil"/>
              <w:left w:val="nil"/>
              <w:bottom w:val="nil"/>
              <w:right w:val="nil"/>
            </w:tcBorders>
            <w:shd w:val="clear" w:color="auto" w:fill="auto"/>
            <w:vAlign w:val="center"/>
            <w:hideMark/>
          </w:tcPr>
          <w:p w14:paraId="28C7F6D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športovú prípravu lezca na účely kvalifikácie na Olympijské hry</w:t>
            </w:r>
          </w:p>
        </w:tc>
        <w:tc>
          <w:tcPr>
            <w:tcW w:w="1559" w:type="dxa"/>
            <w:tcBorders>
              <w:top w:val="nil"/>
              <w:left w:val="nil"/>
              <w:bottom w:val="nil"/>
              <w:right w:val="nil"/>
            </w:tcBorders>
            <w:shd w:val="clear" w:color="auto" w:fill="auto"/>
            <w:noWrap/>
            <w:vAlign w:val="center"/>
            <w:hideMark/>
          </w:tcPr>
          <w:p w14:paraId="1A5467C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54AE87AD" w14:textId="77777777" w:rsidTr="00536426">
        <w:trPr>
          <w:trHeight w:val="449"/>
        </w:trPr>
        <w:tc>
          <w:tcPr>
            <w:tcW w:w="3969" w:type="dxa"/>
            <w:tcBorders>
              <w:top w:val="nil"/>
              <w:left w:val="nil"/>
              <w:bottom w:val="nil"/>
              <w:right w:val="nil"/>
            </w:tcBorders>
            <w:shd w:val="clear" w:color="auto" w:fill="auto"/>
            <w:vAlign w:val="center"/>
            <w:hideMark/>
          </w:tcPr>
          <w:p w14:paraId="7846A16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Športový lyžiarsky klub Selce, Nová 6, 976 11 Selce</w:t>
            </w:r>
          </w:p>
        </w:tc>
        <w:tc>
          <w:tcPr>
            <w:tcW w:w="3828" w:type="dxa"/>
            <w:tcBorders>
              <w:top w:val="nil"/>
              <w:left w:val="nil"/>
              <w:bottom w:val="nil"/>
              <w:right w:val="nil"/>
            </w:tcBorders>
            <w:shd w:val="clear" w:color="auto" w:fill="auto"/>
            <w:vAlign w:val="center"/>
            <w:hideMark/>
          </w:tcPr>
          <w:p w14:paraId="48AAD05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úhradu výdavkov spojených s tréningom skokov na lyžiach v zahraničí </w:t>
            </w:r>
          </w:p>
        </w:tc>
        <w:tc>
          <w:tcPr>
            <w:tcW w:w="1559" w:type="dxa"/>
            <w:tcBorders>
              <w:top w:val="nil"/>
              <w:left w:val="nil"/>
              <w:bottom w:val="nil"/>
              <w:right w:val="nil"/>
            </w:tcBorders>
            <w:shd w:val="clear" w:color="auto" w:fill="auto"/>
            <w:noWrap/>
            <w:vAlign w:val="center"/>
            <w:hideMark/>
          </w:tcPr>
          <w:p w14:paraId="5C08B256"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169DDF5C" w14:textId="77777777" w:rsidTr="00536426">
        <w:trPr>
          <w:trHeight w:val="673"/>
        </w:trPr>
        <w:tc>
          <w:tcPr>
            <w:tcW w:w="3969" w:type="dxa"/>
            <w:tcBorders>
              <w:top w:val="nil"/>
              <w:left w:val="nil"/>
              <w:bottom w:val="nil"/>
              <w:right w:val="nil"/>
            </w:tcBorders>
            <w:shd w:val="clear" w:color="auto" w:fill="auto"/>
            <w:vAlign w:val="center"/>
            <w:hideMark/>
          </w:tcPr>
          <w:p w14:paraId="4697CA0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lastRenderedPageBreak/>
              <w:t xml:space="preserve">HUDOBNÁ SPOLOČNOSŤ HEMERKOVCOV, </w:t>
            </w:r>
            <w:proofErr w:type="spellStart"/>
            <w:r w:rsidRPr="008C63ED">
              <w:rPr>
                <w:rFonts w:eastAsia="Times New Roman" w:cs="Times New Roman"/>
                <w:sz w:val="16"/>
                <w:szCs w:val="16"/>
                <w:lang w:eastAsia="sk-SK"/>
              </w:rPr>
              <w:t>Timonova</w:t>
            </w:r>
            <w:proofErr w:type="spellEnd"/>
            <w:r w:rsidRPr="008C63ED">
              <w:rPr>
                <w:rFonts w:eastAsia="Times New Roman" w:cs="Times New Roman"/>
                <w:sz w:val="16"/>
                <w:szCs w:val="16"/>
                <w:lang w:eastAsia="sk-SK"/>
              </w:rPr>
              <w:t xml:space="preserve"> 778/2, 042 03 Košice – mestská časť Staré Mesto</w:t>
            </w:r>
          </w:p>
        </w:tc>
        <w:tc>
          <w:tcPr>
            <w:tcW w:w="3828" w:type="dxa"/>
            <w:tcBorders>
              <w:top w:val="nil"/>
              <w:left w:val="nil"/>
              <w:bottom w:val="nil"/>
              <w:right w:val="nil"/>
            </w:tcBorders>
            <w:shd w:val="clear" w:color="auto" w:fill="auto"/>
            <w:vAlign w:val="center"/>
            <w:hideMark/>
          </w:tcPr>
          <w:p w14:paraId="482EEBC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štúdium odboru HRA NA HARFE a na stáž pre študenta v Slovenskom ľudovom umeleckom kolektíve.</w:t>
            </w:r>
          </w:p>
        </w:tc>
        <w:tc>
          <w:tcPr>
            <w:tcW w:w="1559" w:type="dxa"/>
            <w:tcBorders>
              <w:top w:val="nil"/>
              <w:left w:val="nil"/>
              <w:bottom w:val="nil"/>
              <w:right w:val="nil"/>
            </w:tcBorders>
            <w:shd w:val="clear" w:color="auto" w:fill="auto"/>
            <w:noWrap/>
            <w:vAlign w:val="center"/>
            <w:hideMark/>
          </w:tcPr>
          <w:p w14:paraId="4B18EF3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1DDACAB0" w14:textId="77777777" w:rsidTr="00536426">
        <w:trPr>
          <w:trHeight w:val="449"/>
        </w:trPr>
        <w:tc>
          <w:tcPr>
            <w:tcW w:w="3969" w:type="dxa"/>
            <w:tcBorders>
              <w:top w:val="nil"/>
              <w:left w:val="nil"/>
              <w:bottom w:val="nil"/>
              <w:right w:val="nil"/>
            </w:tcBorders>
            <w:shd w:val="clear" w:color="auto" w:fill="auto"/>
            <w:vAlign w:val="center"/>
            <w:hideMark/>
          </w:tcPr>
          <w:p w14:paraId="418E7FB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LENTILKY, Kysucký Lieskovec 700, 023 34 Kysucký Lieskovec </w:t>
            </w:r>
          </w:p>
        </w:tc>
        <w:tc>
          <w:tcPr>
            <w:tcW w:w="3828" w:type="dxa"/>
            <w:tcBorders>
              <w:top w:val="nil"/>
              <w:left w:val="nil"/>
              <w:bottom w:val="nil"/>
              <w:right w:val="nil"/>
            </w:tcBorders>
            <w:shd w:val="clear" w:color="auto" w:fill="auto"/>
            <w:vAlign w:val="center"/>
            <w:hideMark/>
          </w:tcPr>
          <w:p w14:paraId="12C7AC7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tréningový a súťažný program v sezóne 2023 tanečného DUA</w:t>
            </w:r>
          </w:p>
        </w:tc>
        <w:tc>
          <w:tcPr>
            <w:tcW w:w="1559" w:type="dxa"/>
            <w:tcBorders>
              <w:top w:val="nil"/>
              <w:left w:val="nil"/>
              <w:bottom w:val="nil"/>
              <w:right w:val="nil"/>
            </w:tcBorders>
            <w:shd w:val="clear" w:color="auto" w:fill="auto"/>
            <w:noWrap/>
            <w:vAlign w:val="center"/>
            <w:hideMark/>
          </w:tcPr>
          <w:p w14:paraId="1130F2AE"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66F94B80" w14:textId="77777777" w:rsidTr="00536426">
        <w:trPr>
          <w:trHeight w:val="224"/>
        </w:trPr>
        <w:tc>
          <w:tcPr>
            <w:tcW w:w="3969" w:type="dxa"/>
            <w:tcBorders>
              <w:top w:val="nil"/>
              <w:left w:val="nil"/>
              <w:bottom w:val="nil"/>
              <w:right w:val="nil"/>
            </w:tcBorders>
            <w:shd w:val="clear" w:color="auto" w:fill="auto"/>
            <w:vAlign w:val="center"/>
            <w:hideMark/>
          </w:tcPr>
          <w:p w14:paraId="6D9E94B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Mesto Komárno, Nám. gen. Klapku 1/1, 945 01 Komárno</w:t>
            </w:r>
          </w:p>
        </w:tc>
        <w:tc>
          <w:tcPr>
            <w:tcW w:w="3828" w:type="dxa"/>
            <w:tcBorders>
              <w:top w:val="nil"/>
              <w:left w:val="nil"/>
              <w:bottom w:val="nil"/>
              <w:right w:val="nil"/>
            </w:tcBorders>
            <w:shd w:val="clear" w:color="auto" w:fill="auto"/>
            <w:vAlign w:val="center"/>
            <w:hideMark/>
          </w:tcPr>
          <w:p w14:paraId="77BCBF1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podporu talentovaných hudobníčok</w:t>
            </w:r>
          </w:p>
        </w:tc>
        <w:tc>
          <w:tcPr>
            <w:tcW w:w="1559" w:type="dxa"/>
            <w:tcBorders>
              <w:top w:val="nil"/>
              <w:left w:val="nil"/>
              <w:bottom w:val="nil"/>
              <w:right w:val="nil"/>
            </w:tcBorders>
            <w:shd w:val="clear" w:color="auto" w:fill="auto"/>
            <w:noWrap/>
            <w:vAlign w:val="center"/>
            <w:hideMark/>
          </w:tcPr>
          <w:p w14:paraId="1EFCE566"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0364B655" w14:textId="77777777" w:rsidTr="00536426">
        <w:trPr>
          <w:trHeight w:val="449"/>
        </w:trPr>
        <w:tc>
          <w:tcPr>
            <w:tcW w:w="3969" w:type="dxa"/>
            <w:tcBorders>
              <w:top w:val="nil"/>
              <w:left w:val="nil"/>
              <w:bottom w:val="nil"/>
              <w:right w:val="nil"/>
            </w:tcBorders>
            <w:shd w:val="clear" w:color="auto" w:fill="auto"/>
            <w:vAlign w:val="center"/>
            <w:hideMark/>
          </w:tcPr>
          <w:p w14:paraId="04D2585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Rímskokatolícka cirkev, farnosť Vyšný Slavkov, Vyšný Slavkov 98, 053 73 Vyšný Slavkov</w:t>
            </w:r>
          </w:p>
        </w:tc>
        <w:tc>
          <w:tcPr>
            <w:tcW w:w="3828" w:type="dxa"/>
            <w:tcBorders>
              <w:top w:val="nil"/>
              <w:left w:val="nil"/>
              <w:bottom w:val="nil"/>
              <w:right w:val="nil"/>
            </w:tcBorders>
            <w:shd w:val="clear" w:color="auto" w:fill="auto"/>
            <w:vAlign w:val="center"/>
            <w:hideMark/>
          </w:tcPr>
          <w:p w14:paraId="149428E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nákup organu pre talentovaného hudobníka</w:t>
            </w:r>
          </w:p>
        </w:tc>
        <w:tc>
          <w:tcPr>
            <w:tcW w:w="1559" w:type="dxa"/>
            <w:tcBorders>
              <w:top w:val="nil"/>
              <w:left w:val="nil"/>
              <w:bottom w:val="nil"/>
              <w:right w:val="nil"/>
            </w:tcBorders>
            <w:shd w:val="clear" w:color="auto" w:fill="auto"/>
            <w:noWrap/>
            <w:vAlign w:val="center"/>
            <w:hideMark/>
          </w:tcPr>
          <w:p w14:paraId="12F2B05E"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4C9A3616" w14:textId="77777777" w:rsidTr="00536426">
        <w:trPr>
          <w:trHeight w:val="449"/>
        </w:trPr>
        <w:tc>
          <w:tcPr>
            <w:tcW w:w="3969" w:type="dxa"/>
            <w:tcBorders>
              <w:top w:val="nil"/>
              <w:left w:val="nil"/>
              <w:bottom w:val="nil"/>
              <w:right w:val="nil"/>
            </w:tcBorders>
            <w:shd w:val="clear" w:color="auto" w:fill="auto"/>
            <w:vAlign w:val="center"/>
            <w:hideMark/>
          </w:tcPr>
          <w:p w14:paraId="49B3867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Slovenský skauting, 53. zbor </w:t>
            </w:r>
            <w:proofErr w:type="spellStart"/>
            <w:r w:rsidRPr="008C63ED">
              <w:rPr>
                <w:rFonts w:eastAsia="Times New Roman" w:cs="Times New Roman"/>
                <w:sz w:val="16"/>
                <w:szCs w:val="16"/>
                <w:lang w:eastAsia="sk-SK"/>
              </w:rPr>
              <w:t>Gentiana</w:t>
            </w:r>
            <w:proofErr w:type="spellEnd"/>
            <w:r w:rsidRPr="008C63ED">
              <w:rPr>
                <w:rFonts w:eastAsia="Times New Roman" w:cs="Times New Roman"/>
                <w:sz w:val="16"/>
                <w:szCs w:val="16"/>
                <w:lang w:eastAsia="sk-SK"/>
              </w:rPr>
              <w:t xml:space="preserve"> Dolný Kubín, Okružná 2059/23, 026 01 Dolný Kubín</w:t>
            </w:r>
          </w:p>
        </w:tc>
        <w:tc>
          <w:tcPr>
            <w:tcW w:w="3828" w:type="dxa"/>
            <w:tcBorders>
              <w:top w:val="nil"/>
              <w:left w:val="nil"/>
              <w:bottom w:val="nil"/>
              <w:right w:val="nil"/>
            </w:tcBorders>
            <w:shd w:val="clear" w:color="auto" w:fill="auto"/>
            <w:vAlign w:val="center"/>
            <w:hideMark/>
          </w:tcPr>
          <w:p w14:paraId="073B385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nákup fotoaparátu a objektívu pre talentovaného mladého fotografa</w:t>
            </w:r>
          </w:p>
        </w:tc>
        <w:tc>
          <w:tcPr>
            <w:tcW w:w="1559" w:type="dxa"/>
            <w:tcBorders>
              <w:top w:val="nil"/>
              <w:left w:val="nil"/>
              <w:bottom w:val="nil"/>
              <w:right w:val="nil"/>
            </w:tcBorders>
            <w:shd w:val="clear" w:color="auto" w:fill="auto"/>
            <w:noWrap/>
            <w:vAlign w:val="center"/>
            <w:hideMark/>
          </w:tcPr>
          <w:p w14:paraId="05EC12C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45AB02F2" w14:textId="77777777" w:rsidTr="00536426">
        <w:trPr>
          <w:trHeight w:val="449"/>
        </w:trPr>
        <w:tc>
          <w:tcPr>
            <w:tcW w:w="3969" w:type="dxa"/>
            <w:tcBorders>
              <w:top w:val="nil"/>
              <w:left w:val="nil"/>
              <w:bottom w:val="nil"/>
              <w:right w:val="nil"/>
            </w:tcBorders>
            <w:shd w:val="clear" w:color="auto" w:fill="auto"/>
            <w:vAlign w:val="center"/>
            <w:hideMark/>
          </w:tcPr>
          <w:p w14:paraId="5319CE3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Slovenská debatná asociácia, </w:t>
            </w:r>
            <w:proofErr w:type="spellStart"/>
            <w:r w:rsidRPr="008C63ED">
              <w:rPr>
                <w:rFonts w:eastAsia="Times New Roman" w:cs="Times New Roman"/>
                <w:sz w:val="16"/>
                <w:szCs w:val="16"/>
                <w:lang w:eastAsia="sk-SK"/>
              </w:rPr>
              <w:t>Ventúrska</w:t>
            </w:r>
            <w:proofErr w:type="spellEnd"/>
            <w:r w:rsidRPr="008C63ED">
              <w:rPr>
                <w:rFonts w:eastAsia="Times New Roman" w:cs="Times New Roman"/>
                <w:sz w:val="16"/>
                <w:szCs w:val="16"/>
                <w:lang w:eastAsia="sk-SK"/>
              </w:rPr>
              <w:t xml:space="preserve"> 1267/5, 811 01 Bratislava – mestská časť Staré Mesto</w:t>
            </w:r>
          </w:p>
        </w:tc>
        <w:tc>
          <w:tcPr>
            <w:tcW w:w="3828" w:type="dxa"/>
            <w:tcBorders>
              <w:top w:val="nil"/>
              <w:left w:val="nil"/>
              <w:bottom w:val="nil"/>
              <w:right w:val="nil"/>
            </w:tcBorders>
            <w:shd w:val="clear" w:color="auto" w:fill="auto"/>
            <w:vAlign w:val="center"/>
            <w:hideMark/>
          </w:tcPr>
          <w:p w14:paraId="200A221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účasť na Majstrovstvách sveta v debatovaní 2023 v Hanoji</w:t>
            </w:r>
          </w:p>
        </w:tc>
        <w:tc>
          <w:tcPr>
            <w:tcW w:w="1559" w:type="dxa"/>
            <w:tcBorders>
              <w:top w:val="nil"/>
              <w:left w:val="nil"/>
              <w:bottom w:val="nil"/>
              <w:right w:val="nil"/>
            </w:tcBorders>
            <w:shd w:val="clear" w:color="auto" w:fill="auto"/>
            <w:noWrap/>
            <w:vAlign w:val="center"/>
            <w:hideMark/>
          </w:tcPr>
          <w:p w14:paraId="3FCA0EE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677EDD30" w14:textId="77777777" w:rsidTr="00536426">
        <w:trPr>
          <w:trHeight w:val="449"/>
        </w:trPr>
        <w:tc>
          <w:tcPr>
            <w:tcW w:w="3969" w:type="dxa"/>
            <w:tcBorders>
              <w:top w:val="nil"/>
              <w:left w:val="nil"/>
              <w:bottom w:val="nil"/>
              <w:right w:val="nil"/>
            </w:tcBorders>
            <w:shd w:val="clear" w:color="auto" w:fill="auto"/>
            <w:vAlign w:val="center"/>
            <w:hideMark/>
          </w:tcPr>
          <w:p w14:paraId="4C9CD2E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Veľké Leváre, Štefánikova 747, 908 73 Veľké Leváre</w:t>
            </w:r>
          </w:p>
        </w:tc>
        <w:tc>
          <w:tcPr>
            <w:tcW w:w="3828" w:type="dxa"/>
            <w:tcBorders>
              <w:top w:val="nil"/>
              <w:left w:val="nil"/>
              <w:bottom w:val="nil"/>
              <w:right w:val="nil"/>
            </w:tcBorders>
            <w:shd w:val="clear" w:color="auto" w:fill="auto"/>
            <w:vAlign w:val="center"/>
            <w:hideMark/>
          </w:tcPr>
          <w:p w14:paraId="3753013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w:t>
            </w:r>
            <w:proofErr w:type="spellStart"/>
            <w:r w:rsidRPr="008C63ED">
              <w:rPr>
                <w:rFonts w:eastAsia="Times New Roman" w:cs="Times New Roman"/>
                <w:sz w:val="16"/>
                <w:szCs w:val="16"/>
                <w:lang w:eastAsia="sk-SK"/>
              </w:rPr>
              <w:t>Levárska</w:t>
            </w:r>
            <w:proofErr w:type="spellEnd"/>
            <w:r w:rsidRPr="008C63ED">
              <w:rPr>
                <w:rFonts w:eastAsia="Times New Roman" w:cs="Times New Roman"/>
                <w:sz w:val="16"/>
                <w:szCs w:val="16"/>
                <w:lang w:eastAsia="sk-SK"/>
              </w:rPr>
              <w:t xml:space="preserve"> lipová </w:t>
            </w:r>
            <w:proofErr w:type="spellStart"/>
            <w:r w:rsidRPr="008C63ED">
              <w:rPr>
                <w:rFonts w:eastAsia="Times New Roman" w:cs="Times New Roman"/>
                <w:sz w:val="16"/>
                <w:szCs w:val="16"/>
                <w:lang w:eastAsia="sk-SK"/>
              </w:rPr>
              <w:t>alej</w:t>
            </w:r>
            <w:proofErr w:type="spellEnd"/>
            <w:r w:rsidRPr="008C63ED">
              <w:rPr>
                <w:rFonts w:eastAsia="Times New Roman" w:cs="Times New Roman"/>
                <w:sz w:val="16"/>
                <w:szCs w:val="16"/>
                <w:lang w:eastAsia="sk-SK"/>
              </w:rPr>
              <w:t xml:space="preserve"> - naše deti obci - 5. ročník“</w:t>
            </w:r>
          </w:p>
        </w:tc>
        <w:tc>
          <w:tcPr>
            <w:tcW w:w="1559" w:type="dxa"/>
            <w:tcBorders>
              <w:top w:val="nil"/>
              <w:left w:val="nil"/>
              <w:bottom w:val="nil"/>
              <w:right w:val="nil"/>
            </w:tcBorders>
            <w:shd w:val="clear" w:color="auto" w:fill="auto"/>
            <w:noWrap/>
            <w:vAlign w:val="center"/>
            <w:hideMark/>
          </w:tcPr>
          <w:p w14:paraId="06618D8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43E7873C" w14:textId="77777777" w:rsidTr="00536426">
        <w:trPr>
          <w:trHeight w:val="449"/>
        </w:trPr>
        <w:tc>
          <w:tcPr>
            <w:tcW w:w="3969" w:type="dxa"/>
            <w:tcBorders>
              <w:top w:val="nil"/>
              <w:left w:val="nil"/>
              <w:bottom w:val="nil"/>
              <w:right w:val="nil"/>
            </w:tcBorders>
            <w:shd w:val="clear" w:color="auto" w:fill="auto"/>
            <w:vAlign w:val="center"/>
            <w:hideMark/>
          </w:tcPr>
          <w:p w14:paraId="08F86B4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Hlavné mesto Slovenskej republiky Bratislava, Primaciálne námestie 1, 814 99 Bratislava – mestská časť Staré Mesto</w:t>
            </w:r>
          </w:p>
        </w:tc>
        <w:tc>
          <w:tcPr>
            <w:tcW w:w="3828" w:type="dxa"/>
            <w:tcBorders>
              <w:top w:val="nil"/>
              <w:left w:val="nil"/>
              <w:bottom w:val="nil"/>
              <w:right w:val="nil"/>
            </w:tcBorders>
            <w:shd w:val="clear" w:color="auto" w:fill="auto"/>
            <w:vAlign w:val="center"/>
            <w:hideMark/>
          </w:tcPr>
          <w:p w14:paraId="3D3871C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Pre Základnú umeleckú školu Júliusa </w:t>
            </w:r>
            <w:proofErr w:type="spellStart"/>
            <w:r w:rsidRPr="008C63ED">
              <w:rPr>
                <w:rFonts w:eastAsia="Times New Roman" w:cs="Times New Roman"/>
                <w:sz w:val="16"/>
                <w:szCs w:val="16"/>
                <w:lang w:eastAsia="sk-SK"/>
              </w:rPr>
              <w:t>Kowalského</w:t>
            </w:r>
            <w:proofErr w:type="spellEnd"/>
            <w:r w:rsidRPr="008C63ED">
              <w:rPr>
                <w:rFonts w:eastAsia="Times New Roman" w:cs="Times New Roman"/>
                <w:sz w:val="16"/>
                <w:szCs w:val="16"/>
                <w:lang w:eastAsia="sk-SK"/>
              </w:rPr>
              <w:t xml:space="preserve"> na rekonštrukciu budovy školy</w:t>
            </w:r>
          </w:p>
        </w:tc>
        <w:tc>
          <w:tcPr>
            <w:tcW w:w="1559" w:type="dxa"/>
            <w:tcBorders>
              <w:top w:val="nil"/>
              <w:left w:val="nil"/>
              <w:bottom w:val="nil"/>
              <w:right w:val="nil"/>
            </w:tcBorders>
            <w:shd w:val="clear" w:color="auto" w:fill="auto"/>
            <w:noWrap/>
            <w:vAlign w:val="center"/>
            <w:hideMark/>
          </w:tcPr>
          <w:p w14:paraId="3971200E"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3E9D5FA0" w14:textId="77777777" w:rsidTr="00536426">
        <w:trPr>
          <w:trHeight w:val="224"/>
        </w:trPr>
        <w:tc>
          <w:tcPr>
            <w:tcW w:w="3969" w:type="dxa"/>
            <w:tcBorders>
              <w:top w:val="nil"/>
              <w:left w:val="nil"/>
              <w:bottom w:val="nil"/>
              <w:right w:val="nil"/>
            </w:tcBorders>
            <w:shd w:val="clear" w:color="auto" w:fill="auto"/>
            <w:vAlign w:val="center"/>
            <w:hideMark/>
          </w:tcPr>
          <w:p w14:paraId="243BF3F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Kochanovce, Kochanovce 207, 066 01 Kochanovce</w:t>
            </w:r>
          </w:p>
        </w:tc>
        <w:tc>
          <w:tcPr>
            <w:tcW w:w="3828" w:type="dxa"/>
            <w:tcBorders>
              <w:top w:val="nil"/>
              <w:left w:val="nil"/>
              <w:bottom w:val="nil"/>
              <w:right w:val="nil"/>
            </w:tcBorders>
            <w:shd w:val="clear" w:color="auto" w:fill="auto"/>
            <w:vAlign w:val="center"/>
            <w:hideMark/>
          </w:tcPr>
          <w:p w14:paraId="2B0A5B0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budovy materskej školy v obci</w:t>
            </w:r>
          </w:p>
        </w:tc>
        <w:tc>
          <w:tcPr>
            <w:tcW w:w="1559" w:type="dxa"/>
            <w:tcBorders>
              <w:top w:val="nil"/>
              <w:left w:val="nil"/>
              <w:bottom w:val="nil"/>
              <w:right w:val="nil"/>
            </w:tcBorders>
            <w:shd w:val="clear" w:color="auto" w:fill="auto"/>
            <w:noWrap/>
            <w:vAlign w:val="center"/>
            <w:hideMark/>
          </w:tcPr>
          <w:p w14:paraId="47526299"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756F1B03" w14:textId="77777777" w:rsidTr="00536426">
        <w:trPr>
          <w:trHeight w:val="449"/>
        </w:trPr>
        <w:tc>
          <w:tcPr>
            <w:tcW w:w="3969" w:type="dxa"/>
            <w:tcBorders>
              <w:top w:val="nil"/>
              <w:left w:val="nil"/>
              <w:bottom w:val="nil"/>
              <w:right w:val="nil"/>
            </w:tcBorders>
            <w:shd w:val="clear" w:color="auto" w:fill="auto"/>
            <w:vAlign w:val="center"/>
            <w:hideMark/>
          </w:tcPr>
          <w:p w14:paraId="366A410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Oravský Podzámok, Oravský Podzámok 61, 027 41 Oravský Podzámok</w:t>
            </w:r>
          </w:p>
        </w:tc>
        <w:tc>
          <w:tcPr>
            <w:tcW w:w="3828" w:type="dxa"/>
            <w:tcBorders>
              <w:top w:val="nil"/>
              <w:left w:val="nil"/>
              <w:bottom w:val="nil"/>
              <w:right w:val="nil"/>
            </w:tcBorders>
            <w:shd w:val="clear" w:color="auto" w:fill="auto"/>
            <w:vAlign w:val="center"/>
            <w:hideMark/>
          </w:tcPr>
          <w:p w14:paraId="254CD94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Pre ZŠ s MŠ Oravský Podzámok na odstránenie havarijného stavu budovy základnej školy</w:t>
            </w:r>
          </w:p>
        </w:tc>
        <w:tc>
          <w:tcPr>
            <w:tcW w:w="1559" w:type="dxa"/>
            <w:tcBorders>
              <w:top w:val="nil"/>
              <w:left w:val="nil"/>
              <w:bottom w:val="nil"/>
              <w:right w:val="nil"/>
            </w:tcBorders>
            <w:shd w:val="clear" w:color="auto" w:fill="auto"/>
            <w:noWrap/>
            <w:vAlign w:val="center"/>
            <w:hideMark/>
          </w:tcPr>
          <w:p w14:paraId="1038FDD9"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1F9B71FB" w14:textId="77777777" w:rsidTr="00536426">
        <w:trPr>
          <w:trHeight w:val="224"/>
        </w:trPr>
        <w:tc>
          <w:tcPr>
            <w:tcW w:w="3969" w:type="dxa"/>
            <w:tcBorders>
              <w:top w:val="nil"/>
              <w:left w:val="nil"/>
              <w:bottom w:val="nil"/>
              <w:right w:val="nil"/>
            </w:tcBorders>
            <w:shd w:val="clear" w:color="auto" w:fill="auto"/>
            <w:vAlign w:val="center"/>
            <w:hideMark/>
          </w:tcPr>
          <w:p w14:paraId="426C303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Ptrukša, Ptrukša 170, 076 77 Ptrukša</w:t>
            </w:r>
          </w:p>
        </w:tc>
        <w:tc>
          <w:tcPr>
            <w:tcW w:w="3828" w:type="dxa"/>
            <w:tcBorders>
              <w:top w:val="nil"/>
              <w:left w:val="nil"/>
              <w:bottom w:val="nil"/>
              <w:right w:val="nil"/>
            </w:tcBorders>
            <w:shd w:val="clear" w:color="auto" w:fill="auto"/>
            <w:vAlign w:val="center"/>
            <w:hideMark/>
          </w:tcPr>
          <w:p w14:paraId="4B83483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strechy javiska amfiteátra</w:t>
            </w:r>
          </w:p>
        </w:tc>
        <w:tc>
          <w:tcPr>
            <w:tcW w:w="1559" w:type="dxa"/>
            <w:tcBorders>
              <w:top w:val="nil"/>
              <w:left w:val="nil"/>
              <w:bottom w:val="nil"/>
              <w:right w:val="nil"/>
            </w:tcBorders>
            <w:shd w:val="clear" w:color="auto" w:fill="auto"/>
            <w:noWrap/>
            <w:vAlign w:val="center"/>
            <w:hideMark/>
          </w:tcPr>
          <w:p w14:paraId="067708D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2A2E7867" w14:textId="77777777" w:rsidTr="00536426">
        <w:trPr>
          <w:trHeight w:val="224"/>
        </w:trPr>
        <w:tc>
          <w:tcPr>
            <w:tcW w:w="3969" w:type="dxa"/>
            <w:tcBorders>
              <w:top w:val="nil"/>
              <w:left w:val="nil"/>
              <w:bottom w:val="nil"/>
              <w:right w:val="nil"/>
            </w:tcBorders>
            <w:shd w:val="clear" w:color="auto" w:fill="auto"/>
            <w:vAlign w:val="center"/>
            <w:hideMark/>
          </w:tcPr>
          <w:p w14:paraId="29707B6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Kostolné, Kostolné 1, 916 13 Kostolné</w:t>
            </w:r>
          </w:p>
        </w:tc>
        <w:tc>
          <w:tcPr>
            <w:tcW w:w="3828" w:type="dxa"/>
            <w:tcBorders>
              <w:top w:val="nil"/>
              <w:left w:val="nil"/>
              <w:bottom w:val="nil"/>
              <w:right w:val="nil"/>
            </w:tcBorders>
            <w:shd w:val="clear" w:color="auto" w:fill="auto"/>
            <w:vAlign w:val="center"/>
            <w:hideMark/>
          </w:tcPr>
          <w:p w14:paraId="5B3B1AB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vybudovanie vonkajšieho </w:t>
            </w:r>
            <w:proofErr w:type="spellStart"/>
            <w:r w:rsidRPr="008C63ED">
              <w:rPr>
                <w:rFonts w:eastAsia="Times New Roman" w:cs="Times New Roman"/>
                <w:sz w:val="16"/>
                <w:szCs w:val="16"/>
                <w:lang w:eastAsia="sk-SK"/>
              </w:rPr>
              <w:t>workout</w:t>
            </w:r>
            <w:proofErr w:type="spellEnd"/>
            <w:r w:rsidRPr="008C63ED">
              <w:rPr>
                <w:rFonts w:eastAsia="Times New Roman" w:cs="Times New Roman"/>
                <w:sz w:val="16"/>
                <w:szCs w:val="16"/>
                <w:lang w:eastAsia="sk-SK"/>
              </w:rPr>
              <w:t xml:space="preserve"> ihriska v obci</w:t>
            </w:r>
          </w:p>
        </w:tc>
        <w:tc>
          <w:tcPr>
            <w:tcW w:w="1559" w:type="dxa"/>
            <w:tcBorders>
              <w:top w:val="nil"/>
              <w:left w:val="nil"/>
              <w:bottom w:val="nil"/>
              <w:right w:val="nil"/>
            </w:tcBorders>
            <w:shd w:val="clear" w:color="auto" w:fill="auto"/>
            <w:noWrap/>
            <w:vAlign w:val="center"/>
            <w:hideMark/>
          </w:tcPr>
          <w:p w14:paraId="057D122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39DE2DBE" w14:textId="77777777" w:rsidTr="00536426">
        <w:trPr>
          <w:trHeight w:val="224"/>
        </w:trPr>
        <w:tc>
          <w:tcPr>
            <w:tcW w:w="3969" w:type="dxa"/>
            <w:tcBorders>
              <w:top w:val="nil"/>
              <w:left w:val="nil"/>
              <w:bottom w:val="nil"/>
              <w:right w:val="nil"/>
            </w:tcBorders>
            <w:shd w:val="clear" w:color="auto" w:fill="auto"/>
            <w:vAlign w:val="center"/>
            <w:hideMark/>
          </w:tcPr>
          <w:p w14:paraId="53CDC22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Častkovce, Častkovce 399, 916 27 Častkovce</w:t>
            </w:r>
          </w:p>
        </w:tc>
        <w:tc>
          <w:tcPr>
            <w:tcW w:w="3828" w:type="dxa"/>
            <w:tcBorders>
              <w:top w:val="nil"/>
              <w:left w:val="nil"/>
              <w:bottom w:val="nil"/>
              <w:right w:val="nil"/>
            </w:tcBorders>
            <w:shd w:val="clear" w:color="auto" w:fill="auto"/>
            <w:vAlign w:val="center"/>
            <w:hideMark/>
          </w:tcPr>
          <w:p w14:paraId="179E885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nákup meračov rýchlosti </w:t>
            </w:r>
          </w:p>
        </w:tc>
        <w:tc>
          <w:tcPr>
            <w:tcW w:w="1559" w:type="dxa"/>
            <w:tcBorders>
              <w:top w:val="nil"/>
              <w:left w:val="nil"/>
              <w:bottom w:val="nil"/>
              <w:right w:val="nil"/>
            </w:tcBorders>
            <w:shd w:val="clear" w:color="auto" w:fill="auto"/>
            <w:noWrap/>
            <w:vAlign w:val="center"/>
            <w:hideMark/>
          </w:tcPr>
          <w:p w14:paraId="37E07B12"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46EDB2BB" w14:textId="77777777" w:rsidTr="00536426">
        <w:trPr>
          <w:trHeight w:val="449"/>
        </w:trPr>
        <w:tc>
          <w:tcPr>
            <w:tcW w:w="3969" w:type="dxa"/>
            <w:tcBorders>
              <w:top w:val="nil"/>
              <w:left w:val="nil"/>
              <w:bottom w:val="nil"/>
              <w:right w:val="nil"/>
            </w:tcBorders>
            <w:shd w:val="clear" w:color="auto" w:fill="auto"/>
            <w:vAlign w:val="center"/>
            <w:hideMark/>
          </w:tcPr>
          <w:p w14:paraId="1B8DA173" w14:textId="77777777" w:rsidR="00E76212" w:rsidRPr="008C63ED" w:rsidRDefault="00E76212" w:rsidP="00D2560E">
            <w:pPr>
              <w:spacing w:after="0" w:line="240" w:lineRule="auto"/>
              <w:rPr>
                <w:rFonts w:eastAsia="Times New Roman" w:cs="Times New Roman"/>
                <w:sz w:val="16"/>
                <w:szCs w:val="16"/>
                <w:lang w:eastAsia="sk-SK"/>
              </w:rPr>
            </w:pPr>
            <w:proofErr w:type="spellStart"/>
            <w:r w:rsidRPr="008C63ED">
              <w:rPr>
                <w:rFonts w:eastAsia="Times New Roman" w:cs="Times New Roman"/>
                <w:sz w:val="16"/>
                <w:szCs w:val="16"/>
                <w:lang w:eastAsia="sk-SK"/>
              </w:rPr>
              <w:t>Musicology</w:t>
            </w:r>
            <w:proofErr w:type="spellEnd"/>
            <w:r w:rsidRPr="008C63ED">
              <w:rPr>
                <w:rFonts w:eastAsia="Times New Roman" w:cs="Times New Roman"/>
                <w:sz w:val="16"/>
                <w:szCs w:val="16"/>
                <w:lang w:eastAsia="sk-SK"/>
              </w:rPr>
              <w:t>, Hlavná 14/22, 040 01 Košice – mestská časť Staré Mesto</w:t>
            </w:r>
          </w:p>
        </w:tc>
        <w:tc>
          <w:tcPr>
            <w:tcW w:w="3828" w:type="dxa"/>
            <w:tcBorders>
              <w:top w:val="nil"/>
              <w:left w:val="nil"/>
              <w:bottom w:val="nil"/>
              <w:right w:val="nil"/>
            </w:tcBorders>
            <w:shd w:val="clear" w:color="auto" w:fill="auto"/>
            <w:vAlign w:val="center"/>
            <w:hideMark/>
          </w:tcPr>
          <w:p w14:paraId="237780E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podporu talentovanej speváčky</w:t>
            </w:r>
          </w:p>
        </w:tc>
        <w:tc>
          <w:tcPr>
            <w:tcW w:w="1559" w:type="dxa"/>
            <w:tcBorders>
              <w:top w:val="nil"/>
              <w:left w:val="nil"/>
              <w:bottom w:val="nil"/>
              <w:right w:val="nil"/>
            </w:tcBorders>
            <w:shd w:val="clear" w:color="auto" w:fill="auto"/>
            <w:noWrap/>
            <w:vAlign w:val="center"/>
            <w:hideMark/>
          </w:tcPr>
          <w:p w14:paraId="3A9A279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66959539" w14:textId="77777777" w:rsidTr="00536426">
        <w:trPr>
          <w:trHeight w:val="898"/>
        </w:trPr>
        <w:tc>
          <w:tcPr>
            <w:tcW w:w="3969" w:type="dxa"/>
            <w:tcBorders>
              <w:top w:val="nil"/>
              <w:left w:val="nil"/>
              <w:bottom w:val="nil"/>
              <w:right w:val="nil"/>
            </w:tcBorders>
            <w:shd w:val="clear" w:color="auto" w:fill="auto"/>
            <w:vAlign w:val="center"/>
            <w:hideMark/>
          </w:tcPr>
          <w:p w14:paraId="27EE98D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Žilinský samosprávny kraj, Komenského 48, 011 09 Žilina</w:t>
            </w:r>
          </w:p>
        </w:tc>
        <w:tc>
          <w:tcPr>
            <w:tcW w:w="3828" w:type="dxa"/>
            <w:tcBorders>
              <w:top w:val="nil"/>
              <w:left w:val="nil"/>
              <w:bottom w:val="nil"/>
              <w:right w:val="nil"/>
            </w:tcBorders>
            <w:shd w:val="clear" w:color="auto" w:fill="auto"/>
            <w:vAlign w:val="center"/>
            <w:hideMark/>
          </w:tcPr>
          <w:p w14:paraId="076A089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Pre Konzervatórium, J. M. Hurbana 48, 010 01 Žilina na nákup hudobného nástroja a úhradu výdavkov spojených s účasťou na medzinárodnej súťaži a prezentáciou výsledkov</w:t>
            </w:r>
          </w:p>
        </w:tc>
        <w:tc>
          <w:tcPr>
            <w:tcW w:w="1559" w:type="dxa"/>
            <w:tcBorders>
              <w:top w:val="nil"/>
              <w:left w:val="nil"/>
              <w:bottom w:val="nil"/>
              <w:right w:val="nil"/>
            </w:tcBorders>
            <w:shd w:val="clear" w:color="auto" w:fill="auto"/>
            <w:noWrap/>
            <w:vAlign w:val="center"/>
            <w:hideMark/>
          </w:tcPr>
          <w:p w14:paraId="09D90B5D"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45545A31" w14:textId="77777777" w:rsidTr="00536426">
        <w:trPr>
          <w:trHeight w:val="449"/>
        </w:trPr>
        <w:tc>
          <w:tcPr>
            <w:tcW w:w="3969" w:type="dxa"/>
            <w:tcBorders>
              <w:top w:val="nil"/>
              <w:left w:val="nil"/>
              <w:bottom w:val="nil"/>
              <w:right w:val="nil"/>
            </w:tcBorders>
            <w:shd w:val="clear" w:color="auto" w:fill="auto"/>
            <w:vAlign w:val="center"/>
            <w:hideMark/>
          </w:tcPr>
          <w:p w14:paraId="138A8C8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Hokejový klub mesta 98 - mládeže Rožňava, Vajanského 367/1, 048 01 Rožňava</w:t>
            </w:r>
          </w:p>
        </w:tc>
        <w:tc>
          <w:tcPr>
            <w:tcW w:w="3828" w:type="dxa"/>
            <w:tcBorders>
              <w:top w:val="nil"/>
              <w:left w:val="nil"/>
              <w:bottom w:val="nil"/>
              <w:right w:val="nil"/>
            </w:tcBorders>
            <w:shd w:val="clear" w:color="auto" w:fill="auto"/>
            <w:vAlign w:val="center"/>
            <w:hideMark/>
          </w:tcPr>
          <w:p w14:paraId="453D718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Talentovaná mládež</w:t>
            </w:r>
          </w:p>
        </w:tc>
        <w:tc>
          <w:tcPr>
            <w:tcW w:w="1559" w:type="dxa"/>
            <w:tcBorders>
              <w:top w:val="nil"/>
              <w:left w:val="nil"/>
              <w:bottom w:val="nil"/>
              <w:right w:val="nil"/>
            </w:tcBorders>
            <w:shd w:val="clear" w:color="auto" w:fill="auto"/>
            <w:noWrap/>
            <w:vAlign w:val="center"/>
            <w:hideMark/>
          </w:tcPr>
          <w:p w14:paraId="61383BA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2A3527BE" w14:textId="77777777" w:rsidTr="00536426">
        <w:trPr>
          <w:trHeight w:val="449"/>
        </w:trPr>
        <w:tc>
          <w:tcPr>
            <w:tcW w:w="3969" w:type="dxa"/>
            <w:tcBorders>
              <w:top w:val="nil"/>
              <w:left w:val="nil"/>
              <w:bottom w:val="nil"/>
              <w:right w:val="nil"/>
            </w:tcBorders>
            <w:shd w:val="clear" w:color="auto" w:fill="auto"/>
            <w:vAlign w:val="center"/>
            <w:hideMark/>
          </w:tcPr>
          <w:p w14:paraId="5014E75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Kanoistický klub Slávia UK Bratislava, Lackova 19, 941 04 Bratislava</w:t>
            </w:r>
          </w:p>
        </w:tc>
        <w:tc>
          <w:tcPr>
            <w:tcW w:w="3828" w:type="dxa"/>
            <w:tcBorders>
              <w:top w:val="nil"/>
              <w:left w:val="nil"/>
              <w:bottom w:val="nil"/>
              <w:right w:val="nil"/>
            </w:tcBorders>
            <w:shd w:val="clear" w:color="auto" w:fill="auto"/>
            <w:vAlign w:val="center"/>
            <w:hideMark/>
          </w:tcPr>
          <w:p w14:paraId="4CFAB5E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Kajaky pre talentovanú mládež</w:t>
            </w:r>
          </w:p>
        </w:tc>
        <w:tc>
          <w:tcPr>
            <w:tcW w:w="1559" w:type="dxa"/>
            <w:tcBorders>
              <w:top w:val="nil"/>
              <w:left w:val="nil"/>
              <w:bottom w:val="nil"/>
              <w:right w:val="nil"/>
            </w:tcBorders>
            <w:shd w:val="clear" w:color="auto" w:fill="auto"/>
            <w:noWrap/>
            <w:vAlign w:val="center"/>
            <w:hideMark/>
          </w:tcPr>
          <w:p w14:paraId="4921A14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51E68F17" w14:textId="77777777" w:rsidTr="00536426">
        <w:trPr>
          <w:trHeight w:val="673"/>
        </w:trPr>
        <w:tc>
          <w:tcPr>
            <w:tcW w:w="3969" w:type="dxa"/>
            <w:tcBorders>
              <w:top w:val="nil"/>
              <w:left w:val="nil"/>
              <w:bottom w:val="nil"/>
              <w:right w:val="nil"/>
            </w:tcBorders>
            <w:shd w:val="clear" w:color="auto" w:fill="auto"/>
            <w:vAlign w:val="center"/>
            <w:hideMark/>
          </w:tcPr>
          <w:p w14:paraId="54425CA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Basketbalový klub MBK AŠK Slávia Trnava, Ulica Rybníková 550/14, 917 01 Trnava</w:t>
            </w:r>
          </w:p>
        </w:tc>
        <w:tc>
          <w:tcPr>
            <w:tcW w:w="3828" w:type="dxa"/>
            <w:tcBorders>
              <w:top w:val="nil"/>
              <w:left w:val="nil"/>
              <w:bottom w:val="nil"/>
              <w:right w:val="nil"/>
            </w:tcBorders>
            <w:shd w:val="clear" w:color="auto" w:fill="auto"/>
            <w:vAlign w:val="center"/>
            <w:hideMark/>
          </w:tcPr>
          <w:p w14:paraId="10E9F24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výdavky spojené so športovou prípravou a účasťou basketbalových hráčov na medzinárodnom turnaji a kempe</w:t>
            </w:r>
          </w:p>
        </w:tc>
        <w:tc>
          <w:tcPr>
            <w:tcW w:w="1559" w:type="dxa"/>
            <w:tcBorders>
              <w:top w:val="nil"/>
              <w:left w:val="nil"/>
              <w:bottom w:val="nil"/>
              <w:right w:val="nil"/>
            </w:tcBorders>
            <w:shd w:val="clear" w:color="auto" w:fill="auto"/>
            <w:noWrap/>
            <w:vAlign w:val="center"/>
            <w:hideMark/>
          </w:tcPr>
          <w:p w14:paraId="79FF4AD4"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3AE7C6CE" w14:textId="77777777" w:rsidTr="00536426">
        <w:trPr>
          <w:trHeight w:val="449"/>
        </w:trPr>
        <w:tc>
          <w:tcPr>
            <w:tcW w:w="3969" w:type="dxa"/>
            <w:tcBorders>
              <w:top w:val="nil"/>
              <w:left w:val="nil"/>
              <w:bottom w:val="nil"/>
              <w:right w:val="nil"/>
            </w:tcBorders>
            <w:shd w:val="clear" w:color="auto" w:fill="auto"/>
            <w:vAlign w:val="center"/>
            <w:hideMark/>
          </w:tcPr>
          <w:p w14:paraId="150C4AB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Špecializovaný liečebný ústav Marína, š. p., Sládkovičova 311/3, Kováčová</w:t>
            </w:r>
          </w:p>
        </w:tc>
        <w:tc>
          <w:tcPr>
            <w:tcW w:w="3828" w:type="dxa"/>
            <w:tcBorders>
              <w:top w:val="nil"/>
              <w:left w:val="nil"/>
              <w:bottom w:val="nil"/>
              <w:right w:val="nil"/>
            </w:tcBorders>
            <w:shd w:val="clear" w:color="auto" w:fill="auto"/>
            <w:vAlign w:val="center"/>
            <w:hideMark/>
          </w:tcPr>
          <w:p w14:paraId="139BDEE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Krásna i užitočná zelená oáza</w:t>
            </w:r>
          </w:p>
        </w:tc>
        <w:tc>
          <w:tcPr>
            <w:tcW w:w="1559" w:type="dxa"/>
            <w:tcBorders>
              <w:top w:val="nil"/>
              <w:left w:val="nil"/>
              <w:bottom w:val="nil"/>
              <w:right w:val="nil"/>
            </w:tcBorders>
            <w:shd w:val="clear" w:color="auto" w:fill="auto"/>
            <w:noWrap/>
            <w:vAlign w:val="center"/>
            <w:hideMark/>
          </w:tcPr>
          <w:p w14:paraId="5DC3C84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1DDFD0AB" w14:textId="77777777" w:rsidTr="00536426">
        <w:trPr>
          <w:trHeight w:val="449"/>
        </w:trPr>
        <w:tc>
          <w:tcPr>
            <w:tcW w:w="3969" w:type="dxa"/>
            <w:tcBorders>
              <w:top w:val="nil"/>
              <w:left w:val="nil"/>
              <w:bottom w:val="nil"/>
              <w:right w:val="nil"/>
            </w:tcBorders>
            <w:shd w:val="clear" w:color="auto" w:fill="auto"/>
            <w:vAlign w:val="center"/>
            <w:hideMark/>
          </w:tcPr>
          <w:p w14:paraId="68C2935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Gréckokatolícka cirkev, farnosť Kurov, Kurov 63, 086 04 Kurov</w:t>
            </w:r>
          </w:p>
        </w:tc>
        <w:tc>
          <w:tcPr>
            <w:tcW w:w="3828" w:type="dxa"/>
            <w:tcBorders>
              <w:top w:val="nil"/>
              <w:left w:val="nil"/>
              <w:bottom w:val="nil"/>
              <w:right w:val="nil"/>
            </w:tcBorders>
            <w:shd w:val="clear" w:color="auto" w:fill="auto"/>
            <w:vAlign w:val="center"/>
            <w:hideMark/>
          </w:tcPr>
          <w:p w14:paraId="0B9B6DE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výrobu nového zvona v obci Kurov</w:t>
            </w:r>
          </w:p>
        </w:tc>
        <w:tc>
          <w:tcPr>
            <w:tcW w:w="1559" w:type="dxa"/>
            <w:tcBorders>
              <w:top w:val="nil"/>
              <w:left w:val="nil"/>
              <w:bottom w:val="nil"/>
              <w:right w:val="nil"/>
            </w:tcBorders>
            <w:shd w:val="clear" w:color="auto" w:fill="auto"/>
            <w:noWrap/>
            <w:vAlign w:val="center"/>
            <w:hideMark/>
          </w:tcPr>
          <w:p w14:paraId="64D36BE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690AF66F" w14:textId="77777777" w:rsidTr="00536426">
        <w:trPr>
          <w:trHeight w:val="673"/>
        </w:trPr>
        <w:tc>
          <w:tcPr>
            <w:tcW w:w="3969" w:type="dxa"/>
            <w:tcBorders>
              <w:top w:val="nil"/>
              <w:left w:val="nil"/>
              <w:bottom w:val="nil"/>
              <w:right w:val="nil"/>
            </w:tcBorders>
            <w:shd w:val="clear" w:color="auto" w:fill="auto"/>
            <w:vAlign w:val="center"/>
            <w:hideMark/>
          </w:tcPr>
          <w:p w14:paraId="2E54EFB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Pravoslávna cirkevná obec v Pstrinej, Pstriná 48, 090 06 Pstriná</w:t>
            </w:r>
          </w:p>
        </w:tc>
        <w:tc>
          <w:tcPr>
            <w:tcW w:w="3828" w:type="dxa"/>
            <w:tcBorders>
              <w:top w:val="nil"/>
              <w:left w:val="nil"/>
              <w:bottom w:val="nil"/>
              <w:right w:val="nil"/>
            </w:tcBorders>
            <w:shd w:val="clear" w:color="auto" w:fill="auto"/>
            <w:vAlign w:val="center"/>
            <w:hideMark/>
          </w:tcPr>
          <w:p w14:paraId="0B7DE14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zlepšenie tepelných podmienok v zimných mesiacoch výmenou okien, bezbariérový prístup, vymaľovanie interiéru</w:t>
            </w:r>
          </w:p>
        </w:tc>
        <w:tc>
          <w:tcPr>
            <w:tcW w:w="1559" w:type="dxa"/>
            <w:tcBorders>
              <w:top w:val="nil"/>
              <w:left w:val="nil"/>
              <w:bottom w:val="nil"/>
              <w:right w:val="nil"/>
            </w:tcBorders>
            <w:shd w:val="clear" w:color="auto" w:fill="auto"/>
            <w:noWrap/>
            <w:vAlign w:val="center"/>
            <w:hideMark/>
          </w:tcPr>
          <w:p w14:paraId="7739374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2D271DFB" w14:textId="77777777" w:rsidTr="00536426">
        <w:trPr>
          <w:trHeight w:val="449"/>
        </w:trPr>
        <w:tc>
          <w:tcPr>
            <w:tcW w:w="3969" w:type="dxa"/>
            <w:tcBorders>
              <w:top w:val="nil"/>
              <w:left w:val="nil"/>
              <w:bottom w:val="nil"/>
              <w:right w:val="nil"/>
            </w:tcBorders>
            <w:shd w:val="clear" w:color="auto" w:fill="auto"/>
            <w:vAlign w:val="center"/>
            <w:hideMark/>
          </w:tcPr>
          <w:p w14:paraId="649CF78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Trnavská univerzita v Trnave, </w:t>
            </w:r>
            <w:proofErr w:type="spellStart"/>
            <w:r w:rsidRPr="008C63ED">
              <w:rPr>
                <w:rFonts w:eastAsia="Times New Roman" w:cs="Times New Roman"/>
                <w:sz w:val="16"/>
                <w:szCs w:val="16"/>
                <w:lang w:eastAsia="sk-SK"/>
              </w:rPr>
              <w:t>Hornopotočná</w:t>
            </w:r>
            <w:proofErr w:type="spellEnd"/>
            <w:r w:rsidRPr="008C63ED">
              <w:rPr>
                <w:rFonts w:eastAsia="Times New Roman" w:cs="Times New Roman"/>
                <w:sz w:val="16"/>
                <w:szCs w:val="16"/>
                <w:lang w:eastAsia="sk-SK"/>
              </w:rPr>
              <w:t xml:space="preserve"> 211/23, 918 43 Trnava</w:t>
            </w:r>
          </w:p>
        </w:tc>
        <w:tc>
          <w:tcPr>
            <w:tcW w:w="3828" w:type="dxa"/>
            <w:tcBorders>
              <w:top w:val="nil"/>
              <w:left w:val="nil"/>
              <w:bottom w:val="nil"/>
              <w:right w:val="nil"/>
            </w:tcBorders>
            <w:shd w:val="clear" w:color="auto" w:fill="auto"/>
            <w:vAlign w:val="center"/>
            <w:hideMark/>
          </w:tcPr>
          <w:p w14:paraId="74D11C3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Pre Právnickú fakultu na účasť talentovaných študentov na medzinárodnom kole JESSUP 2023</w:t>
            </w:r>
          </w:p>
        </w:tc>
        <w:tc>
          <w:tcPr>
            <w:tcW w:w="1559" w:type="dxa"/>
            <w:tcBorders>
              <w:top w:val="nil"/>
              <w:left w:val="nil"/>
              <w:bottom w:val="nil"/>
              <w:right w:val="nil"/>
            </w:tcBorders>
            <w:shd w:val="clear" w:color="auto" w:fill="auto"/>
            <w:noWrap/>
            <w:vAlign w:val="center"/>
            <w:hideMark/>
          </w:tcPr>
          <w:p w14:paraId="1534FEFE"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w:t>
            </w:r>
          </w:p>
        </w:tc>
      </w:tr>
      <w:tr w:rsidR="00E76212" w:rsidRPr="008C63ED" w14:paraId="47C2AA3A" w14:textId="77777777" w:rsidTr="00536426">
        <w:trPr>
          <w:trHeight w:val="673"/>
        </w:trPr>
        <w:tc>
          <w:tcPr>
            <w:tcW w:w="3969" w:type="dxa"/>
            <w:tcBorders>
              <w:top w:val="nil"/>
              <w:left w:val="nil"/>
              <w:bottom w:val="nil"/>
              <w:right w:val="nil"/>
            </w:tcBorders>
            <w:shd w:val="clear" w:color="auto" w:fill="auto"/>
            <w:vAlign w:val="center"/>
            <w:hideMark/>
          </w:tcPr>
          <w:p w14:paraId="50B5F98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Atletický oddiel Telovýchovnej jednoty Slávia STU Bratislava, Račianska 3544/103, 830 03 Bratislava – mestská časť Nové Mesto</w:t>
            </w:r>
          </w:p>
        </w:tc>
        <w:tc>
          <w:tcPr>
            <w:tcW w:w="3828" w:type="dxa"/>
            <w:tcBorders>
              <w:top w:val="nil"/>
              <w:left w:val="nil"/>
              <w:bottom w:val="nil"/>
              <w:right w:val="nil"/>
            </w:tcBorders>
            <w:shd w:val="clear" w:color="auto" w:fill="auto"/>
            <w:vAlign w:val="center"/>
            <w:hideMark/>
          </w:tcPr>
          <w:p w14:paraId="7031A31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podporu talentovaného atléta</w:t>
            </w:r>
          </w:p>
        </w:tc>
        <w:tc>
          <w:tcPr>
            <w:tcW w:w="1559" w:type="dxa"/>
            <w:tcBorders>
              <w:top w:val="nil"/>
              <w:left w:val="nil"/>
              <w:bottom w:val="nil"/>
              <w:right w:val="nil"/>
            </w:tcBorders>
            <w:shd w:val="clear" w:color="auto" w:fill="auto"/>
            <w:noWrap/>
            <w:vAlign w:val="center"/>
            <w:hideMark/>
          </w:tcPr>
          <w:p w14:paraId="3B4B0319"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w:t>
            </w:r>
          </w:p>
        </w:tc>
      </w:tr>
      <w:tr w:rsidR="00E76212" w:rsidRPr="008C63ED" w14:paraId="26CDF254" w14:textId="77777777" w:rsidTr="00536426">
        <w:trPr>
          <w:trHeight w:val="329"/>
        </w:trPr>
        <w:tc>
          <w:tcPr>
            <w:tcW w:w="3969" w:type="dxa"/>
            <w:tcBorders>
              <w:top w:val="nil"/>
              <w:left w:val="nil"/>
              <w:bottom w:val="nil"/>
              <w:right w:val="nil"/>
            </w:tcBorders>
            <w:shd w:val="clear" w:color="auto" w:fill="auto"/>
            <w:vAlign w:val="center"/>
            <w:hideMark/>
          </w:tcPr>
          <w:p w14:paraId="12094C3D" w14:textId="77777777" w:rsidR="00E76212" w:rsidRPr="008C63ED" w:rsidRDefault="00E76212" w:rsidP="00D2560E">
            <w:pPr>
              <w:spacing w:after="0" w:line="240" w:lineRule="auto"/>
              <w:rPr>
                <w:rFonts w:eastAsia="Times New Roman" w:cs="Times New Roman"/>
                <w:sz w:val="16"/>
                <w:szCs w:val="16"/>
                <w:lang w:eastAsia="sk-SK"/>
              </w:rPr>
            </w:pPr>
            <w:proofErr w:type="spellStart"/>
            <w:r w:rsidRPr="008C63ED">
              <w:rPr>
                <w:rFonts w:eastAsia="Times New Roman" w:cs="Times New Roman"/>
                <w:sz w:val="16"/>
                <w:szCs w:val="16"/>
                <w:lang w:eastAsia="sk-SK"/>
              </w:rPr>
              <w:t>Montessori</w:t>
            </w:r>
            <w:proofErr w:type="spellEnd"/>
            <w:r w:rsidRPr="008C63ED">
              <w:rPr>
                <w:rFonts w:eastAsia="Times New Roman" w:cs="Times New Roman"/>
                <w:sz w:val="16"/>
                <w:szCs w:val="16"/>
                <w:lang w:eastAsia="sk-SK"/>
              </w:rPr>
              <w:t xml:space="preserve"> cesta, o. z., Bernolákova 6525/17, 080 01 Prešov</w:t>
            </w:r>
          </w:p>
        </w:tc>
        <w:tc>
          <w:tcPr>
            <w:tcW w:w="3828" w:type="dxa"/>
            <w:tcBorders>
              <w:top w:val="nil"/>
              <w:left w:val="nil"/>
              <w:bottom w:val="nil"/>
              <w:right w:val="nil"/>
            </w:tcBorders>
            <w:shd w:val="clear" w:color="auto" w:fill="auto"/>
            <w:vAlign w:val="center"/>
            <w:hideMark/>
          </w:tcPr>
          <w:p w14:paraId="09BE797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„Lipová oáza“</w:t>
            </w:r>
          </w:p>
        </w:tc>
        <w:tc>
          <w:tcPr>
            <w:tcW w:w="1559" w:type="dxa"/>
            <w:tcBorders>
              <w:top w:val="nil"/>
              <w:left w:val="nil"/>
              <w:bottom w:val="nil"/>
              <w:right w:val="nil"/>
            </w:tcBorders>
            <w:shd w:val="clear" w:color="auto" w:fill="auto"/>
            <w:noWrap/>
            <w:vAlign w:val="center"/>
            <w:hideMark/>
          </w:tcPr>
          <w:p w14:paraId="6B473BCC"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w:t>
            </w:r>
          </w:p>
        </w:tc>
      </w:tr>
      <w:tr w:rsidR="00E76212" w:rsidRPr="008C63ED" w14:paraId="58AE9F6A" w14:textId="77777777" w:rsidTr="00536426">
        <w:trPr>
          <w:trHeight w:val="898"/>
        </w:trPr>
        <w:tc>
          <w:tcPr>
            <w:tcW w:w="3969" w:type="dxa"/>
            <w:tcBorders>
              <w:top w:val="nil"/>
              <w:left w:val="nil"/>
              <w:bottom w:val="nil"/>
              <w:right w:val="nil"/>
            </w:tcBorders>
            <w:shd w:val="clear" w:color="auto" w:fill="auto"/>
            <w:vAlign w:val="center"/>
            <w:hideMark/>
          </w:tcPr>
          <w:p w14:paraId="45D645A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Asociácia pre mládež, vedu a techniku, </w:t>
            </w:r>
            <w:proofErr w:type="spellStart"/>
            <w:r w:rsidRPr="008C63ED">
              <w:rPr>
                <w:rFonts w:eastAsia="Times New Roman" w:cs="Times New Roman"/>
                <w:sz w:val="16"/>
                <w:szCs w:val="16"/>
                <w:lang w:eastAsia="sk-SK"/>
              </w:rPr>
              <w:t>Hagarova</w:t>
            </w:r>
            <w:proofErr w:type="spellEnd"/>
            <w:r w:rsidRPr="008C63ED">
              <w:rPr>
                <w:rFonts w:eastAsia="Times New Roman" w:cs="Times New Roman"/>
                <w:sz w:val="16"/>
                <w:szCs w:val="16"/>
                <w:lang w:eastAsia="sk-SK"/>
              </w:rPr>
              <w:t xml:space="preserve"> 9218/4, 831 51 Bratislava – mestská časť Rača</w:t>
            </w:r>
          </w:p>
        </w:tc>
        <w:tc>
          <w:tcPr>
            <w:tcW w:w="3828" w:type="dxa"/>
            <w:tcBorders>
              <w:top w:val="nil"/>
              <w:left w:val="nil"/>
              <w:bottom w:val="nil"/>
              <w:right w:val="nil"/>
            </w:tcBorders>
            <w:shd w:val="clear" w:color="auto" w:fill="auto"/>
            <w:vAlign w:val="center"/>
            <w:hideMark/>
          </w:tcPr>
          <w:p w14:paraId="483BCA6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cestu na MILSET Expo - </w:t>
            </w:r>
            <w:proofErr w:type="spellStart"/>
            <w:r w:rsidRPr="008C63ED">
              <w:rPr>
                <w:rFonts w:eastAsia="Times New Roman" w:cs="Times New Roman"/>
                <w:sz w:val="16"/>
                <w:szCs w:val="16"/>
                <w:lang w:eastAsia="sk-SK"/>
              </w:rPr>
              <w:t>Sciences</w:t>
            </w:r>
            <w:proofErr w:type="spellEnd"/>
            <w:r w:rsidRPr="008C63ED">
              <w:rPr>
                <w:rFonts w:eastAsia="Times New Roman" w:cs="Times New Roman"/>
                <w:sz w:val="16"/>
                <w:szCs w:val="16"/>
                <w:lang w:eastAsia="sk-SK"/>
              </w:rPr>
              <w:t xml:space="preserve"> International a na zabezpečenie účasti WEM na </w:t>
            </w:r>
            <w:proofErr w:type="spellStart"/>
            <w:r w:rsidRPr="008C63ED">
              <w:rPr>
                <w:rFonts w:eastAsia="Times New Roman" w:cs="Times New Roman"/>
                <w:sz w:val="16"/>
                <w:szCs w:val="16"/>
                <w:lang w:eastAsia="sk-SK"/>
              </w:rPr>
              <w:t>Regeneron</w:t>
            </w:r>
            <w:proofErr w:type="spellEnd"/>
            <w:r w:rsidRPr="008C63ED">
              <w:rPr>
                <w:rFonts w:eastAsia="Times New Roman" w:cs="Times New Roman"/>
                <w:sz w:val="16"/>
                <w:szCs w:val="16"/>
                <w:lang w:eastAsia="sk-SK"/>
              </w:rPr>
              <w:t xml:space="preserve"> ISEF 2023</w:t>
            </w:r>
          </w:p>
        </w:tc>
        <w:tc>
          <w:tcPr>
            <w:tcW w:w="1559" w:type="dxa"/>
            <w:tcBorders>
              <w:top w:val="nil"/>
              <w:left w:val="nil"/>
              <w:bottom w:val="nil"/>
              <w:right w:val="nil"/>
            </w:tcBorders>
            <w:shd w:val="clear" w:color="auto" w:fill="auto"/>
            <w:noWrap/>
            <w:vAlign w:val="center"/>
            <w:hideMark/>
          </w:tcPr>
          <w:p w14:paraId="38D1838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w:t>
            </w:r>
          </w:p>
        </w:tc>
      </w:tr>
      <w:tr w:rsidR="00E76212" w:rsidRPr="008C63ED" w14:paraId="0E013D19" w14:textId="77777777" w:rsidTr="00536426">
        <w:trPr>
          <w:trHeight w:val="329"/>
        </w:trPr>
        <w:tc>
          <w:tcPr>
            <w:tcW w:w="3969" w:type="dxa"/>
            <w:tcBorders>
              <w:top w:val="nil"/>
              <w:left w:val="nil"/>
              <w:bottom w:val="nil"/>
              <w:right w:val="nil"/>
            </w:tcBorders>
            <w:shd w:val="clear" w:color="auto" w:fill="auto"/>
            <w:vAlign w:val="center"/>
            <w:hideMark/>
          </w:tcPr>
          <w:p w14:paraId="3E267E2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Dubové, Dubové 50, 038 23 Dubové</w:t>
            </w:r>
          </w:p>
        </w:tc>
        <w:tc>
          <w:tcPr>
            <w:tcW w:w="3828" w:type="dxa"/>
            <w:tcBorders>
              <w:top w:val="nil"/>
              <w:left w:val="nil"/>
              <w:bottom w:val="nil"/>
              <w:right w:val="nil"/>
            </w:tcBorders>
            <w:shd w:val="clear" w:color="auto" w:fill="auto"/>
            <w:vAlign w:val="center"/>
            <w:hideMark/>
          </w:tcPr>
          <w:p w14:paraId="65C24D1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opravu školskej budovy</w:t>
            </w:r>
          </w:p>
        </w:tc>
        <w:tc>
          <w:tcPr>
            <w:tcW w:w="1559" w:type="dxa"/>
            <w:tcBorders>
              <w:top w:val="nil"/>
              <w:left w:val="nil"/>
              <w:bottom w:val="nil"/>
              <w:right w:val="nil"/>
            </w:tcBorders>
            <w:shd w:val="clear" w:color="auto" w:fill="auto"/>
            <w:noWrap/>
            <w:vAlign w:val="center"/>
            <w:hideMark/>
          </w:tcPr>
          <w:p w14:paraId="6A13A08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w:t>
            </w:r>
          </w:p>
        </w:tc>
      </w:tr>
      <w:tr w:rsidR="00E76212" w:rsidRPr="008C63ED" w14:paraId="10EA47F1" w14:textId="77777777" w:rsidTr="00536426">
        <w:trPr>
          <w:trHeight w:val="673"/>
        </w:trPr>
        <w:tc>
          <w:tcPr>
            <w:tcW w:w="3969" w:type="dxa"/>
            <w:tcBorders>
              <w:top w:val="nil"/>
              <w:left w:val="nil"/>
              <w:bottom w:val="nil"/>
              <w:right w:val="nil"/>
            </w:tcBorders>
            <w:shd w:val="clear" w:color="auto" w:fill="auto"/>
            <w:vAlign w:val="center"/>
            <w:hideMark/>
          </w:tcPr>
          <w:p w14:paraId="60919F7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Hruštín, Kultúrna 468/2, 029 52 Hruštín</w:t>
            </w:r>
          </w:p>
        </w:tc>
        <w:tc>
          <w:tcPr>
            <w:tcW w:w="3828" w:type="dxa"/>
            <w:tcBorders>
              <w:top w:val="nil"/>
              <w:left w:val="nil"/>
              <w:bottom w:val="nil"/>
              <w:right w:val="nil"/>
            </w:tcBorders>
            <w:shd w:val="clear" w:color="auto" w:fill="auto"/>
            <w:vAlign w:val="center"/>
            <w:hideMark/>
          </w:tcPr>
          <w:p w14:paraId="4D9F07E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„Revitalizácia verejne dostupných priestranstiev v rámci zelenej infraštruktúry v obci Hruštín“</w:t>
            </w:r>
          </w:p>
        </w:tc>
        <w:tc>
          <w:tcPr>
            <w:tcW w:w="1559" w:type="dxa"/>
            <w:tcBorders>
              <w:top w:val="nil"/>
              <w:left w:val="nil"/>
              <w:bottom w:val="nil"/>
              <w:right w:val="nil"/>
            </w:tcBorders>
            <w:shd w:val="clear" w:color="auto" w:fill="auto"/>
            <w:noWrap/>
            <w:vAlign w:val="center"/>
            <w:hideMark/>
          </w:tcPr>
          <w:p w14:paraId="68FEC57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w:t>
            </w:r>
          </w:p>
        </w:tc>
      </w:tr>
      <w:tr w:rsidR="00E76212" w:rsidRPr="008C63ED" w14:paraId="22923137" w14:textId="77777777" w:rsidTr="00536426">
        <w:trPr>
          <w:trHeight w:val="449"/>
        </w:trPr>
        <w:tc>
          <w:tcPr>
            <w:tcW w:w="3969" w:type="dxa"/>
            <w:tcBorders>
              <w:top w:val="nil"/>
              <w:left w:val="nil"/>
              <w:bottom w:val="nil"/>
              <w:right w:val="nil"/>
            </w:tcBorders>
            <w:shd w:val="clear" w:color="auto" w:fill="auto"/>
            <w:vAlign w:val="center"/>
            <w:hideMark/>
          </w:tcPr>
          <w:p w14:paraId="06D696A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Rímskokatolícka cirkev Farnosť Vinodol, Farská 219/3, 951 06 Vinodol</w:t>
            </w:r>
          </w:p>
        </w:tc>
        <w:tc>
          <w:tcPr>
            <w:tcW w:w="3828" w:type="dxa"/>
            <w:tcBorders>
              <w:top w:val="nil"/>
              <w:left w:val="nil"/>
              <w:bottom w:val="nil"/>
              <w:right w:val="nil"/>
            </w:tcBorders>
            <w:shd w:val="clear" w:color="auto" w:fill="auto"/>
            <w:vAlign w:val="center"/>
            <w:hideMark/>
          </w:tcPr>
          <w:p w14:paraId="715D938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zreštaurovanie súsošia Najsvätejšej Trojice a na zhotovenie základu súsošia</w:t>
            </w:r>
          </w:p>
        </w:tc>
        <w:tc>
          <w:tcPr>
            <w:tcW w:w="1559" w:type="dxa"/>
            <w:tcBorders>
              <w:top w:val="nil"/>
              <w:left w:val="nil"/>
              <w:bottom w:val="nil"/>
              <w:right w:val="nil"/>
            </w:tcBorders>
            <w:shd w:val="clear" w:color="auto" w:fill="auto"/>
            <w:noWrap/>
            <w:vAlign w:val="center"/>
            <w:hideMark/>
          </w:tcPr>
          <w:p w14:paraId="2DF1713E"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w:t>
            </w:r>
          </w:p>
        </w:tc>
      </w:tr>
      <w:tr w:rsidR="00E76212" w:rsidRPr="008C63ED" w14:paraId="306957E3" w14:textId="77777777" w:rsidTr="00536426">
        <w:trPr>
          <w:trHeight w:val="449"/>
        </w:trPr>
        <w:tc>
          <w:tcPr>
            <w:tcW w:w="3969" w:type="dxa"/>
            <w:tcBorders>
              <w:top w:val="nil"/>
              <w:left w:val="nil"/>
              <w:bottom w:val="nil"/>
              <w:right w:val="nil"/>
            </w:tcBorders>
            <w:shd w:val="clear" w:color="auto" w:fill="auto"/>
            <w:vAlign w:val="center"/>
            <w:hideMark/>
          </w:tcPr>
          <w:p w14:paraId="5D76CEB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Občianske združenie SAMKO, Dolné Dubové 240, 919 52 Dolné Dubové</w:t>
            </w:r>
          </w:p>
        </w:tc>
        <w:tc>
          <w:tcPr>
            <w:tcW w:w="3828" w:type="dxa"/>
            <w:tcBorders>
              <w:top w:val="nil"/>
              <w:left w:val="nil"/>
              <w:bottom w:val="nil"/>
              <w:right w:val="nil"/>
            </w:tcBorders>
            <w:shd w:val="clear" w:color="auto" w:fill="auto"/>
            <w:vAlign w:val="center"/>
            <w:hideMark/>
          </w:tcPr>
          <w:p w14:paraId="31E5241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výdavky spojené s účasťou hendikepovaného športovca a jeho asistenta na medzinárodnej súťaži</w:t>
            </w:r>
          </w:p>
        </w:tc>
        <w:tc>
          <w:tcPr>
            <w:tcW w:w="1559" w:type="dxa"/>
            <w:tcBorders>
              <w:top w:val="nil"/>
              <w:left w:val="nil"/>
              <w:bottom w:val="nil"/>
              <w:right w:val="nil"/>
            </w:tcBorders>
            <w:shd w:val="clear" w:color="auto" w:fill="auto"/>
            <w:noWrap/>
            <w:vAlign w:val="center"/>
            <w:hideMark/>
          </w:tcPr>
          <w:p w14:paraId="3EA73A03"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w:t>
            </w:r>
          </w:p>
        </w:tc>
      </w:tr>
      <w:tr w:rsidR="00E76212" w:rsidRPr="008C63ED" w14:paraId="413D7C51" w14:textId="77777777" w:rsidTr="00536426">
        <w:trPr>
          <w:trHeight w:val="673"/>
        </w:trPr>
        <w:tc>
          <w:tcPr>
            <w:tcW w:w="3969" w:type="dxa"/>
            <w:tcBorders>
              <w:top w:val="nil"/>
              <w:left w:val="nil"/>
              <w:bottom w:val="nil"/>
              <w:right w:val="nil"/>
            </w:tcBorders>
            <w:shd w:val="clear" w:color="auto" w:fill="auto"/>
            <w:vAlign w:val="center"/>
            <w:hideMark/>
          </w:tcPr>
          <w:p w14:paraId="545D6E4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lastRenderedPageBreak/>
              <w:t>Košický samosprávny kraj, Nám. Maratónu Mieru 68/1, 040 01 Košice – mestská časť Staré mesto</w:t>
            </w:r>
          </w:p>
        </w:tc>
        <w:tc>
          <w:tcPr>
            <w:tcW w:w="3828" w:type="dxa"/>
            <w:tcBorders>
              <w:top w:val="nil"/>
              <w:left w:val="nil"/>
              <w:bottom w:val="nil"/>
              <w:right w:val="nil"/>
            </w:tcBorders>
            <w:shd w:val="clear" w:color="auto" w:fill="auto"/>
            <w:vAlign w:val="center"/>
            <w:hideMark/>
          </w:tcPr>
          <w:p w14:paraId="1F5CEA05" w14:textId="2575A918" w:rsidR="00E76212" w:rsidRPr="008C63ED" w:rsidRDefault="00E76212" w:rsidP="00536426">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Pre Strednú odbornú školu automobilovú, Moldavská cesta 2, 040 11 Košice na výdavky súvisiace s účasťou na súťaži </w:t>
            </w:r>
            <w:proofErr w:type="spellStart"/>
            <w:r w:rsidRPr="008C63ED">
              <w:rPr>
                <w:rFonts w:eastAsia="Times New Roman" w:cs="Times New Roman"/>
                <w:sz w:val="16"/>
                <w:szCs w:val="16"/>
                <w:lang w:eastAsia="sk-SK"/>
              </w:rPr>
              <w:t>Autoopravár</w:t>
            </w:r>
            <w:proofErr w:type="spellEnd"/>
            <w:r w:rsidRPr="008C63ED">
              <w:rPr>
                <w:rFonts w:eastAsia="Times New Roman" w:cs="Times New Roman"/>
                <w:sz w:val="16"/>
                <w:szCs w:val="16"/>
                <w:lang w:eastAsia="sk-SK"/>
              </w:rPr>
              <w:t xml:space="preserve"> Junior 2023</w:t>
            </w:r>
          </w:p>
        </w:tc>
        <w:tc>
          <w:tcPr>
            <w:tcW w:w="1559" w:type="dxa"/>
            <w:tcBorders>
              <w:top w:val="nil"/>
              <w:left w:val="nil"/>
              <w:bottom w:val="nil"/>
              <w:right w:val="nil"/>
            </w:tcBorders>
            <w:shd w:val="clear" w:color="auto" w:fill="auto"/>
            <w:noWrap/>
            <w:vAlign w:val="center"/>
            <w:hideMark/>
          </w:tcPr>
          <w:p w14:paraId="4A8A933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w:t>
            </w:r>
          </w:p>
        </w:tc>
      </w:tr>
      <w:tr w:rsidR="00E76212" w:rsidRPr="008C63ED" w14:paraId="290CC6FB" w14:textId="77777777" w:rsidTr="00536426">
        <w:trPr>
          <w:trHeight w:val="449"/>
        </w:trPr>
        <w:tc>
          <w:tcPr>
            <w:tcW w:w="3969" w:type="dxa"/>
            <w:tcBorders>
              <w:top w:val="nil"/>
              <w:left w:val="nil"/>
              <w:bottom w:val="nil"/>
              <w:right w:val="nil"/>
            </w:tcBorders>
            <w:shd w:val="clear" w:color="auto" w:fill="auto"/>
            <w:vAlign w:val="center"/>
            <w:hideMark/>
          </w:tcPr>
          <w:p w14:paraId="6ED70E2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Obec Zemplínske Hradište, Obecná 392/11, 076 01 Zemplínske Hradište </w:t>
            </w:r>
          </w:p>
        </w:tc>
        <w:tc>
          <w:tcPr>
            <w:tcW w:w="3828" w:type="dxa"/>
            <w:tcBorders>
              <w:top w:val="nil"/>
              <w:left w:val="nil"/>
              <w:bottom w:val="nil"/>
              <w:right w:val="nil"/>
            </w:tcBorders>
            <w:shd w:val="clear" w:color="auto" w:fill="auto"/>
            <w:vAlign w:val="center"/>
            <w:hideMark/>
          </w:tcPr>
          <w:p w14:paraId="4B461EF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budovy športového klubu</w:t>
            </w:r>
          </w:p>
        </w:tc>
        <w:tc>
          <w:tcPr>
            <w:tcW w:w="1559" w:type="dxa"/>
            <w:tcBorders>
              <w:top w:val="nil"/>
              <w:left w:val="nil"/>
              <w:bottom w:val="nil"/>
              <w:right w:val="nil"/>
            </w:tcBorders>
            <w:shd w:val="clear" w:color="auto" w:fill="auto"/>
            <w:noWrap/>
            <w:vAlign w:val="center"/>
            <w:hideMark/>
          </w:tcPr>
          <w:p w14:paraId="5C1EEA3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w:t>
            </w:r>
          </w:p>
        </w:tc>
      </w:tr>
      <w:tr w:rsidR="00E76212" w:rsidRPr="008C63ED" w14:paraId="2AD116E5" w14:textId="77777777" w:rsidTr="00536426">
        <w:trPr>
          <w:trHeight w:val="449"/>
        </w:trPr>
        <w:tc>
          <w:tcPr>
            <w:tcW w:w="3969" w:type="dxa"/>
            <w:tcBorders>
              <w:top w:val="nil"/>
              <w:left w:val="nil"/>
              <w:bottom w:val="nil"/>
              <w:right w:val="nil"/>
            </w:tcBorders>
            <w:shd w:val="clear" w:color="auto" w:fill="auto"/>
            <w:vAlign w:val="center"/>
            <w:hideMark/>
          </w:tcPr>
          <w:p w14:paraId="6A3A541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Harmónia Liptovská Teplička, Bory 709/18, 059 40 Liptovská Teplička</w:t>
            </w:r>
          </w:p>
        </w:tc>
        <w:tc>
          <w:tcPr>
            <w:tcW w:w="3828" w:type="dxa"/>
            <w:tcBorders>
              <w:top w:val="nil"/>
              <w:left w:val="nil"/>
              <w:bottom w:val="nil"/>
              <w:right w:val="nil"/>
            </w:tcBorders>
            <w:shd w:val="clear" w:color="auto" w:fill="auto"/>
            <w:vAlign w:val="center"/>
            <w:hideMark/>
          </w:tcPr>
          <w:p w14:paraId="5AB8C61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nákup akustického piana</w:t>
            </w:r>
          </w:p>
        </w:tc>
        <w:tc>
          <w:tcPr>
            <w:tcW w:w="1559" w:type="dxa"/>
            <w:tcBorders>
              <w:top w:val="nil"/>
              <w:left w:val="nil"/>
              <w:bottom w:val="nil"/>
              <w:right w:val="nil"/>
            </w:tcBorders>
            <w:shd w:val="clear" w:color="auto" w:fill="auto"/>
            <w:noWrap/>
            <w:vAlign w:val="center"/>
            <w:hideMark/>
          </w:tcPr>
          <w:p w14:paraId="7D93D14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w:t>
            </w:r>
          </w:p>
        </w:tc>
      </w:tr>
      <w:tr w:rsidR="00E76212" w:rsidRPr="008C63ED" w14:paraId="51A948AE" w14:textId="77777777" w:rsidTr="00536426">
        <w:trPr>
          <w:trHeight w:val="449"/>
        </w:trPr>
        <w:tc>
          <w:tcPr>
            <w:tcW w:w="3969" w:type="dxa"/>
            <w:tcBorders>
              <w:top w:val="nil"/>
              <w:left w:val="nil"/>
              <w:bottom w:val="nil"/>
              <w:right w:val="nil"/>
            </w:tcBorders>
            <w:shd w:val="clear" w:color="auto" w:fill="auto"/>
            <w:vAlign w:val="center"/>
            <w:hideMark/>
          </w:tcPr>
          <w:p w14:paraId="3268115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Atletika </w:t>
            </w:r>
            <w:proofErr w:type="spellStart"/>
            <w:r w:rsidRPr="008C63ED">
              <w:rPr>
                <w:rFonts w:eastAsia="Times New Roman" w:cs="Times New Roman"/>
                <w:sz w:val="16"/>
                <w:szCs w:val="16"/>
                <w:lang w:eastAsia="sk-SK"/>
              </w:rPr>
              <w:t>Inter</w:t>
            </w:r>
            <w:proofErr w:type="spellEnd"/>
            <w:r w:rsidRPr="008C63ED">
              <w:rPr>
                <w:rFonts w:eastAsia="Times New Roman" w:cs="Times New Roman"/>
                <w:sz w:val="16"/>
                <w:szCs w:val="16"/>
                <w:lang w:eastAsia="sk-SK"/>
              </w:rPr>
              <w:t xml:space="preserve"> Bratislava, o. z, </w:t>
            </w:r>
            <w:proofErr w:type="spellStart"/>
            <w:r w:rsidRPr="008C63ED">
              <w:rPr>
                <w:rFonts w:eastAsia="Times New Roman" w:cs="Times New Roman"/>
                <w:sz w:val="16"/>
                <w:szCs w:val="16"/>
                <w:lang w:eastAsia="sk-SK"/>
              </w:rPr>
              <w:t>Černyševského</w:t>
            </w:r>
            <w:proofErr w:type="spellEnd"/>
            <w:r w:rsidRPr="008C63ED">
              <w:rPr>
                <w:rFonts w:eastAsia="Times New Roman" w:cs="Times New Roman"/>
                <w:sz w:val="16"/>
                <w:szCs w:val="16"/>
                <w:lang w:eastAsia="sk-SK"/>
              </w:rPr>
              <w:t xml:space="preserve"> 3427/26, 851 01 Bratislava – mestská časť Petržalka</w:t>
            </w:r>
          </w:p>
        </w:tc>
        <w:tc>
          <w:tcPr>
            <w:tcW w:w="3828" w:type="dxa"/>
            <w:tcBorders>
              <w:top w:val="nil"/>
              <w:left w:val="nil"/>
              <w:bottom w:val="nil"/>
              <w:right w:val="nil"/>
            </w:tcBorders>
            <w:shd w:val="clear" w:color="auto" w:fill="auto"/>
            <w:vAlign w:val="center"/>
            <w:hideMark/>
          </w:tcPr>
          <w:p w14:paraId="5D6E927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podporu talentovaného atléta</w:t>
            </w:r>
          </w:p>
        </w:tc>
        <w:tc>
          <w:tcPr>
            <w:tcW w:w="1559" w:type="dxa"/>
            <w:tcBorders>
              <w:top w:val="nil"/>
              <w:left w:val="nil"/>
              <w:bottom w:val="nil"/>
              <w:right w:val="nil"/>
            </w:tcBorders>
            <w:shd w:val="clear" w:color="auto" w:fill="auto"/>
            <w:noWrap/>
            <w:vAlign w:val="center"/>
            <w:hideMark/>
          </w:tcPr>
          <w:p w14:paraId="75F4F6B4"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w:t>
            </w:r>
          </w:p>
        </w:tc>
      </w:tr>
      <w:tr w:rsidR="00E76212" w:rsidRPr="008C63ED" w14:paraId="45CB8F5D" w14:textId="77777777" w:rsidTr="00536426">
        <w:trPr>
          <w:trHeight w:val="449"/>
        </w:trPr>
        <w:tc>
          <w:tcPr>
            <w:tcW w:w="3969" w:type="dxa"/>
            <w:tcBorders>
              <w:top w:val="nil"/>
              <w:left w:val="nil"/>
              <w:bottom w:val="nil"/>
              <w:right w:val="nil"/>
            </w:tcBorders>
            <w:shd w:val="clear" w:color="auto" w:fill="auto"/>
            <w:vAlign w:val="center"/>
            <w:hideMark/>
          </w:tcPr>
          <w:p w14:paraId="66562DA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Tenisový klub MLADOSŤ Košice, Popradská 258/84, 040 11 Košice – mestská časť Západ</w:t>
            </w:r>
          </w:p>
        </w:tc>
        <w:tc>
          <w:tcPr>
            <w:tcW w:w="3828" w:type="dxa"/>
            <w:tcBorders>
              <w:top w:val="nil"/>
              <w:left w:val="nil"/>
              <w:bottom w:val="nil"/>
              <w:right w:val="nil"/>
            </w:tcBorders>
            <w:shd w:val="clear" w:color="auto" w:fill="auto"/>
            <w:vAlign w:val="center"/>
            <w:hideMark/>
          </w:tcPr>
          <w:p w14:paraId="13213AFB" w14:textId="4E1E78C9" w:rsidR="00E76212" w:rsidRPr="008C63ED" w:rsidRDefault="00E76212" w:rsidP="00536426">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úhradu nákladov za účasť na 4 medzinárodných turnajoch</w:t>
            </w:r>
          </w:p>
        </w:tc>
        <w:tc>
          <w:tcPr>
            <w:tcW w:w="1559" w:type="dxa"/>
            <w:tcBorders>
              <w:top w:val="nil"/>
              <w:left w:val="nil"/>
              <w:bottom w:val="nil"/>
              <w:right w:val="nil"/>
            </w:tcBorders>
            <w:shd w:val="clear" w:color="auto" w:fill="auto"/>
            <w:noWrap/>
            <w:vAlign w:val="center"/>
            <w:hideMark/>
          </w:tcPr>
          <w:p w14:paraId="7CE0593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w:t>
            </w:r>
          </w:p>
        </w:tc>
      </w:tr>
      <w:tr w:rsidR="00E76212" w:rsidRPr="008C63ED" w14:paraId="17147941" w14:textId="77777777" w:rsidTr="00536426">
        <w:trPr>
          <w:trHeight w:val="449"/>
        </w:trPr>
        <w:tc>
          <w:tcPr>
            <w:tcW w:w="3969" w:type="dxa"/>
            <w:tcBorders>
              <w:top w:val="nil"/>
              <w:left w:val="nil"/>
              <w:bottom w:val="nil"/>
              <w:right w:val="nil"/>
            </w:tcBorders>
            <w:shd w:val="clear" w:color="auto" w:fill="auto"/>
            <w:vAlign w:val="center"/>
            <w:hideMark/>
          </w:tcPr>
          <w:p w14:paraId="2D47AA58" w14:textId="77777777" w:rsidR="00E76212" w:rsidRPr="008C63ED" w:rsidRDefault="00E76212" w:rsidP="00D2560E">
            <w:pPr>
              <w:spacing w:after="0" w:line="240" w:lineRule="auto"/>
              <w:rPr>
                <w:rFonts w:eastAsia="Times New Roman" w:cs="Times New Roman"/>
                <w:sz w:val="16"/>
                <w:szCs w:val="16"/>
                <w:lang w:eastAsia="sk-SK"/>
              </w:rPr>
            </w:pPr>
            <w:proofErr w:type="spellStart"/>
            <w:r w:rsidRPr="008C63ED">
              <w:rPr>
                <w:rFonts w:eastAsia="Times New Roman" w:cs="Times New Roman"/>
                <w:sz w:val="16"/>
                <w:szCs w:val="16"/>
                <w:lang w:eastAsia="sk-SK"/>
              </w:rPr>
              <w:t>Jazdecko</w:t>
            </w:r>
            <w:proofErr w:type="spellEnd"/>
            <w:r w:rsidRPr="008C63ED">
              <w:rPr>
                <w:rFonts w:eastAsia="Times New Roman" w:cs="Times New Roman"/>
                <w:sz w:val="16"/>
                <w:szCs w:val="16"/>
                <w:lang w:eastAsia="sk-SK"/>
              </w:rPr>
              <w:t xml:space="preserve"> - rehabilitačné centrum </w:t>
            </w:r>
            <w:proofErr w:type="spellStart"/>
            <w:r w:rsidRPr="008C63ED">
              <w:rPr>
                <w:rFonts w:eastAsia="Times New Roman" w:cs="Times New Roman"/>
                <w:sz w:val="16"/>
                <w:szCs w:val="16"/>
                <w:lang w:eastAsia="sk-SK"/>
              </w:rPr>
              <w:t>Lesan</w:t>
            </w:r>
            <w:proofErr w:type="spellEnd"/>
            <w:r w:rsidRPr="008C63ED">
              <w:rPr>
                <w:rFonts w:eastAsia="Times New Roman" w:cs="Times New Roman"/>
                <w:sz w:val="16"/>
                <w:szCs w:val="16"/>
                <w:lang w:eastAsia="sk-SK"/>
              </w:rPr>
              <w:t xml:space="preserve"> n. o., Trenčianske Stankovce 6, 913 11 Trenčianske Stankovce</w:t>
            </w:r>
          </w:p>
        </w:tc>
        <w:tc>
          <w:tcPr>
            <w:tcW w:w="3828" w:type="dxa"/>
            <w:tcBorders>
              <w:top w:val="nil"/>
              <w:left w:val="nil"/>
              <w:bottom w:val="nil"/>
              <w:right w:val="nil"/>
            </w:tcBorders>
            <w:shd w:val="clear" w:color="auto" w:fill="auto"/>
            <w:vAlign w:val="center"/>
            <w:hideMark/>
          </w:tcPr>
          <w:p w14:paraId="315EB75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úhradu nákladov súvisiacich s ročným pobytom študenta strednej školy v zahraničí </w:t>
            </w:r>
          </w:p>
        </w:tc>
        <w:tc>
          <w:tcPr>
            <w:tcW w:w="1559" w:type="dxa"/>
            <w:tcBorders>
              <w:top w:val="nil"/>
              <w:left w:val="nil"/>
              <w:bottom w:val="nil"/>
              <w:right w:val="nil"/>
            </w:tcBorders>
            <w:shd w:val="clear" w:color="auto" w:fill="auto"/>
            <w:noWrap/>
            <w:vAlign w:val="center"/>
            <w:hideMark/>
          </w:tcPr>
          <w:p w14:paraId="19ACD92E"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w:t>
            </w:r>
          </w:p>
        </w:tc>
      </w:tr>
      <w:tr w:rsidR="00E76212" w:rsidRPr="008C63ED" w14:paraId="1917354C" w14:textId="77777777" w:rsidTr="00536426">
        <w:trPr>
          <w:trHeight w:val="449"/>
        </w:trPr>
        <w:tc>
          <w:tcPr>
            <w:tcW w:w="3969" w:type="dxa"/>
            <w:tcBorders>
              <w:top w:val="nil"/>
              <w:left w:val="nil"/>
              <w:bottom w:val="nil"/>
              <w:right w:val="nil"/>
            </w:tcBorders>
            <w:shd w:val="clear" w:color="auto" w:fill="auto"/>
            <w:vAlign w:val="center"/>
            <w:hideMark/>
          </w:tcPr>
          <w:p w14:paraId="077C674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Spolok sv. Cyrila a Metoda, Jána Hollého 746/4, 071 01 Michalovce</w:t>
            </w:r>
          </w:p>
        </w:tc>
        <w:tc>
          <w:tcPr>
            <w:tcW w:w="3828" w:type="dxa"/>
            <w:tcBorders>
              <w:top w:val="nil"/>
              <w:left w:val="nil"/>
              <w:bottom w:val="nil"/>
              <w:right w:val="nil"/>
            </w:tcBorders>
            <w:shd w:val="clear" w:color="auto" w:fill="auto"/>
            <w:vAlign w:val="center"/>
            <w:hideMark/>
          </w:tcPr>
          <w:p w14:paraId="4A934FF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úhradu nákladov spojených s absolvovaním programu CM Exchange pre talentovaných študentov</w:t>
            </w:r>
          </w:p>
        </w:tc>
        <w:tc>
          <w:tcPr>
            <w:tcW w:w="1559" w:type="dxa"/>
            <w:tcBorders>
              <w:top w:val="nil"/>
              <w:left w:val="nil"/>
              <w:bottom w:val="nil"/>
              <w:right w:val="nil"/>
            </w:tcBorders>
            <w:shd w:val="clear" w:color="auto" w:fill="auto"/>
            <w:noWrap/>
            <w:vAlign w:val="center"/>
            <w:hideMark/>
          </w:tcPr>
          <w:p w14:paraId="106F4E3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w:t>
            </w:r>
          </w:p>
        </w:tc>
      </w:tr>
      <w:tr w:rsidR="00E76212" w:rsidRPr="008C63ED" w14:paraId="46207510" w14:textId="77777777" w:rsidTr="00536426">
        <w:trPr>
          <w:trHeight w:val="329"/>
        </w:trPr>
        <w:tc>
          <w:tcPr>
            <w:tcW w:w="3969" w:type="dxa"/>
            <w:tcBorders>
              <w:top w:val="nil"/>
              <w:left w:val="nil"/>
              <w:bottom w:val="nil"/>
              <w:right w:val="nil"/>
            </w:tcBorders>
            <w:shd w:val="clear" w:color="auto" w:fill="auto"/>
            <w:vAlign w:val="center"/>
            <w:hideMark/>
          </w:tcPr>
          <w:p w14:paraId="2A645E6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Dolná Seč, Dolná Seč 22, 935 31 Dolná Seč</w:t>
            </w:r>
          </w:p>
        </w:tc>
        <w:tc>
          <w:tcPr>
            <w:tcW w:w="3828" w:type="dxa"/>
            <w:tcBorders>
              <w:top w:val="nil"/>
              <w:left w:val="nil"/>
              <w:bottom w:val="nil"/>
              <w:right w:val="nil"/>
            </w:tcBorders>
            <w:shd w:val="clear" w:color="auto" w:fill="auto"/>
            <w:vAlign w:val="center"/>
            <w:hideMark/>
          </w:tcPr>
          <w:p w14:paraId="67858AC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rekonštrukciu verejnej budovy v obci</w:t>
            </w:r>
          </w:p>
        </w:tc>
        <w:tc>
          <w:tcPr>
            <w:tcW w:w="1559" w:type="dxa"/>
            <w:tcBorders>
              <w:top w:val="nil"/>
              <w:left w:val="nil"/>
              <w:bottom w:val="nil"/>
              <w:right w:val="nil"/>
            </w:tcBorders>
            <w:shd w:val="clear" w:color="auto" w:fill="auto"/>
            <w:noWrap/>
            <w:vAlign w:val="center"/>
            <w:hideMark/>
          </w:tcPr>
          <w:p w14:paraId="092AB2F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w:t>
            </w:r>
          </w:p>
        </w:tc>
      </w:tr>
      <w:tr w:rsidR="00E76212" w:rsidRPr="008C63ED" w14:paraId="7D7EEEBF" w14:textId="77777777" w:rsidTr="00536426">
        <w:trPr>
          <w:trHeight w:val="329"/>
        </w:trPr>
        <w:tc>
          <w:tcPr>
            <w:tcW w:w="3969" w:type="dxa"/>
            <w:tcBorders>
              <w:top w:val="nil"/>
              <w:left w:val="nil"/>
              <w:bottom w:val="nil"/>
              <w:right w:val="nil"/>
            </w:tcBorders>
            <w:shd w:val="clear" w:color="auto" w:fill="auto"/>
            <w:vAlign w:val="center"/>
            <w:hideMark/>
          </w:tcPr>
          <w:p w14:paraId="6637BDA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Kluknava, Kluknava 177, 053 51 Kluknava</w:t>
            </w:r>
          </w:p>
        </w:tc>
        <w:tc>
          <w:tcPr>
            <w:tcW w:w="3828" w:type="dxa"/>
            <w:tcBorders>
              <w:top w:val="nil"/>
              <w:left w:val="nil"/>
              <w:bottom w:val="nil"/>
              <w:right w:val="nil"/>
            </w:tcBorders>
            <w:shd w:val="clear" w:color="auto" w:fill="auto"/>
            <w:vAlign w:val="center"/>
            <w:hideMark/>
          </w:tcPr>
          <w:p w14:paraId="03739D8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opravu a údržbu komunikácií v obci</w:t>
            </w:r>
          </w:p>
        </w:tc>
        <w:tc>
          <w:tcPr>
            <w:tcW w:w="1559" w:type="dxa"/>
            <w:tcBorders>
              <w:top w:val="nil"/>
              <w:left w:val="nil"/>
              <w:bottom w:val="nil"/>
              <w:right w:val="nil"/>
            </w:tcBorders>
            <w:shd w:val="clear" w:color="auto" w:fill="auto"/>
            <w:noWrap/>
            <w:vAlign w:val="center"/>
            <w:hideMark/>
          </w:tcPr>
          <w:p w14:paraId="056E8F5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w:t>
            </w:r>
          </w:p>
        </w:tc>
      </w:tr>
      <w:tr w:rsidR="00E76212" w:rsidRPr="008C63ED" w14:paraId="3749E939" w14:textId="77777777" w:rsidTr="00536426">
        <w:trPr>
          <w:trHeight w:val="449"/>
        </w:trPr>
        <w:tc>
          <w:tcPr>
            <w:tcW w:w="3969" w:type="dxa"/>
            <w:tcBorders>
              <w:top w:val="nil"/>
              <w:left w:val="nil"/>
              <w:bottom w:val="nil"/>
              <w:right w:val="nil"/>
            </w:tcBorders>
            <w:shd w:val="clear" w:color="auto" w:fill="auto"/>
            <w:vAlign w:val="center"/>
            <w:hideMark/>
          </w:tcPr>
          <w:p w14:paraId="099A214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Nezisková organizácia EKONÓM pri Obchodnej akadémii v Dolnom Kubíne, Radlinského 1725/55, 026 01 Dolný Kubín</w:t>
            </w:r>
          </w:p>
        </w:tc>
        <w:tc>
          <w:tcPr>
            <w:tcW w:w="3828" w:type="dxa"/>
            <w:tcBorders>
              <w:top w:val="nil"/>
              <w:left w:val="nil"/>
              <w:bottom w:val="nil"/>
              <w:right w:val="nil"/>
            </w:tcBorders>
            <w:shd w:val="clear" w:color="auto" w:fill="auto"/>
            <w:vAlign w:val="center"/>
            <w:hideMark/>
          </w:tcPr>
          <w:p w14:paraId="78FB7F6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realizáciu projektu: Barbora - najsilnejšia žena na svete</w:t>
            </w:r>
          </w:p>
        </w:tc>
        <w:tc>
          <w:tcPr>
            <w:tcW w:w="1559" w:type="dxa"/>
            <w:tcBorders>
              <w:top w:val="nil"/>
              <w:left w:val="nil"/>
              <w:bottom w:val="nil"/>
              <w:right w:val="nil"/>
            </w:tcBorders>
            <w:shd w:val="clear" w:color="auto" w:fill="auto"/>
            <w:noWrap/>
            <w:vAlign w:val="center"/>
            <w:hideMark/>
          </w:tcPr>
          <w:p w14:paraId="6354623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w:t>
            </w:r>
          </w:p>
        </w:tc>
      </w:tr>
      <w:tr w:rsidR="00E76212" w:rsidRPr="008C63ED" w14:paraId="70A15AB0" w14:textId="77777777" w:rsidTr="00536426">
        <w:trPr>
          <w:trHeight w:val="449"/>
        </w:trPr>
        <w:tc>
          <w:tcPr>
            <w:tcW w:w="3969" w:type="dxa"/>
            <w:tcBorders>
              <w:top w:val="nil"/>
              <w:left w:val="nil"/>
              <w:bottom w:val="nil"/>
              <w:right w:val="nil"/>
            </w:tcBorders>
            <w:shd w:val="clear" w:color="auto" w:fill="auto"/>
            <w:vAlign w:val="center"/>
            <w:hideMark/>
          </w:tcPr>
          <w:p w14:paraId="2984FD7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Občianske združenie Sírius nádeje, Ulica A. </w:t>
            </w:r>
            <w:proofErr w:type="spellStart"/>
            <w:r w:rsidRPr="008C63ED">
              <w:rPr>
                <w:rFonts w:eastAsia="Times New Roman" w:cs="Times New Roman"/>
                <w:sz w:val="16"/>
                <w:szCs w:val="16"/>
                <w:lang w:eastAsia="sk-SK"/>
              </w:rPr>
              <w:t>Behunka</w:t>
            </w:r>
            <w:proofErr w:type="spellEnd"/>
            <w:r w:rsidRPr="008C63ED">
              <w:rPr>
                <w:rFonts w:eastAsia="Times New Roman" w:cs="Times New Roman"/>
                <w:sz w:val="16"/>
                <w:szCs w:val="16"/>
                <w:lang w:eastAsia="sk-SK"/>
              </w:rPr>
              <w:t xml:space="preserve"> 1896/32, 900 81 Šenkvice</w:t>
            </w:r>
          </w:p>
        </w:tc>
        <w:tc>
          <w:tcPr>
            <w:tcW w:w="3828" w:type="dxa"/>
            <w:tcBorders>
              <w:top w:val="nil"/>
              <w:left w:val="nil"/>
              <w:bottom w:val="nil"/>
              <w:right w:val="nil"/>
            </w:tcBorders>
            <w:shd w:val="clear" w:color="auto" w:fill="auto"/>
            <w:vAlign w:val="center"/>
            <w:hideMark/>
          </w:tcPr>
          <w:p w14:paraId="6DFD465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nákup školského autobusu pre Základnú internátnu školu vo Veľkej Čalomiji</w:t>
            </w:r>
          </w:p>
        </w:tc>
        <w:tc>
          <w:tcPr>
            <w:tcW w:w="1559" w:type="dxa"/>
            <w:tcBorders>
              <w:top w:val="nil"/>
              <w:left w:val="nil"/>
              <w:bottom w:val="nil"/>
              <w:right w:val="nil"/>
            </w:tcBorders>
            <w:shd w:val="clear" w:color="auto" w:fill="auto"/>
            <w:noWrap/>
            <w:vAlign w:val="center"/>
            <w:hideMark/>
          </w:tcPr>
          <w:p w14:paraId="2880CF6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w:t>
            </w:r>
          </w:p>
        </w:tc>
      </w:tr>
      <w:tr w:rsidR="00E76212" w:rsidRPr="008C63ED" w14:paraId="29801CED" w14:textId="77777777" w:rsidTr="00536426">
        <w:trPr>
          <w:trHeight w:val="845"/>
        </w:trPr>
        <w:tc>
          <w:tcPr>
            <w:tcW w:w="3969" w:type="dxa"/>
            <w:tcBorders>
              <w:top w:val="nil"/>
              <w:left w:val="nil"/>
              <w:bottom w:val="nil"/>
              <w:right w:val="nil"/>
            </w:tcBorders>
            <w:shd w:val="clear" w:color="auto" w:fill="auto"/>
            <w:vAlign w:val="center"/>
            <w:hideMark/>
          </w:tcPr>
          <w:p w14:paraId="7920FB9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Košický samosprávny kraj, Nám. Maratónu Mieru 68/1, 040 01 Košice – mestská časť Staré mesto</w:t>
            </w:r>
          </w:p>
        </w:tc>
        <w:tc>
          <w:tcPr>
            <w:tcW w:w="3828" w:type="dxa"/>
            <w:tcBorders>
              <w:top w:val="nil"/>
              <w:left w:val="nil"/>
              <w:bottom w:val="nil"/>
              <w:right w:val="nil"/>
            </w:tcBorders>
            <w:shd w:val="clear" w:color="auto" w:fill="auto"/>
            <w:vAlign w:val="center"/>
            <w:hideMark/>
          </w:tcPr>
          <w:p w14:paraId="016087D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Pre Gymnázium Pavla </w:t>
            </w:r>
            <w:proofErr w:type="spellStart"/>
            <w:r w:rsidRPr="008C63ED">
              <w:rPr>
                <w:rFonts w:eastAsia="Times New Roman" w:cs="Times New Roman"/>
                <w:sz w:val="16"/>
                <w:szCs w:val="16"/>
                <w:lang w:eastAsia="sk-SK"/>
              </w:rPr>
              <w:t>Horova</w:t>
            </w:r>
            <w:proofErr w:type="spellEnd"/>
            <w:r w:rsidRPr="008C63ED">
              <w:rPr>
                <w:rFonts w:eastAsia="Times New Roman" w:cs="Times New Roman"/>
                <w:sz w:val="16"/>
                <w:szCs w:val="16"/>
                <w:lang w:eastAsia="sk-SK"/>
              </w:rPr>
              <w:t>, Masarykova 1, 071 01 Michalovce na nákup pomôcok a úhradu výdavkov súvisiacich s účasťou na súťažiach pre talentovanú študentku</w:t>
            </w:r>
          </w:p>
        </w:tc>
        <w:tc>
          <w:tcPr>
            <w:tcW w:w="1559" w:type="dxa"/>
            <w:tcBorders>
              <w:top w:val="nil"/>
              <w:left w:val="nil"/>
              <w:bottom w:val="nil"/>
              <w:right w:val="nil"/>
            </w:tcBorders>
            <w:shd w:val="clear" w:color="auto" w:fill="auto"/>
            <w:noWrap/>
            <w:vAlign w:val="center"/>
            <w:hideMark/>
          </w:tcPr>
          <w:p w14:paraId="6F479DDD"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w:t>
            </w:r>
          </w:p>
        </w:tc>
      </w:tr>
      <w:tr w:rsidR="00E76212" w:rsidRPr="008C63ED" w14:paraId="4D4976F2" w14:textId="77777777" w:rsidTr="00536426">
        <w:trPr>
          <w:trHeight w:val="329"/>
        </w:trPr>
        <w:tc>
          <w:tcPr>
            <w:tcW w:w="3969" w:type="dxa"/>
            <w:tcBorders>
              <w:top w:val="nil"/>
              <w:left w:val="nil"/>
              <w:bottom w:val="nil"/>
              <w:right w:val="nil"/>
            </w:tcBorders>
            <w:shd w:val="clear" w:color="auto" w:fill="auto"/>
            <w:vAlign w:val="center"/>
            <w:hideMark/>
          </w:tcPr>
          <w:p w14:paraId="32E275D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Obec Čečehov, Čečehov 74, 072 11 Čečehov </w:t>
            </w:r>
          </w:p>
        </w:tc>
        <w:tc>
          <w:tcPr>
            <w:tcW w:w="3828" w:type="dxa"/>
            <w:tcBorders>
              <w:top w:val="nil"/>
              <w:left w:val="nil"/>
              <w:bottom w:val="nil"/>
              <w:right w:val="nil"/>
            </w:tcBorders>
            <w:shd w:val="clear" w:color="auto" w:fill="auto"/>
            <w:vAlign w:val="center"/>
            <w:hideMark/>
          </w:tcPr>
          <w:p w14:paraId="34D0308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nákup traktorovej kosačky</w:t>
            </w:r>
          </w:p>
        </w:tc>
        <w:tc>
          <w:tcPr>
            <w:tcW w:w="1559" w:type="dxa"/>
            <w:tcBorders>
              <w:top w:val="nil"/>
              <w:left w:val="nil"/>
              <w:bottom w:val="nil"/>
              <w:right w:val="nil"/>
            </w:tcBorders>
            <w:shd w:val="clear" w:color="auto" w:fill="auto"/>
            <w:noWrap/>
            <w:vAlign w:val="center"/>
            <w:hideMark/>
          </w:tcPr>
          <w:p w14:paraId="31E22F9D"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w:t>
            </w:r>
          </w:p>
        </w:tc>
      </w:tr>
      <w:tr w:rsidR="00E76212" w:rsidRPr="008C63ED" w14:paraId="42AD86B4" w14:textId="77777777" w:rsidTr="00536426">
        <w:trPr>
          <w:trHeight w:val="449"/>
        </w:trPr>
        <w:tc>
          <w:tcPr>
            <w:tcW w:w="3969" w:type="dxa"/>
            <w:tcBorders>
              <w:top w:val="nil"/>
              <w:left w:val="nil"/>
              <w:bottom w:val="nil"/>
              <w:right w:val="nil"/>
            </w:tcBorders>
            <w:shd w:val="clear" w:color="auto" w:fill="auto"/>
            <w:vAlign w:val="center"/>
            <w:hideMark/>
          </w:tcPr>
          <w:p w14:paraId="166504B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Obec Gemerská Hôrka, Gemerská Hôrka 151, 049 12 Gemerská Hôrka </w:t>
            </w:r>
          </w:p>
        </w:tc>
        <w:tc>
          <w:tcPr>
            <w:tcW w:w="3828" w:type="dxa"/>
            <w:tcBorders>
              <w:top w:val="nil"/>
              <w:left w:val="nil"/>
              <w:bottom w:val="nil"/>
              <w:right w:val="nil"/>
            </w:tcBorders>
            <w:shd w:val="clear" w:color="auto" w:fill="auto"/>
            <w:vAlign w:val="center"/>
            <w:hideMark/>
          </w:tcPr>
          <w:p w14:paraId="3C73DD4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opravu miestnej komunikácie v obci</w:t>
            </w:r>
          </w:p>
        </w:tc>
        <w:tc>
          <w:tcPr>
            <w:tcW w:w="1559" w:type="dxa"/>
            <w:tcBorders>
              <w:top w:val="nil"/>
              <w:left w:val="nil"/>
              <w:bottom w:val="nil"/>
              <w:right w:val="nil"/>
            </w:tcBorders>
            <w:shd w:val="clear" w:color="auto" w:fill="auto"/>
            <w:noWrap/>
            <w:vAlign w:val="center"/>
            <w:hideMark/>
          </w:tcPr>
          <w:p w14:paraId="43FC574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w:t>
            </w:r>
          </w:p>
        </w:tc>
      </w:tr>
      <w:tr w:rsidR="00E76212" w:rsidRPr="008C63ED" w14:paraId="52C27202" w14:textId="77777777" w:rsidTr="00536426">
        <w:trPr>
          <w:trHeight w:val="329"/>
        </w:trPr>
        <w:tc>
          <w:tcPr>
            <w:tcW w:w="3969" w:type="dxa"/>
            <w:tcBorders>
              <w:top w:val="nil"/>
              <w:left w:val="nil"/>
              <w:bottom w:val="nil"/>
              <w:right w:val="nil"/>
            </w:tcBorders>
            <w:shd w:val="clear" w:color="auto" w:fill="auto"/>
            <w:vAlign w:val="center"/>
            <w:hideMark/>
          </w:tcPr>
          <w:p w14:paraId="1615728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Jamník, Jamník 101, 053 22 Jamník</w:t>
            </w:r>
          </w:p>
        </w:tc>
        <w:tc>
          <w:tcPr>
            <w:tcW w:w="3828" w:type="dxa"/>
            <w:tcBorders>
              <w:top w:val="nil"/>
              <w:left w:val="nil"/>
              <w:bottom w:val="nil"/>
              <w:right w:val="nil"/>
            </w:tcBorders>
            <w:shd w:val="clear" w:color="auto" w:fill="auto"/>
            <w:vAlign w:val="center"/>
            <w:hideMark/>
          </w:tcPr>
          <w:p w14:paraId="4FD81F7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nákup elektrospotrebičov pre potreby obce</w:t>
            </w:r>
          </w:p>
        </w:tc>
        <w:tc>
          <w:tcPr>
            <w:tcW w:w="1559" w:type="dxa"/>
            <w:tcBorders>
              <w:top w:val="nil"/>
              <w:left w:val="nil"/>
              <w:bottom w:val="nil"/>
              <w:right w:val="nil"/>
            </w:tcBorders>
            <w:shd w:val="clear" w:color="auto" w:fill="auto"/>
            <w:noWrap/>
            <w:vAlign w:val="center"/>
            <w:hideMark/>
          </w:tcPr>
          <w:p w14:paraId="313B80A1"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w:t>
            </w:r>
          </w:p>
        </w:tc>
      </w:tr>
      <w:tr w:rsidR="00E76212" w:rsidRPr="008C63ED" w14:paraId="65149764" w14:textId="77777777" w:rsidTr="00536426">
        <w:trPr>
          <w:trHeight w:val="329"/>
        </w:trPr>
        <w:tc>
          <w:tcPr>
            <w:tcW w:w="3969" w:type="dxa"/>
            <w:tcBorders>
              <w:top w:val="nil"/>
              <w:left w:val="nil"/>
              <w:bottom w:val="nil"/>
              <w:right w:val="nil"/>
            </w:tcBorders>
            <w:shd w:val="clear" w:color="auto" w:fill="auto"/>
            <w:vAlign w:val="center"/>
            <w:hideMark/>
          </w:tcPr>
          <w:p w14:paraId="089CA88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„Umenie deťom“, Dolný Val 202/12, 010 01 Žilina</w:t>
            </w:r>
          </w:p>
        </w:tc>
        <w:tc>
          <w:tcPr>
            <w:tcW w:w="3828" w:type="dxa"/>
            <w:tcBorders>
              <w:top w:val="nil"/>
              <w:left w:val="nil"/>
              <w:bottom w:val="nil"/>
              <w:right w:val="nil"/>
            </w:tcBorders>
            <w:shd w:val="clear" w:color="auto" w:fill="auto"/>
            <w:vAlign w:val="center"/>
            <w:hideMark/>
          </w:tcPr>
          <w:p w14:paraId="7CFAB2F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nákup </w:t>
            </w:r>
            <w:proofErr w:type="spellStart"/>
            <w:r w:rsidRPr="008C63ED">
              <w:rPr>
                <w:rFonts w:eastAsia="Times New Roman" w:cs="Times New Roman"/>
                <w:sz w:val="16"/>
                <w:szCs w:val="16"/>
                <w:lang w:eastAsia="sk-SK"/>
              </w:rPr>
              <w:t>zobcovej</w:t>
            </w:r>
            <w:proofErr w:type="spellEnd"/>
            <w:r w:rsidRPr="008C63ED">
              <w:rPr>
                <w:rFonts w:eastAsia="Times New Roman" w:cs="Times New Roman"/>
                <w:sz w:val="16"/>
                <w:szCs w:val="16"/>
                <w:lang w:eastAsia="sk-SK"/>
              </w:rPr>
              <w:t xml:space="preserve"> flauty pre talentovanú hudobníčku</w:t>
            </w:r>
          </w:p>
        </w:tc>
        <w:tc>
          <w:tcPr>
            <w:tcW w:w="1559" w:type="dxa"/>
            <w:tcBorders>
              <w:top w:val="nil"/>
              <w:left w:val="nil"/>
              <w:bottom w:val="nil"/>
              <w:right w:val="nil"/>
            </w:tcBorders>
            <w:shd w:val="clear" w:color="auto" w:fill="auto"/>
            <w:noWrap/>
            <w:vAlign w:val="center"/>
            <w:hideMark/>
          </w:tcPr>
          <w:p w14:paraId="38B078BC"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w:t>
            </w:r>
          </w:p>
        </w:tc>
      </w:tr>
      <w:tr w:rsidR="00E76212" w:rsidRPr="008C63ED" w14:paraId="3B1DC710" w14:textId="77777777" w:rsidTr="00536426">
        <w:trPr>
          <w:trHeight w:val="449"/>
        </w:trPr>
        <w:tc>
          <w:tcPr>
            <w:tcW w:w="3969" w:type="dxa"/>
            <w:tcBorders>
              <w:top w:val="nil"/>
              <w:left w:val="nil"/>
              <w:bottom w:val="nil"/>
              <w:right w:val="nil"/>
            </w:tcBorders>
            <w:shd w:val="clear" w:color="auto" w:fill="auto"/>
            <w:vAlign w:val="center"/>
            <w:hideMark/>
          </w:tcPr>
          <w:p w14:paraId="6200C20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DOMKA – Združenie saleziánskej mládeže, stredisko Bardejov, Námestie Svätej rodiny 3806/1, 085 01 Bardejov</w:t>
            </w:r>
          </w:p>
        </w:tc>
        <w:tc>
          <w:tcPr>
            <w:tcW w:w="3828" w:type="dxa"/>
            <w:tcBorders>
              <w:top w:val="nil"/>
              <w:left w:val="nil"/>
              <w:bottom w:val="nil"/>
              <w:right w:val="nil"/>
            </w:tcBorders>
            <w:shd w:val="clear" w:color="auto" w:fill="auto"/>
            <w:vAlign w:val="center"/>
            <w:hideMark/>
          </w:tcPr>
          <w:p w14:paraId="5220533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nákup hudobných nástrojov</w:t>
            </w:r>
          </w:p>
        </w:tc>
        <w:tc>
          <w:tcPr>
            <w:tcW w:w="1559" w:type="dxa"/>
            <w:tcBorders>
              <w:top w:val="nil"/>
              <w:left w:val="nil"/>
              <w:bottom w:val="nil"/>
              <w:right w:val="nil"/>
            </w:tcBorders>
            <w:shd w:val="clear" w:color="auto" w:fill="auto"/>
            <w:noWrap/>
            <w:vAlign w:val="center"/>
            <w:hideMark/>
          </w:tcPr>
          <w:p w14:paraId="3D247809"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w:t>
            </w:r>
          </w:p>
        </w:tc>
      </w:tr>
      <w:tr w:rsidR="00E76212" w:rsidRPr="008C63ED" w14:paraId="0BF20223" w14:textId="77777777" w:rsidTr="00536426">
        <w:trPr>
          <w:trHeight w:val="329"/>
        </w:trPr>
        <w:tc>
          <w:tcPr>
            <w:tcW w:w="3969" w:type="dxa"/>
            <w:tcBorders>
              <w:top w:val="nil"/>
              <w:left w:val="nil"/>
              <w:bottom w:val="nil"/>
              <w:right w:val="nil"/>
            </w:tcBorders>
            <w:shd w:val="clear" w:color="auto" w:fill="auto"/>
            <w:vAlign w:val="center"/>
            <w:hideMark/>
          </w:tcPr>
          <w:p w14:paraId="006A89D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Obec Kaľava, Kaľava 63, 053 42 Kaľava</w:t>
            </w:r>
          </w:p>
        </w:tc>
        <w:tc>
          <w:tcPr>
            <w:tcW w:w="3828" w:type="dxa"/>
            <w:tcBorders>
              <w:top w:val="nil"/>
              <w:left w:val="nil"/>
              <w:bottom w:val="nil"/>
              <w:right w:val="nil"/>
            </w:tcBorders>
            <w:shd w:val="clear" w:color="auto" w:fill="auto"/>
            <w:vAlign w:val="center"/>
            <w:hideMark/>
          </w:tcPr>
          <w:p w14:paraId="12365BC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nákup elektrospotrebičov pre potreby obce</w:t>
            </w:r>
          </w:p>
        </w:tc>
        <w:tc>
          <w:tcPr>
            <w:tcW w:w="1559" w:type="dxa"/>
            <w:tcBorders>
              <w:top w:val="nil"/>
              <w:left w:val="nil"/>
              <w:bottom w:val="nil"/>
              <w:right w:val="nil"/>
            </w:tcBorders>
            <w:shd w:val="clear" w:color="auto" w:fill="auto"/>
            <w:noWrap/>
            <w:vAlign w:val="center"/>
            <w:hideMark/>
          </w:tcPr>
          <w:p w14:paraId="4A6B2833"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w:t>
            </w:r>
          </w:p>
        </w:tc>
      </w:tr>
      <w:tr w:rsidR="00E76212" w:rsidRPr="008C63ED" w14:paraId="5761F331" w14:textId="77777777" w:rsidTr="00536426">
        <w:trPr>
          <w:trHeight w:val="449"/>
        </w:trPr>
        <w:tc>
          <w:tcPr>
            <w:tcW w:w="3969" w:type="dxa"/>
            <w:tcBorders>
              <w:top w:val="nil"/>
              <w:left w:val="nil"/>
              <w:bottom w:val="nil"/>
              <w:right w:val="nil"/>
            </w:tcBorders>
            <w:shd w:val="clear" w:color="auto" w:fill="auto"/>
            <w:vAlign w:val="center"/>
            <w:hideMark/>
          </w:tcPr>
          <w:p w14:paraId="5E48AD2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RK INLINECENTER, o. z., Adlerova 841/19, 040 22 Košice – mestská časť Dargovských hrdinov</w:t>
            </w:r>
          </w:p>
        </w:tc>
        <w:tc>
          <w:tcPr>
            <w:tcW w:w="3828" w:type="dxa"/>
            <w:tcBorders>
              <w:top w:val="nil"/>
              <w:left w:val="nil"/>
              <w:bottom w:val="nil"/>
              <w:right w:val="nil"/>
            </w:tcBorders>
            <w:shd w:val="clear" w:color="auto" w:fill="auto"/>
            <w:vAlign w:val="center"/>
            <w:hideMark/>
          </w:tcPr>
          <w:p w14:paraId="252803C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nákup príslušenstva pre </w:t>
            </w:r>
            <w:proofErr w:type="spellStart"/>
            <w:r w:rsidRPr="008C63ED">
              <w:rPr>
                <w:rFonts w:eastAsia="Times New Roman" w:cs="Times New Roman"/>
                <w:sz w:val="16"/>
                <w:szCs w:val="16"/>
                <w:lang w:eastAsia="sk-SK"/>
              </w:rPr>
              <w:t>inline</w:t>
            </w:r>
            <w:proofErr w:type="spellEnd"/>
            <w:r w:rsidRPr="008C63ED">
              <w:rPr>
                <w:rFonts w:eastAsia="Times New Roman" w:cs="Times New Roman"/>
                <w:sz w:val="16"/>
                <w:szCs w:val="16"/>
                <w:lang w:eastAsia="sk-SK"/>
              </w:rPr>
              <w:t xml:space="preserve"> korčuliarku</w:t>
            </w:r>
          </w:p>
        </w:tc>
        <w:tc>
          <w:tcPr>
            <w:tcW w:w="1559" w:type="dxa"/>
            <w:tcBorders>
              <w:top w:val="nil"/>
              <w:left w:val="nil"/>
              <w:bottom w:val="nil"/>
              <w:right w:val="nil"/>
            </w:tcBorders>
            <w:shd w:val="clear" w:color="auto" w:fill="auto"/>
            <w:noWrap/>
            <w:vAlign w:val="center"/>
            <w:hideMark/>
          </w:tcPr>
          <w:p w14:paraId="0B264CEE"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w:t>
            </w:r>
          </w:p>
        </w:tc>
      </w:tr>
      <w:tr w:rsidR="00E76212" w:rsidRPr="008C63ED" w14:paraId="4455346D" w14:textId="77777777" w:rsidTr="00536426">
        <w:trPr>
          <w:trHeight w:val="449"/>
        </w:trPr>
        <w:tc>
          <w:tcPr>
            <w:tcW w:w="3969" w:type="dxa"/>
            <w:tcBorders>
              <w:top w:val="nil"/>
              <w:left w:val="nil"/>
              <w:bottom w:val="nil"/>
              <w:right w:val="nil"/>
            </w:tcBorders>
            <w:shd w:val="clear" w:color="auto" w:fill="auto"/>
            <w:vAlign w:val="center"/>
            <w:hideMark/>
          </w:tcPr>
          <w:p w14:paraId="63BB897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TAEKWONDO KLUB Hnúšťa, o. z., 1.mája 909, 981 01 Hnúšťa</w:t>
            </w:r>
          </w:p>
        </w:tc>
        <w:tc>
          <w:tcPr>
            <w:tcW w:w="3828" w:type="dxa"/>
            <w:tcBorders>
              <w:top w:val="nil"/>
              <w:left w:val="nil"/>
              <w:bottom w:val="nil"/>
              <w:right w:val="nil"/>
            </w:tcBorders>
            <w:shd w:val="clear" w:color="auto" w:fill="auto"/>
            <w:vAlign w:val="center"/>
            <w:hideMark/>
          </w:tcPr>
          <w:p w14:paraId="2C96C02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účasť </w:t>
            </w:r>
            <w:proofErr w:type="spellStart"/>
            <w:r w:rsidRPr="008C63ED">
              <w:rPr>
                <w:rFonts w:eastAsia="Times New Roman" w:cs="Times New Roman"/>
                <w:sz w:val="16"/>
                <w:szCs w:val="16"/>
                <w:lang w:eastAsia="sk-SK"/>
              </w:rPr>
              <w:t>taekwondistky</w:t>
            </w:r>
            <w:proofErr w:type="spellEnd"/>
            <w:r w:rsidRPr="008C63ED">
              <w:rPr>
                <w:rFonts w:eastAsia="Times New Roman" w:cs="Times New Roman"/>
                <w:sz w:val="16"/>
                <w:szCs w:val="16"/>
                <w:lang w:eastAsia="sk-SK"/>
              </w:rPr>
              <w:t xml:space="preserve"> na Majstrovstvách Európy 2023 </w:t>
            </w:r>
          </w:p>
        </w:tc>
        <w:tc>
          <w:tcPr>
            <w:tcW w:w="1559" w:type="dxa"/>
            <w:tcBorders>
              <w:top w:val="nil"/>
              <w:left w:val="nil"/>
              <w:bottom w:val="nil"/>
              <w:right w:val="nil"/>
            </w:tcBorders>
            <w:shd w:val="clear" w:color="auto" w:fill="auto"/>
            <w:noWrap/>
            <w:vAlign w:val="center"/>
            <w:hideMark/>
          </w:tcPr>
          <w:p w14:paraId="2E566B0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w:t>
            </w:r>
          </w:p>
        </w:tc>
      </w:tr>
      <w:tr w:rsidR="00E76212" w:rsidRPr="008C63ED" w14:paraId="7152AA8E" w14:textId="77777777" w:rsidTr="00536426">
        <w:trPr>
          <w:trHeight w:val="329"/>
        </w:trPr>
        <w:tc>
          <w:tcPr>
            <w:tcW w:w="3969" w:type="dxa"/>
            <w:tcBorders>
              <w:top w:val="nil"/>
              <w:left w:val="nil"/>
              <w:bottom w:val="nil"/>
              <w:right w:val="nil"/>
            </w:tcBorders>
            <w:shd w:val="clear" w:color="auto" w:fill="auto"/>
            <w:vAlign w:val="center"/>
            <w:hideMark/>
          </w:tcPr>
          <w:p w14:paraId="13C9129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Obec Hrušov, Hrušov č.5, 049 43 Hrušov </w:t>
            </w:r>
          </w:p>
        </w:tc>
        <w:tc>
          <w:tcPr>
            <w:tcW w:w="3828" w:type="dxa"/>
            <w:tcBorders>
              <w:top w:val="nil"/>
              <w:left w:val="nil"/>
              <w:bottom w:val="nil"/>
              <w:right w:val="nil"/>
            </w:tcBorders>
            <w:shd w:val="clear" w:color="auto" w:fill="auto"/>
            <w:vAlign w:val="center"/>
            <w:hideMark/>
          </w:tcPr>
          <w:p w14:paraId="23DBE2C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opravu ústredného kúrenia v budove obecného úradu</w:t>
            </w:r>
          </w:p>
        </w:tc>
        <w:tc>
          <w:tcPr>
            <w:tcW w:w="1559" w:type="dxa"/>
            <w:tcBorders>
              <w:top w:val="nil"/>
              <w:left w:val="nil"/>
              <w:bottom w:val="nil"/>
              <w:right w:val="nil"/>
            </w:tcBorders>
            <w:shd w:val="clear" w:color="auto" w:fill="auto"/>
            <w:noWrap/>
            <w:vAlign w:val="center"/>
            <w:hideMark/>
          </w:tcPr>
          <w:p w14:paraId="4597F304"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w:t>
            </w:r>
          </w:p>
        </w:tc>
      </w:tr>
      <w:tr w:rsidR="00E76212" w:rsidRPr="008C63ED" w14:paraId="74C1E770" w14:textId="77777777" w:rsidTr="00536426">
        <w:trPr>
          <w:trHeight w:val="673"/>
        </w:trPr>
        <w:tc>
          <w:tcPr>
            <w:tcW w:w="3969" w:type="dxa"/>
            <w:tcBorders>
              <w:top w:val="nil"/>
              <w:left w:val="nil"/>
              <w:bottom w:val="nil"/>
              <w:right w:val="nil"/>
            </w:tcBorders>
            <w:shd w:val="clear" w:color="auto" w:fill="auto"/>
            <w:vAlign w:val="center"/>
            <w:hideMark/>
          </w:tcPr>
          <w:p w14:paraId="0B65FC1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Rímskokatolícka cirkev, Bratislavská arcidiecéza, Špitálska 2182/7, 814 92 Bratislava – mestská časť Staré Mesto</w:t>
            </w:r>
          </w:p>
        </w:tc>
        <w:tc>
          <w:tcPr>
            <w:tcW w:w="3828" w:type="dxa"/>
            <w:tcBorders>
              <w:top w:val="nil"/>
              <w:left w:val="nil"/>
              <w:bottom w:val="nil"/>
              <w:right w:val="nil"/>
            </w:tcBorders>
            <w:shd w:val="clear" w:color="auto" w:fill="auto"/>
            <w:vAlign w:val="center"/>
            <w:hideMark/>
          </w:tcPr>
          <w:p w14:paraId="628453B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Pre Základnú umeleckú školu sv. Cecílie, Chlumeckého 10, Bratislava na nákup flauty a účasť na súťažiach pre talentovanú hudobníčku</w:t>
            </w:r>
          </w:p>
        </w:tc>
        <w:tc>
          <w:tcPr>
            <w:tcW w:w="1559" w:type="dxa"/>
            <w:tcBorders>
              <w:top w:val="nil"/>
              <w:left w:val="nil"/>
              <w:bottom w:val="nil"/>
              <w:right w:val="nil"/>
            </w:tcBorders>
            <w:shd w:val="clear" w:color="auto" w:fill="auto"/>
            <w:noWrap/>
            <w:vAlign w:val="center"/>
            <w:hideMark/>
          </w:tcPr>
          <w:p w14:paraId="098CAC7D"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w:t>
            </w:r>
          </w:p>
        </w:tc>
      </w:tr>
      <w:tr w:rsidR="00E76212" w:rsidRPr="008C63ED" w14:paraId="42DAC0B5" w14:textId="77777777" w:rsidTr="00536426">
        <w:trPr>
          <w:trHeight w:val="374"/>
        </w:trPr>
        <w:tc>
          <w:tcPr>
            <w:tcW w:w="7797" w:type="dxa"/>
            <w:gridSpan w:val="2"/>
            <w:tcBorders>
              <w:top w:val="single" w:sz="4" w:space="0" w:color="auto"/>
              <w:left w:val="nil"/>
              <w:bottom w:val="single" w:sz="4" w:space="0" w:color="auto"/>
              <w:right w:val="nil"/>
            </w:tcBorders>
            <w:shd w:val="clear" w:color="000000" w:fill="FFFFFF"/>
            <w:vAlign w:val="center"/>
            <w:hideMark/>
          </w:tcPr>
          <w:p w14:paraId="4DD89E16"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 celkom</w:t>
            </w:r>
          </w:p>
        </w:tc>
        <w:tc>
          <w:tcPr>
            <w:tcW w:w="1559" w:type="dxa"/>
            <w:tcBorders>
              <w:top w:val="single" w:sz="4" w:space="0" w:color="auto"/>
              <w:left w:val="nil"/>
              <w:bottom w:val="single" w:sz="4" w:space="0" w:color="auto"/>
              <w:right w:val="nil"/>
            </w:tcBorders>
            <w:shd w:val="clear" w:color="000000" w:fill="FFFFFF"/>
            <w:vAlign w:val="center"/>
            <w:hideMark/>
          </w:tcPr>
          <w:p w14:paraId="0A358923"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1 968</w:t>
            </w:r>
          </w:p>
        </w:tc>
      </w:tr>
      <w:tr w:rsidR="00E76212" w:rsidRPr="0035337C" w14:paraId="15036C91" w14:textId="77777777" w:rsidTr="00536426">
        <w:trPr>
          <w:trHeight w:val="329"/>
        </w:trPr>
        <w:tc>
          <w:tcPr>
            <w:tcW w:w="3969" w:type="dxa"/>
            <w:tcBorders>
              <w:top w:val="nil"/>
              <w:left w:val="nil"/>
              <w:bottom w:val="nil"/>
              <w:right w:val="nil"/>
            </w:tcBorders>
            <w:shd w:val="clear" w:color="auto" w:fill="auto"/>
            <w:noWrap/>
            <w:vAlign w:val="bottom"/>
            <w:hideMark/>
          </w:tcPr>
          <w:p w14:paraId="5D1FB40C" w14:textId="77777777" w:rsidR="00E76212" w:rsidRPr="0035337C" w:rsidRDefault="00E76212" w:rsidP="00D2560E">
            <w:pPr>
              <w:spacing w:after="0" w:line="240" w:lineRule="auto"/>
              <w:jc w:val="center"/>
              <w:rPr>
                <w:rFonts w:eastAsia="Times New Roman" w:cs="Times New Roman"/>
                <w:b/>
                <w:bCs/>
                <w:sz w:val="18"/>
                <w:szCs w:val="18"/>
                <w:lang w:eastAsia="sk-SK"/>
              </w:rPr>
            </w:pPr>
          </w:p>
        </w:tc>
        <w:tc>
          <w:tcPr>
            <w:tcW w:w="3828" w:type="dxa"/>
            <w:tcBorders>
              <w:top w:val="nil"/>
              <w:left w:val="nil"/>
              <w:bottom w:val="nil"/>
              <w:right w:val="nil"/>
            </w:tcBorders>
            <w:shd w:val="clear" w:color="auto" w:fill="auto"/>
            <w:noWrap/>
            <w:vAlign w:val="bottom"/>
            <w:hideMark/>
          </w:tcPr>
          <w:p w14:paraId="244B1776" w14:textId="77777777" w:rsidR="00E76212" w:rsidRPr="0035337C" w:rsidRDefault="00E76212" w:rsidP="00D2560E">
            <w:pPr>
              <w:spacing w:after="0" w:line="240" w:lineRule="auto"/>
              <w:rPr>
                <w:rFonts w:eastAsia="Times New Roman" w:cs="Times New Roman"/>
                <w:sz w:val="18"/>
                <w:szCs w:val="18"/>
                <w:lang w:eastAsia="sk-SK"/>
              </w:rPr>
            </w:pPr>
          </w:p>
        </w:tc>
        <w:tc>
          <w:tcPr>
            <w:tcW w:w="1559" w:type="dxa"/>
            <w:tcBorders>
              <w:top w:val="nil"/>
              <w:left w:val="nil"/>
              <w:bottom w:val="nil"/>
              <w:right w:val="nil"/>
            </w:tcBorders>
            <w:shd w:val="clear" w:color="auto" w:fill="auto"/>
            <w:noWrap/>
            <w:vAlign w:val="center"/>
            <w:hideMark/>
          </w:tcPr>
          <w:p w14:paraId="6FCFE14E" w14:textId="77777777" w:rsidR="00E76212" w:rsidRPr="0035337C" w:rsidRDefault="00E76212" w:rsidP="00D2560E">
            <w:pPr>
              <w:spacing w:after="0" w:line="240" w:lineRule="auto"/>
              <w:jc w:val="right"/>
              <w:rPr>
                <w:rFonts w:eastAsia="Times New Roman" w:cs="Times New Roman"/>
                <w:iCs/>
                <w:sz w:val="18"/>
                <w:szCs w:val="18"/>
                <w:lang w:eastAsia="sk-SK"/>
              </w:rPr>
            </w:pPr>
            <w:r w:rsidRPr="0035337C">
              <w:rPr>
                <w:rFonts w:eastAsia="Times New Roman" w:cs="Times New Roman"/>
                <w:iCs/>
                <w:sz w:val="18"/>
                <w:szCs w:val="18"/>
                <w:lang w:eastAsia="sk-SK"/>
              </w:rPr>
              <w:t>Zdroj: ÚV SR</w:t>
            </w:r>
          </w:p>
        </w:tc>
      </w:tr>
    </w:tbl>
    <w:p w14:paraId="3F68BAA3" w14:textId="77777777" w:rsidR="00E76212" w:rsidRPr="00F43BB8" w:rsidRDefault="00E76212" w:rsidP="009819F0">
      <w:pPr>
        <w:tabs>
          <w:tab w:val="left" w:pos="0"/>
          <w:tab w:val="left" w:pos="720"/>
          <w:tab w:val="left" w:pos="1440"/>
          <w:tab w:val="left" w:pos="2160"/>
          <w:tab w:val="left" w:pos="2880"/>
          <w:tab w:val="left" w:pos="3600"/>
          <w:tab w:val="left" w:pos="4320"/>
        </w:tabs>
        <w:adjustRightInd w:val="0"/>
        <w:spacing w:line="240" w:lineRule="auto"/>
        <w:rPr>
          <w:rFonts w:cs="Times New Roman"/>
          <w:b/>
          <w:iCs/>
          <w:sz w:val="24"/>
          <w:szCs w:val="24"/>
        </w:rPr>
      </w:pPr>
      <w:r w:rsidRPr="00F43BB8">
        <w:rPr>
          <w:rFonts w:cs="Times New Roman"/>
          <w:b/>
          <w:iCs/>
          <w:sz w:val="24"/>
          <w:szCs w:val="24"/>
        </w:rPr>
        <w:t>Rezerva na prostriedky Európskej únie a odvody Európskej únii</w:t>
      </w:r>
    </w:p>
    <w:p w14:paraId="2FCCCF64" w14:textId="77777777" w:rsidR="00E76212" w:rsidRPr="00F43BB8" w:rsidRDefault="00E76212" w:rsidP="009819F0">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F43BB8">
        <w:rPr>
          <w:rFonts w:eastAsia="Times New Roman" w:cs="Times New Roman"/>
          <w:color w:val="000000"/>
          <w:sz w:val="24"/>
          <w:szCs w:val="24"/>
          <w:lang w:eastAsia="cs-CZ"/>
        </w:rPr>
        <w:t>Rezerva na prostriedky Európskej únie a odvody Európskej únii bola rozpočtovaná v sume 404</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870</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tis.</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eur. V súlade s § 8 ods. 6 zákona č. 523/2004 Z. z. sa povolilo prekročenie limitu výdavkov z predchádzajúcich rokov v sume 53</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423</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tis.</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 xml:space="preserve">eur. </w:t>
      </w:r>
    </w:p>
    <w:p w14:paraId="5F3CF070" w14:textId="77777777" w:rsidR="00E76212" w:rsidRPr="00F43BB8"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F43BB8">
        <w:rPr>
          <w:rFonts w:eastAsia="Times New Roman" w:cs="Times New Roman"/>
          <w:color w:val="000000"/>
          <w:sz w:val="24"/>
          <w:szCs w:val="24"/>
          <w:lang w:eastAsia="cs-CZ"/>
        </w:rPr>
        <w:t>Formou platobných príkazov sa na vyrovnávacie účty vedené v Štátnej pokladnici previedla suma 12</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453</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tis.</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eur, najmä na úhradu zrážkovej dane z úroku a bankových poplatkov.</w:t>
      </w:r>
    </w:p>
    <w:p w14:paraId="3FE0F2F9" w14:textId="77777777" w:rsidR="00E76212" w:rsidRPr="00F43BB8"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F43BB8">
        <w:rPr>
          <w:rFonts w:eastAsia="Times New Roman" w:cs="Times New Roman"/>
          <w:color w:val="000000"/>
          <w:sz w:val="24"/>
          <w:szCs w:val="24"/>
          <w:lang w:eastAsia="cs-CZ"/>
        </w:rPr>
        <w:t>Na vysporiadanie individuálnych a systémových nezrovnalostí sa jednotlivým kapitolám štátneho rozpočtu uvoľnili prostriedky v sume 85</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775</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tis.</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eur.</w:t>
      </w:r>
    </w:p>
    <w:p w14:paraId="33D5FEB8" w14:textId="77777777" w:rsidR="00E76212" w:rsidRPr="00F43BB8"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F43BB8">
        <w:rPr>
          <w:rFonts w:eastAsia="Times New Roman" w:cs="Times New Roman"/>
          <w:color w:val="000000"/>
          <w:sz w:val="24"/>
          <w:szCs w:val="24"/>
          <w:lang w:eastAsia="cs-CZ"/>
        </w:rPr>
        <w:t>Suma 249</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370</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tis.</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 xml:space="preserve">eur pôvodne rozpočtovaná na splatenie úrokov z omeškania vyplývajúca zo straty na tradičných vlastných zdrojoch, ktorej istina sa zaplatila v roku 2021, bola z dôvodu </w:t>
      </w:r>
      <w:r w:rsidRPr="00F43BB8">
        <w:rPr>
          <w:rFonts w:eastAsia="Times New Roman" w:cs="Times New Roman"/>
          <w:color w:val="000000"/>
          <w:sz w:val="24"/>
          <w:szCs w:val="24"/>
          <w:lang w:eastAsia="cs-CZ"/>
        </w:rPr>
        <w:lastRenderedPageBreak/>
        <w:t>zdĺhavého procesu negociácií k splateniu úrokov z omeškania v roku 2023 presunutá na iné účely.</w:t>
      </w:r>
    </w:p>
    <w:p w14:paraId="33999E87" w14:textId="77777777" w:rsidR="00E76212" w:rsidRPr="00F43BB8"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F43BB8">
        <w:rPr>
          <w:rFonts w:eastAsia="Times New Roman" w:cs="Times New Roman"/>
          <w:color w:val="000000"/>
          <w:sz w:val="24"/>
          <w:szCs w:val="24"/>
          <w:lang w:eastAsia="cs-CZ"/>
        </w:rPr>
        <w:t>Z uvedenej rezervy sa realizoval presun v rámci kapitoly Všeobecná pokladničná správa v celkovej sume 348</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595</w:t>
      </w:r>
      <w:r>
        <w:rPr>
          <w:rFonts w:eastAsia="Times New Roman" w:cs="Times New Roman"/>
          <w:color w:val="000000"/>
          <w:sz w:val="24"/>
          <w:szCs w:val="24"/>
          <w:lang w:eastAsia="cs-CZ"/>
        </w:rPr>
        <w:t> tis. eur. Z toho v sume 119 370 tis. </w:t>
      </w:r>
      <w:r w:rsidRPr="00F43BB8">
        <w:rPr>
          <w:rFonts w:eastAsia="Times New Roman" w:cs="Times New Roman"/>
          <w:color w:val="000000"/>
          <w:sz w:val="24"/>
          <w:szCs w:val="24"/>
          <w:lang w:eastAsia="cs-CZ"/>
        </w:rPr>
        <w:t xml:space="preserve">eur na titul </w:t>
      </w:r>
      <w:r w:rsidRPr="00F43BB8">
        <w:rPr>
          <w:rFonts w:eastAsia="Times New Roman" w:cs="Times New Roman"/>
          <w:i/>
          <w:color w:val="000000"/>
          <w:sz w:val="24"/>
          <w:szCs w:val="24"/>
          <w:lang w:eastAsia="cs-CZ"/>
        </w:rPr>
        <w:t>Výdavky na realizáciu nerozpočtovaných potrieb</w:t>
      </w:r>
      <w:r>
        <w:rPr>
          <w:rFonts w:eastAsia="Times New Roman" w:cs="Times New Roman"/>
          <w:color w:val="000000"/>
          <w:sz w:val="24"/>
          <w:szCs w:val="24"/>
          <w:lang w:eastAsia="cs-CZ"/>
        </w:rPr>
        <w:t xml:space="preserve"> a v sume 60 000 tis. </w:t>
      </w:r>
      <w:r w:rsidRPr="00F43BB8">
        <w:rPr>
          <w:rFonts w:eastAsia="Times New Roman" w:cs="Times New Roman"/>
          <w:color w:val="000000"/>
          <w:sz w:val="24"/>
          <w:szCs w:val="24"/>
          <w:lang w:eastAsia="cs-CZ"/>
        </w:rPr>
        <w:t xml:space="preserve">eur na </w:t>
      </w:r>
      <w:r w:rsidRPr="00F43BB8">
        <w:rPr>
          <w:rFonts w:eastAsia="Times New Roman" w:cs="Times New Roman"/>
          <w:i/>
          <w:color w:val="000000"/>
          <w:sz w:val="24"/>
          <w:szCs w:val="24"/>
          <w:lang w:eastAsia="cs-CZ"/>
        </w:rPr>
        <w:t>Výdavky na dotácie,</w:t>
      </w:r>
      <w:r w:rsidRPr="00F43BB8">
        <w:rPr>
          <w:rFonts w:eastAsia="Times New Roman" w:cs="Times New Roman"/>
          <w:color w:val="000000"/>
          <w:sz w:val="24"/>
          <w:szCs w:val="24"/>
          <w:lang w:eastAsia="cs-CZ"/>
        </w:rPr>
        <w:t xml:space="preserve"> najmä na zabezpečenie finančného krytia výdavkov vyplývajúcich zo schválených uznesení vlády Slovenskej republiky, z realizácie aktivít Programového vyhlásenia vlády a z ostatných požiadaviek kapitol štátneho rozpočtu, v sume 100</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000</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 xml:space="preserve">tis. eur na zabezpečenie platobnej schopnosti </w:t>
      </w:r>
      <w:r w:rsidRPr="00F43BB8">
        <w:rPr>
          <w:rFonts w:eastAsia="Times New Roman" w:cs="Times New Roman"/>
          <w:i/>
          <w:color w:val="000000"/>
          <w:sz w:val="24"/>
          <w:szCs w:val="24"/>
          <w:lang w:eastAsia="cs-CZ"/>
        </w:rPr>
        <w:t xml:space="preserve">Sociálnej poisťovne </w:t>
      </w:r>
      <w:r w:rsidRPr="00F43BB8">
        <w:rPr>
          <w:rFonts w:eastAsia="Times New Roman" w:cs="Times New Roman"/>
          <w:color w:val="000000"/>
          <w:sz w:val="24"/>
          <w:szCs w:val="24"/>
          <w:lang w:eastAsia="cs-CZ"/>
        </w:rPr>
        <w:t>v nadväznosti na zákon č. 461/2003 Z. z. o sociálnom poistení v znení neskorších predpi</w:t>
      </w:r>
      <w:r>
        <w:rPr>
          <w:rFonts w:eastAsia="Times New Roman" w:cs="Times New Roman"/>
          <w:color w:val="000000"/>
          <w:sz w:val="24"/>
          <w:szCs w:val="24"/>
          <w:lang w:eastAsia="cs-CZ"/>
        </w:rPr>
        <w:t xml:space="preserve">sov, v sume 39 560 tis. eur na </w:t>
      </w:r>
      <w:r w:rsidRPr="00F43BB8">
        <w:rPr>
          <w:rFonts w:eastAsia="Times New Roman" w:cs="Times New Roman"/>
          <w:i/>
          <w:color w:val="000000"/>
          <w:sz w:val="24"/>
          <w:szCs w:val="24"/>
          <w:lang w:eastAsia="cs-CZ"/>
        </w:rPr>
        <w:t>Rezervu na riešenie vplyvov legislatívnych zmien</w:t>
      </w:r>
      <w:r w:rsidRPr="00F43BB8">
        <w:rPr>
          <w:rFonts w:eastAsia="Times New Roman" w:cs="Times New Roman"/>
          <w:color w:val="000000"/>
          <w:sz w:val="24"/>
          <w:szCs w:val="24"/>
          <w:lang w:eastAsia="cs-CZ"/>
        </w:rPr>
        <w:t xml:space="preserve"> na zabezpečenie vyplatenia 13. dôchodku podľa novely zákona č. 296/2020 Z. z. o 13. dôchodku a o zmene a doplnení niektorých zákonov a v sume 10</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000</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tis.</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 xml:space="preserve">eur na </w:t>
      </w:r>
      <w:r w:rsidRPr="00F43BB8">
        <w:rPr>
          <w:rFonts w:eastAsia="Times New Roman" w:cs="Times New Roman"/>
          <w:i/>
          <w:color w:val="000000"/>
          <w:sz w:val="24"/>
          <w:szCs w:val="24"/>
          <w:lang w:eastAsia="cs-CZ"/>
        </w:rPr>
        <w:t xml:space="preserve">Rezervu na výdavky súvisiace s vojnovým konfliktom na Ukrajine </w:t>
      </w:r>
      <w:r w:rsidRPr="00F43BB8">
        <w:rPr>
          <w:rFonts w:eastAsia="Times New Roman" w:cs="Times New Roman"/>
          <w:color w:val="000000"/>
          <w:sz w:val="24"/>
          <w:szCs w:val="24"/>
          <w:lang w:eastAsia="cs-CZ"/>
        </w:rPr>
        <w:t>na zabezpečenie finančného krytia výdavkov vyplývajúcich z požiadaviek rezortov. Záro</w:t>
      </w:r>
      <w:r>
        <w:rPr>
          <w:rFonts w:eastAsia="Times New Roman" w:cs="Times New Roman"/>
          <w:color w:val="000000"/>
          <w:sz w:val="24"/>
          <w:szCs w:val="24"/>
          <w:lang w:eastAsia="cs-CZ"/>
        </w:rPr>
        <w:t xml:space="preserve">veň </w:t>
      </w:r>
      <w:r w:rsidRPr="00F43BB8">
        <w:rPr>
          <w:rFonts w:eastAsia="Times New Roman" w:cs="Times New Roman"/>
          <w:color w:val="000000"/>
          <w:sz w:val="24"/>
          <w:szCs w:val="24"/>
          <w:lang w:eastAsia="cs-CZ"/>
        </w:rPr>
        <w:t>bol v sume 19</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665</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tis.</w:t>
      </w:r>
      <w:r>
        <w:rPr>
          <w:rFonts w:eastAsia="Times New Roman" w:cs="Times New Roman"/>
          <w:color w:val="000000"/>
          <w:sz w:val="24"/>
          <w:szCs w:val="24"/>
          <w:lang w:eastAsia="cs-CZ"/>
        </w:rPr>
        <w:t> </w:t>
      </w:r>
      <w:r w:rsidRPr="00F43BB8">
        <w:rPr>
          <w:rFonts w:eastAsia="Times New Roman" w:cs="Times New Roman"/>
          <w:color w:val="000000"/>
          <w:sz w:val="24"/>
          <w:szCs w:val="24"/>
          <w:lang w:eastAsia="cs-CZ"/>
        </w:rPr>
        <w:t xml:space="preserve">eur realizovaný presun na výdavkový titul </w:t>
      </w:r>
      <w:r w:rsidRPr="00F43BB8">
        <w:rPr>
          <w:rFonts w:eastAsia="Times New Roman" w:cs="Times New Roman"/>
          <w:i/>
          <w:color w:val="000000"/>
          <w:sz w:val="24"/>
          <w:szCs w:val="24"/>
          <w:lang w:eastAsia="cs-CZ"/>
        </w:rPr>
        <w:t xml:space="preserve">Výdavky na vybrané investície </w:t>
      </w:r>
      <w:r w:rsidRPr="00F43BB8">
        <w:rPr>
          <w:rFonts w:eastAsia="Times New Roman" w:cs="Times New Roman"/>
          <w:color w:val="000000"/>
          <w:sz w:val="24"/>
          <w:szCs w:val="24"/>
          <w:lang w:eastAsia="cs-CZ"/>
        </w:rPr>
        <w:t>na použitie v nasledujúcom rozpočtovom roku.</w:t>
      </w:r>
    </w:p>
    <w:p w14:paraId="27637809" w14:textId="77777777" w:rsidR="00E76212" w:rsidRPr="00F43BB8"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F43BB8">
        <w:rPr>
          <w:rFonts w:eastAsia="Times New Roman" w:cs="Times New Roman"/>
          <w:color w:val="000000"/>
          <w:sz w:val="24"/>
          <w:szCs w:val="24"/>
          <w:lang w:eastAsia="cs-CZ"/>
        </w:rPr>
        <w:t>Podľa § 8 ods. 6 zákona č. 523/2004 Z. z. boli ne</w:t>
      </w:r>
      <w:r>
        <w:rPr>
          <w:rFonts w:eastAsia="Times New Roman" w:cs="Times New Roman"/>
          <w:color w:val="000000"/>
          <w:sz w:val="24"/>
          <w:szCs w:val="24"/>
          <w:lang w:eastAsia="cs-CZ"/>
        </w:rPr>
        <w:t>vyčerpané prostriedky rezervy v </w:t>
      </w:r>
      <w:r w:rsidRPr="00F43BB8">
        <w:rPr>
          <w:rFonts w:eastAsia="Times New Roman" w:cs="Times New Roman"/>
          <w:color w:val="000000"/>
          <w:sz w:val="24"/>
          <w:szCs w:val="24"/>
          <w:lang w:eastAsia="cs-CZ"/>
        </w:rPr>
        <w:t xml:space="preserve">sume </w:t>
      </w:r>
      <w:r>
        <w:rPr>
          <w:rFonts w:eastAsia="Times New Roman" w:cs="Times New Roman"/>
          <w:color w:val="000000"/>
          <w:sz w:val="24"/>
          <w:szCs w:val="24"/>
          <w:lang w:eastAsia="cs-CZ"/>
        </w:rPr>
        <w:t>11 470 tis. </w:t>
      </w:r>
      <w:r w:rsidRPr="00F43BB8">
        <w:rPr>
          <w:rFonts w:eastAsia="Times New Roman" w:cs="Times New Roman"/>
          <w:color w:val="000000"/>
          <w:sz w:val="24"/>
          <w:szCs w:val="24"/>
          <w:lang w:eastAsia="cs-CZ"/>
        </w:rPr>
        <w:t>eur viazané na použitie v nasledujúcom rozpočtovom roku.</w:t>
      </w:r>
    </w:p>
    <w:p w14:paraId="2E00C6B0" w14:textId="7292DC69" w:rsidR="00E76212" w:rsidRPr="00F43BB8"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F43BB8">
        <w:rPr>
          <w:rFonts w:eastAsia="Times New Roman" w:cs="Times New Roman"/>
          <w:color w:val="000000"/>
          <w:sz w:val="24"/>
          <w:szCs w:val="24"/>
          <w:lang w:eastAsia="cs-CZ"/>
        </w:rPr>
        <w:t xml:space="preserve">Podrobné informácie o uvoľnených prostriedkoch jednotlivým kapitolám štátneho rozpočtu </w:t>
      </w:r>
      <w:r>
        <w:rPr>
          <w:rFonts w:eastAsia="Times New Roman" w:cs="Times New Roman"/>
          <w:color w:val="000000"/>
          <w:sz w:val="24"/>
          <w:szCs w:val="24"/>
          <w:lang w:eastAsia="cs-CZ"/>
        </w:rPr>
        <w:t>na </w:t>
      </w:r>
      <w:r w:rsidRPr="00F43BB8">
        <w:rPr>
          <w:rFonts w:eastAsia="Times New Roman" w:cs="Times New Roman"/>
          <w:color w:val="000000"/>
          <w:sz w:val="24"/>
          <w:szCs w:val="24"/>
          <w:lang w:eastAsia="cs-CZ"/>
        </w:rPr>
        <w:t>vysporiadanie individuálnych a systémových nezrovnalostí sú prezentované v </w:t>
      </w:r>
      <w:r w:rsidRPr="00DD022A">
        <w:rPr>
          <w:rFonts w:eastAsia="Times New Roman" w:cs="Times New Roman"/>
          <w:color w:val="000000"/>
          <w:sz w:val="24"/>
          <w:szCs w:val="24"/>
          <w:lang w:eastAsia="cs-CZ"/>
        </w:rPr>
        <w:t xml:space="preserve">Tabuľke </w:t>
      </w:r>
      <w:r w:rsidR="00DD022A">
        <w:rPr>
          <w:rFonts w:eastAsia="Times New Roman" w:cs="Times New Roman"/>
          <w:color w:val="000000"/>
          <w:sz w:val="24"/>
          <w:szCs w:val="24"/>
          <w:lang w:eastAsia="cs-CZ"/>
        </w:rPr>
        <w:t>54</w:t>
      </w:r>
      <w:r w:rsidRPr="00F43BB8">
        <w:rPr>
          <w:rFonts w:eastAsia="Times New Roman" w:cs="Times New Roman"/>
          <w:color w:val="000000"/>
          <w:sz w:val="24"/>
          <w:szCs w:val="24"/>
          <w:lang w:eastAsia="cs-CZ"/>
        </w:rPr>
        <w:t>.</w:t>
      </w:r>
    </w:p>
    <w:p w14:paraId="6ED32A79" w14:textId="06B179F8" w:rsidR="00E76212" w:rsidRPr="00F43BB8" w:rsidRDefault="00E76212" w:rsidP="008172CD">
      <w:pPr>
        <w:spacing w:line="240" w:lineRule="auto"/>
        <w:rPr>
          <w:b/>
          <w:bCs/>
          <w:color w:val="5B9BD5"/>
          <w:sz w:val="20"/>
          <w:szCs w:val="20"/>
        </w:rPr>
      </w:pPr>
      <w:r w:rsidRPr="00F43BB8">
        <w:rPr>
          <w:b/>
          <w:bCs/>
          <w:color w:val="5B9BD5"/>
          <w:sz w:val="20"/>
          <w:szCs w:val="20"/>
        </w:rPr>
        <w:t xml:space="preserve">Tabuľka </w:t>
      </w:r>
      <w:r w:rsidR="00DD022A">
        <w:rPr>
          <w:b/>
          <w:bCs/>
          <w:color w:val="5B9BD5"/>
          <w:sz w:val="20"/>
          <w:szCs w:val="20"/>
        </w:rPr>
        <w:t>54</w:t>
      </w:r>
      <w:r w:rsidRPr="00F43BB8">
        <w:rPr>
          <w:b/>
          <w:bCs/>
          <w:color w:val="5B9BD5"/>
          <w:sz w:val="20"/>
          <w:szCs w:val="20"/>
        </w:rPr>
        <w:t xml:space="preserve"> - Rezerva na prostriedky Európskej únie a odvody Európskej únii </w:t>
      </w:r>
    </w:p>
    <w:tbl>
      <w:tblPr>
        <w:tblW w:w="9381" w:type="dxa"/>
        <w:tblInd w:w="18" w:type="dxa"/>
        <w:tblCellMar>
          <w:left w:w="70" w:type="dxa"/>
          <w:right w:w="70" w:type="dxa"/>
        </w:tblCellMar>
        <w:tblLook w:val="04A0" w:firstRow="1" w:lastRow="0" w:firstColumn="1" w:lastColumn="0" w:noHBand="0" w:noVBand="1"/>
      </w:tblPr>
      <w:tblGrid>
        <w:gridCol w:w="1305"/>
        <w:gridCol w:w="6497"/>
        <w:gridCol w:w="1579"/>
      </w:tblGrid>
      <w:tr w:rsidR="00E76212" w:rsidRPr="008C63ED" w14:paraId="5F43F63A" w14:textId="77777777" w:rsidTr="00D2560E">
        <w:trPr>
          <w:trHeight w:val="330"/>
        </w:trPr>
        <w:tc>
          <w:tcPr>
            <w:tcW w:w="1305" w:type="dxa"/>
            <w:tcBorders>
              <w:top w:val="single" w:sz="4" w:space="0" w:color="auto"/>
              <w:left w:val="nil"/>
              <w:bottom w:val="single" w:sz="4" w:space="0" w:color="auto"/>
              <w:right w:val="nil"/>
            </w:tcBorders>
            <w:shd w:val="clear" w:color="auto" w:fill="auto"/>
            <w:noWrap/>
            <w:vAlign w:val="center"/>
            <w:hideMark/>
          </w:tcPr>
          <w:p w14:paraId="36114A4F" w14:textId="77777777" w:rsidR="00E76212" w:rsidRPr="009819F0" w:rsidRDefault="00E76212" w:rsidP="00D2560E">
            <w:pPr>
              <w:spacing w:after="0" w:line="240" w:lineRule="auto"/>
              <w:rPr>
                <w:rFonts w:eastAsia="Times New Roman" w:cs="Times New Roman"/>
                <w:b/>
                <w:bCs/>
                <w:sz w:val="18"/>
                <w:szCs w:val="18"/>
                <w:lang w:eastAsia="sk-SK"/>
              </w:rPr>
            </w:pPr>
            <w:r w:rsidRPr="009819F0">
              <w:rPr>
                <w:rFonts w:eastAsia="Times New Roman" w:cs="Times New Roman"/>
                <w:b/>
                <w:bCs/>
                <w:sz w:val="18"/>
                <w:szCs w:val="18"/>
                <w:lang w:eastAsia="sk-SK"/>
              </w:rPr>
              <w:t xml:space="preserve">Kapitola </w:t>
            </w:r>
          </w:p>
        </w:tc>
        <w:tc>
          <w:tcPr>
            <w:tcW w:w="6497" w:type="dxa"/>
            <w:tcBorders>
              <w:top w:val="single" w:sz="4" w:space="0" w:color="auto"/>
              <w:left w:val="nil"/>
              <w:bottom w:val="single" w:sz="4" w:space="0" w:color="auto"/>
              <w:right w:val="nil"/>
            </w:tcBorders>
            <w:shd w:val="clear" w:color="auto" w:fill="auto"/>
            <w:noWrap/>
            <w:vAlign w:val="center"/>
            <w:hideMark/>
          </w:tcPr>
          <w:p w14:paraId="505C9755" w14:textId="77777777" w:rsidR="00E76212" w:rsidRPr="009819F0" w:rsidRDefault="00E76212" w:rsidP="00D2560E">
            <w:pPr>
              <w:spacing w:after="0" w:line="240" w:lineRule="auto"/>
              <w:jc w:val="center"/>
              <w:rPr>
                <w:rFonts w:eastAsia="Times New Roman" w:cs="Times New Roman"/>
                <w:b/>
                <w:bCs/>
                <w:sz w:val="18"/>
                <w:szCs w:val="18"/>
                <w:lang w:eastAsia="sk-SK"/>
              </w:rPr>
            </w:pPr>
            <w:r w:rsidRPr="009819F0">
              <w:rPr>
                <w:rFonts w:eastAsia="Times New Roman" w:cs="Times New Roman"/>
                <w:b/>
                <w:bCs/>
                <w:sz w:val="18"/>
                <w:szCs w:val="18"/>
                <w:lang w:eastAsia="sk-SK"/>
              </w:rPr>
              <w:t>Účel</w:t>
            </w:r>
          </w:p>
        </w:tc>
        <w:tc>
          <w:tcPr>
            <w:tcW w:w="1579" w:type="dxa"/>
            <w:tcBorders>
              <w:top w:val="single" w:sz="4" w:space="0" w:color="auto"/>
              <w:left w:val="nil"/>
              <w:bottom w:val="single" w:sz="4" w:space="0" w:color="auto"/>
              <w:right w:val="nil"/>
            </w:tcBorders>
            <w:shd w:val="clear" w:color="auto" w:fill="auto"/>
            <w:noWrap/>
            <w:vAlign w:val="center"/>
            <w:hideMark/>
          </w:tcPr>
          <w:p w14:paraId="0B268188" w14:textId="77777777" w:rsidR="00E76212" w:rsidRPr="009819F0" w:rsidRDefault="00E76212" w:rsidP="00D2560E">
            <w:pPr>
              <w:spacing w:after="0" w:line="240" w:lineRule="auto"/>
              <w:jc w:val="right"/>
              <w:rPr>
                <w:rFonts w:eastAsia="Times New Roman" w:cs="Times New Roman"/>
                <w:b/>
                <w:bCs/>
                <w:sz w:val="18"/>
                <w:szCs w:val="18"/>
                <w:lang w:eastAsia="sk-SK"/>
              </w:rPr>
            </w:pPr>
            <w:r w:rsidRPr="009819F0">
              <w:rPr>
                <w:rFonts w:eastAsia="Times New Roman" w:cs="Times New Roman"/>
                <w:b/>
                <w:bCs/>
                <w:sz w:val="18"/>
                <w:szCs w:val="18"/>
                <w:lang w:eastAsia="sk-SK"/>
              </w:rPr>
              <w:t>Suma v tis. eur</w:t>
            </w:r>
          </w:p>
        </w:tc>
      </w:tr>
      <w:tr w:rsidR="00E76212" w:rsidRPr="008C63ED" w14:paraId="1ACF819C" w14:textId="77777777" w:rsidTr="00D2560E">
        <w:trPr>
          <w:trHeight w:val="465"/>
        </w:trPr>
        <w:tc>
          <w:tcPr>
            <w:tcW w:w="1305" w:type="dxa"/>
            <w:tcBorders>
              <w:top w:val="nil"/>
              <w:left w:val="nil"/>
              <w:bottom w:val="nil"/>
              <w:right w:val="nil"/>
            </w:tcBorders>
            <w:shd w:val="clear" w:color="auto" w:fill="auto"/>
            <w:vAlign w:val="center"/>
            <w:hideMark/>
          </w:tcPr>
          <w:p w14:paraId="4D49F54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financií</w:t>
            </w:r>
            <w:r w:rsidRPr="008C63ED">
              <w:rPr>
                <w:rFonts w:eastAsia="Times New Roman" w:cs="Times New Roman"/>
                <w:sz w:val="16"/>
                <w:szCs w:val="16"/>
                <w:lang w:eastAsia="sk-SK"/>
              </w:rPr>
              <w:t xml:space="preserve"> SR </w:t>
            </w:r>
          </w:p>
        </w:tc>
        <w:tc>
          <w:tcPr>
            <w:tcW w:w="6497" w:type="dxa"/>
            <w:tcBorders>
              <w:top w:val="nil"/>
              <w:left w:val="nil"/>
              <w:bottom w:val="nil"/>
              <w:right w:val="nil"/>
            </w:tcBorders>
            <w:shd w:val="clear" w:color="auto" w:fill="auto"/>
            <w:vAlign w:val="bottom"/>
            <w:hideMark/>
          </w:tcPr>
          <w:p w14:paraId="29534EF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vysporiadanie nezrovnalostí pre prioritnú os 7 Informačná spoločnosť OP Integrovaná infraštruktúra za programové obdobie 2014 - 2020</w:t>
            </w:r>
          </w:p>
        </w:tc>
        <w:tc>
          <w:tcPr>
            <w:tcW w:w="1579" w:type="dxa"/>
            <w:tcBorders>
              <w:top w:val="nil"/>
              <w:left w:val="nil"/>
              <w:bottom w:val="nil"/>
              <w:right w:val="nil"/>
            </w:tcBorders>
            <w:shd w:val="clear" w:color="auto" w:fill="auto"/>
            <w:vAlign w:val="center"/>
            <w:hideMark/>
          </w:tcPr>
          <w:p w14:paraId="7C09B0C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26 996</w:t>
            </w:r>
          </w:p>
        </w:tc>
      </w:tr>
      <w:tr w:rsidR="00E76212" w:rsidRPr="008C63ED" w14:paraId="34FB5A60" w14:textId="77777777" w:rsidTr="00D2560E">
        <w:trPr>
          <w:trHeight w:val="330"/>
        </w:trPr>
        <w:tc>
          <w:tcPr>
            <w:tcW w:w="7802" w:type="dxa"/>
            <w:gridSpan w:val="2"/>
            <w:tcBorders>
              <w:top w:val="nil"/>
              <w:left w:val="nil"/>
              <w:bottom w:val="single" w:sz="4" w:space="0" w:color="auto"/>
              <w:right w:val="nil"/>
            </w:tcBorders>
            <w:shd w:val="clear" w:color="auto" w:fill="auto"/>
            <w:vAlign w:val="center"/>
            <w:hideMark/>
          </w:tcPr>
          <w:p w14:paraId="25AC03E2"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xml:space="preserve">Spolu </w:t>
            </w:r>
          </w:p>
        </w:tc>
        <w:tc>
          <w:tcPr>
            <w:tcW w:w="1579" w:type="dxa"/>
            <w:tcBorders>
              <w:top w:val="nil"/>
              <w:left w:val="nil"/>
              <w:bottom w:val="single" w:sz="4" w:space="0" w:color="auto"/>
              <w:right w:val="nil"/>
            </w:tcBorders>
            <w:shd w:val="clear" w:color="auto" w:fill="auto"/>
            <w:vAlign w:val="center"/>
            <w:hideMark/>
          </w:tcPr>
          <w:p w14:paraId="531DB025"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26 996</w:t>
            </w:r>
          </w:p>
        </w:tc>
      </w:tr>
      <w:tr w:rsidR="00E76212" w:rsidRPr="008C63ED" w14:paraId="508E1B92" w14:textId="77777777" w:rsidTr="00D2560E">
        <w:trPr>
          <w:trHeight w:val="408"/>
        </w:trPr>
        <w:tc>
          <w:tcPr>
            <w:tcW w:w="1305" w:type="dxa"/>
            <w:tcBorders>
              <w:top w:val="nil"/>
              <w:left w:val="nil"/>
              <w:bottom w:val="nil"/>
              <w:right w:val="nil"/>
            </w:tcBorders>
            <w:shd w:val="clear" w:color="auto" w:fill="auto"/>
            <w:vAlign w:val="center"/>
            <w:hideMark/>
          </w:tcPr>
          <w:p w14:paraId="29C6F409"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w:t>
            </w:r>
          </w:p>
        </w:tc>
        <w:tc>
          <w:tcPr>
            <w:tcW w:w="6497" w:type="dxa"/>
            <w:tcBorders>
              <w:top w:val="nil"/>
              <w:left w:val="nil"/>
              <w:bottom w:val="nil"/>
              <w:right w:val="nil"/>
            </w:tcBorders>
            <w:shd w:val="clear" w:color="auto" w:fill="auto"/>
            <w:vAlign w:val="bottom"/>
            <w:hideMark/>
          </w:tcPr>
          <w:p w14:paraId="508CCAF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vysporiadanie nezrovnalostí za OP Integrovaná infraštruktúra a OP Kvalita životného prostredia</w:t>
            </w:r>
          </w:p>
        </w:tc>
        <w:tc>
          <w:tcPr>
            <w:tcW w:w="1579" w:type="dxa"/>
            <w:tcBorders>
              <w:top w:val="nil"/>
              <w:left w:val="nil"/>
              <w:bottom w:val="nil"/>
              <w:right w:val="nil"/>
            </w:tcBorders>
            <w:shd w:val="clear" w:color="auto" w:fill="auto"/>
            <w:vAlign w:val="center"/>
            <w:hideMark/>
          </w:tcPr>
          <w:p w14:paraId="445373C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21 146</w:t>
            </w:r>
          </w:p>
        </w:tc>
      </w:tr>
      <w:tr w:rsidR="00E76212" w:rsidRPr="008C63ED" w14:paraId="26C810E8" w14:textId="77777777" w:rsidTr="00D2560E">
        <w:trPr>
          <w:trHeight w:val="450"/>
        </w:trPr>
        <w:tc>
          <w:tcPr>
            <w:tcW w:w="1305" w:type="dxa"/>
            <w:vMerge w:val="restart"/>
            <w:tcBorders>
              <w:top w:val="nil"/>
              <w:left w:val="nil"/>
              <w:bottom w:val="nil"/>
              <w:right w:val="nil"/>
            </w:tcBorders>
            <w:shd w:val="clear" w:color="auto" w:fill="auto"/>
            <w:vAlign w:val="center"/>
            <w:hideMark/>
          </w:tcPr>
          <w:p w14:paraId="76C48E4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hospodárstva</w:t>
            </w:r>
            <w:r w:rsidRPr="008C63ED">
              <w:rPr>
                <w:rFonts w:eastAsia="Times New Roman" w:cs="Times New Roman"/>
                <w:sz w:val="16"/>
                <w:szCs w:val="16"/>
                <w:lang w:eastAsia="sk-SK"/>
              </w:rPr>
              <w:t xml:space="preserve"> SR </w:t>
            </w:r>
          </w:p>
        </w:tc>
        <w:tc>
          <w:tcPr>
            <w:tcW w:w="6497" w:type="dxa"/>
            <w:tcBorders>
              <w:top w:val="nil"/>
              <w:left w:val="nil"/>
              <w:bottom w:val="nil"/>
              <w:right w:val="nil"/>
            </w:tcBorders>
            <w:shd w:val="clear" w:color="auto" w:fill="auto"/>
            <w:vAlign w:val="bottom"/>
            <w:hideMark/>
          </w:tcPr>
          <w:p w14:paraId="6D93E6C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vysporiadanie nezrovnalostí za OP Integrovaná infraštruktúra za programové obdobie </w:t>
            </w:r>
            <w:r w:rsidRPr="008C63ED">
              <w:rPr>
                <w:rFonts w:eastAsia="Times New Roman" w:cs="Times New Roman"/>
                <w:sz w:val="16"/>
                <w:szCs w:val="16"/>
                <w:lang w:eastAsia="sk-SK"/>
              </w:rPr>
              <w:br/>
              <w:t>2014 - 2020</w:t>
            </w:r>
          </w:p>
        </w:tc>
        <w:tc>
          <w:tcPr>
            <w:tcW w:w="1579" w:type="dxa"/>
            <w:tcBorders>
              <w:top w:val="nil"/>
              <w:left w:val="nil"/>
              <w:bottom w:val="nil"/>
              <w:right w:val="nil"/>
            </w:tcBorders>
            <w:shd w:val="clear" w:color="auto" w:fill="auto"/>
            <w:vAlign w:val="center"/>
            <w:hideMark/>
          </w:tcPr>
          <w:p w14:paraId="5E09532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1 847</w:t>
            </w:r>
          </w:p>
        </w:tc>
      </w:tr>
      <w:tr w:rsidR="00E76212" w:rsidRPr="008C63ED" w14:paraId="53BFE09A" w14:textId="77777777" w:rsidTr="00D2560E">
        <w:trPr>
          <w:trHeight w:val="256"/>
        </w:trPr>
        <w:tc>
          <w:tcPr>
            <w:tcW w:w="1305" w:type="dxa"/>
            <w:vMerge/>
            <w:tcBorders>
              <w:top w:val="nil"/>
              <w:left w:val="nil"/>
              <w:bottom w:val="nil"/>
              <w:right w:val="nil"/>
            </w:tcBorders>
            <w:vAlign w:val="center"/>
            <w:hideMark/>
          </w:tcPr>
          <w:p w14:paraId="643D52EB" w14:textId="77777777" w:rsidR="00E76212" w:rsidRPr="008C63ED" w:rsidRDefault="00E76212" w:rsidP="00D2560E">
            <w:pPr>
              <w:spacing w:after="0" w:line="240" w:lineRule="auto"/>
              <w:rPr>
                <w:rFonts w:eastAsia="Times New Roman" w:cs="Times New Roman"/>
                <w:sz w:val="16"/>
                <w:szCs w:val="16"/>
                <w:lang w:eastAsia="sk-SK"/>
              </w:rPr>
            </w:pPr>
          </w:p>
        </w:tc>
        <w:tc>
          <w:tcPr>
            <w:tcW w:w="6497" w:type="dxa"/>
            <w:tcBorders>
              <w:top w:val="nil"/>
              <w:left w:val="nil"/>
              <w:bottom w:val="nil"/>
              <w:right w:val="nil"/>
            </w:tcBorders>
            <w:shd w:val="clear" w:color="auto" w:fill="auto"/>
            <w:vAlign w:val="bottom"/>
            <w:hideMark/>
          </w:tcPr>
          <w:p w14:paraId="1FA2FBE2" w14:textId="77777777" w:rsidR="00E76212" w:rsidRPr="000101F1" w:rsidRDefault="00E76212" w:rsidP="00D2560E">
            <w:pPr>
              <w:spacing w:after="0" w:line="240" w:lineRule="auto"/>
              <w:rPr>
                <w:rFonts w:eastAsia="Times New Roman" w:cs="Times New Roman"/>
                <w:sz w:val="16"/>
                <w:szCs w:val="16"/>
                <w:lang w:eastAsia="sk-SK"/>
              </w:rPr>
            </w:pPr>
            <w:r w:rsidRPr="000101F1">
              <w:rPr>
                <w:rFonts w:eastAsia="Times New Roman" w:cs="Times New Roman"/>
                <w:sz w:val="16"/>
                <w:szCs w:val="16"/>
                <w:lang w:eastAsia="sk-SK"/>
              </w:rPr>
              <w:t xml:space="preserve">Na vysporiadanie ex </w:t>
            </w:r>
            <w:proofErr w:type="spellStart"/>
            <w:r w:rsidRPr="000101F1">
              <w:rPr>
                <w:rFonts w:eastAsia="Times New Roman" w:cs="Times New Roman"/>
                <w:sz w:val="16"/>
                <w:szCs w:val="16"/>
                <w:lang w:eastAsia="sk-SK"/>
              </w:rPr>
              <w:t>ante</w:t>
            </w:r>
            <w:proofErr w:type="spellEnd"/>
            <w:r w:rsidRPr="000101F1">
              <w:rPr>
                <w:rFonts w:eastAsia="Times New Roman" w:cs="Times New Roman"/>
                <w:sz w:val="16"/>
                <w:szCs w:val="16"/>
                <w:lang w:eastAsia="sk-SK"/>
              </w:rPr>
              <w:t xml:space="preserve"> korekcií k projektom financovaným z OP Integrovaná infraštruktúra </w:t>
            </w:r>
          </w:p>
        </w:tc>
        <w:tc>
          <w:tcPr>
            <w:tcW w:w="1579" w:type="dxa"/>
            <w:tcBorders>
              <w:top w:val="nil"/>
              <w:left w:val="nil"/>
              <w:bottom w:val="nil"/>
              <w:right w:val="nil"/>
            </w:tcBorders>
            <w:shd w:val="clear" w:color="auto" w:fill="auto"/>
            <w:vAlign w:val="center"/>
            <w:hideMark/>
          </w:tcPr>
          <w:p w14:paraId="4AA5BFE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265</w:t>
            </w:r>
          </w:p>
        </w:tc>
      </w:tr>
      <w:tr w:rsidR="00E76212" w:rsidRPr="008C63ED" w14:paraId="1F3BAADE" w14:textId="77777777" w:rsidTr="00D2560E">
        <w:trPr>
          <w:trHeight w:val="450"/>
        </w:trPr>
        <w:tc>
          <w:tcPr>
            <w:tcW w:w="1305" w:type="dxa"/>
            <w:vMerge/>
            <w:tcBorders>
              <w:top w:val="nil"/>
              <w:left w:val="nil"/>
              <w:bottom w:val="nil"/>
              <w:right w:val="nil"/>
            </w:tcBorders>
            <w:vAlign w:val="center"/>
            <w:hideMark/>
          </w:tcPr>
          <w:p w14:paraId="03184C11" w14:textId="77777777" w:rsidR="00E76212" w:rsidRPr="008C63ED" w:rsidRDefault="00E76212" w:rsidP="00D2560E">
            <w:pPr>
              <w:spacing w:after="0" w:line="240" w:lineRule="auto"/>
              <w:rPr>
                <w:rFonts w:eastAsia="Times New Roman" w:cs="Times New Roman"/>
                <w:sz w:val="16"/>
                <w:szCs w:val="16"/>
                <w:lang w:eastAsia="sk-SK"/>
              </w:rPr>
            </w:pPr>
          </w:p>
        </w:tc>
        <w:tc>
          <w:tcPr>
            <w:tcW w:w="6497" w:type="dxa"/>
            <w:tcBorders>
              <w:top w:val="nil"/>
              <w:left w:val="nil"/>
              <w:bottom w:val="nil"/>
              <w:right w:val="nil"/>
            </w:tcBorders>
            <w:shd w:val="clear" w:color="auto" w:fill="auto"/>
            <w:vAlign w:val="bottom"/>
            <w:hideMark/>
          </w:tcPr>
          <w:p w14:paraId="562ACCAA" w14:textId="77777777" w:rsidR="00E76212" w:rsidRPr="000101F1" w:rsidRDefault="00E76212" w:rsidP="00D2560E">
            <w:pPr>
              <w:spacing w:after="0" w:line="240" w:lineRule="auto"/>
              <w:rPr>
                <w:rFonts w:eastAsia="Times New Roman" w:cs="Times New Roman"/>
                <w:sz w:val="16"/>
                <w:szCs w:val="16"/>
                <w:lang w:eastAsia="sk-SK"/>
              </w:rPr>
            </w:pPr>
            <w:r w:rsidRPr="000101F1">
              <w:rPr>
                <w:rFonts w:eastAsia="Times New Roman" w:cs="Times New Roman"/>
                <w:sz w:val="16"/>
                <w:szCs w:val="16"/>
                <w:lang w:eastAsia="sk-SK"/>
              </w:rPr>
              <w:t xml:space="preserve">Na vysporiadanie nezrovnalostí za OP Kvalita životného prostredia pre Slovenská inovačná </w:t>
            </w:r>
            <w:r w:rsidRPr="000101F1">
              <w:rPr>
                <w:rFonts w:eastAsia="Times New Roman" w:cs="Times New Roman"/>
                <w:sz w:val="16"/>
                <w:szCs w:val="16"/>
                <w:lang w:eastAsia="sk-SK"/>
              </w:rPr>
              <w:br/>
              <w:t xml:space="preserve">a energetická agentúra za programové obdobie 2014 - 2020 </w:t>
            </w:r>
          </w:p>
        </w:tc>
        <w:tc>
          <w:tcPr>
            <w:tcW w:w="1579" w:type="dxa"/>
            <w:tcBorders>
              <w:top w:val="nil"/>
              <w:left w:val="nil"/>
              <w:bottom w:val="nil"/>
              <w:right w:val="nil"/>
            </w:tcBorders>
            <w:shd w:val="clear" w:color="auto" w:fill="auto"/>
            <w:vAlign w:val="center"/>
            <w:hideMark/>
          </w:tcPr>
          <w:p w14:paraId="42FA813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154</w:t>
            </w:r>
          </w:p>
        </w:tc>
      </w:tr>
      <w:tr w:rsidR="00E76212" w:rsidRPr="008C63ED" w14:paraId="3379DB93" w14:textId="77777777" w:rsidTr="00D2560E">
        <w:trPr>
          <w:trHeight w:val="80"/>
        </w:trPr>
        <w:tc>
          <w:tcPr>
            <w:tcW w:w="7802" w:type="dxa"/>
            <w:gridSpan w:val="2"/>
            <w:tcBorders>
              <w:top w:val="nil"/>
              <w:left w:val="nil"/>
              <w:bottom w:val="single" w:sz="4" w:space="0" w:color="auto"/>
              <w:right w:val="nil"/>
            </w:tcBorders>
            <w:shd w:val="clear" w:color="auto" w:fill="auto"/>
            <w:vAlign w:val="center"/>
            <w:hideMark/>
          </w:tcPr>
          <w:p w14:paraId="4F16CD9B"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xml:space="preserve">Spolu </w:t>
            </w:r>
          </w:p>
        </w:tc>
        <w:tc>
          <w:tcPr>
            <w:tcW w:w="1579" w:type="dxa"/>
            <w:tcBorders>
              <w:top w:val="nil"/>
              <w:left w:val="nil"/>
              <w:bottom w:val="single" w:sz="4" w:space="0" w:color="auto"/>
              <w:right w:val="nil"/>
            </w:tcBorders>
            <w:shd w:val="clear" w:color="auto" w:fill="auto"/>
            <w:vAlign w:val="center"/>
            <w:hideMark/>
          </w:tcPr>
          <w:p w14:paraId="38DA8DAC"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23 412</w:t>
            </w:r>
          </w:p>
        </w:tc>
      </w:tr>
      <w:tr w:rsidR="00E76212" w:rsidRPr="008C63ED" w14:paraId="4628F21D" w14:textId="77777777" w:rsidTr="00D2560E">
        <w:trPr>
          <w:trHeight w:val="136"/>
        </w:trPr>
        <w:tc>
          <w:tcPr>
            <w:tcW w:w="1305" w:type="dxa"/>
            <w:vMerge w:val="restart"/>
            <w:tcBorders>
              <w:top w:val="nil"/>
              <w:left w:val="nil"/>
              <w:bottom w:val="nil"/>
              <w:right w:val="nil"/>
            </w:tcBorders>
            <w:shd w:val="clear" w:color="auto" w:fill="auto"/>
            <w:vAlign w:val="center"/>
            <w:hideMark/>
          </w:tcPr>
          <w:p w14:paraId="64E952F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 xml:space="preserve">inisterstvo životného prostredia </w:t>
            </w:r>
            <w:r w:rsidRPr="008C63ED">
              <w:rPr>
                <w:rFonts w:eastAsia="Times New Roman" w:cs="Times New Roman"/>
                <w:sz w:val="16"/>
                <w:szCs w:val="16"/>
                <w:lang w:eastAsia="sk-SK"/>
              </w:rPr>
              <w:t xml:space="preserve">SR </w:t>
            </w:r>
          </w:p>
        </w:tc>
        <w:tc>
          <w:tcPr>
            <w:tcW w:w="6497" w:type="dxa"/>
            <w:tcBorders>
              <w:top w:val="nil"/>
              <w:left w:val="nil"/>
              <w:bottom w:val="nil"/>
              <w:right w:val="nil"/>
            </w:tcBorders>
            <w:shd w:val="clear" w:color="auto" w:fill="auto"/>
            <w:vAlign w:val="bottom"/>
            <w:hideMark/>
          </w:tcPr>
          <w:p w14:paraId="661FDEC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vysporiadanie nezrovnalostí za OP Kvalita životného prostredia za 6. a 7. účtovný rok</w:t>
            </w:r>
          </w:p>
        </w:tc>
        <w:tc>
          <w:tcPr>
            <w:tcW w:w="1579" w:type="dxa"/>
            <w:tcBorders>
              <w:top w:val="nil"/>
              <w:left w:val="nil"/>
              <w:bottom w:val="nil"/>
              <w:right w:val="nil"/>
            </w:tcBorders>
            <w:shd w:val="clear" w:color="auto" w:fill="auto"/>
            <w:vAlign w:val="center"/>
            <w:hideMark/>
          </w:tcPr>
          <w:p w14:paraId="6FB1B84D" w14:textId="77777777" w:rsidR="00E76212" w:rsidRPr="008C63ED" w:rsidRDefault="00E76212" w:rsidP="00D2560E">
            <w:pPr>
              <w:spacing w:after="0" w:line="240" w:lineRule="auto"/>
              <w:jc w:val="right"/>
              <w:rPr>
                <w:rFonts w:eastAsia="Times New Roman" w:cs="Times New Roman"/>
                <w:sz w:val="16"/>
                <w:szCs w:val="16"/>
                <w:lang w:eastAsia="sk-SK"/>
              </w:rPr>
            </w:pPr>
          </w:p>
          <w:p w14:paraId="0FF85D8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9 896</w:t>
            </w:r>
          </w:p>
        </w:tc>
      </w:tr>
      <w:tr w:rsidR="00E76212" w:rsidRPr="008C63ED" w14:paraId="6199E7F8" w14:textId="77777777" w:rsidTr="00D2560E">
        <w:trPr>
          <w:trHeight w:val="140"/>
        </w:trPr>
        <w:tc>
          <w:tcPr>
            <w:tcW w:w="1305" w:type="dxa"/>
            <w:vMerge/>
            <w:tcBorders>
              <w:top w:val="nil"/>
              <w:left w:val="nil"/>
              <w:bottom w:val="nil"/>
              <w:right w:val="nil"/>
            </w:tcBorders>
            <w:vAlign w:val="center"/>
            <w:hideMark/>
          </w:tcPr>
          <w:p w14:paraId="2BDD15DB" w14:textId="77777777" w:rsidR="00E76212" w:rsidRPr="008C63ED" w:rsidRDefault="00E76212" w:rsidP="00D2560E">
            <w:pPr>
              <w:spacing w:after="0" w:line="240" w:lineRule="auto"/>
              <w:rPr>
                <w:rFonts w:eastAsia="Times New Roman" w:cs="Times New Roman"/>
                <w:sz w:val="16"/>
                <w:szCs w:val="16"/>
                <w:lang w:eastAsia="sk-SK"/>
              </w:rPr>
            </w:pPr>
          </w:p>
        </w:tc>
        <w:tc>
          <w:tcPr>
            <w:tcW w:w="6497" w:type="dxa"/>
            <w:tcBorders>
              <w:top w:val="nil"/>
              <w:left w:val="nil"/>
              <w:bottom w:val="nil"/>
              <w:right w:val="nil"/>
            </w:tcBorders>
            <w:shd w:val="clear" w:color="auto" w:fill="auto"/>
            <w:vAlign w:val="bottom"/>
            <w:hideMark/>
          </w:tcPr>
          <w:p w14:paraId="5B9C4BC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vysporiadanie nezrovnalostí za OP Životné prostredie a za OP Kvalita životného prostredia</w:t>
            </w:r>
          </w:p>
        </w:tc>
        <w:tc>
          <w:tcPr>
            <w:tcW w:w="1579" w:type="dxa"/>
            <w:tcBorders>
              <w:top w:val="nil"/>
              <w:left w:val="nil"/>
              <w:bottom w:val="nil"/>
              <w:right w:val="nil"/>
            </w:tcBorders>
            <w:shd w:val="clear" w:color="auto" w:fill="auto"/>
            <w:vAlign w:val="center"/>
            <w:hideMark/>
          </w:tcPr>
          <w:p w14:paraId="1614B7C4" w14:textId="77777777" w:rsidR="00E76212" w:rsidRPr="008C63ED" w:rsidRDefault="00E76212" w:rsidP="00D2560E">
            <w:pPr>
              <w:spacing w:after="0" w:line="240" w:lineRule="auto"/>
              <w:jc w:val="right"/>
              <w:rPr>
                <w:rFonts w:eastAsia="Times New Roman" w:cs="Times New Roman"/>
                <w:sz w:val="16"/>
                <w:szCs w:val="16"/>
                <w:lang w:eastAsia="sk-SK"/>
              </w:rPr>
            </w:pPr>
          </w:p>
          <w:p w14:paraId="33DA87D6"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2 162</w:t>
            </w:r>
          </w:p>
        </w:tc>
      </w:tr>
      <w:tr w:rsidR="00E76212" w:rsidRPr="008C63ED" w14:paraId="125BB231" w14:textId="77777777" w:rsidTr="00D2560E">
        <w:trPr>
          <w:trHeight w:val="588"/>
        </w:trPr>
        <w:tc>
          <w:tcPr>
            <w:tcW w:w="1305" w:type="dxa"/>
            <w:vMerge/>
            <w:tcBorders>
              <w:top w:val="nil"/>
              <w:left w:val="nil"/>
              <w:bottom w:val="nil"/>
              <w:right w:val="nil"/>
            </w:tcBorders>
            <w:vAlign w:val="center"/>
            <w:hideMark/>
          </w:tcPr>
          <w:p w14:paraId="6864FD04" w14:textId="77777777" w:rsidR="00E76212" w:rsidRPr="008C63ED" w:rsidRDefault="00E76212" w:rsidP="00D2560E">
            <w:pPr>
              <w:spacing w:after="0" w:line="240" w:lineRule="auto"/>
              <w:rPr>
                <w:rFonts w:eastAsia="Times New Roman" w:cs="Times New Roman"/>
                <w:sz w:val="16"/>
                <w:szCs w:val="16"/>
                <w:lang w:eastAsia="sk-SK"/>
              </w:rPr>
            </w:pPr>
          </w:p>
        </w:tc>
        <w:tc>
          <w:tcPr>
            <w:tcW w:w="6497" w:type="dxa"/>
            <w:tcBorders>
              <w:top w:val="nil"/>
              <w:left w:val="nil"/>
              <w:bottom w:val="nil"/>
              <w:right w:val="nil"/>
            </w:tcBorders>
            <w:shd w:val="clear" w:color="auto" w:fill="auto"/>
            <w:vAlign w:val="bottom"/>
            <w:hideMark/>
          </w:tcPr>
          <w:p w14:paraId="054B803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vysporiadanie nezrovnalostí za OP Kvalita životného prostredia k projektom financovaných </w:t>
            </w:r>
            <w:r w:rsidRPr="008C63ED">
              <w:rPr>
                <w:rFonts w:eastAsia="Times New Roman" w:cs="Times New Roman"/>
                <w:sz w:val="16"/>
                <w:szCs w:val="16"/>
                <w:lang w:eastAsia="sk-SK"/>
              </w:rPr>
              <w:br/>
              <w:t xml:space="preserve">z OP Kvalita životného prostredia za programové obdobie 2014 - 2020 </w:t>
            </w:r>
          </w:p>
        </w:tc>
        <w:tc>
          <w:tcPr>
            <w:tcW w:w="1579" w:type="dxa"/>
            <w:tcBorders>
              <w:top w:val="nil"/>
              <w:left w:val="nil"/>
              <w:bottom w:val="nil"/>
              <w:right w:val="nil"/>
            </w:tcBorders>
            <w:shd w:val="clear" w:color="auto" w:fill="auto"/>
            <w:vAlign w:val="center"/>
            <w:hideMark/>
          </w:tcPr>
          <w:p w14:paraId="3C815CF9" w14:textId="77777777" w:rsidR="00E76212" w:rsidRPr="008C63ED" w:rsidRDefault="00E76212" w:rsidP="00D2560E">
            <w:pPr>
              <w:spacing w:after="0" w:line="240" w:lineRule="auto"/>
              <w:jc w:val="right"/>
              <w:rPr>
                <w:rFonts w:eastAsia="Times New Roman" w:cs="Times New Roman"/>
                <w:sz w:val="16"/>
                <w:szCs w:val="16"/>
                <w:lang w:eastAsia="sk-SK"/>
              </w:rPr>
            </w:pPr>
          </w:p>
          <w:p w14:paraId="49D88463"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171</w:t>
            </w:r>
          </w:p>
        </w:tc>
      </w:tr>
      <w:tr w:rsidR="00E76212" w:rsidRPr="008C63ED" w14:paraId="6DF6858D" w14:textId="77777777" w:rsidTr="00D2560E">
        <w:trPr>
          <w:trHeight w:val="80"/>
        </w:trPr>
        <w:tc>
          <w:tcPr>
            <w:tcW w:w="7802" w:type="dxa"/>
            <w:gridSpan w:val="2"/>
            <w:tcBorders>
              <w:top w:val="nil"/>
              <w:left w:val="nil"/>
              <w:bottom w:val="single" w:sz="4" w:space="0" w:color="auto"/>
              <w:right w:val="nil"/>
            </w:tcBorders>
            <w:shd w:val="clear" w:color="auto" w:fill="auto"/>
            <w:vAlign w:val="center"/>
            <w:hideMark/>
          </w:tcPr>
          <w:p w14:paraId="62CFCEAD"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xml:space="preserve">Spolu </w:t>
            </w:r>
          </w:p>
        </w:tc>
        <w:tc>
          <w:tcPr>
            <w:tcW w:w="1579" w:type="dxa"/>
            <w:tcBorders>
              <w:top w:val="nil"/>
              <w:left w:val="nil"/>
              <w:bottom w:val="single" w:sz="4" w:space="0" w:color="auto"/>
              <w:right w:val="nil"/>
            </w:tcBorders>
            <w:shd w:val="clear" w:color="auto" w:fill="auto"/>
            <w:vAlign w:val="center"/>
            <w:hideMark/>
          </w:tcPr>
          <w:p w14:paraId="5938AA9F"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12 229</w:t>
            </w:r>
          </w:p>
        </w:tc>
      </w:tr>
      <w:tr w:rsidR="00E76212" w:rsidRPr="008C63ED" w14:paraId="79794270" w14:textId="77777777" w:rsidTr="00D2560E">
        <w:trPr>
          <w:trHeight w:val="312"/>
        </w:trPr>
        <w:tc>
          <w:tcPr>
            <w:tcW w:w="1305" w:type="dxa"/>
            <w:tcBorders>
              <w:top w:val="nil"/>
              <w:left w:val="nil"/>
              <w:bottom w:val="nil"/>
              <w:right w:val="nil"/>
            </w:tcBorders>
            <w:shd w:val="clear" w:color="auto" w:fill="auto"/>
            <w:vAlign w:val="center"/>
            <w:hideMark/>
          </w:tcPr>
          <w:p w14:paraId="193410D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zdravotníctva</w:t>
            </w:r>
            <w:r w:rsidRPr="008C63ED">
              <w:rPr>
                <w:rFonts w:eastAsia="Times New Roman" w:cs="Times New Roman"/>
                <w:sz w:val="16"/>
                <w:szCs w:val="16"/>
                <w:lang w:eastAsia="sk-SK"/>
              </w:rPr>
              <w:t xml:space="preserve"> SR </w:t>
            </w:r>
          </w:p>
        </w:tc>
        <w:tc>
          <w:tcPr>
            <w:tcW w:w="6497" w:type="dxa"/>
            <w:tcBorders>
              <w:top w:val="nil"/>
              <w:left w:val="nil"/>
              <w:bottom w:val="nil"/>
              <w:right w:val="nil"/>
            </w:tcBorders>
            <w:shd w:val="clear" w:color="auto" w:fill="auto"/>
            <w:vAlign w:val="center"/>
            <w:hideMark/>
          </w:tcPr>
          <w:p w14:paraId="7D7664E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vysporiadanie nezrovnalostí za OP Zdravotníctvo za programové obdobie 2007 - 2013</w:t>
            </w:r>
          </w:p>
        </w:tc>
        <w:tc>
          <w:tcPr>
            <w:tcW w:w="1579" w:type="dxa"/>
            <w:tcBorders>
              <w:top w:val="nil"/>
              <w:left w:val="nil"/>
              <w:bottom w:val="nil"/>
              <w:right w:val="nil"/>
            </w:tcBorders>
            <w:shd w:val="clear" w:color="auto" w:fill="auto"/>
            <w:vAlign w:val="center"/>
            <w:hideMark/>
          </w:tcPr>
          <w:p w14:paraId="42094A6E"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6 471</w:t>
            </w:r>
          </w:p>
        </w:tc>
      </w:tr>
      <w:tr w:rsidR="00E76212" w:rsidRPr="008C63ED" w14:paraId="7A9E5D81" w14:textId="77777777" w:rsidTr="00D2560E">
        <w:trPr>
          <w:trHeight w:val="131"/>
        </w:trPr>
        <w:tc>
          <w:tcPr>
            <w:tcW w:w="1305" w:type="dxa"/>
            <w:tcBorders>
              <w:top w:val="nil"/>
              <w:left w:val="nil"/>
              <w:bottom w:val="nil"/>
              <w:right w:val="nil"/>
            </w:tcBorders>
            <w:shd w:val="clear" w:color="auto" w:fill="auto"/>
            <w:vAlign w:val="center"/>
            <w:hideMark/>
          </w:tcPr>
          <w:p w14:paraId="3BF6B2C8" w14:textId="77777777" w:rsidR="00E76212" w:rsidRPr="008C63ED" w:rsidRDefault="00E76212" w:rsidP="00D2560E">
            <w:pPr>
              <w:spacing w:after="0" w:line="240" w:lineRule="auto"/>
              <w:rPr>
                <w:rFonts w:eastAsia="Times New Roman" w:cs="Times New Roman"/>
                <w:sz w:val="16"/>
                <w:szCs w:val="16"/>
                <w:lang w:eastAsia="sk-SK"/>
              </w:rPr>
            </w:pPr>
          </w:p>
        </w:tc>
        <w:tc>
          <w:tcPr>
            <w:tcW w:w="6497" w:type="dxa"/>
            <w:tcBorders>
              <w:top w:val="nil"/>
              <w:left w:val="nil"/>
              <w:bottom w:val="nil"/>
              <w:right w:val="nil"/>
            </w:tcBorders>
            <w:shd w:val="clear" w:color="auto" w:fill="auto"/>
            <w:vAlign w:val="center"/>
            <w:hideMark/>
          </w:tcPr>
          <w:p w14:paraId="0235724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vysporiadanie nezrovnalostí za Integrovaný regionálny OP za programové obdobie 2014 - 2020</w:t>
            </w:r>
          </w:p>
        </w:tc>
        <w:tc>
          <w:tcPr>
            <w:tcW w:w="1579" w:type="dxa"/>
            <w:tcBorders>
              <w:top w:val="nil"/>
              <w:left w:val="nil"/>
              <w:bottom w:val="nil"/>
              <w:right w:val="nil"/>
            </w:tcBorders>
            <w:shd w:val="clear" w:color="auto" w:fill="auto"/>
            <w:vAlign w:val="center"/>
            <w:hideMark/>
          </w:tcPr>
          <w:p w14:paraId="576EF765" w14:textId="77777777" w:rsidR="00E76212" w:rsidRPr="008C63ED" w:rsidRDefault="00E76212" w:rsidP="00D2560E">
            <w:pPr>
              <w:spacing w:after="0" w:line="240" w:lineRule="auto"/>
              <w:jc w:val="right"/>
              <w:rPr>
                <w:rFonts w:eastAsia="Times New Roman" w:cs="Times New Roman"/>
                <w:sz w:val="16"/>
                <w:szCs w:val="16"/>
                <w:lang w:eastAsia="sk-SK"/>
              </w:rPr>
            </w:pPr>
          </w:p>
          <w:p w14:paraId="5715CE76"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1 395</w:t>
            </w:r>
          </w:p>
        </w:tc>
      </w:tr>
      <w:tr w:rsidR="00E76212" w:rsidRPr="008C63ED" w14:paraId="4BB239A2" w14:textId="77777777" w:rsidTr="00D2560E">
        <w:trPr>
          <w:trHeight w:val="330"/>
        </w:trPr>
        <w:tc>
          <w:tcPr>
            <w:tcW w:w="7802" w:type="dxa"/>
            <w:gridSpan w:val="2"/>
            <w:tcBorders>
              <w:top w:val="nil"/>
              <w:left w:val="nil"/>
              <w:bottom w:val="single" w:sz="4" w:space="0" w:color="auto"/>
              <w:right w:val="nil"/>
            </w:tcBorders>
            <w:shd w:val="clear" w:color="auto" w:fill="auto"/>
            <w:vAlign w:val="center"/>
            <w:hideMark/>
          </w:tcPr>
          <w:p w14:paraId="2876197F"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xml:space="preserve">Spolu </w:t>
            </w:r>
          </w:p>
        </w:tc>
        <w:tc>
          <w:tcPr>
            <w:tcW w:w="1579" w:type="dxa"/>
            <w:tcBorders>
              <w:top w:val="nil"/>
              <w:left w:val="nil"/>
              <w:bottom w:val="single" w:sz="4" w:space="0" w:color="auto"/>
              <w:right w:val="nil"/>
            </w:tcBorders>
            <w:shd w:val="clear" w:color="auto" w:fill="auto"/>
            <w:vAlign w:val="center"/>
            <w:hideMark/>
          </w:tcPr>
          <w:p w14:paraId="55BCEBE3"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7 866</w:t>
            </w:r>
          </w:p>
        </w:tc>
      </w:tr>
      <w:tr w:rsidR="00E76212" w:rsidRPr="008C63ED" w14:paraId="73D52FCC" w14:textId="77777777" w:rsidTr="00D2560E">
        <w:trPr>
          <w:trHeight w:val="495"/>
        </w:trPr>
        <w:tc>
          <w:tcPr>
            <w:tcW w:w="1305" w:type="dxa"/>
            <w:tcBorders>
              <w:top w:val="nil"/>
              <w:left w:val="nil"/>
              <w:bottom w:val="nil"/>
              <w:right w:val="nil"/>
            </w:tcBorders>
            <w:shd w:val="clear" w:color="auto" w:fill="auto"/>
            <w:vAlign w:val="center"/>
            <w:hideMark/>
          </w:tcPr>
          <w:p w14:paraId="03C1007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Ú</w:t>
            </w:r>
            <w:r>
              <w:rPr>
                <w:rFonts w:eastAsia="Times New Roman" w:cs="Times New Roman"/>
                <w:sz w:val="16"/>
                <w:szCs w:val="16"/>
                <w:lang w:eastAsia="sk-SK"/>
              </w:rPr>
              <w:t>rad geodézie, kartografie a katastra</w:t>
            </w:r>
            <w:r w:rsidRPr="008C63ED">
              <w:rPr>
                <w:rFonts w:eastAsia="Times New Roman" w:cs="Times New Roman"/>
                <w:sz w:val="16"/>
                <w:szCs w:val="16"/>
                <w:lang w:eastAsia="sk-SK"/>
              </w:rPr>
              <w:t xml:space="preserve"> SR</w:t>
            </w:r>
          </w:p>
        </w:tc>
        <w:tc>
          <w:tcPr>
            <w:tcW w:w="6497" w:type="dxa"/>
            <w:tcBorders>
              <w:top w:val="nil"/>
              <w:left w:val="nil"/>
              <w:bottom w:val="nil"/>
              <w:right w:val="nil"/>
            </w:tcBorders>
            <w:shd w:val="clear" w:color="auto" w:fill="auto"/>
            <w:vAlign w:val="bottom"/>
            <w:hideMark/>
          </w:tcPr>
          <w:p w14:paraId="1E3C043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vysporiadanie nezrovnalostí za OP Informatizácia spoločnosti za programové obdobie </w:t>
            </w:r>
            <w:r w:rsidRPr="008C63ED">
              <w:rPr>
                <w:rFonts w:eastAsia="Times New Roman" w:cs="Times New Roman"/>
                <w:sz w:val="16"/>
                <w:szCs w:val="16"/>
                <w:lang w:eastAsia="sk-SK"/>
              </w:rPr>
              <w:br/>
              <w:t>2007 - 2013</w:t>
            </w:r>
          </w:p>
        </w:tc>
        <w:tc>
          <w:tcPr>
            <w:tcW w:w="1579" w:type="dxa"/>
            <w:tcBorders>
              <w:top w:val="nil"/>
              <w:left w:val="nil"/>
              <w:bottom w:val="nil"/>
              <w:right w:val="nil"/>
            </w:tcBorders>
            <w:shd w:val="clear" w:color="auto" w:fill="auto"/>
            <w:vAlign w:val="center"/>
            <w:hideMark/>
          </w:tcPr>
          <w:p w14:paraId="7F79844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4 193</w:t>
            </w:r>
          </w:p>
        </w:tc>
      </w:tr>
      <w:tr w:rsidR="00E76212" w:rsidRPr="008C63ED" w14:paraId="737C7025" w14:textId="77777777" w:rsidTr="00D2560E">
        <w:trPr>
          <w:trHeight w:val="296"/>
        </w:trPr>
        <w:tc>
          <w:tcPr>
            <w:tcW w:w="7802" w:type="dxa"/>
            <w:gridSpan w:val="2"/>
            <w:tcBorders>
              <w:top w:val="nil"/>
              <w:left w:val="nil"/>
              <w:bottom w:val="single" w:sz="4" w:space="0" w:color="auto"/>
              <w:right w:val="nil"/>
            </w:tcBorders>
            <w:shd w:val="clear" w:color="auto" w:fill="auto"/>
            <w:vAlign w:val="center"/>
            <w:hideMark/>
          </w:tcPr>
          <w:p w14:paraId="54979D5E"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xml:space="preserve">Spolu </w:t>
            </w:r>
          </w:p>
        </w:tc>
        <w:tc>
          <w:tcPr>
            <w:tcW w:w="1579" w:type="dxa"/>
            <w:tcBorders>
              <w:top w:val="nil"/>
              <w:left w:val="nil"/>
              <w:bottom w:val="single" w:sz="4" w:space="0" w:color="auto"/>
              <w:right w:val="nil"/>
            </w:tcBorders>
            <w:shd w:val="clear" w:color="auto" w:fill="auto"/>
            <w:vAlign w:val="center"/>
            <w:hideMark/>
          </w:tcPr>
          <w:p w14:paraId="577D0D84"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4 193</w:t>
            </w:r>
          </w:p>
        </w:tc>
      </w:tr>
      <w:tr w:rsidR="00E76212" w:rsidRPr="008C63ED" w14:paraId="7847E379" w14:textId="77777777" w:rsidTr="00D2560E">
        <w:trPr>
          <w:trHeight w:val="495"/>
        </w:trPr>
        <w:tc>
          <w:tcPr>
            <w:tcW w:w="1305" w:type="dxa"/>
            <w:tcBorders>
              <w:top w:val="nil"/>
              <w:left w:val="nil"/>
              <w:bottom w:val="nil"/>
              <w:right w:val="nil"/>
            </w:tcBorders>
            <w:shd w:val="clear" w:color="auto" w:fill="auto"/>
            <w:vAlign w:val="center"/>
            <w:hideMark/>
          </w:tcPr>
          <w:p w14:paraId="4A58982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pôdohospodárstva a rozvoja vidieka</w:t>
            </w:r>
            <w:r w:rsidRPr="008C63ED">
              <w:rPr>
                <w:rFonts w:eastAsia="Times New Roman" w:cs="Times New Roman"/>
                <w:sz w:val="16"/>
                <w:szCs w:val="16"/>
                <w:lang w:eastAsia="sk-SK"/>
              </w:rPr>
              <w:t xml:space="preserve"> SR</w:t>
            </w:r>
          </w:p>
        </w:tc>
        <w:tc>
          <w:tcPr>
            <w:tcW w:w="6497" w:type="dxa"/>
            <w:tcBorders>
              <w:top w:val="nil"/>
              <w:left w:val="nil"/>
              <w:bottom w:val="nil"/>
              <w:right w:val="nil"/>
            </w:tcBorders>
            <w:shd w:val="clear" w:color="auto" w:fill="auto"/>
            <w:vAlign w:val="center"/>
            <w:hideMark/>
          </w:tcPr>
          <w:p w14:paraId="43D2C33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vysporiadanie administratívnej chyby súvisiacej s vyhlásenou výzvou z Programu rozvoja vidieka SR 2014 - 2020</w:t>
            </w:r>
          </w:p>
        </w:tc>
        <w:tc>
          <w:tcPr>
            <w:tcW w:w="1579" w:type="dxa"/>
            <w:tcBorders>
              <w:top w:val="nil"/>
              <w:left w:val="nil"/>
              <w:bottom w:val="nil"/>
              <w:right w:val="nil"/>
            </w:tcBorders>
            <w:shd w:val="clear" w:color="auto" w:fill="auto"/>
            <w:vAlign w:val="center"/>
            <w:hideMark/>
          </w:tcPr>
          <w:p w14:paraId="0798497D"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3 425</w:t>
            </w:r>
          </w:p>
        </w:tc>
      </w:tr>
      <w:tr w:rsidR="00E76212" w:rsidRPr="008C63ED" w14:paraId="3EC3CC0C" w14:textId="77777777" w:rsidTr="00D2560E">
        <w:trPr>
          <w:trHeight w:val="152"/>
        </w:trPr>
        <w:tc>
          <w:tcPr>
            <w:tcW w:w="1305" w:type="dxa"/>
            <w:tcBorders>
              <w:top w:val="nil"/>
              <w:left w:val="nil"/>
              <w:bottom w:val="nil"/>
              <w:right w:val="nil"/>
            </w:tcBorders>
            <w:shd w:val="clear" w:color="auto" w:fill="auto"/>
            <w:vAlign w:val="center"/>
            <w:hideMark/>
          </w:tcPr>
          <w:p w14:paraId="78EE9975" w14:textId="77777777" w:rsidR="00E76212" w:rsidRPr="008C63ED" w:rsidRDefault="00E76212" w:rsidP="00D2560E">
            <w:pPr>
              <w:spacing w:after="0" w:line="240" w:lineRule="auto"/>
              <w:jc w:val="right"/>
              <w:rPr>
                <w:rFonts w:eastAsia="Times New Roman" w:cs="Times New Roman"/>
                <w:sz w:val="16"/>
                <w:szCs w:val="16"/>
                <w:lang w:eastAsia="sk-SK"/>
              </w:rPr>
            </w:pPr>
          </w:p>
        </w:tc>
        <w:tc>
          <w:tcPr>
            <w:tcW w:w="6497" w:type="dxa"/>
            <w:tcBorders>
              <w:top w:val="nil"/>
              <w:left w:val="nil"/>
              <w:bottom w:val="nil"/>
              <w:right w:val="nil"/>
            </w:tcBorders>
            <w:shd w:val="clear" w:color="auto" w:fill="auto"/>
            <w:vAlign w:val="center"/>
            <w:hideMark/>
          </w:tcPr>
          <w:p w14:paraId="74820B1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vysporiadanie nezrovnalostí OP Rybné hospodárstvo 2014 - 2020</w:t>
            </w:r>
          </w:p>
        </w:tc>
        <w:tc>
          <w:tcPr>
            <w:tcW w:w="1579" w:type="dxa"/>
            <w:tcBorders>
              <w:top w:val="nil"/>
              <w:left w:val="nil"/>
              <w:bottom w:val="nil"/>
              <w:right w:val="nil"/>
            </w:tcBorders>
            <w:shd w:val="clear" w:color="auto" w:fill="auto"/>
            <w:vAlign w:val="center"/>
            <w:hideMark/>
          </w:tcPr>
          <w:p w14:paraId="3BF19A93"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124</w:t>
            </w:r>
          </w:p>
        </w:tc>
      </w:tr>
      <w:tr w:rsidR="00E76212" w:rsidRPr="008C63ED" w14:paraId="5484B86B" w14:textId="77777777" w:rsidTr="00D2560E">
        <w:trPr>
          <w:trHeight w:val="216"/>
        </w:trPr>
        <w:tc>
          <w:tcPr>
            <w:tcW w:w="7802" w:type="dxa"/>
            <w:gridSpan w:val="2"/>
            <w:tcBorders>
              <w:top w:val="nil"/>
              <w:left w:val="nil"/>
              <w:bottom w:val="single" w:sz="4" w:space="0" w:color="auto"/>
              <w:right w:val="nil"/>
            </w:tcBorders>
            <w:shd w:val="clear" w:color="auto" w:fill="auto"/>
            <w:vAlign w:val="center"/>
            <w:hideMark/>
          </w:tcPr>
          <w:p w14:paraId="7877CF9C"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xml:space="preserve">Spolu </w:t>
            </w:r>
          </w:p>
        </w:tc>
        <w:tc>
          <w:tcPr>
            <w:tcW w:w="1579" w:type="dxa"/>
            <w:tcBorders>
              <w:top w:val="nil"/>
              <w:left w:val="nil"/>
              <w:bottom w:val="single" w:sz="4" w:space="0" w:color="auto"/>
              <w:right w:val="nil"/>
            </w:tcBorders>
            <w:shd w:val="clear" w:color="auto" w:fill="auto"/>
            <w:vAlign w:val="center"/>
            <w:hideMark/>
          </w:tcPr>
          <w:p w14:paraId="2764790D"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3 549</w:t>
            </w:r>
          </w:p>
        </w:tc>
      </w:tr>
      <w:tr w:rsidR="00E76212" w:rsidRPr="008C63ED" w14:paraId="479B43D9" w14:textId="77777777" w:rsidTr="00D2560E">
        <w:trPr>
          <w:trHeight w:val="827"/>
        </w:trPr>
        <w:tc>
          <w:tcPr>
            <w:tcW w:w="1305" w:type="dxa"/>
            <w:tcBorders>
              <w:top w:val="nil"/>
              <w:left w:val="nil"/>
              <w:bottom w:val="nil"/>
              <w:right w:val="nil"/>
            </w:tcBorders>
            <w:shd w:val="clear" w:color="auto" w:fill="auto"/>
            <w:vAlign w:val="center"/>
            <w:hideMark/>
          </w:tcPr>
          <w:p w14:paraId="61D96046" w14:textId="7DF95976" w:rsidR="00E76212" w:rsidRPr="008C63ED" w:rsidRDefault="00E76212" w:rsidP="009819F0">
            <w:pPr>
              <w:spacing w:after="0" w:line="240" w:lineRule="auto"/>
              <w:rPr>
                <w:rFonts w:eastAsia="Times New Roman" w:cs="Times New Roman"/>
                <w:sz w:val="16"/>
                <w:szCs w:val="16"/>
                <w:lang w:eastAsia="sk-SK"/>
              </w:rPr>
            </w:pPr>
            <w:r>
              <w:rPr>
                <w:rFonts w:eastAsia="Times New Roman" w:cs="Times New Roman"/>
                <w:sz w:val="16"/>
                <w:szCs w:val="16"/>
                <w:lang w:eastAsia="sk-SK"/>
              </w:rPr>
              <w:lastRenderedPageBreak/>
              <w:t>Min</w:t>
            </w:r>
            <w:r w:rsidR="009819F0">
              <w:rPr>
                <w:rFonts w:eastAsia="Times New Roman" w:cs="Times New Roman"/>
                <w:sz w:val="16"/>
                <w:szCs w:val="16"/>
                <w:lang w:eastAsia="sk-SK"/>
              </w:rPr>
              <w:t>i</w:t>
            </w:r>
            <w:r>
              <w:rPr>
                <w:rFonts w:eastAsia="Times New Roman" w:cs="Times New Roman"/>
                <w:sz w:val="16"/>
                <w:szCs w:val="16"/>
                <w:lang w:eastAsia="sk-SK"/>
              </w:rPr>
              <w:t>sterstvo školstva, vedy, výskumu a športu SR</w:t>
            </w:r>
          </w:p>
        </w:tc>
        <w:tc>
          <w:tcPr>
            <w:tcW w:w="6497" w:type="dxa"/>
            <w:tcBorders>
              <w:top w:val="nil"/>
              <w:left w:val="nil"/>
              <w:bottom w:val="nil"/>
              <w:right w:val="nil"/>
            </w:tcBorders>
            <w:shd w:val="clear" w:color="auto" w:fill="auto"/>
            <w:vAlign w:val="bottom"/>
            <w:hideMark/>
          </w:tcPr>
          <w:p w14:paraId="6B4F4AA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vysporiadanie nezrovnalostí za OP Veda a výskum a OP Vzdelávanie za programové obdobie 2007 až 2013 a OP Integrovaná infraštruktúra a OP Ľudské zdroje za programové obdobie </w:t>
            </w:r>
            <w:r w:rsidRPr="008C63ED">
              <w:rPr>
                <w:rFonts w:eastAsia="Times New Roman" w:cs="Times New Roman"/>
                <w:sz w:val="16"/>
                <w:szCs w:val="16"/>
                <w:lang w:eastAsia="sk-SK"/>
              </w:rPr>
              <w:br/>
              <w:t>2014 - 2020</w:t>
            </w:r>
          </w:p>
          <w:p w14:paraId="5BF0B93F" w14:textId="77777777" w:rsidR="00E76212" w:rsidRPr="008C63ED" w:rsidRDefault="00E76212" w:rsidP="00D2560E">
            <w:pPr>
              <w:spacing w:after="0" w:line="240" w:lineRule="auto"/>
              <w:rPr>
                <w:rFonts w:eastAsia="Times New Roman" w:cs="Times New Roman"/>
                <w:sz w:val="16"/>
                <w:szCs w:val="16"/>
                <w:lang w:eastAsia="sk-SK"/>
              </w:rPr>
            </w:pPr>
          </w:p>
        </w:tc>
        <w:tc>
          <w:tcPr>
            <w:tcW w:w="1579" w:type="dxa"/>
            <w:tcBorders>
              <w:top w:val="nil"/>
              <w:left w:val="nil"/>
              <w:bottom w:val="nil"/>
              <w:right w:val="nil"/>
            </w:tcBorders>
            <w:shd w:val="clear" w:color="auto" w:fill="auto"/>
            <w:vAlign w:val="center"/>
            <w:hideMark/>
          </w:tcPr>
          <w:p w14:paraId="3CFF7D0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2 466</w:t>
            </w:r>
          </w:p>
          <w:p w14:paraId="306C58E6" w14:textId="77777777" w:rsidR="00E76212" w:rsidRPr="008C63ED" w:rsidRDefault="00E76212" w:rsidP="00D2560E">
            <w:pPr>
              <w:spacing w:after="0" w:line="240" w:lineRule="auto"/>
              <w:jc w:val="right"/>
              <w:rPr>
                <w:rFonts w:eastAsia="Times New Roman" w:cs="Times New Roman"/>
                <w:sz w:val="16"/>
                <w:szCs w:val="16"/>
                <w:lang w:eastAsia="sk-SK"/>
              </w:rPr>
            </w:pPr>
          </w:p>
        </w:tc>
      </w:tr>
      <w:tr w:rsidR="00E76212" w:rsidRPr="008C63ED" w14:paraId="53BC6391" w14:textId="77777777" w:rsidTr="00D2560E">
        <w:trPr>
          <w:trHeight w:val="140"/>
        </w:trPr>
        <w:tc>
          <w:tcPr>
            <w:tcW w:w="7802" w:type="dxa"/>
            <w:gridSpan w:val="2"/>
            <w:tcBorders>
              <w:top w:val="nil"/>
              <w:left w:val="nil"/>
              <w:bottom w:val="nil"/>
              <w:right w:val="nil"/>
            </w:tcBorders>
            <w:shd w:val="clear" w:color="auto" w:fill="auto"/>
            <w:vAlign w:val="center"/>
            <w:hideMark/>
          </w:tcPr>
          <w:p w14:paraId="2A86C2EF"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xml:space="preserve">Spolu </w:t>
            </w:r>
          </w:p>
        </w:tc>
        <w:tc>
          <w:tcPr>
            <w:tcW w:w="1579" w:type="dxa"/>
            <w:tcBorders>
              <w:top w:val="nil"/>
              <w:left w:val="nil"/>
              <w:bottom w:val="nil"/>
              <w:right w:val="nil"/>
            </w:tcBorders>
            <w:shd w:val="clear" w:color="auto" w:fill="auto"/>
            <w:vAlign w:val="center"/>
            <w:hideMark/>
          </w:tcPr>
          <w:p w14:paraId="0EF12245"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2 466</w:t>
            </w:r>
          </w:p>
        </w:tc>
      </w:tr>
      <w:tr w:rsidR="00E76212" w:rsidRPr="008C63ED" w14:paraId="30E3B7E8" w14:textId="77777777" w:rsidTr="00D2560E">
        <w:trPr>
          <w:trHeight w:val="289"/>
        </w:trPr>
        <w:tc>
          <w:tcPr>
            <w:tcW w:w="1305" w:type="dxa"/>
            <w:tcBorders>
              <w:top w:val="single" w:sz="4" w:space="0" w:color="auto"/>
              <w:left w:val="nil"/>
              <w:bottom w:val="nil"/>
              <w:right w:val="nil"/>
            </w:tcBorders>
            <w:shd w:val="clear" w:color="auto" w:fill="auto"/>
            <w:vAlign w:val="center"/>
            <w:hideMark/>
          </w:tcPr>
          <w:p w14:paraId="4C1BBC6E" w14:textId="77777777" w:rsidR="00E76212" w:rsidRPr="008C63ED" w:rsidRDefault="00E76212" w:rsidP="00D2560E">
            <w:pPr>
              <w:spacing w:after="0" w:line="240" w:lineRule="auto"/>
              <w:rPr>
                <w:rFonts w:eastAsia="Times New Roman" w:cs="Times New Roman"/>
                <w:sz w:val="16"/>
                <w:szCs w:val="16"/>
                <w:lang w:eastAsia="sk-SK"/>
              </w:rPr>
            </w:pPr>
            <w:r>
              <w:rPr>
                <w:rFonts w:eastAsia="Times New Roman" w:cs="Times New Roman"/>
                <w:sz w:val="16"/>
                <w:szCs w:val="16"/>
                <w:lang w:eastAsia="sk-SK"/>
              </w:rPr>
              <w:t>Ministerstvo práce, sociálnych vecí a rodiny SR</w:t>
            </w:r>
          </w:p>
        </w:tc>
        <w:tc>
          <w:tcPr>
            <w:tcW w:w="6497" w:type="dxa"/>
            <w:tcBorders>
              <w:top w:val="single" w:sz="4" w:space="0" w:color="auto"/>
              <w:left w:val="nil"/>
              <w:bottom w:val="nil"/>
              <w:right w:val="nil"/>
            </w:tcBorders>
            <w:shd w:val="clear" w:color="auto" w:fill="auto"/>
            <w:vAlign w:val="center"/>
            <w:hideMark/>
          </w:tcPr>
          <w:p w14:paraId="5F18B7A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vysporiadanie nezrovnalostí za OP Ľudské zdroje</w:t>
            </w:r>
          </w:p>
        </w:tc>
        <w:tc>
          <w:tcPr>
            <w:tcW w:w="1579" w:type="dxa"/>
            <w:tcBorders>
              <w:top w:val="single" w:sz="4" w:space="0" w:color="auto"/>
              <w:left w:val="nil"/>
              <w:bottom w:val="nil"/>
              <w:right w:val="nil"/>
            </w:tcBorders>
            <w:shd w:val="clear" w:color="auto" w:fill="auto"/>
            <w:vAlign w:val="center"/>
            <w:hideMark/>
          </w:tcPr>
          <w:p w14:paraId="524B6161"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2 384</w:t>
            </w:r>
          </w:p>
        </w:tc>
      </w:tr>
      <w:tr w:rsidR="00E76212" w:rsidRPr="008C63ED" w14:paraId="1A44F3C5" w14:textId="77777777" w:rsidTr="00D2560E">
        <w:trPr>
          <w:trHeight w:val="80"/>
        </w:trPr>
        <w:tc>
          <w:tcPr>
            <w:tcW w:w="7802" w:type="dxa"/>
            <w:gridSpan w:val="2"/>
            <w:tcBorders>
              <w:top w:val="nil"/>
              <w:left w:val="nil"/>
              <w:bottom w:val="single" w:sz="4" w:space="0" w:color="auto"/>
              <w:right w:val="nil"/>
            </w:tcBorders>
            <w:shd w:val="clear" w:color="auto" w:fill="auto"/>
            <w:vAlign w:val="center"/>
            <w:hideMark/>
          </w:tcPr>
          <w:p w14:paraId="141F89D0"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xml:space="preserve">Spolu </w:t>
            </w:r>
          </w:p>
        </w:tc>
        <w:tc>
          <w:tcPr>
            <w:tcW w:w="1579" w:type="dxa"/>
            <w:tcBorders>
              <w:top w:val="nil"/>
              <w:left w:val="nil"/>
              <w:bottom w:val="single" w:sz="4" w:space="0" w:color="auto"/>
              <w:right w:val="nil"/>
            </w:tcBorders>
            <w:shd w:val="clear" w:color="auto" w:fill="auto"/>
            <w:vAlign w:val="center"/>
            <w:hideMark/>
          </w:tcPr>
          <w:p w14:paraId="47DD925E"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2 384</w:t>
            </w:r>
          </w:p>
        </w:tc>
      </w:tr>
      <w:tr w:rsidR="00E76212" w:rsidRPr="008C63ED" w14:paraId="5C63B522" w14:textId="77777777" w:rsidTr="00D2560E">
        <w:trPr>
          <w:trHeight w:val="480"/>
        </w:trPr>
        <w:tc>
          <w:tcPr>
            <w:tcW w:w="1305" w:type="dxa"/>
            <w:tcBorders>
              <w:top w:val="nil"/>
              <w:left w:val="nil"/>
              <w:bottom w:val="nil"/>
              <w:right w:val="nil"/>
            </w:tcBorders>
            <w:shd w:val="clear" w:color="auto" w:fill="auto"/>
            <w:vAlign w:val="center"/>
            <w:hideMark/>
          </w:tcPr>
          <w:p w14:paraId="167B489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vnútra</w:t>
            </w:r>
            <w:r w:rsidRPr="008C63ED">
              <w:rPr>
                <w:rFonts w:eastAsia="Times New Roman" w:cs="Times New Roman"/>
                <w:sz w:val="16"/>
                <w:szCs w:val="16"/>
                <w:lang w:eastAsia="sk-SK"/>
              </w:rPr>
              <w:t xml:space="preserve"> SR</w:t>
            </w:r>
          </w:p>
        </w:tc>
        <w:tc>
          <w:tcPr>
            <w:tcW w:w="6497" w:type="dxa"/>
            <w:tcBorders>
              <w:top w:val="nil"/>
              <w:left w:val="nil"/>
              <w:bottom w:val="nil"/>
              <w:right w:val="nil"/>
            </w:tcBorders>
            <w:shd w:val="clear" w:color="auto" w:fill="auto"/>
            <w:vAlign w:val="bottom"/>
            <w:hideMark/>
          </w:tcPr>
          <w:p w14:paraId="129CC4B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vysporiadanie nezrovnalostí za OP Efektívna verejná správa a OP Ľudské zdroje za programové obdobie 2014 - 2020</w:t>
            </w:r>
          </w:p>
        </w:tc>
        <w:tc>
          <w:tcPr>
            <w:tcW w:w="1579" w:type="dxa"/>
            <w:tcBorders>
              <w:top w:val="nil"/>
              <w:left w:val="nil"/>
              <w:bottom w:val="nil"/>
              <w:right w:val="nil"/>
            </w:tcBorders>
            <w:shd w:val="clear" w:color="auto" w:fill="auto"/>
            <w:vAlign w:val="center"/>
            <w:hideMark/>
          </w:tcPr>
          <w:p w14:paraId="23335DA0" w14:textId="77777777" w:rsidR="00E76212" w:rsidRPr="008C63ED" w:rsidRDefault="00E76212" w:rsidP="00D2560E">
            <w:pPr>
              <w:spacing w:after="0" w:line="240" w:lineRule="auto"/>
              <w:jc w:val="right"/>
              <w:rPr>
                <w:rFonts w:eastAsia="Times New Roman" w:cs="Times New Roman"/>
                <w:sz w:val="16"/>
                <w:szCs w:val="16"/>
                <w:lang w:eastAsia="sk-SK"/>
              </w:rPr>
            </w:pPr>
          </w:p>
          <w:p w14:paraId="049B7EF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1 976</w:t>
            </w:r>
          </w:p>
        </w:tc>
      </w:tr>
      <w:tr w:rsidR="00E76212" w:rsidRPr="008C63ED" w14:paraId="669651C0" w14:textId="77777777" w:rsidTr="00D2560E">
        <w:trPr>
          <w:trHeight w:val="80"/>
        </w:trPr>
        <w:tc>
          <w:tcPr>
            <w:tcW w:w="7802" w:type="dxa"/>
            <w:gridSpan w:val="2"/>
            <w:tcBorders>
              <w:top w:val="nil"/>
              <w:left w:val="nil"/>
              <w:bottom w:val="nil"/>
              <w:right w:val="nil"/>
            </w:tcBorders>
            <w:shd w:val="clear" w:color="auto" w:fill="auto"/>
            <w:vAlign w:val="center"/>
            <w:hideMark/>
          </w:tcPr>
          <w:p w14:paraId="7828B18A"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xml:space="preserve">Spolu </w:t>
            </w:r>
          </w:p>
        </w:tc>
        <w:tc>
          <w:tcPr>
            <w:tcW w:w="1579" w:type="dxa"/>
            <w:tcBorders>
              <w:top w:val="nil"/>
              <w:left w:val="nil"/>
              <w:bottom w:val="nil"/>
              <w:right w:val="nil"/>
            </w:tcBorders>
            <w:shd w:val="clear" w:color="auto" w:fill="auto"/>
            <w:vAlign w:val="center"/>
            <w:hideMark/>
          </w:tcPr>
          <w:p w14:paraId="4C2FF351"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1 976</w:t>
            </w:r>
          </w:p>
        </w:tc>
      </w:tr>
      <w:tr w:rsidR="00E76212" w:rsidRPr="008C63ED" w14:paraId="0226156E" w14:textId="77777777" w:rsidTr="00D2560E">
        <w:trPr>
          <w:trHeight w:val="80"/>
        </w:trPr>
        <w:tc>
          <w:tcPr>
            <w:tcW w:w="7802" w:type="dxa"/>
            <w:gridSpan w:val="2"/>
            <w:tcBorders>
              <w:top w:val="nil"/>
              <w:left w:val="nil"/>
              <w:bottom w:val="nil"/>
              <w:right w:val="nil"/>
            </w:tcBorders>
            <w:shd w:val="clear" w:color="auto" w:fill="auto"/>
            <w:vAlign w:val="center"/>
          </w:tcPr>
          <w:p w14:paraId="2FCB1F19" w14:textId="77777777" w:rsidR="00E76212" w:rsidRPr="008C63ED" w:rsidRDefault="00E76212" w:rsidP="00D2560E">
            <w:pPr>
              <w:spacing w:after="0" w:line="240" w:lineRule="auto"/>
              <w:rPr>
                <w:rFonts w:eastAsia="Times New Roman" w:cs="Times New Roman"/>
                <w:b/>
                <w:bCs/>
                <w:sz w:val="16"/>
                <w:szCs w:val="16"/>
                <w:lang w:eastAsia="sk-SK"/>
              </w:rPr>
            </w:pPr>
          </w:p>
        </w:tc>
        <w:tc>
          <w:tcPr>
            <w:tcW w:w="1579" w:type="dxa"/>
            <w:tcBorders>
              <w:top w:val="nil"/>
              <w:left w:val="nil"/>
              <w:bottom w:val="nil"/>
              <w:right w:val="nil"/>
            </w:tcBorders>
            <w:shd w:val="clear" w:color="auto" w:fill="auto"/>
            <w:vAlign w:val="center"/>
          </w:tcPr>
          <w:p w14:paraId="1E74CE96" w14:textId="77777777" w:rsidR="00E76212" w:rsidRPr="008C63ED" w:rsidRDefault="00E76212" w:rsidP="00D2560E">
            <w:pPr>
              <w:spacing w:after="0" w:line="240" w:lineRule="auto"/>
              <w:jc w:val="right"/>
              <w:rPr>
                <w:rFonts w:eastAsia="Times New Roman" w:cs="Times New Roman"/>
                <w:b/>
                <w:bCs/>
                <w:sz w:val="16"/>
                <w:szCs w:val="16"/>
                <w:lang w:eastAsia="sk-SK"/>
              </w:rPr>
            </w:pPr>
          </w:p>
        </w:tc>
      </w:tr>
      <w:tr w:rsidR="00E76212" w:rsidRPr="008C63ED" w14:paraId="7540EBE9" w14:textId="77777777" w:rsidTr="00D2560E">
        <w:trPr>
          <w:trHeight w:val="304"/>
        </w:trPr>
        <w:tc>
          <w:tcPr>
            <w:tcW w:w="1305" w:type="dxa"/>
            <w:tcBorders>
              <w:top w:val="single" w:sz="4" w:space="0" w:color="auto"/>
              <w:left w:val="nil"/>
              <w:bottom w:val="nil"/>
              <w:right w:val="nil"/>
            </w:tcBorders>
            <w:shd w:val="clear" w:color="auto" w:fill="auto"/>
            <w:vAlign w:val="center"/>
            <w:hideMark/>
          </w:tcPr>
          <w:p w14:paraId="0A10D4A3"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w:t>
            </w:r>
          </w:p>
        </w:tc>
        <w:tc>
          <w:tcPr>
            <w:tcW w:w="6497" w:type="dxa"/>
            <w:tcBorders>
              <w:top w:val="single" w:sz="4" w:space="0" w:color="auto"/>
              <w:left w:val="nil"/>
              <w:bottom w:val="nil"/>
              <w:right w:val="nil"/>
            </w:tcBorders>
            <w:shd w:val="clear" w:color="auto" w:fill="auto"/>
            <w:vAlign w:val="bottom"/>
            <w:hideMark/>
          </w:tcPr>
          <w:p w14:paraId="42BA231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vysporiadanie nezrovnalostí za Integrovaný regionálny OP za programové obdobie 2014 - 2020</w:t>
            </w:r>
          </w:p>
        </w:tc>
        <w:tc>
          <w:tcPr>
            <w:tcW w:w="1579" w:type="dxa"/>
            <w:tcBorders>
              <w:top w:val="single" w:sz="4" w:space="0" w:color="auto"/>
              <w:left w:val="nil"/>
              <w:bottom w:val="nil"/>
              <w:right w:val="nil"/>
            </w:tcBorders>
            <w:shd w:val="clear" w:color="auto" w:fill="auto"/>
            <w:vAlign w:val="center"/>
            <w:hideMark/>
          </w:tcPr>
          <w:p w14:paraId="05C1C22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273</w:t>
            </w:r>
          </w:p>
        </w:tc>
      </w:tr>
      <w:tr w:rsidR="00E76212" w:rsidRPr="008C63ED" w14:paraId="6CD1E5C3" w14:textId="77777777" w:rsidTr="00D2560E">
        <w:trPr>
          <w:trHeight w:val="465"/>
        </w:trPr>
        <w:tc>
          <w:tcPr>
            <w:tcW w:w="1305" w:type="dxa"/>
            <w:tcBorders>
              <w:top w:val="nil"/>
              <w:left w:val="nil"/>
              <w:bottom w:val="nil"/>
              <w:right w:val="nil"/>
            </w:tcBorders>
            <w:shd w:val="clear" w:color="auto" w:fill="auto"/>
            <w:vAlign w:val="center"/>
            <w:hideMark/>
          </w:tcPr>
          <w:p w14:paraId="56A742E1" w14:textId="77777777" w:rsidR="00E76212" w:rsidRPr="008C63ED" w:rsidRDefault="00E76212" w:rsidP="00D2560E">
            <w:pPr>
              <w:spacing w:after="0" w:line="240" w:lineRule="auto"/>
              <w:jc w:val="left"/>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investícií, regionálneho rozvoja a informatizácie</w:t>
            </w:r>
            <w:r w:rsidRPr="008C63ED">
              <w:rPr>
                <w:rFonts w:eastAsia="Times New Roman" w:cs="Times New Roman"/>
                <w:sz w:val="16"/>
                <w:szCs w:val="16"/>
                <w:lang w:eastAsia="sk-SK"/>
              </w:rPr>
              <w:t xml:space="preserve"> SR </w:t>
            </w:r>
          </w:p>
        </w:tc>
        <w:tc>
          <w:tcPr>
            <w:tcW w:w="6497" w:type="dxa"/>
            <w:tcBorders>
              <w:top w:val="nil"/>
              <w:left w:val="nil"/>
              <w:bottom w:val="nil"/>
              <w:right w:val="nil"/>
            </w:tcBorders>
            <w:shd w:val="clear" w:color="auto" w:fill="auto"/>
            <w:vAlign w:val="bottom"/>
            <w:hideMark/>
          </w:tcPr>
          <w:p w14:paraId="69BD87A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vysporiadanie nezrovnalostí za Integrovaný regionálny OP, za OP Technická pomoc a </w:t>
            </w:r>
            <w:proofErr w:type="spellStart"/>
            <w:r w:rsidRPr="008C63ED">
              <w:rPr>
                <w:rFonts w:eastAsia="Times New Roman" w:cs="Times New Roman"/>
                <w:sz w:val="16"/>
                <w:szCs w:val="16"/>
                <w:lang w:eastAsia="sk-SK"/>
              </w:rPr>
              <w:t>Interreg</w:t>
            </w:r>
            <w:proofErr w:type="spellEnd"/>
            <w:r w:rsidRPr="008C63ED">
              <w:rPr>
                <w:rFonts w:eastAsia="Times New Roman" w:cs="Times New Roman"/>
                <w:sz w:val="16"/>
                <w:szCs w:val="16"/>
                <w:lang w:eastAsia="sk-SK"/>
              </w:rPr>
              <w:t xml:space="preserve"> V-A SK-CZ za programové obdobie 2014 - 2020 </w:t>
            </w:r>
          </w:p>
        </w:tc>
        <w:tc>
          <w:tcPr>
            <w:tcW w:w="1579" w:type="dxa"/>
            <w:tcBorders>
              <w:top w:val="nil"/>
              <w:left w:val="nil"/>
              <w:bottom w:val="nil"/>
              <w:right w:val="nil"/>
            </w:tcBorders>
            <w:shd w:val="clear" w:color="auto" w:fill="auto"/>
            <w:vAlign w:val="center"/>
            <w:hideMark/>
          </w:tcPr>
          <w:p w14:paraId="270B052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233</w:t>
            </w:r>
          </w:p>
        </w:tc>
      </w:tr>
      <w:tr w:rsidR="00E76212" w:rsidRPr="008C63ED" w14:paraId="746AE1D0" w14:textId="77777777" w:rsidTr="00D2560E">
        <w:trPr>
          <w:trHeight w:val="450"/>
        </w:trPr>
        <w:tc>
          <w:tcPr>
            <w:tcW w:w="1305" w:type="dxa"/>
            <w:tcBorders>
              <w:top w:val="nil"/>
              <w:left w:val="nil"/>
              <w:bottom w:val="nil"/>
              <w:right w:val="nil"/>
            </w:tcBorders>
            <w:shd w:val="clear" w:color="auto" w:fill="auto"/>
            <w:vAlign w:val="center"/>
            <w:hideMark/>
          </w:tcPr>
          <w:p w14:paraId="4B684AF2" w14:textId="77777777" w:rsidR="00E76212" w:rsidRPr="008C63ED" w:rsidRDefault="00E76212" w:rsidP="00D2560E">
            <w:pPr>
              <w:spacing w:after="0" w:line="240" w:lineRule="auto"/>
              <w:jc w:val="right"/>
              <w:rPr>
                <w:rFonts w:eastAsia="Times New Roman" w:cs="Times New Roman"/>
                <w:sz w:val="16"/>
                <w:szCs w:val="16"/>
                <w:lang w:eastAsia="sk-SK"/>
              </w:rPr>
            </w:pPr>
          </w:p>
        </w:tc>
        <w:tc>
          <w:tcPr>
            <w:tcW w:w="6497" w:type="dxa"/>
            <w:tcBorders>
              <w:top w:val="nil"/>
              <w:left w:val="nil"/>
              <w:bottom w:val="nil"/>
              <w:right w:val="nil"/>
            </w:tcBorders>
            <w:shd w:val="clear" w:color="auto" w:fill="auto"/>
            <w:vAlign w:val="bottom"/>
            <w:hideMark/>
          </w:tcPr>
          <w:p w14:paraId="7B100F5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vysporiadanie nezrovnalostí za Integrovaný regionálny OP za programové obdobie 2014 - 2020 </w:t>
            </w:r>
          </w:p>
        </w:tc>
        <w:tc>
          <w:tcPr>
            <w:tcW w:w="1579" w:type="dxa"/>
            <w:tcBorders>
              <w:top w:val="nil"/>
              <w:left w:val="nil"/>
              <w:bottom w:val="nil"/>
              <w:right w:val="nil"/>
            </w:tcBorders>
            <w:shd w:val="clear" w:color="auto" w:fill="auto"/>
            <w:vAlign w:val="center"/>
            <w:hideMark/>
          </w:tcPr>
          <w:p w14:paraId="322945E3"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198</w:t>
            </w:r>
          </w:p>
        </w:tc>
      </w:tr>
      <w:tr w:rsidR="00E76212" w:rsidRPr="008C63ED" w14:paraId="3AE0335E" w14:textId="77777777" w:rsidTr="00D2560E">
        <w:trPr>
          <w:trHeight w:val="330"/>
        </w:trPr>
        <w:tc>
          <w:tcPr>
            <w:tcW w:w="7802" w:type="dxa"/>
            <w:gridSpan w:val="2"/>
            <w:tcBorders>
              <w:top w:val="nil"/>
              <w:left w:val="nil"/>
              <w:bottom w:val="single" w:sz="4" w:space="0" w:color="auto"/>
              <w:right w:val="nil"/>
            </w:tcBorders>
            <w:shd w:val="clear" w:color="auto" w:fill="auto"/>
            <w:vAlign w:val="center"/>
            <w:hideMark/>
          </w:tcPr>
          <w:p w14:paraId="4365EC49"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xml:space="preserve">Spolu </w:t>
            </w:r>
          </w:p>
        </w:tc>
        <w:tc>
          <w:tcPr>
            <w:tcW w:w="1579" w:type="dxa"/>
            <w:tcBorders>
              <w:top w:val="nil"/>
              <w:left w:val="nil"/>
              <w:bottom w:val="single" w:sz="4" w:space="0" w:color="auto"/>
              <w:right w:val="nil"/>
            </w:tcBorders>
            <w:shd w:val="clear" w:color="auto" w:fill="auto"/>
            <w:vAlign w:val="center"/>
            <w:hideMark/>
          </w:tcPr>
          <w:p w14:paraId="382692F3"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704</w:t>
            </w:r>
          </w:p>
        </w:tc>
      </w:tr>
      <w:tr w:rsidR="00E76212" w:rsidRPr="008C63ED" w14:paraId="6AE459CC" w14:textId="77777777" w:rsidTr="00D2560E">
        <w:trPr>
          <w:trHeight w:val="330"/>
        </w:trPr>
        <w:tc>
          <w:tcPr>
            <w:tcW w:w="7802" w:type="dxa"/>
            <w:gridSpan w:val="2"/>
            <w:tcBorders>
              <w:top w:val="nil"/>
              <w:left w:val="nil"/>
              <w:bottom w:val="single" w:sz="4" w:space="0" w:color="auto"/>
              <w:right w:val="nil"/>
            </w:tcBorders>
            <w:shd w:val="clear" w:color="000000" w:fill="FFFFFF"/>
            <w:vAlign w:val="center"/>
            <w:hideMark/>
          </w:tcPr>
          <w:p w14:paraId="461F74BD" w14:textId="77777777" w:rsidR="00E76212" w:rsidRPr="008C63ED" w:rsidRDefault="00E76212" w:rsidP="009819F0">
            <w:pPr>
              <w:spacing w:after="0" w:line="240" w:lineRule="auto"/>
              <w:jc w:val="left"/>
              <w:rPr>
                <w:rFonts w:eastAsia="Times New Roman" w:cs="Times New Roman"/>
                <w:b/>
                <w:bCs/>
                <w:sz w:val="16"/>
                <w:szCs w:val="16"/>
                <w:lang w:eastAsia="sk-SK"/>
              </w:rPr>
            </w:pPr>
            <w:r w:rsidRPr="008C63ED">
              <w:rPr>
                <w:rFonts w:eastAsia="Times New Roman" w:cs="Times New Roman"/>
                <w:b/>
                <w:bCs/>
                <w:sz w:val="16"/>
                <w:szCs w:val="16"/>
                <w:lang w:eastAsia="sk-SK"/>
              </w:rPr>
              <w:t>Spolu celkom</w:t>
            </w:r>
          </w:p>
        </w:tc>
        <w:tc>
          <w:tcPr>
            <w:tcW w:w="1579" w:type="dxa"/>
            <w:tcBorders>
              <w:top w:val="nil"/>
              <w:left w:val="nil"/>
              <w:bottom w:val="single" w:sz="4" w:space="0" w:color="auto"/>
              <w:right w:val="nil"/>
            </w:tcBorders>
            <w:shd w:val="clear" w:color="000000" w:fill="FFFFFF"/>
            <w:vAlign w:val="center"/>
            <w:hideMark/>
          </w:tcPr>
          <w:p w14:paraId="3FCE5D76"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85 775</w:t>
            </w:r>
          </w:p>
        </w:tc>
      </w:tr>
      <w:tr w:rsidR="00E76212" w:rsidRPr="0035337C" w14:paraId="73228619" w14:textId="77777777" w:rsidTr="00D2560E">
        <w:trPr>
          <w:trHeight w:val="330"/>
        </w:trPr>
        <w:tc>
          <w:tcPr>
            <w:tcW w:w="1305" w:type="dxa"/>
            <w:tcBorders>
              <w:top w:val="nil"/>
              <w:left w:val="nil"/>
              <w:bottom w:val="nil"/>
              <w:right w:val="nil"/>
            </w:tcBorders>
            <w:shd w:val="clear" w:color="auto" w:fill="auto"/>
            <w:noWrap/>
            <w:vAlign w:val="bottom"/>
            <w:hideMark/>
          </w:tcPr>
          <w:p w14:paraId="5555D075" w14:textId="77777777" w:rsidR="00E76212" w:rsidRPr="0035337C" w:rsidRDefault="00E76212" w:rsidP="00D2560E">
            <w:pPr>
              <w:spacing w:after="0" w:line="240" w:lineRule="auto"/>
              <w:jc w:val="right"/>
              <w:rPr>
                <w:rFonts w:eastAsia="Times New Roman" w:cs="Times New Roman"/>
                <w:bCs/>
                <w:sz w:val="18"/>
                <w:szCs w:val="18"/>
                <w:lang w:eastAsia="sk-SK"/>
              </w:rPr>
            </w:pPr>
          </w:p>
        </w:tc>
        <w:tc>
          <w:tcPr>
            <w:tcW w:w="6497" w:type="dxa"/>
            <w:tcBorders>
              <w:top w:val="nil"/>
              <w:left w:val="nil"/>
              <w:bottom w:val="nil"/>
              <w:right w:val="nil"/>
            </w:tcBorders>
            <w:shd w:val="clear" w:color="auto" w:fill="auto"/>
            <w:noWrap/>
            <w:vAlign w:val="bottom"/>
            <w:hideMark/>
          </w:tcPr>
          <w:p w14:paraId="582B0154" w14:textId="77777777" w:rsidR="00E76212" w:rsidRPr="0035337C" w:rsidRDefault="00E76212" w:rsidP="00D2560E">
            <w:pPr>
              <w:spacing w:after="0" w:line="240" w:lineRule="auto"/>
              <w:rPr>
                <w:rFonts w:eastAsia="Times New Roman" w:cs="Times New Roman"/>
                <w:sz w:val="18"/>
                <w:szCs w:val="18"/>
                <w:lang w:eastAsia="sk-SK"/>
              </w:rPr>
            </w:pPr>
          </w:p>
        </w:tc>
        <w:tc>
          <w:tcPr>
            <w:tcW w:w="1579" w:type="dxa"/>
            <w:tcBorders>
              <w:top w:val="nil"/>
              <w:left w:val="nil"/>
              <w:bottom w:val="nil"/>
              <w:right w:val="nil"/>
            </w:tcBorders>
            <w:shd w:val="clear" w:color="auto" w:fill="auto"/>
            <w:noWrap/>
            <w:vAlign w:val="center"/>
            <w:hideMark/>
          </w:tcPr>
          <w:p w14:paraId="04DED1C8" w14:textId="77777777" w:rsidR="00E76212" w:rsidRPr="0035337C" w:rsidRDefault="00E76212" w:rsidP="00D2560E">
            <w:pPr>
              <w:spacing w:after="0" w:line="240" w:lineRule="auto"/>
              <w:jc w:val="right"/>
              <w:rPr>
                <w:rFonts w:eastAsia="Times New Roman" w:cs="Times New Roman"/>
                <w:iCs/>
                <w:sz w:val="18"/>
                <w:szCs w:val="18"/>
                <w:lang w:eastAsia="sk-SK"/>
              </w:rPr>
            </w:pPr>
            <w:r w:rsidRPr="0035337C">
              <w:rPr>
                <w:rFonts w:eastAsia="Times New Roman" w:cs="Times New Roman"/>
                <w:iCs/>
                <w:sz w:val="18"/>
                <w:szCs w:val="18"/>
                <w:lang w:eastAsia="sk-SK"/>
              </w:rPr>
              <w:t>Zdroj: MF SR</w:t>
            </w:r>
          </w:p>
        </w:tc>
      </w:tr>
    </w:tbl>
    <w:p w14:paraId="0E7F5FE0" w14:textId="77777777" w:rsidR="00E76212" w:rsidRPr="00983054" w:rsidRDefault="00E76212" w:rsidP="009819F0">
      <w:pPr>
        <w:tabs>
          <w:tab w:val="left" w:pos="0"/>
          <w:tab w:val="left" w:pos="720"/>
          <w:tab w:val="left" w:pos="1440"/>
          <w:tab w:val="left" w:pos="2160"/>
          <w:tab w:val="left" w:pos="2880"/>
          <w:tab w:val="left" w:pos="3600"/>
          <w:tab w:val="left" w:pos="4320"/>
        </w:tabs>
        <w:adjustRightInd w:val="0"/>
        <w:spacing w:line="240" w:lineRule="auto"/>
        <w:rPr>
          <w:rFonts w:cs="Times New Roman"/>
          <w:b/>
          <w:iCs/>
          <w:sz w:val="24"/>
          <w:szCs w:val="24"/>
        </w:rPr>
      </w:pPr>
      <w:r w:rsidRPr="00983054">
        <w:rPr>
          <w:rFonts w:cs="Times New Roman"/>
          <w:b/>
          <w:iCs/>
          <w:sz w:val="24"/>
          <w:szCs w:val="24"/>
        </w:rPr>
        <w:t xml:space="preserve">Rezerva na riešenie vplyvov legislatívnych zmien </w:t>
      </w:r>
    </w:p>
    <w:p w14:paraId="478DD257" w14:textId="77777777" w:rsidR="00E76212" w:rsidRPr="00983054" w:rsidRDefault="00E76212" w:rsidP="009819F0">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983054">
        <w:rPr>
          <w:rFonts w:eastAsia="Times New Roman" w:cs="Times New Roman"/>
          <w:color w:val="000000"/>
          <w:sz w:val="24"/>
          <w:szCs w:val="24"/>
          <w:lang w:eastAsia="cs-CZ"/>
        </w:rPr>
        <w:t>Výdavky na riešenie vplyvov legislatívnych zmien b</w:t>
      </w:r>
      <w:r>
        <w:rPr>
          <w:rFonts w:eastAsia="Times New Roman" w:cs="Times New Roman"/>
          <w:color w:val="000000"/>
          <w:sz w:val="24"/>
          <w:szCs w:val="24"/>
          <w:lang w:eastAsia="cs-CZ"/>
        </w:rPr>
        <w:t>oli rozpočtované v sume 857 992 tis. </w:t>
      </w:r>
      <w:r w:rsidRPr="00983054">
        <w:rPr>
          <w:rFonts w:eastAsia="Times New Roman" w:cs="Times New Roman"/>
          <w:color w:val="000000"/>
          <w:sz w:val="24"/>
          <w:szCs w:val="24"/>
          <w:lang w:eastAsia="cs-CZ"/>
        </w:rPr>
        <w:t xml:space="preserve">eur. </w:t>
      </w:r>
    </w:p>
    <w:p w14:paraId="26CB35C3" w14:textId="77777777" w:rsidR="00E76212" w:rsidRPr="00983054" w:rsidRDefault="00E76212" w:rsidP="009819F0">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983054">
        <w:rPr>
          <w:rFonts w:eastAsia="Times New Roman" w:cs="Times New Roman"/>
          <w:color w:val="000000"/>
          <w:sz w:val="24"/>
          <w:szCs w:val="24"/>
          <w:lang w:eastAsia="cs-CZ"/>
        </w:rPr>
        <w:t xml:space="preserve">Zabezpečenie zdrojového krytia zvýšených nárokov na štátny rozpočet vyvolaný prijímanou legislatívou v Národnej rade Slovenskej republiky ako aj vláde Slovenskej republiky si vyžiadalo potrebu dofinancovania tejto rezervy formou </w:t>
      </w:r>
      <w:proofErr w:type="spellStart"/>
      <w:r w:rsidRPr="00983054">
        <w:rPr>
          <w:rFonts w:eastAsia="Times New Roman" w:cs="Times New Roman"/>
          <w:color w:val="000000"/>
          <w:sz w:val="24"/>
          <w:szCs w:val="24"/>
          <w:lang w:eastAsia="cs-CZ"/>
        </w:rPr>
        <w:t>realokácie</w:t>
      </w:r>
      <w:proofErr w:type="spellEnd"/>
      <w:r w:rsidRPr="00983054">
        <w:rPr>
          <w:rFonts w:eastAsia="Times New Roman" w:cs="Times New Roman"/>
          <w:color w:val="000000"/>
          <w:sz w:val="24"/>
          <w:szCs w:val="24"/>
          <w:lang w:eastAsia="cs-CZ"/>
        </w:rPr>
        <w:t xml:space="preserve"> z iných zdrojov kapitoly Všeobecná pokladničná sprá</w:t>
      </w:r>
      <w:r>
        <w:rPr>
          <w:rFonts w:eastAsia="Times New Roman" w:cs="Times New Roman"/>
          <w:color w:val="000000"/>
          <w:sz w:val="24"/>
          <w:szCs w:val="24"/>
          <w:lang w:eastAsia="cs-CZ"/>
        </w:rPr>
        <w:t>va v celkovej sume 973 635 tis. </w:t>
      </w:r>
      <w:r w:rsidRPr="00983054">
        <w:rPr>
          <w:rFonts w:eastAsia="Times New Roman" w:cs="Times New Roman"/>
          <w:color w:val="000000"/>
          <w:sz w:val="24"/>
          <w:szCs w:val="24"/>
          <w:lang w:eastAsia="cs-CZ"/>
        </w:rPr>
        <w:t xml:space="preserve">eur, a to najmä presunom z </w:t>
      </w:r>
      <w:r>
        <w:rPr>
          <w:rFonts w:eastAsia="Times New Roman" w:cs="Times New Roman"/>
          <w:i/>
          <w:color w:val="000000"/>
          <w:sz w:val="24"/>
          <w:szCs w:val="24"/>
          <w:lang w:eastAsia="cs-CZ"/>
        </w:rPr>
        <w:t>Rezervy na </w:t>
      </w:r>
      <w:r w:rsidRPr="00983054">
        <w:rPr>
          <w:rFonts w:eastAsia="Times New Roman" w:cs="Times New Roman"/>
          <w:i/>
          <w:color w:val="000000"/>
          <w:sz w:val="24"/>
          <w:szCs w:val="24"/>
          <w:lang w:eastAsia="cs-CZ"/>
        </w:rPr>
        <w:t>kompenzačné opatrenia súvisiace s rastom cien energií</w:t>
      </w:r>
      <w:r w:rsidRPr="00983054">
        <w:rPr>
          <w:rFonts w:eastAsia="Times New Roman" w:cs="Times New Roman"/>
          <w:color w:val="000000"/>
          <w:sz w:val="24"/>
          <w:szCs w:val="24"/>
          <w:lang w:eastAsia="cs-CZ"/>
        </w:rPr>
        <w:t xml:space="preserve"> v su</w:t>
      </w:r>
      <w:r>
        <w:rPr>
          <w:rFonts w:eastAsia="Times New Roman" w:cs="Times New Roman"/>
          <w:color w:val="000000"/>
          <w:sz w:val="24"/>
          <w:szCs w:val="24"/>
          <w:lang w:eastAsia="cs-CZ"/>
        </w:rPr>
        <w:t>me 837 616 tis. </w:t>
      </w:r>
      <w:r w:rsidRPr="00983054">
        <w:rPr>
          <w:rFonts w:eastAsia="Times New Roman" w:cs="Times New Roman"/>
          <w:color w:val="000000"/>
          <w:sz w:val="24"/>
          <w:szCs w:val="24"/>
          <w:lang w:eastAsia="cs-CZ"/>
        </w:rPr>
        <w:t xml:space="preserve">eur. </w:t>
      </w:r>
    </w:p>
    <w:p w14:paraId="5CDA51BB" w14:textId="77777777" w:rsidR="00E76212" w:rsidRPr="00983054"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983054">
        <w:rPr>
          <w:rFonts w:eastAsia="Times New Roman" w:cs="Times New Roman"/>
          <w:color w:val="000000"/>
          <w:sz w:val="24"/>
          <w:szCs w:val="24"/>
          <w:lang w:eastAsia="cs-CZ"/>
        </w:rPr>
        <w:t>Jednotlivým kapitolám boli uvoľnené pros</w:t>
      </w:r>
      <w:r>
        <w:rPr>
          <w:rFonts w:eastAsia="Times New Roman" w:cs="Times New Roman"/>
          <w:color w:val="000000"/>
          <w:sz w:val="24"/>
          <w:szCs w:val="24"/>
          <w:lang w:eastAsia="cs-CZ"/>
        </w:rPr>
        <w:t>triedky v celkovej sume 974 945 tis. </w:t>
      </w:r>
      <w:r w:rsidRPr="00983054">
        <w:rPr>
          <w:rFonts w:eastAsia="Times New Roman" w:cs="Times New Roman"/>
          <w:color w:val="000000"/>
          <w:sz w:val="24"/>
          <w:szCs w:val="24"/>
          <w:lang w:eastAsia="cs-CZ"/>
        </w:rPr>
        <w:t>eur, najmä na dofinancovanie 13. dôchodku v súlad</w:t>
      </w:r>
      <w:r>
        <w:rPr>
          <w:rFonts w:eastAsia="Times New Roman" w:cs="Times New Roman"/>
          <w:color w:val="000000"/>
          <w:sz w:val="24"/>
          <w:szCs w:val="24"/>
          <w:lang w:eastAsia="cs-CZ"/>
        </w:rPr>
        <w:t xml:space="preserve">e s novelou zákona č. 296/2020 </w:t>
      </w:r>
      <w:r w:rsidRPr="00983054">
        <w:rPr>
          <w:rFonts w:eastAsia="Times New Roman" w:cs="Times New Roman"/>
          <w:color w:val="000000"/>
          <w:sz w:val="24"/>
          <w:szCs w:val="24"/>
          <w:lang w:eastAsia="cs-CZ"/>
        </w:rPr>
        <w:t>Z. z. o 13. dôchodku a o zmene a doplnení niektorých zákonov, zvýšenie prída</w:t>
      </w:r>
      <w:r>
        <w:rPr>
          <w:rFonts w:eastAsia="Times New Roman" w:cs="Times New Roman"/>
          <w:color w:val="000000"/>
          <w:sz w:val="24"/>
          <w:szCs w:val="24"/>
          <w:lang w:eastAsia="cs-CZ"/>
        </w:rPr>
        <w:t>vku na dieťa zo 40 eur na 60 </w:t>
      </w:r>
      <w:r w:rsidRPr="00983054">
        <w:rPr>
          <w:rFonts w:eastAsia="Times New Roman" w:cs="Times New Roman"/>
          <w:color w:val="000000"/>
          <w:sz w:val="24"/>
          <w:szCs w:val="24"/>
          <w:lang w:eastAsia="cs-CZ"/>
        </w:rPr>
        <w:t>eur a prídavok pre prvákov, na financovanie dotácií na podporu výchovy k stravovacím návykom, na stabilizačný príspevok pre zamestnancov vybraných zariadení sociálnych služieb a na valorizáciu rodičovského príspevku.</w:t>
      </w:r>
    </w:p>
    <w:p w14:paraId="3E7E4F3F" w14:textId="77777777" w:rsidR="00E76212" w:rsidRPr="00983054"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983054">
        <w:rPr>
          <w:rFonts w:eastAsia="Times New Roman" w:cs="Times New Roman"/>
          <w:color w:val="000000"/>
          <w:sz w:val="24"/>
          <w:szCs w:val="24"/>
          <w:lang w:eastAsia="cs-CZ"/>
        </w:rPr>
        <w:t>Ďalej sa z uvedeného titulu realizovalo finančné krytie platobných príkazov pre </w:t>
      </w:r>
      <w:r w:rsidRPr="00983054">
        <w:rPr>
          <w:rFonts w:eastAsia="Times New Roman" w:cs="Times New Roman"/>
          <w:i/>
          <w:color w:val="000000"/>
          <w:sz w:val="24"/>
          <w:szCs w:val="24"/>
          <w:lang w:eastAsia="cs-CZ"/>
        </w:rPr>
        <w:t>Sociálnu poisťovňu</w:t>
      </w:r>
      <w:r>
        <w:rPr>
          <w:rFonts w:eastAsia="Times New Roman" w:cs="Times New Roman"/>
          <w:color w:val="000000"/>
          <w:sz w:val="24"/>
          <w:szCs w:val="24"/>
          <w:lang w:eastAsia="cs-CZ"/>
        </w:rPr>
        <w:t xml:space="preserve"> v celkovej sume 820 000 tis. </w:t>
      </w:r>
      <w:r w:rsidRPr="00983054">
        <w:rPr>
          <w:rFonts w:eastAsia="Times New Roman" w:cs="Times New Roman"/>
          <w:color w:val="000000"/>
          <w:sz w:val="24"/>
          <w:szCs w:val="24"/>
          <w:lang w:eastAsia="cs-CZ"/>
        </w:rPr>
        <w:t>eur v n</w:t>
      </w:r>
      <w:r>
        <w:rPr>
          <w:rFonts w:eastAsia="Times New Roman" w:cs="Times New Roman"/>
          <w:color w:val="000000"/>
          <w:sz w:val="24"/>
          <w:szCs w:val="24"/>
          <w:lang w:eastAsia="cs-CZ"/>
        </w:rPr>
        <w:t>adväznosti na zákon č. 461/2003 Z. z. o </w:t>
      </w:r>
      <w:r w:rsidRPr="00983054">
        <w:rPr>
          <w:rFonts w:eastAsia="Times New Roman" w:cs="Times New Roman"/>
          <w:color w:val="000000"/>
          <w:sz w:val="24"/>
          <w:szCs w:val="24"/>
          <w:lang w:eastAsia="cs-CZ"/>
        </w:rPr>
        <w:t>sociálnom poistení v znení neskorších predpisov najmä na vyplatenie výplaty valorizovaných dôchodkov, rodičovských dôchodkov a sociálnych dávok.</w:t>
      </w:r>
    </w:p>
    <w:p w14:paraId="0EB2F556" w14:textId="21EB580D" w:rsidR="00E76212" w:rsidRPr="00983054" w:rsidRDefault="00E76212" w:rsidP="00E76212">
      <w:pPr>
        <w:tabs>
          <w:tab w:val="left" w:pos="0"/>
          <w:tab w:val="left" w:pos="720"/>
          <w:tab w:val="left" w:pos="1440"/>
          <w:tab w:val="left" w:pos="2160"/>
          <w:tab w:val="left" w:pos="2880"/>
          <w:tab w:val="left" w:pos="3600"/>
          <w:tab w:val="left" w:pos="4320"/>
        </w:tabs>
        <w:adjustRightInd w:val="0"/>
        <w:spacing w:after="240" w:line="240" w:lineRule="auto"/>
        <w:rPr>
          <w:rFonts w:eastAsia="Times New Roman" w:cs="Times New Roman"/>
          <w:color w:val="000000"/>
          <w:sz w:val="24"/>
          <w:szCs w:val="24"/>
          <w:lang w:eastAsia="cs-CZ"/>
        </w:rPr>
      </w:pPr>
      <w:r w:rsidRPr="00983054">
        <w:rPr>
          <w:rFonts w:eastAsia="Times New Roman" w:cs="Times New Roman"/>
          <w:color w:val="000000"/>
          <w:sz w:val="24"/>
          <w:szCs w:val="24"/>
          <w:lang w:eastAsia="cs-CZ"/>
        </w:rPr>
        <w:t>Podrobné informácie o uvoľnených prostriedkoch jednotlivým kapitolám štátneho rozpočtu sú prezentované v </w:t>
      </w:r>
      <w:r w:rsidR="00DD022A">
        <w:rPr>
          <w:rFonts w:eastAsia="Times New Roman" w:cs="Times New Roman"/>
          <w:color w:val="000000"/>
          <w:sz w:val="24"/>
          <w:szCs w:val="24"/>
          <w:lang w:eastAsia="cs-CZ"/>
        </w:rPr>
        <w:t>Tabuľke 55</w:t>
      </w:r>
      <w:r w:rsidRPr="00983054">
        <w:rPr>
          <w:rFonts w:eastAsia="Times New Roman" w:cs="Times New Roman"/>
          <w:color w:val="000000"/>
          <w:sz w:val="24"/>
          <w:szCs w:val="24"/>
          <w:lang w:eastAsia="cs-CZ"/>
        </w:rPr>
        <w:t>.</w:t>
      </w:r>
    </w:p>
    <w:p w14:paraId="027AA8BB" w14:textId="56CE99B1" w:rsidR="00E76212" w:rsidRPr="00983054" w:rsidRDefault="00E76212" w:rsidP="008172CD">
      <w:pPr>
        <w:tabs>
          <w:tab w:val="left" w:pos="0"/>
          <w:tab w:val="left" w:pos="720"/>
          <w:tab w:val="left" w:pos="1440"/>
          <w:tab w:val="left" w:pos="2160"/>
          <w:tab w:val="left" w:pos="2880"/>
          <w:tab w:val="left" w:pos="3600"/>
          <w:tab w:val="left" w:pos="4320"/>
        </w:tabs>
        <w:adjustRightInd w:val="0"/>
        <w:spacing w:line="240" w:lineRule="auto"/>
        <w:rPr>
          <w:b/>
          <w:bCs/>
          <w:color w:val="5B9BD5"/>
          <w:sz w:val="20"/>
          <w:szCs w:val="20"/>
        </w:rPr>
      </w:pPr>
      <w:r w:rsidRPr="00983054">
        <w:rPr>
          <w:b/>
          <w:bCs/>
          <w:color w:val="5B9BD5"/>
          <w:sz w:val="20"/>
          <w:szCs w:val="20"/>
        </w:rPr>
        <w:t xml:space="preserve">Tabuľka </w:t>
      </w:r>
      <w:r w:rsidR="00DD022A">
        <w:rPr>
          <w:b/>
          <w:bCs/>
          <w:color w:val="5B9BD5"/>
          <w:sz w:val="20"/>
          <w:szCs w:val="20"/>
        </w:rPr>
        <w:t>55</w:t>
      </w:r>
      <w:r w:rsidRPr="00983054">
        <w:rPr>
          <w:b/>
          <w:bCs/>
          <w:color w:val="5B9BD5"/>
          <w:sz w:val="20"/>
          <w:szCs w:val="20"/>
        </w:rPr>
        <w:t xml:space="preserve"> - Rezerva na riešenie vplyvov legislatívnych zmien </w:t>
      </w:r>
    </w:p>
    <w:tbl>
      <w:tblPr>
        <w:tblW w:w="9353" w:type="dxa"/>
        <w:tblCellMar>
          <w:left w:w="70" w:type="dxa"/>
          <w:right w:w="70" w:type="dxa"/>
        </w:tblCellMar>
        <w:tblLook w:val="04A0" w:firstRow="1" w:lastRow="0" w:firstColumn="1" w:lastColumn="0" w:noHBand="0" w:noVBand="1"/>
      </w:tblPr>
      <w:tblGrid>
        <w:gridCol w:w="1418"/>
        <w:gridCol w:w="5985"/>
        <w:gridCol w:w="1950"/>
      </w:tblGrid>
      <w:tr w:rsidR="00E76212" w:rsidRPr="008C63ED" w14:paraId="7086A4F9" w14:textId="77777777" w:rsidTr="00D2560E">
        <w:trPr>
          <w:trHeight w:val="330"/>
        </w:trPr>
        <w:tc>
          <w:tcPr>
            <w:tcW w:w="1418" w:type="dxa"/>
            <w:tcBorders>
              <w:top w:val="single" w:sz="4" w:space="0" w:color="auto"/>
              <w:left w:val="nil"/>
              <w:bottom w:val="single" w:sz="4" w:space="0" w:color="auto"/>
              <w:right w:val="nil"/>
            </w:tcBorders>
            <w:shd w:val="clear" w:color="auto" w:fill="auto"/>
            <w:noWrap/>
            <w:vAlign w:val="center"/>
            <w:hideMark/>
          </w:tcPr>
          <w:p w14:paraId="36A7C229" w14:textId="77777777" w:rsidR="00E76212" w:rsidRPr="009819F0" w:rsidRDefault="00E76212" w:rsidP="00D2560E">
            <w:pPr>
              <w:spacing w:after="0" w:line="240" w:lineRule="auto"/>
              <w:rPr>
                <w:rFonts w:eastAsia="Times New Roman" w:cs="Times New Roman"/>
                <w:b/>
                <w:bCs/>
                <w:sz w:val="18"/>
                <w:szCs w:val="18"/>
                <w:lang w:eastAsia="sk-SK"/>
              </w:rPr>
            </w:pPr>
            <w:r w:rsidRPr="009819F0">
              <w:rPr>
                <w:rFonts w:eastAsia="Times New Roman" w:cs="Times New Roman"/>
                <w:b/>
                <w:bCs/>
                <w:sz w:val="18"/>
                <w:szCs w:val="18"/>
                <w:lang w:eastAsia="sk-SK"/>
              </w:rPr>
              <w:t xml:space="preserve">Kapitola </w:t>
            </w:r>
          </w:p>
        </w:tc>
        <w:tc>
          <w:tcPr>
            <w:tcW w:w="5985" w:type="dxa"/>
            <w:tcBorders>
              <w:top w:val="single" w:sz="4" w:space="0" w:color="auto"/>
              <w:left w:val="nil"/>
              <w:bottom w:val="single" w:sz="4" w:space="0" w:color="auto"/>
              <w:right w:val="nil"/>
            </w:tcBorders>
            <w:shd w:val="clear" w:color="auto" w:fill="auto"/>
            <w:noWrap/>
            <w:vAlign w:val="center"/>
            <w:hideMark/>
          </w:tcPr>
          <w:p w14:paraId="5CD06986" w14:textId="4A8EDC83" w:rsidR="00E76212" w:rsidRPr="009819F0" w:rsidRDefault="00E76212" w:rsidP="00D2560E">
            <w:pPr>
              <w:spacing w:after="0" w:line="240" w:lineRule="auto"/>
              <w:jc w:val="center"/>
              <w:rPr>
                <w:rFonts w:eastAsia="Times New Roman" w:cs="Times New Roman"/>
                <w:b/>
                <w:bCs/>
                <w:sz w:val="18"/>
                <w:szCs w:val="18"/>
                <w:lang w:eastAsia="sk-SK"/>
              </w:rPr>
            </w:pPr>
            <w:r w:rsidRPr="009819F0">
              <w:rPr>
                <w:rFonts w:eastAsia="Times New Roman" w:cs="Times New Roman"/>
                <w:b/>
                <w:bCs/>
                <w:sz w:val="18"/>
                <w:szCs w:val="18"/>
                <w:lang w:eastAsia="sk-SK"/>
              </w:rPr>
              <w:t>Účel</w:t>
            </w:r>
          </w:p>
        </w:tc>
        <w:tc>
          <w:tcPr>
            <w:tcW w:w="1950" w:type="dxa"/>
            <w:tcBorders>
              <w:top w:val="single" w:sz="4" w:space="0" w:color="auto"/>
              <w:left w:val="nil"/>
              <w:bottom w:val="single" w:sz="4" w:space="0" w:color="auto"/>
              <w:right w:val="nil"/>
            </w:tcBorders>
            <w:shd w:val="clear" w:color="auto" w:fill="auto"/>
            <w:noWrap/>
            <w:vAlign w:val="center"/>
            <w:hideMark/>
          </w:tcPr>
          <w:p w14:paraId="426D273A" w14:textId="77777777" w:rsidR="00E76212" w:rsidRPr="009819F0" w:rsidRDefault="00E76212" w:rsidP="00D2560E">
            <w:pPr>
              <w:spacing w:after="0" w:line="240" w:lineRule="auto"/>
              <w:jc w:val="right"/>
              <w:rPr>
                <w:rFonts w:eastAsia="Times New Roman" w:cs="Times New Roman"/>
                <w:b/>
                <w:bCs/>
                <w:sz w:val="18"/>
                <w:szCs w:val="18"/>
                <w:lang w:eastAsia="sk-SK"/>
              </w:rPr>
            </w:pPr>
            <w:r w:rsidRPr="009819F0">
              <w:rPr>
                <w:rFonts w:eastAsia="Times New Roman" w:cs="Times New Roman"/>
                <w:b/>
                <w:bCs/>
                <w:sz w:val="18"/>
                <w:szCs w:val="18"/>
                <w:lang w:eastAsia="sk-SK"/>
              </w:rPr>
              <w:t>Suma v tis. eur</w:t>
            </w:r>
          </w:p>
        </w:tc>
      </w:tr>
      <w:tr w:rsidR="00E76212" w:rsidRPr="008C63ED" w14:paraId="61244F65" w14:textId="77777777" w:rsidTr="00D2560E">
        <w:trPr>
          <w:trHeight w:val="405"/>
        </w:trPr>
        <w:tc>
          <w:tcPr>
            <w:tcW w:w="1418" w:type="dxa"/>
            <w:vMerge w:val="restart"/>
            <w:tcBorders>
              <w:top w:val="nil"/>
              <w:left w:val="nil"/>
              <w:bottom w:val="nil"/>
              <w:right w:val="nil"/>
            </w:tcBorders>
            <w:shd w:val="clear" w:color="auto" w:fill="auto"/>
            <w:vAlign w:val="center"/>
            <w:hideMark/>
          </w:tcPr>
          <w:p w14:paraId="7873DA8A" w14:textId="77777777" w:rsidR="00E76212" w:rsidRPr="008C63ED" w:rsidRDefault="00E76212" w:rsidP="00D2560E">
            <w:pPr>
              <w:spacing w:after="0" w:line="240" w:lineRule="auto"/>
              <w:rPr>
                <w:rFonts w:eastAsia="Times New Roman" w:cs="Times New Roman"/>
                <w:sz w:val="16"/>
                <w:szCs w:val="16"/>
                <w:lang w:eastAsia="sk-SK"/>
              </w:rPr>
            </w:pPr>
            <w:r>
              <w:rPr>
                <w:rFonts w:eastAsia="Times New Roman" w:cs="Times New Roman"/>
                <w:sz w:val="16"/>
                <w:szCs w:val="16"/>
                <w:lang w:eastAsia="sk-SK"/>
              </w:rPr>
              <w:t>Ministerstvo práce, sociálnych vecí a rodiny SR</w:t>
            </w:r>
          </w:p>
        </w:tc>
        <w:tc>
          <w:tcPr>
            <w:tcW w:w="5985" w:type="dxa"/>
            <w:tcBorders>
              <w:top w:val="nil"/>
              <w:left w:val="nil"/>
              <w:bottom w:val="nil"/>
              <w:right w:val="nil"/>
            </w:tcBorders>
            <w:shd w:val="clear" w:color="auto" w:fill="auto"/>
            <w:vAlign w:val="bottom"/>
            <w:hideMark/>
          </w:tcPr>
          <w:p w14:paraId="0F93EA8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dofinancovanie 13. dôchodku podľa novely zákona č. 296/2020 Z. z. 13. dôchodku a o zmene a doplnení niektorých zákonov</w:t>
            </w:r>
          </w:p>
        </w:tc>
        <w:tc>
          <w:tcPr>
            <w:tcW w:w="1950" w:type="dxa"/>
            <w:tcBorders>
              <w:top w:val="nil"/>
              <w:left w:val="nil"/>
              <w:bottom w:val="nil"/>
              <w:right w:val="nil"/>
            </w:tcBorders>
            <w:shd w:val="clear" w:color="auto" w:fill="auto"/>
            <w:vAlign w:val="center"/>
            <w:hideMark/>
          </w:tcPr>
          <w:p w14:paraId="3899036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438 640</w:t>
            </w:r>
          </w:p>
        </w:tc>
      </w:tr>
      <w:tr w:rsidR="00E76212" w:rsidRPr="008C63ED" w14:paraId="17A4288F" w14:textId="77777777" w:rsidTr="00D2560E">
        <w:trPr>
          <w:trHeight w:val="1544"/>
        </w:trPr>
        <w:tc>
          <w:tcPr>
            <w:tcW w:w="1418" w:type="dxa"/>
            <w:vMerge/>
            <w:tcBorders>
              <w:top w:val="nil"/>
              <w:left w:val="nil"/>
              <w:bottom w:val="nil"/>
              <w:right w:val="nil"/>
            </w:tcBorders>
            <w:vAlign w:val="center"/>
            <w:hideMark/>
          </w:tcPr>
          <w:p w14:paraId="4906D2BF"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bottom w:val="nil"/>
              <w:right w:val="nil"/>
            </w:tcBorders>
            <w:shd w:val="clear" w:color="auto" w:fill="auto"/>
            <w:vAlign w:val="bottom"/>
            <w:hideMark/>
          </w:tcPr>
          <w:p w14:paraId="25CFC94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prídavok na dieťa a prídavok pre prvákov podľa zákona č. 397/2022 Z. z., </w:t>
            </w:r>
            <w:r w:rsidRPr="008C63ED">
              <w:rPr>
                <w:rFonts w:eastAsia="Times New Roman" w:cs="Times New Roman"/>
                <w:sz w:val="16"/>
                <w:szCs w:val="16"/>
                <w:lang w:eastAsia="sk-SK"/>
              </w:rPr>
              <w:br/>
              <w:t xml:space="preserve">ktorým sa mení a dopĺňa zákon č. 600/2003 Z. z. o prídavku na dieťa a o zmene a doplnení zákona č. 461/2003 Z. z. o sociálnom poistení v znení neskorších predpisov a ktorým sa menia a dopĺňajú niektoré zákony a na príspevok na opatrovanie pre poberateľov dôchodkovej dávky podľa zákona č. 400/2022 Z. z., ktorým sa mení a dopĺňa zákon č. 447/2008 Z. z. o peňažných príspevkoch na kompenzáciu ťažkého zdravotného postihnutia a o zmene a doplnení niektorých zákonov v znení neskorších predpisov </w:t>
            </w:r>
          </w:p>
        </w:tc>
        <w:tc>
          <w:tcPr>
            <w:tcW w:w="1950" w:type="dxa"/>
            <w:tcBorders>
              <w:top w:val="nil"/>
              <w:left w:val="nil"/>
              <w:bottom w:val="nil"/>
              <w:right w:val="nil"/>
            </w:tcBorders>
            <w:shd w:val="clear" w:color="auto" w:fill="auto"/>
            <w:vAlign w:val="center"/>
            <w:hideMark/>
          </w:tcPr>
          <w:p w14:paraId="2F6A2F4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269 384</w:t>
            </w:r>
          </w:p>
        </w:tc>
      </w:tr>
      <w:tr w:rsidR="00E76212" w:rsidRPr="008C63ED" w14:paraId="426F056C" w14:textId="77777777" w:rsidTr="00D2560E">
        <w:trPr>
          <w:trHeight w:val="723"/>
        </w:trPr>
        <w:tc>
          <w:tcPr>
            <w:tcW w:w="1418" w:type="dxa"/>
            <w:vMerge/>
            <w:tcBorders>
              <w:top w:val="nil"/>
              <w:left w:val="nil"/>
              <w:bottom w:val="nil"/>
              <w:right w:val="nil"/>
            </w:tcBorders>
            <w:vAlign w:val="center"/>
            <w:hideMark/>
          </w:tcPr>
          <w:p w14:paraId="0FB4BC29"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bottom w:val="nil"/>
              <w:right w:val="nil"/>
            </w:tcBorders>
            <w:shd w:val="clear" w:color="auto" w:fill="auto"/>
            <w:vAlign w:val="bottom"/>
            <w:hideMark/>
          </w:tcPr>
          <w:p w14:paraId="23A32BF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dotáciu na podporu výchovy k stravovacím návykom dieťaťa podľa zákona č. 65/2023 Z.</w:t>
            </w:r>
            <w:r>
              <w:rPr>
                <w:rFonts w:eastAsia="Times New Roman" w:cs="Times New Roman"/>
                <w:sz w:val="16"/>
                <w:szCs w:val="16"/>
                <w:lang w:eastAsia="sk-SK"/>
              </w:rPr>
              <w:t> </w:t>
            </w:r>
            <w:r w:rsidRPr="008C63ED">
              <w:rPr>
                <w:rFonts w:eastAsia="Times New Roman" w:cs="Times New Roman"/>
                <w:sz w:val="16"/>
                <w:szCs w:val="16"/>
                <w:lang w:eastAsia="sk-SK"/>
              </w:rPr>
              <w:t>z., ktorým sa mení a dopĺňa zákon č. 544/2010 Z. z. o dotáciách v pôsobnosti MPSVR SR a zákon č. 417/20</w:t>
            </w:r>
            <w:r>
              <w:rPr>
                <w:rFonts w:eastAsia="Times New Roman" w:cs="Times New Roman"/>
                <w:sz w:val="16"/>
                <w:szCs w:val="16"/>
                <w:lang w:eastAsia="sk-SK"/>
              </w:rPr>
              <w:t>1</w:t>
            </w:r>
            <w:r w:rsidRPr="008C63ED">
              <w:rPr>
                <w:rFonts w:eastAsia="Times New Roman" w:cs="Times New Roman"/>
                <w:sz w:val="16"/>
                <w:szCs w:val="16"/>
                <w:lang w:eastAsia="sk-SK"/>
              </w:rPr>
              <w:t>3 Z. z. o pomoci v hmotnej núdzi a o zmene a doplnení niektorých zákonov</w:t>
            </w:r>
          </w:p>
        </w:tc>
        <w:tc>
          <w:tcPr>
            <w:tcW w:w="1950" w:type="dxa"/>
            <w:tcBorders>
              <w:top w:val="nil"/>
              <w:left w:val="nil"/>
              <w:bottom w:val="nil"/>
              <w:right w:val="nil"/>
            </w:tcBorders>
            <w:shd w:val="clear" w:color="auto" w:fill="auto"/>
            <w:vAlign w:val="center"/>
            <w:hideMark/>
          </w:tcPr>
          <w:p w14:paraId="45D9751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67 090</w:t>
            </w:r>
          </w:p>
        </w:tc>
      </w:tr>
      <w:tr w:rsidR="00E76212" w:rsidRPr="008C63ED" w14:paraId="223AB36F" w14:textId="77777777" w:rsidTr="00D2560E">
        <w:trPr>
          <w:trHeight w:val="1414"/>
        </w:trPr>
        <w:tc>
          <w:tcPr>
            <w:tcW w:w="1418" w:type="dxa"/>
            <w:vMerge/>
            <w:tcBorders>
              <w:top w:val="nil"/>
              <w:left w:val="nil"/>
              <w:bottom w:val="nil"/>
              <w:right w:val="nil"/>
            </w:tcBorders>
            <w:vAlign w:val="center"/>
            <w:hideMark/>
          </w:tcPr>
          <w:p w14:paraId="382FCDF0"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bottom w:val="nil"/>
              <w:right w:val="nil"/>
            </w:tcBorders>
            <w:shd w:val="clear" w:color="auto" w:fill="auto"/>
            <w:vAlign w:val="bottom"/>
            <w:hideMark/>
          </w:tcPr>
          <w:p w14:paraId="1CFC318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stabilizačný príspevok pre zamestnancov vybraných zariadení soc. služieb, zariadení sociálnoprávnej ochrany detí a soc. kurately a domácej opatrovateľskej služby podľa UZN</w:t>
            </w:r>
          </w:p>
          <w:p w14:paraId="1204CA8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č. 823/2022 k návrhu nariadenia vlády SR, ktorým sa dopĺňa nariadenie vlády SR </w:t>
            </w:r>
            <w:r w:rsidRPr="008C63ED">
              <w:rPr>
                <w:rFonts w:eastAsia="Times New Roman" w:cs="Times New Roman"/>
                <w:sz w:val="16"/>
                <w:szCs w:val="16"/>
                <w:lang w:eastAsia="sk-SK"/>
              </w:rPr>
              <w:br/>
              <w:t>č. 131/2022 Z. z. o niektorých opatreniach v oblasti dotácií v pôsobnosti MPSVR SR v čase mimoriadnej situácie, núdzového stavu alebo výnimočného stavu vyhláseného v súvislosti s hromadným prílevom cudzincov na územie Slovenskej republiky spôsobeným ozbrojeným konfliktom na území Ukrajiny v znení neskorších predpisov</w:t>
            </w:r>
          </w:p>
        </w:tc>
        <w:tc>
          <w:tcPr>
            <w:tcW w:w="1950" w:type="dxa"/>
            <w:tcBorders>
              <w:top w:val="nil"/>
              <w:left w:val="nil"/>
              <w:bottom w:val="nil"/>
              <w:right w:val="nil"/>
            </w:tcBorders>
            <w:shd w:val="clear" w:color="auto" w:fill="auto"/>
            <w:vAlign w:val="center"/>
            <w:hideMark/>
          </w:tcPr>
          <w:p w14:paraId="5CD9951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48 758</w:t>
            </w:r>
          </w:p>
        </w:tc>
      </w:tr>
      <w:tr w:rsidR="00E76212" w:rsidRPr="008C63ED" w14:paraId="56F48720" w14:textId="77777777" w:rsidTr="00D2560E">
        <w:trPr>
          <w:trHeight w:val="869"/>
        </w:trPr>
        <w:tc>
          <w:tcPr>
            <w:tcW w:w="1418" w:type="dxa"/>
            <w:vMerge/>
            <w:tcBorders>
              <w:top w:val="nil"/>
              <w:left w:val="nil"/>
              <w:bottom w:val="nil"/>
              <w:right w:val="nil"/>
            </w:tcBorders>
            <w:vAlign w:val="center"/>
            <w:hideMark/>
          </w:tcPr>
          <w:p w14:paraId="410275C0"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bottom w:val="nil"/>
              <w:right w:val="nil"/>
            </w:tcBorders>
            <w:shd w:val="clear" w:color="auto" w:fill="auto"/>
            <w:vAlign w:val="bottom"/>
            <w:hideMark/>
          </w:tcPr>
          <w:p w14:paraId="166C2B1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valorizáciu rodičovského príspevku podľa zákona č. 210/2023 Z. z., ktorým sa mení a dopĺňa zákon č. 461/2003 Z. z. o sociálnom poistení v znení neskorších predpisov a ktorým sa mení a dopĺňa zákon č. 571/2009 Z. z. o rodičovskom príspevku a o zmene a doplnení niektorých zákonov v znení neskorších predpisov</w:t>
            </w:r>
          </w:p>
        </w:tc>
        <w:tc>
          <w:tcPr>
            <w:tcW w:w="1950" w:type="dxa"/>
            <w:tcBorders>
              <w:top w:val="nil"/>
              <w:left w:val="nil"/>
              <w:bottom w:val="nil"/>
              <w:right w:val="nil"/>
            </w:tcBorders>
            <w:shd w:val="clear" w:color="auto" w:fill="auto"/>
            <w:vAlign w:val="center"/>
            <w:hideMark/>
          </w:tcPr>
          <w:p w14:paraId="4EBD806C"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30 238</w:t>
            </w:r>
          </w:p>
        </w:tc>
      </w:tr>
      <w:tr w:rsidR="00E76212" w:rsidRPr="008C63ED" w14:paraId="48ABDC7C" w14:textId="77777777" w:rsidTr="00D2560E">
        <w:trPr>
          <w:trHeight w:val="961"/>
        </w:trPr>
        <w:tc>
          <w:tcPr>
            <w:tcW w:w="1418" w:type="dxa"/>
            <w:vMerge/>
            <w:tcBorders>
              <w:top w:val="nil"/>
              <w:left w:val="nil"/>
              <w:bottom w:val="nil"/>
              <w:right w:val="nil"/>
            </w:tcBorders>
            <w:vAlign w:val="center"/>
            <w:hideMark/>
          </w:tcPr>
          <w:p w14:paraId="7DF0B2EF"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bottom w:val="nil"/>
              <w:right w:val="nil"/>
            </w:tcBorders>
            <w:shd w:val="clear" w:color="auto" w:fill="auto"/>
            <w:vAlign w:val="bottom"/>
            <w:hideMark/>
          </w:tcPr>
          <w:p w14:paraId="160D72A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príspevok na bývanie a valorizáciu súm pomoci v hmotnej núdzi podľa zákona č. 275/2023 Z. z., ktorým sa mení a dopĺňa zákon č. 417/2013 Z. z. o pomoci v hmotnej núdzi a o zmene a doplnení niektorých zákonov v znení neskorších predpisov a ktorým sa mení a dopĺňa zákon č. 461/2003 Z. z. o sociálnom poistení v znení neskorších predpisov </w:t>
            </w:r>
          </w:p>
        </w:tc>
        <w:tc>
          <w:tcPr>
            <w:tcW w:w="1950" w:type="dxa"/>
            <w:tcBorders>
              <w:top w:val="nil"/>
              <w:left w:val="nil"/>
              <w:bottom w:val="nil"/>
              <w:right w:val="nil"/>
            </w:tcBorders>
            <w:shd w:val="clear" w:color="auto" w:fill="auto"/>
            <w:vAlign w:val="center"/>
            <w:hideMark/>
          </w:tcPr>
          <w:p w14:paraId="1CF39BC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10 210</w:t>
            </w:r>
          </w:p>
        </w:tc>
      </w:tr>
      <w:tr w:rsidR="00E76212" w:rsidRPr="008C63ED" w14:paraId="350EED8A" w14:textId="77777777" w:rsidTr="00D2560E">
        <w:trPr>
          <w:trHeight w:val="719"/>
        </w:trPr>
        <w:tc>
          <w:tcPr>
            <w:tcW w:w="1418" w:type="dxa"/>
            <w:vMerge/>
            <w:tcBorders>
              <w:top w:val="nil"/>
              <w:left w:val="nil"/>
              <w:bottom w:val="nil"/>
              <w:right w:val="nil"/>
            </w:tcBorders>
            <w:vAlign w:val="center"/>
            <w:hideMark/>
          </w:tcPr>
          <w:p w14:paraId="04366DEC"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bottom w:val="nil"/>
              <w:right w:val="nil"/>
            </w:tcBorders>
            <w:shd w:val="clear" w:color="auto" w:fill="auto"/>
            <w:vAlign w:val="bottom"/>
            <w:hideMark/>
          </w:tcPr>
          <w:p w14:paraId="3723A74A" w14:textId="0B4FFDF4"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aktívne opatrenia trhu práce v súla</w:t>
            </w:r>
            <w:r w:rsidR="00AA1476">
              <w:rPr>
                <w:rFonts w:eastAsia="Times New Roman" w:cs="Times New Roman"/>
                <w:sz w:val="16"/>
                <w:szCs w:val="16"/>
                <w:lang w:eastAsia="sk-SK"/>
              </w:rPr>
              <w:t>de so zákonom č. 488/2022 Z. z.</w:t>
            </w:r>
            <w:r w:rsidRPr="008C63ED">
              <w:rPr>
                <w:rFonts w:eastAsia="Times New Roman" w:cs="Times New Roman"/>
                <w:sz w:val="16"/>
                <w:szCs w:val="16"/>
                <w:lang w:eastAsia="sk-SK"/>
              </w:rPr>
              <w:t>, ktorým sa mení a dopĺňa zákon č. 5/2004 Z. z. o službách zamestnanosti a o zmene a doplnení niektorých zákonov v znení neskorších predpisov a ktorým sa menia a dopĺňajú niektoré zákony</w:t>
            </w:r>
          </w:p>
        </w:tc>
        <w:tc>
          <w:tcPr>
            <w:tcW w:w="1950" w:type="dxa"/>
            <w:tcBorders>
              <w:top w:val="nil"/>
              <w:left w:val="nil"/>
              <w:bottom w:val="nil"/>
              <w:right w:val="nil"/>
            </w:tcBorders>
            <w:shd w:val="clear" w:color="auto" w:fill="auto"/>
            <w:vAlign w:val="center"/>
            <w:hideMark/>
          </w:tcPr>
          <w:p w14:paraId="6DD5905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8 909</w:t>
            </w:r>
          </w:p>
        </w:tc>
      </w:tr>
      <w:tr w:rsidR="00E76212" w:rsidRPr="008C63ED" w14:paraId="4517E1FA" w14:textId="77777777" w:rsidTr="00D2560E">
        <w:trPr>
          <w:trHeight w:val="701"/>
        </w:trPr>
        <w:tc>
          <w:tcPr>
            <w:tcW w:w="1418" w:type="dxa"/>
            <w:vMerge/>
            <w:tcBorders>
              <w:top w:val="nil"/>
              <w:left w:val="nil"/>
              <w:bottom w:val="nil"/>
              <w:right w:val="nil"/>
            </w:tcBorders>
            <w:vAlign w:val="center"/>
            <w:hideMark/>
          </w:tcPr>
          <w:p w14:paraId="18BB86E6"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bottom w:val="nil"/>
              <w:right w:val="nil"/>
            </w:tcBorders>
            <w:shd w:val="clear" w:color="auto" w:fill="auto"/>
            <w:vAlign w:val="bottom"/>
            <w:hideMark/>
          </w:tcPr>
          <w:p w14:paraId="6D32EF2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zvýšenie peňažného príspevku na opatrovanie a sadzby na jednu hodinu osobnej asistencie podľa nariadenia vlády SR č. 232/2023 Z. z., ktorým sa ustanovuje výška sadzby na jednu hodinu osobnej asistencie a výška peňažného príspevku na opatrovanie </w:t>
            </w:r>
          </w:p>
        </w:tc>
        <w:tc>
          <w:tcPr>
            <w:tcW w:w="1950" w:type="dxa"/>
            <w:tcBorders>
              <w:top w:val="nil"/>
              <w:left w:val="nil"/>
              <w:bottom w:val="nil"/>
              <w:right w:val="nil"/>
            </w:tcBorders>
            <w:shd w:val="clear" w:color="auto" w:fill="auto"/>
            <w:vAlign w:val="center"/>
            <w:hideMark/>
          </w:tcPr>
          <w:p w14:paraId="560CD36D"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7 220</w:t>
            </w:r>
          </w:p>
        </w:tc>
      </w:tr>
      <w:tr w:rsidR="00E76212" w:rsidRPr="008C63ED" w14:paraId="22D2FEF6" w14:textId="77777777" w:rsidTr="00D2560E">
        <w:trPr>
          <w:trHeight w:val="1560"/>
        </w:trPr>
        <w:tc>
          <w:tcPr>
            <w:tcW w:w="1418" w:type="dxa"/>
            <w:vMerge/>
            <w:tcBorders>
              <w:top w:val="nil"/>
              <w:left w:val="nil"/>
              <w:bottom w:val="nil"/>
              <w:right w:val="nil"/>
            </w:tcBorders>
            <w:vAlign w:val="center"/>
            <w:hideMark/>
          </w:tcPr>
          <w:p w14:paraId="40450472"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bottom w:val="nil"/>
              <w:right w:val="nil"/>
            </w:tcBorders>
            <w:shd w:val="clear" w:color="auto" w:fill="auto"/>
            <w:vAlign w:val="bottom"/>
            <w:hideMark/>
          </w:tcPr>
          <w:p w14:paraId="32C84DF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dotáciu na podporu humanitárnej pomoci v sume 100 eur a dotácia na kompenzáciu výdavkov na platenie úhrady za obed pre deti v zariadeniach sociálnych služieb podľa UZN č. 195/2023 k návrhu nariadenia vlády SR, ktorým sa mení a dopĺňa nariadenie vlády SR č. 131/2022 Z. z. o niektorých opatreniach v oblasti dotácií v pôsobnosti MPSVR SR v čase mimoriadnej situácie, núdzového stavu alebo výnimočného stavu vyhláseného v súvislosti s hromadným prílevom cudzincov na územie Slovenskej republiky spôsobeným ozbrojeným konfliktom na území Ukrajiny v znení neskorších predpisov</w:t>
            </w:r>
          </w:p>
        </w:tc>
        <w:tc>
          <w:tcPr>
            <w:tcW w:w="1950" w:type="dxa"/>
            <w:tcBorders>
              <w:top w:val="nil"/>
              <w:left w:val="nil"/>
              <w:bottom w:val="nil"/>
              <w:right w:val="nil"/>
            </w:tcBorders>
            <w:shd w:val="clear" w:color="auto" w:fill="auto"/>
            <w:vAlign w:val="center"/>
            <w:hideMark/>
          </w:tcPr>
          <w:p w14:paraId="49642B03"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5 485</w:t>
            </w:r>
          </w:p>
        </w:tc>
      </w:tr>
      <w:tr w:rsidR="00E76212" w:rsidRPr="008C63ED" w14:paraId="43C95DE1" w14:textId="77777777" w:rsidTr="00D2560E">
        <w:trPr>
          <w:trHeight w:val="1140"/>
        </w:trPr>
        <w:tc>
          <w:tcPr>
            <w:tcW w:w="1418" w:type="dxa"/>
            <w:vMerge/>
            <w:tcBorders>
              <w:top w:val="nil"/>
              <w:left w:val="nil"/>
              <w:bottom w:val="nil"/>
              <w:right w:val="nil"/>
            </w:tcBorders>
            <w:vAlign w:val="center"/>
            <w:hideMark/>
          </w:tcPr>
          <w:p w14:paraId="138BFA49"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bottom w:val="nil"/>
              <w:right w:val="nil"/>
            </w:tcBorders>
            <w:shd w:val="clear" w:color="auto" w:fill="auto"/>
            <w:vAlign w:val="bottom"/>
            <w:hideMark/>
          </w:tcPr>
          <w:p w14:paraId="7C0D90F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zvýšenie výšky príspevku na poskytovanie sociálnej služby v zariadeniach podmienených odkázanosťou a vo vybraných zariadeniach krízovej intervencie podľa UZN č. 303/2023, ktorým sa mení a dopĺňa nariadenie vlády SR č. 234/2022 Z. z., ktorým sa ustanovuje výška finančného príspevku na poskytovanie sociálnej služby v niektorých druhoch zariadení sociálnych služieb na rok 2023 </w:t>
            </w:r>
          </w:p>
        </w:tc>
        <w:tc>
          <w:tcPr>
            <w:tcW w:w="1950" w:type="dxa"/>
            <w:tcBorders>
              <w:top w:val="nil"/>
              <w:left w:val="nil"/>
              <w:bottom w:val="nil"/>
              <w:right w:val="nil"/>
            </w:tcBorders>
            <w:shd w:val="clear" w:color="auto" w:fill="auto"/>
            <w:vAlign w:val="center"/>
            <w:hideMark/>
          </w:tcPr>
          <w:p w14:paraId="2F7F5AC1"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5 232</w:t>
            </w:r>
          </w:p>
        </w:tc>
      </w:tr>
      <w:tr w:rsidR="00E76212" w:rsidRPr="008C63ED" w14:paraId="5CEDA47D" w14:textId="77777777" w:rsidTr="00D2560E">
        <w:trPr>
          <w:trHeight w:val="720"/>
        </w:trPr>
        <w:tc>
          <w:tcPr>
            <w:tcW w:w="1418" w:type="dxa"/>
            <w:vMerge/>
            <w:tcBorders>
              <w:top w:val="nil"/>
              <w:left w:val="nil"/>
              <w:bottom w:val="nil"/>
              <w:right w:val="nil"/>
            </w:tcBorders>
            <w:vAlign w:val="center"/>
            <w:hideMark/>
          </w:tcPr>
          <w:p w14:paraId="1F234A52"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bottom w:val="nil"/>
              <w:right w:val="nil"/>
            </w:tcBorders>
            <w:shd w:val="clear" w:color="auto" w:fill="auto"/>
            <w:vAlign w:val="bottom"/>
            <w:hideMark/>
          </w:tcPr>
          <w:p w14:paraId="27E6ED8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financovanie nového útvaru inšpekcie v sociálnych veciach MPSVR SR, najmä na osobné výdavky podľa zákona č. 345/2022 Z. z. o inšpekcii v sociálnych veciach a o zmene a doplnení niektorých zákonov</w:t>
            </w:r>
          </w:p>
        </w:tc>
        <w:tc>
          <w:tcPr>
            <w:tcW w:w="1950" w:type="dxa"/>
            <w:tcBorders>
              <w:top w:val="nil"/>
              <w:left w:val="nil"/>
              <w:bottom w:val="nil"/>
              <w:right w:val="nil"/>
            </w:tcBorders>
            <w:shd w:val="clear" w:color="auto" w:fill="auto"/>
            <w:vAlign w:val="center"/>
            <w:hideMark/>
          </w:tcPr>
          <w:p w14:paraId="61322CCD"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4 535</w:t>
            </w:r>
          </w:p>
        </w:tc>
      </w:tr>
      <w:tr w:rsidR="00E76212" w:rsidRPr="008C63ED" w14:paraId="2E80B33C" w14:textId="77777777" w:rsidTr="00D2560E">
        <w:trPr>
          <w:trHeight w:val="673"/>
        </w:trPr>
        <w:tc>
          <w:tcPr>
            <w:tcW w:w="1418" w:type="dxa"/>
            <w:vMerge/>
            <w:tcBorders>
              <w:top w:val="nil"/>
              <w:left w:val="nil"/>
              <w:bottom w:val="nil"/>
              <w:right w:val="nil"/>
            </w:tcBorders>
            <w:vAlign w:val="center"/>
            <w:hideMark/>
          </w:tcPr>
          <w:p w14:paraId="23CC3E75"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bottom w:val="nil"/>
              <w:right w:val="nil"/>
            </w:tcBorders>
            <w:shd w:val="clear" w:color="auto" w:fill="auto"/>
            <w:vAlign w:val="bottom"/>
            <w:hideMark/>
          </w:tcPr>
          <w:p w14:paraId="6D84C95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finančné zabezpečenie osobných výdavkov a nákladov v štátnych a neštátnych CDR v súlade so zákonom č. 376/2022 Z. z. o profesionálnych náhradných rodičoch a o zmene a doplnení niektorých zákonov </w:t>
            </w:r>
          </w:p>
        </w:tc>
        <w:tc>
          <w:tcPr>
            <w:tcW w:w="1950" w:type="dxa"/>
            <w:tcBorders>
              <w:top w:val="nil"/>
              <w:left w:val="nil"/>
              <w:bottom w:val="nil"/>
              <w:right w:val="nil"/>
            </w:tcBorders>
            <w:shd w:val="clear" w:color="auto" w:fill="auto"/>
            <w:vAlign w:val="center"/>
            <w:hideMark/>
          </w:tcPr>
          <w:p w14:paraId="1A2C3F2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3 453</w:t>
            </w:r>
          </w:p>
        </w:tc>
      </w:tr>
      <w:tr w:rsidR="00E76212" w:rsidRPr="008C63ED" w14:paraId="24BE78E5" w14:textId="77777777" w:rsidTr="00D2560E">
        <w:trPr>
          <w:trHeight w:val="837"/>
        </w:trPr>
        <w:tc>
          <w:tcPr>
            <w:tcW w:w="1418" w:type="dxa"/>
            <w:vMerge/>
            <w:tcBorders>
              <w:top w:val="nil"/>
              <w:left w:val="nil"/>
              <w:bottom w:val="nil"/>
              <w:right w:val="nil"/>
            </w:tcBorders>
            <w:vAlign w:val="center"/>
            <w:hideMark/>
          </w:tcPr>
          <w:p w14:paraId="1A68D160"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bottom w:val="nil"/>
              <w:right w:val="nil"/>
            </w:tcBorders>
            <w:shd w:val="clear" w:color="auto" w:fill="auto"/>
            <w:vAlign w:val="bottom"/>
            <w:hideMark/>
          </w:tcPr>
          <w:p w14:paraId="42351BC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dofinancovanie štátom plateného poistného z dôvodu zavedenia tzv. otcovskej dovolenky podľa zákona č. 350/2022 Z. z., ktorým sa mení a dopĺňa zákon č. 311/2001 Z. z. Zákonník práce v znení neskorších predpisov a ktorým sa menia dopĺňajú niektoré zákony </w:t>
            </w:r>
          </w:p>
        </w:tc>
        <w:tc>
          <w:tcPr>
            <w:tcW w:w="1950" w:type="dxa"/>
            <w:tcBorders>
              <w:top w:val="nil"/>
              <w:left w:val="nil"/>
              <w:bottom w:val="nil"/>
              <w:right w:val="nil"/>
            </w:tcBorders>
            <w:shd w:val="clear" w:color="auto" w:fill="auto"/>
            <w:vAlign w:val="center"/>
            <w:hideMark/>
          </w:tcPr>
          <w:p w14:paraId="0A777B36"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3 101</w:t>
            </w:r>
          </w:p>
        </w:tc>
      </w:tr>
      <w:tr w:rsidR="00E76212" w:rsidRPr="008C63ED" w14:paraId="67E82E63" w14:textId="77777777" w:rsidTr="00D2560E">
        <w:trPr>
          <w:trHeight w:val="1030"/>
        </w:trPr>
        <w:tc>
          <w:tcPr>
            <w:tcW w:w="1418" w:type="dxa"/>
            <w:vMerge/>
            <w:tcBorders>
              <w:top w:val="nil"/>
              <w:left w:val="nil"/>
              <w:bottom w:val="nil"/>
              <w:right w:val="nil"/>
            </w:tcBorders>
            <w:vAlign w:val="center"/>
            <w:hideMark/>
          </w:tcPr>
          <w:p w14:paraId="3A30BE76"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bottom w:val="nil"/>
              <w:right w:val="nil"/>
            </w:tcBorders>
            <w:shd w:val="clear" w:color="auto" w:fill="auto"/>
            <w:vAlign w:val="bottom"/>
            <w:hideMark/>
          </w:tcPr>
          <w:p w14:paraId="7B07837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zvýšenie základnej zložky mzdy profesionálneho náhradného rodiča podľa nariadenia vlády SR č. 327/2023 Z. z., ktorým sa ustanovuje vyššia suma základnej zložky mzdy profesionálneho náhradného r</w:t>
            </w:r>
            <w:r>
              <w:rPr>
                <w:rFonts w:eastAsia="Times New Roman" w:cs="Times New Roman"/>
                <w:sz w:val="16"/>
                <w:szCs w:val="16"/>
                <w:lang w:eastAsia="sk-SK"/>
              </w:rPr>
              <w:t>odiča a ktorým sa dopĺňa zákon č. 376/2022 Z.</w:t>
            </w:r>
            <w:r w:rsidRPr="008C63ED">
              <w:rPr>
                <w:rFonts w:eastAsia="Times New Roman" w:cs="Times New Roman"/>
                <w:sz w:val="16"/>
                <w:szCs w:val="16"/>
                <w:lang w:eastAsia="sk-SK"/>
              </w:rPr>
              <w:t> z. o profesionálnych náhradných rodičoch a o zmene a doplnení nie ktorých zákonov</w:t>
            </w:r>
          </w:p>
        </w:tc>
        <w:tc>
          <w:tcPr>
            <w:tcW w:w="1950" w:type="dxa"/>
            <w:tcBorders>
              <w:top w:val="nil"/>
              <w:left w:val="nil"/>
              <w:bottom w:val="nil"/>
              <w:right w:val="nil"/>
            </w:tcBorders>
            <w:shd w:val="clear" w:color="auto" w:fill="auto"/>
            <w:vAlign w:val="center"/>
            <w:hideMark/>
          </w:tcPr>
          <w:p w14:paraId="6A4B5AD3"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707</w:t>
            </w:r>
          </w:p>
        </w:tc>
      </w:tr>
      <w:tr w:rsidR="00E76212" w:rsidRPr="008C63ED" w14:paraId="156370C1" w14:textId="77777777" w:rsidTr="00D2560E">
        <w:trPr>
          <w:trHeight w:val="1286"/>
        </w:trPr>
        <w:tc>
          <w:tcPr>
            <w:tcW w:w="1418" w:type="dxa"/>
            <w:vMerge/>
            <w:tcBorders>
              <w:top w:val="nil"/>
              <w:left w:val="nil"/>
              <w:bottom w:val="nil"/>
              <w:right w:val="nil"/>
            </w:tcBorders>
            <w:vAlign w:val="center"/>
            <w:hideMark/>
          </w:tcPr>
          <w:p w14:paraId="51486EB8"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bottom w:val="nil"/>
              <w:right w:val="nil"/>
            </w:tcBorders>
            <w:shd w:val="clear" w:color="auto" w:fill="auto"/>
            <w:vAlign w:val="bottom"/>
            <w:hideMark/>
          </w:tcPr>
          <w:p w14:paraId="62CC721E" w14:textId="77777777" w:rsidR="00E76212" w:rsidRPr="008C63ED" w:rsidRDefault="00E76212" w:rsidP="00D2560E">
            <w:pPr>
              <w:spacing w:after="24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jednorazové zvýšenie príspevku o 100 eur pre deti a mladých dospelých v profesionálnych náhradných rodinách podľa vyhlášky MPSVR SR č. 313/2023, ktorou sa dopĺňa vyhláška MPSVR SR č. 103/2018 Z. z., ktorou sa vykonávajú niektoré ustanovenia zákona č. 305/2005 Z. z. o sociálnoprávnej ochrane detí a o sociálnej kuratele a o zmene a doplnení niektorých zákonov v znení neskorších predpisov </w:t>
            </w:r>
          </w:p>
        </w:tc>
        <w:tc>
          <w:tcPr>
            <w:tcW w:w="1950" w:type="dxa"/>
            <w:tcBorders>
              <w:top w:val="nil"/>
              <w:left w:val="nil"/>
              <w:bottom w:val="nil"/>
              <w:right w:val="nil"/>
            </w:tcBorders>
            <w:shd w:val="clear" w:color="auto" w:fill="auto"/>
            <w:vAlign w:val="center"/>
            <w:hideMark/>
          </w:tcPr>
          <w:p w14:paraId="5842CA9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141</w:t>
            </w:r>
          </w:p>
        </w:tc>
      </w:tr>
      <w:tr w:rsidR="00E76212" w:rsidRPr="008C63ED" w14:paraId="3147ABBF" w14:textId="77777777" w:rsidTr="00D2560E">
        <w:trPr>
          <w:trHeight w:val="81"/>
        </w:trPr>
        <w:tc>
          <w:tcPr>
            <w:tcW w:w="7399" w:type="dxa"/>
            <w:gridSpan w:val="2"/>
            <w:tcBorders>
              <w:top w:val="nil"/>
              <w:left w:val="nil"/>
              <w:bottom w:val="single" w:sz="4" w:space="0" w:color="auto"/>
              <w:right w:val="nil"/>
            </w:tcBorders>
            <w:shd w:val="clear" w:color="auto" w:fill="auto"/>
            <w:vAlign w:val="center"/>
            <w:hideMark/>
          </w:tcPr>
          <w:p w14:paraId="22E96ACA"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950" w:type="dxa"/>
            <w:tcBorders>
              <w:top w:val="nil"/>
              <w:left w:val="nil"/>
              <w:bottom w:val="nil"/>
              <w:right w:val="nil"/>
            </w:tcBorders>
            <w:shd w:val="clear" w:color="auto" w:fill="auto"/>
            <w:vAlign w:val="center"/>
            <w:hideMark/>
          </w:tcPr>
          <w:p w14:paraId="6FB29694"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903 102</w:t>
            </w:r>
          </w:p>
        </w:tc>
      </w:tr>
      <w:tr w:rsidR="00E76212" w:rsidRPr="008C63ED" w14:paraId="5925F60F" w14:textId="77777777" w:rsidTr="00D2560E">
        <w:trPr>
          <w:trHeight w:val="735"/>
        </w:trPr>
        <w:tc>
          <w:tcPr>
            <w:tcW w:w="1418" w:type="dxa"/>
            <w:vMerge w:val="restart"/>
            <w:tcBorders>
              <w:top w:val="nil"/>
              <w:left w:val="nil"/>
              <w:bottom w:val="nil"/>
              <w:right w:val="nil"/>
            </w:tcBorders>
            <w:shd w:val="clear" w:color="auto" w:fill="auto"/>
            <w:vAlign w:val="center"/>
            <w:hideMark/>
          </w:tcPr>
          <w:p w14:paraId="25947B2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kultúry</w:t>
            </w:r>
            <w:r w:rsidRPr="008C63ED">
              <w:rPr>
                <w:rFonts w:eastAsia="Times New Roman" w:cs="Times New Roman"/>
                <w:sz w:val="16"/>
                <w:szCs w:val="16"/>
                <w:lang w:eastAsia="sk-SK"/>
              </w:rPr>
              <w:t xml:space="preserve"> SR </w:t>
            </w:r>
          </w:p>
        </w:tc>
        <w:tc>
          <w:tcPr>
            <w:tcW w:w="5985" w:type="dxa"/>
            <w:tcBorders>
              <w:top w:val="nil"/>
              <w:left w:val="nil"/>
              <w:bottom w:val="nil"/>
              <w:right w:val="nil"/>
            </w:tcBorders>
            <w:shd w:val="clear" w:color="auto" w:fill="auto"/>
            <w:vAlign w:val="bottom"/>
            <w:hideMark/>
          </w:tcPr>
          <w:p w14:paraId="4C456CE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financovanie RTVS podľa zákona č. 242/2023 Z. z. ktorým sa mení a dopĺňa zákon č. 532/2010 Z. z. o Rozhlase a televízii Slovenska a o zmene a doplnení niektorých zákonov v znení neskorších predpisov a ktorým sa menia a dopĺňajú niektoré zákony</w:t>
            </w:r>
          </w:p>
        </w:tc>
        <w:tc>
          <w:tcPr>
            <w:tcW w:w="1950" w:type="dxa"/>
            <w:tcBorders>
              <w:top w:val="single" w:sz="4" w:space="0" w:color="auto"/>
              <w:left w:val="nil"/>
              <w:bottom w:val="nil"/>
              <w:right w:val="nil"/>
            </w:tcBorders>
            <w:shd w:val="clear" w:color="auto" w:fill="auto"/>
            <w:vAlign w:val="center"/>
            <w:hideMark/>
          </w:tcPr>
          <w:p w14:paraId="1E7066D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41 500</w:t>
            </w:r>
          </w:p>
        </w:tc>
      </w:tr>
      <w:tr w:rsidR="00E76212" w:rsidRPr="008C63ED" w14:paraId="6D5879FF" w14:textId="77777777" w:rsidTr="00D2560E">
        <w:trPr>
          <w:trHeight w:val="895"/>
        </w:trPr>
        <w:tc>
          <w:tcPr>
            <w:tcW w:w="1418" w:type="dxa"/>
            <w:vMerge/>
            <w:tcBorders>
              <w:top w:val="nil"/>
              <w:left w:val="nil"/>
              <w:bottom w:val="nil"/>
              <w:right w:val="nil"/>
            </w:tcBorders>
            <w:vAlign w:val="center"/>
            <w:hideMark/>
          </w:tcPr>
          <w:p w14:paraId="205D80E2"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bottom w:val="nil"/>
              <w:right w:val="nil"/>
            </w:tcBorders>
            <w:shd w:val="clear" w:color="auto" w:fill="auto"/>
            <w:vAlign w:val="bottom"/>
            <w:hideMark/>
          </w:tcPr>
          <w:p w14:paraId="3E26130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úhradu poistného za fyzické osoby, ktoré sú členmi cirkevného, rehoľného alebo charitatívneho spoločenstva podľa zákona č. 125/2022, kt</w:t>
            </w:r>
            <w:r>
              <w:rPr>
                <w:rFonts w:eastAsia="Times New Roman" w:cs="Times New Roman"/>
                <w:sz w:val="16"/>
                <w:szCs w:val="16"/>
                <w:lang w:eastAsia="sk-SK"/>
              </w:rPr>
              <w:t>orým sa mení a dopĺňa zákon č. </w:t>
            </w:r>
            <w:r w:rsidRPr="008C63ED">
              <w:rPr>
                <w:rFonts w:eastAsia="Times New Roman" w:cs="Times New Roman"/>
                <w:sz w:val="16"/>
                <w:szCs w:val="16"/>
                <w:lang w:eastAsia="sk-SK"/>
              </w:rPr>
              <w:t xml:space="preserve">461/2003 Z. z. o sociálnom poistení v znení neskorších predpisov a ktorým sa menia a dopĺňajú niektoré zákony </w:t>
            </w:r>
          </w:p>
        </w:tc>
        <w:tc>
          <w:tcPr>
            <w:tcW w:w="1950" w:type="dxa"/>
            <w:tcBorders>
              <w:top w:val="nil"/>
              <w:left w:val="nil"/>
              <w:bottom w:val="nil"/>
              <w:right w:val="nil"/>
            </w:tcBorders>
            <w:shd w:val="clear" w:color="auto" w:fill="auto"/>
            <w:vAlign w:val="center"/>
            <w:hideMark/>
          </w:tcPr>
          <w:p w14:paraId="55B3C9F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944</w:t>
            </w:r>
          </w:p>
        </w:tc>
      </w:tr>
      <w:tr w:rsidR="00E76212" w:rsidRPr="008C63ED" w14:paraId="4E8A8C65" w14:textId="77777777" w:rsidTr="00D2560E">
        <w:trPr>
          <w:trHeight w:val="1064"/>
        </w:trPr>
        <w:tc>
          <w:tcPr>
            <w:tcW w:w="1418" w:type="dxa"/>
            <w:vMerge/>
            <w:tcBorders>
              <w:top w:val="nil"/>
              <w:left w:val="nil"/>
              <w:bottom w:val="nil"/>
              <w:right w:val="nil"/>
            </w:tcBorders>
            <w:vAlign w:val="center"/>
            <w:hideMark/>
          </w:tcPr>
          <w:p w14:paraId="764D2757"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bottom w:val="nil"/>
              <w:right w:val="nil"/>
            </w:tcBorders>
            <w:shd w:val="clear" w:color="auto" w:fill="auto"/>
            <w:vAlign w:val="bottom"/>
            <w:hideMark/>
          </w:tcPr>
          <w:p w14:paraId="08EB309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poskytnutie príspevku umeleckým fondom na rok 2023 podľa zákona č. 242/2023 Z. z., ktorým sa mení a dopĺňa zákon č. 532/2010 Z. z. o Rozhlase a televízii Slovenska a o zmene a doplnení niektorých zákonov v znení neskorších predpisov a ktorým sa mení a dopĺňa zákon č. 13/1993 Z. z. Národnej rady SR o umeleckých fondoch v znení neskorších predpisov</w:t>
            </w:r>
          </w:p>
        </w:tc>
        <w:tc>
          <w:tcPr>
            <w:tcW w:w="1950" w:type="dxa"/>
            <w:tcBorders>
              <w:top w:val="nil"/>
              <w:left w:val="nil"/>
              <w:bottom w:val="nil"/>
              <w:right w:val="nil"/>
            </w:tcBorders>
            <w:shd w:val="clear" w:color="auto" w:fill="auto"/>
            <w:vAlign w:val="center"/>
            <w:hideMark/>
          </w:tcPr>
          <w:p w14:paraId="41B4C23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450</w:t>
            </w:r>
          </w:p>
        </w:tc>
      </w:tr>
      <w:tr w:rsidR="00E76212" w:rsidRPr="008C63ED" w14:paraId="7DD8113F" w14:textId="77777777" w:rsidTr="00D2560E">
        <w:trPr>
          <w:trHeight w:val="330"/>
        </w:trPr>
        <w:tc>
          <w:tcPr>
            <w:tcW w:w="7399" w:type="dxa"/>
            <w:gridSpan w:val="2"/>
            <w:tcBorders>
              <w:top w:val="nil"/>
              <w:left w:val="nil"/>
              <w:bottom w:val="single" w:sz="4" w:space="0" w:color="auto"/>
              <w:right w:val="nil"/>
            </w:tcBorders>
            <w:shd w:val="clear" w:color="auto" w:fill="auto"/>
            <w:vAlign w:val="center"/>
            <w:hideMark/>
          </w:tcPr>
          <w:p w14:paraId="3438DA2E"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xml:space="preserve">Spolu </w:t>
            </w:r>
          </w:p>
        </w:tc>
        <w:tc>
          <w:tcPr>
            <w:tcW w:w="1950" w:type="dxa"/>
            <w:tcBorders>
              <w:top w:val="nil"/>
              <w:left w:val="nil"/>
              <w:bottom w:val="nil"/>
              <w:right w:val="nil"/>
            </w:tcBorders>
            <w:shd w:val="clear" w:color="auto" w:fill="auto"/>
            <w:vAlign w:val="center"/>
            <w:hideMark/>
          </w:tcPr>
          <w:p w14:paraId="0416E83D"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42 894</w:t>
            </w:r>
          </w:p>
        </w:tc>
      </w:tr>
      <w:tr w:rsidR="00E76212" w:rsidRPr="008C63ED" w14:paraId="444C04B5" w14:textId="77777777" w:rsidTr="00D2560E">
        <w:trPr>
          <w:trHeight w:val="875"/>
        </w:trPr>
        <w:tc>
          <w:tcPr>
            <w:tcW w:w="1418" w:type="dxa"/>
            <w:vMerge w:val="restart"/>
            <w:tcBorders>
              <w:top w:val="nil"/>
              <w:left w:val="nil"/>
              <w:bottom w:val="nil"/>
              <w:right w:val="nil"/>
            </w:tcBorders>
            <w:shd w:val="clear" w:color="auto" w:fill="auto"/>
            <w:vAlign w:val="center"/>
            <w:hideMark/>
          </w:tcPr>
          <w:p w14:paraId="651A9AB7" w14:textId="77777777" w:rsidR="00E76212" w:rsidRPr="008C63ED" w:rsidRDefault="00E76212" w:rsidP="00D2560E">
            <w:pPr>
              <w:spacing w:after="0" w:line="240" w:lineRule="auto"/>
              <w:rPr>
                <w:rFonts w:eastAsia="Times New Roman" w:cs="Times New Roman"/>
                <w:sz w:val="16"/>
                <w:szCs w:val="16"/>
                <w:lang w:eastAsia="sk-SK"/>
              </w:rPr>
            </w:pPr>
            <w:r>
              <w:rPr>
                <w:rFonts w:eastAsia="Times New Roman" w:cs="Times New Roman"/>
                <w:sz w:val="16"/>
                <w:szCs w:val="16"/>
                <w:lang w:eastAsia="sk-SK"/>
              </w:rPr>
              <w:t>Ministerstvo školstva, vedy, výskumu a športu SR</w:t>
            </w:r>
            <w:r w:rsidRPr="008C63ED">
              <w:rPr>
                <w:rFonts w:eastAsia="Times New Roman" w:cs="Times New Roman"/>
                <w:sz w:val="16"/>
                <w:szCs w:val="16"/>
                <w:lang w:eastAsia="sk-SK"/>
              </w:rPr>
              <w:t xml:space="preserve"> </w:t>
            </w:r>
          </w:p>
        </w:tc>
        <w:tc>
          <w:tcPr>
            <w:tcW w:w="5985" w:type="dxa"/>
            <w:tcBorders>
              <w:top w:val="nil"/>
              <w:left w:val="nil"/>
              <w:bottom w:val="nil"/>
              <w:right w:val="nil"/>
            </w:tcBorders>
            <w:shd w:val="clear" w:color="auto" w:fill="auto"/>
            <w:vAlign w:val="bottom"/>
            <w:hideMark/>
          </w:tcPr>
          <w:p w14:paraId="48AE4FF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príspevok na výchovu a vzdelávanie detí materských škôl podľa zákona č. 182/2023 Z. z., ktorým sa mení a dopĺňa zákon č. 245/2008 Z. z. o výchove a vzdelávaní (školský zákon) a o zmene a doplnení niektorých zákonov v znení neskorších predpisov a ktorým sa menia a dopĺňajú niektoré zákony</w:t>
            </w:r>
          </w:p>
        </w:tc>
        <w:tc>
          <w:tcPr>
            <w:tcW w:w="1950" w:type="dxa"/>
            <w:tcBorders>
              <w:top w:val="single" w:sz="4" w:space="0" w:color="auto"/>
              <w:left w:val="nil"/>
              <w:bottom w:val="nil"/>
              <w:right w:val="nil"/>
            </w:tcBorders>
            <w:shd w:val="clear" w:color="auto" w:fill="auto"/>
            <w:vAlign w:val="center"/>
            <w:hideMark/>
          </w:tcPr>
          <w:p w14:paraId="623FCA9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8 833</w:t>
            </w:r>
          </w:p>
        </w:tc>
      </w:tr>
      <w:tr w:rsidR="00E76212" w:rsidRPr="008C63ED" w14:paraId="5AD0590F" w14:textId="77777777" w:rsidTr="00D2560E">
        <w:trPr>
          <w:trHeight w:val="696"/>
        </w:trPr>
        <w:tc>
          <w:tcPr>
            <w:tcW w:w="1418" w:type="dxa"/>
            <w:vMerge/>
            <w:tcBorders>
              <w:top w:val="nil"/>
              <w:left w:val="nil"/>
              <w:bottom w:val="nil"/>
              <w:right w:val="nil"/>
            </w:tcBorders>
            <w:vAlign w:val="center"/>
            <w:hideMark/>
          </w:tcPr>
          <w:p w14:paraId="335D6547"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bottom w:val="nil"/>
              <w:right w:val="nil"/>
            </w:tcBorders>
            <w:shd w:val="clear" w:color="auto" w:fill="auto"/>
            <w:vAlign w:val="bottom"/>
            <w:hideMark/>
          </w:tcPr>
          <w:p w14:paraId="2103203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vzdelávanie žiakov v úvodných ročníkoch podľa zákona č. 182/2023 Z. z., ktorým sa mení a dopĺňa zákon č. 245/2008 Z. z. o výchove a vzdelávaní (školský zákon) a o zmene a doplnení niektorých zákonov</w:t>
            </w:r>
          </w:p>
        </w:tc>
        <w:tc>
          <w:tcPr>
            <w:tcW w:w="1950" w:type="dxa"/>
            <w:tcBorders>
              <w:top w:val="nil"/>
              <w:left w:val="nil"/>
              <w:bottom w:val="nil"/>
              <w:right w:val="nil"/>
            </w:tcBorders>
            <w:shd w:val="clear" w:color="auto" w:fill="auto"/>
            <w:vAlign w:val="center"/>
            <w:hideMark/>
          </w:tcPr>
          <w:p w14:paraId="0FF8E75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942</w:t>
            </w:r>
          </w:p>
        </w:tc>
      </w:tr>
      <w:tr w:rsidR="00E76212" w:rsidRPr="008C63ED" w14:paraId="4AF6EAF2" w14:textId="77777777" w:rsidTr="00D2560E">
        <w:trPr>
          <w:trHeight w:val="247"/>
        </w:trPr>
        <w:tc>
          <w:tcPr>
            <w:tcW w:w="7399" w:type="dxa"/>
            <w:gridSpan w:val="2"/>
            <w:tcBorders>
              <w:top w:val="nil"/>
              <w:left w:val="nil"/>
              <w:bottom w:val="single" w:sz="4" w:space="0" w:color="auto"/>
              <w:right w:val="nil"/>
            </w:tcBorders>
            <w:shd w:val="clear" w:color="auto" w:fill="auto"/>
            <w:vAlign w:val="center"/>
            <w:hideMark/>
          </w:tcPr>
          <w:p w14:paraId="05F58DD6"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950" w:type="dxa"/>
            <w:tcBorders>
              <w:top w:val="nil"/>
              <w:left w:val="nil"/>
              <w:bottom w:val="single" w:sz="4" w:space="0" w:color="auto"/>
              <w:right w:val="nil"/>
            </w:tcBorders>
            <w:shd w:val="clear" w:color="auto" w:fill="auto"/>
            <w:vAlign w:val="center"/>
            <w:hideMark/>
          </w:tcPr>
          <w:p w14:paraId="384F081C"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9 775</w:t>
            </w:r>
          </w:p>
        </w:tc>
      </w:tr>
      <w:tr w:rsidR="00E76212" w:rsidRPr="008C63ED" w14:paraId="57F8EE80" w14:textId="77777777" w:rsidTr="00D2560E">
        <w:trPr>
          <w:trHeight w:val="869"/>
        </w:trPr>
        <w:tc>
          <w:tcPr>
            <w:tcW w:w="1418" w:type="dxa"/>
            <w:vMerge w:val="restart"/>
            <w:tcBorders>
              <w:top w:val="nil"/>
              <w:left w:val="nil"/>
              <w:bottom w:val="nil"/>
              <w:right w:val="nil"/>
            </w:tcBorders>
            <w:shd w:val="clear" w:color="auto" w:fill="auto"/>
            <w:vAlign w:val="center"/>
            <w:hideMark/>
          </w:tcPr>
          <w:p w14:paraId="7DA0186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vnútra</w:t>
            </w:r>
            <w:r w:rsidRPr="008C63ED">
              <w:rPr>
                <w:rFonts w:eastAsia="Times New Roman" w:cs="Times New Roman"/>
                <w:sz w:val="16"/>
                <w:szCs w:val="16"/>
                <w:lang w:eastAsia="sk-SK"/>
              </w:rPr>
              <w:t xml:space="preserve"> SR </w:t>
            </w:r>
          </w:p>
        </w:tc>
        <w:tc>
          <w:tcPr>
            <w:tcW w:w="5985" w:type="dxa"/>
            <w:tcBorders>
              <w:top w:val="nil"/>
              <w:left w:val="nil"/>
              <w:bottom w:val="nil"/>
              <w:right w:val="nil"/>
            </w:tcBorders>
            <w:shd w:val="clear" w:color="auto" w:fill="auto"/>
            <w:vAlign w:val="bottom"/>
            <w:hideMark/>
          </w:tcPr>
          <w:p w14:paraId="01D54D7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Financovanie nevyhnutných výdavkov na plnenie úloh M</w:t>
            </w:r>
            <w:r>
              <w:rPr>
                <w:rFonts w:eastAsia="Times New Roman" w:cs="Times New Roman"/>
                <w:sz w:val="16"/>
                <w:szCs w:val="16"/>
                <w:lang w:eastAsia="sk-SK"/>
              </w:rPr>
              <w:t>inisterstvo vnútra</w:t>
            </w:r>
            <w:r w:rsidRPr="008C63ED">
              <w:rPr>
                <w:rFonts w:eastAsia="Times New Roman" w:cs="Times New Roman"/>
                <w:sz w:val="16"/>
                <w:szCs w:val="16"/>
                <w:lang w:eastAsia="sk-SK"/>
              </w:rPr>
              <w:t xml:space="preserve"> SR podľa zákona č. 328/2002 Z. z. o sociálnom zabezpečení policajtov a vojakov a o zmene a d</w:t>
            </w:r>
            <w:r>
              <w:rPr>
                <w:rFonts w:eastAsia="Times New Roman" w:cs="Times New Roman"/>
                <w:sz w:val="16"/>
                <w:szCs w:val="16"/>
                <w:lang w:eastAsia="sk-SK"/>
              </w:rPr>
              <w:t>oplnení niektorých zákonov, na </w:t>
            </w:r>
            <w:r w:rsidRPr="008C63ED">
              <w:rPr>
                <w:rFonts w:eastAsia="Times New Roman" w:cs="Times New Roman"/>
                <w:sz w:val="16"/>
                <w:szCs w:val="16"/>
                <w:lang w:eastAsia="sk-SK"/>
              </w:rPr>
              <w:t>rodičovský príspevok podľa zákona č. 210/2023 Z. z., ktorým sa mení a dopĺňa zákon č. 461/2003 Z. z. o sociálnom poistení v znení neskorších predpisov</w:t>
            </w:r>
          </w:p>
        </w:tc>
        <w:tc>
          <w:tcPr>
            <w:tcW w:w="1950" w:type="dxa"/>
            <w:tcBorders>
              <w:top w:val="nil"/>
              <w:left w:val="nil"/>
              <w:bottom w:val="nil"/>
              <w:right w:val="nil"/>
            </w:tcBorders>
            <w:shd w:val="clear" w:color="auto" w:fill="auto"/>
            <w:vAlign w:val="center"/>
            <w:hideMark/>
          </w:tcPr>
          <w:p w14:paraId="6F096F1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5 000</w:t>
            </w:r>
          </w:p>
        </w:tc>
      </w:tr>
      <w:tr w:rsidR="00E76212" w:rsidRPr="008C63ED" w14:paraId="172FA33B" w14:textId="77777777" w:rsidTr="00D2560E">
        <w:trPr>
          <w:trHeight w:val="715"/>
        </w:trPr>
        <w:tc>
          <w:tcPr>
            <w:tcW w:w="1418" w:type="dxa"/>
            <w:vMerge/>
            <w:tcBorders>
              <w:top w:val="nil"/>
              <w:left w:val="nil"/>
              <w:right w:val="nil"/>
            </w:tcBorders>
            <w:vAlign w:val="center"/>
            <w:hideMark/>
          </w:tcPr>
          <w:p w14:paraId="03E2872F"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right w:val="nil"/>
            </w:tcBorders>
            <w:shd w:val="clear" w:color="auto" w:fill="auto"/>
            <w:vAlign w:val="bottom"/>
            <w:hideMark/>
          </w:tcPr>
          <w:p w14:paraId="2468D20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personálne posilnenie a materiálno-technické zabezpečenie v oblasti ochrany ovzdušia v nadväznosti na schválenie zákona č. 146/2023 Z. z. o ochrane ovzdušia a o zmene a doplnení niektorých zákonov (38 osôb)</w:t>
            </w:r>
          </w:p>
        </w:tc>
        <w:tc>
          <w:tcPr>
            <w:tcW w:w="1950" w:type="dxa"/>
            <w:tcBorders>
              <w:top w:val="nil"/>
              <w:left w:val="nil"/>
              <w:right w:val="nil"/>
            </w:tcBorders>
            <w:shd w:val="clear" w:color="auto" w:fill="auto"/>
            <w:vAlign w:val="center"/>
            <w:hideMark/>
          </w:tcPr>
          <w:p w14:paraId="644DC94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428</w:t>
            </w:r>
          </w:p>
        </w:tc>
      </w:tr>
      <w:tr w:rsidR="00E76212" w:rsidRPr="008C63ED" w14:paraId="465BA0F8" w14:textId="77777777" w:rsidTr="00D2560E">
        <w:trPr>
          <w:trHeight w:val="256"/>
        </w:trPr>
        <w:tc>
          <w:tcPr>
            <w:tcW w:w="7399" w:type="dxa"/>
            <w:gridSpan w:val="2"/>
            <w:tcBorders>
              <w:top w:val="nil"/>
              <w:left w:val="nil"/>
              <w:bottom w:val="single" w:sz="4" w:space="0" w:color="auto"/>
              <w:right w:val="nil"/>
            </w:tcBorders>
            <w:shd w:val="clear" w:color="auto" w:fill="auto"/>
            <w:vAlign w:val="center"/>
            <w:hideMark/>
          </w:tcPr>
          <w:p w14:paraId="1995BA45"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950" w:type="dxa"/>
            <w:tcBorders>
              <w:top w:val="nil"/>
              <w:left w:val="nil"/>
              <w:bottom w:val="single" w:sz="4" w:space="0" w:color="auto"/>
              <w:right w:val="nil"/>
            </w:tcBorders>
            <w:shd w:val="clear" w:color="auto" w:fill="auto"/>
            <w:vAlign w:val="center"/>
            <w:hideMark/>
          </w:tcPr>
          <w:p w14:paraId="2017A683"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5 428</w:t>
            </w:r>
          </w:p>
        </w:tc>
      </w:tr>
      <w:tr w:rsidR="00E76212" w:rsidRPr="008C63ED" w14:paraId="38C8B83F" w14:textId="77777777" w:rsidTr="00D2560E">
        <w:trPr>
          <w:trHeight w:val="1370"/>
        </w:trPr>
        <w:tc>
          <w:tcPr>
            <w:tcW w:w="1418" w:type="dxa"/>
            <w:tcBorders>
              <w:top w:val="single" w:sz="4" w:space="0" w:color="auto"/>
              <w:left w:val="nil"/>
              <w:bottom w:val="nil"/>
              <w:right w:val="nil"/>
            </w:tcBorders>
            <w:shd w:val="clear" w:color="auto" w:fill="auto"/>
            <w:vAlign w:val="center"/>
            <w:hideMark/>
          </w:tcPr>
          <w:p w14:paraId="443B187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zdravotníctva</w:t>
            </w:r>
            <w:r w:rsidRPr="008C63ED">
              <w:rPr>
                <w:rFonts w:eastAsia="Times New Roman" w:cs="Times New Roman"/>
                <w:sz w:val="16"/>
                <w:szCs w:val="16"/>
                <w:lang w:eastAsia="sk-SK"/>
              </w:rPr>
              <w:t xml:space="preserve"> SR </w:t>
            </w:r>
          </w:p>
        </w:tc>
        <w:tc>
          <w:tcPr>
            <w:tcW w:w="5985" w:type="dxa"/>
            <w:tcBorders>
              <w:top w:val="single" w:sz="4" w:space="0" w:color="auto"/>
              <w:left w:val="nil"/>
              <w:bottom w:val="nil"/>
              <w:right w:val="nil"/>
            </w:tcBorders>
            <w:shd w:val="clear" w:color="auto" w:fill="auto"/>
            <w:vAlign w:val="bottom"/>
            <w:hideMark/>
          </w:tcPr>
          <w:p w14:paraId="2A268D4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osobné výdavky na zamestnancov kapitoly M</w:t>
            </w:r>
            <w:r>
              <w:rPr>
                <w:rFonts w:eastAsia="Times New Roman" w:cs="Times New Roman"/>
                <w:sz w:val="16"/>
                <w:szCs w:val="16"/>
                <w:lang w:eastAsia="sk-SK"/>
              </w:rPr>
              <w:t>inisterstvo zdravotníctva</w:t>
            </w:r>
            <w:r w:rsidRPr="008C63ED">
              <w:rPr>
                <w:rFonts w:eastAsia="Times New Roman" w:cs="Times New Roman"/>
                <w:sz w:val="16"/>
                <w:szCs w:val="16"/>
                <w:lang w:eastAsia="sk-SK"/>
              </w:rPr>
              <w:t xml:space="preserve"> SR a technicko-prevádzkové vybavenie </w:t>
            </w:r>
            <w:proofErr w:type="spellStart"/>
            <w:r w:rsidRPr="008C63ED">
              <w:rPr>
                <w:rFonts w:eastAsia="Times New Roman" w:cs="Times New Roman"/>
                <w:sz w:val="16"/>
                <w:szCs w:val="16"/>
                <w:lang w:eastAsia="sk-SK"/>
              </w:rPr>
              <w:t>Detenčného</w:t>
            </w:r>
            <w:proofErr w:type="spellEnd"/>
            <w:r w:rsidRPr="008C63ED">
              <w:rPr>
                <w:rFonts w:eastAsia="Times New Roman" w:cs="Times New Roman"/>
                <w:sz w:val="16"/>
                <w:szCs w:val="16"/>
                <w:lang w:eastAsia="sk-SK"/>
              </w:rPr>
              <w:t xml:space="preserve"> ústavu Hronovce podľa zákona č. 390/2022 Z. z., ktorým sa mení a dopĺňa zákon č. 576/2004 Z. z. o zdravotnej starostlivosti, službách súvisiacich s poskytovaním zdravotnej starostlivosti a o zmene a doplnení niektorých zákonov v znení neskorších predpisov a ktorým sa menia a dopĺňajú niektoré zákony a ktorým boli upravené kompetencie štátnej rozpočtovej organizácie </w:t>
            </w:r>
            <w:proofErr w:type="spellStart"/>
            <w:r w:rsidRPr="008C63ED">
              <w:rPr>
                <w:rFonts w:eastAsia="Times New Roman" w:cs="Times New Roman"/>
                <w:sz w:val="16"/>
                <w:szCs w:val="16"/>
                <w:lang w:eastAsia="sk-SK"/>
              </w:rPr>
              <w:t>Detenčný</w:t>
            </w:r>
            <w:proofErr w:type="spellEnd"/>
            <w:r w:rsidRPr="008C63ED">
              <w:rPr>
                <w:rFonts w:eastAsia="Times New Roman" w:cs="Times New Roman"/>
                <w:sz w:val="16"/>
                <w:szCs w:val="16"/>
                <w:lang w:eastAsia="sk-SK"/>
              </w:rPr>
              <w:t xml:space="preserve"> ústav Hronovce </w:t>
            </w:r>
          </w:p>
        </w:tc>
        <w:tc>
          <w:tcPr>
            <w:tcW w:w="1950" w:type="dxa"/>
            <w:tcBorders>
              <w:top w:val="single" w:sz="4" w:space="0" w:color="auto"/>
              <w:left w:val="nil"/>
              <w:bottom w:val="nil"/>
              <w:right w:val="nil"/>
            </w:tcBorders>
            <w:shd w:val="clear" w:color="auto" w:fill="auto"/>
            <w:vAlign w:val="center"/>
            <w:hideMark/>
          </w:tcPr>
          <w:p w14:paraId="2406ED42"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3 685</w:t>
            </w:r>
          </w:p>
        </w:tc>
      </w:tr>
      <w:tr w:rsidR="00E76212" w:rsidRPr="008C63ED" w14:paraId="728FE2F3" w14:textId="77777777" w:rsidTr="00D2560E">
        <w:trPr>
          <w:trHeight w:val="81"/>
        </w:trPr>
        <w:tc>
          <w:tcPr>
            <w:tcW w:w="7399" w:type="dxa"/>
            <w:gridSpan w:val="2"/>
            <w:tcBorders>
              <w:top w:val="nil"/>
              <w:left w:val="nil"/>
              <w:bottom w:val="single" w:sz="4" w:space="0" w:color="auto"/>
              <w:right w:val="nil"/>
            </w:tcBorders>
            <w:shd w:val="clear" w:color="auto" w:fill="auto"/>
            <w:vAlign w:val="center"/>
            <w:hideMark/>
          </w:tcPr>
          <w:p w14:paraId="0751165E"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950" w:type="dxa"/>
            <w:tcBorders>
              <w:top w:val="nil"/>
              <w:left w:val="nil"/>
              <w:bottom w:val="nil"/>
              <w:right w:val="nil"/>
            </w:tcBorders>
            <w:shd w:val="clear" w:color="auto" w:fill="auto"/>
            <w:vAlign w:val="center"/>
            <w:hideMark/>
          </w:tcPr>
          <w:p w14:paraId="4CD3C095"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3 685</w:t>
            </w:r>
          </w:p>
        </w:tc>
      </w:tr>
      <w:tr w:rsidR="00E76212" w:rsidRPr="008C63ED" w14:paraId="4681488E" w14:textId="77777777" w:rsidTr="00D2560E">
        <w:trPr>
          <w:trHeight w:val="640"/>
        </w:trPr>
        <w:tc>
          <w:tcPr>
            <w:tcW w:w="1418" w:type="dxa"/>
            <w:vMerge w:val="restart"/>
            <w:tcBorders>
              <w:top w:val="nil"/>
              <w:left w:val="nil"/>
              <w:bottom w:val="nil"/>
              <w:right w:val="nil"/>
            </w:tcBorders>
            <w:shd w:val="clear" w:color="auto" w:fill="auto"/>
            <w:vAlign w:val="center"/>
            <w:hideMark/>
          </w:tcPr>
          <w:p w14:paraId="150287C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životného prostredia</w:t>
            </w:r>
            <w:r w:rsidRPr="008C63ED">
              <w:rPr>
                <w:rFonts w:eastAsia="Times New Roman" w:cs="Times New Roman"/>
                <w:sz w:val="16"/>
                <w:szCs w:val="16"/>
                <w:lang w:eastAsia="sk-SK"/>
              </w:rPr>
              <w:t xml:space="preserve"> SR </w:t>
            </w:r>
          </w:p>
        </w:tc>
        <w:tc>
          <w:tcPr>
            <w:tcW w:w="5985" w:type="dxa"/>
            <w:tcBorders>
              <w:top w:val="nil"/>
              <w:left w:val="nil"/>
              <w:bottom w:val="nil"/>
              <w:right w:val="nil"/>
            </w:tcBorders>
            <w:shd w:val="clear" w:color="auto" w:fill="auto"/>
            <w:vAlign w:val="bottom"/>
            <w:hideMark/>
          </w:tcPr>
          <w:p w14:paraId="637F7382" w14:textId="77777777" w:rsidR="00E76212" w:rsidRPr="008C63ED" w:rsidRDefault="00E76212" w:rsidP="00D2560E">
            <w:pPr>
              <w:spacing w:after="240" w:line="240" w:lineRule="auto"/>
              <w:rPr>
                <w:rFonts w:eastAsia="Times New Roman" w:cs="Times New Roman"/>
                <w:sz w:val="16"/>
                <w:szCs w:val="16"/>
                <w:lang w:eastAsia="sk-SK"/>
              </w:rPr>
            </w:pPr>
            <w:r w:rsidRPr="008C63ED">
              <w:rPr>
                <w:rFonts w:eastAsia="Times New Roman" w:cs="Times New Roman"/>
                <w:sz w:val="16"/>
                <w:szCs w:val="16"/>
                <w:lang w:eastAsia="sk-SK"/>
              </w:rPr>
              <w:t>Na dofinancovanie činnosti správ národných parkov v roku 2023 v súvislosti s reformou národných parkov podľa UZN č. 625/2021 schválené zákonom č. 6/2022 Z. z., ktorým sa mení a dopĺňa zákon č. 543/2002 Z. z. o ochrane prírody a krajiny v znení neskorších predpisov a ktorým sa menia a dopĺňajú niektoré zákony</w:t>
            </w:r>
          </w:p>
        </w:tc>
        <w:tc>
          <w:tcPr>
            <w:tcW w:w="1950" w:type="dxa"/>
            <w:tcBorders>
              <w:top w:val="single" w:sz="4" w:space="0" w:color="auto"/>
              <w:left w:val="nil"/>
              <w:bottom w:val="nil"/>
              <w:right w:val="nil"/>
            </w:tcBorders>
            <w:shd w:val="clear" w:color="auto" w:fill="auto"/>
            <w:vAlign w:val="center"/>
            <w:hideMark/>
          </w:tcPr>
          <w:p w14:paraId="2B7F1CD1"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3 000</w:t>
            </w:r>
          </w:p>
        </w:tc>
      </w:tr>
      <w:tr w:rsidR="00E76212" w:rsidRPr="008C63ED" w14:paraId="333209CF" w14:textId="77777777" w:rsidTr="00D2560E">
        <w:trPr>
          <w:trHeight w:val="407"/>
        </w:trPr>
        <w:tc>
          <w:tcPr>
            <w:tcW w:w="1418" w:type="dxa"/>
            <w:vMerge/>
            <w:tcBorders>
              <w:top w:val="nil"/>
              <w:left w:val="nil"/>
              <w:bottom w:val="nil"/>
              <w:right w:val="nil"/>
            </w:tcBorders>
            <w:vAlign w:val="center"/>
            <w:hideMark/>
          </w:tcPr>
          <w:p w14:paraId="68C94620"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bottom w:val="nil"/>
              <w:right w:val="nil"/>
            </w:tcBorders>
            <w:shd w:val="clear" w:color="auto" w:fill="auto"/>
            <w:vAlign w:val="bottom"/>
            <w:hideMark/>
          </w:tcPr>
          <w:p w14:paraId="0C9431F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personálne posilnenie a materiálno-technické zabezpečenie v oblasti ochrany ovzdušia v nadväznosti na schválenie zákona č. 146/2023 Z. z. o ochrane ovzdušia a o zmene a doplnení niektorých zákonov</w:t>
            </w:r>
          </w:p>
        </w:tc>
        <w:tc>
          <w:tcPr>
            <w:tcW w:w="1950" w:type="dxa"/>
            <w:tcBorders>
              <w:top w:val="nil"/>
              <w:left w:val="nil"/>
              <w:bottom w:val="nil"/>
              <w:right w:val="nil"/>
            </w:tcBorders>
            <w:shd w:val="clear" w:color="auto" w:fill="auto"/>
            <w:vAlign w:val="center"/>
            <w:hideMark/>
          </w:tcPr>
          <w:p w14:paraId="2C4D794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661</w:t>
            </w:r>
          </w:p>
        </w:tc>
      </w:tr>
      <w:tr w:rsidR="00E76212" w:rsidRPr="008C63ED" w14:paraId="4D33BD18" w14:textId="77777777" w:rsidTr="00D2560E">
        <w:trPr>
          <w:trHeight w:val="330"/>
        </w:trPr>
        <w:tc>
          <w:tcPr>
            <w:tcW w:w="7399" w:type="dxa"/>
            <w:gridSpan w:val="2"/>
            <w:tcBorders>
              <w:top w:val="nil"/>
              <w:left w:val="nil"/>
              <w:bottom w:val="single" w:sz="4" w:space="0" w:color="auto"/>
              <w:right w:val="nil"/>
            </w:tcBorders>
            <w:shd w:val="clear" w:color="auto" w:fill="auto"/>
            <w:vAlign w:val="center"/>
            <w:hideMark/>
          </w:tcPr>
          <w:p w14:paraId="21AF1774"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950" w:type="dxa"/>
            <w:tcBorders>
              <w:top w:val="nil"/>
              <w:left w:val="nil"/>
              <w:bottom w:val="nil"/>
              <w:right w:val="nil"/>
            </w:tcBorders>
            <w:shd w:val="clear" w:color="auto" w:fill="auto"/>
            <w:vAlign w:val="center"/>
            <w:hideMark/>
          </w:tcPr>
          <w:p w14:paraId="55237B08"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3 661</w:t>
            </w:r>
          </w:p>
        </w:tc>
      </w:tr>
      <w:tr w:rsidR="00E76212" w:rsidRPr="008C63ED" w14:paraId="2EC99346" w14:textId="77777777" w:rsidTr="00D2560E">
        <w:trPr>
          <w:trHeight w:val="690"/>
        </w:trPr>
        <w:tc>
          <w:tcPr>
            <w:tcW w:w="1418" w:type="dxa"/>
            <w:vMerge w:val="restart"/>
            <w:tcBorders>
              <w:top w:val="nil"/>
              <w:left w:val="nil"/>
              <w:bottom w:val="nil"/>
              <w:right w:val="nil"/>
            </w:tcBorders>
            <w:shd w:val="clear" w:color="auto" w:fill="auto"/>
            <w:noWrap/>
            <w:vAlign w:val="center"/>
            <w:hideMark/>
          </w:tcPr>
          <w:p w14:paraId="54EA1DB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financií</w:t>
            </w:r>
            <w:r w:rsidRPr="008C63ED">
              <w:rPr>
                <w:rFonts w:eastAsia="Times New Roman" w:cs="Times New Roman"/>
                <w:sz w:val="16"/>
                <w:szCs w:val="16"/>
                <w:lang w:eastAsia="sk-SK"/>
              </w:rPr>
              <w:t xml:space="preserve"> SR </w:t>
            </w:r>
          </w:p>
        </w:tc>
        <w:tc>
          <w:tcPr>
            <w:tcW w:w="5985" w:type="dxa"/>
            <w:tcBorders>
              <w:top w:val="nil"/>
              <w:left w:val="nil"/>
              <w:bottom w:val="nil"/>
              <w:right w:val="nil"/>
            </w:tcBorders>
            <w:shd w:val="clear" w:color="auto" w:fill="auto"/>
            <w:vAlign w:val="bottom"/>
            <w:hideMark/>
          </w:tcPr>
          <w:p w14:paraId="34836AD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poskytnutie príspevku na činnosť Agentúry štátom podporovaného nájomného bývania na rok 2023, ktorá vyplýva zo zákona č. 222/2022 Z. z. o štátnej podpore nájomného bývania a o zmene a doplnení niektorých zákonov</w:t>
            </w:r>
          </w:p>
        </w:tc>
        <w:tc>
          <w:tcPr>
            <w:tcW w:w="1950" w:type="dxa"/>
            <w:tcBorders>
              <w:top w:val="single" w:sz="4" w:space="0" w:color="auto"/>
              <w:left w:val="nil"/>
              <w:bottom w:val="nil"/>
              <w:right w:val="nil"/>
            </w:tcBorders>
            <w:shd w:val="clear" w:color="auto" w:fill="auto"/>
            <w:vAlign w:val="center"/>
            <w:hideMark/>
          </w:tcPr>
          <w:p w14:paraId="30A7C1F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950</w:t>
            </w:r>
          </w:p>
        </w:tc>
      </w:tr>
      <w:tr w:rsidR="00E76212" w:rsidRPr="008C63ED" w14:paraId="3EEC27E8" w14:textId="77777777" w:rsidTr="00D2560E">
        <w:trPr>
          <w:trHeight w:val="1095"/>
        </w:trPr>
        <w:tc>
          <w:tcPr>
            <w:tcW w:w="1418" w:type="dxa"/>
            <w:vMerge/>
            <w:tcBorders>
              <w:top w:val="nil"/>
              <w:left w:val="nil"/>
              <w:bottom w:val="nil"/>
              <w:right w:val="nil"/>
            </w:tcBorders>
            <w:vAlign w:val="center"/>
            <w:hideMark/>
          </w:tcPr>
          <w:p w14:paraId="0623BD26"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bottom w:val="nil"/>
              <w:right w:val="nil"/>
            </w:tcBorders>
            <w:shd w:val="clear" w:color="auto" w:fill="auto"/>
            <w:vAlign w:val="bottom"/>
            <w:hideMark/>
          </w:tcPr>
          <w:p w14:paraId="241C10AE" w14:textId="77777777" w:rsidR="00E76212" w:rsidRPr="008C63ED" w:rsidRDefault="00E76212" w:rsidP="00D2560E">
            <w:pPr>
              <w:spacing w:after="0" w:line="240" w:lineRule="auto"/>
              <w:rPr>
                <w:rFonts w:eastAsia="Times New Roman" w:cs="Times New Roman"/>
                <w:sz w:val="16"/>
                <w:szCs w:val="16"/>
                <w:lang w:eastAsia="sk-SK"/>
              </w:rPr>
            </w:pPr>
            <w:r>
              <w:rPr>
                <w:rFonts w:eastAsia="Times New Roman" w:cs="Times New Roman"/>
                <w:sz w:val="16"/>
                <w:szCs w:val="16"/>
                <w:lang w:eastAsia="sk-SK"/>
              </w:rPr>
              <w:t>Na úpravu informačných</w:t>
            </w:r>
            <w:r w:rsidRPr="008C63ED">
              <w:rPr>
                <w:rFonts w:eastAsia="Times New Roman" w:cs="Times New Roman"/>
                <w:sz w:val="16"/>
                <w:szCs w:val="16"/>
                <w:lang w:eastAsia="sk-SK"/>
              </w:rPr>
              <w:t xml:space="preserve"> sys</w:t>
            </w:r>
            <w:r>
              <w:rPr>
                <w:rFonts w:eastAsia="Times New Roman" w:cs="Times New Roman"/>
                <w:sz w:val="16"/>
                <w:szCs w:val="16"/>
                <w:lang w:eastAsia="sk-SK"/>
              </w:rPr>
              <w:t>témov finančnej správy z titulu legislatívnych</w:t>
            </w:r>
            <w:r w:rsidRPr="008C63ED">
              <w:rPr>
                <w:rFonts w:eastAsia="Times New Roman" w:cs="Times New Roman"/>
                <w:sz w:val="16"/>
                <w:szCs w:val="16"/>
                <w:lang w:eastAsia="sk-SK"/>
              </w:rPr>
              <w:t xml:space="preserve"> zmien v nadväznosti na zákon č. 433/2022 Z. z., ktorým sa mení a dopĺňa zákon č. 251/2012 Z. z. o energetike a o zmene a doplnení niektorých zákonov a na zákon č. 519/2022 Z. z. o solidárnom príspevku z činností v odvetviach ropy, zemného plynu, uhlia a rafinérií a o doplnení niektorých zákonov</w:t>
            </w:r>
          </w:p>
        </w:tc>
        <w:tc>
          <w:tcPr>
            <w:tcW w:w="1950" w:type="dxa"/>
            <w:tcBorders>
              <w:top w:val="nil"/>
              <w:left w:val="nil"/>
              <w:bottom w:val="nil"/>
              <w:right w:val="nil"/>
            </w:tcBorders>
            <w:shd w:val="clear" w:color="auto" w:fill="auto"/>
            <w:vAlign w:val="center"/>
            <w:hideMark/>
          </w:tcPr>
          <w:p w14:paraId="63B8ADB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588</w:t>
            </w:r>
          </w:p>
        </w:tc>
      </w:tr>
      <w:tr w:rsidR="00E76212" w:rsidRPr="008C63ED" w14:paraId="2C2AF239" w14:textId="77777777" w:rsidTr="00D2560E">
        <w:trPr>
          <w:trHeight w:val="661"/>
        </w:trPr>
        <w:tc>
          <w:tcPr>
            <w:tcW w:w="1418" w:type="dxa"/>
            <w:vMerge/>
            <w:tcBorders>
              <w:top w:val="nil"/>
              <w:left w:val="nil"/>
              <w:bottom w:val="nil"/>
              <w:right w:val="nil"/>
            </w:tcBorders>
            <w:vAlign w:val="center"/>
            <w:hideMark/>
          </w:tcPr>
          <w:p w14:paraId="04C3C980"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bottom w:val="nil"/>
              <w:right w:val="nil"/>
            </w:tcBorders>
            <w:shd w:val="clear" w:color="auto" w:fill="auto"/>
            <w:vAlign w:val="bottom"/>
            <w:hideMark/>
          </w:tcPr>
          <w:p w14:paraId="6615DB4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úpravy Integrovaného systému Finančnej správy, správa daní vyplývajúce z legislatívnych zmien podľa zákona č. 496/2022 Z. z., ktorým sa mení a dopĺňa zákon č. 595/2003 Z. z. o dani z príjmov v znení neskorších predpisov a ktorým sa menia a dopĺňajú niektoré zákony.</w:t>
            </w:r>
          </w:p>
        </w:tc>
        <w:tc>
          <w:tcPr>
            <w:tcW w:w="1950" w:type="dxa"/>
            <w:tcBorders>
              <w:top w:val="nil"/>
              <w:left w:val="nil"/>
              <w:bottom w:val="nil"/>
              <w:right w:val="nil"/>
            </w:tcBorders>
            <w:shd w:val="clear" w:color="auto" w:fill="auto"/>
            <w:vAlign w:val="center"/>
            <w:hideMark/>
          </w:tcPr>
          <w:p w14:paraId="6F8A6AA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389</w:t>
            </w:r>
          </w:p>
        </w:tc>
      </w:tr>
      <w:tr w:rsidR="00E76212" w:rsidRPr="008C63ED" w14:paraId="3D2406F0" w14:textId="77777777" w:rsidTr="00D2560E">
        <w:trPr>
          <w:trHeight w:val="330"/>
        </w:trPr>
        <w:tc>
          <w:tcPr>
            <w:tcW w:w="7399" w:type="dxa"/>
            <w:gridSpan w:val="2"/>
            <w:tcBorders>
              <w:top w:val="nil"/>
              <w:left w:val="nil"/>
              <w:bottom w:val="single" w:sz="4" w:space="0" w:color="auto"/>
              <w:right w:val="nil"/>
            </w:tcBorders>
            <w:shd w:val="clear" w:color="auto" w:fill="auto"/>
            <w:vAlign w:val="center"/>
            <w:hideMark/>
          </w:tcPr>
          <w:p w14:paraId="069B2EEE"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950" w:type="dxa"/>
            <w:tcBorders>
              <w:top w:val="nil"/>
              <w:left w:val="nil"/>
              <w:bottom w:val="nil"/>
              <w:right w:val="nil"/>
            </w:tcBorders>
            <w:shd w:val="clear" w:color="auto" w:fill="auto"/>
            <w:vAlign w:val="center"/>
            <w:hideMark/>
          </w:tcPr>
          <w:p w14:paraId="0A64191C"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1 927</w:t>
            </w:r>
          </w:p>
        </w:tc>
      </w:tr>
      <w:tr w:rsidR="00E76212" w:rsidRPr="008C63ED" w14:paraId="7B56B2BC" w14:textId="77777777" w:rsidTr="00D2560E">
        <w:trPr>
          <w:trHeight w:val="780"/>
        </w:trPr>
        <w:tc>
          <w:tcPr>
            <w:tcW w:w="1418" w:type="dxa"/>
            <w:vMerge w:val="restart"/>
            <w:tcBorders>
              <w:top w:val="nil"/>
              <w:left w:val="nil"/>
              <w:bottom w:val="nil"/>
              <w:right w:val="nil"/>
            </w:tcBorders>
            <w:shd w:val="clear" w:color="auto" w:fill="auto"/>
            <w:vAlign w:val="center"/>
            <w:hideMark/>
          </w:tcPr>
          <w:p w14:paraId="2A2AEEC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Ú</w:t>
            </w:r>
            <w:r>
              <w:rPr>
                <w:rFonts w:eastAsia="Times New Roman" w:cs="Times New Roman"/>
                <w:sz w:val="16"/>
                <w:szCs w:val="16"/>
                <w:lang w:eastAsia="sk-SK"/>
              </w:rPr>
              <w:t>rad vlády</w:t>
            </w:r>
            <w:r w:rsidRPr="008C63ED">
              <w:rPr>
                <w:rFonts w:eastAsia="Times New Roman" w:cs="Times New Roman"/>
                <w:sz w:val="16"/>
                <w:szCs w:val="16"/>
                <w:lang w:eastAsia="sk-SK"/>
              </w:rPr>
              <w:t xml:space="preserve"> SR </w:t>
            </w:r>
          </w:p>
        </w:tc>
        <w:tc>
          <w:tcPr>
            <w:tcW w:w="5985" w:type="dxa"/>
            <w:tcBorders>
              <w:top w:val="nil"/>
              <w:left w:val="nil"/>
              <w:bottom w:val="nil"/>
              <w:right w:val="nil"/>
            </w:tcBorders>
            <w:shd w:val="clear" w:color="auto" w:fill="auto"/>
            <w:vAlign w:val="bottom"/>
            <w:hideMark/>
          </w:tcPr>
          <w:p w14:paraId="4C16BD4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poskytnutie príspevku na činnosť Agentúry štátom podporovaného nájomného bývania na rok 2023, ktorá vyplýva zo zákona č. 222/2022 Z. z. o štátnej podpore nájomného bývania a o zmene a doplnení niektorých zákonov</w:t>
            </w:r>
          </w:p>
        </w:tc>
        <w:tc>
          <w:tcPr>
            <w:tcW w:w="1950" w:type="dxa"/>
            <w:tcBorders>
              <w:top w:val="single" w:sz="4" w:space="0" w:color="auto"/>
              <w:left w:val="nil"/>
              <w:bottom w:val="nil"/>
              <w:right w:val="nil"/>
            </w:tcBorders>
            <w:shd w:val="clear" w:color="auto" w:fill="auto"/>
            <w:vAlign w:val="center"/>
            <w:hideMark/>
          </w:tcPr>
          <w:p w14:paraId="1F683219"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950</w:t>
            </w:r>
          </w:p>
        </w:tc>
      </w:tr>
      <w:tr w:rsidR="00E76212" w:rsidRPr="008C63ED" w14:paraId="72ED8172" w14:textId="77777777" w:rsidTr="00D2560E">
        <w:trPr>
          <w:trHeight w:val="1496"/>
        </w:trPr>
        <w:tc>
          <w:tcPr>
            <w:tcW w:w="1418" w:type="dxa"/>
            <w:vMerge/>
            <w:tcBorders>
              <w:top w:val="nil"/>
              <w:left w:val="nil"/>
              <w:bottom w:val="nil"/>
              <w:right w:val="nil"/>
            </w:tcBorders>
            <w:vAlign w:val="center"/>
            <w:hideMark/>
          </w:tcPr>
          <w:p w14:paraId="4813C557" w14:textId="77777777" w:rsidR="00E76212" w:rsidRPr="008C63ED" w:rsidRDefault="00E76212" w:rsidP="00D2560E">
            <w:pPr>
              <w:spacing w:after="0" w:line="240" w:lineRule="auto"/>
              <w:rPr>
                <w:rFonts w:eastAsia="Times New Roman" w:cs="Times New Roman"/>
                <w:sz w:val="16"/>
                <w:szCs w:val="16"/>
                <w:lang w:eastAsia="sk-SK"/>
              </w:rPr>
            </w:pPr>
          </w:p>
        </w:tc>
        <w:tc>
          <w:tcPr>
            <w:tcW w:w="5985" w:type="dxa"/>
            <w:tcBorders>
              <w:top w:val="nil"/>
              <w:left w:val="nil"/>
              <w:bottom w:val="nil"/>
              <w:right w:val="nil"/>
            </w:tcBorders>
            <w:shd w:val="clear" w:color="auto" w:fill="auto"/>
            <w:vAlign w:val="bottom"/>
            <w:hideMark/>
          </w:tcPr>
          <w:p w14:paraId="39867BF0" w14:textId="77777777" w:rsidR="00E76212" w:rsidRPr="008C63ED" w:rsidRDefault="00E76212" w:rsidP="00D2560E">
            <w:pPr>
              <w:spacing w:after="240" w:line="240" w:lineRule="auto"/>
              <w:rPr>
                <w:rFonts w:eastAsia="Times New Roman" w:cs="Times New Roman"/>
                <w:sz w:val="16"/>
                <w:szCs w:val="16"/>
                <w:lang w:eastAsia="sk-SK"/>
              </w:rPr>
            </w:pPr>
            <w:r w:rsidRPr="008C63ED">
              <w:rPr>
                <w:rFonts w:eastAsia="Times New Roman" w:cs="Times New Roman"/>
                <w:sz w:val="16"/>
                <w:szCs w:val="16"/>
                <w:lang w:eastAsia="sk-SK"/>
              </w:rPr>
              <w:t>Na podporu sociálnych a kultúrnych potrieb a riešenia mimoriadne nepriaznivej situácie marginalizovaných rómskych komunít podľa zákona č. 115/2022 Z. z., ktorým sa mení a dopĺňa zákon č. 524/2010 Z. z. o poskytovaní dotácií v pôsobnosti Úradu vlády Slovenskej republiky v znení neskorších predpisov a ktorým sa mení a dopĺňa zákon č. 526/2010 Z. z. o poskytovaní dotácií v pôsobnosti Ministerstva vnútra Slovenskej republiky v znení neskorších predpisov</w:t>
            </w:r>
          </w:p>
        </w:tc>
        <w:tc>
          <w:tcPr>
            <w:tcW w:w="1950" w:type="dxa"/>
            <w:tcBorders>
              <w:top w:val="nil"/>
              <w:left w:val="nil"/>
              <w:bottom w:val="nil"/>
              <w:right w:val="nil"/>
            </w:tcBorders>
            <w:shd w:val="clear" w:color="auto" w:fill="auto"/>
            <w:vAlign w:val="center"/>
            <w:hideMark/>
          </w:tcPr>
          <w:p w14:paraId="774D7E26"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800</w:t>
            </w:r>
          </w:p>
        </w:tc>
      </w:tr>
      <w:tr w:rsidR="00E76212" w:rsidRPr="008C63ED" w14:paraId="2A10E6F3" w14:textId="77777777" w:rsidTr="00D2560E">
        <w:trPr>
          <w:trHeight w:val="123"/>
        </w:trPr>
        <w:tc>
          <w:tcPr>
            <w:tcW w:w="7399" w:type="dxa"/>
            <w:gridSpan w:val="2"/>
            <w:tcBorders>
              <w:top w:val="nil"/>
              <w:left w:val="nil"/>
              <w:bottom w:val="single" w:sz="4" w:space="0" w:color="auto"/>
              <w:right w:val="nil"/>
            </w:tcBorders>
            <w:shd w:val="clear" w:color="auto" w:fill="auto"/>
            <w:vAlign w:val="center"/>
            <w:hideMark/>
          </w:tcPr>
          <w:p w14:paraId="1C8BE62E"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xml:space="preserve">Spolu </w:t>
            </w:r>
          </w:p>
        </w:tc>
        <w:tc>
          <w:tcPr>
            <w:tcW w:w="1950" w:type="dxa"/>
            <w:tcBorders>
              <w:top w:val="nil"/>
              <w:left w:val="nil"/>
              <w:bottom w:val="nil"/>
              <w:right w:val="nil"/>
            </w:tcBorders>
            <w:shd w:val="clear" w:color="auto" w:fill="auto"/>
            <w:vAlign w:val="center"/>
            <w:hideMark/>
          </w:tcPr>
          <w:p w14:paraId="3E0A3E9D"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1 750</w:t>
            </w:r>
          </w:p>
        </w:tc>
      </w:tr>
      <w:tr w:rsidR="00E76212" w:rsidRPr="008C63ED" w14:paraId="17A5C2F2" w14:textId="77777777" w:rsidTr="00D2560E">
        <w:trPr>
          <w:trHeight w:val="639"/>
        </w:trPr>
        <w:tc>
          <w:tcPr>
            <w:tcW w:w="1418" w:type="dxa"/>
            <w:tcBorders>
              <w:top w:val="nil"/>
              <w:left w:val="nil"/>
              <w:bottom w:val="nil"/>
              <w:right w:val="nil"/>
            </w:tcBorders>
            <w:shd w:val="clear" w:color="auto" w:fill="auto"/>
            <w:vAlign w:val="center"/>
            <w:hideMark/>
          </w:tcPr>
          <w:p w14:paraId="6578D0EA" w14:textId="77777777" w:rsidR="00E76212" w:rsidRPr="008C63ED" w:rsidRDefault="00E76212" w:rsidP="00D2560E">
            <w:pPr>
              <w:spacing w:after="0" w:line="240" w:lineRule="auto"/>
              <w:rPr>
                <w:rFonts w:eastAsia="Times New Roman" w:cs="Times New Roman"/>
                <w:sz w:val="16"/>
                <w:szCs w:val="16"/>
                <w:lang w:eastAsia="sk-SK"/>
              </w:rPr>
            </w:pPr>
            <w:r>
              <w:rPr>
                <w:rFonts w:eastAsia="Times New Roman" w:cs="Times New Roman"/>
                <w:sz w:val="16"/>
                <w:szCs w:val="16"/>
                <w:lang w:eastAsia="sk-SK"/>
              </w:rPr>
              <w:t>Ministerstvo spravodlivosti SR</w:t>
            </w:r>
          </w:p>
        </w:tc>
        <w:tc>
          <w:tcPr>
            <w:tcW w:w="5985" w:type="dxa"/>
            <w:tcBorders>
              <w:top w:val="nil"/>
              <w:left w:val="nil"/>
              <w:bottom w:val="nil"/>
              <w:right w:val="nil"/>
            </w:tcBorders>
            <w:shd w:val="clear" w:color="auto" w:fill="auto"/>
            <w:vAlign w:val="bottom"/>
            <w:hideMark/>
          </w:tcPr>
          <w:p w14:paraId="66F39CA3" w14:textId="77777777" w:rsidR="00E76212" w:rsidRPr="008C63ED" w:rsidRDefault="00E76212" w:rsidP="00D2560E">
            <w:pPr>
              <w:spacing w:after="0" w:line="240" w:lineRule="auto"/>
              <w:rPr>
                <w:rFonts w:eastAsia="Times New Roman" w:cs="Times New Roman"/>
                <w:sz w:val="16"/>
                <w:szCs w:val="16"/>
                <w:lang w:eastAsia="sk-SK"/>
              </w:rPr>
            </w:pPr>
            <w:r>
              <w:rPr>
                <w:rFonts w:eastAsia="Times New Roman" w:cs="Times New Roman"/>
                <w:sz w:val="16"/>
                <w:szCs w:val="16"/>
                <w:lang w:eastAsia="sk-SK"/>
              </w:rPr>
              <w:t>Na vyplatenie rodičovských</w:t>
            </w:r>
            <w:r w:rsidRPr="008C63ED">
              <w:rPr>
                <w:rFonts w:eastAsia="Times New Roman" w:cs="Times New Roman"/>
                <w:sz w:val="16"/>
                <w:szCs w:val="16"/>
                <w:lang w:eastAsia="sk-SK"/>
              </w:rPr>
              <w:t xml:space="preserve"> dôchodkov podľa zákona č. 210/2023 Z. z., ktorým sa mení a dopĺňa zákon č. 461/2003 Z. z. o sociálnom poistení v znení neskorších predpisov a ktorým sa menia a dopĺňajú niektoré zákony</w:t>
            </w:r>
          </w:p>
        </w:tc>
        <w:tc>
          <w:tcPr>
            <w:tcW w:w="1950" w:type="dxa"/>
            <w:tcBorders>
              <w:top w:val="single" w:sz="4" w:space="0" w:color="auto"/>
              <w:left w:val="nil"/>
              <w:bottom w:val="nil"/>
              <w:right w:val="nil"/>
            </w:tcBorders>
            <w:shd w:val="clear" w:color="auto" w:fill="auto"/>
            <w:vAlign w:val="center"/>
            <w:hideMark/>
          </w:tcPr>
          <w:p w14:paraId="2ACD0E2E"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1 200</w:t>
            </w:r>
          </w:p>
        </w:tc>
      </w:tr>
      <w:tr w:rsidR="00E76212" w:rsidRPr="008C63ED" w14:paraId="1FA1EAB5" w14:textId="77777777" w:rsidTr="00D2560E">
        <w:trPr>
          <w:trHeight w:val="80"/>
        </w:trPr>
        <w:tc>
          <w:tcPr>
            <w:tcW w:w="7399" w:type="dxa"/>
            <w:gridSpan w:val="2"/>
            <w:tcBorders>
              <w:top w:val="nil"/>
              <w:left w:val="nil"/>
              <w:bottom w:val="single" w:sz="4" w:space="0" w:color="auto"/>
              <w:right w:val="nil"/>
            </w:tcBorders>
            <w:shd w:val="clear" w:color="auto" w:fill="auto"/>
            <w:vAlign w:val="center"/>
            <w:hideMark/>
          </w:tcPr>
          <w:p w14:paraId="4D347549"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Spolu</w:t>
            </w:r>
          </w:p>
        </w:tc>
        <w:tc>
          <w:tcPr>
            <w:tcW w:w="1950" w:type="dxa"/>
            <w:tcBorders>
              <w:top w:val="nil"/>
              <w:left w:val="nil"/>
              <w:bottom w:val="nil"/>
              <w:right w:val="nil"/>
            </w:tcBorders>
            <w:shd w:val="clear" w:color="auto" w:fill="auto"/>
            <w:vAlign w:val="center"/>
            <w:hideMark/>
          </w:tcPr>
          <w:p w14:paraId="70845446"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1 200</w:t>
            </w:r>
          </w:p>
        </w:tc>
      </w:tr>
      <w:tr w:rsidR="00E76212" w:rsidRPr="008C63ED" w14:paraId="6E8AB33E" w14:textId="77777777" w:rsidTr="00D2560E">
        <w:trPr>
          <w:trHeight w:val="817"/>
        </w:trPr>
        <w:tc>
          <w:tcPr>
            <w:tcW w:w="1418" w:type="dxa"/>
            <w:tcBorders>
              <w:top w:val="nil"/>
              <w:left w:val="nil"/>
              <w:bottom w:val="nil"/>
              <w:right w:val="nil"/>
            </w:tcBorders>
            <w:shd w:val="clear" w:color="auto" w:fill="auto"/>
            <w:vAlign w:val="center"/>
            <w:hideMark/>
          </w:tcPr>
          <w:p w14:paraId="21B5DD2D" w14:textId="77777777" w:rsidR="00E76212" w:rsidRPr="008C63ED" w:rsidRDefault="00E76212" w:rsidP="00D2560E">
            <w:pPr>
              <w:spacing w:after="0" w:line="240" w:lineRule="auto"/>
              <w:jc w:val="left"/>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pôdohospodárstva a rozvoja vidieka</w:t>
            </w:r>
            <w:r w:rsidRPr="008C63ED">
              <w:rPr>
                <w:rFonts w:eastAsia="Times New Roman" w:cs="Times New Roman"/>
                <w:sz w:val="16"/>
                <w:szCs w:val="16"/>
                <w:lang w:eastAsia="sk-SK"/>
              </w:rPr>
              <w:t xml:space="preserve"> SR</w:t>
            </w:r>
          </w:p>
        </w:tc>
        <w:tc>
          <w:tcPr>
            <w:tcW w:w="5985" w:type="dxa"/>
            <w:tcBorders>
              <w:top w:val="nil"/>
              <w:left w:val="nil"/>
              <w:bottom w:val="nil"/>
              <w:right w:val="nil"/>
            </w:tcBorders>
            <w:shd w:val="clear" w:color="auto" w:fill="auto"/>
            <w:vAlign w:val="bottom"/>
            <w:hideMark/>
          </w:tcPr>
          <w:p w14:paraId="58F2BC6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osobné výdavky pre Štátnu veterinárnu a potravinovú správu SR z dôvodu zvýšenia administratívnych úkonov orgánov veterinárnej správy v nadväznosti na schválený zákon č. 427/2022 Z. z., ktorým sa mení a dopĺňa zákon Národnej rady Slovenskej republiky č. 145/1995 Z. z. o správnych poplatkoch v znení neskorších predpisov</w:t>
            </w:r>
          </w:p>
        </w:tc>
        <w:tc>
          <w:tcPr>
            <w:tcW w:w="1950" w:type="dxa"/>
            <w:tcBorders>
              <w:top w:val="single" w:sz="4" w:space="0" w:color="auto"/>
              <w:left w:val="nil"/>
              <w:bottom w:val="nil"/>
              <w:right w:val="nil"/>
            </w:tcBorders>
            <w:shd w:val="clear" w:color="auto" w:fill="auto"/>
            <w:vAlign w:val="center"/>
            <w:hideMark/>
          </w:tcPr>
          <w:p w14:paraId="73325F9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800</w:t>
            </w:r>
          </w:p>
        </w:tc>
      </w:tr>
      <w:tr w:rsidR="00E76212" w:rsidRPr="008C63ED" w14:paraId="52A30F08" w14:textId="77777777" w:rsidTr="00D2560E">
        <w:trPr>
          <w:trHeight w:val="330"/>
        </w:trPr>
        <w:tc>
          <w:tcPr>
            <w:tcW w:w="7399" w:type="dxa"/>
            <w:gridSpan w:val="2"/>
            <w:tcBorders>
              <w:top w:val="nil"/>
              <w:left w:val="nil"/>
              <w:bottom w:val="single" w:sz="4" w:space="0" w:color="auto"/>
              <w:right w:val="nil"/>
            </w:tcBorders>
            <w:shd w:val="clear" w:color="auto" w:fill="auto"/>
            <w:vAlign w:val="center"/>
            <w:hideMark/>
          </w:tcPr>
          <w:p w14:paraId="5A0B4E21"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950" w:type="dxa"/>
            <w:tcBorders>
              <w:top w:val="nil"/>
              <w:left w:val="nil"/>
              <w:bottom w:val="nil"/>
              <w:right w:val="nil"/>
            </w:tcBorders>
            <w:shd w:val="clear" w:color="auto" w:fill="auto"/>
            <w:vAlign w:val="center"/>
            <w:hideMark/>
          </w:tcPr>
          <w:p w14:paraId="7EC12485"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800</w:t>
            </w:r>
          </w:p>
        </w:tc>
      </w:tr>
      <w:tr w:rsidR="00E76212" w:rsidRPr="008C63ED" w14:paraId="1211FF63" w14:textId="77777777" w:rsidTr="00D2560E">
        <w:trPr>
          <w:trHeight w:val="851"/>
        </w:trPr>
        <w:tc>
          <w:tcPr>
            <w:tcW w:w="1418" w:type="dxa"/>
            <w:tcBorders>
              <w:top w:val="nil"/>
              <w:left w:val="nil"/>
              <w:bottom w:val="nil"/>
              <w:right w:val="nil"/>
            </w:tcBorders>
            <w:shd w:val="clear" w:color="auto" w:fill="auto"/>
            <w:vAlign w:val="center"/>
            <w:hideMark/>
          </w:tcPr>
          <w:p w14:paraId="5484848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K</w:t>
            </w:r>
            <w:r>
              <w:rPr>
                <w:rFonts w:eastAsia="Times New Roman" w:cs="Times New Roman"/>
                <w:sz w:val="16"/>
                <w:szCs w:val="16"/>
                <w:lang w:eastAsia="sk-SK"/>
              </w:rPr>
              <w:t>ancelária verejného ochrancu práv</w:t>
            </w:r>
          </w:p>
        </w:tc>
        <w:tc>
          <w:tcPr>
            <w:tcW w:w="5985" w:type="dxa"/>
            <w:tcBorders>
              <w:top w:val="nil"/>
              <w:left w:val="nil"/>
              <w:bottom w:val="nil"/>
              <w:right w:val="nil"/>
            </w:tcBorders>
            <w:shd w:val="clear" w:color="auto" w:fill="auto"/>
            <w:vAlign w:val="bottom"/>
            <w:hideMark/>
          </w:tcPr>
          <w:p w14:paraId="7ADD8BC7" w14:textId="77777777" w:rsidR="00E76212" w:rsidRPr="008C63ED" w:rsidRDefault="00E76212" w:rsidP="00D2560E">
            <w:pPr>
              <w:spacing w:after="240" w:line="240" w:lineRule="auto"/>
              <w:rPr>
                <w:rFonts w:eastAsia="Times New Roman" w:cs="Times New Roman"/>
                <w:sz w:val="16"/>
                <w:szCs w:val="16"/>
                <w:lang w:eastAsia="sk-SK"/>
              </w:rPr>
            </w:pPr>
            <w:r w:rsidRPr="008C63ED">
              <w:rPr>
                <w:rFonts w:eastAsia="Times New Roman" w:cs="Times New Roman"/>
                <w:sz w:val="16"/>
                <w:szCs w:val="16"/>
                <w:lang w:eastAsia="sk-SK"/>
              </w:rPr>
              <w:t>Na finančné zabezpečenie plnenia úloh národného preventívneho mechanizmu podľa zákona č. 110/2023 Z. z., ktorým sa mení a dopĺňa zákon č. 564/2001 Z. z. o verejnom ochrancovi práv v znení neskorších predpisov a ktorým sa menia a dopĺňajú niektoré zákony</w:t>
            </w:r>
          </w:p>
        </w:tc>
        <w:tc>
          <w:tcPr>
            <w:tcW w:w="1950" w:type="dxa"/>
            <w:tcBorders>
              <w:top w:val="single" w:sz="4" w:space="0" w:color="auto"/>
              <w:left w:val="nil"/>
              <w:bottom w:val="nil"/>
              <w:right w:val="nil"/>
            </w:tcBorders>
            <w:shd w:val="clear" w:color="auto" w:fill="auto"/>
            <w:vAlign w:val="center"/>
            <w:hideMark/>
          </w:tcPr>
          <w:p w14:paraId="204855D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202</w:t>
            </w:r>
          </w:p>
        </w:tc>
      </w:tr>
      <w:tr w:rsidR="00E76212" w:rsidRPr="008C63ED" w14:paraId="6F460BFC" w14:textId="77777777" w:rsidTr="00D2560E">
        <w:trPr>
          <w:trHeight w:val="80"/>
        </w:trPr>
        <w:tc>
          <w:tcPr>
            <w:tcW w:w="7399" w:type="dxa"/>
            <w:gridSpan w:val="2"/>
            <w:tcBorders>
              <w:top w:val="nil"/>
              <w:left w:val="nil"/>
              <w:bottom w:val="single" w:sz="4" w:space="0" w:color="auto"/>
              <w:right w:val="nil"/>
            </w:tcBorders>
            <w:shd w:val="clear" w:color="auto" w:fill="auto"/>
            <w:vAlign w:val="center"/>
            <w:hideMark/>
          </w:tcPr>
          <w:p w14:paraId="577F2A1E"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xml:space="preserve">Spolu </w:t>
            </w:r>
          </w:p>
        </w:tc>
        <w:tc>
          <w:tcPr>
            <w:tcW w:w="1950" w:type="dxa"/>
            <w:tcBorders>
              <w:top w:val="nil"/>
              <w:left w:val="nil"/>
              <w:bottom w:val="single" w:sz="4" w:space="0" w:color="auto"/>
              <w:right w:val="nil"/>
            </w:tcBorders>
            <w:shd w:val="clear" w:color="auto" w:fill="auto"/>
            <w:vAlign w:val="center"/>
            <w:hideMark/>
          </w:tcPr>
          <w:p w14:paraId="447FA0BB"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202</w:t>
            </w:r>
          </w:p>
        </w:tc>
      </w:tr>
      <w:tr w:rsidR="00E76212" w:rsidRPr="008C63ED" w14:paraId="34D53441" w14:textId="77777777" w:rsidTr="00D2560E">
        <w:trPr>
          <w:trHeight w:val="707"/>
        </w:trPr>
        <w:tc>
          <w:tcPr>
            <w:tcW w:w="1418" w:type="dxa"/>
            <w:tcBorders>
              <w:top w:val="nil"/>
              <w:left w:val="nil"/>
              <w:bottom w:val="nil"/>
              <w:right w:val="nil"/>
            </w:tcBorders>
            <w:shd w:val="clear" w:color="auto" w:fill="auto"/>
            <w:vAlign w:val="center"/>
            <w:hideMark/>
          </w:tcPr>
          <w:p w14:paraId="6D46AB85" w14:textId="77777777" w:rsidR="00E76212" w:rsidRPr="008C63ED" w:rsidRDefault="00E76212" w:rsidP="00D2560E">
            <w:pPr>
              <w:spacing w:after="0" w:line="240" w:lineRule="auto"/>
              <w:jc w:val="left"/>
              <w:rPr>
                <w:rFonts w:eastAsia="Times New Roman" w:cs="Times New Roman"/>
                <w:sz w:val="16"/>
                <w:szCs w:val="16"/>
                <w:lang w:eastAsia="sk-SK"/>
              </w:rPr>
            </w:pPr>
            <w:r w:rsidRPr="008C63ED">
              <w:rPr>
                <w:rFonts w:eastAsia="Times New Roman" w:cs="Times New Roman"/>
                <w:sz w:val="16"/>
                <w:szCs w:val="16"/>
                <w:lang w:eastAsia="sk-SK"/>
              </w:rPr>
              <w:t>Ú</w:t>
            </w:r>
            <w:r>
              <w:rPr>
                <w:rFonts w:eastAsia="Times New Roman" w:cs="Times New Roman"/>
                <w:sz w:val="16"/>
                <w:szCs w:val="16"/>
                <w:lang w:eastAsia="sk-SK"/>
              </w:rPr>
              <w:t>rad komisára pre osoby so zdravotným postihnutím</w:t>
            </w:r>
          </w:p>
        </w:tc>
        <w:tc>
          <w:tcPr>
            <w:tcW w:w="5985" w:type="dxa"/>
            <w:tcBorders>
              <w:top w:val="nil"/>
              <w:left w:val="nil"/>
              <w:bottom w:val="nil"/>
              <w:right w:val="nil"/>
            </w:tcBorders>
            <w:shd w:val="clear" w:color="auto" w:fill="auto"/>
            <w:vAlign w:val="bottom"/>
            <w:hideMark/>
          </w:tcPr>
          <w:p w14:paraId="4B2EF99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finančné zabezpečenie plnenia úloh národného preventívneho mechanizmu podľa zákona č. 110/2023 Z. z., ktorým sa mení a dopĺňa zákon č. 564/2001 Z. z. o verejnom ochrancovi práv v znení neskorších predpisov a ktorým sa menia a dopĺňajú niektoré zákony</w:t>
            </w:r>
          </w:p>
        </w:tc>
        <w:tc>
          <w:tcPr>
            <w:tcW w:w="1950" w:type="dxa"/>
            <w:tcBorders>
              <w:top w:val="nil"/>
              <w:left w:val="nil"/>
              <w:bottom w:val="nil"/>
              <w:right w:val="nil"/>
            </w:tcBorders>
            <w:shd w:val="clear" w:color="auto" w:fill="auto"/>
            <w:vAlign w:val="center"/>
            <w:hideMark/>
          </w:tcPr>
          <w:p w14:paraId="6429DB76"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196</w:t>
            </w:r>
          </w:p>
        </w:tc>
      </w:tr>
      <w:tr w:rsidR="00E76212" w:rsidRPr="008C63ED" w14:paraId="479E778A" w14:textId="77777777" w:rsidTr="00D2560E">
        <w:trPr>
          <w:trHeight w:val="174"/>
        </w:trPr>
        <w:tc>
          <w:tcPr>
            <w:tcW w:w="7399" w:type="dxa"/>
            <w:gridSpan w:val="2"/>
            <w:tcBorders>
              <w:top w:val="nil"/>
              <w:left w:val="nil"/>
              <w:bottom w:val="single" w:sz="4" w:space="0" w:color="auto"/>
              <w:right w:val="nil"/>
            </w:tcBorders>
            <w:shd w:val="clear" w:color="auto" w:fill="auto"/>
            <w:vAlign w:val="center"/>
            <w:hideMark/>
          </w:tcPr>
          <w:p w14:paraId="72427B26"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xml:space="preserve">Spolu </w:t>
            </w:r>
          </w:p>
        </w:tc>
        <w:tc>
          <w:tcPr>
            <w:tcW w:w="1950" w:type="dxa"/>
            <w:tcBorders>
              <w:top w:val="nil"/>
              <w:left w:val="nil"/>
              <w:bottom w:val="single" w:sz="4" w:space="0" w:color="auto"/>
              <w:right w:val="nil"/>
            </w:tcBorders>
            <w:shd w:val="clear" w:color="auto" w:fill="auto"/>
            <w:vAlign w:val="center"/>
            <w:hideMark/>
          </w:tcPr>
          <w:p w14:paraId="7B7B6354"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196</w:t>
            </w:r>
          </w:p>
        </w:tc>
      </w:tr>
      <w:tr w:rsidR="00E76212" w:rsidRPr="008C63ED" w14:paraId="101E54FA" w14:textId="77777777" w:rsidTr="00D2560E">
        <w:trPr>
          <w:trHeight w:val="1374"/>
        </w:trPr>
        <w:tc>
          <w:tcPr>
            <w:tcW w:w="1418" w:type="dxa"/>
            <w:tcBorders>
              <w:top w:val="nil"/>
              <w:left w:val="nil"/>
              <w:bottom w:val="nil"/>
              <w:right w:val="nil"/>
            </w:tcBorders>
            <w:shd w:val="clear" w:color="auto" w:fill="auto"/>
            <w:vAlign w:val="center"/>
            <w:hideMark/>
          </w:tcPr>
          <w:p w14:paraId="255CC3D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Š</w:t>
            </w:r>
            <w:r>
              <w:rPr>
                <w:rFonts w:eastAsia="Times New Roman" w:cs="Times New Roman"/>
                <w:sz w:val="16"/>
                <w:szCs w:val="16"/>
                <w:lang w:eastAsia="sk-SK"/>
              </w:rPr>
              <w:t>tatistický úrad</w:t>
            </w:r>
            <w:r w:rsidRPr="008C63ED">
              <w:rPr>
                <w:rFonts w:eastAsia="Times New Roman" w:cs="Times New Roman"/>
                <w:sz w:val="16"/>
                <w:szCs w:val="16"/>
                <w:lang w:eastAsia="sk-SK"/>
              </w:rPr>
              <w:t xml:space="preserve"> SR </w:t>
            </w:r>
          </w:p>
        </w:tc>
        <w:tc>
          <w:tcPr>
            <w:tcW w:w="5985" w:type="dxa"/>
            <w:tcBorders>
              <w:top w:val="nil"/>
              <w:left w:val="nil"/>
              <w:bottom w:val="nil"/>
              <w:right w:val="nil"/>
            </w:tcBorders>
            <w:shd w:val="clear" w:color="auto" w:fill="auto"/>
            <w:vAlign w:val="bottom"/>
            <w:hideMark/>
          </w:tcPr>
          <w:p w14:paraId="72D31A9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zabezpečenie prác súvisiacich s transpozíciou smernice Európskeho parlamentu a Rady EÚ 2018/843 z 30. mája 2018 týkajúce sa registra právnických osôb, podnikateľov a orgánov verejnej moci podľa zákona č. 302/2023 Z. z., ktorým sa mení a dopĺňa zákon č. 272/2015 Z. z. o registri právnických osôb, podnikateľov a orgánov verejnej moci a o zmene a doplnení niektorých zákonov v znení neskorších predpisov a ktorým sa mení a dopĺňa zákon č. 483/2001 Z. z. o bankách a o zmene a doplnení niektorých zákonov v znení neskorších predpisov</w:t>
            </w:r>
          </w:p>
        </w:tc>
        <w:tc>
          <w:tcPr>
            <w:tcW w:w="1950" w:type="dxa"/>
            <w:tcBorders>
              <w:top w:val="nil"/>
              <w:left w:val="nil"/>
              <w:bottom w:val="nil"/>
              <w:right w:val="nil"/>
            </w:tcBorders>
            <w:shd w:val="clear" w:color="auto" w:fill="auto"/>
            <w:vAlign w:val="center"/>
            <w:hideMark/>
          </w:tcPr>
          <w:p w14:paraId="27AF6E11"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140</w:t>
            </w:r>
          </w:p>
        </w:tc>
      </w:tr>
      <w:tr w:rsidR="00E76212" w:rsidRPr="008C63ED" w14:paraId="2FEEB4B2" w14:textId="77777777" w:rsidTr="00D2560E">
        <w:trPr>
          <w:trHeight w:val="330"/>
        </w:trPr>
        <w:tc>
          <w:tcPr>
            <w:tcW w:w="7399" w:type="dxa"/>
            <w:gridSpan w:val="2"/>
            <w:tcBorders>
              <w:top w:val="nil"/>
              <w:left w:val="nil"/>
              <w:bottom w:val="single" w:sz="4" w:space="0" w:color="auto"/>
              <w:right w:val="nil"/>
            </w:tcBorders>
            <w:shd w:val="clear" w:color="auto" w:fill="auto"/>
            <w:vAlign w:val="center"/>
            <w:hideMark/>
          </w:tcPr>
          <w:p w14:paraId="76AEA347"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xml:space="preserve">Spolu </w:t>
            </w:r>
          </w:p>
        </w:tc>
        <w:tc>
          <w:tcPr>
            <w:tcW w:w="1950" w:type="dxa"/>
            <w:tcBorders>
              <w:top w:val="nil"/>
              <w:left w:val="nil"/>
              <w:bottom w:val="single" w:sz="4" w:space="0" w:color="auto"/>
              <w:right w:val="nil"/>
            </w:tcBorders>
            <w:shd w:val="clear" w:color="auto" w:fill="auto"/>
            <w:vAlign w:val="center"/>
            <w:hideMark/>
          </w:tcPr>
          <w:p w14:paraId="24BADE4B"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140</w:t>
            </w:r>
          </w:p>
        </w:tc>
      </w:tr>
      <w:tr w:rsidR="00E76212" w:rsidRPr="008C63ED" w14:paraId="27B52E47" w14:textId="77777777" w:rsidTr="00D2560E">
        <w:trPr>
          <w:trHeight w:val="675"/>
        </w:trPr>
        <w:tc>
          <w:tcPr>
            <w:tcW w:w="1418" w:type="dxa"/>
            <w:tcBorders>
              <w:top w:val="nil"/>
              <w:left w:val="nil"/>
              <w:bottom w:val="nil"/>
              <w:right w:val="nil"/>
            </w:tcBorders>
            <w:shd w:val="clear" w:color="auto" w:fill="auto"/>
            <w:vAlign w:val="center"/>
            <w:hideMark/>
          </w:tcPr>
          <w:p w14:paraId="7396D52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hospodárstva</w:t>
            </w:r>
            <w:r w:rsidRPr="008C63ED">
              <w:rPr>
                <w:rFonts w:eastAsia="Times New Roman" w:cs="Times New Roman"/>
                <w:sz w:val="16"/>
                <w:szCs w:val="16"/>
                <w:lang w:eastAsia="sk-SK"/>
              </w:rPr>
              <w:t xml:space="preserve"> SR </w:t>
            </w:r>
          </w:p>
        </w:tc>
        <w:tc>
          <w:tcPr>
            <w:tcW w:w="5985" w:type="dxa"/>
            <w:tcBorders>
              <w:top w:val="nil"/>
              <w:left w:val="nil"/>
              <w:bottom w:val="nil"/>
              <w:right w:val="nil"/>
            </w:tcBorders>
            <w:shd w:val="clear" w:color="auto" w:fill="auto"/>
            <w:vAlign w:val="bottom"/>
            <w:hideMark/>
          </w:tcPr>
          <w:p w14:paraId="7C7BED6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finančné zabezpečenie osobných výdavkov a súvisi</w:t>
            </w:r>
            <w:r>
              <w:rPr>
                <w:rFonts w:eastAsia="Times New Roman" w:cs="Times New Roman"/>
                <w:sz w:val="16"/>
                <w:szCs w:val="16"/>
                <w:lang w:eastAsia="sk-SK"/>
              </w:rPr>
              <w:t>acich nákladov podľa zákona č. </w:t>
            </w:r>
            <w:r w:rsidRPr="008C63ED">
              <w:rPr>
                <w:rFonts w:eastAsia="Times New Roman" w:cs="Times New Roman"/>
                <w:sz w:val="16"/>
                <w:szCs w:val="16"/>
                <w:lang w:eastAsia="sk-SK"/>
              </w:rPr>
              <w:t>497/2022 Z. z. o preverovaní zahraničných investícií a o zmene a doplnení niektorých zákonov (2 osoby)</w:t>
            </w:r>
          </w:p>
        </w:tc>
        <w:tc>
          <w:tcPr>
            <w:tcW w:w="1950" w:type="dxa"/>
            <w:tcBorders>
              <w:top w:val="nil"/>
              <w:left w:val="nil"/>
              <w:bottom w:val="nil"/>
              <w:right w:val="nil"/>
            </w:tcBorders>
            <w:shd w:val="clear" w:color="auto" w:fill="auto"/>
            <w:vAlign w:val="center"/>
            <w:hideMark/>
          </w:tcPr>
          <w:p w14:paraId="394F066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99</w:t>
            </w:r>
          </w:p>
        </w:tc>
      </w:tr>
      <w:tr w:rsidR="00E76212" w:rsidRPr="008C63ED" w14:paraId="38F0FA78" w14:textId="77777777" w:rsidTr="00D2560E">
        <w:trPr>
          <w:trHeight w:val="330"/>
        </w:trPr>
        <w:tc>
          <w:tcPr>
            <w:tcW w:w="7399" w:type="dxa"/>
            <w:gridSpan w:val="2"/>
            <w:tcBorders>
              <w:top w:val="nil"/>
              <w:left w:val="nil"/>
              <w:bottom w:val="single" w:sz="4" w:space="0" w:color="auto"/>
              <w:right w:val="nil"/>
            </w:tcBorders>
            <w:shd w:val="clear" w:color="auto" w:fill="auto"/>
            <w:vAlign w:val="center"/>
            <w:hideMark/>
          </w:tcPr>
          <w:p w14:paraId="6CBD2E9C"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xml:space="preserve">Spolu </w:t>
            </w:r>
          </w:p>
        </w:tc>
        <w:tc>
          <w:tcPr>
            <w:tcW w:w="1950" w:type="dxa"/>
            <w:tcBorders>
              <w:top w:val="nil"/>
              <w:left w:val="nil"/>
              <w:bottom w:val="single" w:sz="4" w:space="0" w:color="auto"/>
              <w:right w:val="nil"/>
            </w:tcBorders>
            <w:shd w:val="clear" w:color="auto" w:fill="auto"/>
            <w:vAlign w:val="center"/>
            <w:hideMark/>
          </w:tcPr>
          <w:p w14:paraId="30B20831"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99</w:t>
            </w:r>
          </w:p>
        </w:tc>
      </w:tr>
      <w:tr w:rsidR="00E76212" w:rsidRPr="008C63ED" w14:paraId="3F9D4016" w14:textId="77777777" w:rsidTr="00D2560E">
        <w:trPr>
          <w:trHeight w:val="666"/>
        </w:trPr>
        <w:tc>
          <w:tcPr>
            <w:tcW w:w="1418" w:type="dxa"/>
            <w:tcBorders>
              <w:top w:val="nil"/>
              <w:left w:val="nil"/>
              <w:bottom w:val="nil"/>
              <w:right w:val="nil"/>
            </w:tcBorders>
            <w:shd w:val="clear" w:color="auto" w:fill="auto"/>
            <w:vAlign w:val="center"/>
            <w:hideMark/>
          </w:tcPr>
          <w:p w14:paraId="0FC5B00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Ú</w:t>
            </w:r>
            <w:r>
              <w:rPr>
                <w:rFonts w:eastAsia="Times New Roman" w:cs="Times New Roman"/>
                <w:sz w:val="16"/>
                <w:szCs w:val="16"/>
                <w:lang w:eastAsia="sk-SK"/>
              </w:rPr>
              <w:t>rad komisára pre deti</w:t>
            </w:r>
          </w:p>
        </w:tc>
        <w:tc>
          <w:tcPr>
            <w:tcW w:w="5985" w:type="dxa"/>
            <w:tcBorders>
              <w:top w:val="nil"/>
              <w:left w:val="nil"/>
              <w:bottom w:val="nil"/>
              <w:right w:val="nil"/>
            </w:tcBorders>
            <w:shd w:val="clear" w:color="auto" w:fill="auto"/>
            <w:vAlign w:val="bottom"/>
            <w:hideMark/>
          </w:tcPr>
          <w:p w14:paraId="2DFFB02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finančné zabezpečenie plnenia úloh národného preventívneho mechanizmu podľa zákona č. 110/2023 Z. z., ktorým sa mení a dopĺňa zákon č. 564/2001 Z. z. o verejnom ochrancovi práv v znení neskorších predpisov a ktorým sa menia a dopĺňajú niektoré zákony</w:t>
            </w:r>
          </w:p>
        </w:tc>
        <w:tc>
          <w:tcPr>
            <w:tcW w:w="1950" w:type="dxa"/>
            <w:tcBorders>
              <w:top w:val="nil"/>
              <w:left w:val="nil"/>
              <w:bottom w:val="nil"/>
              <w:right w:val="nil"/>
            </w:tcBorders>
            <w:shd w:val="clear" w:color="auto" w:fill="auto"/>
            <w:vAlign w:val="center"/>
            <w:hideMark/>
          </w:tcPr>
          <w:p w14:paraId="45148774"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86</w:t>
            </w:r>
          </w:p>
        </w:tc>
      </w:tr>
      <w:tr w:rsidR="00E76212" w:rsidRPr="008C63ED" w14:paraId="0927E3DA" w14:textId="77777777" w:rsidTr="00D2560E">
        <w:trPr>
          <w:trHeight w:val="330"/>
        </w:trPr>
        <w:tc>
          <w:tcPr>
            <w:tcW w:w="7399" w:type="dxa"/>
            <w:gridSpan w:val="2"/>
            <w:tcBorders>
              <w:top w:val="nil"/>
              <w:left w:val="nil"/>
              <w:bottom w:val="single" w:sz="4" w:space="0" w:color="auto"/>
              <w:right w:val="nil"/>
            </w:tcBorders>
            <w:shd w:val="clear" w:color="auto" w:fill="auto"/>
            <w:vAlign w:val="center"/>
            <w:hideMark/>
          </w:tcPr>
          <w:p w14:paraId="0EB068C2"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xml:space="preserve">Spolu </w:t>
            </w:r>
          </w:p>
        </w:tc>
        <w:tc>
          <w:tcPr>
            <w:tcW w:w="1950" w:type="dxa"/>
            <w:tcBorders>
              <w:top w:val="nil"/>
              <w:left w:val="nil"/>
              <w:bottom w:val="single" w:sz="4" w:space="0" w:color="auto"/>
              <w:right w:val="nil"/>
            </w:tcBorders>
            <w:shd w:val="clear" w:color="auto" w:fill="auto"/>
            <w:vAlign w:val="center"/>
            <w:hideMark/>
          </w:tcPr>
          <w:p w14:paraId="20AF8902"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86</w:t>
            </w:r>
          </w:p>
        </w:tc>
      </w:tr>
      <w:tr w:rsidR="00E76212" w:rsidRPr="008C63ED" w14:paraId="54CCD88C" w14:textId="77777777" w:rsidTr="00D2560E">
        <w:trPr>
          <w:trHeight w:val="330"/>
        </w:trPr>
        <w:tc>
          <w:tcPr>
            <w:tcW w:w="7399" w:type="dxa"/>
            <w:gridSpan w:val="2"/>
            <w:tcBorders>
              <w:top w:val="single" w:sz="4" w:space="0" w:color="auto"/>
              <w:left w:val="nil"/>
              <w:bottom w:val="single" w:sz="4" w:space="0" w:color="auto"/>
              <w:right w:val="nil"/>
            </w:tcBorders>
            <w:shd w:val="clear" w:color="auto" w:fill="auto"/>
            <w:vAlign w:val="center"/>
            <w:hideMark/>
          </w:tcPr>
          <w:p w14:paraId="5A5CD8AB" w14:textId="77777777" w:rsidR="00E76212" w:rsidRPr="008C63ED" w:rsidRDefault="00E76212" w:rsidP="009819F0">
            <w:pPr>
              <w:spacing w:after="0" w:line="240" w:lineRule="auto"/>
              <w:jc w:val="left"/>
              <w:rPr>
                <w:rFonts w:eastAsia="Times New Roman" w:cs="Times New Roman"/>
                <w:b/>
                <w:bCs/>
                <w:sz w:val="16"/>
                <w:szCs w:val="16"/>
                <w:lang w:eastAsia="sk-SK"/>
              </w:rPr>
            </w:pPr>
            <w:r w:rsidRPr="008C63ED">
              <w:rPr>
                <w:rFonts w:eastAsia="Times New Roman" w:cs="Times New Roman"/>
                <w:b/>
                <w:bCs/>
                <w:sz w:val="16"/>
                <w:szCs w:val="16"/>
                <w:lang w:eastAsia="sk-SK"/>
              </w:rPr>
              <w:t>Spolu celkom</w:t>
            </w:r>
          </w:p>
        </w:tc>
        <w:tc>
          <w:tcPr>
            <w:tcW w:w="1950" w:type="dxa"/>
            <w:tcBorders>
              <w:top w:val="nil"/>
              <w:left w:val="nil"/>
              <w:bottom w:val="single" w:sz="4" w:space="0" w:color="auto"/>
              <w:right w:val="nil"/>
            </w:tcBorders>
            <w:shd w:val="clear" w:color="auto" w:fill="auto"/>
            <w:vAlign w:val="center"/>
            <w:hideMark/>
          </w:tcPr>
          <w:p w14:paraId="36F0F3FC"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974 945</w:t>
            </w:r>
          </w:p>
        </w:tc>
      </w:tr>
      <w:tr w:rsidR="00E76212" w:rsidRPr="0035337C" w14:paraId="74B89AE0" w14:textId="77777777" w:rsidTr="00D2560E">
        <w:trPr>
          <w:trHeight w:val="225"/>
        </w:trPr>
        <w:tc>
          <w:tcPr>
            <w:tcW w:w="9349" w:type="dxa"/>
            <w:gridSpan w:val="3"/>
            <w:tcBorders>
              <w:top w:val="nil"/>
              <w:left w:val="nil"/>
              <w:bottom w:val="nil"/>
              <w:right w:val="nil"/>
            </w:tcBorders>
            <w:shd w:val="clear" w:color="auto" w:fill="auto"/>
            <w:noWrap/>
            <w:vAlign w:val="bottom"/>
            <w:hideMark/>
          </w:tcPr>
          <w:p w14:paraId="519C5012" w14:textId="28B5B102" w:rsidR="00E76212" w:rsidRPr="0035337C" w:rsidRDefault="00E76212" w:rsidP="00536426">
            <w:pPr>
              <w:spacing w:after="0" w:line="240" w:lineRule="auto"/>
              <w:rPr>
                <w:rFonts w:eastAsia="Times New Roman" w:cs="Times New Roman"/>
                <w:iCs/>
                <w:sz w:val="18"/>
                <w:szCs w:val="18"/>
                <w:lang w:eastAsia="sk-SK"/>
              </w:rPr>
            </w:pPr>
            <w:r w:rsidRPr="0035337C">
              <w:rPr>
                <w:rFonts w:eastAsia="Times New Roman" w:cs="Times New Roman"/>
                <w:iCs/>
                <w:sz w:val="18"/>
                <w:szCs w:val="18"/>
                <w:lang w:eastAsia="sk-SK"/>
              </w:rPr>
              <w:t>*V sumách sú premietnuté aj vrátené nevyčerpané prostriedky kapitol.</w:t>
            </w:r>
            <w:r w:rsidR="00536426">
              <w:rPr>
                <w:rFonts w:eastAsia="Times New Roman" w:cs="Times New Roman"/>
                <w:iCs/>
                <w:sz w:val="18"/>
                <w:szCs w:val="18"/>
                <w:lang w:eastAsia="sk-SK"/>
              </w:rPr>
              <w:t xml:space="preserve">                                                                    </w:t>
            </w:r>
            <w:r w:rsidRPr="0035337C">
              <w:rPr>
                <w:rFonts w:eastAsia="Times New Roman" w:cs="Times New Roman"/>
                <w:iCs/>
                <w:sz w:val="18"/>
                <w:szCs w:val="18"/>
                <w:lang w:eastAsia="sk-SK"/>
              </w:rPr>
              <w:t xml:space="preserve">Zdroj: MF SR </w:t>
            </w:r>
          </w:p>
        </w:tc>
      </w:tr>
    </w:tbl>
    <w:p w14:paraId="691A897F" w14:textId="77777777" w:rsidR="00E76212" w:rsidRPr="00983054" w:rsidRDefault="00E76212" w:rsidP="009819F0">
      <w:pPr>
        <w:tabs>
          <w:tab w:val="left" w:pos="0"/>
          <w:tab w:val="left" w:pos="720"/>
          <w:tab w:val="left" w:pos="1440"/>
          <w:tab w:val="left" w:pos="2160"/>
          <w:tab w:val="left" w:pos="2880"/>
          <w:tab w:val="left" w:pos="3600"/>
          <w:tab w:val="left" w:pos="4320"/>
        </w:tabs>
        <w:adjustRightInd w:val="0"/>
        <w:spacing w:before="120" w:line="240" w:lineRule="auto"/>
        <w:rPr>
          <w:rFonts w:eastAsia="Times New Roman" w:cs="Times New Roman"/>
          <w:b/>
          <w:sz w:val="24"/>
          <w:szCs w:val="24"/>
          <w:lang w:eastAsia="cs-CZ"/>
        </w:rPr>
      </w:pPr>
      <w:r w:rsidRPr="00983054">
        <w:rPr>
          <w:rFonts w:eastAsia="Times New Roman" w:cs="Times New Roman"/>
          <w:b/>
          <w:sz w:val="24"/>
          <w:szCs w:val="24"/>
          <w:lang w:eastAsia="cs-CZ"/>
        </w:rPr>
        <w:t xml:space="preserve">Rezerva na riešenie krízových situácií mimo času vojny a vojnového stavu a vykonávanie povodňových prác </w:t>
      </w:r>
    </w:p>
    <w:p w14:paraId="3A19AC5F" w14:textId="77777777" w:rsidR="00E76212" w:rsidRPr="00983054" w:rsidRDefault="00E76212" w:rsidP="009819F0">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983054">
        <w:rPr>
          <w:rFonts w:eastAsia="Times New Roman" w:cs="Times New Roman"/>
          <w:color w:val="000000"/>
          <w:sz w:val="24"/>
          <w:szCs w:val="24"/>
          <w:lang w:eastAsia="cs-CZ"/>
        </w:rPr>
        <w:t xml:space="preserve">Rezerva na riešenie krízových situácií mimo času vojny a vojnového stavu a vykonávanie povodňových </w:t>
      </w:r>
      <w:r>
        <w:rPr>
          <w:rFonts w:eastAsia="Times New Roman" w:cs="Times New Roman"/>
          <w:color w:val="000000"/>
          <w:sz w:val="24"/>
          <w:szCs w:val="24"/>
          <w:lang w:eastAsia="cs-CZ"/>
        </w:rPr>
        <w:t>prác rozpočtovaná v sume 21 000 tis. eur sa uvoľnila v sume 6 034 tis. </w:t>
      </w:r>
      <w:r w:rsidRPr="00983054">
        <w:rPr>
          <w:rFonts w:eastAsia="Times New Roman" w:cs="Times New Roman"/>
          <w:color w:val="000000"/>
          <w:sz w:val="24"/>
          <w:szCs w:val="24"/>
          <w:lang w:eastAsia="cs-CZ"/>
        </w:rPr>
        <w:t xml:space="preserve">eur. </w:t>
      </w:r>
    </w:p>
    <w:p w14:paraId="05F68D2F" w14:textId="77777777" w:rsidR="00E76212" w:rsidRPr="00983054" w:rsidRDefault="00E76212" w:rsidP="009819F0">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983054">
        <w:rPr>
          <w:rFonts w:eastAsia="Times New Roman" w:cs="Times New Roman"/>
          <w:color w:val="000000"/>
          <w:sz w:val="24"/>
          <w:szCs w:val="24"/>
          <w:lang w:eastAsia="cs-CZ"/>
        </w:rPr>
        <w:t>Nevyčerpa</w:t>
      </w:r>
      <w:r>
        <w:rPr>
          <w:rFonts w:eastAsia="Times New Roman" w:cs="Times New Roman"/>
          <w:color w:val="000000"/>
          <w:sz w:val="24"/>
          <w:szCs w:val="24"/>
          <w:lang w:eastAsia="cs-CZ"/>
        </w:rPr>
        <w:t>ný zostatok predstavuje sumu 14 966 tis. </w:t>
      </w:r>
      <w:r w:rsidRPr="00983054">
        <w:rPr>
          <w:rFonts w:eastAsia="Times New Roman" w:cs="Times New Roman"/>
          <w:color w:val="000000"/>
          <w:sz w:val="24"/>
          <w:szCs w:val="24"/>
          <w:lang w:eastAsia="cs-CZ"/>
        </w:rPr>
        <w:t>eur.</w:t>
      </w:r>
    </w:p>
    <w:p w14:paraId="5E93014A" w14:textId="1D3E1830" w:rsidR="00E76212" w:rsidRPr="00983054" w:rsidRDefault="00E76212" w:rsidP="009819F0">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983054">
        <w:rPr>
          <w:rFonts w:eastAsia="Times New Roman" w:cs="Times New Roman"/>
          <w:color w:val="000000"/>
          <w:sz w:val="24"/>
          <w:szCs w:val="24"/>
          <w:lang w:eastAsia="cs-CZ"/>
        </w:rPr>
        <w:t>Podrobné informácie o uvoľnených prostriedkoch sú prezentované v </w:t>
      </w:r>
      <w:r w:rsidRPr="00DD022A">
        <w:rPr>
          <w:rFonts w:eastAsia="Times New Roman" w:cs="Times New Roman"/>
          <w:color w:val="000000"/>
          <w:sz w:val="24"/>
          <w:szCs w:val="24"/>
          <w:lang w:eastAsia="cs-CZ"/>
        </w:rPr>
        <w:t xml:space="preserve">Tabuľke </w:t>
      </w:r>
      <w:r w:rsidR="00DD022A" w:rsidRPr="00DD022A">
        <w:rPr>
          <w:rFonts w:eastAsia="Times New Roman" w:cs="Times New Roman"/>
          <w:color w:val="000000"/>
          <w:sz w:val="24"/>
          <w:szCs w:val="24"/>
          <w:lang w:eastAsia="cs-CZ"/>
        </w:rPr>
        <w:t>56</w:t>
      </w:r>
      <w:r w:rsidRPr="00DD022A">
        <w:rPr>
          <w:rFonts w:eastAsia="Times New Roman" w:cs="Times New Roman"/>
          <w:color w:val="000000"/>
          <w:sz w:val="24"/>
          <w:szCs w:val="24"/>
          <w:lang w:eastAsia="cs-CZ"/>
        </w:rPr>
        <w:t>.</w:t>
      </w:r>
    </w:p>
    <w:tbl>
      <w:tblPr>
        <w:tblW w:w="9144" w:type="dxa"/>
        <w:tblCellMar>
          <w:left w:w="70" w:type="dxa"/>
          <w:right w:w="70" w:type="dxa"/>
        </w:tblCellMar>
        <w:tblLook w:val="04A0" w:firstRow="1" w:lastRow="0" w:firstColumn="1" w:lastColumn="0" w:noHBand="0" w:noVBand="1"/>
      </w:tblPr>
      <w:tblGrid>
        <w:gridCol w:w="9144"/>
      </w:tblGrid>
      <w:tr w:rsidR="00E76212" w:rsidRPr="0035337C" w14:paraId="51CAC8A6" w14:textId="77777777" w:rsidTr="00D2560E">
        <w:trPr>
          <w:trHeight w:val="579"/>
        </w:trPr>
        <w:tc>
          <w:tcPr>
            <w:tcW w:w="9144" w:type="dxa"/>
            <w:tcBorders>
              <w:top w:val="nil"/>
              <w:left w:val="nil"/>
              <w:bottom w:val="nil"/>
              <w:right w:val="nil"/>
            </w:tcBorders>
            <w:shd w:val="clear" w:color="auto" w:fill="auto"/>
            <w:vAlign w:val="bottom"/>
            <w:hideMark/>
          </w:tcPr>
          <w:p w14:paraId="48A55D15" w14:textId="0D6AFC4A" w:rsidR="00E76212" w:rsidRPr="0035337C" w:rsidRDefault="00E76212" w:rsidP="00D2560E">
            <w:pPr>
              <w:spacing w:after="0" w:line="240" w:lineRule="auto"/>
              <w:rPr>
                <w:rFonts w:cs="Times New Roman"/>
                <w:b/>
                <w:bCs/>
                <w:color w:val="5B9BD5"/>
                <w:sz w:val="20"/>
                <w:szCs w:val="20"/>
              </w:rPr>
            </w:pPr>
            <w:r w:rsidRPr="0035337C">
              <w:rPr>
                <w:rFonts w:cs="Times New Roman"/>
                <w:b/>
                <w:bCs/>
                <w:color w:val="5B9BD5"/>
                <w:sz w:val="20"/>
                <w:szCs w:val="20"/>
              </w:rPr>
              <w:lastRenderedPageBreak/>
              <w:t xml:space="preserve">Tabuľka </w:t>
            </w:r>
            <w:r w:rsidR="00DD022A">
              <w:rPr>
                <w:rFonts w:cs="Times New Roman"/>
                <w:b/>
                <w:bCs/>
                <w:color w:val="5B9BD5"/>
                <w:sz w:val="20"/>
                <w:szCs w:val="20"/>
              </w:rPr>
              <w:t>56</w:t>
            </w:r>
            <w:r w:rsidRPr="0035337C">
              <w:rPr>
                <w:rFonts w:cs="Times New Roman"/>
                <w:b/>
                <w:bCs/>
                <w:color w:val="5B9BD5"/>
                <w:sz w:val="20"/>
                <w:szCs w:val="20"/>
              </w:rPr>
              <w:t xml:space="preserve"> - Rezerva na riešenie krízových situácií mimo času vojny a vojnového stavu a vykonávanie povodňových prác</w:t>
            </w:r>
          </w:p>
          <w:tbl>
            <w:tblPr>
              <w:tblW w:w="8995" w:type="dxa"/>
              <w:tblCellMar>
                <w:left w:w="70" w:type="dxa"/>
                <w:right w:w="70" w:type="dxa"/>
              </w:tblCellMar>
              <w:tblLook w:val="04A0" w:firstRow="1" w:lastRow="0" w:firstColumn="1" w:lastColumn="0" w:noHBand="0" w:noVBand="1"/>
            </w:tblPr>
            <w:tblGrid>
              <w:gridCol w:w="1308"/>
              <w:gridCol w:w="5959"/>
              <w:gridCol w:w="1728"/>
            </w:tblGrid>
            <w:tr w:rsidR="00E76212" w:rsidRPr="0035337C" w14:paraId="2BFAA861" w14:textId="77777777" w:rsidTr="00D2560E">
              <w:trPr>
                <w:trHeight w:val="548"/>
              </w:trPr>
              <w:tc>
                <w:tcPr>
                  <w:tcW w:w="1308" w:type="dxa"/>
                  <w:tcBorders>
                    <w:top w:val="single" w:sz="4" w:space="0" w:color="auto"/>
                    <w:left w:val="nil"/>
                    <w:bottom w:val="single" w:sz="4" w:space="0" w:color="auto"/>
                    <w:right w:val="nil"/>
                  </w:tcBorders>
                  <w:shd w:val="clear" w:color="auto" w:fill="auto"/>
                  <w:noWrap/>
                  <w:vAlign w:val="center"/>
                  <w:hideMark/>
                </w:tcPr>
                <w:p w14:paraId="0AF0C95F" w14:textId="77777777" w:rsidR="00E76212" w:rsidRPr="009819F0" w:rsidRDefault="00E76212" w:rsidP="00D2560E">
                  <w:pPr>
                    <w:spacing w:after="0" w:line="240" w:lineRule="auto"/>
                    <w:rPr>
                      <w:rFonts w:eastAsia="Times New Roman" w:cs="Times New Roman"/>
                      <w:b/>
                      <w:bCs/>
                      <w:sz w:val="18"/>
                      <w:szCs w:val="18"/>
                      <w:lang w:eastAsia="sk-SK"/>
                    </w:rPr>
                  </w:pPr>
                  <w:r w:rsidRPr="009819F0">
                    <w:rPr>
                      <w:rFonts w:eastAsia="Times New Roman" w:cs="Times New Roman"/>
                      <w:b/>
                      <w:bCs/>
                      <w:sz w:val="18"/>
                      <w:szCs w:val="18"/>
                      <w:lang w:eastAsia="sk-SK"/>
                    </w:rPr>
                    <w:t xml:space="preserve">Kapitola </w:t>
                  </w:r>
                </w:p>
              </w:tc>
              <w:tc>
                <w:tcPr>
                  <w:tcW w:w="5959" w:type="dxa"/>
                  <w:tcBorders>
                    <w:top w:val="single" w:sz="4" w:space="0" w:color="auto"/>
                    <w:left w:val="nil"/>
                    <w:bottom w:val="single" w:sz="4" w:space="0" w:color="auto"/>
                    <w:right w:val="nil"/>
                  </w:tcBorders>
                  <w:shd w:val="clear" w:color="auto" w:fill="auto"/>
                  <w:noWrap/>
                  <w:vAlign w:val="center"/>
                  <w:hideMark/>
                </w:tcPr>
                <w:p w14:paraId="5269F3B6" w14:textId="77777777" w:rsidR="00E76212" w:rsidRPr="009819F0" w:rsidRDefault="00E76212" w:rsidP="00D2560E">
                  <w:pPr>
                    <w:spacing w:after="0" w:line="240" w:lineRule="auto"/>
                    <w:jc w:val="center"/>
                    <w:rPr>
                      <w:rFonts w:eastAsia="Times New Roman" w:cs="Times New Roman"/>
                      <w:b/>
                      <w:bCs/>
                      <w:sz w:val="18"/>
                      <w:szCs w:val="18"/>
                      <w:lang w:eastAsia="sk-SK"/>
                    </w:rPr>
                  </w:pPr>
                  <w:r w:rsidRPr="009819F0">
                    <w:rPr>
                      <w:rFonts w:eastAsia="Times New Roman" w:cs="Times New Roman"/>
                      <w:b/>
                      <w:bCs/>
                      <w:sz w:val="18"/>
                      <w:szCs w:val="18"/>
                      <w:lang w:eastAsia="sk-SK"/>
                    </w:rPr>
                    <w:t>Účel</w:t>
                  </w:r>
                </w:p>
              </w:tc>
              <w:tc>
                <w:tcPr>
                  <w:tcW w:w="1728" w:type="dxa"/>
                  <w:tcBorders>
                    <w:top w:val="single" w:sz="4" w:space="0" w:color="auto"/>
                    <w:left w:val="nil"/>
                    <w:bottom w:val="single" w:sz="4" w:space="0" w:color="auto"/>
                    <w:right w:val="nil"/>
                  </w:tcBorders>
                  <w:shd w:val="clear" w:color="auto" w:fill="auto"/>
                  <w:noWrap/>
                  <w:vAlign w:val="center"/>
                  <w:hideMark/>
                </w:tcPr>
                <w:p w14:paraId="45B781C8" w14:textId="77777777" w:rsidR="00E76212" w:rsidRPr="009819F0" w:rsidRDefault="00E76212" w:rsidP="00D2560E">
                  <w:pPr>
                    <w:spacing w:after="0" w:line="240" w:lineRule="auto"/>
                    <w:jc w:val="right"/>
                    <w:rPr>
                      <w:rFonts w:eastAsia="Times New Roman" w:cs="Times New Roman"/>
                      <w:b/>
                      <w:bCs/>
                      <w:sz w:val="18"/>
                      <w:szCs w:val="18"/>
                      <w:lang w:eastAsia="sk-SK"/>
                    </w:rPr>
                  </w:pPr>
                  <w:r w:rsidRPr="009819F0">
                    <w:rPr>
                      <w:rFonts w:eastAsia="Times New Roman" w:cs="Times New Roman"/>
                      <w:b/>
                      <w:bCs/>
                      <w:sz w:val="18"/>
                      <w:szCs w:val="18"/>
                      <w:lang w:eastAsia="sk-SK"/>
                    </w:rPr>
                    <w:t>Suma v tis. eur</w:t>
                  </w:r>
                </w:p>
              </w:tc>
            </w:tr>
            <w:tr w:rsidR="00E76212" w:rsidRPr="0035337C" w14:paraId="0649C268" w14:textId="77777777" w:rsidTr="00D2560E">
              <w:trPr>
                <w:trHeight w:val="689"/>
              </w:trPr>
              <w:tc>
                <w:tcPr>
                  <w:tcW w:w="1308" w:type="dxa"/>
                  <w:vMerge w:val="restart"/>
                  <w:tcBorders>
                    <w:top w:val="nil"/>
                    <w:left w:val="nil"/>
                    <w:bottom w:val="nil"/>
                    <w:right w:val="nil"/>
                  </w:tcBorders>
                  <w:shd w:val="clear" w:color="auto" w:fill="auto"/>
                  <w:vAlign w:val="center"/>
                  <w:hideMark/>
                </w:tcPr>
                <w:p w14:paraId="4A1A5918" w14:textId="77777777" w:rsidR="00E76212" w:rsidRPr="0035337C" w:rsidRDefault="00E76212" w:rsidP="00D2560E">
                  <w:pPr>
                    <w:spacing w:after="0" w:line="240" w:lineRule="auto"/>
                    <w:rPr>
                      <w:rFonts w:eastAsia="Times New Roman" w:cs="Times New Roman"/>
                      <w:sz w:val="16"/>
                      <w:szCs w:val="16"/>
                      <w:lang w:eastAsia="sk-SK"/>
                    </w:rPr>
                  </w:pPr>
                  <w:r w:rsidRPr="0035337C">
                    <w:rPr>
                      <w:rFonts w:eastAsia="Times New Roman" w:cs="Times New Roman"/>
                      <w:sz w:val="16"/>
                      <w:szCs w:val="16"/>
                      <w:lang w:eastAsia="sk-SK"/>
                    </w:rPr>
                    <w:t>Ministerstvo vnútra SR</w:t>
                  </w:r>
                </w:p>
              </w:tc>
              <w:tc>
                <w:tcPr>
                  <w:tcW w:w="5959" w:type="dxa"/>
                  <w:tcBorders>
                    <w:top w:val="nil"/>
                    <w:left w:val="nil"/>
                    <w:bottom w:val="nil"/>
                    <w:right w:val="nil"/>
                  </w:tcBorders>
                  <w:shd w:val="clear" w:color="auto" w:fill="auto"/>
                  <w:vAlign w:val="bottom"/>
                  <w:hideMark/>
                </w:tcPr>
                <w:p w14:paraId="6FD8CEF9" w14:textId="77777777" w:rsidR="00E76212" w:rsidRPr="0035337C" w:rsidRDefault="00E76212" w:rsidP="00D2560E">
                  <w:pPr>
                    <w:spacing w:after="0" w:line="240" w:lineRule="auto"/>
                    <w:rPr>
                      <w:rFonts w:eastAsia="Times New Roman" w:cs="Times New Roman"/>
                      <w:sz w:val="16"/>
                      <w:szCs w:val="16"/>
                      <w:lang w:eastAsia="sk-SK"/>
                    </w:rPr>
                  </w:pPr>
                  <w:r w:rsidRPr="0035337C">
                    <w:rPr>
                      <w:rFonts w:eastAsia="Times New Roman" w:cs="Times New Roman"/>
                      <w:sz w:val="16"/>
                      <w:szCs w:val="16"/>
                      <w:lang w:eastAsia="sk-SK"/>
                    </w:rPr>
                    <w:t>Na úhradu výdavkov súvisiacich so záchrannými prácami počas mimoriadnej situácie podľa UZN č. 389/2023</w:t>
                  </w:r>
                </w:p>
              </w:tc>
              <w:tc>
                <w:tcPr>
                  <w:tcW w:w="1728" w:type="dxa"/>
                  <w:tcBorders>
                    <w:top w:val="nil"/>
                    <w:left w:val="nil"/>
                    <w:bottom w:val="nil"/>
                    <w:right w:val="nil"/>
                  </w:tcBorders>
                  <w:shd w:val="clear" w:color="auto" w:fill="auto"/>
                  <w:vAlign w:val="center"/>
                  <w:hideMark/>
                </w:tcPr>
                <w:p w14:paraId="6B891DD1" w14:textId="77777777" w:rsidR="00E76212" w:rsidRPr="0035337C" w:rsidRDefault="00E76212" w:rsidP="00D2560E">
                  <w:pPr>
                    <w:spacing w:after="0" w:line="240" w:lineRule="auto"/>
                    <w:jc w:val="right"/>
                    <w:rPr>
                      <w:rFonts w:eastAsia="Times New Roman" w:cs="Times New Roman"/>
                      <w:sz w:val="16"/>
                      <w:szCs w:val="16"/>
                      <w:lang w:eastAsia="sk-SK"/>
                    </w:rPr>
                  </w:pPr>
                  <w:r w:rsidRPr="0035337C">
                    <w:rPr>
                      <w:rFonts w:eastAsia="Times New Roman" w:cs="Times New Roman"/>
                      <w:sz w:val="16"/>
                      <w:szCs w:val="16"/>
                      <w:lang w:eastAsia="sk-SK"/>
                    </w:rPr>
                    <w:t>2 620</w:t>
                  </w:r>
                </w:p>
              </w:tc>
            </w:tr>
            <w:tr w:rsidR="00E76212" w:rsidRPr="0035337C" w14:paraId="7E612C12" w14:textId="77777777" w:rsidTr="00D2560E">
              <w:trPr>
                <w:trHeight w:val="594"/>
              </w:trPr>
              <w:tc>
                <w:tcPr>
                  <w:tcW w:w="1308" w:type="dxa"/>
                  <w:vMerge/>
                  <w:tcBorders>
                    <w:top w:val="nil"/>
                    <w:left w:val="nil"/>
                    <w:bottom w:val="nil"/>
                    <w:right w:val="nil"/>
                  </w:tcBorders>
                  <w:vAlign w:val="center"/>
                  <w:hideMark/>
                </w:tcPr>
                <w:p w14:paraId="56B3BD69" w14:textId="77777777" w:rsidR="00E76212" w:rsidRPr="0035337C" w:rsidRDefault="00E76212" w:rsidP="00D2560E">
                  <w:pPr>
                    <w:spacing w:after="0" w:line="240" w:lineRule="auto"/>
                    <w:rPr>
                      <w:rFonts w:eastAsia="Times New Roman" w:cs="Times New Roman"/>
                      <w:sz w:val="16"/>
                      <w:szCs w:val="16"/>
                      <w:lang w:eastAsia="sk-SK"/>
                    </w:rPr>
                  </w:pPr>
                </w:p>
              </w:tc>
              <w:tc>
                <w:tcPr>
                  <w:tcW w:w="5959" w:type="dxa"/>
                  <w:tcBorders>
                    <w:top w:val="nil"/>
                    <w:left w:val="nil"/>
                    <w:bottom w:val="nil"/>
                    <w:right w:val="nil"/>
                  </w:tcBorders>
                  <w:shd w:val="clear" w:color="auto" w:fill="auto"/>
                  <w:vAlign w:val="bottom"/>
                  <w:hideMark/>
                </w:tcPr>
                <w:p w14:paraId="487656BC" w14:textId="77777777" w:rsidR="00E76212" w:rsidRPr="0035337C" w:rsidRDefault="00E76212" w:rsidP="00D2560E">
                  <w:pPr>
                    <w:spacing w:after="0" w:line="240" w:lineRule="auto"/>
                    <w:rPr>
                      <w:rFonts w:eastAsia="Times New Roman" w:cs="Times New Roman"/>
                      <w:sz w:val="16"/>
                      <w:szCs w:val="16"/>
                      <w:lang w:eastAsia="sk-SK"/>
                    </w:rPr>
                  </w:pPr>
                  <w:r w:rsidRPr="0035337C">
                    <w:rPr>
                      <w:rFonts w:eastAsia="Times New Roman" w:cs="Times New Roman"/>
                      <w:sz w:val="16"/>
                      <w:szCs w:val="16"/>
                      <w:lang w:eastAsia="sk-SK"/>
                    </w:rPr>
                    <w:t>Na vykonávanie povodňových zabezpečovacích a záchranných prác v súlade s UZN č. 610/2023</w:t>
                  </w:r>
                </w:p>
              </w:tc>
              <w:tc>
                <w:tcPr>
                  <w:tcW w:w="1728" w:type="dxa"/>
                  <w:tcBorders>
                    <w:top w:val="nil"/>
                    <w:left w:val="nil"/>
                    <w:bottom w:val="nil"/>
                    <w:right w:val="nil"/>
                  </w:tcBorders>
                  <w:shd w:val="clear" w:color="auto" w:fill="auto"/>
                  <w:vAlign w:val="center"/>
                  <w:hideMark/>
                </w:tcPr>
                <w:p w14:paraId="7EEA5238" w14:textId="77777777" w:rsidR="00E76212" w:rsidRPr="0035337C" w:rsidRDefault="00E76212" w:rsidP="00D2560E">
                  <w:pPr>
                    <w:spacing w:after="0" w:line="240" w:lineRule="auto"/>
                    <w:jc w:val="right"/>
                    <w:rPr>
                      <w:rFonts w:eastAsia="Times New Roman" w:cs="Times New Roman"/>
                      <w:sz w:val="16"/>
                      <w:szCs w:val="16"/>
                      <w:lang w:eastAsia="sk-SK"/>
                    </w:rPr>
                  </w:pPr>
                  <w:r w:rsidRPr="0035337C">
                    <w:rPr>
                      <w:rFonts w:eastAsia="Times New Roman" w:cs="Times New Roman"/>
                      <w:sz w:val="16"/>
                      <w:szCs w:val="16"/>
                      <w:lang w:eastAsia="sk-SK"/>
                    </w:rPr>
                    <w:t>658</w:t>
                  </w:r>
                </w:p>
              </w:tc>
            </w:tr>
            <w:tr w:rsidR="00E76212" w:rsidRPr="0035337C" w14:paraId="390BC9FC" w14:textId="77777777" w:rsidTr="00D2560E">
              <w:trPr>
                <w:trHeight w:val="520"/>
              </w:trPr>
              <w:tc>
                <w:tcPr>
                  <w:tcW w:w="1308" w:type="dxa"/>
                  <w:vMerge/>
                  <w:tcBorders>
                    <w:top w:val="nil"/>
                    <w:left w:val="nil"/>
                    <w:bottom w:val="nil"/>
                    <w:right w:val="nil"/>
                  </w:tcBorders>
                  <w:vAlign w:val="center"/>
                  <w:hideMark/>
                </w:tcPr>
                <w:p w14:paraId="70E4A6F2" w14:textId="77777777" w:rsidR="00E76212" w:rsidRPr="0035337C" w:rsidRDefault="00E76212" w:rsidP="00D2560E">
                  <w:pPr>
                    <w:spacing w:after="0" w:line="240" w:lineRule="auto"/>
                    <w:rPr>
                      <w:rFonts w:eastAsia="Times New Roman" w:cs="Times New Roman"/>
                      <w:sz w:val="16"/>
                      <w:szCs w:val="16"/>
                      <w:lang w:eastAsia="sk-SK"/>
                    </w:rPr>
                  </w:pPr>
                </w:p>
              </w:tc>
              <w:tc>
                <w:tcPr>
                  <w:tcW w:w="5959" w:type="dxa"/>
                  <w:tcBorders>
                    <w:top w:val="nil"/>
                    <w:left w:val="nil"/>
                    <w:bottom w:val="nil"/>
                    <w:right w:val="nil"/>
                  </w:tcBorders>
                  <w:shd w:val="clear" w:color="auto" w:fill="auto"/>
                  <w:vAlign w:val="bottom"/>
                  <w:hideMark/>
                </w:tcPr>
                <w:p w14:paraId="0EE58E39" w14:textId="77777777" w:rsidR="00E76212" w:rsidRPr="0035337C" w:rsidRDefault="00E76212" w:rsidP="00D2560E">
                  <w:pPr>
                    <w:spacing w:after="0" w:line="240" w:lineRule="auto"/>
                    <w:rPr>
                      <w:rFonts w:eastAsia="Times New Roman" w:cs="Times New Roman"/>
                      <w:sz w:val="16"/>
                      <w:szCs w:val="16"/>
                      <w:lang w:eastAsia="sk-SK"/>
                    </w:rPr>
                  </w:pPr>
                  <w:r w:rsidRPr="0035337C">
                    <w:rPr>
                      <w:rFonts w:eastAsia="Times New Roman" w:cs="Times New Roman"/>
                      <w:sz w:val="16"/>
                      <w:szCs w:val="16"/>
                      <w:lang w:eastAsia="sk-SK"/>
                    </w:rPr>
                    <w:t>Na úhradu výdavkov súvisiacich so záchrannými prácami počas mimoriadnej situácie podľa UZN č. 585/2023</w:t>
                  </w:r>
                </w:p>
              </w:tc>
              <w:tc>
                <w:tcPr>
                  <w:tcW w:w="1728" w:type="dxa"/>
                  <w:tcBorders>
                    <w:top w:val="nil"/>
                    <w:left w:val="nil"/>
                    <w:bottom w:val="nil"/>
                    <w:right w:val="nil"/>
                  </w:tcBorders>
                  <w:shd w:val="clear" w:color="auto" w:fill="auto"/>
                  <w:vAlign w:val="center"/>
                  <w:hideMark/>
                </w:tcPr>
                <w:p w14:paraId="178DE15F" w14:textId="77777777" w:rsidR="00E76212" w:rsidRPr="0035337C" w:rsidRDefault="00E76212" w:rsidP="00D2560E">
                  <w:pPr>
                    <w:spacing w:after="0" w:line="240" w:lineRule="auto"/>
                    <w:jc w:val="right"/>
                    <w:rPr>
                      <w:rFonts w:eastAsia="Times New Roman" w:cs="Times New Roman"/>
                      <w:sz w:val="16"/>
                      <w:szCs w:val="16"/>
                      <w:lang w:eastAsia="sk-SK"/>
                    </w:rPr>
                  </w:pPr>
                  <w:r w:rsidRPr="0035337C">
                    <w:rPr>
                      <w:rFonts w:eastAsia="Times New Roman" w:cs="Times New Roman"/>
                      <w:sz w:val="16"/>
                      <w:szCs w:val="16"/>
                      <w:lang w:eastAsia="sk-SK"/>
                    </w:rPr>
                    <w:t>541</w:t>
                  </w:r>
                </w:p>
              </w:tc>
            </w:tr>
            <w:tr w:rsidR="00E76212" w:rsidRPr="0035337C" w14:paraId="40BBE820" w14:textId="77777777" w:rsidTr="00D2560E">
              <w:trPr>
                <w:trHeight w:val="569"/>
              </w:trPr>
              <w:tc>
                <w:tcPr>
                  <w:tcW w:w="1308" w:type="dxa"/>
                  <w:vMerge/>
                  <w:tcBorders>
                    <w:top w:val="nil"/>
                    <w:left w:val="nil"/>
                    <w:bottom w:val="nil"/>
                    <w:right w:val="nil"/>
                  </w:tcBorders>
                  <w:vAlign w:val="center"/>
                  <w:hideMark/>
                </w:tcPr>
                <w:p w14:paraId="1450A589" w14:textId="77777777" w:rsidR="00E76212" w:rsidRPr="0035337C" w:rsidRDefault="00E76212" w:rsidP="00D2560E">
                  <w:pPr>
                    <w:spacing w:after="0" w:line="240" w:lineRule="auto"/>
                    <w:rPr>
                      <w:rFonts w:eastAsia="Times New Roman" w:cs="Times New Roman"/>
                      <w:sz w:val="16"/>
                      <w:szCs w:val="16"/>
                      <w:lang w:eastAsia="sk-SK"/>
                    </w:rPr>
                  </w:pPr>
                </w:p>
              </w:tc>
              <w:tc>
                <w:tcPr>
                  <w:tcW w:w="5959" w:type="dxa"/>
                  <w:tcBorders>
                    <w:top w:val="nil"/>
                    <w:left w:val="nil"/>
                    <w:bottom w:val="nil"/>
                    <w:right w:val="nil"/>
                  </w:tcBorders>
                  <w:shd w:val="clear" w:color="auto" w:fill="auto"/>
                  <w:vAlign w:val="bottom"/>
                  <w:hideMark/>
                </w:tcPr>
                <w:p w14:paraId="74EB3C34" w14:textId="262297CE" w:rsidR="00E76212" w:rsidRPr="0035337C" w:rsidRDefault="00E76212" w:rsidP="006243D7">
                  <w:pPr>
                    <w:spacing w:after="0" w:line="240" w:lineRule="auto"/>
                    <w:rPr>
                      <w:rFonts w:eastAsia="Times New Roman" w:cs="Times New Roman"/>
                      <w:sz w:val="16"/>
                      <w:szCs w:val="16"/>
                      <w:lang w:eastAsia="sk-SK"/>
                    </w:rPr>
                  </w:pPr>
                  <w:r w:rsidRPr="0035337C">
                    <w:rPr>
                      <w:rFonts w:eastAsia="Times New Roman" w:cs="Times New Roman"/>
                      <w:sz w:val="16"/>
                      <w:szCs w:val="16"/>
                      <w:lang w:eastAsia="sk-SK"/>
                    </w:rPr>
                    <w:t xml:space="preserve">Na riešenie krízovej situácie v súvislosti s ohrozením verejného zdravia II. stupňa v lokalite </w:t>
                  </w:r>
                  <w:proofErr w:type="spellStart"/>
                  <w:r w:rsidRPr="0035337C">
                    <w:rPr>
                      <w:rFonts w:eastAsia="Times New Roman" w:cs="Times New Roman"/>
                      <w:sz w:val="16"/>
                      <w:szCs w:val="16"/>
                      <w:lang w:eastAsia="sk-SK"/>
                    </w:rPr>
                    <w:t>Chemko</w:t>
                  </w:r>
                  <w:proofErr w:type="spellEnd"/>
                  <w:r w:rsidRPr="0035337C">
                    <w:rPr>
                      <w:rFonts w:eastAsia="Times New Roman" w:cs="Times New Roman"/>
                      <w:sz w:val="16"/>
                      <w:szCs w:val="16"/>
                      <w:lang w:eastAsia="sk-SK"/>
                    </w:rPr>
                    <w:t xml:space="preserve">, </w:t>
                  </w:r>
                  <w:proofErr w:type="spellStart"/>
                  <w:r w:rsidRPr="0035337C">
                    <w:rPr>
                      <w:rFonts w:eastAsia="Times New Roman" w:cs="Times New Roman"/>
                      <w:sz w:val="16"/>
                      <w:szCs w:val="16"/>
                      <w:lang w:eastAsia="sk-SK"/>
                    </w:rPr>
                    <w:t>a.s</w:t>
                  </w:r>
                  <w:proofErr w:type="spellEnd"/>
                  <w:r w:rsidRPr="0035337C">
                    <w:rPr>
                      <w:rFonts w:eastAsia="Times New Roman" w:cs="Times New Roman"/>
                      <w:sz w:val="16"/>
                      <w:szCs w:val="16"/>
                      <w:lang w:eastAsia="sk-SK"/>
                    </w:rPr>
                    <w:t>. Strážske podľa UZN č. 752/2020</w:t>
                  </w:r>
                </w:p>
              </w:tc>
              <w:tc>
                <w:tcPr>
                  <w:tcW w:w="1728" w:type="dxa"/>
                  <w:tcBorders>
                    <w:top w:val="nil"/>
                    <w:left w:val="nil"/>
                    <w:bottom w:val="nil"/>
                    <w:right w:val="nil"/>
                  </w:tcBorders>
                  <w:shd w:val="clear" w:color="auto" w:fill="auto"/>
                  <w:vAlign w:val="center"/>
                  <w:hideMark/>
                </w:tcPr>
                <w:p w14:paraId="7F718302" w14:textId="77777777" w:rsidR="00E76212" w:rsidRPr="0035337C" w:rsidRDefault="00E76212" w:rsidP="00D2560E">
                  <w:pPr>
                    <w:spacing w:after="0" w:line="240" w:lineRule="auto"/>
                    <w:jc w:val="right"/>
                    <w:rPr>
                      <w:rFonts w:eastAsia="Times New Roman" w:cs="Times New Roman"/>
                      <w:sz w:val="16"/>
                      <w:szCs w:val="16"/>
                      <w:lang w:eastAsia="sk-SK"/>
                    </w:rPr>
                  </w:pPr>
                  <w:r w:rsidRPr="0035337C">
                    <w:rPr>
                      <w:rFonts w:eastAsia="Times New Roman" w:cs="Times New Roman"/>
                      <w:sz w:val="16"/>
                      <w:szCs w:val="16"/>
                      <w:lang w:eastAsia="sk-SK"/>
                    </w:rPr>
                    <w:t>47</w:t>
                  </w:r>
                </w:p>
              </w:tc>
            </w:tr>
            <w:tr w:rsidR="00E76212" w:rsidRPr="0035337C" w14:paraId="100C947F" w14:textId="77777777" w:rsidTr="00D2560E">
              <w:trPr>
                <w:trHeight w:val="435"/>
              </w:trPr>
              <w:tc>
                <w:tcPr>
                  <w:tcW w:w="7267" w:type="dxa"/>
                  <w:gridSpan w:val="2"/>
                  <w:tcBorders>
                    <w:top w:val="nil"/>
                    <w:left w:val="nil"/>
                    <w:bottom w:val="single" w:sz="4" w:space="0" w:color="auto"/>
                    <w:right w:val="nil"/>
                  </w:tcBorders>
                  <w:shd w:val="clear" w:color="auto" w:fill="auto"/>
                  <w:vAlign w:val="center"/>
                  <w:hideMark/>
                </w:tcPr>
                <w:p w14:paraId="03C4EBF8" w14:textId="77777777" w:rsidR="00E76212" w:rsidRPr="0035337C" w:rsidRDefault="00E76212" w:rsidP="00D2560E">
                  <w:pPr>
                    <w:spacing w:after="0" w:line="240" w:lineRule="auto"/>
                    <w:jc w:val="right"/>
                    <w:rPr>
                      <w:rFonts w:eastAsia="Times New Roman" w:cs="Times New Roman"/>
                      <w:b/>
                      <w:bCs/>
                      <w:sz w:val="16"/>
                      <w:szCs w:val="16"/>
                      <w:lang w:eastAsia="sk-SK"/>
                    </w:rPr>
                  </w:pPr>
                  <w:r w:rsidRPr="0035337C">
                    <w:rPr>
                      <w:rFonts w:eastAsia="Times New Roman" w:cs="Times New Roman"/>
                      <w:b/>
                      <w:bCs/>
                      <w:sz w:val="16"/>
                      <w:szCs w:val="16"/>
                      <w:lang w:eastAsia="sk-SK"/>
                    </w:rPr>
                    <w:t>Spolu</w:t>
                  </w:r>
                </w:p>
              </w:tc>
              <w:tc>
                <w:tcPr>
                  <w:tcW w:w="1728" w:type="dxa"/>
                  <w:tcBorders>
                    <w:top w:val="nil"/>
                    <w:left w:val="nil"/>
                    <w:bottom w:val="single" w:sz="4" w:space="0" w:color="auto"/>
                    <w:right w:val="nil"/>
                  </w:tcBorders>
                  <w:shd w:val="clear" w:color="auto" w:fill="auto"/>
                  <w:vAlign w:val="center"/>
                  <w:hideMark/>
                </w:tcPr>
                <w:p w14:paraId="349D427D" w14:textId="77777777" w:rsidR="00E76212" w:rsidRPr="0035337C" w:rsidRDefault="00E76212" w:rsidP="00D2560E">
                  <w:pPr>
                    <w:spacing w:after="0" w:line="240" w:lineRule="auto"/>
                    <w:jc w:val="right"/>
                    <w:rPr>
                      <w:rFonts w:eastAsia="Times New Roman" w:cs="Times New Roman"/>
                      <w:b/>
                      <w:bCs/>
                      <w:sz w:val="16"/>
                      <w:szCs w:val="16"/>
                      <w:lang w:eastAsia="sk-SK"/>
                    </w:rPr>
                  </w:pPr>
                  <w:r w:rsidRPr="0035337C">
                    <w:rPr>
                      <w:rFonts w:eastAsia="Times New Roman" w:cs="Times New Roman"/>
                      <w:b/>
                      <w:bCs/>
                      <w:sz w:val="16"/>
                      <w:szCs w:val="16"/>
                      <w:lang w:eastAsia="sk-SK"/>
                    </w:rPr>
                    <w:t>3 865</w:t>
                  </w:r>
                </w:p>
              </w:tc>
            </w:tr>
            <w:tr w:rsidR="00E76212" w:rsidRPr="0035337C" w14:paraId="5BAB9E85" w14:textId="77777777" w:rsidTr="00D2560E">
              <w:trPr>
                <w:trHeight w:val="559"/>
              </w:trPr>
              <w:tc>
                <w:tcPr>
                  <w:tcW w:w="1308" w:type="dxa"/>
                  <w:tcBorders>
                    <w:top w:val="nil"/>
                    <w:left w:val="nil"/>
                    <w:bottom w:val="nil"/>
                    <w:right w:val="nil"/>
                  </w:tcBorders>
                  <w:shd w:val="clear" w:color="auto" w:fill="auto"/>
                  <w:vAlign w:val="center"/>
                  <w:hideMark/>
                </w:tcPr>
                <w:p w14:paraId="7D743A78" w14:textId="77777777" w:rsidR="00E76212" w:rsidRPr="0035337C" w:rsidRDefault="00E76212" w:rsidP="00D2560E">
                  <w:pPr>
                    <w:spacing w:after="0" w:line="240" w:lineRule="auto"/>
                    <w:rPr>
                      <w:rFonts w:eastAsia="Times New Roman" w:cs="Times New Roman"/>
                      <w:sz w:val="16"/>
                      <w:szCs w:val="16"/>
                      <w:lang w:eastAsia="sk-SK"/>
                    </w:rPr>
                  </w:pPr>
                  <w:r w:rsidRPr="0035337C">
                    <w:rPr>
                      <w:rFonts w:eastAsia="Times New Roman" w:cs="Times New Roman"/>
                      <w:sz w:val="16"/>
                      <w:szCs w:val="16"/>
                      <w:lang w:eastAsia="sk-SK"/>
                    </w:rPr>
                    <w:t>Ministerstvo životného prostredia SR</w:t>
                  </w:r>
                </w:p>
              </w:tc>
              <w:tc>
                <w:tcPr>
                  <w:tcW w:w="5959" w:type="dxa"/>
                  <w:tcBorders>
                    <w:top w:val="nil"/>
                    <w:left w:val="nil"/>
                    <w:bottom w:val="nil"/>
                    <w:right w:val="nil"/>
                  </w:tcBorders>
                  <w:shd w:val="clear" w:color="auto" w:fill="auto"/>
                  <w:vAlign w:val="bottom"/>
                  <w:hideMark/>
                </w:tcPr>
                <w:p w14:paraId="6EF3F60B" w14:textId="77777777" w:rsidR="00E76212" w:rsidRPr="0035337C" w:rsidRDefault="00E76212" w:rsidP="00D2560E">
                  <w:pPr>
                    <w:spacing w:after="0" w:line="240" w:lineRule="auto"/>
                    <w:rPr>
                      <w:rFonts w:eastAsia="Times New Roman" w:cs="Times New Roman"/>
                      <w:sz w:val="16"/>
                      <w:szCs w:val="16"/>
                      <w:lang w:eastAsia="sk-SK"/>
                    </w:rPr>
                  </w:pPr>
                  <w:r w:rsidRPr="0035337C">
                    <w:rPr>
                      <w:rFonts w:eastAsia="Times New Roman" w:cs="Times New Roman"/>
                      <w:sz w:val="16"/>
                      <w:szCs w:val="16"/>
                      <w:lang w:eastAsia="sk-SK"/>
                    </w:rPr>
                    <w:t>Na vykonávanie povodňových zabezpečovacích prác a predpovednej povodňovej služby podľa UZN č. 610/2023</w:t>
                  </w:r>
                </w:p>
              </w:tc>
              <w:tc>
                <w:tcPr>
                  <w:tcW w:w="1728" w:type="dxa"/>
                  <w:tcBorders>
                    <w:top w:val="nil"/>
                    <w:left w:val="nil"/>
                    <w:bottom w:val="nil"/>
                    <w:right w:val="nil"/>
                  </w:tcBorders>
                  <w:shd w:val="clear" w:color="auto" w:fill="auto"/>
                  <w:vAlign w:val="center"/>
                  <w:hideMark/>
                </w:tcPr>
                <w:p w14:paraId="2032E5EE" w14:textId="77777777" w:rsidR="00E76212" w:rsidRPr="0035337C" w:rsidRDefault="00E76212" w:rsidP="00D2560E">
                  <w:pPr>
                    <w:spacing w:after="0" w:line="240" w:lineRule="auto"/>
                    <w:jc w:val="right"/>
                    <w:rPr>
                      <w:rFonts w:eastAsia="Times New Roman" w:cs="Times New Roman"/>
                      <w:sz w:val="16"/>
                      <w:szCs w:val="16"/>
                      <w:lang w:eastAsia="sk-SK"/>
                    </w:rPr>
                  </w:pPr>
                  <w:r w:rsidRPr="0035337C">
                    <w:rPr>
                      <w:rFonts w:eastAsia="Times New Roman" w:cs="Times New Roman"/>
                      <w:sz w:val="16"/>
                      <w:szCs w:val="16"/>
                      <w:lang w:eastAsia="sk-SK"/>
                    </w:rPr>
                    <w:t>1 492</w:t>
                  </w:r>
                </w:p>
              </w:tc>
            </w:tr>
            <w:tr w:rsidR="00E76212" w:rsidRPr="0035337C" w14:paraId="6603B076" w14:textId="77777777" w:rsidTr="00D2560E">
              <w:trPr>
                <w:trHeight w:val="280"/>
              </w:trPr>
              <w:tc>
                <w:tcPr>
                  <w:tcW w:w="7267" w:type="dxa"/>
                  <w:gridSpan w:val="2"/>
                  <w:tcBorders>
                    <w:top w:val="nil"/>
                    <w:left w:val="nil"/>
                    <w:bottom w:val="single" w:sz="4" w:space="0" w:color="auto"/>
                    <w:right w:val="nil"/>
                  </w:tcBorders>
                  <w:shd w:val="clear" w:color="auto" w:fill="auto"/>
                  <w:vAlign w:val="center"/>
                  <w:hideMark/>
                </w:tcPr>
                <w:p w14:paraId="61ED43F5" w14:textId="77777777" w:rsidR="00E76212" w:rsidRPr="0035337C" w:rsidRDefault="00E76212" w:rsidP="00D2560E">
                  <w:pPr>
                    <w:spacing w:after="0" w:line="240" w:lineRule="auto"/>
                    <w:jc w:val="right"/>
                    <w:rPr>
                      <w:rFonts w:eastAsia="Times New Roman" w:cs="Times New Roman"/>
                      <w:b/>
                      <w:bCs/>
                      <w:sz w:val="16"/>
                      <w:szCs w:val="16"/>
                      <w:lang w:eastAsia="sk-SK"/>
                    </w:rPr>
                  </w:pPr>
                  <w:r w:rsidRPr="0035337C">
                    <w:rPr>
                      <w:rFonts w:eastAsia="Times New Roman" w:cs="Times New Roman"/>
                      <w:b/>
                      <w:bCs/>
                      <w:sz w:val="16"/>
                      <w:szCs w:val="16"/>
                      <w:lang w:eastAsia="sk-SK"/>
                    </w:rPr>
                    <w:t>Spolu</w:t>
                  </w:r>
                </w:p>
              </w:tc>
              <w:tc>
                <w:tcPr>
                  <w:tcW w:w="1728" w:type="dxa"/>
                  <w:tcBorders>
                    <w:top w:val="nil"/>
                    <w:left w:val="nil"/>
                    <w:bottom w:val="single" w:sz="4" w:space="0" w:color="auto"/>
                    <w:right w:val="nil"/>
                  </w:tcBorders>
                  <w:shd w:val="clear" w:color="auto" w:fill="auto"/>
                  <w:vAlign w:val="center"/>
                  <w:hideMark/>
                </w:tcPr>
                <w:p w14:paraId="66550091" w14:textId="77777777" w:rsidR="00E76212" w:rsidRPr="0035337C" w:rsidRDefault="00E76212" w:rsidP="00D2560E">
                  <w:pPr>
                    <w:spacing w:after="0" w:line="240" w:lineRule="auto"/>
                    <w:jc w:val="right"/>
                    <w:rPr>
                      <w:rFonts w:eastAsia="Times New Roman" w:cs="Times New Roman"/>
                      <w:b/>
                      <w:bCs/>
                      <w:sz w:val="16"/>
                      <w:szCs w:val="16"/>
                      <w:lang w:eastAsia="sk-SK"/>
                    </w:rPr>
                  </w:pPr>
                  <w:r w:rsidRPr="0035337C">
                    <w:rPr>
                      <w:rFonts w:eastAsia="Times New Roman" w:cs="Times New Roman"/>
                      <w:b/>
                      <w:bCs/>
                      <w:sz w:val="16"/>
                      <w:szCs w:val="16"/>
                      <w:lang w:eastAsia="sk-SK"/>
                    </w:rPr>
                    <w:t>1 492</w:t>
                  </w:r>
                </w:p>
              </w:tc>
            </w:tr>
            <w:tr w:rsidR="00E76212" w:rsidRPr="0035337C" w14:paraId="6274DF4F" w14:textId="77777777" w:rsidTr="00D2560E">
              <w:trPr>
                <w:trHeight w:val="544"/>
              </w:trPr>
              <w:tc>
                <w:tcPr>
                  <w:tcW w:w="1308" w:type="dxa"/>
                  <w:tcBorders>
                    <w:top w:val="nil"/>
                    <w:left w:val="nil"/>
                    <w:bottom w:val="nil"/>
                    <w:right w:val="nil"/>
                  </w:tcBorders>
                  <w:shd w:val="clear" w:color="auto" w:fill="auto"/>
                  <w:vAlign w:val="center"/>
                  <w:hideMark/>
                </w:tcPr>
                <w:p w14:paraId="225DE5BC" w14:textId="77777777" w:rsidR="00E76212" w:rsidRPr="0035337C" w:rsidRDefault="00E76212" w:rsidP="00D2560E">
                  <w:pPr>
                    <w:spacing w:after="0" w:line="240" w:lineRule="auto"/>
                    <w:rPr>
                      <w:rFonts w:eastAsia="Times New Roman" w:cs="Times New Roman"/>
                      <w:sz w:val="16"/>
                      <w:szCs w:val="16"/>
                      <w:lang w:eastAsia="sk-SK"/>
                    </w:rPr>
                  </w:pPr>
                  <w:r w:rsidRPr="0035337C">
                    <w:rPr>
                      <w:rFonts w:eastAsia="Times New Roman" w:cs="Times New Roman"/>
                      <w:sz w:val="16"/>
                      <w:szCs w:val="16"/>
                      <w:lang w:eastAsia="sk-SK"/>
                    </w:rPr>
                    <w:t>Ministerstvo vnútra SR, Ministerstvo životného prostredia SR, Ministerstvo pôdohospodárstva a rozvoja vidieka SR</w:t>
                  </w:r>
                </w:p>
              </w:tc>
              <w:tc>
                <w:tcPr>
                  <w:tcW w:w="5959" w:type="dxa"/>
                  <w:tcBorders>
                    <w:top w:val="nil"/>
                    <w:left w:val="nil"/>
                    <w:bottom w:val="nil"/>
                    <w:right w:val="nil"/>
                  </w:tcBorders>
                  <w:shd w:val="clear" w:color="auto" w:fill="auto"/>
                  <w:vAlign w:val="center"/>
                  <w:hideMark/>
                </w:tcPr>
                <w:p w14:paraId="07431DD0" w14:textId="77777777" w:rsidR="00E76212" w:rsidRPr="0035337C" w:rsidRDefault="00E76212" w:rsidP="00D2560E">
                  <w:pPr>
                    <w:spacing w:after="0" w:line="240" w:lineRule="auto"/>
                    <w:rPr>
                      <w:rFonts w:eastAsia="Times New Roman" w:cs="Times New Roman"/>
                      <w:sz w:val="16"/>
                      <w:szCs w:val="16"/>
                      <w:lang w:eastAsia="sk-SK"/>
                    </w:rPr>
                  </w:pPr>
                  <w:r w:rsidRPr="0035337C">
                    <w:rPr>
                      <w:rFonts w:eastAsia="Times New Roman" w:cs="Times New Roman"/>
                      <w:sz w:val="16"/>
                      <w:szCs w:val="16"/>
                      <w:lang w:eastAsia="sk-SK"/>
                    </w:rPr>
                    <w:t>Na vykonávanie povodňových zabezpečovacích a záchranných prác podľa UZN č. 183/2023</w:t>
                  </w:r>
                </w:p>
              </w:tc>
              <w:tc>
                <w:tcPr>
                  <w:tcW w:w="1728" w:type="dxa"/>
                  <w:tcBorders>
                    <w:top w:val="nil"/>
                    <w:left w:val="nil"/>
                    <w:bottom w:val="nil"/>
                    <w:right w:val="nil"/>
                  </w:tcBorders>
                  <w:shd w:val="clear" w:color="auto" w:fill="auto"/>
                  <w:vAlign w:val="center"/>
                  <w:hideMark/>
                </w:tcPr>
                <w:p w14:paraId="34DB771A" w14:textId="77777777" w:rsidR="00E76212" w:rsidRPr="0035337C" w:rsidRDefault="00E76212" w:rsidP="00D2560E">
                  <w:pPr>
                    <w:spacing w:after="0" w:line="240" w:lineRule="auto"/>
                    <w:jc w:val="right"/>
                    <w:rPr>
                      <w:rFonts w:eastAsia="Times New Roman" w:cs="Times New Roman"/>
                      <w:sz w:val="16"/>
                      <w:szCs w:val="16"/>
                      <w:lang w:eastAsia="sk-SK"/>
                    </w:rPr>
                  </w:pPr>
                  <w:r w:rsidRPr="0035337C">
                    <w:rPr>
                      <w:rFonts w:eastAsia="Times New Roman" w:cs="Times New Roman"/>
                      <w:sz w:val="16"/>
                      <w:szCs w:val="16"/>
                      <w:lang w:eastAsia="sk-SK"/>
                    </w:rPr>
                    <w:t>645</w:t>
                  </w:r>
                </w:p>
              </w:tc>
            </w:tr>
            <w:tr w:rsidR="00E76212" w:rsidRPr="0035337C" w14:paraId="38D95E08" w14:textId="77777777" w:rsidTr="00D2560E">
              <w:trPr>
                <w:trHeight w:val="373"/>
              </w:trPr>
              <w:tc>
                <w:tcPr>
                  <w:tcW w:w="7267" w:type="dxa"/>
                  <w:gridSpan w:val="2"/>
                  <w:tcBorders>
                    <w:top w:val="nil"/>
                    <w:left w:val="nil"/>
                    <w:bottom w:val="single" w:sz="4" w:space="0" w:color="auto"/>
                    <w:right w:val="nil"/>
                  </w:tcBorders>
                  <w:shd w:val="clear" w:color="auto" w:fill="auto"/>
                  <w:vAlign w:val="center"/>
                  <w:hideMark/>
                </w:tcPr>
                <w:p w14:paraId="38A7C2C0" w14:textId="77777777" w:rsidR="00E76212" w:rsidRPr="0035337C" w:rsidRDefault="00E76212" w:rsidP="00D2560E">
                  <w:pPr>
                    <w:spacing w:after="0" w:line="240" w:lineRule="auto"/>
                    <w:jc w:val="right"/>
                    <w:rPr>
                      <w:rFonts w:eastAsia="Times New Roman" w:cs="Times New Roman"/>
                      <w:b/>
                      <w:bCs/>
                      <w:sz w:val="16"/>
                      <w:szCs w:val="16"/>
                      <w:lang w:eastAsia="sk-SK"/>
                    </w:rPr>
                  </w:pPr>
                  <w:r w:rsidRPr="0035337C">
                    <w:rPr>
                      <w:rFonts w:eastAsia="Times New Roman" w:cs="Times New Roman"/>
                      <w:b/>
                      <w:bCs/>
                      <w:sz w:val="16"/>
                      <w:szCs w:val="16"/>
                      <w:lang w:eastAsia="sk-SK"/>
                    </w:rPr>
                    <w:t>Spolu</w:t>
                  </w:r>
                </w:p>
              </w:tc>
              <w:tc>
                <w:tcPr>
                  <w:tcW w:w="1728" w:type="dxa"/>
                  <w:tcBorders>
                    <w:top w:val="nil"/>
                    <w:left w:val="nil"/>
                    <w:bottom w:val="single" w:sz="4" w:space="0" w:color="auto"/>
                    <w:right w:val="nil"/>
                  </w:tcBorders>
                  <w:shd w:val="clear" w:color="auto" w:fill="auto"/>
                  <w:vAlign w:val="center"/>
                  <w:hideMark/>
                </w:tcPr>
                <w:p w14:paraId="16E70C8E" w14:textId="77777777" w:rsidR="00E76212" w:rsidRPr="0035337C" w:rsidRDefault="00E76212" w:rsidP="00D2560E">
                  <w:pPr>
                    <w:spacing w:after="0" w:line="240" w:lineRule="auto"/>
                    <w:jc w:val="right"/>
                    <w:rPr>
                      <w:rFonts w:eastAsia="Times New Roman" w:cs="Times New Roman"/>
                      <w:b/>
                      <w:bCs/>
                      <w:sz w:val="16"/>
                      <w:szCs w:val="16"/>
                      <w:lang w:eastAsia="sk-SK"/>
                    </w:rPr>
                  </w:pPr>
                  <w:r w:rsidRPr="0035337C">
                    <w:rPr>
                      <w:rFonts w:eastAsia="Times New Roman" w:cs="Times New Roman"/>
                      <w:b/>
                      <w:bCs/>
                      <w:sz w:val="16"/>
                      <w:szCs w:val="16"/>
                      <w:lang w:eastAsia="sk-SK"/>
                    </w:rPr>
                    <w:t>645</w:t>
                  </w:r>
                </w:p>
              </w:tc>
            </w:tr>
            <w:tr w:rsidR="00E76212" w:rsidRPr="0035337C" w14:paraId="24879D1E" w14:textId="77777777" w:rsidTr="00D2560E">
              <w:trPr>
                <w:trHeight w:val="373"/>
              </w:trPr>
              <w:tc>
                <w:tcPr>
                  <w:tcW w:w="1308" w:type="dxa"/>
                  <w:tcBorders>
                    <w:top w:val="nil"/>
                    <w:left w:val="nil"/>
                    <w:bottom w:val="nil"/>
                    <w:right w:val="nil"/>
                  </w:tcBorders>
                  <w:shd w:val="clear" w:color="auto" w:fill="auto"/>
                  <w:vAlign w:val="center"/>
                  <w:hideMark/>
                </w:tcPr>
                <w:p w14:paraId="42453045" w14:textId="77777777" w:rsidR="00E76212" w:rsidRPr="0035337C" w:rsidRDefault="00E76212" w:rsidP="00D2560E">
                  <w:pPr>
                    <w:spacing w:after="0" w:line="240" w:lineRule="auto"/>
                    <w:rPr>
                      <w:rFonts w:eastAsia="Times New Roman" w:cs="Times New Roman"/>
                      <w:sz w:val="16"/>
                      <w:szCs w:val="16"/>
                      <w:lang w:eastAsia="sk-SK"/>
                    </w:rPr>
                  </w:pPr>
                  <w:r w:rsidRPr="0035337C">
                    <w:rPr>
                      <w:rFonts w:eastAsia="Times New Roman" w:cs="Times New Roman"/>
                      <w:sz w:val="16"/>
                      <w:szCs w:val="16"/>
                      <w:lang w:eastAsia="sk-SK"/>
                    </w:rPr>
                    <w:t>Ministerstvo pôdohospodárstva a rozvoja vidieka SR</w:t>
                  </w:r>
                </w:p>
              </w:tc>
              <w:tc>
                <w:tcPr>
                  <w:tcW w:w="5959" w:type="dxa"/>
                  <w:tcBorders>
                    <w:top w:val="nil"/>
                    <w:left w:val="nil"/>
                    <w:bottom w:val="nil"/>
                    <w:right w:val="nil"/>
                  </w:tcBorders>
                  <w:shd w:val="clear" w:color="auto" w:fill="auto"/>
                  <w:vAlign w:val="center"/>
                  <w:hideMark/>
                </w:tcPr>
                <w:p w14:paraId="735991C4" w14:textId="77777777" w:rsidR="00E76212" w:rsidRPr="0035337C" w:rsidRDefault="00E76212" w:rsidP="00D2560E">
                  <w:pPr>
                    <w:spacing w:after="0" w:line="240" w:lineRule="auto"/>
                    <w:rPr>
                      <w:rFonts w:eastAsia="Times New Roman" w:cs="Times New Roman"/>
                      <w:sz w:val="16"/>
                      <w:szCs w:val="16"/>
                      <w:lang w:eastAsia="sk-SK"/>
                    </w:rPr>
                  </w:pPr>
                  <w:r w:rsidRPr="0035337C">
                    <w:rPr>
                      <w:rFonts w:eastAsia="Times New Roman" w:cs="Times New Roman"/>
                      <w:sz w:val="16"/>
                      <w:szCs w:val="16"/>
                      <w:lang w:eastAsia="sk-SK"/>
                    </w:rPr>
                    <w:t>Na vykonávanie povodňových zabezpečovacích prác podľa UZN č. 610/2023</w:t>
                  </w:r>
                </w:p>
              </w:tc>
              <w:tc>
                <w:tcPr>
                  <w:tcW w:w="1728" w:type="dxa"/>
                  <w:tcBorders>
                    <w:top w:val="nil"/>
                    <w:left w:val="nil"/>
                    <w:bottom w:val="nil"/>
                    <w:right w:val="nil"/>
                  </w:tcBorders>
                  <w:shd w:val="clear" w:color="auto" w:fill="auto"/>
                  <w:vAlign w:val="center"/>
                  <w:hideMark/>
                </w:tcPr>
                <w:p w14:paraId="4E3A1014" w14:textId="77777777" w:rsidR="00E76212" w:rsidRPr="0035337C" w:rsidRDefault="00E76212" w:rsidP="00D2560E">
                  <w:pPr>
                    <w:spacing w:after="0" w:line="240" w:lineRule="auto"/>
                    <w:jc w:val="right"/>
                    <w:rPr>
                      <w:rFonts w:eastAsia="Times New Roman" w:cs="Times New Roman"/>
                      <w:sz w:val="16"/>
                      <w:szCs w:val="16"/>
                      <w:lang w:eastAsia="sk-SK"/>
                    </w:rPr>
                  </w:pPr>
                  <w:r w:rsidRPr="0035337C">
                    <w:rPr>
                      <w:rFonts w:eastAsia="Times New Roman" w:cs="Times New Roman"/>
                      <w:sz w:val="16"/>
                      <w:szCs w:val="16"/>
                      <w:lang w:eastAsia="sk-SK"/>
                    </w:rPr>
                    <w:t>32</w:t>
                  </w:r>
                </w:p>
              </w:tc>
            </w:tr>
            <w:tr w:rsidR="00E76212" w:rsidRPr="0035337C" w14:paraId="1E7F80B0" w14:textId="77777777" w:rsidTr="00D2560E">
              <w:trPr>
                <w:trHeight w:val="373"/>
              </w:trPr>
              <w:tc>
                <w:tcPr>
                  <w:tcW w:w="7267" w:type="dxa"/>
                  <w:gridSpan w:val="2"/>
                  <w:tcBorders>
                    <w:top w:val="nil"/>
                    <w:left w:val="nil"/>
                    <w:bottom w:val="single" w:sz="4" w:space="0" w:color="auto"/>
                    <w:right w:val="nil"/>
                  </w:tcBorders>
                  <w:shd w:val="clear" w:color="auto" w:fill="auto"/>
                  <w:vAlign w:val="center"/>
                  <w:hideMark/>
                </w:tcPr>
                <w:p w14:paraId="01A3572D" w14:textId="77777777" w:rsidR="00E76212" w:rsidRPr="0035337C" w:rsidRDefault="00E76212" w:rsidP="00D2560E">
                  <w:pPr>
                    <w:spacing w:after="0" w:line="240" w:lineRule="auto"/>
                    <w:jc w:val="right"/>
                    <w:rPr>
                      <w:rFonts w:eastAsia="Times New Roman" w:cs="Times New Roman"/>
                      <w:b/>
                      <w:bCs/>
                      <w:sz w:val="16"/>
                      <w:szCs w:val="16"/>
                      <w:lang w:eastAsia="sk-SK"/>
                    </w:rPr>
                  </w:pPr>
                  <w:r w:rsidRPr="0035337C">
                    <w:rPr>
                      <w:rFonts w:eastAsia="Times New Roman" w:cs="Times New Roman"/>
                      <w:b/>
                      <w:bCs/>
                      <w:sz w:val="16"/>
                      <w:szCs w:val="16"/>
                      <w:lang w:eastAsia="sk-SK"/>
                    </w:rPr>
                    <w:t>Spolu</w:t>
                  </w:r>
                </w:p>
              </w:tc>
              <w:tc>
                <w:tcPr>
                  <w:tcW w:w="1728" w:type="dxa"/>
                  <w:tcBorders>
                    <w:top w:val="nil"/>
                    <w:left w:val="nil"/>
                    <w:bottom w:val="single" w:sz="4" w:space="0" w:color="auto"/>
                    <w:right w:val="nil"/>
                  </w:tcBorders>
                  <w:shd w:val="clear" w:color="auto" w:fill="auto"/>
                  <w:vAlign w:val="center"/>
                  <w:hideMark/>
                </w:tcPr>
                <w:p w14:paraId="72541390" w14:textId="77777777" w:rsidR="00E76212" w:rsidRPr="0035337C" w:rsidRDefault="00E76212" w:rsidP="00D2560E">
                  <w:pPr>
                    <w:spacing w:after="0" w:line="240" w:lineRule="auto"/>
                    <w:jc w:val="right"/>
                    <w:rPr>
                      <w:rFonts w:eastAsia="Times New Roman" w:cs="Times New Roman"/>
                      <w:b/>
                      <w:bCs/>
                      <w:sz w:val="16"/>
                      <w:szCs w:val="16"/>
                      <w:lang w:eastAsia="sk-SK"/>
                    </w:rPr>
                  </w:pPr>
                  <w:r w:rsidRPr="0035337C">
                    <w:rPr>
                      <w:rFonts w:eastAsia="Times New Roman" w:cs="Times New Roman"/>
                      <w:b/>
                      <w:bCs/>
                      <w:sz w:val="16"/>
                      <w:szCs w:val="16"/>
                      <w:lang w:eastAsia="sk-SK"/>
                    </w:rPr>
                    <w:t>32</w:t>
                  </w:r>
                </w:p>
              </w:tc>
            </w:tr>
            <w:tr w:rsidR="00E76212" w:rsidRPr="0035337C" w14:paraId="3EE31655" w14:textId="77777777" w:rsidTr="00D2560E">
              <w:trPr>
                <w:trHeight w:val="548"/>
              </w:trPr>
              <w:tc>
                <w:tcPr>
                  <w:tcW w:w="7267" w:type="dxa"/>
                  <w:gridSpan w:val="2"/>
                  <w:tcBorders>
                    <w:top w:val="single" w:sz="4" w:space="0" w:color="auto"/>
                    <w:left w:val="nil"/>
                    <w:bottom w:val="single" w:sz="4" w:space="0" w:color="auto"/>
                    <w:right w:val="nil"/>
                  </w:tcBorders>
                  <w:shd w:val="clear" w:color="auto" w:fill="auto"/>
                  <w:vAlign w:val="center"/>
                  <w:hideMark/>
                </w:tcPr>
                <w:p w14:paraId="1C78AB3E" w14:textId="77777777" w:rsidR="00E76212" w:rsidRPr="0035337C" w:rsidRDefault="00E76212" w:rsidP="00D2560E">
                  <w:pPr>
                    <w:spacing w:after="0" w:line="240" w:lineRule="auto"/>
                    <w:jc w:val="right"/>
                    <w:rPr>
                      <w:rFonts w:eastAsia="Times New Roman" w:cs="Times New Roman"/>
                      <w:b/>
                      <w:bCs/>
                      <w:sz w:val="16"/>
                      <w:szCs w:val="16"/>
                      <w:lang w:eastAsia="sk-SK"/>
                    </w:rPr>
                  </w:pPr>
                  <w:r w:rsidRPr="0035337C">
                    <w:rPr>
                      <w:rFonts w:eastAsia="Times New Roman" w:cs="Times New Roman"/>
                      <w:b/>
                      <w:bCs/>
                      <w:sz w:val="16"/>
                      <w:szCs w:val="16"/>
                      <w:lang w:eastAsia="sk-SK"/>
                    </w:rPr>
                    <w:t>Spolu celkom</w:t>
                  </w:r>
                </w:p>
              </w:tc>
              <w:tc>
                <w:tcPr>
                  <w:tcW w:w="1728" w:type="dxa"/>
                  <w:tcBorders>
                    <w:top w:val="nil"/>
                    <w:left w:val="nil"/>
                    <w:bottom w:val="single" w:sz="4" w:space="0" w:color="auto"/>
                    <w:right w:val="nil"/>
                  </w:tcBorders>
                  <w:shd w:val="clear" w:color="auto" w:fill="auto"/>
                  <w:vAlign w:val="center"/>
                  <w:hideMark/>
                </w:tcPr>
                <w:p w14:paraId="5C4E320D" w14:textId="77777777" w:rsidR="00E76212" w:rsidRPr="0035337C" w:rsidRDefault="00E76212" w:rsidP="00D2560E">
                  <w:pPr>
                    <w:spacing w:after="0" w:line="240" w:lineRule="auto"/>
                    <w:jc w:val="right"/>
                    <w:rPr>
                      <w:rFonts w:eastAsia="Times New Roman" w:cs="Times New Roman"/>
                      <w:b/>
                      <w:bCs/>
                      <w:sz w:val="16"/>
                      <w:szCs w:val="16"/>
                      <w:lang w:eastAsia="sk-SK"/>
                    </w:rPr>
                  </w:pPr>
                  <w:r w:rsidRPr="0035337C">
                    <w:rPr>
                      <w:rFonts w:eastAsia="Times New Roman" w:cs="Times New Roman"/>
                      <w:b/>
                      <w:bCs/>
                      <w:sz w:val="16"/>
                      <w:szCs w:val="16"/>
                      <w:lang w:eastAsia="sk-SK"/>
                    </w:rPr>
                    <w:t>6 034</w:t>
                  </w:r>
                </w:p>
              </w:tc>
            </w:tr>
            <w:tr w:rsidR="00E76212" w:rsidRPr="0035337C" w14:paraId="50516263" w14:textId="77777777" w:rsidTr="00D2560E">
              <w:trPr>
                <w:trHeight w:val="373"/>
              </w:trPr>
              <w:tc>
                <w:tcPr>
                  <w:tcW w:w="7267" w:type="dxa"/>
                  <w:gridSpan w:val="2"/>
                  <w:tcBorders>
                    <w:top w:val="single" w:sz="4" w:space="0" w:color="auto"/>
                    <w:left w:val="nil"/>
                    <w:bottom w:val="nil"/>
                    <w:right w:val="nil"/>
                  </w:tcBorders>
                  <w:shd w:val="clear" w:color="auto" w:fill="auto"/>
                  <w:noWrap/>
                  <w:vAlign w:val="bottom"/>
                  <w:hideMark/>
                </w:tcPr>
                <w:p w14:paraId="28DC8D27" w14:textId="77777777" w:rsidR="00E76212" w:rsidRPr="0035337C" w:rsidRDefault="00E76212" w:rsidP="00D2560E">
                  <w:pPr>
                    <w:spacing w:after="0" w:line="240" w:lineRule="auto"/>
                    <w:rPr>
                      <w:rFonts w:eastAsia="Times New Roman" w:cs="Times New Roman"/>
                      <w:sz w:val="16"/>
                      <w:szCs w:val="16"/>
                      <w:lang w:eastAsia="sk-SK"/>
                    </w:rPr>
                  </w:pPr>
                  <w:r w:rsidRPr="0035337C">
                    <w:rPr>
                      <w:rFonts w:eastAsia="Times New Roman" w:cs="Times New Roman"/>
                      <w:sz w:val="16"/>
                      <w:szCs w:val="16"/>
                      <w:lang w:eastAsia="sk-SK"/>
                    </w:rPr>
                    <w:t> </w:t>
                  </w:r>
                </w:p>
              </w:tc>
              <w:tc>
                <w:tcPr>
                  <w:tcW w:w="1728" w:type="dxa"/>
                  <w:tcBorders>
                    <w:top w:val="nil"/>
                    <w:left w:val="nil"/>
                    <w:bottom w:val="nil"/>
                    <w:right w:val="nil"/>
                  </w:tcBorders>
                  <w:shd w:val="clear" w:color="auto" w:fill="auto"/>
                  <w:noWrap/>
                  <w:vAlign w:val="bottom"/>
                  <w:hideMark/>
                </w:tcPr>
                <w:p w14:paraId="301FD594" w14:textId="77777777" w:rsidR="00E76212" w:rsidRPr="0035337C" w:rsidRDefault="00E76212" w:rsidP="00D2560E">
                  <w:pPr>
                    <w:spacing w:after="0" w:line="240" w:lineRule="auto"/>
                    <w:jc w:val="right"/>
                    <w:rPr>
                      <w:rFonts w:eastAsia="Times New Roman" w:cs="Times New Roman"/>
                      <w:iCs/>
                      <w:sz w:val="18"/>
                      <w:szCs w:val="18"/>
                      <w:lang w:eastAsia="sk-SK"/>
                    </w:rPr>
                  </w:pPr>
                  <w:r w:rsidRPr="0035337C">
                    <w:rPr>
                      <w:rFonts w:eastAsia="Times New Roman" w:cs="Times New Roman"/>
                      <w:iCs/>
                      <w:sz w:val="18"/>
                      <w:szCs w:val="18"/>
                      <w:lang w:eastAsia="sk-SK"/>
                    </w:rPr>
                    <w:t>Zdroj: MF SR</w:t>
                  </w:r>
                </w:p>
              </w:tc>
            </w:tr>
          </w:tbl>
          <w:p w14:paraId="5D383EB7" w14:textId="77777777" w:rsidR="00E76212" w:rsidRPr="0035337C" w:rsidRDefault="00E76212" w:rsidP="00D2560E">
            <w:pPr>
              <w:spacing w:after="0" w:line="240" w:lineRule="auto"/>
              <w:jc w:val="center"/>
              <w:rPr>
                <w:rFonts w:eastAsia="Times New Roman" w:cs="Times New Roman"/>
                <w:b/>
                <w:sz w:val="20"/>
                <w:szCs w:val="20"/>
                <w:lang w:eastAsia="sk-SK"/>
              </w:rPr>
            </w:pPr>
          </w:p>
        </w:tc>
      </w:tr>
    </w:tbl>
    <w:p w14:paraId="6B805DCC" w14:textId="77777777" w:rsidR="00E76212" w:rsidRPr="00500379" w:rsidRDefault="00E76212" w:rsidP="009819F0">
      <w:pPr>
        <w:tabs>
          <w:tab w:val="left" w:pos="0"/>
          <w:tab w:val="left" w:pos="720"/>
          <w:tab w:val="left" w:pos="1440"/>
          <w:tab w:val="left" w:pos="2160"/>
          <w:tab w:val="left" w:pos="2880"/>
          <w:tab w:val="left" w:pos="3600"/>
          <w:tab w:val="left" w:pos="4320"/>
        </w:tabs>
        <w:adjustRightInd w:val="0"/>
        <w:spacing w:before="120" w:line="240" w:lineRule="auto"/>
        <w:rPr>
          <w:rFonts w:cs="Times New Roman"/>
          <w:b/>
          <w:iCs/>
          <w:sz w:val="24"/>
          <w:szCs w:val="24"/>
        </w:rPr>
      </w:pPr>
      <w:r w:rsidRPr="00500379">
        <w:rPr>
          <w:rFonts w:cs="Times New Roman"/>
          <w:b/>
          <w:iCs/>
          <w:sz w:val="24"/>
          <w:szCs w:val="24"/>
        </w:rPr>
        <w:t>Rezerva na realizáciu súdnych a exekučných rozhodnutí</w:t>
      </w:r>
    </w:p>
    <w:p w14:paraId="369B3E9D" w14:textId="77777777" w:rsidR="00E76212" w:rsidRPr="00500379"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500379">
        <w:rPr>
          <w:rFonts w:eastAsia="Times New Roman" w:cs="Times New Roman"/>
          <w:color w:val="000000"/>
          <w:sz w:val="24"/>
          <w:szCs w:val="24"/>
          <w:lang w:eastAsia="cs-CZ"/>
        </w:rPr>
        <w:t>Z rozpočtovanej rezervy v sume 10 000 tis. eur sa uv</w:t>
      </w:r>
      <w:r>
        <w:rPr>
          <w:rFonts w:eastAsia="Times New Roman" w:cs="Times New Roman"/>
          <w:color w:val="000000"/>
          <w:sz w:val="24"/>
          <w:szCs w:val="24"/>
          <w:lang w:eastAsia="cs-CZ"/>
        </w:rPr>
        <w:t>oľnili prostriedky v sume 2 646 tis. </w:t>
      </w:r>
      <w:r w:rsidRPr="00500379">
        <w:rPr>
          <w:rFonts w:eastAsia="Times New Roman" w:cs="Times New Roman"/>
          <w:color w:val="000000"/>
          <w:sz w:val="24"/>
          <w:szCs w:val="24"/>
          <w:lang w:eastAsia="cs-CZ"/>
        </w:rPr>
        <w:t>eur a nevyčerpaný zostatok p</w:t>
      </w:r>
      <w:r>
        <w:rPr>
          <w:rFonts w:eastAsia="Times New Roman" w:cs="Times New Roman"/>
          <w:color w:val="000000"/>
          <w:sz w:val="24"/>
          <w:szCs w:val="24"/>
          <w:lang w:eastAsia="cs-CZ"/>
        </w:rPr>
        <w:t>redstavuje sumu 7 354 </w:t>
      </w:r>
      <w:r w:rsidRPr="00500379">
        <w:rPr>
          <w:rFonts w:eastAsia="Times New Roman" w:cs="Times New Roman"/>
          <w:color w:val="000000"/>
          <w:sz w:val="24"/>
          <w:szCs w:val="24"/>
          <w:lang w:eastAsia="cs-CZ"/>
        </w:rPr>
        <w:t>tis. eur.</w:t>
      </w:r>
    </w:p>
    <w:p w14:paraId="7CBDEF43" w14:textId="0143486B" w:rsidR="00E76212" w:rsidRPr="00500379"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500379">
        <w:rPr>
          <w:rFonts w:eastAsia="Times New Roman" w:cs="Times New Roman"/>
          <w:color w:val="000000"/>
          <w:sz w:val="24"/>
          <w:szCs w:val="24"/>
          <w:lang w:eastAsia="cs-CZ"/>
        </w:rPr>
        <w:t>Podrobné informácie o uvoľnených prostried</w:t>
      </w:r>
      <w:r>
        <w:rPr>
          <w:rFonts w:eastAsia="Times New Roman" w:cs="Times New Roman"/>
          <w:color w:val="000000"/>
          <w:sz w:val="24"/>
          <w:szCs w:val="24"/>
          <w:lang w:eastAsia="cs-CZ"/>
        </w:rPr>
        <w:t xml:space="preserve">koch sú prezentované v </w:t>
      </w:r>
      <w:r w:rsidRPr="00DD022A">
        <w:rPr>
          <w:rFonts w:eastAsia="Times New Roman" w:cs="Times New Roman"/>
          <w:color w:val="000000"/>
          <w:sz w:val="24"/>
          <w:szCs w:val="24"/>
          <w:lang w:eastAsia="cs-CZ"/>
        </w:rPr>
        <w:t xml:space="preserve">Tabuľke </w:t>
      </w:r>
      <w:r w:rsidR="00DD022A">
        <w:rPr>
          <w:rFonts w:eastAsia="Times New Roman" w:cs="Times New Roman"/>
          <w:color w:val="000000"/>
          <w:sz w:val="24"/>
          <w:szCs w:val="24"/>
          <w:lang w:eastAsia="cs-CZ"/>
        </w:rPr>
        <w:t>57</w:t>
      </w:r>
      <w:r w:rsidRPr="00500379">
        <w:rPr>
          <w:rFonts w:eastAsia="Times New Roman" w:cs="Times New Roman"/>
          <w:color w:val="000000"/>
          <w:sz w:val="24"/>
          <w:szCs w:val="24"/>
          <w:lang w:eastAsia="cs-CZ"/>
        </w:rPr>
        <w:t>.</w:t>
      </w:r>
    </w:p>
    <w:p w14:paraId="1D90E291" w14:textId="32368ED2" w:rsidR="00E76212" w:rsidRPr="00500379" w:rsidRDefault="00E76212" w:rsidP="00E76212">
      <w:pPr>
        <w:spacing w:after="0" w:line="240" w:lineRule="auto"/>
        <w:rPr>
          <w:b/>
          <w:bCs/>
          <w:color w:val="5B9BD5"/>
          <w:sz w:val="20"/>
          <w:szCs w:val="20"/>
        </w:rPr>
      </w:pPr>
      <w:r w:rsidRPr="00500379">
        <w:rPr>
          <w:b/>
          <w:bCs/>
          <w:color w:val="5B9BD5"/>
          <w:sz w:val="20"/>
          <w:szCs w:val="20"/>
        </w:rPr>
        <w:t xml:space="preserve">Tabuľka </w:t>
      </w:r>
      <w:r w:rsidR="00DD022A">
        <w:rPr>
          <w:b/>
          <w:bCs/>
          <w:color w:val="5B9BD5"/>
          <w:sz w:val="20"/>
          <w:szCs w:val="20"/>
        </w:rPr>
        <w:t>57</w:t>
      </w:r>
      <w:r w:rsidRPr="00500379">
        <w:rPr>
          <w:b/>
          <w:bCs/>
          <w:color w:val="5B9BD5"/>
          <w:sz w:val="20"/>
          <w:szCs w:val="20"/>
        </w:rPr>
        <w:t xml:space="preserve"> - Rezerva na realizáciu súdnych a exekučných rozhodnutí </w:t>
      </w:r>
    </w:p>
    <w:tbl>
      <w:tblPr>
        <w:tblW w:w="9072" w:type="dxa"/>
        <w:tblCellMar>
          <w:left w:w="70" w:type="dxa"/>
          <w:right w:w="70" w:type="dxa"/>
        </w:tblCellMar>
        <w:tblLook w:val="04A0" w:firstRow="1" w:lastRow="0" w:firstColumn="1" w:lastColumn="0" w:noHBand="0" w:noVBand="1"/>
      </w:tblPr>
      <w:tblGrid>
        <w:gridCol w:w="1180"/>
        <w:gridCol w:w="6460"/>
        <w:gridCol w:w="1432"/>
      </w:tblGrid>
      <w:tr w:rsidR="00E76212" w:rsidRPr="008C63ED" w14:paraId="4E4D184E" w14:textId="77777777" w:rsidTr="00D2560E">
        <w:trPr>
          <w:trHeight w:val="330"/>
        </w:trPr>
        <w:tc>
          <w:tcPr>
            <w:tcW w:w="1180" w:type="dxa"/>
            <w:tcBorders>
              <w:top w:val="single" w:sz="4" w:space="0" w:color="auto"/>
              <w:left w:val="nil"/>
              <w:bottom w:val="single" w:sz="4" w:space="0" w:color="auto"/>
              <w:right w:val="nil"/>
            </w:tcBorders>
            <w:shd w:val="clear" w:color="auto" w:fill="auto"/>
            <w:noWrap/>
            <w:vAlign w:val="center"/>
            <w:hideMark/>
          </w:tcPr>
          <w:p w14:paraId="5A5086A7" w14:textId="77777777" w:rsidR="00E76212" w:rsidRPr="009819F0" w:rsidRDefault="00E76212" w:rsidP="00D2560E">
            <w:pPr>
              <w:spacing w:after="0" w:line="240" w:lineRule="auto"/>
              <w:rPr>
                <w:rFonts w:eastAsia="Times New Roman" w:cs="Times New Roman"/>
                <w:b/>
                <w:bCs/>
                <w:sz w:val="18"/>
                <w:szCs w:val="18"/>
                <w:lang w:eastAsia="sk-SK"/>
              </w:rPr>
            </w:pPr>
            <w:r w:rsidRPr="009819F0">
              <w:rPr>
                <w:rFonts w:eastAsia="Times New Roman" w:cs="Times New Roman"/>
                <w:b/>
                <w:bCs/>
                <w:sz w:val="18"/>
                <w:szCs w:val="18"/>
                <w:lang w:eastAsia="sk-SK"/>
              </w:rPr>
              <w:t xml:space="preserve">Kapitola </w:t>
            </w:r>
          </w:p>
        </w:tc>
        <w:tc>
          <w:tcPr>
            <w:tcW w:w="6460" w:type="dxa"/>
            <w:tcBorders>
              <w:top w:val="single" w:sz="4" w:space="0" w:color="auto"/>
              <w:left w:val="nil"/>
              <w:bottom w:val="single" w:sz="4" w:space="0" w:color="auto"/>
              <w:right w:val="nil"/>
            </w:tcBorders>
            <w:shd w:val="clear" w:color="auto" w:fill="auto"/>
            <w:noWrap/>
            <w:vAlign w:val="center"/>
            <w:hideMark/>
          </w:tcPr>
          <w:p w14:paraId="5E4A946D" w14:textId="77777777" w:rsidR="00E76212" w:rsidRPr="009819F0" w:rsidRDefault="00E76212" w:rsidP="00D2560E">
            <w:pPr>
              <w:spacing w:after="0" w:line="240" w:lineRule="auto"/>
              <w:jc w:val="center"/>
              <w:rPr>
                <w:rFonts w:eastAsia="Times New Roman" w:cs="Times New Roman"/>
                <w:b/>
                <w:bCs/>
                <w:sz w:val="18"/>
                <w:szCs w:val="18"/>
                <w:lang w:eastAsia="sk-SK"/>
              </w:rPr>
            </w:pPr>
            <w:r w:rsidRPr="009819F0">
              <w:rPr>
                <w:rFonts w:eastAsia="Times New Roman" w:cs="Times New Roman"/>
                <w:b/>
                <w:bCs/>
                <w:sz w:val="18"/>
                <w:szCs w:val="18"/>
                <w:lang w:eastAsia="sk-SK"/>
              </w:rPr>
              <w:t>Účel</w:t>
            </w:r>
          </w:p>
        </w:tc>
        <w:tc>
          <w:tcPr>
            <w:tcW w:w="1432" w:type="dxa"/>
            <w:tcBorders>
              <w:top w:val="single" w:sz="4" w:space="0" w:color="auto"/>
              <w:left w:val="nil"/>
              <w:bottom w:val="single" w:sz="4" w:space="0" w:color="auto"/>
              <w:right w:val="nil"/>
            </w:tcBorders>
            <w:shd w:val="clear" w:color="auto" w:fill="auto"/>
            <w:noWrap/>
            <w:vAlign w:val="center"/>
            <w:hideMark/>
          </w:tcPr>
          <w:p w14:paraId="6E2CF8AE" w14:textId="77777777" w:rsidR="00E76212" w:rsidRPr="009819F0" w:rsidRDefault="00E76212" w:rsidP="00D2560E">
            <w:pPr>
              <w:spacing w:after="0" w:line="240" w:lineRule="auto"/>
              <w:jc w:val="right"/>
              <w:rPr>
                <w:rFonts w:eastAsia="Times New Roman" w:cs="Times New Roman"/>
                <w:b/>
                <w:bCs/>
                <w:sz w:val="18"/>
                <w:szCs w:val="18"/>
                <w:lang w:eastAsia="sk-SK"/>
              </w:rPr>
            </w:pPr>
            <w:r w:rsidRPr="009819F0">
              <w:rPr>
                <w:rFonts w:eastAsia="Times New Roman" w:cs="Times New Roman"/>
                <w:b/>
                <w:bCs/>
                <w:sz w:val="18"/>
                <w:szCs w:val="18"/>
                <w:lang w:eastAsia="sk-SK"/>
              </w:rPr>
              <w:t xml:space="preserve">Suma v tis. eur </w:t>
            </w:r>
          </w:p>
        </w:tc>
      </w:tr>
      <w:tr w:rsidR="00E76212" w:rsidRPr="008C63ED" w14:paraId="316B2CC7" w14:textId="77777777" w:rsidTr="00D2560E">
        <w:trPr>
          <w:trHeight w:val="390"/>
        </w:trPr>
        <w:tc>
          <w:tcPr>
            <w:tcW w:w="1180" w:type="dxa"/>
            <w:tcBorders>
              <w:top w:val="nil"/>
              <w:left w:val="nil"/>
              <w:bottom w:val="nil"/>
              <w:right w:val="nil"/>
            </w:tcBorders>
            <w:shd w:val="clear" w:color="auto" w:fill="auto"/>
            <w:vAlign w:val="center"/>
            <w:hideMark/>
          </w:tcPr>
          <w:p w14:paraId="676B6AFB" w14:textId="77777777" w:rsidR="00E76212" w:rsidRPr="009819F0" w:rsidRDefault="00E76212" w:rsidP="00D2560E">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 xml:space="preserve">Úrad geodézie, kartografie a katastra SR </w:t>
            </w:r>
          </w:p>
        </w:tc>
        <w:tc>
          <w:tcPr>
            <w:tcW w:w="6460" w:type="dxa"/>
            <w:tcBorders>
              <w:top w:val="nil"/>
              <w:left w:val="nil"/>
              <w:bottom w:val="nil"/>
              <w:right w:val="nil"/>
            </w:tcBorders>
            <w:shd w:val="clear" w:color="auto" w:fill="auto"/>
            <w:vAlign w:val="center"/>
            <w:hideMark/>
          </w:tcPr>
          <w:p w14:paraId="1EF4011E" w14:textId="77777777" w:rsidR="00E76212" w:rsidRPr="009819F0" w:rsidRDefault="00E76212" w:rsidP="00D2560E">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Na vysporiadanie súdneho sporu so spoločnosťou ARMAGEDON, s. r. o.</w:t>
            </w:r>
          </w:p>
        </w:tc>
        <w:tc>
          <w:tcPr>
            <w:tcW w:w="1432" w:type="dxa"/>
            <w:tcBorders>
              <w:top w:val="nil"/>
              <w:left w:val="nil"/>
              <w:bottom w:val="nil"/>
              <w:right w:val="nil"/>
            </w:tcBorders>
            <w:shd w:val="clear" w:color="auto" w:fill="auto"/>
            <w:vAlign w:val="center"/>
            <w:hideMark/>
          </w:tcPr>
          <w:p w14:paraId="11DB9EE3"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1 761</w:t>
            </w:r>
          </w:p>
        </w:tc>
      </w:tr>
      <w:tr w:rsidR="00E76212" w:rsidRPr="008C63ED" w14:paraId="03522189" w14:textId="77777777" w:rsidTr="00D2560E">
        <w:trPr>
          <w:trHeight w:val="330"/>
        </w:trPr>
        <w:tc>
          <w:tcPr>
            <w:tcW w:w="7640" w:type="dxa"/>
            <w:gridSpan w:val="2"/>
            <w:tcBorders>
              <w:top w:val="nil"/>
              <w:left w:val="nil"/>
              <w:bottom w:val="single" w:sz="4" w:space="0" w:color="auto"/>
              <w:right w:val="nil"/>
            </w:tcBorders>
            <w:shd w:val="clear" w:color="auto" w:fill="auto"/>
            <w:vAlign w:val="center"/>
            <w:hideMark/>
          </w:tcPr>
          <w:p w14:paraId="77A19E9D" w14:textId="77777777" w:rsidR="00E76212" w:rsidRPr="009819F0" w:rsidRDefault="00E76212" w:rsidP="00D2560E">
            <w:pPr>
              <w:spacing w:after="0" w:line="240" w:lineRule="auto"/>
              <w:jc w:val="right"/>
              <w:rPr>
                <w:rFonts w:eastAsia="Times New Roman" w:cs="Times New Roman"/>
                <w:b/>
                <w:bCs/>
                <w:sz w:val="18"/>
                <w:szCs w:val="18"/>
                <w:lang w:eastAsia="sk-SK"/>
              </w:rPr>
            </w:pPr>
            <w:r w:rsidRPr="009819F0">
              <w:rPr>
                <w:rFonts w:eastAsia="Times New Roman" w:cs="Times New Roman"/>
                <w:b/>
                <w:bCs/>
                <w:sz w:val="18"/>
                <w:szCs w:val="18"/>
                <w:lang w:eastAsia="sk-SK"/>
              </w:rPr>
              <w:t>Spolu</w:t>
            </w:r>
          </w:p>
        </w:tc>
        <w:tc>
          <w:tcPr>
            <w:tcW w:w="1432" w:type="dxa"/>
            <w:tcBorders>
              <w:top w:val="nil"/>
              <w:left w:val="nil"/>
              <w:bottom w:val="single" w:sz="4" w:space="0" w:color="auto"/>
              <w:right w:val="nil"/>
            </w:tcBorders>
            <w:shd w:val="clear" w:color="auto" w:fill="auto"/>
            <w:vAlign w:val="center"/>
            <w:hideMark/>
          </w:tcPr>
          <w:p w14:paraId="0E4EE273" w14:textId="77777777" w:rsidR="00E76212" w:rsidRPr="009819F0" w:rsidRDefault="00E76212" w:rsidP="00D2560E">
            <w:pPr>
              <w:spacing w:after="0" w:line="240" w:lineRule="auto"/>
              <w:jc w:val="right"/>
              <w:rPr>
                <w:rFonts w:eastAsia="Times New Roman" w:cs="Times New Roman"/>
                <w:b/>
                <w:bCs/>
                <w:sz w:val="18"/>
                <w:szCs w:val="18"/>
                <w:lang w:eastAsia="sk-SK"/>
              </w:rPr>
            </w:pPr>
            <w:r w:rsidRPr="009819F0">
              <w:rPr>
                <w:rFonts w:eastAsia="Times New Roman" w:cs="Times New Roman"/>
                <w:b/>
                <w:bCs/>
                <w:sz w:val="18"/>
                <w:szCs w:val="18"/>
                <w:lang w:eastAsia="sk-SK"/>
              </w:rPr>
              <w:t>1 761</w:t>
            </w:r>
          </w:p>
        </w:tc>
      </w:tr>
      <w:tr w:rsidR="00E76212" w:rsidRPr="008C63ED" w14:paraId="1FA9D626" w14:textId="77777777" w:rsidTr="00D2560E">
        <w:trPr>
          <w:trHeight w:val="540"/>
        </w:trPr>
        <w:tc>
          <w:tcPr>
            <w:tcW w:w="1180" w:type="dxa"/>
            <w:tcBorders>
              <w:top w:val="nil"/>
              <w:left w:val="nil"/>
              <w:bottom w:val="nil"/>
              <w:right w:val="nil"/>
            </w:tcBorders>
            <w:shd w:val="clear" w:color="auto" w:fill="auto"/>
            <w:vAlign w:val="center"/>
            <w:hideMark/>
          </w:tcPr>
          <w:p w14:paraId="00DD2A63" w14:textId="77777777" w:rsidR="00E76212" w:rsidRPr="009819F0" w:rsidRDefault="00E76212" w:rsidP="00D2560E">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 xml:space="preserve">Ministerstvo spravodlivosti SR </w:t>
            </w:r>
          </w:p>
        </w:tc>
        <w:tc>
          <w:tcPr>
            <w:tcW w:w="6460" w:type="dxa"/>
            <w:tcBorders>
              <w:top w:val="nil"/>
              <w:left w:val="nil"/>
              <w:bottom w:val="nil"/>
              <w:right w:val="nil"/>
            </w:tcBorders>
            <w:shd w:val="clear" w:color="auto" w:fill="auto"/>
            <w:vAlign w:val="bottom"/>
            <w:hideMark/>
          </w:tcPr>
          <w:p w14:paraId="3FAFD27D" w14:textId="20E50E05" w:rsidR="00E76212" w:rsidRPr="009819F0" w:rsidRDefault="00E76212" w:rsidP="006243D7">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 xml:space="preserve">Na náhradu škody pre spoločnosť OZETA NEO, </w:t>
            </w:r>
            <w:proofErr w:type="spellStart"/>
            <w:r w:rsidRPr="009819F0">
              <w:rPr>
                <w:rFonts w:eastAsia="Times New Roman" w:cs="Times New Roman"/>
                <w:sz w:val="18"/>
                <w:szCs w:val="18"/>
                <w:lang w:eastAsia="sk-SK"/>
              </w:rPr>
              <w:t>a.s</w:t>
            </w:r>
            <w:proofErr w:type="spellEnd"/>
            <w:r w:rsidRPr="009819F0">
              <w:rPr>
                <w:rFonts w:eastAsia="Times New Roman" w:cs="Times New Roman"/>
                <w:sz w:val="18"/>
                <w:szCs w:val="18"/>
                <w:lang w:eastAsia="sk-SK"/>
              </w:rPr>
              <w:t xml:space="preserve">., ktorý bola spôsobená pri výkone verejnej moci - na základe rozhodnutia Krajského súdu v Bratislave </w:t>
            </w:r>
          </w:p>
        </w:tc>
        <w:tc>
          <w:tcPr>
            <w:tcW w:w="1432" w:type="dxa"/>
            <w:tcBorders>
              <w:top w:val="nil"/>
              <w:left w:val="nil"/>
              <w:bottom w:val="nil"/>
              <w:right w:val="nil"/>
            </w:tcBorders>
            <w:shd w:val="clear" w:color="auto" w:fill="auto"/>
            <w:vAlign w:val="center"/>
            <w:hideMark/>
          </w:tcPr>
          <w:p w14:paraId="572ACA90"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860</w:t>
            </w:r>
          </w:p>
        </w:tc>
      </w:tr>
      <w:tr w:rsidR="00E76212" w:rsidRPr="008C63ED" w14:paraId="0B1AD496" w14:textId="77777777" w:rsidTr="00D2560E">
        <w:trPr>
          <w:trHeight w:val="330"/>
        </w:trPr>
        <w:tc>
          <w:tcPr>
            <w:tcW w:w="7640" w:type="dxa"/>
            <w:gridSpan w:val="2"/>
            <w:tcBorders>
              <w:top w:val="nil"/>
              <w:left w:val="nil"/>
              <w:bottom w:val="single" w:sz="4" w:space="0" w:color="auto"/>
              <w:right w:val="nil"/>
            </w:tcBorders>
            <w:shd w:val="clear" w:color="auto" w:fill="auto"/>
            <w:vAlign w:val="center"/>
            <w:hideMark/>
          </w:tcPr>
          <w:p w14:paraId="51892F7E" w14:textId="77777777" w:rsidR="00E76212" w:rsidRPr="009819F0" w:rsidRDefault="00E76212" w:rsidP="00D2560E">
            <w:pPr>
              <w:spacing w:after="0" w:line="240" w:lineRule="auto"/>
              <w:jc w:val="right"/>
              <w:rPr>
                <w:rFonts w:eastAsia="Times New Roman" w:cs="Times New Roman"/>
                <w:b/>
                <w:bCs/>
                <w:sz w:val="18"/>
                <w:szCs w:val="18"/>
                <w:lang w:eastAsia="sk-SK"/>
              </w:rPr>
            </w:pPr>
            <w:r w:rsidRPr="009819F0">
              <w:rPr>
                <w:rFonts w:eastAsia="Times New Roman" w:cs="Times New Roman"/>
                <w:b/>
                <w:bCs/>
                <w:sz w:val="18"/>
                <w:szCs w:val="18"/>
                <w:lang w:eastAsia="sk-SK"/>
              </w:rPr>
              <w:t>Spolu</w:t>
            </w:r>
          </w:p>
        </w:tc>
        <w:tc>
          <w:tcPr>
            <w:tcW w:w="1432" w:type="dxa"/>
            <w:tcBorders>
              <w:top w:val="nil"/>
              <w:left w:val="nil"/>
              <w:bottom w:val="single" w:sz="4" w:space="0" w:color="auto"/>
              <w:right w:val="nil"/>
            </w:tcBorders>
            <w:shd w:val="clear" w:color="auto" w:fill="auto"/>
            <w:vAlign w:val="center"/>
            <w:hideMark/>
          </w:tcPr>
          <w:p w14:paraId="16EFDDC0" w14:textId="77777777" w:rsidR="00E76212" w:rsidRPr="009819F0" w:rsidRDefault="00E76212" w:rsidP="00D2560E">
            <w:pPr>
              <w:spacing w:after="0" w:line="240" w:lineRule="auto"/>
              <w:jc w:val="right"/>
              <w:rPr>
                <w:rFonts w:eastAsia="Times New Roman" w:cs="Times New Roman"/>
                <w:b/>
                <w:bCs/>
                <w:sz w:val="18"/>
                <w:szCs w:val="18"/>
                <w:lang w:eastAsia="sk-SK"/>
              </w:rPr>
            </w:pPr>
            <w:r w:rsidRPr="009819F0">
              <w:rPr>
                <w:rFonts w:eastAsia="Times New Roman" w:cs="Times New Roman"/>
                <w:b/>
                <w:bCs/>
                <w:sz w:val="18"/>
                <w:szCs w:val="18"/>
                <w:lang w:eastAsia="sk-SK"/>
              </w:rPr>
              <w:t>860</w:t>
            </w:r>
          </w:p>
        </w:tc>
      </w:tr>
      <w:tr w:rsidR="00E76212" w:rsidRPr="008C63ED" w14:paraId="21805375" w14:textId="77777777" w:rsidTr="00D2560E">
        <w:trPr>
          <w:trHeight w:val="450"/>
        </w:trPr>
        <w:tc>
          <w:tcPr>
            <w:tcW w:w="1180" w:type="dxa"/>
            <w:tcBorders>
              <w:top w:val="nil"/>
              <w:left w:val="nil"/>
              <w:bottom w:val="nil"/>
              <w:right w:val="nil"/>
            </w:tcBorders>
            <w:shd w:val="clear" w:color="auto" w:fill="auto"/>
            <w:vAlign w:val="center"/>
            <w:hideMark/>
          </w:tcPr>
          <w:p w14:paraId="1F5A3D0F" w14:textId="77777777" w:rsidR="00E76212" w:rsidRPr="009819F0" w:rsidRDefault="00E76212" w:rsidP="00D2560E">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Ústav pamäti národa</w:t>
            </w:r>
          </w:p>
        </w:tc>
        <w:tc>
          <w:tcPr>
            <w:tcW w:w="6460" w:type="dxa"/>
            <w:tcBorders>
              <w:top w:val="nil"/>
              <w:left w:val="nil"/>
              <w:bottom w:val="nil"/>
              <w:right w:val="nil"/>
            </w:tcBorders>
            <w:shd w:val="clear" w:color="auto" w:fill="auto"/>
            <w:vAlign w:val="bottom"/>
            <w:hideMark/>
          </w:tcPr>
          <w:p w14:paraId="63E535A0" w14:textId="6EB3B531" w:rsidR="00E76212" w:rsidRPr="009819F0" w:rsidRDefault="00E76212" w:rsidP="00040B78">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Na úhradu nemajetkovej ujmy pre Ústav pamäti národa – na základe rozsudku Krajského súdu v Nitre Č. k. 9Co/2022-2889</w:t>
            </w:r>
          </w:p>
        </w:tc>
        <w:tc>
          <w:tcPr>
            <w:tcW w:w="1432" w:type="dxa"/>
            <w:tcBorders>
              <w:top w:val="nil"/>
              <w:left w:val="nil"/>
              <w:bottom w:val="nil"/>
              <w:right w:val="nil"/>
            </w:tcBorders>
            <w:shd w:val="clear" w:color="auto" w:fill="auto"/>
            <w:vAlign w:val="center"/>
            <w:hideMark/>
          </w:tcPr>
          <w:p w14:paraId="6B471869" w14:textId="77777777" w:rsidR="00E76212" w:rsidRPr="009819F0" w:rsidRDefault="00E76212" w:rsidP="00D2560E">
            <w:pPr>
              <w:spacing w:after="0" w:line="240" w:lineRule="auto"/>
              <w:jc w:val="right"/>
              <w:rPr>
                <w:rFonts w:eastAsia="Times New Roman" w:cs="Times New Roman"/>
                <w:sz w:val="18"/>
                <w:szCs w:val="18"/>
                <w:lang w:eastAsia="sk-SK"/>
              </w:rPr>
            </w:pPr>
            <w:r w:rsidRPr="009819F0">
              <w:rPr>
                <w:rFonts w:eastAsia="Times New Roman" w:cs="Times New Roman"/>
                <w:sz w:val="18"/>
                <w:szCs w:val="18"/>
                <w:lang w:eastAsia="sk-SK"/>
              </w:rPr>
              <w:t>25</w:t>
            </w:r>
          </w:p>
        </w:tc>
      </w:tr>
      <w:tr w:rsidR="00E76212" w:rsidRPr="008C63ED" w14:paraId="42128053" w14:textId="77777777" w:rsidTr="00D2560E">
        <w:trPr>
          <w:trHeight w:val="330"/>
        </w:trPr>
        <w:tc>
          <w:tcPr>
            <w:tcW w:w="7640" w:type="dxa"/>
            <w:gridSpan w:val="2"/>
            <w:tcBorders>
              <w:top w:val="nil"/>
              <w:left w:val="nil"/>
              <w:bottom w:val="single" w:sz="4" w:space="0" w:color="auto"/>
              <w:right w:val="nil"/>
            </w:tcBorders>
            <w:shd w:val="clear" w:color="auto" w:fill="auto"/>
            <w:vAlign w:val="center"/>
            <w:hideMark/>
          </w:tcPr>
          <w:p w14:paraId="530E64C7" w14:textId="77777777" w:rsidR="00E76212" w:rsidRPr="009819F0" w:rsidRDefault="00E76212" w:rsidP="00D2560E">
            <w:pPr>
              <w:spacing w:after="0" w:line="240" w:lineRule="auto"/>
              <w:jc w:val="right"/>
              <w:rPr>
                <w:rFonts w:eastAsia="Times New Roman" w:cs="Times New Roman"/>
                <w:b/>
                <w:bCs/>
                <w:sz w:val="18"/>
                <w:szCs w:val="18"/>
                <w:lang w:eastAsia="sk-SK"/>
              </w:rPr>
            </w:pPr>
            <w:r w:rsidRPr="009819F0">
              <w:rPr>
                <w:rFonts w:eastAsia="Times New Roman" w:cs="Times New Roman"/>
                <w:b/>
                <w:bCs/>
                <w:sz w:val="18"/>
                <w:szCs w:val="18"/>
                <w:lang w:eastAsia="sk-SK"/>
              </w:rPr>
              <w:t>Spolu</w:t>
            </w:r>
          </w:p>
        </w:tc>
        <w:tc>
          <w:tcPr>
            <w:tcW w:w="1432" w:type="dxa"/>
            <w:tcBorders>
              <w:top w:val="nil"/>
              <w:left w:val="nil"/>
              <w:bottom w:val="single" w:sz="4" w:space="0" w:color="auto"/>
              <w:right w:val="nil"/>
            </w:tcBorders>
            <w:shd w:val="clear" w:color="auto" w:fill="auto"/>
            <w:vAlign w:val="center"/>
            <w:hideMark/>
          </w:tcPr>
          <w:p w14:paraId="6A3D05C0" w14:textId="77777777" w:rsidR="00E76212" w:rsidRPr="009819F0" w:rsidRDefault="00E76212" w:rsidP="00D2560E">
            <w:pPr>
              <w:spacing w:after="0" w:line="240" w:lineRule="auto"/>
              <w:jc w:val="right"/>
              <w:rPr>
                <w:rFonts w:eastAsia="Times New Roman" w:cs="Times New Roman"/>
                <w:b/>
                <w:bCs/>
                <w:sz w:val="18"/>
                <w:szCs w:val="18"/>
                <w:lang w:eastAsia="sk-SK"/>
              </w:rPr>
            </w:pPr>
            <w:r w:rsidRPr="009819F0">
              <w:rPr>
                <w:rFonts w:eastAsia="Times New Roman" w:cs="Times New Roman"/>
                <w:b/>
                <w:bCs/>
                <w:sz w:val="18"/>
                <w:szCs w:val="18"/>
                <w:lang w:eastAsia="sk-SK"/>
              </w:rPr>
              <w:t>25</w:t>
            </w:r>
          </w:p>
        </w:tc>
      </w:tr>
      <w:tr w:rsidR="00E76212" w:rsidRPr="008C63ED" w14:paraId="1D8E3122" w14:textId="77777777" w:rsidTr="00D2560E">
        <w:trPr>
          <w:trHeight w:val="330"/>
        </w:trPr>
        <w:tc>
          <w:tcPr>
            <w:tcW w:w="7640" w:type="dxa"/>
            <w:gridSpan w:val="2"/>
            <w:tcBorders>
              <w:top w:val="single" w:sz="4" w:space="0" w:color="auto"/>
              <w:left w:val="nil"/>
              <w:bottom w:val="single" w:sz="4" w:space="0" w:color="auto"/>
              <w:right w:val="nil"/>
            </w:tcBorders>
            <w:shd w:val="clear" w:color="auto" w:fill="auto"/>
            <w:vAlign w:val="center"/>
            <w:hideMark/>
          </w:tcPr>
          <w:p w14:paraId="5AD1C75E" w14:textId="77777777" w:rsidR="00E76212" w:rsidRPr="009819F0" w:rsidRDefault="00E76212" w:rsidP="009819F0">
            <w:pPr>
              <w:spacing w:after="0" w:line="240" w:lineRule="auto"/>
              <w:jc w:val="left"/>
              <w:rPr>
                <w:rFonts w:eastAsia="Times New Roman" w:cs="Times New Roman"/>
                <w:b/>
                <w:bCs/>
                <w:sz w:val="18"/>
                <w:szCs w:val="18"/>
                <w:lang w:eastAsia="sk-SK"/>
              </w:rPr>
            </w:pPr>
            <w:r w:rsidRPr="009819F0">
              <w:rPr>
                <w:rFonts w:eastAsia="Times New Roman" w:cs="Times New Roman"/>
                <w:b/>
                <w:bCs/>
                <w:sz w:val="18"/>
                <w:szCs w:val="18"/>
                <w:lang w:eastAsia="sk-SK"/>
              </w:rPr>
              <w:lastRenderedPageBreak/>
              <w:t>Spolu celkom</w:t>
            </w:r>
          </w:p>
        </w:tc>
        <w:tc>
          <w:tcPr>
            <w:tcW w:w="1432" w:type="dxa"/>
            <w:tcBorders>
              <w:top w:val="nil"/>
              <w:left w:val="nil"/>
              <w:bottom w:val="single" w:sz="4" w:space="0" w:color="auto"/>
              <w:right w:val="nil"/>
            </w:tcBorders>
            <w:shd w:val="clear" w:color="auto" w:fill="auto"/>
            <w:vAlign w:val="center"/>
            <w:hideMark/>
          </w:tcPr>
          <w:p w14:paraId="3CDA4B79" w14:textId="77777777" w:rsidR="00E76212" w:rsidRPr="009819F0" w:rsidRDefault="00E76212" w:rsidP="00D2560E">
            <w:pPr>
              <w:spacing w:after="0" w:line="240" w:lineRule="auto"/>
              <w:jc w:val="right"/>
              <w:rPr>
                <w:rFonts w:eastAsia="Times New Roman" w:cs="Times New Roman"/>
                <w:b/>
                <w:bCs/>
                <w:sz w:val="18"/>
                <w:szCs w:val="18"/>
                <w:lang w:eastAsia="sk-SK"/>
              </w:rPr>
            </w:pPr>
            <w:r w:rsidRPr="009819F0">
              <w:rPr>
                <w:rFonts w:eastAsia="Times New Roman" w:cs="Times New Roman"/>
                <w:b/>
                <w:bCs/>
                <w:sz w:val="18"/>
                <w:szCs w:val="18"/>
                <w:lang w:eastAsia="sk-SK"/>
              </w:rPr>
              <w:t>2 646</w:t>
            </w:r>
          </w:p>
        </w:tc>
      </w:tr>
      <w:tr w:rsidR="00E76212" w:rsidRPr="0035337C" w14:paraId="038DDCA6" w14:textId="77777777" w:rsidTr="00D2560E">
        <w:trPr>
          <w:trHeight w:val="225"/>
        </w:trPr>
        <w:tc>
          <w:tcPr>
            <w:tcW w:w="1180" w:type="dxa"/>
            <w:tcBorders>
              <w:top w:val="nil"/>
              <w:left w:val="nil"/>
              <w:bottom w:val="nil"/>
              <w:right w:val="nil"/>
            </w:tcBorders>
            <w:shd w:val="clear" w:color="auto" w:fill="auto"/>
            <w:noWrap/>
            <w:vAlign w:val="bottom"/>
            <w:hideMark/>
          </w:tcPr>
          <w:p w14:paraId="72FFA676" w14:textId="77777777" w:rsidR="00E76212" w:rsidRPr="009819F0" w:rsidRDefault="00E76212" w:rsidP="00D2560E">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 </w:t>
            </w:r>
          </w:p>
        </w:tc>
        <w:tc>
          <w:tcPr>
            <w:tcW w:w="6460" w:type="dxa"/>
            <w:tcBorders>
              <w:top w:val="nil"/>
              <w:left w:val="nil"/>
              <w:bottom w:val="nil"/>
              <w:right w:val="nil"/>
            </w:tcBorders>
            <w:shd w:val="clear" w:color="auto" w:fill="auto"/>
            <w:noWrap/>
            <w:vAlign w:val="bottom"/>
            <w:hideMark/>
          </w:tcPr>
          <w:p w14:paraId="54A1F726" w14:textId="77777777" w:rsidR="00E76212" w:rsidRPr="009819F0" w:rsidRDefault="00E76212" w:rsidP="00D2560E">
            <w:pPr>
              <w:spacing w:after="0" w:line="240" w:lineRule="auto"/>
              <w:rPr>
                <w:rFonts w:eastAsia="Times New Roman" w:cs="Times New Roman"/>
                <w:sz w:val="18"/>
                <w:szCs w:val="18"/>
                <w:lang w:eastAsia="sk-SK"/>
              </w:rPr>
            </w:pPr>
            <w:r w:rsidRPr="009819F0">
              <w:rPr>
                <w:rFonts w:eastAsia="Times New Roman" w:cs="Times New Roman"/>
                <w:sz w:val="18"/>
                <w:szCs w:val="18"/>
                <w:lang w:eastAsia="sk-SK"/>
              </w:rPr>
              <w:t> </w:t>
            </w:r>
          </w:p>
        </w:tc>
        <w:tc>
          <w:tcPr>
            <w:tcW w:w="1432" w:type="dxa"/>
            <w:tcBorders>
              <w:top w:val="nil"/>
              <w:left w:val="nil"/>
              <w:bottom w:val="nil"/>
              <w:right w:val="nil"/>
            </w:tcBorders>
            <w:shd w:val="clear" w:color="auto" w:fill="auto"/>
            <w:noWrap/>
            <w:vAlign w:val="bottom"/>
            <w:hideMark/>
          </w:tcPr>
          <w:p w14:paraId="6493576D" w14:textId="77777777" w:rsidR="00E76212" w:rsidRPr="009819F0" w:rsidRDefault="00E76212" w:rsidP="00D2560E">
            <w:pPr>
              <w:spacing w:after="0" w:line="240" w:lineRule="auto"/>
              <w:jc w:val="right"/>
              <w:rPr>
                <w:rFonts w:eastAsia="Times New Roman" w:cs="Times New Roman"/>
                <w:iCs/>
                <w:sz w:val="18"/>
                <w:szCs w:val="18"/>
                <w:lang w:eastAsia="sk-SK"/>
              </w:rPr>
            </w:pPr>
            <w:r w:rsidRPr="009819F0">
              <w:rPr>
                <w:rFonts w:eastAsia="Times New Roman" w:cs="Times New Roman"/>
                <w:iCs/>
                <w:sz w:val="18"/>
                <w:szCs w:val="18"/>
                <w:lang w:eastAsia="sk-SK"/>
              </w:rPr>
              <w:t>Zdroj: MF SR</w:t>
            </w:r>
          </w:p>
        </w:tc>
      </w:tr>
    </w:tbl>
    <w:p w14:paraId="74567CEE" w14:textId="77777777" w:rsidR="00E76212" w:rsidRPr="00500379" w:rsidRDefault="00E76212" w:rsidP="00E76212">
      <w:pPr>
        <w:tabs>
          <w:tab w:val="left" w:pos="0"/>
          <w:tab w:val="left" w:pos="720"/>
          <w:tab w:val="left" w:pos="1440"/>
          <w:tab w:val="left" w:pos="2160"/>
          <w:tab w:val="left" w:pos="2880"/>
          <w:tab w:val="left" w:pos="3600"/>
          <w:tab w:val="left" w:pos="4320"/>
        </w:tabs>
        <w:adjustRightInd w:val="0"/>
        <w:spacing w:before="120" w:line="240" w:lineRule="auto"/>
        <w:rPr>
          <w:rFonts w:cs="Times New Roman"/>
          <w:b/>
          <w:iCs/>
          <w:sz w:val="24"/>
          <w:szCs w:val="24"/>
        </w:rPr>
      </w:pPr>
      <w:r w:rsidRPr="00500379">
        <w:rPr>
          <w:rFonts w:cs="Times New Roman"/>
          <w:b/>
          <w:iCs/>
          <w:sz w:val="24"/>
          <w:szCs w:val="24"/>
        </w:rPr>
        <w:t>Rezerva na mzdy a poistné</w:t>
      </w:r>
    </w:p>
    <w:p w14:paraId="3503B23E" w14:textId="77777777" w:rsidR="00E76212" w:rsidRPr="00500379"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sz w:val="24"/>
          <w:szCs w:val="24"/>
          <w:lang w:eastAsia="cs-CZ"/>
        </w:rPr>
      </w:pPr>
      <w:r w:rsidRPr="00500379">
        <w:rPr>
          <w:rFonts w:eastAsia="Times New Roman" w:cs="Times New Roman"/>
          <w:sz w:val="24"/>
          <w:szCs w:val="24"/>
          <w:lang w:eastAsia="cs-CZ"/>
        </w:rPr>
        <w:t>Rezerva na mzdy a poist</w:t>
      </w:r>
      <w:r>
        <w:rPr>
          <w:rFonts w:eastAsia="Times New Roman" w:cs="Times New Roman"/>
          <w:sz w:val="24"/>
          <w:szCs w:val="24"/>
          <w:lang w:eastAsia="cs-CZ"/>
        </w:rPr>
        <w:t xml:space="preserve">né bola rozpočtovaná v sume 187 662 tis. eur. </w:t>
      </w:r>
      <w:r w:rsidRPr="00500379">
        <w:rPr>
          <w:rFonts w:eastAsia="Times New Roman" w:cs="Times New Roman"/>
          <w:sz w:val="24"/>
          <w:szCs w:val="24"/>
          <w:lang w:eastAsia="cs-CZ"/>
        </w:rPr>
        <w:t>Do rezervy sa v priebehu roka 2023 alo</w:t>
      </w:r>
      <w:r>
        <w:rPr>
          <w:rFonts w:eastAsia="Times New Roman" w:cs="Times New Roman"/>
          <w:sz w:val="24"/>
          <w:szCs w:val="24"/>
          <w:lang w:eastAsia="cs-CZ"/>
        </w:rPr>
        <w:t>kovali prostriedky v sume 1 704 tis. </w:t>
      </w:r>
      <w:r w:rsidRPr="00500379">
        <w:rPr>
          <w:rFonts w:eastAsia="Times New Roman" w:cs="Times New Roman"/>
          <w:sz w:val="24"/>
          <w:szCs w:val="24"/>
          <w:lang w:eastAsia="cs-CZ"/>
        </w:rPr>
        <w:t>eur viazané v kapitole M</w:t>
      </w:r>
      <w:r>
        <w:rPr>
          <w:rFonts w:eastAsia="Times New Roman" w:cs="Times New Roman"/>
          <w:sz w:val="24"/>
          <w:szCs w:val="24"/>
          <w:lang w:eastAsia="cs-CZ"/>
        </w:rPr>
        <w:t>inisterstvo dopravy</w:t>
      </w:r>
      <w:r w:rsidRPr="00500379">
        <w:rPr>
          <w:rFonts w:eastAsia="Times New Roman" w:cs="Times New Roman"/>
          <w:sz w:val="24"/>
          <w:szCs w:val="24"/>
          <w:lang w:eastAsia="cs-CZ"/>
        </w:rPr>
        <w:t xml:space="preserve"> SR v súvislosti s delimitáciou medzi M</w:t>
      </w:r>
      <w:r>
        <w:rPr>
          <w:rFonts w:eastAsia="Times New Roman" w:cs="Times New Roman"/>
          <w:sz w:val="24"/>
          <w:szCs w:val="24"/>
          <w:lang w:eastAsia="cs-CZ"/>
        </w:rPr>
        <w:t>inisterstvom dopravy</w:t>
      </w:r>
      <w:r w:rsidRPr="00500379">
        <w:rPr>
          <w:rFonts w:eastAsia="Times New Roman" w:cs="Times New Roman"/>
          <w:sz w:val="24"/>
          <w:szCs w:val="24"/>
          <w:lang w:eastAsia="cs-CZ"/>
        </w:rPr>
        <w:t xml:space="preserve"> SR a ÚÚPV SR ako</w:t>
      </w:r>
      <w:r>
        <w:rPr>
          <w:rFonts w:eastAsia="Times New Roman" w:cs="Times New Roman"/>
          <w:sz w:val="24"/>
          <w:szCs w:val="24"/>
          <w:lang w:eastAsia="cs-CZ"/>
        </w:rPr>
        <w:t xml:space="preserve"> aj prostriedky v sume 779 tis. </w:t>
      </w:r>
      <w:r w:rsidRPr="00500379">
        <w:rPr>
          <w:rFonts w:eastAsia="Times New Roman" w:cs="Times New Roman"/>
          <w:sz w:val="24"/>
          <w:szCs w:val="24"/>
          <w:lang w:eastAsia="cs-CZ"/>
        </w:rPr>
        <w:t>eur viazané v kapitole M</w:t>
      </w:r>
      <w:r>
        <w:rPr>
          <w:rFonts w:eastAsia="Times New Roman" w:cs="Times New Roman"/>
          <w:sz w:val="24"/>
          <w:szCs w:val="24"/>
          <w:lang w:eastAsia="cs-CZ"/>
        </w:rPr>
        <w:t>inisterstva financií</w:t>
      </w:r>
      <w:r w:rsidRPr="00500379">
        <w:rPr>
          <w:rFonts w:eastAsia="Times New Roman" w:cs="Times New Roman"/>
          <w:sz w:val="24"/>
          <w:szCs w:val="24"/>
          <w:lang w:eastAsia="cs-CZ"/>
        </w:rPr>
        <w:t xml:space="preserve"> SR a </w:t>
      </w:r>
      <w:r w:rsidRPr="00B83981">
        <w:rPr>
          <w:rFonts w:eastAsia="Times New Roman" w:cs="Times New Roman"/>
          <w:sz w:val="24"/>
          <w:szCs w:val="24"/>
          <w:lang w:eastAsia="cs-CZ"/>
        </w:rPr>
        <w:t>M</w:t>
      </w:r>
      <w:r>
        <w:rPr>
          <w:rFonts w:eastAsia="Times New Roman" w:cs="Times New Roman"/>
          <w:sz w:val="24"/>
          <w:szCs w:val="24"/>
          <w:lang w:eastAsia="cs-CZ"/>
        </w:rPr>
        <w:t>inisterstva</w:t>
      </w:r>
      <w:r w:rsidRPr="00B83981">
        <w:rPr>
          <w:rFonts w:eastAsia="Times New Roman" w:cs="Times New Roman"/>
          <w:sz w:val="24"/>
          <w:szCs w:val="24"/>
          <w:lang w:eastAsia="cs-CZ"/>
        </w:rPr>
        <w:t xml:space="preserve"> kultúry SR</w:t>
      </w:r>
      <w:r w:rsidRPr="00500379">
        <w:rPr>
          <w:rFonts w:eastAsia="Times New Roman" w:cs="Times New Roman"/>
          <w:sz w:val="24"/>
          <w:szCs w:val="24"/>
          <w:lang w:eastAsia="cs-CZ"/>
        </w:rPr>
        <w:t xml:space="preserve"> z dôvodu zníženia počtu zamestnancov na základe straty účinnosti a platnosti vybraných častí zákona č. 232/2022 Z. z. o financovaní voľného času dieťaťa a o zmene a doplnení niektorých zákonov.</w:t>
      </w:r>
    </w:p>
    <w:p w14:paraId="69D9D10F" w14:textId="77777777" w:rsidR="00E76212" w:rsidRPr="00500379"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sz w:val="24"/>
          <w:szCs w:val="24"/>
          <w:lang w:eastAsia="cs-CZ"/>
        </w:rPr>
      </w:pPr>
      <w:r w:rsidRPr="00500379">
        <w:rPr>
          <w:rFonts w:eastAsia="Times New Roman" w:cs="Times New Roman"/>
          <w:sz w:val="24"/>
          <w:szCs w:val="24"/>
          <w:lang w:eastAsia="cs-CZ"/>
        </w:rPr>
        <w:t xml:space="preserve">Z Rezervy na mzdy a poistné boli jednotlivým kapitolám uvoľnené </w:t>
      </w:r>
      <w:r>
        <w:rPr>
          <w:rFonts w:eastAsia="Times New Roman" w:cs="Times New Roman"/>
          <w:sz w:val="24"/>
          <w:szCs w:val="24"/>
          <w:lang w:eastAsia="cs-CZ"/>
        </w:rPr>
        <w:t>prostriedky v sume 128 397 tis. </w:t>
      </w:r>
      <w:r w:rsidRPr="00500379">
        <w:rPr>
          <w:rFonts w:eastAsia="Times New Roman" w:cs="Times New Roman"/>
          <w:sz w:val="24"/>
          <w:szCs w:val="24"/>
          <w:lang w:eastAsia="cs-CZ"/>
        </w:rPr>
        <w:t>eur, najmä na krytie zvýšených platov ústavných činiteľov, sudcov, prokurátorov a verejných činiteľov, na posilnenie odmeňovania zamestnancov existujúcich analytických útvarov ministerstiev, na zabezpečenie zákonných nárokov a na odchodné a odstupné zamestnancov vyplývajúce zo všeobecne záväzných právnych predpisov.</w:t>
      </w:r>
    </w:p>
    <w:p w14:paraId="643612CD" w14:textId="77777777" w:rsidR="00E76212" w:rsidRPr="00500379"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sz w:val="24"/>
          <w:szCs w:val="24"/>
          <w:lang w:eastAsia="cs-CZ"/>
        </w:rPr>
      </w:pPr>
      <w:r w:rsidRPr="00500379">
        <w:rPr>
          <w:rFonts w:eastAsia="Times New Roman" w:cs="Times New Roman"/>
          <w:sz w:val="24"/>
          <w:szCs w:val="24"/>
          <w:lang w:eastAsia="cs-CZ"/>
        </w:rPr>
        <w:t>Z predmetného výdavkového titulu bol v rámci kapitoly Všeobecná pokladničná správa realizovaný presun pros</w:t>
      </w:r>
      <w:r>
        <w:rPr>
          <w:rFonts w:eastAsia="Times New Roman" w:cs="Times New Roman"/>
          <w:sz w:val="24"/>
          <w:szCs w:val="24"/>
          <w:lang w:eastAsia="cs-CZ"/>
        </w:rPr>
        <w:t>triedkov v celkovej sume 61 527 tis. </w:t>
      </w:r>
      <w:r w:rsidRPr="00500379">
        <w:rPr>
          <w:rFonts w:eastAsia="Times New Roman" w:cs="Times New Roman"/>
          <w:sz w:val="24"/>
          <w:szCs w:val="24"/>
          <w:lang w:eastAsia="cs-CZ"/>
        </w:rPr>
        <w:t xml:space="preserve">eur, z toho na výdavkový titul </w:t>
      </w:r>
      <w:r w:rsidRPr="00500379">
        <w:rPr>
          <w:rFonts w:eastAsia="Times New Roman" w:cs="Times New Roman"/>
          <w:i/>
          <w:sz w:val="24"/>
          <w:szCs w:val="24"/>
          <w:lang w:eastAsia="cs-CZ"/>
        </w:rPr>
        <w:t>Výdavky na realizáciu nerozpočtovaných potrieb</w:t>
      </w:r>
      <w:r>
        <w:rPr>
          <w:rFonts w:eastAsia="Times New Roman" w:cs="Times New Roman"/>
          <w:sz w:val="24"/>
          <w:szCs w:val="24"/>
          <w:lang w:eastAsia="cs-CZ"/>
        </w:rPr>
        <w:t xml:space="preserve"> v sume 30 000 tis. </w:t>
      </w:r>
      <w:r w:rsidRPr="00500379">
        <w:rPr>
          <w:rFonts w:eastAsia="Times New Roman" w:cs="Times New Roman"/>
          <w:sz w:val="24"/>
          <w:szCs w:val="24"/>
          <w:lang w:eastAsia="cs-CZ"/>
        </w:rPr>
        <w:t>eur z dôvodu potreby finančného krytia výdav</w:t>
      </w:r>
      <w:r>
        <w:rPr>
          <w:rFonts w:eastAsia="Times New Roman" w:cs="Times New Roman"/>
          <w:sz w:val="24"/>
          <w:szCs w:val="24"/>
          <w:lang w:eastAsia="cs-CZ"/>
        </w:rPr>
        <w:t>kov vyplývajúcich z požiadaviek</w:t>
      </w:r>
      <w:r w:rsidRPr="00500379">
        <w:rPr>
          <w:rFonts w:eastAsia="Times New Roman" w:cs="Times New Roman"/>
          <w:sz w:val="24"/>
          <w:szCs w:val="24"/>
          <w:lang w:eastAsia="cs-CZ"/>
        </w:rPr>
        <w:t xml:space="preserve"> rezortov kapitol a na </w:t>
      </w:r>
      <w:r w:rsidRPr="00500379">
        <w:rPr>
          <w:rFonts w:eastAsia="Times New Roman" w:cs="Times New Roman"/>
          <w:i/>
          <w:sz w:val="24"/>
          <w:szCs w:val="24"/>
          <w:lang w:eastAsia="cs-CZ"/>
        </w:rPr>
        <w:t>Rezervu na riešenie vplyvov legislatívnych zmien</w:t>
      </w:r>
      <w:r>
        <w:rPr>
          <w:rFonts w:eastAsia="Times New Roman" w:cs="Times New Roman"/>
          <w:sz w:val="24"/>
          <w:szCs w:val="24"/>
          <w:lang w:eastAsia="cs-CZ"/>
        </w:rPr>
        <w:t xml:space="preserve"> v sume 31 527 tis. </w:t>
      </w:r>
      <w:r w:rsidRPr="00500379">
        <w:rPr>
          <w:rFonts w:eastAsia="Times New Roman" w:cs="Times New Roman"/>
          <w:sz w:val="24"/>
          <w:szCs w:val="24"/>
          <w:lang w:eastAsia="cs-CZ"/>
        </w:rPr>
        <w:t>eur z dôvodu dofinancovania výplaty 13. dôchodku podľa novely zákona č. 296/2020 Z. z. o 13. dôchodku a o zmene a doplnení niektorých zákonov.</w:t>
      </w:r>
    </w:p>
    <w:p w14:paraId="097C20F6" w14:textId="77777777" w:rsidR="00E76212" w:rsidRPr="00500379"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sz w:val="24"/>
          <w:szCs w:val="24"/>
          <w:lang w:eastAsia="cs-CZ"/>
        </w:rPr>
      </w:pPr>
      <w:r w:rsidRPr="00500379">
        <w:rPr>
          <w:rFonts w:eastAsia="Times New Roman" w:cs="Times New Roman"/>
          <w:sz w:val="24"/>
          <w:szCs w:val="24"/>
          <w:lang w:eastAsia="cs-CZ"/>
        </w:rPr>
        <w:t>Nevyčerpan</w:t>
      </w:r>
      <w:r>
        <w:rPr>
          <w:rFonts w:eastAsia="Times New Roman" w:cs="Times New Roman"/>
          <w:sz w:val="24"/>
          <w:szCs w:val="24"/>
          <w:lang w:eastAsia="cs-CZ"/>
        </w:rPr>
        <w:t>ý zostatok predstavuje sumu 220 </w:t>
      </w:r>
      <w:r w:rsidRPr="00500379">
        <w:rPr>
          <w:rFonts w:eastAsia="Times New Roman" w:cs="Times New Roman"/>
          <w:sz w:val="24"/>
          <w:szCs w:val="24"/>
          <w:lang w:eastAsia="cs-CZ"/>
        </w:rPr>
        <w:t>t</w:t>
      </w:r>
      <w:r>
        <w:rPr>
          <w:rFonts w:eastAsia="Times New Roman" w:cs="Times New Roman"/>
          <w:sz w:val="24"/>
          <w:szCs w:val="24"/>
          <w:lang w:eastAsia="cs-CZ"/>
        </w:rPr>
        <w:t>is. </w:t>
      </w:r>
      <w:r w:rsidRPr="00500379">
        <w:rPr>
          <w:rFonts w:eastAsia="Times New Roman" w:cs="Times New Roman"/>
          <w:sz w:val="24"/>
          <w:szCs w:val="24"/>
          <w:lang w:eastAsia="cs-CZ"/>
        </w:rPr>
        <w:t>eur.</w:t>
      </w:r>
    </w:p>
    <w:p w14:paraId="7A0932B7" w14:textId="6A35B36F" w:rsidR="00E76212" w:rsidRPr="00500379"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sz w:val="24"/>
          <w:szCs w:val="24"/>
          <w:lang w:eastAsia="cs-CZ"/>
        </w:rPr>
      </w:pPr>
      <w:r w:rsidRPr="00500379">
        <w:rPr>
          <w:rFonts w:eastAsia="Times New Roman" w:cs="Times New Roman"/>
          <w:sz w:val="24"/>
          <w:szCs w:val="24"/>
          <w:lang w:eastAsia="cs-CZ"/>
        </w:rPr>
        <w:t>Podrobné informácie o uvoľnených prostriedkoch sú prezentované v </w:t>
      </w:r>
      <w:r w:rsidRPr="00DD022A">
        <w:rPr>
          <w:rFonts w:eastAsia="Times New Roman" w:cs="Times New Roman"/>
          <w:sz w:val="24"/>
          <w:szCs w:val="24"/>
          <w:lang w:eastAsia="cs-CZ"/>
        </w:rPr>
        <w:t>Tabuľke 5</w:t>
      </w:r>
      <w:r w:rsidR="00DD022A" w:rsidRPr="00DD022A">
        <w:rPr>
          <w:rFonts w:eastAsia="Times New Roman" w:cs="Times New Roman"/>
          <w:sz w:val="24"/>
          <w:szCs w:val="24"/>
          <w:lang w:eastAsia="cs-CZ"/>
        </w:rPr>
        <w:t>8</w:t>
      </w:r>
      <w:r w:rsidRPr="00500379">
        <w:rPr>
          <w:rFonts w:eastAsia="Times New Roman" w:cs="Times New Roman"/>
          <w:sz w:val="24"/>
          <w:szCs w:val="24"/>
          <w:lang w:eastAsia="cs-CZ"/>
        </w:rPr>
        <w:t xml:space="preserve"> a viazaných prostriedkoch v</w:t>
      </w:r>
      <w:r w:rsidR="00DD022A">
        <w:rPr>
          <w:rFonts w:eastAsia="Times New Roman" w:cs="Times New Roman"/>
          <w:sz w:val="24"/>
          <w:szCs w:val="24"/>
          <w:lang w:eastAsia="cs-CZ"/>
        </w:rPr>
        <w:t> </w:t>
      </w:r>
      <w:r w:rsidRPr="00DD022A">
        <w:rPr>
          <w:rFonts w:eastAsia="Times New Roman" w:cs="Times New Roman"/>
          <w:sz w:val="24"/>
          <w:szCs w:val="24"/>
          <w:lang w:eastAsia="cs-CZ"/>
        </w:rPr>
        <w:t>Tabuľke</w:t>
      </w:r>
      <w:r w:rsidR="00DD022A">
        <w:rPr>
          <w:rFonts w:eastAsia="Times New Roman" w:cs="Times New Roman"/>
          <w:sz w:val="24"/>
          <w:szCs w:val="24"/>
          <w:lang w:eastAsia="cs-CZ"/>
        </w:rPr>
        <w:t xml:space="preserve"> 59</w:t>
      </w:r>
      <w:r w:rsidRPr="00500379">
        <w:rPr>
          <w:rFonts w:eastAsia="Times New Roman" w:cs="Times New Roman"/>
          <w:sz w:val="24"/>
          <w:szCs w:val="24"/>
          <w:lang w:eastAsia="cs-CZ"/>
        </w:rPr>
        <w:t xml:space="preserve">. </w:t>
      </w:r>
    </w:p>
    <w:p w14:paraId="4DEB7CE8" w14:textId="2D9396A0" w:rsidR="00E76212" w:rsidRPr="008C63ED" w:rsidRDefault="00E76212" w:rsidP="008172CD">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b/>
          <w:bCs/>
          <w:sz w:val="20"/>
          <w:szCs w:val="20"/>
          <w:lang w:eastAsia="sk-SK"/>
        </w:rPr>
      </w:pPr>
      <w:r w:rsidRPr="00500379">
        <w:rPr>
          <w:b/>
          <w:bCs/>
          <w:color w:val="5B9BD5"/>
          <w:sz w:val="20"/>
          <w:szCs w:val="20"/>
        </w:rPr>
        <w:t xml:space="preserve">Tabuľka </w:t>
      </w:r>
      <w:r>
        <w:rPr>
          <w:b/>
          <w:bCs/>
          <w:color w:val="5B9BD5"/>
          <w:sz w:val="20"/>
          <w:szCs w:val="20"/>
        </w:rPr>
        <w:t>5</w:t>
      </w:r>
      <w:r w:rsidR="00DD022A">
        <w:rPr>
          <w:b/>
          <w:bCs/>
          <w:color w:val="5B9BD5"/>
          <w:sz w:val="20"/>
          <w:szCs w:val="20"/>
        </w:rPr>
        <w:t>8</w:t>
      </w:r>
      <w:r w:rsidRPr="00500379">
        <w:rPr>
          <w:b/>
          <w:bCs/>
          <w:color w:val="5B9BD5"/>
          <w:sz w:val="20"/>
          <w:szCs w:val="20"/>
        </w:rPr>
        <w:t xml:space="preserve"> - Rezerva na mzdy a poistné - uvoľnené kapitolám</w:t>
      </w:r>
    </w:p>
    <w:tbl>
      <w:tblPr>
        <w:tblW w:w="9072" w:type="dxa"/>
        <w:tblCellMar>
          <w:left w:w="70" w:type="dxa"/>
          <w:right w:w="70" w:type="dxa"/>
        </w:tblCellMar>
        <w:tblLook w:val="04A0" w:firstRow="1" w:lastRow="0" w:firstColumn="1" w:lastColumn="0" w:noHBand="0" w:noVBand="1"/>
      </w:tblPr>
      <w:tblGrid>
        <w:gridCol w:w="1305"/>
        <w:gridCol w:w="6295"/>
        <w:gridCol w:w="1472"/>
      </w:tblGrid>
      <w:tr w:rsidR="00E76212" w:rsidRPr="008C63ED" w14:paraId="37D5A5D7" w14:textId="77777777" w:rsidTr="00D2560E">
        <w:trPr>
          <w:trHeight w:val="330"/>
        </w:trPr>
        <w:tc>
          <w:tcPr>
            <w:tcW w:w="1020" w:type="dxa"/>
            <w:tcBorders>
              <w:top w:val="single" w:sz="4" w:space="0" w:color="auto"/>
              <w:left w:val="nil"/>
              <w:bottom w:val="single" w:sz="4" w:space="0" w:color="auto"/>
              <w:right w:val="nil"/>
            </w:tcBorders>
            <w:shd w:val="clear" w:color="auto" w:fill="auto"/>
            <w:vAlign w:val="center"/>
            <w:hideMark/>
          </w:tcPr>
          <w:p w14:paraId="5E23B5CF" w14:textId="77777777" w:rsidR="00E76212" w:rsidRPr="008C63ED" w:rsidRDefault="00E76212" w:rsidP="00D2560E">
            <w:pPr>
              <w:spacing w:after="0" w:line="240" w:lineRule="auto"/>
              <w:rPr>
                <w:rFonts w:eastAsia="Times New Roman" w:cs="Times New Roman"/>
                <w:b/>
                <w:bCs/>
                <w:sz w:val="16"/>
                <w:szCs w:val="16"/>
                <w:lang w:eastAsia="sk-SK"/>
              </w:rPr>
            </w:pPr>
            <w:r w:rsidRPr="008C63ED">
              <w:rPr>
                <w:rFonts w:eastAsia="Times New Roman" w:cs="Times New Roman"/>
                <w:b/>
                <w:bCs/>
                <w:sz w:val="16"/>
                <w:szCs w:val="16"/>
                <w:lang w:eastAsia="sk-SK"/>
              </w:rPr>
              <w:t xml:space="preserve">Kapitola </w:t>
            </w:r>
          </w:p>
        </w:tc>
        <w:tc>
          <w:tcPr>
            <w:tcW w:w="6351" w:type="dxa"/>
            <w:tcBorders>
              <w:top w:val="single" w:sz="4" w:space="0" w:color="auto"/>
              <w:left w:val="nil"/>
              <w:bottom w:val="single" w:sz="4" w:space="0" w:color="auto"/>
              <w:right w:val="nil"/>
            </w:tcBorders>
            <w:shd w:val="clear" w:color="auto" w:fill="auto"/>
            <w:vAlign w:val="center"/>
            <w:hideMark/>
          </w:tcPr>
          <w:p w14:paraId="1B02A4C3" w14:textId="77777777" w:rsidR="00E76212" w:rsidRPr="008C63ED" w:rsidRDefault="00E76212" w:rsidP="00D2560E">
            <w:pPr>
              <w:spacing w:after="0" w:line="240" w:lineRule="auto"/>
              <w:jc w:val="center"/>
              <w:rPr>
                <w:rFonts w:eastAsia="Times New Roman" w:cs="Times New Roman"/>
                <w:b/>
                <w:bCs/>
                <w:sz w:val="16"/>
                <w:szCs w:val="16"/>
                <w:lang w:eastAsia="sk-SK"/>
              </w:rPr>
            </w:pPr>
            <w:r w:rsidRPr="008C63ED">
              <w:rPr>
                <w:rFonts w:eastAsia="Times New Roman" w:cs="Times New Roman"/>
                <w:b/>
                <w:bCs/>
                <w:sz w:val="16"/>
                <w:szCs w:val="16"/>
                <w:lang w:eastAsia="sk-SK"/>
              </w:rPr>
              <w:t>Účel</w:t>
            </w:r>
          </w:p>
        </w:tc>
        <w:tc>
          <w:tcPr>
            <w:tcW w:w="1701" w:type="dxa"/>
            <w:tcBorders>
              <w:top w:val="single" w:sz="4" w:space="0" w:color="auto"/>
              <w:left w:val="nil"/>
              <w:bottom w:val="single" w:sz="4" w:space="0" w:color="auto"/>
              <w:right w:val="nil"/>
            </w:tcBorders>
            <w:shd w:val="clear" w:color="auto" w:fill="auto"/>
            <w:vAlign w:val="center"/>
            <w:hideMark/>
          </w:tcPr>
          <w:p w14:paraId="4F778928"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Suma v tis. eur</w:t>
            </w:r>
          </w:p>
        </w:tc>
      </w:tr>
      <w:tr w:rsidR="00E76212" w:rsidRPr="008C63ED" w14:paraId="586A12F4" w14:textId="77777777" w:rsidTr="00D2560E">
        <w:trPr>
          <w:trHeight w:val="480"/>
        </w:trPr>
        <w:tc>
          <w:tcPr>
            <w:tcW w:w="1020" w:type="dxa"/>
            <w:vMerge w:val="restart"/>
            <w:tcBorders>
              <w:top w:val="nil"/>
              <w:left w:val="nil"/>
              <w:bottom w:val="nil"/>
              <w:right w:val="nil"/>
            </w:tcBorders>
            <w:shd w:val="clear" w:color="auto" w:fill="auto"/>
            <w:vAlign w:val="center"/>
            <w:hideMark/>
          </w:tcPr>
          <w:p w14:paraId="1A47E89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vnútra</w:t>
            </w:r>
            <w:r w:rsidRPr="008C63ED">
              <w:rPr>
                <w:rFonts w:eastAsia="Times New Roman" w:cs="Times New Roman"/>
                <w:sz w:val="16"/>
                <w:szCs w:val="16"/>
                <w:lang w:eastAsia="sk-SK"/>
              </w:rPr>
              <w:t xml:space="preserve"> SR</w:t>
            </w:r>
          </w:p>
        </w:tc>
        <w:tc>
          <w:tcPr>
            <w:tcW w:w="6351" w:type="dxa"/>
            <w:tcBorders>
              <w:top w:val="nil"/>
              <w:left w:val="nil"/>
              <w:bottom w:val="nil"/>
              <w:right w:val="nil"/>
            </w:tcBorders>
            <w:shd w:val="clear" w:color="auto" w:fill="auto"/>
            <w:vAlign w:val="bottom"/>
            <w:hideMark/>
          </w:tcPr>
          <w:p w14:paraId="53B1FD1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plnenie úloh Policajného zboru, na osobné výdavky a personálne posilnenie (622 osôb)</w:t>
            </w:r>
          </w:p>
        </w:tc>
        <w:tc>
          <w:tcPr>
            <w:tcW w:w="1701" w:type="dxa"/>
            <w:tcBorders>
              <w:top w:val="nil"/>
              <w:left w:val="nil"/>
              <w:bottom w:val="nil"/>
              <w:right w:val="nil"/>
            </w:tcBorders>
            <w:shd w:val="clear" w:color="auto" w:fill="auto"/>
            <w:vAlign w:val="center"/>
            <w:hideMark/>
          </w:tcPr>
          <w:p w14:paraId="6E47ED5E"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19 929</w:t>
            </w:r>
          </w:p>
        </w:tc>
      </w:tr>
      <w:tr w:rsidR="00E76212" w:rsidRPr="008C63ED" w14:paraId="40391424" w14:textId="77777777" w:rsidTr="00D2560E">
        <w:trPr>
          <w:trHeight w:val="480"/>
        </w:trPr>
        <w:tc>
          <w:tcPr>
            <w:tcW w:w="1020" w:type="dxa"/>
            <w:vMerge/>
            <w:tcBorders>
              <w:top w:val="nil"/>
              <w:left w:val="nil"/>
              <w:bottom w:val="nil"/>
              <w:right w:val="nil"/>
            </w:tcBorders>
            <w:vAlign w:val="center"/>
            <w:hideMark/>
          </w:tcPr>
          <w:p w14:paraId="7865F261"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7A1067F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financovanie nevyhnutných výdavkov činnosti M</w:t>
            </w:r>
            <w:r>
              <w:rPr>
                <w:rFonts w:eastAsia="Times New Roman" w:cs="Times New Roman"/>
                <w:sz w:val="16"/>
                <w:szCs w:val="16"/>
                <w:lang w:eastAsia="sk-SK"/>
              </w:rPr>
              <w:t>inisterstva vnútra</w:t>
            </w:r>
            <w:r w:rsidRPr="008C63ED">
              <w:rPr>
                <w:rFonts w:eastAsia="Times New Roman" w:cs="Times New Roman"/>
                <w:sz w:val="16"/>
                <w:szCs w:val="16"/>
                <w:lang w:eastAsia="sk-SK"/>
              </w:rPr>
              <w:t xml:space="preserve"> SR</w:t>
            </w:r>
          </w:p>
        </w:tc>
        <w:tc>
          <w:tcPr>
            <w:tcW w:w="1701" w:type="dxa"/>
            <w:tcBorders>
              <w:top w:val="nil"/>
              <w:left w:val="nil"/>
              <w:bottom w:val="nil"/>
              <w:right w:val="nil"/>
            </w:tcBorders>
            <w:shd w:val="clear" w:color="auto" w:fill="auto"/>
            <w:vAlign w:val="center"/>
            <w:hideMark/>
          </w:tcPr>
          <w:p w14:paraId="6271BBA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5 500</w:t>
            </w:r>
          </w:p>
        </w:tc>
      </w:tr>
      <w:tr w:rsidR="00E76212" w:rsidRPr="008C63ED" w14:paraId="02F5A3D6" w14:textId="77777777" w:rsidTr="00D2560E">
        <w:trPr>
          <w:trHeight w:val="474"/>
        </w:trPr>
        <w:tc>
          <w:tcPr>
            <w:tcW w:w="1020" w:type="dxa"/>
            <w:vMerge/>
            <w:tcBorders>
              <w:top w:val="nil"/>
              <w:left w:val="nil"/>
              <w:bottom w:val="nil"/>
              <w:right w:val="nil"/>
            </w:tcBorders>
            <w:vAlign w:val="center"/>
            <w:hideMark/>
          </w:tcPr>
          <w:p w14:paraId="68C6896F"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239357C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dofinancovanie osobných výdavkov AKOS</w:t>
            </w:r>
          </w:p>
        </w:tc>
        <w:tc>
          <w:tcPr>
            <w:tcW w:w="1701" w:type="dxa"/>
            <w:tcBorders>
              <w:top w:val="nil"/>
              <w:left w:val="nil"/>
              <w:bottom w:val="nil"/>
              <w:right w:val="nil"/>
            </w:tcBorders>
            <w:shd w:val="clear" w:color="auto" w:fill="auto"/>
            <w:vAlign w:val="center"/>
            <w:hideMark/>
          </w:tcPr>
          <w:p w14:paraId="669BD2D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3 797</w:t>
            </w:r>
          </w:p>
        </w:tc>
      </w:tr>
      <w:tr w:rsidR="00E76212" w:rsidRPr="008C63ED" w14:paraId="52E5AC4A" w14:textId="77777777" w:rsidTr="00D2560E">
        <w:trPr>
          <w:trHeight w:val="743"/>
        </w:trPr>
        <w:tc>
          <w:tcPr>
            <w:tcW w:w="1020" w:type="dxa"/>
            <w:vMerge/>
            <w:tcBorders>
              <w:top w:val="nil"/>
              <w:left w:val="nil"/>
              <w:bottom w:val="nil"/>
              <w:right w:val="nil"/>
            </w:tcBorders>
            <w:vAlign w:val="center"/>
            <w:hideMark/>
          </w:tcPr>
          <w:p w14:paraId="249AEEA8"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66C2796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výdavky spojené so zabezpečením dočasných kontrol na vnútornej hranici Slovenskej republiky s Maďarskom podľa UZN č. 616/2023, UZN č. 567/202</w:t>
            </w:r>
            <w:r>
              <w:rPr>
                <w:rFonts w:eastAsia="Times New Roman" w:cs="Times New Roman"/>
                <w:sz w:val="16"/>
                <w:szCs w:val="16"/>
                <w:lang w:eastAsia="sk-SK"/>
              </w:rPr>
              <w:t>3,</w:t>
            </w:r>
            <w:r w:rsidRPr="008C63ED">
              <w:rPr>
                <w:rFonts w:eastAsia="Times New Roman" w:cs="Times New Roman"/>
                <w:sz w:val="16"/>
                <w:szCs w:val="16"/>
                <w:lang w:eastAsia="sk-SK"/>
              </w:rPr>
              <w:t xml:space="preserve"> UZN č. 508/2023 a UZN č. 505/2023</w:t>
            </w:r>
          </w:p>
        </w:tc>
        <w:tc>
          <w:tcPr>
            <w:tcW w:w="1701" w:type="dxa"/>
            <w:tcBorders>
              <w:top w:val="nil"/>
              <w:left w:val="nil"/>
              <w:bottom w:val="nil"/>
              <w:right w:val="nil"/>
            </w:tcBorders>
            <w:shd w:val="clear" w:color="auto" w:fill="auto"/>
            <w:vAlign w:val="center"/>
            <w:hideMark/>
          </w:tcPr>
          <w:p w14:paraId="4DB925A3"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8 237</w:t>
            </w:r>
          </w:p>
        </w:tc>
      </w:tr>
      <w:tr w:rsidR="00E76212" w:rsidRPr="008C63ED" w14:paraId="03091F46" w14:textId="77777777" w:rsidTr="00D2560E">
        <w:trPr>
          <w:trHeight w:val="525"/>
        </w:trPr>
        <w:tc>
          <w:tcPr>
            <w:tcW w:w="1020" w:type="dxa"/>
            <w:vMerge/>
            <w:tcBorders>
              <w:top w:val="nil"/>
              <w:left w:val="nil"/>
              <w:bottom w:val="nil"/>
              <w:right w:val="nil"/>
            </w:tcBorders>
            <w:vAlign w:val="center"/>
            <w:hideMark/>
          </w:tcPr>
          <w:p w14:paraId="500F7710"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7C57750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plnenie úloh Úradu pre ochranu ústavných činiteľov a diplomatických misií M</w:t>
            </w:r>
            <w:r>
              <w:rPr>
                <w:rFonts w:eastAsia="Times New Roman" w:cs="Times New Roman"/>
                <w:sz w:val="16"/>
                <w:szCs w:val="16"/>
                <w:lang w:eastAsia="sk-SK"/>
              </w:rPr>
              <w:t>inisterstva vnútra</w:t>
            </w:r>
            <w:r w:rsidRPr="008C63ED">
              <w:rPr>
                <w:rFonts w:eastAsia="Times New Roman" w:cs="Times New Roman"/>
                <w:sz w:val="16"/>
                <w:szCs w:val="16"/>
                <w:lang w:eastAsia="sk-SK"/>
              </w:rPr>
              <w:t xml:space="preserve"> SR - osobné výdavky a personálne posilnenie (30 osôb)</w:t>
            </w:r>
          </w:p>
        </w:tc>
        <w:tc>
          <w:tcPr>
            <w:tcW w:w="1701" w:type="dxa"/>
            <w:tcBorders>
              <w:top w:val="nil"/>
              <w:left w:val="nil"/>
              <w:bottom w:val="nil"/>
              <w:right w:val="nil"/>
            </w:tcBorders>
            <w:shd w:val="clear" w:color="auto" w:fill="auto"/>
            <w:vAlign w:val="center"/>
            <w:hideMark/>
          </w:tcPr>
          <w:p w14:paraId="4231940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1 455</w:t>
            </w:r>
          </w:p>
        </w:tc>
      </w:tr>
      <w:tr w:rsidR="00E76212" w:rsidRPr="008C63ED" w14:paraId="2BC7B6A3" w14:textId="77777777" w:rsidTr="00D2560E">
        <w:trPr>
          <w:trHeight w:val="510"/>
        </w:trPr>
        <w:tc>
          <w:tcPr>
            <w:tcW w:w="1020" w:type="dxa"/>
            <w:vMerge/>
            <w:tcBorders>
              <w:top w:val="nil"/>
              <w:left w:val="nil"/>
              <w:bottom w:val="nil"/>
              <w:right w:val="nil"/>
            </w:tcBorders>
            <w:vAlign w:val="center"/>
            <w:hideMark/>
          </w:tcPr>
          <w:p w14:paraId="10017987"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239FF34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plnenie úloh Úradu pre ochranu ústavných činiteľov a diplomatických misií M</w:t>
            </w:r>
            <w:r>
              <w:rPr>
                <w:rFonts w:eastAsia="Times New Roman" w:cs="Times New Roman"/>
                <w:sz w:val="16"/>
                <w:szCs w:val="16"/>
                <w:lang w:eastAsia="sk-SK"/>
              </w:rPr>
              <w:t>inisterstva vnútra</w:t>
            </w:r>
            <w:r w:rsidRPr="008C63ED">
              <w:rPr>
                <w:rFonts w:eastAsia="Times New Roman" w:cs="Times New Roman"/>
                <w:sz w:val="16"/>
                <w:szCs w:val="16"/>
                <w:lang w:eastAsia="sk-SK"/>
              </w:rPr>
              <w:t xml:space="preserve"> SR - osobné výdavky príslušníkom Policajného zboru</w:t>
            </w:r>
          </w:p>
        </w:tc>
        <w:tc>
          <w:tcPr>
            <w:tcW w:w="1701" w:type="dxa"/>
            <w:tcBorders>
              <w:top w:val="nil"/>
              <w:left w:val="nil"/>
              <w:bottom w:val="nil"/>
              <w:right w:val="nil"/>
            </w:tcBorders>
            <w:shd w:val="clear" w:color="auto" w:fill="auto"/>
            <w:vAlign w:val="center"/>
            <w:hideMark/>
          </w:tcPr>
          <w:p w14:paraId="4A43F2D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912</w:t>
            </w:r>
          </w:p>
        </w:tc>
      </w:tr>
      <w:tr w:rsidR="00E76212" w:rsidRPr="008C63ED" w14:paraId="090D2CF3" w14:textId="77777777" w:rsidTr="00D2560E">
        <w:trPr>
          <w:trHeight w:val="586"/>
        </w:trPr>
        <w:tc>
          <w:tcPr>
            <w:tcW w:w="1020" w:type="dxa"/>
            <w:vMerge/>
            <w:tcBorders>
              <w:top w:val="nil"/>
              <w:left w:val="nil"/>
              <w:bottom w:val="nil"/>
              <w:right w:val="nil"/>
            </w:tcBorders>
            <w:vAlign w:val="center"/>
            <w:hideMark/>
          </w:tcPr>
          <w:p w14:paraId="27B65C37"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19FC6B0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odchodné pre príslušníkov Policajného zboru, Hasičského </w:t>
            </w:r>
            <w:r w:rsidRPr="008C63ED">
              <w:rPr>
                <w:rFonts w:eastAsia="Times New Roman" w:cs="Times New Roman"/>
                <w:sz w:val="16"/>
                <w:szCs w:val="16"/>
                <w:lang w:eastAsia="sk-SK"/>
              </w:rPr>
              <w:br/>
              <w:t xml:space="preserve">a záchranného zboru a Horskej záchrannej služby </w:t>
            </w:r>
          </w:p>
        </w:tc>
        <w:tc>
          <w:tcPr>
            <w:tcW w:w="1701" w:type="dxa"/>
            <w:tcBorders>
              <w:top w:val="nil"/>
              <w:left w:val="nil"/>
              <w:bottom w:val="nil"/>
              <w:right w:val="nil"/>
            </w:tcBorders>
            <w:shd w:val="clear" w:color="auto" w:fill="auto"/>
            <w:vAlign w:val="center"/>
            <w:hideMark/>
          </w:tcPr>
          <w:p w14:paraId="03A26BC6"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843</w:t>
            </w:r>
          </w:p>
        </w:tc>
      </w:tr>
      <w:tr w:rsidR="00E76212" w:rsidRPr="008C63ED" w14:paraId="10DC14B5" w14:textId="77777777" w:rsidTr="00D2560E">
        <w:trPr>
          <w:trHeight w:val="810"/>
        </w:trPr>
        <w:tc>
          <w:tcPr>
            <w:tcW w:w="1020" w:type="dxa"/>
            <w:vMerge/>
            <w:tcBorders>
              <w:top w:val="nil"/>
              <w:left w:val="nil"/>
              <w:bottom w:val="nil"/>
              <w:right w:val="nil"/>
            </w:tcBorders>
            <w:vAlign w:val="center"/>
            <w:hideMark/>
          </w:tcPr>
          <w:p w14:paraId="59822B96"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71CEF401" w14:textId="77777777" w:rsidR="00E76212" w:rsidRPr="008C63ED" w:rsidRDefault="00E76212" w:rsidP="00D2560E">
            <w:pPr>
              <w:spacing w:after="0" w:line="240" w:lineRule="auto"/>
              <w:rPr>
                <w:rFonts w:eastAsia="Times New Roman" w:cs="Times New Roman"/>
                <w:sz w:val="16"/>
                <w:szCs w:val="16"/>
                <w:lang w:eastAsia="sk-SK"/>
              </w:rPr>
            </w:pPr>
            <w:r>
              <w:rPr>
                <w:rFonts w:eastAsia="Times New Roman" w:cs="Times New Roman"/>
                <w:sz w:val="16"/>
                <w:szCs w:val="16"/>
                <w:lang w:eastAsia="sk-SK"/>
              </w:rPr>
              <w:t>Na osobné výdavky a</w:t>
            </w:r>
            <w:r w:rsidRPr="008C63ED">
              <w:rPr>
                <w:rFonts w:eastAsia="Times New Roman" w:cs="Times New Roman"/>
                <w:sz w:val="16"/>
                <w:szCs w:val="16"/>
                <w:lang w:eastAsia="sk-SK"/>
              </w:rPr>
              <w:t xml:space="preserve"> personálne posilnenie aparátu ústredného orgánu v nadväznosti na novelu zákona č. 95/2019 Z. z. o informačných technológiách vo verejnej správe (ITVS) a o zmene a doplnení niektorých zákonov (15 osôb)</w:t>
            </w:r>
          </w:p>
        </w:tc>
        <w:tc>
          <w:tcPr>
            <w:tcW w:w="1701" w:type="dxa"/>
            <w:tcBorders>
              <w:top w:val="nil"/>
              <w:left w:val="nil"/>
              <w:bottom w:val="nil"/>
              <w:right w:val="nil"/>
            </w:tcBorders>
            <w:shd w:val="clear" w:color="auto" w:fill="auto"/>
            <w:vAlign w:val="center"/>
            <w:hideMark/>
          </w:tcPr>
          <w:p w14:paraId="2B73B463"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277</w:t>
            </w:r>
          </w:p>
        </w:tc>
      </w:tr>
      <w:tr w:rsidR="00E76212" w:rsidRPr="008C63ED" w14:paraId="7042744E" w14:textId="77777777" w:rsidTr="00D2560E">
        <w:trPr>
          <w:trHeight w:val="660"/>
        </w:trPr>
        <w:tc>
          <w:tcPr>
            <w:tcW w:w="1020" w:type="dxa"/>
            <w:vMerge/>
            <w:tcBorders>
              <w:top w:val="nil"/>
              <w:left w:val="nil"/>
              <w:bottom w:val="nil"/>
              <w:right w:val="nil"/>
            </w:tcBorders>
            <w:vAlign w:val="center"/>
            <w:hideMark/>
          </w:tcPr>
          <w:p w14:paraId="661315F4"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053E264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zabezpečenie personálneho posilnenia Úradu hraničnej a cudzineckej polície podľa UZN č. 131/2023 (6 osôb)</w:t>
            </w:r>
          </w:p>
        </w:tc>
        <w:tc>
          <w:tcPr>
            <w:tcW w:w="1701" w:type="dxa"/>
            <w:tcBorders>
              <w:top w:val="nil"/>
              <w:left w:val="nil"/>
              <w:bottom w:val="nil"/>
              <w:right w:val="nil"/>
            </w:tcBorders>
            <w:shd w:val="clear" w:color="auto" w:fill="auto"/>
            <w:vAlign w:val="center"/>
            <w:hideMark/>
          </w:tcPr>
          <w:p w14:paraId="3C50510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231</w:t>
            </w:r>
          </w:p>
        </w:tc>
      </w:tr>
      <w:tr w:rsidR="00E76212" w:rsidRPr="008C63ED" w14:paraId="5C96865F" w14:textId="77777777" w:rsidTr="00D2560E">
        <w:trPr>
          <w:trHeight w:val="516"/>
        </w:trPr>
        <w:tc>
          <w:tcPr>
            <w:tcW w:w="1020" w:type="dxa"/>
            <w:vMerge/>
            <w:tcBorders>
              <w:top w:val="nil"/>
              <w:left w:val="nil"/>
              <w:bottom w:val="nil"/>
              <w:right w:val="nil"/>
            </w:tcBorders>
            <w:vAlign w:val="center"/>
            <w:hideMark/>
          </w:tcPr>
          <w:p w14:paraId="4074B598"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5867595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osobné výdavky a personálne posilnenie (5 osôb) príslušných okresných úradov </w:t>
            </w:r>
            <w:r w:rsidRPr="008C63ED">
              <w:rPr>
                <w:rFonts w:eastAsia="Times New Roman" w:cs="Times New Roman"/>
                <w:sz w:val="16"/>
                <w:szCs w:val="16"/>
                <w:lang w:eastAsia="sk-SK"/>
              </w:rPr>
              <w:br/>
              <w:t>v súvislosti s investičným projektom „Strategické územie Valaliky“</w:t>
            </w:r>
          </w:p>
        </w:tc>
        <w:tc>
          <w:tcPr>
            <w:tcW w:w="1701" w:type="dxa"/>
            <w:tcBorders>
              <w:top w:val="nil"/>
              <w:left w:val="nil"/>
              <w:bottom w:val="nil"/>
              <w:right w:val="nil"/>
            </w:tcBorders>
            <w:shd w:val="clear" w:color="auto" w:fill="auto"/>
            <w:vAlign w:val="center"/>
            <w:hideMark/>
          </w:tcPr>
          <w:p w14:paraId="0FDC3A20" w14:textId="77777777" w:rsidR="00E76212" w:rsidRPr="008C63ED" w:rsidRDefault="00E76212" w:rsidP="00D2560E">
            <w:pPr>
              <w:spacing w:after="0" w:line="240" w:lineRule="auto"/>
              <w:jc w:val="right"/>
              <w:rPr>
                <w:rFonts w:eastAsia="Times New Roman" w:cs="Times New Roman"/>
                <w:sz w:val="16"/>
                <w:szCs w:val="16"/>
                <w:lang w:eastAsia="sk-SK"/>
              </w:rPr>
            </w:pPr>
          </w:p>
          <w:p w14:paraId="0EAEA256"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55</w:t>
            </w:r>
          </w:p>
        </w:tc>
      </w:tr>
      <w:tr w:rsidR="00E76212" w:rsidRPr="008C63ED" w14:paraId="141E76EE" w14:textId="77777777" w:rsidTr="00D2560E">
        <w:trPr>
          <w:trHeight w:val="146"/>
        </w:trPr>
        <w:tc>
          <w:tcPr>
            <w:tcW w:w="1020" w:type="dxa"/>
            <w:vMerge/>
            <w:tcBorders>
              <w:top w:val="nil"/>
              <w:left w:val="nil"/>
              <w:bottom w:val="nil"/>
              <w:right w:val="nil"/>
            </w:tcBorders>
            <w:vAlign w:val="center"/>
            <w:hideMark/>
          </w:tcPr>
          <w:p w14:paraId="15ADCF25"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47F06FB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zvýšenie počtu zamestnancov analytických jednotiek M</w:t>
            </w:r>
            <w:r>
              <w:rPr>
                <w:rFonts w:eastAsia="Times New Roman" w:cs="Times New Roman"/>
                <w:sz w:val="16"/>
                <w:szCs w:val="16"/>
                <w:lang w:eastAsia="sk-SK"/>
              </w:rPr>
              <w:t>inisterstva vnútra</w:t>
            </w:r>
            <w:r w:rsidRPr="008C63ED">
              <w:rPr>
                <w:rFonts w:eastAsia="Times New Roman" w:cs="Times New Roman"/>
                <w:sz w:val="16"/>
                <w:szCs w:val="16"/>
                <w:lang w:eastAsia="sk-SK"/>
              </w:rPr>
              <w:t xml:space="preserve"> SR (1 osoba)</w:t>
            </w:r>
          </w:p>
        </w:tc>
        <w:tc>
          <w:tcPr>
            <w:tcW w:w="1701" w:type="dxa"/>
            <w:tcBorders>
              <w:top w:val="nil"/>
              <w:left w:val="nil"/>
              <w:bottom w:val="nil"/>
              <w:right w:val="nil"/>
            </w:tcBorders>
            <w:shd w:val="clear" w:color="auto" w:fill="auto"/>
            <w:vAlign w:val="center"/>
            <w:hideMark/>
          </w:tcPr>
          <w:p w14:paraId="6DFBB9CA" w14:textId="77777777" w:rsidR="00E76212" w:rsidRPr="008C63ED" w:rsidRDefault="00E76212" w:rsidP="00D2560E">
            <w:pPr>
              <w:spacing w:after="0" w:line="240" w:lineRule="auto"/>
              <w:jc w:val="right"/>
              <w:rPr>
                <w:rFonts w:eastAsia="Times New Roman" w:cs="Times New Roman"/>
                <w:sz w:val="16"/>
                <w:szCs w:val="16"/>
                <w:lang w:eastAsia="sk-SK"/>
              </w:rPr>
            </w:pPr>
          </w:p>
          <w:p w14:paraId="6D137E8E" w14:textId="77777777" w:rsidR="00E76212" w:rsidRPr="008C63ED" w:rsidRDefault="00E76212" w:rsidP="00D2560E">
            <w:pPr>
              <w:spacing w:after="0" w:line="240" w:lineRule="auto"/>
              <w:jc w:val="right"/>
              <w:rPr>
                <w:rFonts w:eastAsia="Times New Roman" w:cs="Times New Roman"/>
                <w:sz w:val="16"/>
                <w:szCs w:val="16"/>
                <w:lang w:eastAsia="sk-SK"/>
              </w:rPr>
            </w:pPr>
          </w:p>
          <w:p w14:paraId="1FEAF75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22</w:t>
            </w:r>
          </w:p>
        </w:tc>
      </w:tr>
      <w:tr w:rsidR="00E76212" w:rsidRPr="008C63ED" w14:paraId="0ED6C432"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6FC54B25"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7EE0BD9A"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41 257</w:t>
            </w:r>
          </w:p>
        </w:tc>
      </w:tr>
      <w:tr w:rsidR="00E76212" w:rsidRPr="008C63ED" w14:paraId="5DDA699C" w14:textId="77777777" w:rsidTr="00D2560E">
        <w:trPr>
          <w:trHeight w:val="825"/>
        </w:trPr>
        <w:tc>
          <w:tcPr>
            <w:tcW w:w="1020" w:type="dxa"/>
            <w:vMerge w:val="restart"/>
            <w:tcBorders>
              <w:top w:val="nil"/>
              <w:left w:val="nil"/>
              <w:bottom w:val="nil"/>
              <w:right w:val="nil"/>
            </w:tcBorders>
            <w:shd w:val="clear" w:color="auto" w:fill="auto"/>
            <w:vAlign w:val="center"/>
            <w:hideMark/>
          </w:tcPr>
          <w:p w14:paraId="60316065" w14:textId="77777777" w:rsidR="00E76212" w:rsidRPr="008C63ED" w:rsidRDefault="00E76212" w:rsidP="00D2560E">
            <w:pPr>
              <w:spacing w:after="0" w:line="240" w:lineRule="auto"/>
              <w:rPr>
                <w:rFonts w:eastAsia="Times New Roman" w:cs="Times New Roman"/>
                <w:sz w:val="16"/>
                <w:szCs w:val="16"/>
                <w:lang w:eastAsia="sk-SK"/>
              </w:rPr>
            </w:pPr>
            <w:r>
              <w:rPr>
                <w:rFonts w:eastAsia="Times New Roman" w:cs="Times New Roman"/>
                <w:sz w:val="16"/>
                <w:szCs w:val="16"/>
                <w:lang w:eastAsia="sk-SK"/>
              </w:rPr>
              <w:t>Ministerstvo práce, sociálnych vecí a rodiny SR</w:t>
            </w:r>
          </w:p>
        </w:tc>
        <w:tc>
          <w:tcPr>
            <w:tcW w:w="6351" w:type="dxa"/>
            <w:tcBorders>
              <w:top w:val="nil"/>
              <w:left w:val="nil"/>
              <w:bottom w:val="nil"/>
              <w:right w:val="nil"/>
            </w:tcBorders>
            <w:shd w:val="clear" w:color="auto" w:fill="auto"/>
            <w:vAlign w:val="bottom"/>
            <w:hideMark/>
          </w:tcPr>
          <w:p w14:paraId="614BDF4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zvýšenie osobného príplatku pre všetkých zamestnancov ÚPSVR a na zvýšenie osobného príplatku pre zamestnancov Oddelenia sociálnoprávnej ochrany detí a sociálnej kurately a Oddelenia sociálnej posudkovej činnosti</w:t>
            </w:r>
          </w:p>
        </w:tc>
        <w:tc>
          <w:tcPr>
            <w:tcW w:w="1701" w:type="dxa"/>
            <w:tcBorders>
              <w:top w:val="nil"/>
              <w:left w:val="nil"/>
              <w:bottom w:val="nil"/>
              <w:right w:val="nil"/>
            </w:tcBorders>
            <w:shd w:val="clear" w:color="auto" w:fill="auto"/>
            <w:vAlign w:val="center"/>
            <w:hideMark/>
          </w:tcPr>
          <w:p w14:paraId="36C27A4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6 295</w:t>
            </w:r>
          </w:p>
        </w:tc>
      </w:tr>
      <w:tr w:rsidR="00E76212" w:rsidRPr="008C63ED" w14:paraId="0C11D73F" w14:textId="77777777" w:rsidTr="00D2560E">
        <w:trPr>
          <w:trHeight w:val="495"/>
        </w:trPr>
        <w:tc>
          <w:tcPr>
            <w:tcW w:w="1020" w:type="dxa"/>
            <w:vMerge/>
            <w:tcBorders>
              <w:top w:val="nil"/>
              <w:left w:val="nil"/>
              <w:bottom w:val="nil"/>
              <w:right w:val="nil"/>
            </w:tcBorders>
            <w:vAlign w:val="center"/>
            <w:hideMark/>
          </w:tcPr>
          <w:p w14:paraId="1F1261C3"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1F3D326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dofinancovanie štátnych centier pre deti a rodiny a zvýšenie počtu zamestnancov (51 osôb)</w:t>
            </w:r>
          </w:p>
        </w:tc>
        <w:tc>
          <w:tcPr>
            <w:tcW w:w="1701" w:type="dxa"/>
            <w:tcBorders>
              <w:top w:val="nil"/>
              <w:left w:val="nil"/>
              <w:bottom w:val="nil"/>
              <w:right w:val="nil"/>
            </w:tcBorders>
            <w:shd w:val="clear" w:color="auto" w:fill="auto"/>
            <w:vAlign w:val="center"/>
            <w:hideMark/>
          </w:tcPr>
          <w:p w14:paraId="09C2AA74"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4 441</w:t>
            </w:r>
          </w:p>
        </w:tc>
      </w:tr>
      <w:tr w:rsidR="00E76212" w:rsidRPr="008C63ED" w14:paraId="1A41B3D9" w14:textId="77777777" w:rsidTr="00D2560E">
        <w:trPr>
          <w:trHeight w:val="330"/>
        </w:trPr>
        <w:tc>
          <w:tcPr>
            <w:tcW w:w="1020" w:type="dxa"/>
            <w:vMerge/>
            <w:tcBorders>
              <w:top w:val="nil"/>
              <w:left w:val="nil"/>
              <w:bottom w:val="nil"/>
              <w:right w:val="nil"/>
            </w:tcBorders>
            <w:vAlign w:val="center"/>
            <w:hideMark/>
          </w:tcPr>
          <w:p w14:paraId="237B3AB8"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49886C7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dofinancovanie osobných výdavkov AKOS</w:t>
            </w:r>
          </w:p>
        </w:tc>
        <w:tc>
          <w:tcPr>
            <w:tcW w:w="1701" w:type="dxa"/>
            <w:tcBorders>
              <w:top w:val="nil"/>
              <w:left w:val="nil"/>
              <w:bottom w:val="nil"/>
              <w:right w:val="nil"/>
            </w:tcBorders>
            <w:shd w:val="clear" w:color="auto" w:fill="auto"/>
            <w:vAlign w:val="center"/>
            <w:hideMark/>
          </w:tcPr>
          <w:p w14:paraId="11B650AD"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4 078</w:t>
            </w:r>
          </w:p>
        </w:tc>
      </w:tr>
      <w:tr w:rsidR="00E76212" w:rsidRPr="008C63ED" w14:paraId="314E31CE" w14:textId="77777777" w:rsidTr="00D2560E">
        <w:trPr>
          <w:trHeight w:val="450"/>
        </w:trPr>
        <w:tc>
          <w:tcPr>
            <w:tcW w:w="1020" w:type="dxa"/>
            <w:vMerge/>
            <w:tcBorders>
              <w:top w:val="nil"/>
              <w:left w:val="nil"/>
              <w:bottom w:val="nil"/>
              <w:right w:val="nil"/>
            </w:tcBorders>
            <w:vAlign w:val="center"/>
            <w:hideMark/>
          </w:tcPr>
          <w:p w14:paraId="659D4BBE"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5E6FB5E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osobné výdavky pre posudkových lekárov na úradoch práce, sociálnych vecí </w:t>
            </w:r>
            <w:r w:rsidRPr="008C63ED">
              <w:rPr>
                <w:rFonts w:eastAsia="Times New Roman" w:cs="Times New Roman"/>
                <w:sz w:val="16"/>
                <w:szCs w:val="16"/>
                <w:lang w:eastAsia="sk-SK"/>
              </w:rPr>
              <w:br/>
              <w:t>a rodiny</w:t>
            </w:r>
          </w:p>
        </w:tc>
        <w:tc>
          <w:tcPr>
            <w:tcW w:w="1701" w:type="dxa"/>
            <w:tcBorders>
              <w:top w:val="nil"/>
              <w:left w:val="nil"/>
              <w:bottom w:val="nil"/>
              <w:right w:val="nil"/>
            </w:tcBorders>
            <w:shd w:val="clear" w:color="auto" w:fill="auto"/>
            <w:vAlign w:val="center"/>
            <w:hideMark/>
          </w:tcPr>
          <w:p w14:paraId="7EA23EB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912</w:t>
            </w:r>
          </w:p>
        </w:tc>
      </w:tr>
      <w:tr w:rsidR="00E76212" w:rsidRPr="008C63ED" w14:paraId="37A2819A" w14:textId="77777777" w:rsidTr="00D2560E">
        <w:trPr>
          <w:trHeight w:val="525"/>
        </w:trPr>
        <w:tc>
          <w:tcPr>
            <w:tcW w:w="1020" w:type="dxa"/>
            <w:vMerge/>
            <w:tcBorders>
              <w:top w:val="nil"/>
              <w:left w:val="nil"/>
              <w:bottom w:val="nil"/>
              <w:right w:val="nil"/>
            </w:tcBorders>
            <w:vAlign w:val="center"/>
            <w:hideMark/>
          </w:tcPr>
          <w:p w14:paraId="1FD96E99"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7374B75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dofinancovanie neštátnych centier pre deti a rodiny a na osobné príplatky </w:t>
            </w:r>
            <w:r w:rsidRPr="008C63ED">
              <w:rPr>
                <w:rFonts w:eastAsia="Times New Roman" w:cs="Times New Roman"/>
                <w:sz w:val="16"/>
                <w:szCs w:val="16"/>
                <w:lang w:eastAsia="sk-SK"/>
              </w:rPr>
              <w:br/>
              <w:t>pre zamestnancov ÚPSVR za služobnú pohotovosť</w:t>
            </w:r>
          </w:p>
        </w:tc>
        <w:tc>
          <w:tcPr>
            <w:tcW w:w="1701" w:type="dxa"/>
            <w:tcBorders>
              <w:top w:val="nil"/>
              <w:left w:val="nil"/>
              <w:bottom w:val="nil"/>
              <w:right w:val="nil"/>
            </w:tcBorders>
            <w:shd w:val="clear" w:color="auto" w:fill="auto"/>
            <w:vAlign w:val="center"/>
            <w:hideMark/>
          </w:tcPr>
          <w:p w14:paraId="5FAAD461"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428</w:t>
            </w:r>
          </w:p>
        </w:tc>
      </w:tr>
      <w:tr w:rsidR="00E76212" w:rsidRPr="008C63ED" w14:paraId="5A503285" w14:textId="77777777" w:rsidTr="00D2560E">
        <w:trPr>
          <w:trHeight w:val="600"/>
        </w:trPr>
        <w:tc>
          <w:tcPr>
            <w:tcW w:w="1020" w:type="dxa"/>
            <w:vMerge/>
            <w:tcBorders>
              <w:top w:val="nil"/>
              <w:left w:val="nil"/>
              <w:bottom w:val="nil"/>
              <w:right w:val="nil"/>
            </w:tcBorders>
            <w:vAlign w:val="center"/>
            <w:hideMark/>
          </w:tcPr>
          <w:p w14:paraId="7052CE27"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33BBACD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osobné výdavky podľa UZN č. 157/2023, Návrh Národného strategického rámca na podporu rodiny a demografického vývoja do roku 2030 (3 osoby)</w:t>
            </w:r>
          </w:p>
        </w:tc>
        <w:tc>
          <w:tcPr>
            <w:tcW w:w="1701" w:type="dxa"/>
            <w:tcBorders>
              <w:top w:val="nil"/>
              <w:left w:val="nil"/>
              <w:bottom w:val="nil"/>
              <w:right w:val="nil"/>
            </w:tcBorders>
            <w:shd w:val="clear" w:color="auto" w:fill="auto"/>
            <w:vAlign w:val="center"/>
            <w:hideMark/>
          </w:tcPr>
          <w:p w14:paraId="41E3C6D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65</w:t>
            </w:r>
          </w:p>
        </w:tc>
      </w:tr>
      <w:tr w:rsidR="00E76212" w:rsidRPr="008C63ED" w14:paraId="2CF67F57" w14:textId="77777777" w:rsidTr="00D2560E">
        <w:trPr>
          <w:trHeight w:val="495"/>
        </w:trPr>
        <w:tc>
          <w:tcPr>
            <w:tcW w:w="1020" w:type="dxa"/>
            <w:vMerge/>
            <w:tcBorders>
              <w:top w:val="nil"/>
              <w:left w:val="nil"/>
              <w:bottom w:val="nil"/>
              <w:right w:val="nil"/>
            </w:tcBorders>
            <w:vAlign w:val="center"/>
            <w:hideMark/>
          </w:tcPr>
          <w:p w14:paraId="51AF014A"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41D16014" w14:textId="77777777" w:rsidR="00E76212" w:rsidRPr="008C63ED" w:rsidRDefault="00E76212" w:rsidP="00D2560E">
            <w:pPr>
              <w:spacing w:after="0" w:line="240" w:lineRule="auto"/>
              <w:rPr>
                <w:rFonts w:eastAsia="Times New Roman" w:cs="Times New Roman"/>
                <w:sz w:val="16"/>
                <w:szCs w:val="16"/>
                <w:lang w:eastAsia="sk-SK"/>
              </w:rPr>
            </w:pPr>
            <w:r>
              <w:rPr>
                <w:rFonts w:eastAsia="Times New Roman" w:cs="Times New Roman"/>
                <w:sz w:val="16"/>
                <w:szCs w:val="16"/>
                <w:lang w:eastAsia="sk-SK"/>
              </w:rPr>
              <w:t xml:space="preserve">Na osobné </w:t>
            </w:r>
            <w:r w:rsidRPr="008C63ED">
              <w:rPr>
                <w:rFonts w:eastAsia="Times New Roman" w:cs="Times New Roman"/>
                <w:sz w:val="16"/>
                <w:szCs w:val="16"/>
                <w:lang w:eastAsia="sk-SK"/>
              </w:rPr>
              <w:t>výdavky podľa UZN č. 156/2023, Národný akčný plán Európskej záruky pre deti v Slovenskej republike s výhľadom do roku 2030 (2 osoby)</w:t>
            </w:r>
          </w:p>
        </w:tc>
        <w:tc>
          <w:tcPr>
            <w:tcW w:w="1701" w:type="dxa"/>
            <w:tcBorders>
              <w:top w:val="nil"/>
              <w:left w:val="nil"/>
              <w:bottom w:val="nil"/>
              <w:right w:val="nil"/>
            </w:tcBorders>
            <w:shd w:val="clear" w:color="auto" w:fill="auto"/>
            <w:vAlign w:val="center"/>
            <w:hideMark/>
          </w:tcPr>
          <w:p w14:paraId="185FC432"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43</w:t>
            </w:r>
          </w:p>
        </w:tc>
      </w:tr>
      <w:tr w:rsidR="00E76212" w:rsidRPr="008C63ED" w14:paraId="4062D527" w14:textId="77777777" w:rsidTr="00D2560E">
        <w:trPr>
          <w:trHeight w:val="450"/>
        </w:trPr>
        <w:tc>
          <w:tcPr>
            <w:tcW w:w="1020" w:type="dxa"/>
            <w:vMerge/>
            <w:tcBorders>
              <w:top w:val="nil"/>
              <w:left w:val="nil"/>
              <w:bottom w:val="nil"/>
              <w:right w:val="nil"/>
            </w:tcBorders>
            <w:vAlign w:val="center"/>
            <w:hideMark/>
          </w:tcPr>
          <w:p w14:paraId="078009E5"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56084F2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osobné výdavky pre zamestnanca z dôvodu zastúpenia počas vyslania národného experta do Európskeho orgánu práce (ELA)</w:t>
            </w:r>
          </w:p>
        </w:tc>
        <w:tc>
          <w:tcPr>
            <w:tcW w:w="1701" w:type="dxa"/>
            <w:tcBorders>
              <w:top w:val="nil"/>
              <w:left w:val="nil"/>
              <w:bottom w:val="nil"/>
              <w:right w:val="nil"/>
            </w:tcBorders>
            <w:shd w:val="clear" w:color="auto" w:fill="auto"/>
            <w:vAlign w:val="center"/>
            <w:hideMark/>
          </w:tcPr>
          <w:p w14:paraId="17D0CD5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32</w:t>
            </w:r>
          </w:p>
        </w:tc>
      </w:tr>
      <w:tr w:rsidR="00E76212" w:rsidRPr="008C63ED" w14:paraId="17524CD3" w14:textId="77777777" w:rsidTr="00D2560E">
        <w:trPr>
          <w:trHeight w:val="176"/>
        </w:trPr>
        <w:tc>
          <w:tcPr>
            <w:tcW w:w="1020" w:type="dxa"/>
            <w:vMerge/>
            <w:tcBorders>
              <w:top w:val="nil"/>
              <w:left w:val="nil"/>
              <w:bottom w:val="nil"/>
              <w:right w:val="nil"/>
            </w:tcBorders>
            <w:vAlign w:val="center"/>
            <w:hideMark/>
          </w:tcPr>
          <w:p w14:paraId="2A9822BE"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2979AA3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zvýšenie počtu zamestnancov analytických jednotiek MPSVR SR (1 osoba)</w:t>
            </w:r>
          </w:p>
        </w:tc>
        <w:tc>
          <w:tcPr>
            <w:tcW w:w="1701" w:type="dxa"/>
            <w:tcBorders>
              <w:top w:val="nil"/>
              <w:left w:val="nil"/>
              <w:bottom w:val="nil"/>
              <w:right w:val="nil"/>
            </w:tcBorders>
            <w:shd w:val="clear" w:color="auto" w:fill="auto"/>
            <w:vAlign w:val="center"/>
            <w:hideMark/>
          </w:tcPr>
          <w:p w14:paraId="3B84D07C" w14:textId="77777777" w:rsidR="00E76212" w:rsidRPr="008C63ED" w:rsidRDefault="00E76212" w:rsidP="00D2560E">
            <w:pPr>
              <w:spacing w:after="0" w:line="240" w:lineRule="auto"/>
              <w:jc w:val="right"/>
              <w:rPr>
                <w:rFonts w:eastAsia="Times New Roman" w:cs="Times New Roman"/>
                <w:sz w:val="16"/>
                <w:szCs w:val="16"/>
                <w:lang w:eastAsia="sk-SK"/>
              </w:rPr>
            </w:pPr>
          </w:p>
          <w:p w14:paraId="713EF53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26</w:t>
            </w:r>
          </w:p>
        </w:tc>
      </w:tr>
      <w:tr w:rsidR="00E76212" w:rsidRPr="008C63ED" w14:paraId="1A699E51"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4B59E849"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533103BF"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16 320</w:t>
            </w:r>
          </w:p>
        </w:tc>
      </w:tr>
      <w:tr w:rsidR="00E76212" w:rsidRPr="008C63ED" w14:paraId="1E9DE5B6" w14:textId="77777777" w:rsidTr="00D2560E">
        <w:trPr>
          <w:trHeight w:val="315"/>
        </w:trPr>
        <w:tc>
          <w:tcPr>
            <w:tcW w:w="1020" w:type="dxa"/>
            <w:vMerge w:val="restart"/>
            <w:tcBorders>
              <w:top w:val="nil"/>
              <w:left w:val="nil"/>
              <w:bottom w:val="nil"/>
              <w:right w:val="nil"/>
            </w:tcBorders>
            <w:shd w:val="clear" w:color="auto" w:fill="auto"/>
            <w:vAlign w:val="center"/>
            <w:hideMark/>
          </w:tcPr>
          <w:p w14:paraId="3B2D5FD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hospodárstva</w:t>
            </w:r>
            <w:r w:rsidRPr="008C63ED">
              <w:rPr>
                <w:rFonts w:eastAsia="Times New Roman" w:cs="Times New Roman"/>
                <w:sz w:val="16"/>
                <w:szCs w:val="16"/>
                <w:lang w:eastAsia="sk-SK"/>
              </w:rPr>
              <w:t xml:space="preserve"> SR </w:t>
            </w:r>
          </w:p>
        </w:tc>
        <w:tc>
          <w:tcPr>
            <w:tcW w:w="6351" w:type="dxa"/>
            <w:tcBorders>
              <w:top w:val="nil"/>
              <w:left w:val="nil"/>
              <w:bottom w:val="nil"/>
              <w:right w:val="nil"/>
            </w:tcBorders>
            <w:shd w:val="clear" w:color="auto" w:fill="auto"/>
            <w:vAlign w:val="bottom"/>
            <w:hideMark/>
          </w:tcPr>
          <w:p w14:paraId="1BE88D6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dofin</w:t>
            </w:r>
            <w:r>
              <w:rPr>
                <w:rFonts w:eastAsia="Times New Roman" w:cs="Times New Roman"/>
                <w:sz w:val="16"/>
                <w:szCs w:val="16"/>
                <w:lang w:eastAsia="sk-SK"/>
              </w:rPr>
              <w:t>ancovanie osobných výdavkov administratívnych kapacít osobitne sledovaných (AKOS)</w:t>
            </w:r>
          </w:p>
        </w:tc>
        <w:tc>
          <w:tcPr>
            <w:tcW w:w="1701" w:type="dxa"/>
            <w:tcBorders>
              <w:top w:val="nil"/>
              <w:left w:val="nil"/>
              <w:bottom w:val="nil"/>
              <w:right w:val="nil"/>
            </w:tcBorders>
            <w:shd w:val="clear" w:color="auto" w:fill="auto"/>
            <w:vAlign w:val="center"/>
            <w:hideMark/>
          </w:tcPr>
          <w:p w14:paraId="0EB05AF3"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9 870</w:t>
            </w:r>
          </w:p>
        </w:tc>
      </w:tr>
      <w:tr w:rsidR="00E76212" w:rsidRPr="008C63ED" w14:paraId="24781162" w14:textId="77777777" w:rsidTr="00D2560E">
        <w:trPr>
          <w:trHeight w:val="480"/>
        </w:trPr>
        <w:tc>
          <w:tcPr>
            <w:tcW w:w="1020" w:type="dxa"/>
            <w:vMerge/>
            <w:tcBorders>
              <w:top w:val="nil"/>
              <w:left w:val="nil"/>
              <w:bottom w:val="nil"/>
              <w:right w:val="nil"/>
            </w:tcBorders>
            <w:vAlign w:val="center"/>
            <w:hideMark/>
          </w:tcPr>
          <w:p w14:paraId="2A822AE5"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5EB45A5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personálne zabezpečenie agendy súvisiacej so zefektívnením mechanizmov vykonávania medzinárodných sankcií (7 osôb)</w:t>
            </w:r>
          </w:p>
        </w:tc>
        <w:tc>
          <w:tcPr>
            <w:tcW w:w="1701" w:type="dxa"/>
            <w:tcBorders>
              <w:top w:val="nil"/>
              <w:left w:val="nil"/>
              <w:bottom w:val="nil"/>
              <w:right w:val="nil"/>
            </w:tcBorders>
            <w:shd w:val="clear" w:color="auto" w:fill="auto"/>
            <w:vAlign w:val="center"/>
            <w:hideMark/>
          </w:tcPr>
          <w:p w14:paraId="47FBDDC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331</w:t>
            </w:r>
          </w:p>
        </w:tc>
      </w:tr>
      <w:tr w:rsidR="00E76212" w:rsidRPr="008C63ED" w14:paraId="520147A4" w14:textId="77777777" w:rsidTr="00D2560E">
        <w:trPr>
          <w:trHeight w:val="285"/>
        </w:trPr>
        <w:tc>
          <w:tcPr>
            <w:tcW w:w="1020" w:type="dxa"/>
            <w:vMerge/>
            <w:tcBorders>
              <w:top w:val="nil"/>
              <w:left w:val="nil"/>
              <w:bottom w:val="nil"/>
              <w:right w:val="nil"/>
            </w:tcBorders>
            <w:vAlign w:val="center"/>
            <w:hideMark/>
          </w:tcPr>
          <w:p w14:paraId="2D3F9A45"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7C0E0F5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financovanie EXPO 2025 Osaka</w:t>
            </w:r>
          </w:p>
        </w:tc>
        <w:tc>
          <w:tcPr>
            <w:tcW w:w="1701" w:type="dxa"/>
            <w:tcBorders>
              <w:top w:val="nil"/>
              <w:left w:val="nil"/>
              <w:bottom w:val="nil"/>
              <w:right w:val="nil"/>
            </w:tcBorders>
            <w:shd w:val="clear" w:color="auto" w:fill="auto"/>
            <w:vAlign w:val="center"/>
            <w:hideMark/>
          </w:tcPr>
          <w:p w14:paraId="426FB1B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300</w:t>
            </w:r>
          </w:p>
        </w:tc>
      </w:tr>
      <w:tr w:rsidR="00E76212" w:rsidRPr="008C63ED" w14:paraId="5291DFF5" w14:textId="77777777" w:rsidTr="00D2560E">
        <w:trPr>
          <w:trHeight w:val="285"/>
        </w:trPr>
        <w:tc>
          <w:tcPr>
            <w:tcW w:w="1020" w:type="dxa"/>
            <w:vMerge/>
            <w:tcBorders>
              <w:top w:val="nil"/>
              <w:left w:val="nil"/>
              <w:bottom w:val="nil"/>
              <w:right w:val="nil"/>
            </w:tcBorders>
            <w:vAlign w:val="center"/>
            <w:hideMark/>
          </w:tcPr>
          <w:p w14:paraId="16264515"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5534FCB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zvýšenie počtu zamestnancov analytických jednotiek MH SR (1 osoba)</w:t>
            </w:r>
          </w:p>
        </w:tc>
        <w:tc>
          <w:tcPr>
            <w:tcW w:w="1701" w:type="dxa"/>
            <w:tcBorders>
              <w:top w:val="nil"/>
              <w:left w:val="nil"/>
              <w:bottom w:val="nil"/>
              <w:right w:val="nil"/>
            </w:tcBorders>
            <w:shd w:val="clear" w:color="auto" w:fill="auto"/>
            <w:vAlign w:val="center"/>
            <w:hideMark/>
          </w:tcPr>
          <w:p w14:paraId="6CCEBF6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23</w:t>
            </w:r>
          </w:p>
        </w:tc>
      </w:tr>
      <w:tr w:rsidR="00E76212" w:rsidRPr="008C63ED" w14:paraId="25F5BEB1" w14:textId="77777777" w:rsidTr="00D2560E">
        <w:trPr>
          <w:trHeight w:val="81"/>
        </w:trPr>
        <w:tc>
          <w:tcPr>
            <w:tcW w:w="7371" w:type="dxa"/>
            <w:gridSpan w:val="2"/>
            <w:tcBorders>
              <w:top w:val="nil"/>
              <w:left w:val="nil"/>
              <w:bottom w:val="single" w:sz="4" w:space="0" w:color="auto"/>
              <w:right w:val="nil"/>
            </w:tcBorders>
            <w:shd w:val="clear" w:color="auto" w:fill="auto"/>
            <w:vAlign w:val="center"/>
            <w:hideMark/>
          </w:tcPr>
          <w:p w14:paraId="4149987D"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3F6BCF1F"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10 524</w:t>
            </w:r>
          </w:p>
        </w:tc>
      </w:tr>
      <w:tr w:rsidR="00E76212" w:rsidRPr="008C63ED" w14:paraId="1B64D75C" w14:textId="77777777" w:rsidTr="00D2560E">
        <w:trPr>
          <w:trHeight w:val="330"/>
        </w:trPr>
        <w:tc>
          <w:tcPr>
            <w:tcW w:w="1020" w:type="dxa"/>
            <w:vMerge w:val="restart"/>
            <w:tcBorders>
              <w:top w:val="nil"/>
              <w:left w:val="nil"/>
              <w:bottom w:val="nil"/>
              <w:right w:val="nil"/>
            </w:tcBorders>
            <w:shd w:val="clear" w:color="auto" w:fill="auto"/>
            <w:noWrap/>
            <w:vAlign w:val="center"/>
            <w:hideMark/>
          </w:tcPr>
          <w:p w14:paraId="5FA14B64" w14:textId="77777777" w:rsidR="00E76212" w:rsidRPr="008C63ED" w:rsidRDefault="00E76212" w:rsidP="00D2560E">
            <w:pPr>
              <w:spacing w:after="0" w:line="240" w:lineRule="auto"/>
              <w:rPr>
                <w:rFonts w:eastAsia="Times New Roman" w:cs="Times New Roman"/>
                <w:sz w:val="16"/>
                <w:szCs w:val="16"/>
                <w:lang w:eastAsia="sk-SK"/>
              </w:rPr>
            </w:pPr>
            <w:r>
              <w:rPr>
                <w:rFonts w:eastAsia="Times New Roman" w:cs="Times New Roman"/>
                <w:sz w:val="16"/>
                <w:szCs w:val="16"/>
                <w:lang w:eastAsia="sk-SK"/>
              </w:rPr>
              <w:t>Ministerstvo životného prostredia</w:t>
            </w:r>
            <w:r w:rsidRPr="008C63ED">
              <w:rPr>
                <w:rFonts w:eastAsia="Times New Roman" w:cs="Times New Roman"/>
                <w:sz w:val="16"/>
                <w:szCs w:val="16"/>
                <w:lang w:eastAsia="sk-SK"/>
              </w:rPr>
              <w:t xml:space="preserve"> SR </w:t>
            </w:r>
          </w:p>
        </w:tc>
        <w:tc>
          <w:tcPr>
            <w:tcW w:w="6351" w:type="dxa"/>
            <w:tcBorders>
              <w:top w:val="nil"/>
              <w:left w:val="nil"/>
              <w:bottom w:val="nil"/>
              <w:right w:val="nil"/>
            </w:tcBorders>
            <w:shd w:val="clear" w:color="auto" w:fill="auto"/>
            <w:vAlign w:val="bottom"/>
            <w:hideMark/>
          </w:tcPr>
          <w:p w14:paraId="49D612E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dofinancovanie osobných výdavkov AKOS</w:t>
            </w:r>
          </w:p>
        </w:tc>
        <w:tc>
          <w:tcPr>
            <w:tcW w:w="1701" w:type="dxa"/>
            <w:tcBorders>
              <w:top w:val="nil"/>
              <w:left w:val="nil"/>
              <w:bottom w:val="nil"/>
              <w:right w:val="nil"/>
            </w:tcBorders>
            <w:shd w:val="clear" w:color="auto" w:fill="auto"/>
            <w:vAlign w:val="center"/>
            <w:hideMark/>
          </w:tcPr>
          <w:p w14:paraId="126081E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8 614</w:t>
            </w:r>
          </w:p>
        </w:tc>
      </w:tr>
      <w:tr w:rsidR="00E76212" w:rsidRPr="008C63ED" w14:paraId="25B1EB3E" w14:textId="77777777" w:rsidTr="00D2560E">
        <w:trPr>
          <w:trHeight w:val="450"/>
        </w:trPr>
        <w:tc>
          <w:tcPr>
            <w:tcW w:w="1020" w:type="dxa"/>
            <w:vMerge/>
            <w:tcBorders>
              <w:top w:val="nil"/>
              <w:left w:val="nil"/>
              <w:bottom w:val="nil"/>
              <w:right w:val="nil"/>
            </w:tcBorders>
            <w:vAlign w:val="center"/>
            <w:hideMark/>
          </w:tcPr>
          <w:p w14:paraId="06A6A6BD"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42574A9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personálne posilnenie plnenia záväzkov v oblasti ochrany životného prostredia </w:t>
            </w:r>
            <w:r w:rsidRPr="008C63ED">
              <w:rPr>
                <w:rFonts w:eastAsia="Times New Roman" w:cs="Times New Roman"/>
                <w:sz w:val="16"/>
                <w:szCs w:val="16"/>
                <w:lang w:eastAsia="sk-SK"/>
              </w:rPr>
              <w:br/>
              <w:t>(43 osôb)</w:t>
            </w:r>
          </w:p>
        </w:tc>
        <w:tc>
          <w:tcPr>
            <w:tcW w:w="1701" w:type="dxa"/>
            <w:tcBorders>
              <w:top w:val="nil"/>
              <w:left w:val="nil"/>
              <w:bottom w:val="nil"/>
              <w:right w:val="nil"/>
            </w:tcBorders>
            <w:shd w:val="clear" w:color="auto" w:fill="auto"/>
            <w:vAlign w:val="center"/>
            <w:hideMark/>
          </w:tcPr>
          <w:p w14:paraId="29D684D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1 424</w:t>
            </w:r>
          </w:p>
        </w:tc>
      </w:tr>
      <w:tr w:rsidR="00E76212" w:rsidRPr="008C63ED" w14:paraId="259A5C0D" w14:textId="77777777" w:rsidTr="00D2560E">
        <w:trPr>
          <w:trHeight w:val="330"/>
        </w:trPr>
        <w:tc>
          <w:tcPr>
            <w:tcW w:w="1020" w:type="dxa"/>
            <w:vMerge/>
            <w:tcBorders>
              <w:top w:val="nil"/>
              <w:left w:val="nil"/>
              <w:bottom w:val="nil"/>
              <w:right w:val="nil"/>
            </w:tcBorders>
            <w:vAlign w:val="center"/>
            <w:hideMark/>
          </w:tcPr>
          <w:p w14:paraId="359A6E89"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008F3C6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zvýšenie počtu zamestnancov analytických jednotiek MŽP SR (3 osoby)</w:t>
            </w:r>
          </w:p>
        </w:tc>
        <w:tc>
          <w:tcPr>
            <w:tcW w:w="1701" w:type="dxa"/>
            <w:tcBorders>
              <w:top w:val="nil"/>
              <w:left w:val="nil"/>
              <w:bottom w:val="nil"/>
              <w:right w:val="nil"/>
            </w:tcBorders>
            <w:shd w:val="clear" w:color="auto" w:fill="auto"/>
            <w:vAlign w:val="center"/>
            <w:hideMark/>
          </w:tcPr>
          <w:p w14:paraId="120D5C4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77</w:t>
            </w:r>
          </w:p>
        </w:tc>
      </w:tr>
      <w:tr w:rsidR="00E76212" w:rsidRPr="008C63ED" w14:paraId="44A63F9B" w14:textId="77777777" w:rsidTr="00D2560E">
        <w:trPr>
          <w:trHeight w:val="330"/>
        </w:trPr>
        <w:tc>
          <w:tcPr>
            <w:tcW w:w="7371" w:type="dxa"/>
            <w:gridSpan w:val="2"/>
            <w:tcBorders>
              <w:top w:val="nil"/>
              <w:left w:val="nil"/>
              <w:bottom w:val="single" w:sz="4" w:space="0" w:color="auto"/>
              <w:right w:val="nil"/>
            </w:tcBorders>
            <w:shd w:val="clear" w:color="auto" w:fill="auto"/>
            <w:noWrap/>
            <w:vAlign w:val="center"/>
            <w:hideMark/>
          </w:tcPr>
          <w:p w14:paraId="2DCA238C"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3EC27243"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10 115</w:t>
            </w:r>
          </w:p>
        </w:tc>
      </w:tr>
      <w:tr w:rsidR="00E76212" w:rsidRPr="008C63ED" w14:paraId="666B2E4C" w14:textId="77777777" w:rsidTr="00D2560E">
        <w:trPr>
          <w:trHeight w:val="330"/>
        </w:trPr>
        <w:tc>
          <w:tcPr>
            <w:tcW w:w="1020" w:type="dxa"/>
            <w:tcBorders>
              <w:top w:val="nil"/>
              <w:left w:val="nil"/>
              <w:bottom w:val="nil"/>
              <w:right w:val="nil"/>
            </w:tcBorders>
            <w:shd w:val="clear" w:color="auto" w:fill="auto"/>
            <w:vAlign w:val="center"/>
            <w:hideMark/>
          </w:tcPr>
          <w:p w14:paraId="75F3E130" w14:textId="77777777" w:rsidR="00E76212" w:rsidRPr="008C63ED" w:rsidRDefault="00E76212" w:rsidP="00D2560E">
            <w:pPr>
              <w:spacing w:after="0" w:line="240" w:lineRule="auto"/>
              <w:rPr>
                <w:rFonts w:eastAsia="Times New Roman" w:cs="Times New Roman"/>
                <w:sz w:val="16"/>
                <w:szCs w:val="16"/>
                <w:lang w:eastAsia="sk-SK"/>
              </w:rPr>
            </w:pPr>
            <w:r>
              <w:rPr>
                <w:rFonts w:eastAsia="Times New Roman" w:cs="Times New Roman"/>
                <w:sz w:val="16"/>
                <w:szCs w:val="16"/>
                <w:lang w:eastAsia="sk-SK"/>
              </w:rPr>
              <w:t>Ministerstvo spravodlivosti</w:t>
            </w:r>
            <w:r w:rsidRPr="008C63ED">
              <w:rPr>
                <w:rFonts w:eastAsia="Times New Roman" w:cs="Times New Roman"/>
                <w:sz w:val="16"/>
                <w:szCs w:val="16"/>
                <w:lang w:eastAsia="sk-SK"/>
              </w:rPr>
              <w:t xml:space="preserve"> SR </w:t>
            </w:r>
          </w:p>
        </w:tc>
        <w:tc>
          <w:tcPr>
            <w:tcW w:w="6351" w:type="dxa"/>
            <w:tcBorders>
              <w:top w:val="nil"/>
              <w:left w:val="nil"/>
              <w:bottom w:val="nil"/>
              <w:right w:val="nil"/>
            </w:tcBorders>
            <w:shd w:val="clear" w:color="auto" w:fill="auto"/>
            <w:vAlign w:val="bottom"/>
            <w:hideMark/>
          </w:tcPr>
          <w:p w14:paraId="2812F80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úpravu platových náležitostí sudcov </w:t>
            </w:r>
          </w:p>
        </w:tc>
        <w:tc>
          <w:tcPr>
            <w:tcW w:w="1701" w:type="dxa"/>
            <w:tcBorders>
              <w:top w:val="nil"/>
              <w:left w:val="nil"/>
              <w:bottom w:val="nil"/>
              <w:right w:val="nil"/>
            </w:tcBorders>
            <w:shd w:val="clear" w:color="auto" w:fill="auto"/>
            <w:vAlign w:val="center"/>
            <w:hideMark/>
          </w:tcPr>
          <w:p w14:paraId="5F9EB3F9"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6 775</w:t>
            </w:r>
          </w:p>
        </w:tc>
      </w:tr>
      <w:tr w:rsidR="00E76212" w:rsidRPr="008C63ED" w14:paraId="450B7AFC" w14:textId="77777777" w:rsidTr="00D2560E">
        <w:trPr>
          <w:trHeight w:val="330"/>
        </w:trPr>
        <w:tc>
          <w:tcPr>
            <w:tcW w:w="1020" w:type="dxa"/>
            <w:tcBorders>
              <w:top w:val="nil"/>
              <w:left w:val="nil"/>
              <w:bottom w:val="nil"/>
              <w:right w:val="nil"/>
            </w:tcBorders>
            <w:shd w:val="clear" w:color="auto" w:fill="auto"/>
            <w:vAlign w:val="center"/>
            <w:hideMark/>
          </w:tcPr>
          <w:p w14:paraId="38DC0774" w14:textId="77777777" w:rsidR="00E76212" w:rsidRPr="008C63ED" w:rsidRDefault="00E76212" w:rsidP="00D2560E">
            <w:pPr>
              <w:spacing w:after="0" w:line="240" w:lineRule="auto"/>
              <w:jc w:val="right"/>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6C16D1E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odchodné pre príslušníkov ZVJS</w:t>
            </w:r>
          </w:p>
        </w:tc>
        <w:tc>
          <w:tcPr>
            <w:tcW w:w="1701" w:type="dxa"/>
            <w:tcBorders>
              <w:top w:val="nil"/>
              <w:left w:val="nil"/>
              <w:bottom w:val="nil"/>
              <w:right w:val="nil"/>
            </w:tcBorders>
            <w:shd w:val="clear" w:color="auto" w:fill="auto"/>
            <w:vAlign w:val="center"/>
            <w:hideMark/>
          </w:tcPr>
          <w:p w14:paraId="428009F9"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2 699</w:t>
            </w:r>
          </w:p>
        </w:tc>
      </w:tr>
      <w:tr w:rsidR="00E76212" w:rsidRPr="008C63ED" w14:paraId="6C7EA7B7"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6479F41B"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3596927D"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9 474</w:t>
            </w:r>
          </w:p>
        </w:tc>
      </w:tr>
      <w:tr w:rsidR="00E76212" w:rsidRPr="008C63ED" w14:paraId="3C9E3E52" w14:textId="77777777" w:rsidTr="00D2560E">
        <w:trPr>
          <w:trHeight w:val="300"/>
        </w:trPr>
        <w:tc>
          <w:tcPr>
            <w:tcW w:w="1020" w:type="dxa"/>
            <w:vMerge w:val="restart"/>
            <w:tcBorders>
              <w:top w:val="nil"/>
              <w:left w:val="nil"/>
              <w:bottom w:val="nil"/>
              <w:right w:val="nil"/>
            </w:tcBorders>
            <w:shd w:val="clear" w:color="auto" w:fill="auto"/>
            <w:vAlign w:val="center"/>
            <w:hideMark/>
          </w:tcPr>
          <w:p w14:paraId="3EA693D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investícií, regionálneho rozvoja a informatizácie SR</w:t>
            </w:r>
            <w:r w:rsidRPr="008C63ED">
              <w:rPr>
                <w:rFonts w:eastAsia="Times New Roman" w:cs="Times New Roman"/>
                <w:sz w:val="16"/>
                <w:szCs w:val="16"/>
                <w:lang w:eastAsia="sk-SK"/>
              </w:rPr>
              <w:t xml:space="preserve"> </w:t>
            </w:r>
          </w:p>
        </w:tc>
        <w:tc>
          <w:tcPr>
            <w:tcW w:w="6351" w:type="dxa"/>
            <w:tcBorders>
              <w:top w:val="nil"/>
              <w:left w:val="nil"/>
              <w:bottom w:val="nil"/>
              <w:right w:val="nil"/>
            </w:tcBorders>
            <w:shd w:val="clear" w:color="auto" w:fill="auto"/>
            <w:vAlign w:val="bottom"/>
            <w:hideMark/>
          </w:tcPr>
          <w:p w14:paraId="17829EA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dofinancovanie osobných výdavkov AKOS</w:t>
            </w:r>
          </w:p>
        </w:tc>
        <w:tc>
          <w:tcPr>
            <w:tcW w:w="1701" w:type="dxa"/>
            <w:tcBorders>
              <w:top w:val="nil"/>
              <w:left w:val="nil"/>
              <w:bottom w:val="nil"/>
              <w:right w:val="nil"/>
            </w:tcBorders>
            <w:shd w:val="clear" w:color="auto" w:fill="auto"/>
            <w:vAlign w:val="center"/>
            <w:hideMark/>
          </w:tcPr>
          <w:p w14:paraId="41783BE3"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8 008</w:t>
            </w:r>
          </w:p>
        </w:tc>
      </w:tr>
      <w:tr w:rsidR="00E76212" w:rsidRPr="008C63ED" w14:paraId="41C38B94" w14:textId="77777777" w:rsidTr="00D2560E">
        <w:trPr>
          <w:trHeight w:val="285"/>
        </w:trPr>
        <w:tc>
          <w:tcPr>
            <w:tcW w:w="1020" w:type="dxa"/>
            <w:vMerge/>
            <w:tcBorders>
              <w:top w:val="nil"/>
              <w:left w:val="nil"/>
              <w:bottom w:val="nil"/>
              <w:right w:val="nil"/>
            </w:tcBorders>
            <w:vAlign w:val="center"/>
            <w:hideMark/>
          </w:tcPr>
          <w:p w14:paraId="1DC994E0"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center"/>
            <w:hideMark/>
          </w:tcPr>
          <w:p w14:paraId="59611AF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zvýšenie počtu zamestnancov analytických jednotiek MIRRI SR (2 osoby)</w:t>
            </w:r>
          </w:p>
        </w:tc>
        <w:tc>
          <w:tcPr>
            <w:tcW w:w="1701" w:type="dxa"/>
            <w:tcBorders>
              <w:top w:val="nil"/>
              <w:left w:val="nil"/>
              <w:bottom w:val="nil"/>
              <w:right w:val="nil"/>
            </w:tcBorders>
            <w:shd w:val="clear" w:color="auto" w:fill="auto"/>
            <w:vAlign w:val="center"/>
            <w:hideMark/>
          </w:tcPr>
          <w:p w14:paraId="7D550591"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53</w:t>
            </w:r>
          </w:p>
        </w:tc>
      </w:tr>
      <w:tr w:rsidR="00E76212" w:rsidRPr="008C63ED" w14:paraId="1BCEE814"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05CE8902"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5F6AB5D7"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8 061</w:t>
            </w:r>
          </w:p>
        </w:tc>
      </w:tr>
      <w:tr w:rsidR="00E76212" w:rsidRPr="008C63ED" w14:paraId="0029F46D" w14:textId="77777777" w:rsidTr="00D2560E">
        <w:trPr>
          <w:trHeight w:val="330"/>
        </w:trPr>
        <w:tc>
          <w:tcPr>
            <w:tcW w:w="1020" w:type="dxa"/>
            <w:vMerge w:val="restart"/>
            <w:tcBorders>
              <w:top w:val="nil"/>
              <w:left w:val="nil"/>
              <w:bottom w:val="nil"/>
              <w:right w:val="nil"/>
            </w:tcBorders>
            <w:shd w:val="clear" w:color="auto" w:fill="auto"/>
            <w:vAlign w:val="center"/>
            <w:hideMark/>
          </w:tcPr>
          <w:p w14:paraId="6BA9FB1D" w14:textId="77777777" w:rsidR="00E76212" w:rsidRPr="008C63ED" w:rsidRDefault="00E76212" w:rsidP="00D2560E">
            <w:pPr>
              <w:spacing w:after="0" w:line="240" w:lineRule="auto"/>
              <w:rPr>
                <w:rFonts w:eastAsia="Times New Roman" w:cs="Times New Roman"/>
                <w:sz w:val="16"/>
                <w:szCs w:val="16"/>
                <w:lang w:eastAsia="sk-SK"/>
              </w:rPr>
            </w:pPr>
            <w:r>
              <w:rPr>
                <w:rFonts w:eastAsia="Times New Roman" w:cs="Times New Roman"/>
                <w:sz w:val="16"/>
                <w:szCs w:val="16"/>
                <w:lang w:eastAsia="sk-SK"/>
              </w:rPr>
              <w:t>Ministerstvo školstva, vedy, výskumu a športu SR</w:t>
            </w:r>
            <w:r w:rsidRPr="008C63ED">
              <w:rPr>
                <w:rFonts w:eastAsia="Times New Roman" w:cs="Times New Roman"/>
                <w:sz w:val="16"/>
                <w:szCs w:val="16"/>
                <w:lang w:eastAsia="sk-SK"/>
              </w:rPr>
              <w:t xml:space="preserve"> </w:t>
            </w:r>
          </w:p>
        </w:tc>
        <w:tc>
          <w:tcPr>
            <w:tcW w:w="6351" w:type="dxa"/>
            <w:tcBorders>
              <w:top w:val="nil"/>
              <w:left w:val="nil"/>
              <w:bottom w:val="nil"/>
              <w:right w:val="nil"/>
            </w:tcBorders>
            <w:shd w:val="clear" w:color="auto" w:fill="auto"/>
            <w:vAlign w:val="bottom"/>
            <w:hideMark/>
          </w:tcPr>
          <w:p w14:paraId="73137C0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vyplatenie odstupného podľa § 82 ods.7 zákona č. 138/2019 Z. z.</w:t>
            </w:r>
          </w:p>
        </w:tc>
        <w:tc>
          <w:tcPr>
            <w:tcW w:w="1701" w:type="dxa"/>
            <w:tcBorders>
              <w:top w:val="nil"/>
              <w:left w:val="nil"/>
              <w:bottom w:val="nil"/>
              <w:right w:val="nil"/>
            </w:tcBorders>
            <w:shd w:val="clear" w:color="auto" w:fill="auto"/>
            <w:vAlign w:val="center"/>
            <w:hideMark/>
          </w:tcPr>
          <w:p w14:paraId="5F7E024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4 516</w:t>
            </w:r>
          </w:p>
        </w:tc>
      </w:tr>
      <w:tr w:rsidR="00E76212" w:rsidRPr="008C63ED" w14:paraId="7D032D22" w14:textId="77777777" w:rsidTr="00D2560E">
        <w:trPr>
          <w:trHeight w:val="330"/>
        </w:trPr>
        <w:tc>
          <w:tcPr>
            <w:tcW w:w="1020" w:type="dxa"/>
            <w:vMerge/>
            <w:tcBorders>
              <w:top w:val="nil"/>
              <w:left w:val="nil"/>
              <w:bottom w:val="nil"/>
              <w:right w:val="nil"/>
            </w:tcBorders>
            <w:vAlign w:val="center"/>
            <w:hideMark/>
          </w:tcPr>
          <w:p w14:paraId="6492A787"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6931CD2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odchodné podľa § 76a zákona č. 311/2001 Z. z.</w:t>
            </w:r>
          </w:p>
        </w:tc>
        <w:tc>
          <w:tcPr>
            <w:tcW w:w="1701" w:type="dxa"/>
            <w:tcBorders>
              <w:top w:val="nil"/>
              <w:left w:val="nil"/>
              <w:bottom w:val="nil"/>
              <w:right w:val="nil"/>
            </w:tcBorders>
            <w:shd w:val="clear" w:color="auto" w:fill="auto"/>
            <w:vAlign w:val="center"/>
            <w:hideMark/>
          </w:tcPr>
          <w:p w14:paraId="3697EA4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2 899</w:t>
            </w:r>
          </w:p>
        </w:tc>
      </w:tr>
      <w:tr w:rsidR="00E76212" w:rsidRPr="008C63ED" w14:paraId="7A54B873" w14:textId="77777777" w:rsidTr="00D2560E">
        <w:trPr>
          <w:trHeight w:val="286"/>
        </w:trPr>
        <w:tc>
          <w:tcPr>
            <w:tcW w:w="1020" w:type="dxa"/>
            <w:vMerge/>
            <w:tcBorders>
              <w:top w:val="nil"/>
              <w:left w:val="nil"/>
              <w:bottom w:val="nil"/>
              <w:right w:val="nil"/>
            </w:tcBorders>
            <w:vAlign w:val="center"/>
            <w:hideMark/>
          </w:tcPr>
          <w:p w14:paraId="7DE769E8"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31D6F38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dofinancovanie valorizácie pre lektorov a učiteľov v zahraničí</w:t>
            </w:r>
          </w:p>
        </w:tc>
        <w:tc>
          <w:tcPr>
            <w:tcW w:w="1701" w:type="dxa"/>
            <w:tcBorders>
              <w:top w:val="nil"/>
              <w:left w:val="nil"/>
              <w:bottom w:val="nil"/>
              <w:right w:val="nil"/>
            </w:tcBorders>
            <w:shd w:val="clear" w:color="auto" w:fill="auto"/>
            <w:vAlign w:val="center"/>
            <w:hideMark/>
          </w:tcPr>
          <w:p w14:paraId="1E493A7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107</w:t>
            </w:r>
          </w:p>
        </w:tc>
      </w:tr>
      <w:tr w:rsidR="00E76212" w:rsidRPr="008C63ED" w14:paraId="6879D6D9" w14:textId="77777777" w:rsidTr="00D2560E">
        <w:trPr>
          <w:trHeight w:val="290"/>
        </w:trPr>
        <w:tc>
          <w:tcPr>
            <w:tcW w:w="1020" w:type="dxa"/>
            <w:vMerge/>
            <w:tcBorders>
              <w:top w:val="nil"/>
              <w:left w:val="nil"/>
              <w:bottom w:val="nil"/>
              <w:right w:val="nil"/>
            </w:tcBorders>
            <w:vAlign w:val="center"/>
            <w:hideMark/>
          </w:tcPr>
          <w:p w14:paraId="1F351016"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51B6DCA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zvýšenie počtu zamestnancov analytických jednotiek </w:t>
            </w:r>
            <w:r>
              <w:rPr>
                <w:rFonts w:eastAsia="Times New Roman" w:cs="Times New Roman"/>
                <w:sz w:val="16"/>
                <w:szCs w:val="16"/>
                <w:lang w:eastAsia="sk-SK"/>
              </w:rPr>
              <w:t>Ministerstvo školstva, vedy, výskumu a športu SR</w:t>
            </w:r>
            <w:r w:rsidRPr="008C63ED">
              <w:rPr>
                <w:rFonts w:eastAsia="Times New Roman" w:cs="Times New Roman"/>
                <w:sz w:val="16"/>
                <w:szCs w:val="16"/>
                <w:lang w:eastAsia="sk-SK"/>
              </w:rPr>
              <w:t xml:space="preserve"> (3 osoby)</w:t>
            </w:r>
          </w:p>
        </w:tc>
        <w:tc>
          <w:tcPr>
            <w:tcW w:w="1701" w:type="dxa"/>
            <w:tcBorders>
              <w:top w:val="nil"/>
              <w:left w:val="nil"/>
              <w:bottom w:val="nil"/>
              <w:right w:val="nil"/>
            </w:tcBorders>
            <w:shd w:val="clear" w:color="auto" w:fill="auto"/>
            <w:vAlign w:val="center"/>
            <w:hideMark/>
          </w:tcPr>
          <w:p w14:paraId="6F3BE98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78</w:t>
            </w:r>
          </w:p>
        </w:tc>
      </w:tr>
      <w:tr w:rsidR="00E76212" w:rsidRPr="008C63ED" w14:paraId="741A9085"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25342CB5"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5DA3E87B"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7 601</w:t>
            </w:r>
          </w:p>
        </w:tc>
      </w:tr>
      <w:tr w:rsidR="00E76212" w:rsidRPr="008C63ED" w14:paraId="23C2C978" w14:textId="77777777" w:rsidTr="00D2560E">
        <w:trPr>
          <w:trHeight w:val="330"/>
        </w:trPr>
        <w:tc>
          <w:tcPr>
            <w:tcW w:w="1020" w:type="dxa"/>
            <w:vMerge w:val="restart"/>
            <w:tcBorders>
              <w:top w:val="nil"/>
              <w:left w:val="nil"/>
              <w:bottom w:val="nil"/>
              <w:right w:val="nil"/>
            </w:tcBorders>
            <w:shd w:val="clear" w:color="auto" w:fill="auto"/>
            <w:vAlign w:val="center"/>
            <w:hideMark/>
          </w:tcPr>
          <w:p w14:paraId="3A27365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pôdohospodárstva a rozvoja vidieka</w:t>
            </w:r>
            <w:r w:rsidRPr="008C63ED">
              <w:rPr>
                <w:rFonts w:eastAsia="Times New Roman" w:cs="Times New Roman"/>
                <w:sz w:val="16"/>
                <w:szCs w:val="16"/>
                <w:lang w:eastAsia="sk-SK"/>
              </w:rPr>
              <w:t xml:space="preserve"> SR </w:t>
            </w:r>
          </w:p>
        </w:tc>
        <w:tc>
          <w:tcPr>
            <w:tcW w:w="6351" w:type="dxa"/>
            <w:tcBorders>
              <w:top w:val="nil"/>
              <w:left w:val="nil"/>
              <w:bottom w:val="nil"/>
              <w:right w:val="nil"/>
            </w:tcBorders>
            <w:shd w:val="clear" w:color="auto" w:fill="auto"/>
            <w:vAlign w:val="bottom"/>
            <w:hideMark/>
          </w:tcPr>
          <w:p w14:paraId="0D5CF43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dofinancovanie osobných výdavkov AKOS</w:t>
            </w:r>
          </w:p>
        </w:tc>
        <w:tc>
          <w:tcPr>
            <w:tcW w:w="1701" w:type="dxa"/>
            <w:tcBorders>
              <w:top w:val="nil"/>
              <w:left w:val="nil"/>
              <w:bottom w:val="nil"/>
              <w:right w:val="nil"/>
            </w:tcBorders>
            <w:shd w:val="clear" w:color="auto" w:fill="auto"/>
            <w:vAlign w:val="center"/>
            <w:hideMark/>
          </w:tcPr>
          <w:p w14:paraId="5A7709E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3 846</w:t>
            </w:r>
          </w:p>
        </w:tc>
      </w:tr>
      <w:tr w:rsidR="00E76212" w:rsidRPr="008C63ED" w14:paraId="2B47E6F5" w14:textId="77777777" w:rsidTr="00D2560E">
        <w:trPr>
          <w:trHeight w:val="450"/>
        </w:trPr>
        <w:tc>
          <w:tcPr>
            <w:tcW w:w="1020" w:type="dxa"/>
            <w:vMerge/>
            <w:tcBorders>
              <w:top w:val="nil"/>
              <w:left w:val="nil"/>
              <w:bottom w:val="nil"/>
              <w:right w:val="nil"/>
            </w:tcBorders>
            <w:vAlign w:val="center"/>
            <w:hideMark/>
          </w:tcPr>
          <w:p w14:paraId="02B7B413"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5C83E83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dofinancovanie výdavkov rozpočtových organizácií M</w:t>
            </w:r>
            <w:r>
              <w:rPr>
                <w:rFonts w:eastAsia="Times New Roman" w:cs="Times New Roman"/>
                <w:sz w:val="16"/>
                <w:szCs w:val="16"/>
                <w:lang w:eastAsia="sk-SK"/>
              </w:rPr>
              <w:t>inisterstva pôdohospodárstva a rozvoja vidieka</w:t>
            </w:r>
            <w:r w:rsidRPr="008C63ED">
              <w:rPr>
                <w:rFonts w:eastAsia="Times New Roman" w:cs="Times New Roman"/>
                <w:sz w:val="16"/>
                <w:szCs w:val="16"/>
                <w:lang w:eastAsia="sk-SK"/>
              </w:rPr>
              <w:t xml:space="preserve"> SR v súvislosti </w:t>
            </w:r>
            <w:r w:rsidRPr="008C63ED">
              <w:rPr>
                <w:rFonts w:eastAsia="Times New Roman" w:cs="Times New Roman"/>
                <w:sz w:val="16"/>
                <w:szCs w:val="16"/>
                <w:lang w:eastAsia="sk-SK"/>
              </w:rPr>
              <w:br/>
              <w:t>s kontrolou dovozu agropotravinárskych komodít z Ukrajiny</w:t>
            </w:r>
          </w:p>
        </w:tc>
        <w:tc>
          <w:tcPr>
            <w:tcW w:w="1701" w:type="dxa"/>
            <w:tcBorders>
              <w:top w:val="nil"/>
              <w:left w:val="nil"/>
              <w:bottom w:val="nil"/>
              <w:right w:val="nil"/>
            </w:tcBorders>
            <w:shd w:val="clear" w:color="auto" w:fill="auto"/>
            <w:vAlign w:val="center"/>
            <w:hideMark/>
          </w:tcPr>
          <w:p w14:paraId="4B703902"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456</w:t>
            </w:r>
          </w:p>
        </w:tc>
      </w:tr>
      <w:tr w:rsidR="00E76212" w:rsidRPr="008C63ED" w14:paraId="2175D2B5" w14:textId="77777777" w:rsidTr="00D2560E">
        <w:trPr>
          <w:trHeight w:val="735"/>
        </w:trPr>
        <w:tc>
          <w:tcPr>
            <w:tcW w:w="1020" w:type="dxa"/>
            <w:vMerge/>
            <w:tcBorders>
              <w:top w:val="nil"/>
              <w:left w:val="nil"/>
              <w:bottom w:val="nil"/>
              <w:right w:val="nil"/>
            </w:tcBorders>
            <w:vAlign w:val="center"/>
            <w:hideMark/>
          </w:tcPr>
          <w:p w14:paraId="007407B2"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7E57DE1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dofinancovanie výdavkov rozpočtových a príspevkových organizácií M</w:t>
            </w:r>
            <w:r>
              <w:rPr>
                <w:rFonts w:eastAsia="Times New Roman" w:cs="Times New Roman"/>
                <w:sz w:val="16"/>
                <w:szCs w:val="16"/>
                <w:lang w:eastAsia="sk-SK"/>
              </w:rPr>
              <w:t>inisterstva pôdohospodárstva a rozvoja vidieka</w:t>
            </w:r>
            <w:r w:rsidRPr="008C63ED">
              <w:rPr>
                <w:rFonts w:eastAsia="Times New Roman" w:cs="Times New Roman"/>
                <w:sz w:val="16"/>
                <w:szCs w:val="16"/>
                <w:lang w:eastAsia="sk-SK"/>
              </w:rPr>
              <w:t xml:space="preserve"> SR</w:t>
            </w:r>
            <w:r w:rsidRPr="008C63ED">
              <w:rPr>
                <w:rFonts w:eastAsia="Times New Roman" w:cs="Times New Roman"/>
                <w:sz w:val="16"/>
                <w:szCs w:val="16"/>
                <w:lang w:eastAsia="sk-SK"/>
              </w:rPr>
              <w:br/>
              <w:t>v súvislosti s kontrolou dovozu agropotravinárskych komodít z Ukrajiny (služobná pohotovosť, prevádzka a prístrojové vybavenie)</w:t>
            </w:r>
          </w:p>
        </w:tc>
        <w:tc>
          <w:tcPr>
            <w:tcW w:w="1701" w:type="dxa"/>
            <w:tcBorders>
              <w:top w:val="nil"/>
              <w:left w:val="nil"/>
              <w:bottom w:val="nil"/>
              <w:right w:val="nil"/>
            </w:tcBorders>
            <w:shd w:val="clear" w:color="auto" w:fill="auto"/>
            <w:vAlign w:val="center"/>
            <w:hideMark/>
          </w:tcPr>
          <w:p w14:paraId="0BF06C42"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192</w:t>
            </w:r>
          </w:p>
        </w:tc>
      </w:tr>
      <w:tr w:rsidR="00E76212" w:rsidRPr="008C63ED" w14:paraId="1FD132B7" w14:textId="77777777" w:rsidTr="00D2560E">
        <w:trPr>
          <w:trHeight w:val="330"/>
        </w:trPr>
        <w:tc>
          <w:tcPr>
            <w:tcW w:w="1020" w:type="dxa"/>
            <w:vMerge/>
            <w:tcBorders>
              <w:top w:val="nil"/>
              <w:left w:val="nil"/>
              <w:bottom w:val="nil"/>
              <w:right w:val="nil"/>
            </w:tcBorders>
            <w:vAlign w:val="center"/>
            <w:hideMark/>
          </w:tcPr>
          <w:p w14:paraId="40211C1B"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5140140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zvýšenie počtu zamestnancov analytických jednotiek M</w:t>
            </w:r>
            <w:r>
              <w:rPr>
                <w:rFonts w:eastAsia="Times New Roman" w:cs="Times New Roman"/>
                <w:sz w:val="16"/>
                <w:szCs w:val="16"/>
                <w:lang w:eastAsia="sk-SK"/>
              </w:rPr>
              <w:t>inisterstva pôdohospodárstva a rozvoja vidieka</w:t>
            </w:r>
            <w:r w:rsidRPr="008C63ED">
              <w:rPr>
                <w:rFonts w:eastAsia="Times New Roman" w:cs="Times New Roman"/>
                <w:sz w:val="16"/>
                <w:szCs w:val="16"/>
                <w:lang w:eastAsia="sk-SK"/>
              </w:rPr>
              <w:t xml:space="preserve"> SR (5 osôb)</w:t>
            </w:r>
          </w:p>
        </w:tc>
        <w:tc>
          <w:tcPr>
            <w:tcW w:w="1701" w:type="dxa"/>
            <w:tcBorders>
              <w:top w:val="nil"/>
              <w:left w:val="nil"/>
              <w:bottom w:val="nil"/>
              <w:right w:val="nil"/>
            </w:tcBorders>
            <w:shd w:val="clear" w:color="auto" w:fill="auto"/>
            <w:vAlign w:val="center"/>
            <w:hideMark/>
          </w:tcPr>
          <w:p w14:paraId="224DDAD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129</w:t>
            </w:r>
          </w:p>
        </w:tc>
      </w:tr>
      <w:tr w:rsidR="00E76212" w:rsidRPr="008C63ED" w14:paraId="543E90B1"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37934A55"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28976D08"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4 622</w:t>
            </w:r>
          </w:p>
        </w:tc>
      </w:tr>
      <w:tr w:rsidR="00E76212" w:rsidRPr="008C63ED" w14:paraId="54FD11F1" w14:textId="77777777" w:rsidTr="00D2560E">
        <w:trPr>
          <w:trHeight w:val="450"/>
        </w:trPr>
        <w:tc>
          <w:tcPr>
            <w:tcW w:w="1020" w:type="dxa"/>
            <w:vMerge w:val="restart"/>
            <w:tcBorders>
              <w:top w:val="nil"/>
              <w:left w:val="nil"/>
              <w:bottom w:val="nil"/>
              <w:right w:val="nil"/>
            </w:tcBorders>
            <w:shd w:val="clear" w:color="auto" w:fill="auto"/>
            <w:vAlign w:val="center"/>
            <w:hideMark/>
          </w:tcPr>
          <w:p w14:paraId="7F41A66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G</w:t>
            </w:r>
            <w:r>
              <w:rPr>
                <w:rFonts w:eastAsia="Times New Roman" w:cs="Times New Roman"/>
                <w:sz w:val="16"/>
                <w:szCs w:val="16"/>
                <w:lang w:eastAsia="sk-SK"/>
              </w:rPr>
              <w:t>enerálna prokuratúra</w:t>
            </w:r>
            <w:r w:rsidRPr="008C63ED">
              <w:rPr>
                <w:rFonts w:eastAsia="Times New Roman" w:cs="Times New Roman"/>
                <w:sz w:val="16"/>
                <w:szCs w:val="16"/>
                <w:lang w:eastAsia="sk-SK"/>
              </w:rPr>
              <w:t xml:space="preserve"> SR </w:t>
            </w:r>
          </w:p>
        </w:tc>
        <w:tc>
          <w:tcPr>
            <w:tcW w:w="6351" w:type="dxa"/>
            <w:tcBorders>
              <w:top w:val="nil"/>
              <w:left w:val="nil"/>
              <w:bottom w:val="nil"/>
              <w:right w:val="nil"/>
            </w:tcBorders>
            <w:shd w:val="clear" w:color="auto" w:fill="auto"/>
            <w:vAlign w:val="bottom"/>
            <w:hideMark/>
          </w:tcPr>
          <w:p w14:paraId="1499779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úpravu platu a paušálnej náhrady ústavných činiteľov a platových náležitostí prokurátorov</w:t>
            </w:r>
          </w:p>
        </w:tc>
        <w:tc>
          <w:tcPr>
            <w:tcW w:w="1701" w:type="dxa"/>
            <w:tcBorders>
              <w:top w:val="nil"/>
              <w:left w:val="nil"/>
              <w:bottom w:val="nil"/>
              <w:right w:val="nil"/>
            </w:tcBorders>
            <w:shd w:val="clear" w:color="auto" w:fill="auto"/>
            <w:vAlign w:val="center"/>
            <w:hideMark/>
          </w:tcPr>
          <w:p w14:paraId="5E8CA75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3 864</w:t>
            </w:r>
          </w:p>
        </w:tc>
      </w:tr>
      <w:tr w:rsidR="00E76212" w:rsidRPr="008C63ED" w14:paraId="47B8EC5C" w14:textId="77777777" w:rsidTr="00D2560E">
        <w:trPr>
          <w:trHeight w:val="330"/>
        </w:trPr>
        <w:tc>
          <w:tcPr>
            <w:tcW w:w="1020" w:type="dxa"/>
            <w:vMerge/>
            <w:tcBorders>
              <w:top w:val="nil"/>
              <w:left w:val="nil"/>
              <w:bottom w:val="nil"/>
              <w:right w:val="nil"/>
            </w:tcBorders>
            <w:vAlign w:val="center"/>
            <w:hideMark/>
          </w:tcPr>
          <w:p w14:paraId="0BA63A1F"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03107C8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odchodné prokurátorov </w:t>
            </w:r>
          </w:p>
        </w:tc>
        <w:tc>
          <w:tcPr>
            <w:tcW w:w="1701" w:type="dxa"/>
            <w:tcBorders>
              <w:top w:val="nil"/>
              <w:left w:val="nil"/>
              <w:bottom w:val="nil"/>
              <w:right w:val="nil"/>
            </w:tcBorders>
            <w:shd w:val="clear" w:color="auto" w:fill="auto"/>
            <w:vAlign w:val="center"/>
            <w:hideMark/>
          </w:tcPr>
          <w:p w14:paraId="2A84E7A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707</w:t>
            </w:r>
          </w:p>
        </w:tc>
      </w:tr>
      <w:tr w:rsidR="00E76212" w:rsidRPr="008C63ED" w14:paraId="10847F3E"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1C50505A"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502758BF"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4 571</w:t>
            </w:r>
          </w:p>
        </w:tc>
      </w:tr>
      <w:tr w:rsidR="00E76212" w:rsidRPr="008C63ED" w14:paraId="7D3E3F33" w14:textId="77777777" w:rsidTr="00D2560E">
        <w:trPr>
          <w:trHeight w:val="330"/>
        </w:trPr>
        <w:tc>
          <w:tcPr>
            <w:tcW w:w="1020" w:type="dxa"/>
            <w:vMerge w:val="restart"/>
            <w:tcBorders>
              <w:top w:val="nil"/>
              <w:left w:val="nil"/>
              <w:bottom w:val="nil"/>
              <w:right w:val="nil"/>
            </w:tcBorders>
            <w:shd w:val="clear" w:color="auto" w:fill="auto"/>
            <w:vAlign w:val="center"/>
            <w:hideMark/>
          </w:tcPr>
          <w:p w14:paraId="4612178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financií</w:t>
            </w:r>
            <w:r w:rsidRPr="008C63ED">
              <w:rPr>
                <w:rFonts w:eastAsia="Times New Roman" w:cs="Times New Roman"/>
                <w:sz w:val="16"/>
                <w:szCs w:val="16"/>
                <w:lang w:eastAsia="sk-SK"/>
              </w:rPr>
              <w:t xml:space="preserve"> SR </w:t>
            </w:r>
          </w:p>
        </w:tc>
        <w:tc>
          <w:tcPr>
            <w:tcW w:w="6351" w:type="dxa"/>
            <w:tcBorders>
              <w:top w:val="nil"/>
              <w:left w:val="nil"/>
              <w:bottom w:val="nil"/>
              <w:right w:val="nil"/>
            </w:tcBorders>
            <w:shd w:val="clear" w:color="auto" w:fill="auto"/>
            <w:vAlign w:val="bottom"/>
            <w:hideMark/>
          </w:tcPr>
          <w:p w14:paraId="3F1E9EF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dofinancovanie osobných výdavkov AKOS</w:t>
            </w:r>
          </w:p>
        </w:tc>
        <w:tc>
          <w:tcPr>
            <w:tcW w:w="1701" w:type="dxa"/>
            <w:tcBorders>
              <w:top w:val="nil"/>
              <w:left w:val="nil"/>
              <w:bottom w:val="nil"/>
              <w:right w:val="nil"/>
            </w:tcBorders>
            <w:shd w:val="clear" w:color="auto" w:fill="auto"/>
            <w:vAlign w:val="center"/>
            <w:hideMark/>
          </w:tcPr>
          <w:p w14:paraId="71C0670D"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3 323</w:t>
            </w:r>
          </w:p>
        </w:tc>
      </w:tr>
      <w:tr w:rsidR="00E76212" w:rsidRPr="008C63ED" w14:paraId="382324FE" w14:textId="77777777" w:rsidTr="00D2560E">
        <w:trPr>
          <w:trHeight w:val="410"/>
        </w:trPr>
        <w:tc>
          <w:tcPr>
            <w:tcW w:w="1020" w:type="dxa"/>
            <w:vMerge/>
            <w:tcBorders>
              <w:top w:val="nil"/>
              <w:left w:val="nil"/>
              <w:bottom w:val="nil"/>
              <w:right w:val="nil"/>
            </w:tcBorders>
            <w:vAlign w:val="center"/>
            <w:hideMark/>
          </w:tcPr>
          <w:p w14:paraId="580B93DE"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4F348DB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plnenie úloh a personálne posilnenie organizačných útvarov MF SR – úrad (17 osôb)</w:t>
            </w:r>
          </w:p>
        </w:tc>
        <w:tc>
          <w:tcPr>
            <w:tcW w:w="1701" w:type="dxa"/>
            <w:tcBorders>
              <w:top w:val="nil"/>
              <w:left w:val="nil"/>
              <w:bottom w:val="nil"/>
              <w:right w:val="nil"/>
            </w:tcBorders>
            <w:shd w:val="clear" w:color="auto" w:fill="auto"/>
            <w:vAlign w:val="center"/>
            <w:hideMark/>
          </w:tcPr>
          <w:p w14:paraId="2E2E0FDC"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352</w:t>
            </w:r>
          </w:p>
        </w:tc>
      </w:tr>
      <w:tr w:rsidR="00E76212" w:rsidRPr="008C63ED" w14:paraId="6D453271" w14:textId="77777777" w:rsidTr="00D2560E">
        <w:trPr>
          <w:trHeight w:val="330"/>
        </w:trPr>
        <w:tc>
          <w:tcPr>
            <w:tcW w:w="1020" w:type="dxa"/>
            <w:vMerge/>
            <w:tcBorders>
              <w:top w:val="nil"/>
              <w:left w:val="nil"/>
              <w:bottom w:val="nil"/>
              <w:right w:val="nil"/>
            </w:tcBorders>
            <w:vAlign w:val="center"/>
            <w:hideMark/>
          </w:tcPr>
          <w:p w14:paraId="374EF559"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6B271F5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plnenie úloh a personálne posilnenie úradu MF SR (12 osôb)</w:t>
            </w:r>
          </w:p>
        </w:tc>
        <w:tc>
          <w:tcPr>
            <w:tcW w:w="1701" w:type="dxa"/>
            <w:tcBorders>
              <w:top w:val="nil"/>
              <w:left w:val="nil"/>
              <w:bottom w:val="nil"/>
              <w:right w:val="nil"/>
            </w:tcBorders>
            <w:shd w:val="clear" w:color="auto" w:fill="auto"/>
            <w:vAlign w:val="center"/>
            <w:hideMark/>
          </w:tcPr>
          <w:p w14:paraId="56EA156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140</w:t>
            </w:r>
          </w:p>
        </w:tc>
      </w:tr>
      <w:tr w:rsidR="00E76212" w:rsidRPr="008C63ED" w14:paraId="05B8C491" w14:textId="77777777" w:rsidTr="00D2560E">
        <w:trPr>
          <w:trHeight w:val="330"/>
        </w:trPr>
        <w:tc>
          <w:tcPr>
            <w:tcW w:w="1020" w:type="dxa"/>
            <w:vMerge/>
            <w:tcBorders>
              <w:top w:val="nil"/>
              <w:left w:val="nil"/>
              <w:bottom w:val="nil"/>
              <w:right w:val="nil"/>
            </w:tcBorders>
            <w:vAlign w:val="center"/>
            <w:hideMark/>
          </w:tcPr>
          <w:p w14:paraId="12AD0134"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1213EDF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zvýšenie počtu zamestnancov analytických jednotiek MF SR (7 osôb)</w:t>
            </w:r>
          </w:p>
        </w:tc>
        <w:tc>
          <w:tcPr>
            <w:tcW w:w="1701" w:type="dxa"/>
            <w:tcBorders>
              <w:top w:val="nil"/>
              <w:left w:val="nil"/>
              <w:bottom w:val="nil"/>
              <w:right w:val="nil"/>
            </w:tcBorders>
            <w:shd w:val="clear" w:color="auto" w:fill="auto"/>
            <w:vAlign w:val="center"/>
            <w:hideMark/>
          </w:tcPr>
          <w:p w14:paraId="219C56C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120</w:t>
            </w:r>
          </w:p>
        </w:tc>
      </w:tr>
      <w:tr w:rsidR="00E76212" w:rsidRPr="008C63ED" w14:paraId="2DEFFABB" w14:textId="77777777" w:rsidTr="00D2560E">
        <w:trPr>
          <w:trHeight w:val="330"/>
        </w:trPr>
        <w:tc>
          <w:tcPr>
            <w:tcW w:w="1020" w:type="dxa"/>
            <w:vMerge/>
            <w:tcBorders>
              <w:top w:val="nil"/>
              <w:left w:val="nil"/>
              <w:bottom w:val="nil"/>
              <w:right w:val="nil"/>
            </w:tcBorders>
            <w:vAlign w:val="center"/>
            <w:hideMark/>
          </w:tcPr>
          <w:p w14:paraId="1C59A6BA"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365DDBF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plnenie úloh a personálne posilnenie úradu MF SR (3 osoby)</w:t>
            </w:r>
          </w:p>
        </w:tc>
        <w:tc>
          <w:tcPr>
            <w:tcW w:w="1701" w:type="dxa"/>
            <w:tcBorders>
              <w:top w:val="nil"/>
              <w:left w:val="nil"/>
              <w:bottom w:val="nil"/>
              <w:right w:val="nil"/>
            </w:tcBorders>
            <w:shd w:val="clear" w:color="auto" w:fill="auto"/>
            <w:vAlign w:val="center"/>
            <w:hideMark/>
          </w:tcPr>
          <w:p w14:paraId="49CBE3D3"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35</w:t>
            </w:r>
          </w:p>
        </w:tc>
      </w:tr>
      <w:tr w:rsidR="00E76212" w:rsidRPr="008C63ED" w14:paraId="6A885779"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6A72B30B"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4D4BA867"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3 969</w:t>
            </w:r>
          </w:p>
        </w:tc>
      </w:tr>
      <w:tr w:rsidR="00E76212" w:rsidRPr="008C63ED" w14:paraId="11B60736" w14:textId="77777777" w:rsidTr="00D2560E">
        <w:trPr>
          <w:trHeight w:val="330"/>
        </w:trPr>
        <w:tc>
          <w:tcPr>
            <w:tcW w:w="1020" w:type="dxa"/>
            <w:vMerge w:val="restart"/>
            <w:tcBorders>
              <w:top w:val="nil"/>
              <w:left w:val="nil"/>
              <w:bottom w:val="nil"/>
              <w:right w:val="nil"/>
            </w:tcBorders>
            <w:shd w:val="clear" w:color="auto" w:fill="auto"/>
            <w:vAlign w:val="center"/>
            <w:hideMark/>
          </w:tcPr>
          <w:p w14:paraId="0B90B7E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Ú</w:t>
            </w:r>
            <w:r>
              <w:rPr>
                <w:rFonts w:eastAsia="Times New Roman" w:cs="Times New Roman"/>
                <w:sz w:val="16"/>
                <w:szCs w:val="16"/>
                <w:lang w:eastAsia="sk-SK"/>
              </w:rPr>
              <w:t>rad vlády</w:t>
            </w:r>
            <w:r w:rsidRPr="008C63ED">
              <w:rPr>
                <w:rFonts w:eastAsia="Times New Roman" w:cs="Times New Roman"/>
                <w:sz w:val="16"/>
                <w:szCs w:val="16"/>
                <w:lang w:eastAsia="sk-SK"/>
              </w:rPr>
              <w:t xml:space="preserve"> SR</w:t>
            </w:r>
          </w:p>
        </w:tc>
        <w:tc>
          <w:tcPr>
            <w:tcW w:w="6351" w:type="dxa"/>
            <w:tcBorders>
              <w:top w:val="nil"/>
              <w:left w:val="nil"/>
              <w:bottom w:val="nil"/>
              <w:right w:val="nil"/>
            </w:tcBorders>
            <w:shd w:val="clear" w:color="auto" w:fill="auto"/>
            <w:vAlign w:val="bottom"/>
            <w:hideMark/>
          </w:tcPr>
          <w:p w14:paraId="49EC689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dofinancovanie výdavkov AKOS</w:t>
            </w:r>
          </w:p>
        </w:tc>
        <w:tc>
          <w:tcPr>
            <w:tcW w:w="1701" w:type="dxa"/>
            <w:tcBorders>
              <w:top w:val="nil"/>
              <w:left w:val="nil"/>
              <w:bottom w:val="nil"/>
              <w:right w:val="nil"/>
            </w:tcBorders>
            <w:shd w:val="clear" w:color="auto" w:fill="auto"/>
            <w:vAlign w:val="center"/>
            <w:hideMark/>
          </w:tcPr>
          <w:p w14:paraId="0D7662B9"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1 699</w:t>
            </w:r>
          </w:p>
        </w:tc>
      </w:tr>
      <w:tr w:rsidR="00E76212" w:rsidRPr="008C63ED" w14:paraId="16661028" w14:textId="77777777" w:rsidTr="00D2560E">
        <w:trPr>
          <w:trHeight w:val="330"/>
        </w:trPr>
        <w:tc>
          <w:tcPr>
            <w:tcW w:w="1020" w:type="dxa"/>
            <w:vMerge/>
            <w:tcBorders>
              <w:top w:val="nil"/>
              <w:left w:val="nil"/>
              <w:bottom w:val="nil"/>
              <w:right w:val="nil"/>
            </w:tcBorders>
            <w:vAlign w:val="center"/>
            <w:hideMark/>
          </w:tcPr>
          <w:p w14:paraId="0F3F5858"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0C2CE48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odstupné a odvody do poisťovní v súvislosti s organizačnými zmenami</w:t>
            </w:r>
          </w:p>
        </w:tc>
        <w:tc>
          <w:tcPr>
            <w:tcW w:w="1701" w:type="dxa"/>
            <w:tcBorders>
              <w:top w:val="nil"/>
              <w:left w:val="nil"/>
              <w:bottom w:val="nil"/>
              <w:right w:val="nil"/>
            </w:tcBorders>
            <w:shd w:val="clear" w:color="auto" w:fill="auto"/>
            <w:vAlign w:val="center"/>
            <w:hideMark/>
          </w:tcPr>
          <w:p w14:paraId="3147467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545</w:t>
            </w:r>
          </w:p>
        </w:tc>
      </w:tr>
      <w:tr w:rsidR="00E76212" w:rsidRPr="008C63ED" w14:paraId="5589E911" w14:textId="77777777" w:rsidTr="00D2560E">
        <w:trPr>
          <w:trHeight w:val="330"/>
        </w:trPr>
        <w:tc>
          <w:tcPr>
            <w:tcW w:w="1020" w:type="dxa"/>
            <w:vMerge/>
            <w:tcBorders>
              <w:top w:val="nil"/>
              <w:left w:val="nil"/>
              <w:bottom w:val="nil"/>
              <w:right w:val="nil"/>
            </w:tcBorders>
            <w:vAlign w:val="center"/>
            <w:hideMark/>
          </w:tcPr>
          <w:p w14:paraId="64867D5C"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1684206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personálne posilnenie pre útvary ÚV SR (10 osôb)</w:t>
            </w:r>
          </w:p>
        </w:tc>
        <w:tc>
          <w:tcPr>
            <w:tcW w:w="1701" w:type="dxa"/>
            <w:tcBorders>
              <w:top w:val="nil"/>
              <w:left w:val="nil"/>
              <w:bottom w:val="nil"/>
              <w:right w:val="nil"/>
            </w:tcBorders>
            <w:shd w:val="clear" w:color="auto" w:fill="auto"/>
            <w:vAlign w:val="center"/>
            <w:hideMark/>
          </w:tcPr>
          <w:p w14:paraId="65DC7539"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383</w:t>
            </w:r>
          </w:p>
        </w:tc>
      </w:tr>
      <w:tr w:rsidR="00E76212" w:rsidRPr="008C63ED" w14:paraId="404B9456" w14:textId="77777777" w:rsidTr="00D2560E">
        <w:trPr>
          <w:trHeight w:val="330"/>
        </w:trPr>
        <w:tc>
          <w:tcPr>
            <w:tcW w:w="1020" w:type="dxa"/>
            <w:vMerge/>
            <w:tcBorders>
              <w:top w:val="nil"/>
              <w:left w:val="nil"/>
              <w:bottom w:val="nil"/>
              <w:right w:val="nil"/>
            </w:tcBorders>
            <w:vAlign w:val="center"/>
            <w:hideMark/>
          </w:tcPr>
          <w:p w14:paraId="26BF1774"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0BF394A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zvýšenie počtu zamestnancov analytických jednotiek ÚV SR (3 osoby)</w:t>
            </w:r>
          </w:p>
        </w:tc>
        <w:tc>
          <w:tcPr>
            <w:tcW w:w="1701" w:type="dxa"/>
            <w:tcBorders>
              <w:top w:val="nil"/>
              <w:left w:val="nil"/>
              <w:bottom w:val="nil"/>
              <w:right w:val="nil"/>
            </w:tcBorders>
            <w:shd w:val="clear" w:color="auto" w:fill="auto"/>
            <w:vAlign w:val="center"/>
            <w:hideMark/>
          </w:tcPr>
          <w:p w14:paraId="1A9AD0DE"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77</w:t>
            </w:r>
          </w:p>
        </w:tc>
      </w:tr>
      <w:tr w:rsidR="00E76212" w:rsidRPr="008C63ED" w14:paraId="4E2C720B" w14:textId="77777777" w:rsidTr="00D2560E">
        <w:trPr>
          <w:trHeight w:val="450"/>
        </w:trPr>
        <w:tc>
          <w:tcPr>
            <w:tcW w:w="1020" w:type="dxa"/>
            <w:vMerge/>
            <w:tcBorders>
              <w:top w:val="nil"/>
              <w:left w:val="nil"/>
              <w:bottom w:val="nil"/>
              <w:right w:val="nil"/>
            </w:tcBorders>
            <w:vAlign w:val="center"/>
            <w:hideMark/>
          </w:tcPr>
          <w:p w14:paraId="2E869038"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7B577A2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personálne posilnenie pre Úrad splnomocnenca vlády pre rómske komunity </w:t>
            </w:r>
            <w:r w:rsidRPr="008C63ED">
              <w:rPr>
                <w:rFonts w:eastAsia="Times New Roman" w:cs="Times New Roman"/>
                <w:sz w:val="16"/>
                <w:szCs w:val="16"/>
                <w:lang w:eastAsia="sk-SK"/>
              </w:rPr>
              <w:br/>
              <w:t>(1 osoba)</w:t>
            </w:r>
          </w:p>
        </w:tc>
        <w:tc>
          <w:tcPr>
            <w:tcW w:w="1701" w:type="dxa"/>
            <w:tcBorders>
              <w:top w:val="nil"/>
              <w:left w:val="nil"/>
              <w:bottom w:val="nil"/>
              <w:right w:val="nil"/>
            </w:tcBorders>
            <w:shd w:val="clear" w:color="auto" w:fill="auto"/>
            <w:vAlign w:val="center"/>
            <w:hideMark/>
          </w:tcPr>
          <w:p w14:paraId="65F6F546"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54</w:t>
            </w:r>
          </w:p>
        </w:tc>
      </w:tr>
      <w:tr w:rsidR="00E76212" w:rsidRPr="008C63ED" w14:paraId="554D88F7" w14:textId="77777777" w:rsidTr="00D2560E">
        <w:trPr>
          <w:trHeight w:val="750"/>
        </w:trPr>
        <w:tc>
          <w:tcPr>
            <w:tcW w:w="1020" w:type="dxa"/>
            <w:vMerge/>
            <w:tcBorders>
              <w:top w:val="nil"/>
              <w:left w:val="nil"/>
              <w:bottom w:val="nil"/>
              <w:right w:val="nil"/>
            </w:tcBorders>
            <w:vAlign w:val="center"/>
            <w:hideMark/>
          </w:tcPr>
          <w:p w14:paraId="1A1FF441"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56EA167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finančné a personálne zabezpečenie útvarov, ktoré vznikli z národného projektu Zvýšenie odolnosti Slovenska voči hybridným hrozbám pomocou posilnenia kapacít VS podľa UZN č. 335/2023 (7 osôb)</w:t>
            </w:r>
          </w:p>
        </w:tc>
        <w:tc>
          <w:tcPr>
            <w:tcW w:w="1701" w:type="dxa"/>
            <w:tcBorders>
              <w:top w:val="nil"/>
              <w:left w:val="nil"/>
              <w:bottom w:val="nil"/>
              <w:right w:val="nil"/>
            </w:tcBorders>
            <w:shd w:val="clear" w:color="auto" w:fill="auto"/>
            <w:vAlign w:val="center"/>
            <w:hideMark/>
          </w:tcPr>
          <w:p w14:paraId="6D6BA2B2"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35</w:t>
            </w:r>
          </w:p>
        </w:tc>
      </w:tr>
      <w:tr w:rsidR="00E76212" w:rsidRPr="008C63ED" w14:paraId="4D869A79" w14:textId="77777777" w:rsidTr="00D2560E">
        <w:trPr>
          <w:trHeight w:val="502"/>
        </w:trPr>
        <w:tc>
          <w:tcPr>
            <w:tcW w:w="1020" w:type="dxa"/>
            <w:vMerge/>
            <w:tcBorders>
              <w:top w:val="nil"/>
              <w:left w:val="nil"/>
              <w:bottom w:val="nil"/>
              <w:right w:val="nil"/>
            </w:tcBorders>
            <w:vAlign w:val="center"/>
            <w:hideMark/>
          </w:tcPr>
          <w:p w14:paraId="1A8C40C7"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119DCBF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osobné výdavky a personálne posilnenie pre Úrad splnomocnenca vlády SR pre rómske komunity v súvislosti s dátovou platformou (2 osoby)</w:t>
            </w:r>
          </w:p>
        </w:tc>
        <w:tc>
          <w:tcPr>
            <w:tcW w:w="1701" w:type="dxa"/>
            <w:tcBorders>
              <w:top w:val="nil"/>
              <w:left w:val="nil"/>
              <w:bottom w:val="nil"/>
              <w:right w:val="nil"/>
            </w:tcBorders>
            <w:shd w:val="clear" w:color="auto" w:fill="auto"/>
            <w:vAlign w:val="center"/>
            <w:hideMark/>
          </w:tcPr>
          <w:p w14:paraId="6DA77D8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7</w:t>
            </w:r>
          </w:p>
        </w:tc>
      </w:tr>
      <w:tr w:rsidR="00E76212" w:rsidRPr="008C63ED" w14:paraId="73B6699E"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3FE10147"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35FADB28"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2 801</w:t>
            </w:r>
          </w:p>
        </w:tc>
      </w:tr>
      <w:tr w:rsidR="00E76212" w:rsidRPr="008C63ED" w14:paraId="4EB14326" w14:textId="77777777" w:rsidTr="00D2560E">
        <w:trPr>
          <w:trHeight w:val="330"/>
        </w:trPr>
        <w:tc>
          <w:tcPr>
            <w:tcW w:w="1020" w:type="dxa"/>
            <w:vMerge w:val="restart"/>
            <w:tcBorders>
              <w:top w:val="nil"/>
              <w:left w:val="nil"/>
              <w:bottom w:val="nil"/>
              <w:right w:val="nil"/>
            </w:tcBorders>
            <w:shd w:val="clear" w:color="auto" w:fill="auto"/>
            <w:vAlign w:val="center"/>
            <w:hideMark/>
          </w:tcPr>
          <w:p w14:paraId="37FEB54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K</w:t>
            </w:r>
            <w:r>
              <w:rPr>
                <w:rFonts w:eastAsia="Times New Roman" w:cs="Times New Roman"/>
                <w:sz w:val="16"/>
                <w:szCs w:val="16"/>
                <w:lang w:eastAsia="sk-SK"/>
              </w:rPr>
              <w:t xml:space="preserve">ancelária </w:t>
            </w:r>
            <w:r w:rsidRPr="008C63ED">
              <w:rPr>
                <w:rFonts w:eastAsia="Times New Roman" w:cs="Times New Roman"/>
                <w:sz w:val="16"/>
                <w:szCs w:val="16"/>
                <w:lang w:eastAsia="sk-SK"/>
              </w:rPr>
              <w:t xml:space="preserve">NR SR </w:t>
            </w:r>
          </w:p>
        </w:tc>
        <w:tc>
          <w:tcPr>
            <w:tcW w:w="6351" w:type="dxa"/>
            <w:tcBorders>
              <w:top w:val="nil"/>
              <w:left w:val="nil"/>
              <w:bottom w:val="nil"/>
              <w:right w:val="nil"/>
            </w:tcBorders>
            <w:shd w:val="clear" w:color="auto" w:fill="auto"/>
            <w:vAlign w:val="bottom"/>
            <w:hideMark/>
          </w:tcPr>
          <w:p w14:paraId="417E422F" w14:textId="77777777" w:rsidR="00E76212" w:rsidRPr="008C63ED" w:rsidRDefault="00E76212" w:rsidP="00D2560E">
            <w:pPr>
              <w:spacing w:after="0" w:line="240" w:lineRule="auto"/>
              <w:rPr>
                <w:rFonts w:eastAsia="Times New Roman" w:cs="Times New Roman"/>
                <w:sz w:val="16"/>
                <w:szCs w:val="16"/>
                <w:lang w:eastAsia="sk-SK"/>
              </w:rPr>
            </w:pPr>
          </w:p>
          <w:p w14:paraId="23BDDE8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odstupné pre poslancov podľa § 2 zákona č. 120/1993 Z. z. o platových pomeroch niektorých ústavných činiteľov Slovenskej republiky v znení neskorších predpisov</w:t>
            </w:r>
          </w:p>
        </w:tc>
        <w:tc>
          <w:tcPr>
            <w:tcW w:w="1701" w:type="dxa"/>
            <w:tcBorders>
              <w:top w:val="nil"/>
              <w:left w:val="nil"/>
              <w:bottom w:val="nil"/>
              <w:right w:val="nil"/>
            </w:tcBorders>
            <w:shd w:val="clear" w:color="auto" w:fill="auto"/>
            <w:vAlign w:val="center"/>
            <w:hideMark/>
          </w:tcPr>
          <w:p w14:paraId="460F2954"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1 014</w:t>
            </w:r>
          </w:p>
        </w:tc>
      </w:tr>
      <w:tr w:rsidR="00E76212" w:rsidRPr="008C63ED" w14:paraId="4EA637CA" w14:textId="77777777" w:rsidTr="00D2560E">
        <w:trPr>
          <w:trHeight w:val="330"/>
        </w:trPr>
        <w:tc>
          <w:tcPr>
            <w:tcW w:w="1020" w:type="dxa"/>
            <w:vMerge/>
            <w:tcBorders>
              <w:top w:val="nil"/>
              <w:left w:val="nil"/>
              <w:bottom w:val="nil"/>
              <w:right w:val="nil"/>
            </w:tcBorders>
            <w:vAlign w:val="center"/>
            <w:hideMark/>
          </w:tcPr>
          <w:p w14:paraId="0169D529"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54233CE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úpravu platu a paušálnej náhrady ústavných činiteľov </w:t>
            </w:r>
          </w:p>
        </w:tc>
        <w:tc>
          <w:tcPr>
            <w:tcW w:w="1701" w:type="dxa"/>
            <w:tcBorders>
              <w:top w:val="nil"/>
              <w:left w:val="nil"/>
              <w:bottom w:val="nil"/>
              <w:right w:val="nil"/>
            </w:tcBorders>
            <w:shd w:val="clear" w:color="auto" w:fill="auto"/>
            <w:vAlign w:val="center"/>
            <w:hideMark/>
          </w:tcPr>
          <w:p w14:paraId="66E3DD1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1 013</w:t>
            </w:r>
          </w:p>
        </w:tc>
      </w:tr>
      <w:tr w:rsidR="00E76212" w:rsidRPr="008C63ED" w14:paraId="010E0D96"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59B71833"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xml:space="preserve">Spolu </w:t>
            </w:r>
          </w:p>
        </w:tc>
        <w:tc>
          <w:tcPr>
            <w:tcW w:w="1701" w:type="dxa"/>
            <w:tcBorders>
              <w:top w:val="nil"/>
              <w:left w:val="nil"/>
              <w:bottom w:val="single" w:sz="4" w:space="0" w:color="auto"/>
              <w:right w:val="nil"/>
            </w:tcBorders>
            <w:shd w:val="clear" w:color="auto" w:fill="auto"/>
            <w:vAlign w:val="center"/>
            <w:hideMark/>
          </w:tcPr>
          <w:p w14:paraId="602831DE"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2 027</w:t>
            </w:r>
          </w:p>
        </w:tc>
      </w:tr>
      <w:tr w:rsidR="00E76212" w:rsidRPr="008C63ED" w14:paraId="4628DFCA" w14:textId="77777777" w:rsidTr="00D2560E">
        <w:trPr>
          <w:trHeight w:val="330"/>
        </w:trPr>
        <w:tc>
          <w:tcPr>
            <w:tcW w:w="1020" w:type="dxa"/>
            <w:vMerge w:val="restart"/>
            <w:tcBorders>
              <w:top w:val="nil"/>
              <w:left w:val="nil"/>
              <w:bottom w:val="nil"/>
              <w:right w:val="nil"/>
            </w:tcBorders>
            <w:shd w:val="clear" w:color="auto" w:fill="auto"/>
            <w:noWrap/>
            <w:vAlign w:val="center"/>
            <w:hideMark/>
          </w:tcPr>
          <w:p w14:paraId="132BD13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zdravotníctva</w:t>
            </w:r>
            <w:r w:rsidRPr="008C63ED">
              <w:rPr>
                <w:rFonts w:eastAsia="Times New Roman" w:cs="Times New Roman"/>
                <w:sz w:val="16"/>
                <w:szCs w:val="16"/>
                <w:lang w:eastAsia="sk-SK"/>
              </w:rPr>
              <w:t xml:space="preserve"> SR</w:t>
            </w:r>
          </w:p>
        </w:tc>
        <w:tc>
          <w:tcPr>
            <w:tcW w:w="6351" w:type="dxa"/>
            <w:tcBorders>
              <w:top w:val="nil"/>
              <w:left w:val="nil"/>
              <w:bottom w:val="nil"/>
              <w:right w:val="nil"/>
            </w:tcBorders>
            <w:shd w:val="clear" w:color="auto" w:fill="auto"/>
            <w:vAlign w:val="bottom"/>
            <w:hideMark/>
          </w:tcPr>
          <w:p w14:paraId="1306EF4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dofinancovanie osobných výdavkov AKOS</w:t>
            </w:r>
          </w:p>
        </w:tc>
        <w:tc>
          <w:tcPr>
            <w:tcW w:w="1701" w:type="dxa"/>
            <w:tcBorders>
              <w:top w:val="nil"/>
              <w:left w:val="nil"/>
              <w:bottom w:val="nil"/>
              <w:right w:val="nil"/>
            </w:tcBorders>
            <w:shd w:val="clear" w:color="auto" w:fill="auto"/>
            <w:vAlign w:val="center"/>
            <w:hideMark/>
          </w:tcPr>
          <w:p w14:paraId="0C1614CE"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1 522</w:t>
            </w:r>
          </w:p>
        </w:tc>
      </w:tr>
      <w:tr w:rsidR="00E76212" w:rsidRPr="008C63ED" w14:paraId="45831722" w14:textId="77777777" w:rsidTr="00D2560E">
        <w:trPr>
          <w:trHeight w:val="522"/>
        </w:trPr>
        <w:tc>
          <w:tcPr>
            <w:tcW w:w="1020" w:type="dxa"/>
            <w:vMerge/>
            <w:tcBorders>
              <w:top w:val="nil"/>
              <w:left w:val="nil"/>
              <w:bottom w:val="nil"/>
              <w:right w:val="nil"/>
            </w:tcBorders>
            <w:vAlign w:val="center"/>
            <w:hideMark/>
          </w:tcPr>
          <w:p w14:paraId="291E2C60"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059934E6" w14:textId="77777777" w:rsidR="00E76212" w:rsidRPr="008C63ED" w:rsidRDefault="00E76212" w:rsidP="00D2560E">
            <w:pPr>
              <w:spacing w:after="0" w:line="240" w:lineRule="auto"/>
              <w:rPr>
                <w:rFonts w:eastAsia="Times New Roman" w:cs="Times New Roman"/>
                <w:sz w:val="16"/>
                <w:szCs w:val="16"/>
                <w:lang w:eastAsia="sk-SK"/>
              </w:rPr>
            </w:pPr>
            <w:r>
              <w:rPr>
                <w:rFonts w:eastAsia="Times New Roman" w:cs="Times New Roman"/>
                <w:sz w:val="16"/>
                <w:szCs w:val="16"/>
                <w:lang w:eastAsia="sk-SK"/>
              </w:rPr>
              <w:t>Na osobné výdavky pre 4</w:t>
            </w:r>
            <w:r w:rsidRPr="008C63ED">
              <w:rPr>
                <w:rFonts w:eastAsia="Times New Roman" w:cs="Times New Roman"/>
                <w:sz w:val="16"/>
                <w:szCs w:val="16"/>
                <w:lang w:eastAsia="sk-SK"/>
              </w:rPr>
              <w:t xml:space="preserve"> osoby v súvislosti s realizáciou investičného zámeru výstavby Univerzitnej nemocnice Bratislava Rázsochy podľa UZN č. 334/2023 (4 osoby)</w:t>
            </w:r>
          </w:p>
        </w:tc>
        <w:tc>
          <w:tcPr>
            <w:tcW w:w="1701" w:type="dxa"/>
            <w:tcBorders>
              <w:top w:val="nil"/>
              <w:left w:val="nil"/>
              <w:bottom w:val="nil"/>
              <w:right w:val="nil"/>
            </w:tcBorders>
            <w:shd w:val="clear" w:color="auto" w:fill="auto"/>
            <w:vAlign w:val="center"/>
            <w:hideMark/>
          </w:tcPr>
          <w:p w14:paraId="618EFCB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240</w:t>
            </w:r>
          </w:p>
        </w:tc>
      </w:tr>
      <w:tr w:rsidR="00E76212" w:rsidRPr="008C63ED" w14:paraId="7BCEFA3C" w14:textId="77777777" w:rsidTr="00D2560E">
        <w:trPr>
          <w:trHeight w:val="330"/>
        </w:trPr>
        <w:tc>
          <w:tcPr>
            <w:tcW w:w="1020" w:type="dxa"/>
            <w:vMerge/>
            <w:tcBorders>
              <w:top w:val="nil"/>
              <w:left w:val="nil"/>
              <w:bottom w:val="nil"/>
              <w:right w:val="nil"/>
            </w:tcBorders>
            <w:vAlign w:val="center"/>
            <w:hideMark/>
          </w:tcPr>
          <w:p w14:paraId="511B54D5"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2092554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zvýšenie počtu zamestnancov analytických jednotiek M</w:t>
            </w:r>
            <w:r>
              <w:rPr>
                <w:rFonts w:eastAsia="Times New Roman" w:cs="Times New Roman"/>
                <w:sz w:val="16"/>
                <w:szCs w:val="16"/>
                <w:lang w:eastAsia="sk-SK"/>
              </w:rPr>
              <w:t>inisterstva zdravotníctva</w:t>
            </w:r>
            <w:r w:rsidRPr="008C63ED">
              <w:rPr>
                <w:rFonts w:eastAsia="Times New Roman" w:cs="Times New Roman"/>
                <w:sz w:val="16"/>
                <w:szCs w:val="16"/>
                <w:lang w:eastAsia="sk-SK"/>
              </w:rPr>
              <w:t xml:space="preserve"> SR (3 osoby)</w:t>
            </w:r>
          </w:p>
        </w:tc>
        <w:tc>
          <w:tcPr>
            <w:tcW w:w="1701" w:type="dxa"/>
            <w:tcBorders>
              <w:top w:val="nil"/>
              <w:left w:val="nil"/>
              <w:bottom w:val="nil"/>
              <w:right w:val="nil"/>
            </w:tcBorders>
            <w:shd w:val="clear" w:color="auto" w:fill="auto"/>
            <w:vAlign w:val="center"/>
            <w:hideMark/>
          </w:tcPr>
          <w:p w14:paraId="28DE8632"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80</w:t>
            </w:r>
          </w:p>
        </w:tc>
      </w:tr>
      <w:tr w:rsidR="00E76212" w:rsidRPr="008C63ED" w14:paraId="76F1D1A7" w14:textId="77777777" w:rsidTr="00D2560E">
        <w:trPr>
          <w:trHeight w:val="330"/>
        </w:trPr>
        <w:tc>
          <w:tcPr>
            <w:tcW w:w="7371" w:type="dxa"/>
            <w:gridSpan w:val="2"/>
            <w:tcBorders>
              <w:top w:val="nil"/>
              <w:left w:val="nil"/>
              <w:bottom w:val="single" w:sz="4" w:space="0" w:color="auto"/>
              <w:right w:val="nil"/>
            </w:tcBorders>
            <w:shd w:val="clear" w:color="auto" w:fill="auto"/>
            <w:noWrap/>
            <w:vAlign w:val="center"/>
            <w:hideMark/>
          </w:tcPr>
          <w:p w14:paraId="4E62DA57"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415F0FE6"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1 842</w:t>
            </w:r>
          </w:p>
        </w:tc>
      </w:tr>
      <w:tr w:rsidR="00E76212" w:rsidRPr="008C63ED" w14:paraId="3A03AC78" w14:textId="77777777" w:rsidTr="00D2560E">
        <w:trPr>
          <w:trHeight w:val="330"/>
        </w:trPr>
        <w:tc>
          <w:tcPr>
            <w:tcW w:w="1020" w:type="dxa"/>
            <w:tcBorders>
              <w:top w:val="nil"/>
              <w:left w:val="nil"/>
              <w:bottom w:val="nil"/>
              <w:right w:val="nil"/>
            </w:tcBorders>
            <w:shd w:val="clear" w:color="auto" w:fill="auto"/>
            <w:vAlign w:val="center"/>
            <w:hideMark/>
          </w:tcPr>
          <w:p w14:paraId="76B087E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S</w:t>
            </w:r>
            <w:r>
              <w:rPr>
                <w:rFonts w:eastAsia="Times New Roman" w:cs="Times New Roman"/>
                <w:sz w:val="16"/>
                <w:szCs w:val="16"/>
                <w:lang w:eastAsia="sk-SK"/>
              </w:rPr>
              <w:t>lovenská informačná služba</w:t>
            </w:r>
          </w:p>
        </w:tc>
        <w:tc>
          <w:tcPr>
            <w:tcW w:w="6351" w:type="dxa"/>
            <w:tcBorders>
              <w:top w:val="nil"/>
              <w:left w:val="nil"/>
              <w:bottom w:val="nil"/>
              <w:right w:val="nil"/>
            </w:tcBorders>
            <w:shd w:val="clear" w:color="auto" w:fill="auto"/>
            <w:vAlign w:val="bottom"/>
            <w:hideMark/>
          </w:tcPr>
          <w:p w14:paraId="6D5A4D5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zabezpečenie efektívneho plnenia úloh </w:t>
            </w:r>
          </w:p>
        </w:tc>
        <w:tc>
          <w:tcPr>
            <w:tcW w:w="1701" w:type="dxa"/>
            <w:tcBorders>
              <w:top w:val="nil"/>
              <w:left w:val="nil"/>
              <w:bottom w:val="nil"/>
              <w:right w:val="nil"/>
            </w:tcBorders>
            <w:shd w:val="clear" w:color="auto" w:fill="auto"/>
            <w:vAlign w:val="center"/>
            <w:hideMark/>
          </w:tcPr>
          <w:p w14:paraId="3B1544F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1 186</w:t>
            </w:r>
          </w:p>
        </w:tc>
      </w:tr>
      <w:tr w:rsidR="00E76212" w:rsidRPr="008C63ED" w14:paraId="35539C3F"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39FC5149"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1FC72142"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1 186</w:t>
            </w:r>
          </w:p>
        </w:tc>
      </w:tr>
      <w:tr w:rsidR="00E76212" w:rsidRPr="008C63ED" w14:paraId="5A4CD7A3" w14:textId="77777777" w:rsidTr="00D2560E">
        <w:trPr>
          <w:trHeight w:val="330"/>
        </w:trPr>
        <w:tc>
          <w:tcPr>
            <w:tcW w:w="1020" w:type="dxa"/>
            <w:tcBorders>
              <w:top w:val="nil"/>
              <w:left w:val="nil"/>
              <w:bottom w:val="nil"/>
              <w:right w:val="nil"/>
            </w:tcBorders>
            <w:shd w:val="clear" w:color="auto" w:fill="auto"/>
            <w:vAlign w:val="center"/>
            <w:hideMark/>
          </w:tcPr>
          <w:p w14:paraId="3C34C49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S</w:t>
            </w:r>
            <w:r>
              <w:rPr>
                <w:rFonts w:eastAsia="Times New Roman" w:cs="Times New Roman"/>
                <w:sz w:val="16"/>
                <w:szCs w:val="16"/>
                <w:lang w:eastAsia="sk-SK"/>
              </w:rPr>
              <w:t>lovenská akadémia vied</w:t>
            </w:r>
          </w:p>
        </w:tc>
        <w:tc>
          <w:tcPr>
            <w:tcW w:w="6351" w:type="dxa"/>
            <w:tcBorders>
              <w:top w:val="nil"/>
              <w:left w:val="nil"/>
              <w:bottom w:val="nil"/>
              <w:right w:val="nil"/>
            </w:tcBorders>
            <w:shd w:val="clear" w:color="auto" w:fill="auto"/>
            <w:vAlign w:val="bottom"/>
            <w:hideMark/>
          </w:tcPr>
          <w:p w14:paraId="4F6656F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valorizáciu štipendií doktorandov verejných výskumných inštitúcií </w:t>
            </w:r>
          </w:p>
        </w:tc>
        <w:tc>
          <w:tcPr>
            <w:tcW w:w="1701" w:type="dxa"/>
            <w:tcBorders>
              <w:top w:val="nil"/>
              <w:left w:val="nil"/>
              <w:bottom w:val="nil"/>
              <w:right w:val="nil"/>
            </w:tcBorders>
            <w:shd w:val="clear" w:color="auto" w:fill="auto"/>
            <w:vAlign w:val="center"/>
            <w:hideMark/>
          </w:tcPr>
          <w:p w14:paraId="6124C2A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790</w:t>
            </w:r>
          </w:p>
        </w:tc>
      </w:tr>
      <w:tr w:rsidR="00E76212" w:rsidRPr="008C63ED" w14:paraId="7559C2C2" w14:textId="77777777" w:rsidTr="00D2560E">
        <w:trPr>
          <w:trHeight w:val="375"/>
        </w:trPr>
        <w:tc>
          <w:tcPr>
            <w:tcW w:w="7371" w:type="dxa"/>
            <w:gridSpan w:val="2"/>
            <w:tcBorders>
              <w:top w:val="nil"/>
              <w:left w:val="nil"/>
              <w:bottom w:val="single" w:sz="4" w:space="0" w:color="auto"/>
              <w:right w:val="nil"/>
            </w:tcBorders>
            <w:shd w:val="clear" w:color="auto" w:fill="auto"/>
            <w:vAlign w:val="center"/>
            <w:hideMark/>
          </w:tcPr>
          <w:p w14:paraId="50F966EC"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0AEE5C5B"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790</w:t>
            </w:r>
          </w:p>
        </w:tc>
      </w:tr>
      <w:tr w:rsidR="00E76212" w:rsidRPr="008C63ED" w14:paraId="44B26F9B" w14:textId="77777777" w:rsidTr="00D2560E">
        <w:trPr>
          <w:trHeight w:val="330"/>
        </w:trPr>
        <w:tc>
          <w:tcPr>
            <w:tcW w:w="1020" w:type="dxa"/>
            <w:tcBorders>
              <w:top w:val="nil"/>
              <w:left w:val="nil"/>
              <w:bottom w:val="nil"/>
              <w:right w:val="nil"/>
            </w:tcBorders>
            <w:shd w:val="clear" w:color="auto" w:fill="auto"/>
            <w:vAlign w:val="center"/>
            <w:hideMark/>
          </w:tcPr>
          <w:p w14:paraId="59F7AD3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Ú</w:t>
            </w:r>
            <w:r>
              <w:rPr>
                <w:rFonts w:eastAsia="Times New Roman" w:cs="Times New Roman"/>
                <w:sz w:val="16"/>
                <w:szCs w:val="16"/>
                <w:lang w:eastAsia="sk-SK"/>
              </w:rPr>
              <w:t>rad pre verejné obstarávanie</w:t>
            </w:r>
          </w:p>
        </w:tc>
        <w:tc>
          <w:tcPr>
            <w:tcW w:w="6351" w:type="dxa"/>
            <w:tcBorders>
              <w:top w:val="nil"/>
              <w:left w:val="nil"/>
              <w:bottom w:val="nil"/>
              <w:right w:val="nil"/>
            </w:tcBorders>
            <w:shd w:val="clear" w:color="auto" w:fill="auto"/>
            <w:vAlign w:val="bottom"/>
            <w:hideMark/>
          </w:tcPr>
          <w:p w14:paraId="0DBBE0C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dofinancovanie osobných výdavkov AKOS</w:t>
            </w:r>
          </w:p>
        </w:tc>
        <w:tc>
          <w:tcPr>
            <w:tcW w:w="1701" w:type="dxa"/>
            <w:tcBorders>
              <w:top w:val="nil"/>
              <w:left w:val="nil"/>
              <w:bottom w:val="nil"/>
              <w:right w:val="nil"/>
            </w:tcBorders>
            <w:shd w:val="clear" w:color="auto" w:fill="auto"/>
            <w:vAlign w:val="center"/>
            <w:hideMark/>
          </w:tcPr>
          <w:p w14:paraId="4AEEC2C2"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658</w:t>
            </w:r>
          </w:p>
        </w:tc>
      </w:tr>
      <w:tr w:rsidR="00E76212" w:rsidRPr="008C63ED" w14:paraId="47525C53"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0C707311"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50FAF9EA"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658</w:t>
            </w:r>
          </w:p>
        </w:tc>
      </w:tr>
      <w:tr w:rsidR="00E76212" w:rsidRPr="008C63ED" w14:paraId="2FAC6D2E" w14:textId="77777777" w:rsidTr="00D2560E">
        <w:trPr>
          <w:trHeight w:val="330"/>
        </w:trPr>
        <w:tc>
          <w:tcPr>
            <w:tcW w:w="1020" w:type="dxa"/>
            <w:tcBorders>
              <w:top w:val="nil"/>
              <w:left w:val="nil"/>
              <w:bottom w:val="nil"/>
              <w:right w:val="nil"/>
            </w:tcBorders>
            <w:shd w:val="clear" w:color="auto" w:fill="auto"/>
            <w:vAlign w:val="center"/>
            <w:hideMark/>
          </w:tcPr>
          <w:p w14:paraId="273E926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lastRenderedPageBreak/>
              <w:t>M</w:t>
            </w:r>
            <w:r>
              <w:rPr>
                <w:rFonts w:eastAsia="Times New Roman" w:cs="Times New Roman"/>
                <w:sz w:val="16"/>
                <w:szCs w:val="16"/>
                <w:lang w:eastAsia="sk-SK"/>
              </w:rPr>
              <w:t>inisterstvo kultúry</w:t>
            </w:r>
            <w:r w:rsidRPr="008C63ED">
              <w:rPr>
                <w:rFonts w:eastAsia="Times New Roman" w:cs="Times New Roman"/>
                <w:sz w:val="16"/>
                <w:szCs w:val="16"/>
                <w:lang w:eastAsia="sk-SK"/>
              </w:rPr>
              <w:t xml:space="preserve"> SR </w:t>
            </w:r>
          </w:p>
        </w:tc>
        <w:tc>
          <w:tcPr>
            <w:tcW w:w="6351" w:type="dxa"/>
            <w:tcBorders>
              <w:top w:val="nil"/>
              <w:left w:val="nil"/>
              <w:bottom w:val="nil"/>
              <w:right w:val="nil"/>
            </w:tcBorders>
            <w:shd w:val="clear" w:color="auto" w:fill="auto"/>
            <w:vAlign w:val="bottom"/>
            <w:hideMark/>
          </w:tcPr>
          <w:p w14:paraId="2682E94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osobné výdavky pre Slovenské národné divadlo a Slovenskú filharmóniu</w:t>
            </w:r>
          </w:p>
        </w:tc>
        <w:tc>
          <w:tcPr>
            <w:tcW w:w="1701" w:type="dxa"/>
            <w:tcBorders>
              <w:top w:val="nil"/>
              <w:left w:val="nil"/>
              <w:bottom w:val="nil"/>
              <w:right w:val="nil"/>
            </w:tcBorders>
            <w:shd w:val="clear" w:color="auto" w:fill="auto"/>
            <w:vAlign w:val="center"/>
            <w:hideMark/>
          </w:tcPr>
          <w:p w14:paraId="56B9C44C"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477</w:t>
            </w:r>
          </w:p>
        </w:tc>
      </w:tr>
      <w:tr w:rsidR="00E76212" w:rsidRPr="008C63ED" w14:paraId="26F86F4A"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04E541D3"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6A1AF366"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477</w:t>
            </w:r>
          </w:p>
        </w:tc>
      </w:tr>
      <w:tr w:rsidR="00E76212" w:rsidRPr="008C63ED" w14:paraId="6DEE7ABA" w14:textId="77777777" w:rsidTr="00D2560E">
        <w:trPr>
          <w:trHeight w:val="330"/>
        </w:trPr>
        <w:tc>
          <w:tcPr>
            <w:tcW w:w="1020" w:type="dxa"/>
            <w:tcBorders>
              <w:top w:val="nil"/>
              <w:left w:val="nil"/>
              <w:bottom w:val="nil"/>
              <w:right w:val="nil"/>
            </w:tcBorders>
            <w:shd w:val="clear" w:color="auto" w:fill="auto"/>
            <w:vAlign w:val="center"/>
            <w:hideMark/>
          </w:tcPr>
          <w:p w14:paraId="53B68AC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K</w:t>
            </w:r>
            <w:r>
              <w:rPr>
                <w:rFonts w:eastAsia="Times New Roman" w:cs="Times New Roman"/>
                <w:sz w:val="16"/>
                <w:szCs w:val="16"/>
                <w:lang w:eastAsia="sk-SK"/>
              </w:rPr>
              <w:t>ancelária Najvyššieho súdu</w:t>
            </w:r>
            <w:r w:rsidRPr="008C63ED">
              <w:rPr>
                <w:rFonts w:eastAsia="Times New Roman" w:cs="Times New Roman"/>
                <w:sz w:val="16"/>
                <w:szCs w:val="16"/>
                <w:lang w:eastAsia="sk-SK"/>
              </w:rPr>
              <w:t xml:space="preserve"> SR </w:t>
            </w:r>
          </w:p>
        </w:tc>
        <w:tc>
          <w:tcPr>
            <w:tcW w:w="6351" w:type="dxa"/>
            <w:tcBorders>
              <w:top w:val="nil"/>
              <w:left w:val="nil"/>
              <w:bottom w:val="nil"/>
              <w:right w:val="nil"/>
            </w:tcBorders>
            <w:shd w:val="clear" w:color="auto" w:fill="auto"/>
            <w:vAlign w:val="bottom"/>
            <w:hideMark/>
          </w:tcPr>
          <w:p w14:paraId="1CF7C3A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úpravu platových náležitostí sudcov</w:t>
            </w:r>
          </w:p>
        </w:tc>
        <w:tc>
          <w:tcPr>
            <w:tcW w:w="1701" w:type="dxa"/>
            <w:tcBorders>
              <w:top w:val="nil"/>
              <w:left w:val="nil"/>
              <w:bottom w:val="nil"/>
              <w:right w:val="nil"/>
            </w:tcBorders>
            <w:shd w:val="clear" w:color="auto" w:fill="auto"/>
            <w:vAlign w:val="center"/>
            <w:hideMark/>
          </w:tcPr>
          <w:p w14:paraId="5A82FB4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405</w:t>
            </w:r>
          </w:p>
        </w:tc>
      </w:tr>
      <w:tr w:rsidR="00E76212" w:rsidRPr="008C63ED" w14:paraId="3FB283CC"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70E72AA7"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6F5C36E3"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405</w:t>
            </w:r>
          </w:p>
        </w:tc>
      </w:tr>
      <w:tr w:rsidR="00E76212" w:rsidRPr="008C63ED" w14:paraId="0BEF9D8F" w14:textId="77777777" w:rsidTr="00D2560E">
        <w:trPr>
          <w:trHeight w:val="450"/>
        </w:trPr>
        <w:tc>
          <w:tcPr>
            <w:tcW w:w="1020" w:type="dxa"/>
            <w:vMerge w:val="restart"/>
            <w:tcBorders>
              <w:top w:val="nil"/>
              <w:left w:val="nil"/>
              <w:bottom w:val="nil"/>
              <w:right w:val="nil"/>
            </w:tcBorders>
            <w:shd w:val="clear" w:color="auto" w:fill="auto"/>
            <w:vAlign w:val="center"/>
            <w:hideMark/>
          </w:tcPr>
          <w:p w14:paraId="3E77012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 xml:space="preserve">inisterstvo zahraničných vecí a európskych záležitostí </w:t>
            </w:r>
            <w:r w:rsidRPr="008C63ED">
              <w:rPr>
                <w:rFonts w:eastAsia="Times New Roman" w:cs="Times New Roman"/>
                <w:sz w:val="16"/>
                <w:szCs w:val="16"/>
                <w:lang w:eastAsia="sk-SK"/>
              </w:rPr>
              <w:t xml:space="preserve">SR </w:t>
            </w:r>
          </w:p>
        </w:tc>
        <w:tc>
          <w:tcPr>
            <w:tcW w:w="6351" w:type="dxa"/>
            <w:tcBorders>
              <w:top w:val="nil"/>
              <w:left w:val="nil"/>
              <w:bottom w:val="nil"/>
              <w:right w:val="nil"/>
            </w:tcBorders>
            <w:shd w:val="clear" w:color="auto" w:fill="auto"/>
            <w:vAlign w:val="bottom"/>
            <w:hideMark/>
          </w:tcPr>
          <w:p w14:paraId="7673F90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zabezpečenie personálneho posilnenia zastupiteľských úradov podľa UZN </w:t>
            </w:r>
            <w:r w:rsidRPr="008C63ED">
              <w:rPr>
                <w:rFonts w:eastAsia="Times New Roman" w:cs="Times New Roman"/>
                <w:sz w:val="16"/>
                <w:szCs w:val="16"/>
                <w:lang w:eastAsia="sk-SK"/>
              </w:rPr>
              <w:br/>
              <w:t>č. 131/2023 (4 osoby)</w:t>
            </w:r>
          </w:p>
        </w:tc>
        <w:tc>
          <w:tcPr>
            <w:tcW w:w="1701" w:type="dxa"/>
            <w:tcBorders>
              <w:top w:val="nil"/>
              <w:left w:val="nil"/>
              <w:bottom w:val="nil"/>
              <w:right w:val="nil"/>
            </w:tcBorders>
            <w:shd w:val="clear" w:color="auto" w:fill="auto"/>
            <w:vAlign w:val="center"/>
            <w:hideMark/>
          </w:tcPr>
          <w:p w14:paraId="5A26574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193</w:t>
            </w:r>
          </w:p>
        </w:tc>
      </w:tr>
      <w:tr w:rsidR="00E76212" w:rsidRPr="008C63ED" w14:paraId="154520A3" w14:textId="77777777" w:rsidTr="00D2560E">
        <w:trPr>
          <w:trHeight w:val="256"/>
        </w:trPr>
        <w:tc>
          <w:tcPr>
            <w:tcW w:w="1020" w:type="dxa"/>
            <w:vMerge/>
            <w:tcBorders>
              <w:top w:val="nil"/>
              <w:left w:val="nil"/>
              <w:bottom w:val="nil"/>
              <w:right w:val="nil"/>
            </w:tcBorders>
            <w:vAlign w:val="center"/>
            <w:hideMark/>
          </w:tcPr>
          <w:p w14:paraId="027C2B1A"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708E481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dofinancovanie osobných výdavkov AKOS</w:t>
            </w:r>
          </w:p>
        </w:tc>
        <w:tc>
          <w:tcPr>
            <w:tcW w:w="1701" w:type="dxa"/>
            <w:tcBorders>
              <w:top w:val="nil"/>
              <w:left w:val="nil"/>
              <w:bottom w:val="nil"/>
              <w:right w:val="nil"/>
            </w:tcBorders>
            <w:shd w:val="clear" w:color="auto" w:fill="auto"/>
            <w:vAlign w:val="center"/>
            <w:hideMark/>
          </w:tcPr>
          <w:p w14:paraId="1D710E7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113</w:t>
            </w:r>
          </w:p>
        </w:tc>
      </w:tr>
      <w:tr w:rsidR="00E76212" w:rsidRPr="008C63ED" w14:paraId="27C77D4F" w14:textId="77777777" w:rsidTr="00D2560E">
        <w:trPr>
          <w:trHeight w:val="675"/>
        </w:trPr>
        <w:tc>
          <w:tcPr>
            <w:tcW w:w="1020" w:type="dxa"/>
            <w:vMerge/>
            <w:tcBorders>
              <w:top w:val="nil"/>
              <w:left w:val="nil"/>
              <w:bottom w:val="nil"/>
              <w:right w:val="nil"/>
            </w:tcBorders>
            <w:vAlign w:val="center"/>
            <w:hideMark/>
          </w:tcPr>
          <w:p w14:paraId="1801B72D"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14DD086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finančné a personálne zabezpečenie útvarov, ktoré vznikli z národného projektu Zvýšenie odolnosti Slovenska voči hybridným hrozbám pomocou posilnenia kapacít VS podľa UZN č. 335/2023 (8 osôb)</w:t>
            </w:r>
          </w:p>
        </w:tc>
        <w:tc>
          <w:tcPr>
            <w:tcW w:w="1701" w:type="dxa"/>
            <w:tcBorders>
              <w:top w:val="nil"/>
              <w:left w:val="nil"/>
              <w:bottom w:val="nil"/>
              <w:right w:val="nil"/>
            </w:tcBorders>
            <w:shd w:val="clear" w:color="auto" w:fill="auto"/>
            <w:vAlign w:val="center"/>
            <w:hideMark/>
          </w:tcPr>
          <w:p w14:paraId="7E97FCB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38</w:t>
            </w:r>
          </w:p>
        </w:tc>
      </w:tr>
      <w:tr w:rsidR="00E76212" w:rsidRPr="008C63ED" w14:paraId="777EBFCD"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2B1EFE6A"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5F13039E"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344</w:t>
            </w:r>
          </w:p>
        </w:tc>
      </w:tr>
      <w:tr w:rsidR="00E76212" w:rsidRPr="008C63ED" w14:paraId="3DCCF5F8" w14:textId="77777777" w:rsidTr="00D2560E">
        <w:trPr>
          <w:trHeight w:val="330"/>
        </w:trPr>
        <w:tc>
          <w:tcPr>
            <w:tcW w:w="1020" w:type="dxa"/>
            <w:vMerge w:val="restart"/>
            <w:tcBorders>
              <w:top w:val="nil"/>
              <w:left w:val="nil"/>
              <w:bottom w:val="nil"/>
              <w:right w:val="nil"/>
            </w:tcBorders>
            <w:shd w:val="clear" w:color="auto" w:fill="auto"/>
            <w:vAlign w:val="center"/>
            <w:hideMark/>
          </w:tcPr>
          <w:p w14:paraId="549121E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K</w:t>
            </w:r>
            <w:r>
              <w:rPr>
                <w:rFonts w:eastAsia="Times New Roman" w:cs="Times New Roman"/>
                <w:sz w:val="16"/>
                <w:szCs w:val="16"/>
                <w:lang w:eastAsia="sk-SK"/>
              </w:rPr>
              <w:t xml:space="preserve">ancelária </w:t>
            </w:r>
            <w:r w:rsidRPr="008C63ED">
              <w:rPr>
                <w:rFonts w:eastAsia="Times New Roman" w:cs="Times New Roman"/>
                <w:sz w:val="16"/>
                <w:szCs w:val="16"/>
                <w:lang w:eastAsia="sk-SK"/>
              </w:rPr>
              <w:t>Ú</w:t>
            </w:r>
            <w:r>
              <w:rPr>
                <w:rFonts w:eastAsia="Times New Roman" w:cs="Times New Roman"/>
                <w:sz w:val="16"/>
                <w:szCs w:val="16"/>
                <w:lang w:eastAsia="sk-SK"/>
              </w:rPr>
              <w:t>stavného súdu</w:t>
            </w:r>
            <w:r w:rsidRPr="008C63ED">
              <w:rPr>
                <w:rFonts w:eastAsia="Times New Roman" w:cs="Times New Roman"/>
                <w:sz w:val="16"/>
                <w:szCs w:val="16"/>
                <w:lang w:eastAsia="sk-SK"/>
              </w:rPr>
              <w:t xml:space="preserve"> SR </w:t>
            </w:r>
          </w:p>
        </w:tc>
        <w:tc>
          <w:tcPr>
            <w:tcW w:w="6351" w:type="dxa"/>
            <w:tcBorders>
              <w:top w:val="nil"/>
              <w:left w:val="nil"/>
              <w:bottom w:val="nil"/>
              <w:right w:val="nil"/>
            </w:tcBorders>
            <w:shd w:val="clear" w:color="auto" w:fill="auto"/>
            <w:vAlign w:val="bottom"/>
            <w:hideMark/>
          </w:tcPr>
          <w:p w14:paraId="5ECE22E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úpravu platu a paušálnej náhrady ústavných činiteľov </w:t>
            </w:r>
          </w:p>
        </w:tc>
        <w:tc>
          <w:tcPr>
            <w:tcW w:w="1701" w:type="dxa"/>
            <w:tcBorders>
              <w:top w:val="nil"/>
              <w:left w:val="nil"/>
              <w:bottom w:val="nil"/>
              <w:right w:val="nil"/>
            </w:tcBorders>
            <w:shd w:val="clear" w:color="auto" w:fill="auto"/>
            <w:vAlign w:val="center"/>
            <w:hideMark/>
          </w:tcPr>
          <w:p w14:paraId="3483C29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139</w:t>
            </w:r>
          </w:p>
        </w:tc>
      </w:tr>
      <w:tr w:rsidR="00E76212" w:rsidRPr="008C63ED" w14:paraId="1B0FBF09" w14:textId="77777777" w:rsidTr="00D2560E">
        <w:trPr>
          <w:trHeight w:val="375"/>
        </w:trPr>
        <w:tc>
          <w:tcPr>
            <w:tcW w:w="1020" w:type="dxa"/>
            <w:vMerge/>
            <w:tcBorders>
              <w:top w:val="nil"/>
              <w:left w:val="nil"/>
              <w:bottom w:val="nil"/>
              <w:right w:val="nil"/>
            </w:tcBorders>
            <w:vAlign w:val="center"/>
            <w:hideMark/>
          </w:tcPr>
          <w:p w14:paraId="7B050022"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09E31EC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príplatok k dôchodku za výkon funkcie sudcu Ústavného súdu SR</w:t>
            </w:r>
          </w:p>
        </w:tc>
        <w:tc>
          <w:tcPr>
            <w:tcW w:w="1701" w:type="dxa"/>
            <w:tcBorders>
              <w:top w:val="nil"/>
              <w:left w:val="nil"/>
              <w:bottom w:val="nil"/>
              <w:right w:val="nil"/>
            </w:tcBorders>
            <w:shd w:val="clear" w:color="auto" w:fill="auto"/>
            <w:vAlign w:val="center"/>
            <w:hideMark/>
          </w:tcPr>
          <w:p w14:paraId="692066AC"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70</w:t>
            </w:r>
          </w:p>
        </w:tc>
      </w:tr>
      <w:tr w:rsidR="00E76212" w:rsidRPr="008C63ED" w14:paraId="0940A0C0" w14:textId="77777777" w:rsidTr="00D2560E">
        <w:trPr>
          <w:trHeight w:val="356"/>
        </w:trPr>
        <w:tc>
          <w:tcPr>
            <w:tcW w:w="1020" w:type="dxa"/>
            <w:vMerge/>
            <w:tcBorders>
              <w:top w:val="nil"/>
              <w:left w:val="nil"/>
              <w:bottom w:val="nil"/>
              <w:right w:val="nil"/>
            </w:tcBorders>
            <w:vAlign w:val="center"/>
            <w:hideMark/>
          </w:tcPr>
          <w:p w14:paraId="46207AFC"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671AF0A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doplatok k príplatku k dôchodku z dôvodu jeho valorizácie za obdobie 01 - 12/2023 (23 osôb)</w:t>
            </w:r>
          </w:p>
        </w:tc>
        <w:tc>
          <w:tcPr>
            <w:tcW w:w="1701" w:type="dxa"/>
            <w:tcBorders>
              <w:top w:val="nil"/>
              <w:left w:val="nil"/>
              <w:bottom w:val="nil"/>
              <w:right w:val="nil"/>
            </w:tcBorders>
            <w:shd w:val="clear" w:color="auto" w:fill="auto"/>
            <w:vAlign w:val="center"/>
            <w:hideMark/>
          </w:tcPr>
          <w:p w14:paraId="0F8F5871"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31</w:t>
            </w:r>
          </w:p>
        </w:tc>
      </w:tr>
      <w:tr w:rsidR="00E76212" w:rsidRPr="008C63ED" w14:paraId="0EC49B9E" w14:textId="77777777" w:rsidTr="00D2560E">
        <w:trPr>
          <w:trHeight w:val="450"/>
        </w:trPr>
        <w:tc>
          <w:tcPr>
            <w:tcW w:w="1020" w:type="dxa"/>
            <w:vMerge/>
            <w:tcBorders>
              <w:top w:val="nil"/>
              <w:left w:val="nil"/>
              <w:bottom w:val="nil"/>
              <w:right w:val="nil"/>
            </w:tcBorders>
            <w:vAlign w:val="center"/>
            <w:hideMark/>
          </w:tcPr>
          <w:p w14:paraId="0F6393FC"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7A30E0C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príplatok k dôchodku za výkon funkcie sudcu Ústavného súdu SR pre nových poberateľov (2 osoby)</w:t>
            </w:r>
          </w:p>
        </w:tc>
        <w:tc>
          <w:tcPr>
            <w:tcW w:w="1701" w:type="dxa"/>
            <w:tcBorders>
              <w:top w:val="nil"/>
              <w:left w:val="nil"/>
              <w:bottom w:val="nil"/>
              <w:right w:val="nil"/>
            </w:tcBorders>
            <w:shd w:val="clear" w:color="auto" w:fill="auto"/>
            <w:vAlign w:val="center"/>
            <w:hideMark/>
          </w:tcPr>
          <w:p w14:paraId="402CB911" w14:textId="77777777" w:rsidR="00E76212" w:rsidRPr="008C63ED" w:rsidRDefault="00E76212" w:rsidP="00D2560E">
            <w:pPr>
              <w:spacing w:after="0" w:line="240" w:lineRule="auto"/>
              <w:jc w:val="right"/>
              <w:rPr>
                <w:rFonts w:eastAsia="Times New Roman" w:cs="Times New Roman"/>
                <w:sz w:val="16"/>
                <w:szCs w:val="16"/>
                <w:highlight w:val="yellow"/>
                <w:lang w:eastAsia="sk-SK"/>
              </w:rPr>
            </w:pPr>
            <w:r w:rsidRPr="008C63ED">
              <w:rPr>
                <w:rFonts w:eastAsia="Times New Roman" w:cs="Times New Roman"/>
                <w:sz w:val="16"/>
                <w:szCs w:val="16"/>
                <w:lang w:eastAsia="sk-SK"/>
              </w:rPr>
              <w:t>15</w:t>
            </w:r>
          </w:p>
        </w:tc>
      </w:tr>
      <w:tr w:rsidR="00E76212" w:rsidRPr="008C63ED" w14:paraId="47CDE44D"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2792B918"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42D38624"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256</w:t>
            </w:r>
          </w:p>
        </w:tc>
      </w:tr>
      <w:tr w:rsidR="00E76212" w:rsidRPr="008C63ED" w14:paraId="3A64881F" w14:textId="77777777" w:rsidTr="00D2560E">
        <w:trPr>
          <w:trHeight w:val="330"/>
        </w:trPr>
        <w:tc>
          <w:tcPr>
            <w:tcW w:w="1020" w:type="dxa"/>
            <w:vMerge w:val="restart"/>
            <w:tcBorders>
              <w:top w:val="nil"/>
              <w:left w:val="nil"/>
              <w:bottom w:val="nil"/>
              <w:right w:val="nil"/>
            </w:tcBorders>
            <w:shd w:val="clear" w:color="auto" w:fill="auto"/>
            <w:vAlign w:val="center"/>
            <w:hideMark/>
          </w:tcPr>
          <w:p w14:paraId="40BC33E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w:t>
            </w:r>
            <w:r>
              <w:rPr>
                <w:rFonts w:eastAsia="Times New Roman" w:cs="Times New Roman"/>
                <w:sz w:val="16"/>
                <w:szCs w:val="16"/>
                <w:lang w:eastAsia="sk-SK"/>
              </w:rPr>
              <w:t>árodný bezpečnostný úrad</w:t>
            </w:r>
          </w:p>
        </w:tc>
        <w:tc>
          <w:tcPr>
            <w:tcW w:w="6351" w:type="dxa"/>
            <w:tcBorders>
              <w:top w:val="nil"/>
              <w:left w:val="nil"/>
              <w:bottom w:val="nil"/>
              <w:right w:val="nil"/>
            </w:tcBorders>
            <w:shd w:val="clear" w:color="auto" w:fill="auto"/>
            <w:vAlign w:val="bottom"/>
            <w:hideMark/>
          </w:tcPr>
          <w:p w14:paraId="0F207EF6" w14:textId="77777777" w:rsidR="00E76212" w:rsidRPr="008C63ED" w:rsidRDefault="00E76212" w:rsidP="00D2560E">
            <w:pPr>
              <w:spacing w:after="0" w:line="240" w:lineRule="auto"/>
              <w:rPr>
                <w:rFonts w:eastAsia="Times New Roman" w:cs="Times New Roman"/>
                <w:sz w:val="16"/>
                <w:szCs w:val="16"/>
                <w:lang w:eastAsia="sk-SK"/>
              </w:rPr>
            </w:pPr>
            <w:r>
              <w:rPr>
                <w:rFonts w:eastAsia="Times New Roman" w:cs="Times New Roman"/>
                <w:sz w:val="16"/>
                <w:szCs w:val="16"/>
                <w:lang w:eastAsia="sk-SK"/>
              </w:rPr>
              <w:t xml:space="preserve">Na </w:t>
            </w:r>
            <w:r w:rsidRPr="008C63ED">
              <w:rPr>
                <w:rFonts w:eastAsia="Times New Roman" w:cs="Times New Roman"/>
                <w:sz w:val="16"/>
                <w:szCs w:val="16"/>
                <w:lang w:eastAsia="sk-SK"/>
              </w:rPr>
              <w:t xml:space="preserve">odchodné pre príslušníkov NBÚ </w:t>
            </w:r>
          </w:p>
        </w:tc>
        <w:tc>
          <w:tcPr>
            <w:tcW w:w="1701" w:type="dxa"/>
            <w:tcBorders>
              <w:top w:val="nil"/>
              <w:left w:val="nil"/>
              <w:bottom w:val="nil"/>
              <w:right w:val="nil"/>
            </w:tcBorders>
            <w:shd w:val="clear" w:color="auto" w:fill="auto"/>
            <w:vAlign w:val="center"/>
            <w:hideMark/>
          </w:tcPr>
          <w:p w14:paraId="6CB36CD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238</w:t>
            </w:r>
          </w:p>
        </w:tc>
      </w:tr>
      <w:tr w:rsidR="00E76212" w:rsidRPr="008C63ED" w14:paraId="376AD178" w14:textId="77777777" w:rsidTr="00D2560E">
        <w:trPr>
          <w:trHeight w:val="330"/>
        </w:trPr>
        <w:tc>
          <w:tcPr>
            <w:tcW w:w="1020" w:type="dxa"/>
            <w:vMerge/>
            <w:tcBorders>
              <w:top w:val="nil"/>
              <w:left w:val="nil"/>
              <w:bottom w:val="nil"/>
              <w:right w:val="nil"/>
            </w:tcBorders>
            <w:vAlign w:val="center"/>
            <w:hideMark/>
          </w:tcPr>
          <w:p w14:paraId="3DC6D053"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center"/>
            <w:hideMark/>
          </w:tcPr>
          <w:p w14:paraId="0F32C96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úpravu platových náležitostí riaditeľa NBÚ </w:t>
            </w:r>
          </w:p>
        </w:tc>
        <w:tc>
          <w:tcPr>
            <w:tcW w:w="1701" w:type="dxa"/>
            <w:tcBorders>
              <w:top w:val="nil"/>
              <w:left w:val="nil"/>
              <w:bottom w:val="nil"/>
              <w:right w:val="nil"/>
            </w:tcBorders>
            <w:shd w:val="clear" w:color="auto" w:fill="auto"/>
            <w:vAlign w:val="center"/>
            <w:hideMark/>
          </w:tcPr>
          <w:p w14:paraId="2A66738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w:t>
            </w:r>
          </w:p>
        </w:tc>
      </w:tr>
      <w:tr w:rsidR="00E76212" w:rsidRPr="008C63ED" w14:paraId="6FE28AD4"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17F2B0C1"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54738C84"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244</w:t>
            </w:r>
          </w:p>
        </w:tc>
      </w:tr>
      <w:tr w:rsidR="00E76212" w:rsidRPr="008C63ED" w14:paraId="06E6F7AA" w14:textId="77777777" w:rsidTr="00D2560E">
        <w:trPr>
          <w:trHeight w:val="330"/>
        </w:trPr>
        <w:tc>
          <w:tcPr>
            <w:tcW w:w="1020" w:type="dxa"/>
            <w:tcBorders>
              <w:top w:val="nil"/>
              <w:left w:val="nil"/>
              <w:bottom w:val="nil"/>
              <w:right w:val="nil"/>
            </w:tcBorders>
            <w:shd w:val="clear" w:color="auto" w:fill="auto"/>
            <w:vAlign w:val="center"/>
            <w:hideMark/>
          </w:tcPr>
          <w:p w14:paraId="2AD9293D" w14:textId="77777777" w:rsidR="00E76212" w:rsidRPr="008C63ED" w:rsidRDefault="00E76212" w:rsidP="00D2560E">
            <w:pPr>
              <w:spacing w:after="0" w:line="240" w:lineRule="auto"/>
              <w:jc w:val="left"/>
              <w:rPr>
                <w:rFonts w:eastAsia="Times New Roman" w:cs="Times New Roman"/>
                <w:sz w:val="16"/>
                <w:szCs w:val="16"/>
                <w:lang w:eastAsia="sk-SK"/>
              </w:rPr>
            </w:pPr>
            <w:r w:rsidRPr="008C63ED">
              <w:rPr>
                <w:rFonts w:eastAsia="Times New Roman" w:cs="Times New Roman"/>
                <w:sz w:val="16"/>
                <w:szCs w:val="16"/>
                <w:lang w:eastAsia="sk-SK"/>
              </w:rPr>
              <w:t>Ú</w:t>
            </w:r>
            <w:r>
              <w:rPr>
                <w:rFonts w:eastAsia="Times New Roman" w:cs="Times New Roman"/>
                <w:sz w:val="16"/>
                <w:szCs w:val="16"/>
                <w:lang w:eastAsia="sk-SK"/>
              </w:rPr>
              <w:t>rad pre reguláciu sieťových odvetví</w:t>
            </w:r>
          </w:p>
        </w:tc>
        <w:tc>
          <w:tcPr>
            <w:tcW w:w="6351" w:type="dxa"/>
            <w:tcBorders>
              <w:top w:val="nil"/>
              <w:left w:val="nil"/>
              <w:bottom w:val="nil"/>
              <w:right w:val="nil"/>
            </w:tcBorders>
            <w:shd w:val="clear" w:color="auto" w:fill="auto"/>
            <w:vAlign w:val="center"/>
            <w:hideMark/>
          </w:tcPr>
          <w:p w14:paraId="680FCBD8" w14:textId="77777777" w:rsidR="00E76212" w:rsidRPr="008C63ED" w:rsidRDefault="00E76212" w:rsidP="00D2560E">
            <w:pPr>
              <w:spacing w:after="0" w:line="240" w:lineRule="auto"/>
              <w:jc w:val="left"/>
              <w:rPr>
                <w:rFonts w:eastAsia="Times New Roman" w:cs="Times New Roman"/>
                <w:sz w:val="16"/>
                <w:szCs w:val="16"/>
                <w:lang w:eastAsia="sk-SK"/>
              </w:rPr>
            </w:pPr>
            <w:r w:rsidRPr="008C63ED">
              <w:rPr>
                <w:rFonts w:eastAsia="Times New Roman" w:cs="Times New Roman"/>
                <w:sz w:val="16"/>
                <w:szCs w:val="16"/>
                <w:lang w:eastAsia="sk-SK"/>
              </w:rPr>
              <w:t>Na mzdy a odmeny zamestnancom</w:t>
            </w:r>
          </w:p>
        </w:tc>
        <w:tc>
          <w:tcPr>
            <w:tcW w:w="1701" w:type="dxa"/>
            <w:tcBorders>
              <w:top w:val="nil"/>
              <w:left w:val="nil"/>
              <w:bottom w:val="nil"/>
              <w:right w:val="nil"/>
            </w:tcBorders>
            <w:shd w:val="clear" w:color="auto" w:fill="auto"/>
            <w:vAlign w:val="center"/>
            <w:hideMark/>
          </w:tcPr>
          <w:p w14:paraId="410C10A2"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200</w:t>
            </w:r>
          </w:p>
        </w:tc>
      </w:tr>
      <w:tr w:rsidR="00E76212" w:rsidRPr="008C63ED" w14:paraId="455659EA"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65B7DBF1"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597DACAD"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200</w:t>
            </w:r>
          </w:p>
        </w:tc>
      </w:tr>
      <w:tr w:rsidR="00E76212" w:rsidRPr="008C63ED" w14:paraId="255A5CC7" w14:textId="77777777" w:rsidTr="00D2560E">
        <w:trPr>
          <w:trHeight w:val="525"/>
        </w:trPr>
        <w:tc>
          <w:tcPr>
            <w:tcW w:w="1020" w:type="dxa"/>
            <w:vMerge w:val="restart"/>
            <w:tcBorders>
              <w:top w:val="nil"/>
              <w:left w:val="nil"/>
              <w:bottom w:val="nil"/>
              <w:right w:val="nil"/>
            </w:tcBorders>
            <w:shd w:val="clear" w:color="auto" w:fill="auto"/>
            <w:vAlign w:val="center"/>
            <w:hideMark/>
          </w:tcPr>
          <w:p w14:paraId="1CC4438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K</w:t>
            </w:r>
            <w:r>
              <w:rPr>
                <w:rFonts w:eastAsia="Times New Roman" w:cs="Times New Roman"/>
                <w:sz w:val="16"/>
                <w:szCs w:val="16"/>
                <w:lang w:eastAsia="sk-SK"/>
              </w:rPr>
              <w:t>ancelária prezidenta</w:t>
            </w:r>
            <w:r w:rsidRPr="008C63ED">
              <w:rPr>
                <w:rFonts w:eastAsia="Times New Roman" w:cs="Times New Roman"/>
                <w:sz w:val="16"/>
                <w:szCs w:val="16"/>
                <w:lang w:eastAsia="sk-SK"/>
              </w:rPr>
              <w:t xml:space="preserve"> SR </w:t>
            </w:r>
          </w:p>
        </w:tc>
        <w:tc>
          <w:tcPr>
            <w:tcW w:w="6351" w:type="dxa"/>
            <w:tcBorders>
              <w:top w:val="nil"/>
              <w:left w:val="nil"/>
              <w:bottom w:val="nil"/>
              <w:right w:val="nil"/>
            </w:tcBorders>
            <w:shd w:val="clear" w:color="auto" w:fill="auto"/>
            <w:vAlign w:val="bottom"/>
            <w:hideMark/>
          </w:tcPr>
          <w:p w14:paraId="305F132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odmeňovanie zamestnancov za ich prácu nadčas a vykonávanie služobných úloh nad rozsah činností vyplývajúce z ich opisov štátnozamestnaneckých miest</w:t>
            </w:r>
          </w:p>
        </w:tc>
        <w:tc>
          <w:tcPr>
            <w:tcW w:w="1701" w:type="dxa"/>
            <w:tcBorders>
              <w:top w:val="nil"/>
              <w:left w:val="nil"/>
              <w:bottom w:val="nil"/>
              <w:right w:val="nil"/>
            </w:tcBorders>
            <w:shd w:val="clear" w:color="auto" w:fill="auto"/>
            <w:vAlign w:val="center"/>
            <w:hideMark/>
          </w:tcPr>
          <w:p w14:paraId="4A6F27E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135</w:t>
            </w:r>
          </w:p>
        </w:tc>
      </w:tr>
      <w:tr w:rsidR="00E76212" w:rsidRPr="008C63ED" w14:paraId="513D7A96" w14:textId="77777777" w:rsidTr="00D2560E">
        <w:trPr>
          <w:trHeight w:val="375"/>
        </w:trPr>
        <w:tc>
          <w:tcPr>
            <w:tcW w:w="1020" w:type="dxa"/>
            <w:vMerge/>
            <w:tcBorders>
              <w:top w:val="nil"/>
              <w:left w:val="nil"/>
              <w:bottom w:val="nil"/>
              <w:right w:val="nil"/>
            </w:tcBorders>
            <w:vAlign w:val="center"/>
            <w:hideMark/>
          </w:tcPr>
          <w:p w14:paraId="16A5F6F1"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77FF3B5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valorizáciu doživotných platov troch bývalých prezidentov</w:t>
            </w:r>
          </w:p>
        </w:tc>
        <w:tc>
          <w:tcPr>
            <w:tcW w:w="1701" w:type="dxa"/>
            <w:tcBorders>
              <w:top w:val="nil"/>
              <w:left w:val="nil"/>
              <w:bottom w:val="nil"/>
              <w:right w:val="nil"/>
            </w:tcBorders>
            <w:shd w:val="clear" w:color="auto" w:fill="auto"/>
            <w:vAlign w:val="center"/>
            <w:hideMark/>
          </w:tcPr>
          <w:p w14:paraId="15935C02"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31</w:t>
            </w:r>
          </w:p>
        </w:tc>
      </w:tr>
      <w:tr w:rsidR="00E76212" w:rsidRPr="008C63ED" w14:paraId="23241800" w14:textId="77777777" w:rsidTr="00D2560E">
        <w:trPr>
          <w:trHeight w:val="330"/>
        </w:trPr>
        <w:tc>
          <w:tcPr>
            <w:tcW w:w="1020" w:type="dxa"/>
            <w:vMerge/>
            <w:tcBorders>
              <w:top w:val="nil"/>
              <w:left w:val="nil"/>
              <w:bottom w:val="nil"/>
              <w:right w:val="nil"/>
            </w:tcBorders>
            <w:vAlign w:val="center"/>
            <w:hideMark/>
          </w:tcPr>
          <w:p w14:paraId="3E94BFBB"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6B8C50B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úpravu platu prezidentky Slovenskej republiky </w:t>
            </w:r>
          </w:p>
        </w:tc>
        <w:tc>
          <w:tcPr>
            <w:tcW w:w="1701" w:type="dxa"/>
            <w:tcBorders>
              <w:top w:val="nil"/>
              <w:left w:val="nil"/>
              <w:bottom w:val="nil"/>
              <w:right w:val="nil"/>
            </w:tcBorders>
            <w:shd w:val="clear" w:color="auto" w:fill="auto"/>
            <w:vAlign w:val="center"/>
            <w:hideMark/>
          </w:tcPr>
          <w:p w14:paraId="01011F8D"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15</w:t>
            </w:r>
          </w:p>
        </w:tc>
      </w:tr>
      <w:tr w:rsidR="00E76212" w:rsidRPr="008C63ED" w14:paraId="33D90718"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3AB97F2F"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7951027A"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180</w:t>
            </w:r>
          </w:p>
        </w:tc>
      </w:tr>
      <w:tr w:rsidR="00E76212" w:rsidRPr="008C63ED" w14:paraId="388FA45A" w14:textId="77777777" w:rsidTr="00D2560E">
        <w:trPr>
          <w:trHeight w:val="330"/>
        </w:trPr>
        <w:tc>
          <w:tcPr>
            <w:tcW w:w="1020" w:type="dxa"/>
            <w:vMerge w:val="restart"/>
            <w:tcBorders>
              <w:top w:val="nil"/>
              <w:left w:val="nil"/>
              <w:bottom w:val="nil"/>
              <w:right w:val="nil"/>
            </w:tcBorders>
            <w:shd w:val="clear" w:color="auto" w:fill="auto"/>
            <w:vAlign w:val="center"/>
            <w:hideMark/>
          </w:tcPr>
          <w:p w14:paraId="27F1F87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P</w:t>
            </w:r>
            <w:r>
              <w:rPr>
                <w:rFonts w:eastAsia="Times New Roman" w:cs="Times New Roman"/>
                <w:sz w:val="16"/>
                <w:szCs w:val="16"/>
                <w:lang w:eastAsia="sk-SK"/>
              </w:rPr>
              <w:t xml:space="preserve">rotimonopolný úrad </w:t>
            </w:r>
            <w:r w:rsidRPr="008C63ED">
              <w:rPr>
                <w:rFonts w:eastAsia="Times New Roman" w:cs="Times New Roman"/>
                <w:sz w:val="16"/>
                <w:szCs w:val="16"/>
                <w:lang w:eastAsia="sk-SK"/>
              </w:rPr>
              <w:t xml:space="preserve">SR </w:t>
            </w:r>
          </w:p>
        </w:tc>
        <w:tc>
          <w:tcPr>
            <w:tcW w:w="6351" w:type="dxa"/>
            <w:tcBorders>
              <w:top w:val="nil"/>
              <w:left w:val="nil"/>
              <w:bottom w:val="nil"/>
              <w:right w:val="nil"/>
            </w:tcBorders>
            <w:shd w:val="clear" w:color="auto" w:fill="auto"/>
            <w:vAlign w:val="bottom"/>
            <w:hideMark/>
          </w:tcPr>
          <w:p w14:paraId="08D5B16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vyplatenie odchodného a odstupného </w:t>
            </w:r>
          </w:p>
        </w:tc>
        <w:tc>
          <w:tcPr>
            <w:tcW w:w="1701" w:type="dxa"/>
            <w:tcBorders>
              <w:top w:val="nil"/>
              <w:left w:val="nil"/>
              <w:bottom w:val="nil"/>
              <w:right w:val="nil"/>
            </w:tcBorders>
            <w:shd w:val="clear" w:color="auto" w:fill="auto"/>
            <w:vAlign w:val="center"/>
            <w:hideMark/>
          </w:tcPr>
          <w:p w14:paraId="7C96999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116</w:t>
            </w:r>
          </w:p>
        </w:tc>
      </w:tr>
      <w:tr w:rsidR="00E76212" w:rsidRPr="008C63ED" w14:paraId="3D87E90D" w14:textId="77777777" w:rsidTr="00D2560E">
        <w:trPr>
          <w:trHeight w:val="330"/>
        </w:trPr>
        <w:tc>
          <w:tcPr>
            <w:tcW w:w="1020" w:type="dxa"/>
            <w:vMerge/>
            <w:tcBorders>
              <w:top w:val="nil"/>
              <w:left w:val="nil"/>
              <w:bottom w:val="nil"/>
              <w:right w:val="nil"/>
            </w:tcBorders>
            <w:vAlign w:val="center"/>
            <w:hideMark/>
          </w:tcPr>
          <w:p w14:paraId="79A0F0D3"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2E43D09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zvýšenie počtu zamestnancov analytických jednotiek PMÚ SR (4 osoby)</w:t>
            </w:r>
          </w:p>
        </w:tc>
        <w:tc>
          <w:tcPr>
            <w:tcW w:w="1701" w:type="dxa"/>
            <w:tcBorders>
              <w:top w:val="nil"/>
              <w:left w:val="nil"/>
              <w:bottom w:val="nil"/>
              <w:right w:val="nil"/>
            </w:tcBorders>
            <w:shd w:val="clear" w:color="auto" w:fill="auto"/>
            <w:vAlign w:val="center"/>
            <w:hideMark/>
          </w:tcPr>
          <w:p w14:paraId="7AA5966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35</w:t>
            </w:r>
          </w:p>
        </w:tc>
      </w:tr>
      <w:tr w:rsidR="00E76212" w:rsidRPr="008C63ED" w14:paraId="1CE3CF1F"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22046679"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1DDC0621"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151</w:t>
            </w:r>
          </w:p>
        </w:tc>
      </w:tr>
      <w:tr w:rsidR="00E76212" w:rsidRPr="008C63ED" w14:paraId="7648F599" w14:textId="77777777" w:rsidTr="00D2560E">
        <w:trPr>
          <w:trHeight w:val="330"/>
        </w:trPr>
        <w:tc>
          <w:tcPr>
            <w:tcW w:w="1020" w:type="dxa"/>
            <w:tcBorders>
              <w:top w:val="nil"/>
              <w:left w:val="nil"/>
              <w:bottom w:val="nil"/>
              <w:right w:val="nil"/>
            </w:tcBorders>
            <w:shd w:val="clear" w:color="auto" w:fill="auto"/>
            <w:vAlign w:val="center"/>
            <w:hideMark/>
          </w:tcPr>
          <w:p w14:paraId="54A972A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K</w:t>
            </w:r>
            <w:r>
              <w:rPr>
                <w:rFonts w:eastAsia="Times New Roman" w:cs="Times New Roman"/>
                <w:sz w:val="16"/>
                <w:szCs w:val="16"/>
                <w:lang w:eastAsia="sk-SK"/>
              </w:rPr>
              <w:t xml:space="preserve">ancelária Najvyššieho správneho súdu </w:t>
            </w:r>
            <w:r w:rsidRPr="008C63ED">
              <w:rPr>
                <w:rFonts w:eastAsia="Times New Roman" w:cs="Times New Roman"/>
                <w:sz w:val="16"/>
                <w:szCs w:val="16"/>
                <w:lang w:eastAsia="sk-SK"/>
              </w:rPr>
              <w:t xml:space="preserve">SR </w:t>
            </w:r>
          </w:p>
        </w:tc>
        <w:tc>
          <w:tcPr>
            <w:tcW w:w="6351" w:type="dxa"/>
            <w:tcBorders>
              <w:top w:val="nil"/>
              <w:left w:val="nil"/>
              <w:bottom w:val="nil"/>
              <w:right w:val="nil"/>
            </w:tcBorders>
            <w:shd w:val="clear" w:color="auto" w:fill="auto"/>
            <w:vAlign w:val="center"/>
            <w:hideMark/>
          </w:tcPr>
          <w:p w14:paraId="03A0292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úpravu platov sudcov </w:t>
            </w:r>
          </w:p>
        </w:tc>
        <w:tc>
          <w:tcPr>
            <w:tcW w:w="1701" w:type="dxa"/>
            <w:tcBorders>
              <w:top w:val="nil"/>
              <w:left w:val="nil"/>
              <w:bottom w:val="nil"/>
              <w:right w:val="nil"/>
            </w:tcBorders>
            <w:shd w:val="clear" w:color="auto" w:fill="auto"/>
            <w:vAlign w:val="center"/>
            <w:hideMark/>
          </w:tcPr>
          <w:p w14:paraId="32580873"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71</w:t>
            </w:r>
          </w:p>
        </w:tc>
      </w:tr>
      <w:tr w:rsidR="00E76212" w:rsidRPr="008C63ED" w14:paraId="3C14F9DC"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6802D5E8"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4FD511B4"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71</w:t>
            </w:r>
          </w:p>
        </w:tc>
      </w:tr>
      <w:tr w:rsidR="00E76212" w:rsidRPr="008C63ED" w14:paraId="1A09B981" w14:textId="77777777" w:rsidTr="00D2560E">
        <w:trPr>
          <w:trHeight w:val="330"/>
        </w:trPr>
        <w:tc>
          <w:tcPr>
            <w:tcW w:w="1020" w:type="dxa"/>
            <w:vMerge w:val="restart"/>
            <w:tcBorders>
              <w:top w:val="nil"/>
              <w:left w:val="nil"/>
              <w:bottom w:val="nil"/>
              <w:right w:val="nil"/>
            </w:tcBorders>
            <w:shd w:val="clear" w:color="auto" w:fill="auto"/>
            <w:vAlign w:val="center"/>
            <w:hideMark/>
          </w:tcPr>
          <w:p w14:paraId="0BC2541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w:t>
            </w:r>
            <w:r>
              <w:rPr>
                <w:rFonts w:eastAsia="Times New Roman" w:cs="Times New Roman"/>
                <w:sz w:val="16"/>
                <w:szCs w:val="16"/>
                <w:lang w:eastAsia="sk-SK"/>
              </w:rPr>
              <w:t>ajvyšší kontrolný úrad</w:t>
            </w:r>
            <w:r w:rsidRPr="008C63ED">
              <w:rPr>
                <w:rFonts w:eastAsia="Times New Roman" w:cs="Times New Roman"/>
                <w:sz w:val="16"/>
                <w:szCs w:val="16"/>
                <w:lang w:eastAsia="sk-SK"/>
              </w:rPr>
              <w:t xml:space="preserve"> SR </w:t>
            </w:r>
          </w:p>
        </w:tc>
        <w:tc>
          <w:tcPr>
            <w:tcW w:w="6351" w:type="dxa"/>
            <w:tcBorders>
              <w:top w:val="nil"/>
              <w:left w:val="nil"/>
              <w:bottom w:val="nil"/>
              <w:right w:val="nil"/>
            </w:tcBorders>
            <w:shd w:val="clear" w:color="auto" w:fill="auto"/>
            <w:vAlign w:val="bottom"/>
            <w:hideMark/>
          </w:tcPr>
          <w:p w14:paraId="3921217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dofinancovanie odchodného </w:t>
            </w:r>
          </w:p>
        </w:tc>
        <w:tc>
          <w:tcPr>
            <w:tcW w:w="1701" w:type="dxa"/>
            <w:tcBorders>
              <w:top w:val="nil"/>
              <w:left w:val="nil"/>
              <w:bottom w:val="nil"/>
              <w:right w:val="nil"/>
            </w:tcBorders>
            <w:shd w:val="clear" w:color="auto" w:fill="auto"/>
            <w:vAlign w:val="center"/>
            <w:hideMark/>
          </w:tcPr>
          <w:p w14:paraId="470EB384"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33</w:t>
            </w:r>
          </w:p>
        </w:tc>
      </w:tr>
      <w:tr w:rsidR="00E76212" w:rsidRPr="008C63ED" w14:paraId="121C7BB8" w14:textId="77777777" w:rsidTr="00D2560E">
        <w:trPr>
          <w:trHeight w:val="330"/>
        </w:trPr>
        <w:tc>
          <w:tcPr>
            <w:tcW w:w="1020" w:type="dxa"/>
            <w:vMerge/>
            <w:tcBorders>
              <w:top w:val="nil"/>
              <w:left w:val="nil"/>
              <w:bottom w:val="nil"/>
              <w:right w:val="nil"/>
            </w:tcBorders>
            <w:vAlign w:val="center"/>
            <w:hideMark/>
          </w:tcPr>
          <w:p w14:paraId="021E4895" w14:textId="77777777" w:rsidR="00E76212" w:rsidRPr="008C63ED" w:rsidRDefault="00E76212" w:rsidP="00D2560E">
            <w:pPr>
              <w:spacing w:after="0" w:line="240" w:lineRule="auto"/>
              <w:rPr>
                <w:rFonts w:eastAsia="Times New Roman" w:cs="Times New Roman"/>
                <w:sz w:val="16"/>
                <w:szCs w:val="16"/>
                <w:lang w:eastAsia="sk-SK"/>
              </w:rPr>
            </w:pPr>
          </w:p>
        </w:tc>
        <w:tc>
          <w:tcPr>
            <w:tcW w:w="6351" w:type="dxa"/>
            <w:tcBorders>
              <w:top w:val="nil"/>
              <w:left w:val="nil"/>
              <w:bottom w:val="nil"/>
              <w:right w:val="nil"/>
            </w:tcBorders>
            <w:shd w:val="clear" w:color="auto" w:fill="auto"/>
            <w:vAlign w:val="bottom"/>
            <w:hideMark/>
          </w:tcPr>
          <w:p w14:paraId="5ED330E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úpravu platov a paušálnych náhrad predsedu a predsedov NKÚ SR </w:t>
            </w:r>
          </w:p>
        </w:tc>
        <w:tc>
          <w:tcPr>
            <w:tcW w:w="1701" w:type="dxa"/>
            <w:tcBorders>
              <w:top w:val="nil"/>
              <w:left w:val="nil"/>
              <w:bottom w:val="nil"/>
              <w:right w:val="nil"/>
            </w:tcBorders>
            <w:shd w:val="clear" w:color="auto" w:fill="auto"/>
            <w:vAlign w:val="center"/>
            <w:hideMark/>
          </w:tcPr>
          <w:p w14:paraId="6706FCC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27</w:t>
            </w:r>
          </w:p>
        </w:tc>
      </w:tr>
      <w:tr w:rsidR="00E76212" w:rsidRPr="008C63ED" w14:paraId="377D7B29"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69C30D5F"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7AE4D2F2"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60</w:t>
            </w:r>
          </w:p>
        </w:tc>
      </w:tr>
      <w:tr w:rsidR="00E76212" w:rsidRPr="008C63ED" w14:paraId="278C1E30" w14:textId="77777777" w:rsidTr="00D2560E">
        <w:trPr>
          <w:trHeight w:val="450"/>
        </w:trPr>
        <w:tc>
          <w:tcPr>
            <w:tcW w:w="1020" w:type="dxa"/>
            <w:tcBorders>
              <w:top w:val="nil"/>
              <w:left w:val="nil"/>
              <w:bottom w:val="nil"/>
              <w:right w:val="nil"/>
            </w:tcBorders>
            <w:shd w:val="clear" w:color="auto" w:fill="auto"/>
            <w:vAlign w:val="center"/>
            <w:hideMark/>
          </w:tcPr>
          <w:p w14:paraId="3C2661D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Ú</w:t>
            </w:r>
            <w:r>
              <w:rPr>
                <w:rFonts w:eastAsia="Times New Roman" w:cs="Times New Roman"/>
                <w:sz w:val="16"/>
                <w:szCs w:val="16"/>
                <w:lang w:eastAsia="sk-SK"/>
              </w:rPr>
              <w:t>rad priemyselného vlastníctva</w:t>
            </w:r>
            <w:r w:rsidRPr="008C63ED">
              <w:rPr>
                <w:rFonts w:eastAsia="Times New Roman" w:cs="Times New Roman"/>
                <w:sz w:val="16"/>
                <w:szCs w:val="16"/>
                <w:lang w:eastAsia="sk-SK"/>
              </w:rPr>
              <w:t xml:space="preserve"> SR</w:t>
            </w:r>
          </w:p>
        </w:tc>
        <w:tc>
          <w:tcPr>
            <w:tcW w:w="6351" w:type="dxa"/>
            <w:tcBorders>
              <w:top w:val="nil"/>
              <w:left w:val="nil"/>
              <w:bottom w:val="nil"/>
              <w:right w:val="nil"/>
            </w:tcBorders>
            <w:shd w:val="clear" w:color="auto" w:fill="auto"/>
            <w:vAlign w:val="center"/>
            <w:hideMark/>
          </w:tcPr>
          <w:p w14:paraId="278402AB" w14:textId="77777777" w:rsidR="00E76212" w:rsidRPr="008C63ED" w:rsidRDefault="00E76212" w:rsidP="00D2560E">
            <w:pPr>
              <w:spacing w:after="0" w:line="240" w:lineRule="auto"/>
              <w:rPr>
                <w:rFonts w:eastAsia="Times New Roman" w:cs="Times New Roman"/>
                <w:sz w:val="16"/>
                <w:szCs w:val="16"/>
                <w:lang w:eastAsia="sk-SK"/>
              </w:rPr>
            </w:pPr>
            <w:r>
              <w:rPr>
                <w:rFonts w:eastAsia="Times New Roman" w:cs="Times New Roman"/>
                <w:sz w:val="16"/>
                <w:szCs w:val="16"/>
                <w:lang w:eastAsia="sk-SK"/>
              </w:rPr>
              <w:t>Na</w:t>
            </w:r>
            <w:r w:rsidRPr="008C63ED">
              <w:rPr>
                <w:rFonts w:eastAsia="Times New Roman" w:cs="Times New Roman"/>
                <w:sz w:val="16"/>
                <w:szCs w:val="16"/>
                <w:lang w:eastAsia="sk-SK"/>
              </w:rPr>
              <w:t xml:space="preserve"> odchodné a odstupné </w:t>
            </w:r>
          </w:p>
        </w:tc>
        <w:tc>
          <w:tcPr>
            <w:tcW w:w="1701" w:type="dxa"/>
            <w:tcBorders>
              <w:top w:val="nil"/>
              <w:left w:val="nil"/>
              <w:bottom w:val="nil"/>
              <w:right w:val="nil"/>
            </w:tcBorders>
            <w:shd w:val="clear" w:color="auto" w:fill="auto"/>
            <w:vAlign w:val="center"/>
            <w:hideMark/>
          </w:tcPr>
          <w:p w14:paraId="0E672F3E"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31</w:t>
            </w:r>
          </w:p>
        </w:tc>
      </w:tr>
      <w:tr w:rsidR="00E76212" w:rsidRPr="008C63ED" w14:paraId="50A8B449"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456EE7E9"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4AC3B2A1"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31</w:t>
            </w:r>
          </w:p>
        </w:tc>
      </w:tr>
      <w:tr w:rsidR="00E76212" w:rsidRPr="008C63ED" w14:paraId="00E445A1" w14:textId="77777777" w:rsidTr="00D2560E">
        <w:trPr>
          <w:trHeight w:val="330"/>
        </w:trPr>
        <w:tc>
          <w:tcPr>
            <w:tcW w:w="1020" w:type="dxa"/>
            <w:tcBorders>
              <w:top w:val="nil"/>
              <w:left w:val="nil"/>
              <w:bottom w:val="nil"/>
              <w:right w:val="nil"/>
            </w:tcBorders>
            <w:shd w:val="clear" w:color="auto" w:fill="auto"/>
            <w:vAlign w:val="center"/>
            <w:hideMark/>
          </w:tcPr>
          <w:p w14:paraId="2AD1B18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Ú</w:t>
            </w:r>
            <w:r>
              <w:rPr>
                <w:rFonts w:eastAsia="Times New Roman" w:cs="Times New Roman"/>
                <w:sz w:val="16"/>
                <w:szCs w:val="16"/>
                <w:lang w:eastAsia="sk-SK"/>
              </w:rPr>
              <w:t>rad na ochranu osobných údajov</w:t>
            </w:r>
            <w:r w:rsidRPr="008C63ED">
              <w:rPr>
                <w:rFonts w:eastAsia="Times New Roman" w:cs="Times New Roman"/>
                <w:sz w:val="16"/>
                <w:szCs w:val="16"/>
                <w:lang w:eastAsia="sk-SK"/>
              </w:rPr>
              <w:t xml:space="preserve"> SR </w:t>
            </w:r>
          </w:p>
        </w:tc>
        <w:tc>
          <w:tcPr>
            <w:tcW w:w="6351" w:type="dxa"/>
            <w:tcBorders>
              <w:top w:val="nil"/>
              <w:left w:val="nil"/>
              <w:bottom w:val="nil"/>
              <w:right w:val="nil"/>
            </w:tcBorders>
            <w:shd w:val="clear" w:color="auto" w:fill="auto"/>
            <w:vAlign w:val="center"/>
            <w:hideMark/>
          </w:tcPr>
          <w:p w14:paraId="4994CC9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odstupné </w:t>
            </w:r>
          </w:p>
        </w:tc>
        <w:tc>
          <w:tcPr>
            <w:tcW w:w="1701" w:type="dxa"/>
            <w:tcBorders>
              <w:top w:val="nil"/>
              <w:left w:val="nil"/>
              <w:bottom w:val="nil"/>
              <w:right w:val="nil"/>
            </w:tcBorders>
            <w:shd w:val="clear" w:color="auto" w:fill="auto"/>
            <w:vAlign w:val="center"/>
            <w:hideMark/>
          </w:tcPr>
          <w:p w14:paraId="6C79349C"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23</w:t>
            </w:r>
          </w:p>
        </w:tc>
      </w:tr>
      <w:tr w:rsidR="00E76212" w:rsidRPr="008C63ED" w14:paraId="05B32FAF" w14:textId="77777777" w:rsidTr="00D2560E">
        <w:trPr>
          <w:trHeight w:val="330"/>
        </w:trPr>
        <w:tc>
          <w:tcPr>
            <w:tcW w:w="1020" w:type="dxa"/>
            <w:tcBorders>
              <w:top w:val="nil"/>
              <w:left w:val="nil"/>
              <w:bottom w:val="nil"/>
              <w:right w:val="nil"/>
            </w:tcBorders>
            <w:shd w:val="clear" w:color="auto" w:fill="auto"/>
            <w:vAlign w:val="center"/>
            <w:hideMark/>
          </w:tcPr>
          <w:p w14:paraId="504FD5D4" w14:textId="77777777" w:rsidR="00E76212" w:rsidRPr="008C63ED" w:rsidRDefault="00E76212" w:rsidP="00D2560E">
            <w:pPr>
              <w:spacing w:after="0" w:line="240" w:lineRule="auto"/>
              <w:jc w:val="right"/>
              <w:rPr>
                <w:rFonts w:eastAsia="Times New Roman" w:cs="Times New Roman"/>
                <w:sz w:val="16"/>
                <w:szCs w:val="16"/>
                <w:lang w:eastAsia="sk-SK"/>
              </w:rPr>
            </w:pPr>
          </w:p>
        </w:tc>
        <w:tc>
          <w:tcPr>
            <w:tcW w:w="6351" w:type="dxa"/>
            <w:tcBorders>
              <w:top w:val="nil"/>
              <w:left w:val="nil"/>
              <w:bottom w:val="nil"/>
              <w:right w:val="nil"/>
            </w:tcBorders>
            <w:shd w:val="clear" w:color="auto" w:fill="auto"/>
            <w:vAlign w:val="center"/>
            <w:hideMark/>
          </w:tcPr>
          <w:p w14:paraId="21CB038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úpravu platových náležitostí predsedu úradu </w:t>
            </w:r>
          </w:p>
        </w:tc>
        <w:tc>
          <w:tcPr>
            <w:tcW w:w="1701" w:type="dxa"/>
            <w:tcBorders>
              <w:top w:val="nil"/>
              <w:left w:val="nil"/>
              <w:bottom w:val="nil"/>
              <w:right w:val="nil"/>
            </w:tcBorders>
            <w:shd w:val="clear" w:color="auto" w:fill="auto"/>
            <w:vAlign w:val="center"/>
            <w:hideMark/>
          </w:tcPr>
          <w:p w14:paraId="04532B5D"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w:t>
            </w:r>
          </w:p>
        </w:tc>
      </w:tr>
      <w:tr w:rsidR="00E76212" w:rsidRPr="008C63ED" w14:paraId="0DBD2CA0"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4638F616"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12457599"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29</w:t>
            </w:r>
          </w:p>
        </w:tc>
      </w:tr>
      <w:tr w:rsidR="00E76212" w:rsidRPr="008C63ED" w14:paraId="1F30617E" w14:textId="77777777" w:rsidTr="00D2560E">
        <w:trPr>
          <w:trHeight w:val="675"/>
        </w:trPr>
        <w:tc>
          <w:tcPr>
            <w:tcW w:w="1020" w:type="dxa"/>
            <w:tcBorders>
              <w:top w:val="nil"/>
              <w:left w:val="nil"/>
              <w:bottom w:val="nil"/>
              <w:right w:val="nil"/>
            </w:tcBorders>
            <w:shd w:val="clear" w:color="auto" w:fill="auto"/>
            <w:vAlign w:val="center"/>
            <w:hideMark/>
          </w:tcPr>
          <w:p w14:paraId="3272B03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lastRenderedPageBreak/>
              <w:t>Ú</w:t>
            </w:r>
            <w:r>
              <w:rPr>
                <w:rFonts w:eastAsia="Times New Roman" w:cs="Times New Roman"/>
                <w:sz w:val="16"/>
                <w:szCs w:val="16"/>
                <w:lang w:eastAsia="sk-SK"/>
              </w:rPr>
              <w:t>rad pre územné plánovanie a výstavbu</w:t>
            </w:r>
            <w:r w:rsidRPr="008C63ED">
              <w:rPr>
                <w:rFonts w:eastAsia="Times New Roman" w:cs="Times New Roman"/>
                <w:sz w:val="16"/>
                <w:szCs w:val="16"/>
                <w:lang w:eastAsia="sk-SK"/>
              </w:rPr>
              <w:t xml:space="preserve"> SR</w:t>
            </w:r>
          </w:p>
        </w:tc>
        <w:tc>
          <w:tcPr>
            <w:tcW w:w="6351" w:type="dxa"/>
            <w:tcBorders>
              <w:top w:val="nil"/>
              <w:left w:val="nil"/>
              <w:bottom w:val="nil"/>
              <w:right w:val="nil"/>
            </w:tcBorders>
            <w:shd w:val="clear" w:color="auto" w:fill="auto"/>
            <w:vAlign w:val="bottom"/>
            <w:hideMark/>
          </w:tcPr>
          <w:p w14:paraId="74DFCA7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personálne zabezpečenie agendy súvisiacej s presunom kompetencií v oblasti územného plánovania, výstavby a vyvlastňovania na kapitolu ÚÚPV SR (3 osoby)</w:t>
            </w:r>
          </w:p>
        </w:tc>
        <w:tc>
          <w:tcPr>
            <w:tcW w:w="1701" w:type="dxa"/>
            <w:tcBorders>
              <w:top w:val="nil"/>
              <w:left w:val="nil"/>
              <w:bottom w:val="nil"/>
              <w:right w:val="nil"/>
            </w:tcBorders>
            <w:shd w:val="clear" w:color="auto" w:fill="auto"/>
            <w:vAlign w:val="center"/>
            <w:hideMark/>
          </w:tcPr>
          <w:p w14:paraId="4FFC5AB3"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27</w:t>
            </w:r>
          </w:p>
        </w:tc>
      </w:tr>
      <w:tr w:rsidR="00E76212" w:rsidRPr="008C63ED" w14:paraId="48A57D08"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1E18D7CC"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3A1B695A"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27</w:t>
            </w:r>
          </w:p>
        </w:tc>
      </w:tr>
      <w:tr w:rsidR="00E76212" w:rsidRPr="008C63ED" w14:paraId="3399880A" w14:textId="77777777" w:rsidTr="00D2560E">
        <w:trPr>
          <w:trHeight w:val="330"/>
        </w:trPr>
        <w:tc>
          <w:tcPr>
            <w:tcW w:w="1020" w:type="dxa"/>
            <w:tcBorders>
              <w:top w:val="nil"/>
              <w:left w:val="nil"/>
              <w:bottom w:val="nil"/>
              <w:right w:val="nil"/>
            </w:tcBorders>
            <w:shd w:val="clear" w:color="auto" w:fill="auto"/>
            <w:vAlign w:val="center"/>
            <w:hideMark/>
          </w:tcPr>
          <w:p w14:paraId="01ADF64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dopravy</w:t>
            </w:r>
            <w:r w:rsidRPr="008C63ED">
              <w:rPr>
                <w:rFonts w:eastAsia="Times New Roman" w:cs="Times New Roman"/>
                <w:sz w:val="16"/>
                <w:szCs w:val="16"/>
                <w:lang w:eastAsia="sk-SK"/>
              </w:rPr>
              <w:t xml:space="preserve"> SR</w:t>
            </w:r>
          </w:p>
        </w:tc>
        <w:tc>
          <w:tcPr>
            <w:tcW w:w="6351" w:type="dxa"/>
            <w:tcBorders>
              <w:top w:val="nil"/>
              <w:left w:val="nil"/>
              <w:bottom w:val="nil"/>
              <w:right w:val="nil"/>
            </w:tcBorders>
            <w:shd w:val="clear" w:color="auto" w:fill="auto"/>
            <w:vAlign w:val="bottom"/>
            <w:hideMark/>
          </w:tcPr>
          <w:p w14:paraId="09CCF15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zvýšenie počtu zamestnancov analytických jednotiek MD SR (1 osoba)</w:t>
            </w:r>
          </w:p>
        </w:tc>
        <w:tc>
          <w:tcPr>
            <w:tcW w:w="1701" w:type="dxa"/>
            <w:tcBorders>
              <w:top w:val="nil"/>
              <w:left w:val="nil"/>
              <w:bottom w:val="nil"/>
              <w:right w:val="nil"/>
            </w:tcBorders>
            <w:shd w:val="clear" w:color="auto" w:fill="auto"/>
            <w:vAlign w:val="center"/>
            <w:hideMark/>
          </w:tcPr>
          <w:p w14:paraId="0D633FF6"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24</w:t>
            </w:r>
          </w:p>
        </w:tc>
      </w:tr>
      <w:tr w:rsidR="00E76212" w:rsidRPr="008C63ED" w14:paraId="0E8BAD78"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2404A44A"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611F7300"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24</w:t>
            </w:r>
          </w:p>
        </w:tc>
      </w:tr>
      <w:tr w:rsidR="00E76212" w:rsidRPr="008C63ED" w14:paraId="4CCCC5D0" w14:textId="77777777" w:rsidTr="00D2560E">
        <w:trPr>
          <w:trHeight w:val="330"/>
        </w:trPr>
        <w:tc>
          <w:tcPr>
            <w:tcW w:w="1020" w:type="dxa"/>
            <w:tcBorders>
              <w:top w:val="nil"/>
              <w:left w:val="nil"/>
              <w:bottom w:val="nil"/>
              <w:right w:val="nil"/>
            </w:tcBorders>
            <w:shd w:val="clear" w:color="auto" w:fill="auto"/>
            <w:vAlign w:val="center"/>
            <w:hideMark/>
          </w:tcPr>
          <w:p w14:paraId="1FF4D35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K</w:t>
            </w:r>
            <w:r>
              <w:rPr>
                <w:rFonts w:eastAsia="Times New Roman" w:cs="Times New Roman"/>
                <w:sz w:val="16"/>
                <w:szCs w:val="16"/>
                <w:lang w:eastAsia="sk-SK"/>
              </w:rPr>
              <w:t>ancelária súdnej rady</w:t>
            </w:r>
            <w:r w:rsidRPr="008C63ED">
              <w:rPr>
                <w:rFonts w:eastAsia="Times New Roman" w:cs="Times New Roman"/>
                <w:sz w:val="16"/>
                <w:szCs w:val="16"/>
                <w:lang w:eastAsia="sk-SK"/>
              </w:rPr>
              <w:t xml:space="preserve"> SR </w:t>
            </w:r>
          </w:p>
        </w:tc>
        <w:tc>
          <w:tcPr>
            <w:tcW w:w="6351" w:type="dxa"/>
            <w:tcBorders>
              <w:top w:val="nil"/>
              <w:left w:val="nil"/>
              <w:bottom w:val="nil"/>
              <w:right w:val="nil"/>
            </w:tcBorders>
            <w:shd w:val="clear" w:color="auto" w:fill="auto"/>
            <w:vAlign w:val="bottom"/>
            <w:hideMark/>
          </w:tcPr>
          <w:p w14:paraId="0E5BED0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úpravu platových náležitostí ústavných činiteľov </w:t>
            </w:r>
          </w:p>
        </w:tc>
        <w:tc>
          <w:tcPr>
            <w:tcW w:w="1701" w:type="dxa"/>
            <w:tcBorders>
              <w:top w:val="nil"/>
              <w:left w:val="nil"/>
              <w:bottom w:val="nil"/>
              <w:right w:val="nil"/>
            </w:tcBorders>
            <w:shd w:val="clear" w:color="auto" w:fill="auto"/>
            <w:vAlign w:val="center"/>
            <w:hideMark/>
          </w:tcPr>
          <w:p w14:paraId="6BDE5E19"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22</w:t>
            </w:r>
          </w:p>
        </w:tc>
      </w:tr>
      <w:tr w:rsidR="00E76212" w:rsidRPr="008C63ED" w14:paraId="558C92C1"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66CDA995"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7AEF9DFB"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22</w:t>
            </w:r>
          </w:p>
        </w:tc>
      </w:tr>
      <w:tr w:rsidR="00E76212" w:rsidRPr="008C63ED" w14:paraId="0FA9E00D" w14:textId="77777777" w:rsidTr="00D2560E">
        <w:trPr>
          <w:trHeight w:val="675"/>
        </w:trPr>
        <w:tc>
          <w:tcPr>
            <w:tcW w:w="1020" w:type="dxa"/>
            <w:tcBorders>
              <w:top w:val="nil"/>
              <w:left w:val="nil"/>
              <w:bottom w:val="nil"/>
              <w:right w:val="nil"/>
            </w:tcBorders>
            <w:shd w:val="clear" w:color="auto" w:fill="auto"/>
            <w:vAlign w:val="center"/>
            <w:hideMark/>
          </w:tcPr>
          <w:p w14:paraId="0CE6D79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obrany</w:t>
            </w:r>
            <w:r w:rsidRPr="008C63ED">
              <w:rPr>
                <w:rFonts w:eastAsia="Times New Roman" w:cs="Times New Roman"/>
                <w:sz w:val="16"/>
                <w:szCs w:val="16"/>
                <w:lang w:eastAsia="sk-SK"/>
              </w:rPr>
              <w:t xml:space="preserve"> SR </w:t>
            </w:r>
          </w:p>
        </w:tc>
        <w:tc>
          <w:tcPr>
            <w:tcW w:w="6351" w:type="dxa"/>
            <w:tcBorders>
              <w:top w:val="nil"/>
              <w:left w:val="nil"/>
              <w:bottom w:val="nil"/>
              <w:right w:val="nil"/>
            </w:tcBorders>
            <w:shd w:val="clear" w:color="auto" w:fill="auto"/>
            <w:vAlign w:val="bottom"/>
            <w:hideMark/>
          </w:tcPr>
          <w:p w14:paraId="0EE9C82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finančné zabezpečenie útvarov, ktoré vznikli z národného projektu Zvýšenie odolnosti Slovenska voči hybridným hrozbám pomocou posilnenia kapacít VS podľa UZN č. 335/2023</w:t>
            </w:r>
          </w:p>
        </w:tc>
        <w:tc>
          <w:tcPr>
            <w:tcW w:w="1701" w:type="dxa"/>
            <w:tcBorders>
              <w:top w:val="nil"/>
              <w:left w:val="nil"/>
              <w:bottom w:val="nil"/>
              <w:right w:val="nil"/>
            </w:tcBorders>
            <w:shd w:val="clear" w:color="auto" w:fill="auto"/>
            <w:vAlign w:val="center"/>
            <w:hideMark/>
          </w:tcPr>
          <w:p w14:paraId="39AF284D"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21</w:t>
            </w:r>
          </w:p>
        </w:tc>
      </w:tr>
      <w:tr w:rsidR="00E76212" w:rsidRPr="008C63ED" w14:paraId="7B5C26D4"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0305108B"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74585259"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21</w:t>
            </w:r>
          </w:p>
        </w:tc>
      </w:tr>
      <w:tr w:rsidR="00E76212" w:rsidRPr="008C63ED" w14:paraId="6180A63E" w14:textId="77777777" w:rsidTr="00D2560E">
        <w:trPr>
          <w:trHeight w:val="330"/>
        </w:trPr>
        <w:tc>
          <w:tcPr>
            <w:tcW w:w="1020" w:type="dxa"/>
            <w:tcBorders>
              <w:top w:val="nil"/>
              <w:left w:val="nil"/>
              <w:bottom w:val="nil"/>
              <w:right w:val="nil"/>
            </w:tcBorders>
            <w:shd w:val="clear" w:color="auto" w:fill="auto"/>
            <w:vAlign w:val="center"/>
            <w:hideMark/>
          </w:tcPr>
          <w:p w14:paraId="5AF374A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Ú</w:t>
            </w:r>
            <w:r>
              <w:rPr>
                <w:rFonts w:eastAsia="Times New Roman" w:cs="Times New Roman"/>
                <w:sz w:val="16"/>
                <w:szCs w:val="16"/>
                <w:lang w:eastAsia="sk-SK"/>
              </w:rPr>
              <w:t>rad komisára pre deti</w:t>
            </w:r>
          </w:p>
        </w:tc>
        <w:tc>
          <w:tcPr>
            <w:tcW w:w="6351" w:type="dxa"/>
            <w:tcBorders>
              <w:top w:val="nil"/>
              <w:left w:val="nil"/>
              <w:bottom w:val="nil"/>
              <w:right w:val="nil"/>
            </w:tcBorders>
            <w:shd w:val="clear" w:color="auto" w:fill="auto"/>
            <w:vAlign w:val="bottom"/>
            <w:hideMark/>
          </w:tcPr>
          <w:p w14:paraId="48CE139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úpravu platu a paušálnych náhrad komisára pre deti </w:t>
            </w:r>
          </w:p>
        </w:tc>
        <w:tc>
          <w:tcPr>
            <w:tcW w:w="1701" w:type="dxa"/>
            <w:tcBorders>
              <w:top w:val="nil"/>
              <w:left w:val="nil"/>
              <w:bottom w:val="nil"/>
              <w:right w:val="nil"/>
            </w:tcBorders>
            <w:shd w:val="clear" w:color="auto" w:fill="auto"/>
            <w:vAlign w:val="center"/>
            <w:hideMark/>
          </w:tcPr>
          <w:p w14:paraId="57653A76"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12</w:t>
            </w:r>
          </w:p>
        </w:tc>
      </w:tr>
      <w:tr w:rsidR="00E76212" w:rsidRPr="008C63ED" w14:paraId="31A4E85D"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1F768F83"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226C5927"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12</w:t>
            </w:r>
          </w:p>
        </w:tc>
      </w:tr>
      <w:tr w:rsidR="00E76212" w:rsidRPr="008C63ED" w14:paraId="1E440520" w14:textId="77777777" w:rsidTr="00D2560E">
        <w:trPr>
          <w:trHeight w:val="450"/>
        </w:trPr>
        <w:tc>
          <w:tcPr>
            <w:tcW w:w="1020" w:type="dxa"/>
            <w:tcBorders>
              <w:top w:val="nil"/>
              <w:left w:val="nil"/>
              <w:bottom w:val="nil"/>
              <w:right w:val="nil"/>
            </w:tcBorders>
            <w:shd w:val="clear" w:color="auto" w:fill="auto"/>
            <w:vAlign w:val="center"/>
            <w:hideMark/>
          </w:tcPr>
          <w:p w14:paraId="3C925A2A" w14:textId="77777777" w:rsidR="00E76212" w:rsidRPr="008C63ED" w:rsidRDefault="00E76212" w:rsidP="00D2560E">
            <w:pPr>
              <w:spacing w:after="0" w:line="240" w:lineRule="auto"/>
              <w:rPr>
                <w:rFonts w:eastAsia="Times New Roman" w:cs="Times New Roman"/>
                <w:sz w:val="16"/>
                <w:szCs w:val="16"/>
                <w:lang w:eastAsia="sk-SK"/>
              </w:rPr>
            </w:pPr>
            <w:r w:rsidRPr="00852595">
              <w:rPr>
                <w:rFonts w:eastAsia="Times New Roman" w:cs="Times New Roman"/>
                <w:sz w:val="16"/>
                <w:szCs w:val="16"/>
                <w:lang w:eastAsia="sk-SK"/>
              </w:rPr>
              <w:t>Úrad komisára pre osoby so zdravotným postihnutím</w:t>
            </w:r>
          </w:p>
        </w:tc>
        <w:tc>
          <w:tcPr>
            <w:tcW w:w="6351" w:type="dxa"/>
            <w:tcBorders>
              <w:top w:val="nil"/>
              <w:left w:val="nil"/>
              <w:bottom w:val="nil"/>
              <w:right w:val="nil"/>
            </w:tcBorders>
            <w:shd w:val="clear" w:color="auto" w:fill="auto"/>
            <w:vAlign w:val="center"/>
            <w:hideMark/>
          </w:tcPr>
          <w:p w14:paraId="5599CBB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úpravu platu a paušálnych náhrad komisárky pre deti so zdravotným postihnutím </w:t>
            </w:r>
          </w:p>
        </w:tc>
        <w:tc>
          <w:tcPr>
            <w:tcW w:w="1701" w:type="dxa"/>
            <w:tcBorders>
              <w:top w:val="nil"/>
              <w:left w:val="nil"/>
              <w:bottom w:val="nil"/>
              <w:right w:val="nil"/>
            </w:tcBorders>
            <w:shd w:val="clear" w:color="auto" w:fill="auto"/>
            <w:vAlign w:val="center"/>
            <w:hideMark/>
          </w:tcPr>
          <w:p w14:paraId="0828BF6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12</w:t>
            </w:r>
          </w:p>
        </w:tc>
      </w:tr>
      <w:tr w:rsidR="00E76212" w:rsidRPr="008C63ED" w14:paraId="2604B95F"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32855845"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40981905"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12</w:t>
            </w:r>
          </w:p>
        </w:tc>
      </w:tr>
      <w:tr w:rsidR="00E76212" w:rsidRPr="008C63ED" w14:paraId="4F446628" w14:textId="77777777" w:rsidTr="00D2560E">
        <w:trPr>
          <w:trHeight w:val="330"/>
        </w:trPr>
        <w:tc>
          <w:tcPr>
            <w:tcW w:w="1020" w:type="dxa"/>
            <w:tcBorders>
              <w:top w:val="nil"/>
              <w:left w:val="nil"/>
              <w:bottom w:val="nil"/>
              <w:right w:val="nil"/>
            </w:tcBorders>
            <w:shd w:val="clear" w:color="auto" w:fill="auto"/>
            <w:vAlign w:val="center"/>
            <w:hideMark/>
          </w:tcPr>
          <w:p w14:paraId="5520DD2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K</w:t>
            </w:r>
            <w:r>
              <w:rPr>
                <w:rFonts w:eastAsia="Times New Roman" w:cs="Times New Roman"/>
                <w:sz w:val="16"/>
                <w:szCs w:val="16"/>
                <w:lang w:eastAsia="sk-SK"/>
              </w:rPr>
              <w:t>ancelária verejného ochrancu práv</w:t>
            </w:r>
            <w:r w:rsidRPr="008C63ED">
              <w:rPr>
                <w:rFonts w:eastAsia="Times New Roman" w:cs="Times New Roman"/>
                <w:sz w:val="16"/>
                <w:szCs w:val="16"/>
                <w:lang w:eastAsia="sk-SK"/>
              </w:rPr>
              <w:t xml:space="preserve"> </w:t>
            </w:r>
          </w:p>
        </w:tc>
        <w:tc>
          <w:tcPr>
            <w:tcW w:w="6351" w:type="dxa"/>
            <w:tcBorders>
              <w:top w:val="nil"/>
              <w:left w:val="nil"/>
              <w:bottom w:val="nil"/>
              <w:right w:val="nil"/>
            </w:tcBorders>
            <w:shd w:val="clear" w:color="auto" w:fill="auto"/>
            <w:vAlign w:val="center"/>
            <w:hideMark/>
          </w:tcPr>
          <w:p w14:paraId="68D0B1E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úpravu platových náležitostí verejnej ochrankyne práv </w:t>
            </w:r>
          </w:p>
        </w:tc>
        <w:tc>
          <w:tcPr>
            <w:tcW w:w="1701" w:type="dxa"/>
            <w:tcBorders>
              <w:top w:val="nil"/>
              <w:left w:val="nil"/>
              <w:bottom w:val="nil"/>
              <w:right w:val="nil"/>
            </w:tcBorders>
            <w:shd w:val="clear" w:color="auto" w:fill="auto"/>
            <w:vAlign w:val="center"/>
            <w:hideMark/>
          </w:tcPr>
          <w:p w14:paraId="2944CB9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7</w:t>
            </w:r>
          </w:p>
        </w:tc>
      </w:tr>
      <w:tr w:rsidR="00E76212" w:rsidRPr="008C63ED" w14:paraId="76A6B92B"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0E0FECBE"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13F9F132"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7</w:t>
            </w:r>
          </w:p>
        </w:tc>
      </w:tr>
      <w:tr w:rsidR="00E76212" w:rsidRPr="008C63ED" w14:paraId="2D9C88C2" w14:textId="77777777" w:rsidTr="00D2560E">
        <w:trPr>
          <w:trHeight w:val="330"/>
        </w:trPr>
        <w:tc>
          <w:tcPr>
            <w:tcW w:w="1020" w:type="dxa"/>
            <w:tcBorders>
              <w:top w:val="nil"/>
              <w:left w:val="nil"/>
              <w:bottom w:val="nil"/>
              <w:right w:val="nil"/>
            </w:tcBorders>
            <w:shd w:val="clear" w:color="auto" w:fill="auto"/>
            <w:vAlign w:val="center"/>
            <w:hideMark/>
          </w:tcPr>
          <w:p w14:paraId="751A94B0" w14:textId="77777777" w:rsidR="00E76212" w:rsidRPr="008C63ED" w:rsidRDefault="00E76212" w:rsidP="00D2560E">
            <w:pPr>
              <w:spacing w:after="0" w:line="240" w:lineRule="auto"/>
              <w:rPr>
                <w:rFonts w:eastAsia="Times New Roman" w:cs="Times New Roman"/>
                <w:sz w:val="16"/>
                <w:szCs w:val="16"/>
                <w:lang w:eastAsia="sk-SK"/>
              </w:rPr>
            </w:pPr>
          </w:p>
          <w:p w14:paraId="17C71DB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Ú</w:t>
            </w:r>
            <w:r>
              <w:rPr>
                <w:rFonts w:eastAsia="Times New Roman" w:cs="Times New Roman"/>
                <w:sz w:val="16"/>
                <w:szCs w:val="16"/>
                <w:lang w:eastAsia="sk-SK"/>
              </w:rPr>
              <w:t>rad na ochranu oznamovateľov</w:t>
            </w:r>
          </w:p>
        </w:tc>
        <w:tc>
          <w:tcPr>
            <w:tcW w:w="6351" w:type="dxa"/>
            <w:tcBorders>
              <w:top w:val="nil"/>
              <w:left w:val="nil"/>
              <w:bottom w:val="nil"/>
              <w:right w:val="nil"/>
            </w:tcBorders>
            <w:shd w:val="clear" w:color="auto" w:fill="auto"/>
            <w:vAlign w:val="center"/>
            <w:hideMark/>
          </w:tcPr>
          <w:p w14:paraId="4CCB15F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úpravu platových náležitostí predsedníčky úradu</w:t>
            </w:r>
          </w:p>
        </w:tc>
        <w:tc>
          <w:tcPr>
            <w:tcW w:w="1701" w:type="dxa"/>
            <w:tcBorders>
              <w:top w:val="nil"/>
              <w:left w:val="nil"/>
              <w:bottom w:val="nil"/>
              <w:right w:val="nil"/>
            </w:tcBorders>
            <w:shd w:val="clear" w:color="auto" w:fill="auto"/>
            <w:vAlign w:val="center"/>
            <w:hideMark/>
          </w:tcPr>
          <w:p w14:paraId="2615CE6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w:t>
            </w:r>
          </w:p>
        </w:tc>
      </w:tr>
      <w:tr w:rsidR="00E76212" w:rsidRPr="008C63ED" w14:paraId="31C48563" w14:textId="77777777" w:rsidTr="00D2560E">
        <w:trPr>
          <w:trHeight w:val="330"/>
        </w:trPr>
        <w:tc>
          <w:tcPr>
            <w:tcW w:w="7371" w:type="dxa"/>
            <w:gridSpan w:val="2"/>
            <w:tcBorders>
              <w:top w:val="nil"/>
              <w:left w:val="nil"/>
              <w:bottom w:val="single" w:sz="4" w:space="0" w:color="auto"/>
              <w:right w:val="nil"/>
            </w:tcBorders>
            <w:shd w:val="clear" w:color="auto" w:fill="auto"/>
            <w:vAlign w:val="center"/>
            <w:hideMark/>
          </w:tcPr>
          <w:p w14:paraId="6937428E"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01" w:type="dxa"/>
            <w:tcBorders>
              <w:top w:val="nil"/>
              <w:left w:val="nil"/>
              <w:bottom w:val="single" w:sz="4" w:space="0" w:color="auto"/>
              <w:right w:val="nil"/>
            </w:tcBorders>
            <w:shd w:val="clear" w:color="auto" w:fill="auto"/>
            <w:vAlign w:val="center"/>
            <w:hideMark/>
          </w:tcPr>
          <w:p w14:paraId="080137C0"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6</w:t>
            </w:r>
          </w:p>
        </w:tc>
      </w:tr>
      <w:tr w:rsidR="00E76212" w:rsidRPr="008C63ED" w14:paraId="40E28F2B" w14:textId="77777777" w:rsidTr="00D2560E">
        <w:trPr>
          <w:trHeight w:val="330"/>
        </w:trPr>
        <w:tc>
          <w:tcPr>
            <w:tcW w:w="7371" w:type="dxa"/>
            <w:gridSpan w:val="2"/>
            <w:tcBorders>
              <w:top w:val="single" w:sz="4" w:space="0" w:color="auto"/>
              <w:left w:val="nil"/>
              <w:bottom w:val="single" w:sz="4" w:space="0" w:color="auto"/>
              <w:right w:val="nil"/>
            </w:tcBorders>
            <w:shd w:val="clear" w:color="auto" w:fill="auto"/>
            <w:vAlign w:val="center"/>
            <w:hideMark/>
          </w:tcPr>
          <w:p w14:paraId="5B3DE920" w14:textId="77777777" w:rsidR="00E76212" w:rsidRPr="008C63ED" w:rsidRDefault="00E76212" w:rsidP="00181464">
            <w:pPr>
              <w:spacing w:after="0" w:line="240" w:lineRule="auto"/>
              <w:jc w:val="left"/>
              <w:rPr>
                <w:rFonts w:eastAsia="Times New Roman" w:cs="Times New Roman"/>
                <w:b/>
                <w:bCs/>
                <w:sz w:val="16"/>
                <w:szCs w:val="16"/>
                <w:lang w:eastAsia="sk-SK"/>
              </w:rPr>
            </w:pPr>
            <w:r w:rsidRPr="008C63ED">
              <w:rPr>
                <w:rFonts w:eastAsia="Times New Roman" w:cs="Times New Roman"/>
                <w:b/>
                <w:bCs/>
                <w:sz w:val="16"/>
                <w:szCs w:val="16"/>
                <w:lang w:eastAsia="sk-SK"/>
              </w:rPr>
              <w:t xml:space="preserve">Spolu celkom </w:t>
            </w:r>
          </w:p>
        </w:tc>
        <w:tc>
          <w:tcPr>
            <w:tcW w:w="1701" w:type="dxa"/>
            <w:tcBorders>
              <w:top w:val="nil"/>
              <w:left w:val="nil"/>
              <w:bottom w:val="single" w:sz="4" w:space="0" w:color="auto"/>
              <w:right w:val="nil"/>
            </w:tcBorders>
            <w:shd w:val="clear" w:color="auto" w:fill="auto"/>
            <w:vAlign w:val="center"/>
            <w:hideMark/>
          </w:tcPr>
          <w:p w14:paraId="7125595F"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128 397</w:t>
            </w:r>
          </w:p>
        </w:tc>
      </w:tr>
    </w:tbl>
    <w:p w14:paraId="4E9B2FA0" w14:textId="77777777" w:rsidR="00E76212" w:rsidRPr="0035337C" w:rsidRDefault="00E76212" w:rsidP="00E76212">
      <w:pPr>
        <w:spacing w:after="0" w:line="240" w:lineRule="auto"/>
        <w:jc w:val="right"/>
        <w:rPr>
          <w:rFonts w:eastAsia="Times New Roman" w:cs="Times New Roman"/>
          <w:iCs/>
          <w:sz w:val="18"/>
          <w:szCs w:val="18"/>
          <w:lang w:eastAsia="sk-SK"/>
        </w:rPr>
      </w:pPr>
      <w:r w:rsidRPr="0035337C">
        <w:rPr>
          <w:rFonts w:eastAsia="Times New Roman" w:cs="Times New Roman"/>
          <w:iCs/>
          <w:sz w:val="18"/>
          <w:szCs w:val="18"/>
          <w:lang w:eastAsia="sk-SK"/>
        </w:rPr>
        <w:t>Zdroj: MF SR</w:t>
      </w:r>
    </w:p>
    <w:p w14:paraId="4869CF2C" w14:textId="0C8D5946" w:rsidR="00E76212" w:rsidRPr="008172CD" w:rsidRDefault="00E76212" w:rsidP="00181464">
      <w:pPr>
        <w:spacing w:before="120" w:after="0" w:line="240" w:lineRule="auto"/>
        <w:rPr>
          <w:rFonts w:eastAsia="Times New Roman" w:cs="Times New Roman"/>
          <w:sz w:val="18"/>
          <w:szCs w:val="18"/>
          <w:lang w:eastAsia="sk-SK"/>
        </w:rPr>
      </w:pPr>
      <w:r w:rsidRPr="008172CD">
        <w:rPr>
          <w:rFonts w:eastAsia="Times New Roman" w:cs="Times New Roman"/>
          <w:sz w:val="18"/>
          <w:szCs w:val="18"/>
          <w:lang w:eastAsia="sk-SK"/>
        </w:rPr>
        <w:t>Rozpočtové opatrenie súvisiace s úpravou platových náležitostí je realizované podľa zákona č. 385/2000 Z. z. o sudcoch a prísediacich a o zmene a doplnení niektorých zákonov, podľa zákona č. 120/1993 Z. z. o platových pomeroch niektorých ústavných činiteľov Slovenskej republiky a zákonom č. 154/2001 Z. z. o prokurátoroch a právnych čakateľoch prokuratúry, podľa nariadenia vlády SR č. 296/2022 Z. z., ktorým sa ustanovujú zvýšené stupnice platových taríf zamestnancov pri výkone práce vo verejnom záujme, podľa zákona č. 55/2017 Z. z. o štátnej službe a o zmene a doplnení niektorých zákonov, podľa zákona č. 564/2001 Z. z. o verejnom ochrancovi práv, podľa zákona č. 215/2004 Z. z. o ochrane utajovaných skutočností a o zmene a doplnení niektorých zákonov a podľa zákona č. 18/2018 Z. z. o ochrane osobných údajov a o zmene a doplnení niektorých zákonov.</w:t>
      </w:r>
    </w:p>
    <w:p w14:paraId="1E3D9BC2" w14:textId="77777777" w:rsidR="00E76212" w:rsidRPr="008C63ED" w:rsidRDefault="00E76212" w:rsidP="00E76212">
      <w:pPr>
        <w:spacing w:line="240" w:lineRule="auto"/>
        <w:rPr>
          <w:rFonts w:eastAsia="Times New Roman" w:cs="Times New Roman"/>
          <w:i/>
          <w:sz w:val="16"/>
          <w:szCs w:val="16"/>
          <w:lang w:eastAsia="sk-SK"/>
        </w:rPr>
      </w:pPr>
    </w:p>
    <w:p w14:paraId="3C8D33F9" w14:textId="48160D80" w:rsidR="00E76212" w:rsidRPr="00500379" w:rsidRDefault="00E76212" w:rsidP="008172CD">
      <w:pPr>
        <w:spacing w:line="240" w:lineRule="auto"/>
        <w:rPr>
          <w:b/>
          <w:bCs/>
          <w:color w:val="5B9BD5"/>
          <w:sz w:val="20"/>
          <w:szCs w:val="20"/>
        </w:rPr>
      </w:pPr>
      <w:r>
        <w:rPr>
          <w:b/>
          <w:bCs/>
          <w:color w:val="5B9BD5"/>
          <w:sz w:val="20"/>
          <w:szCs w:val="20"/>
        </w:rPr>
        <w:t>Tabuľka 5</w:t>
      </w:r>
      <w:r w:rsidR="00DD022A">
        <w:rPr>
          <w:b/>
          <w:bCs/>
          <w:color w:val="5B9BD5"/>
          <w:sz w:val="20"/>
          <w:szCs w:val="20"/>
        </w:rPr>
        <w:t>9</w:t>
      </w:r>
      <w:r w:rsidRPr="00500379">
        <w:rPr>
          <w:b/>
          <w:bCs/>
          <w:color w:val="5B9BD5"/>
          <w:sz w:val="20"/>
          <w:szCs w:val="20"/>
        </w:rPr>
        <w:t xml:space="preserve"> - Rezerva na mzdy a poistné - viazanie v kapitolách </w:t>
      </w:r>
    </w:p>
    <w:tbl>
      <w:tblPr>
        <w:tblW w:w="9095" w:type="dxa"/>
        <w:tblCellMar>
          <w:left w:w="70" w:type="dxa"/>
          <w:right w:w="70" w:type="dxa"/>
        </w:tblCellMar>
        <w:tblLook w:val="04A0" w:firstRow="1" w:lastRow="0" w:firstColumn="1" w:lastColumn="0" w:noHBand="0" w:noVBand="1"/>
      </w:tblPr>
      <w:tblGrid>
        <w:gridCol w:w="1173"/>
        <w:gridCol w:w="6198"/>
        <w:gridCol w:w="1724"/>
      </w:tblGrid>
      <w:tr w:rsidR="00E76212" w:rsidRPr="008C63ED" w14:paraId="038CE0AB" w14:textId="77777777" w:rsidTr="00D2560E">
        <w:trPr>
          <w:trHeight w:val="340"/>
        </w:trPr>
        <w:tc>
          <w:tcPr>
            <w:tcW w:w="1173" w:type="dxa"/>
            <w:tcBorders>
              <w:top w:val="single" w:sz="4" w:space="0" w:color="auto"/>
              <w:left w:val="nil"/>
              <w:bottom w:val="single" w:sz="4" w:space="0" w:color="auto"/>
              <w:right w:val="nil"/>
            </w:tcBorders>
            <w:shd w:val="clear" w:color="auto" w:fill="auto"/>
            <w:vAlign w:val="center"/>
            <w:hideMark/>
          </w:tcPr>
          <w:p w14:paraId="100FB0C6" w14:textId="77777777" w:rsidR="00E76212" w:rsidRPr="008C63ED" w:rsidRDefault="00E76212" w:rsidP="00D2560E">
            <w:pPr>
              <w:spacing w:after="0" w:line="240" w:lineRule="auto"/>
              <w:rPr>
                <w:rFonts w:eastAsia="Times New Roman" w:cs="Times New Roman"/>
                <w:b/>
                <w:bCs/>
                <w:sz w:val="16"/>
                <w:szCs w:val="16"/>
                <w:lang w:eastAsia="sk-SK"/>
              </w:rPr>
            </w:pPr>
            <w:r w:rsidRPr="008C63ED">
              <w:rPr>
                <w:rFonts w:eastAsia="Times New Roman" w:cs="Times New Roman"/>
                <w:b/>
                <w:bCs/>
                <w:sz w:val="16"/>
                <w:szCs w:val="16"/>
                <w:lang w:eastAsia="sk-SK"/>
              </w:rPr>
              <w:t xml:space="preserve">Kapitola </w:t>
            </w:r>
          </w:p>
        </w:tc>
        <w:tc>
          <w:tcPr>
            <w:tcW w:w="6198" w:type="dxa"/>
            <w:tcBorders>
              <w:top w:val="single" w:sz="4" w:space="0" w:color="auto"/>
              <w:left w:val="nil"/>
              <w:bottom w:val="single" w:sz="4" w:space="0" w:color="auto"/>
              <w:right w:val="nil"/>
            </w:tcBorders>
            <w:shd w:val="clear" w:color="auto" w:fill="auto"/>
            <w:vAlign w:val="center"/>
            <w:hideMark/>
          </w:tcPr>
          <w:p w14:paraId="44FD6330" w14:textId="77777777" w:rsidR="00E76212" w:rsidRPr="008C63ED" w:rsidRDefault="00E76212" w:rsidP="00D2560E">
            <w:pPr>
              <w:spacing w:after="0" w:line="240" w:lineRule="auto"/>
              <w:jc w:val="center"/>
              <w:rPr>
                <w:rFonts w:eastAsia="Times New Roman" w:cs="Times New Roman"/>
                <w:b/>
                <w:bCs/>
                <w:sz w:val="16"/>
                <w:szCs w:val="16"/>
                <w:lang w:eastAsia="sk-SK"/>
              </w:rPr>
            </w:pPr>
            <w:r w:rsidRPr="008C63ED">
              <w:rPr>
                <w:rFonts w:eastAsia="Times New Roman" w:cs="Times New Roman"/>
                <w:b/>
                <w:bCs/>
                <w:sz w:val="16"/>
                <w:szCs w:val="16"/>
                <w:lang w:eastAsia="sk-SK"/>
              </w:rPr>
              <w:t>Účel</w:t>
            </w:r>
          </w:p>
        </w:tc>
        <w:tc>
          <w:tcPr>
            <w:tcW w:w="1724" w:type="dxa"/>
            <w:tcBorders>
              <w:top w:val="single" w:sz="4" w:space="0" w:color="auto"/>
              <w:left w:val="nil"/>
              <w:bottom w:val="single" w:sz="4" w:space="0" w:color="auto"/>
              <w:right w:val="nil"/>
            </w:tcBorders>
            <w:shd w:val="clear" w:color="auto" w:fill="auto"/>
            <w:vAlign w:val="center"/>
            <w:hideMark/>
          </w:tcPr>
          <w:p w14:paraId="47D2F850"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Suma v tis. eur</w:t>
            </w:r>
          </w:p>
        </w:tc>
      </w:tr>
      <w:tr w:rsidR="00E76212" w:rsidRPr="008C63ED" w14:paraId="4782722E" w14:textId="77777777" w:rsidTr="00D2560E">
        <w:trPr>
          <w:trHeight w:val="1501"/>
        </w:trPr>
        <w:tc>
          <w:tcPr>
            <w:tcW w:w="1173" w:type="dxa"/>
            <w:tcBorders>
              <w:top w:val="nil"/>
              <w:left w:val="nil"/>
              <w:bottom w:val="nil"/>
              <w:right w:val="nil"/>
            </w:tcBorders>
            <w:shd w:val="clear" w:color="auto" w:fill="auto"/>
            <w:vAlign w:val="center"/>
            <w:hideMark/>
          </w:tcPr>
          <w:p w14:paraId="4E93BE2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dopravy</w:t>
            </w:r>
            <w:r w:rsidRPr="008C63ED">
              <w:rPr>
                <w:rFonts w:eastAsia="Times New Roman" w:cs="Times New Roman"/>
                <w:sz w:val="16"/>
                <w:szCs w:val="16"/>
                <w:lang w:eastAsia="sk-SK"/>
              </w:rPr>
              <w:t xml:space="preserve"> SR</w:t>
            </w:r>
          </w:p>
        </w:tc>
        <w:tc>
          <w:tcPr>
            <w:tcW w:w="6198" w:type="dxa"/>
            <w:tcBorders>
              <w:top w:val="nil"/>
              <w:left w:val="nil"/>
              <w:bottom w:val="nil"/>
              <w:right w:val="nil"/>
            </w:tcBorders>
            <w:shd w:val="clear" w:color="auto" w:fill="auto"/>
            <w:vAlign w:val="bottom"/>
            <w:hideMark/>
          </w:tcPr>
          <w:p w14:paraId="14F3140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Viazanie rozpočtových prostriedkov podľa Delimitačného protokolu uzavretým 30.12.2022 medzi MD SR a ÚÚPV SR z dôvodu prechodu práv, pôsobno</w:t>
            </w:r>
            <w:r>
              <w:rPr>
                <w:rFonts w:eastAsia="Times New Roman" w:cs="Times New Roman"/>
                <w:sz w:val="16"/>
                <w:szCs w:val="16"/>
                <w:lang w:eastAsia="sk-SK"/>
              </w:rPr>
              <w:t>stí a kompetencií stanovených v</w:t>
            </w:r>
            <w:r w:rsidRPr="008C63ED">
              <w:rPr>
                <w:rFonts w:eastAsia="Times New Roman" w:cs="Times New Roman"/>
                <w:sz w:val="16"/>
                <w:szCs w:val="16"/>
                <w:lang w:eastAsia="sk-SK"/>
              </w:rPr>
              <w:t> §</w:t>
            </w:r>
            <w:r>
              <w:rPr>
                <w:rFonts w:eastAsia="Times New Roman" w:cs="Times New Roman"/>
                <w:sz w:val="16"/>
                <w:szCs w:val="16"/>
                <w:lang w:eastAsia="sk-SK"/>
              </w:rPr>
              <w:t> </w:t>
            </w:r>
            <w:r w:rsidRPr="008C63ED">
              <w:rPr>
                <w:rFonts w:eastAsia="Times New Roman" w:cs="Times New Roman"/>
                <w:sz w:val="16"/>
                <w:szCs w:val="16"/>
                <w:lang w:eastAsia="sk-SK"/>
              </w:rPr>
              <w:t>40al zákona č. 575/2001 Z. z. o organizácii činnosti vlády a organizácii ústrednej štátnej správy v znení zákona č. 172/2022 Z. z., a to v oblasti výstavby, vyvlastnenia a územného plánovania okrem ekologických aspektov s účinnosťou od 1.1.2023 a na zníženie limitu počtu zamestnancov o 56 osôb, z toho na aparáte ústredného orgánu o 29 osôb v roku 2023</w:t>
            </w:r>
          </w:p>
        </w:tc>
        <w:tc>
          <w:tcPr>
            <w:tcW w:w="1724" w:type="dxa"/>
            <w:tcBorders>
              <w:top w:val="nil"/>
              <w:left w:val="nil"/>
              <w:bottom w:val="nil"/>
              <w:right w:val="nil"/>
            </w:tcBorders>
            <w:shd w:val="clear" w:color="auto" w:fill="auto"/>
            <w:vAlign w:val="center"/>
            <w:hideMark/>
          </w:tcPr>
          <w:p w14:paraId="4C53D796"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1 704</w:t>
            </w:r>
          </w:p>
        </w:tc>
      </w:tr>
      <w:tr w:rsidR="00E76212" w:rsidRPr="008C63ED" w14:paraId="5F16B80A" w14:textId="77777777" w:rsidTr="00D2560E">
        <w:trPr>
          <w:trHeight w:val="63"/>
        </w:trPr>
        <w:tc>
          <w:tcPr>
            <w:tcW w:w="7371" w:type="dxa"/>
            <w:gridSpan w:val="2"/>
            <w:tcBorders>
              <w:top w:val="nil"/>
              <w:left w:val="nil"/>
              <w:bottom w:val="single" w:sz="4" w:space="0" w:color="auto"/>
              <w:right w:val="nil"/>
            </w:tcBorders>
            <w:shd w:val="clear" w:color="auto" w:fill="auto"/>
            <w:vAlign w:val="center"/>
            <w:hideMark/>
          </w:tcPr>
          <w:p w14:paraId="72631CA2"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24" w:type="dxa"/>
            <w:tcBorders>
              <w:top w:val="nil"/>
              <w:left w:val="nil"/>
              <w:bottom w:val="single" w:sz="4" w:space="0" w:color="auto"/>
              <w:right w:val="nil"/>
            </w:tcBorders>
            <w:shd w:val="clear" w:color="auto" w:fill="auto"/>
            <w:vAlign w:val="center"/>
            <w:hideMark/>
          </w:tcPr>
          <w:p w14:paraId="5F4E6F75"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1 704</w:t>
            </w:r>
          </w:p>
        </w:tc>
      </w:tr>
      <w:tr w:rsidR="00E76212" w:rsidRPr="008C63ED" w14:paraId="5ABFE02E" w14:textId="77777777" w:rsidTr="00D2560E">
        <w:trPr>
          <w:trHeight w:val="803"/>
        </w:trPr>
        <w:tc>
          <w:tcPr>
            <w:tcW w:w="1173" w:type="dxa"/>
            <w:tcBorders>
              <w:top w:val="nil"/>
              <w:left w:val="nil"/>
              <w:bottom w:val="nil"/>
              <w:right w:val="nil"/>
            </w:tcBorders>
            <w:shd w:val="clear" w:color="auto" w:fill="auto"/>
            <w:vAlign w:val="center"/>
            <w:hideMark/>
          </w:tcPr>
          <w:p w14:paraId="4919CB0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financií</w:t>
            </w:r>
            <w:r w:rsidRPr="008C63ED">
              <w:rPr>
                <w:rFonts w:eastAsia="Times New Roman" w:cs="Times New Roman"/>
                <w:sz w:val="16"/>
                <w:szCs w:val="16"/>
                <w:lang w:eastAsia="sk-SK"/>
              </w:rPr>
              <w:t xml:space="preserve"> SR</w:t>
            </w:r>
          </w:p>
        </w:tc>
        <w:tc>
          <w:tcPr>
            <w:tcW w:w="6198" w:type="dxa"/>
            <w:tcBorders>
              <w:top w:val="nil"/>
              <w:left w:val="nil"/>
              <w:bottom w:val="nil"/>
              <w:right w:val="nil"/>
            </w:tcBorders>
            <w:shd w:val="clear" w:color="auto" w:fill="auto"/>
            <w:vAlign w:val="bottom"/>
            <w:hideMark/>
          </w:tcPr>
          <w:p w14:paraId="7D8ECD9D" w14:textId="06393CC5" w:rsidR="00E76212" w:rsidRPr="008C63ED" w:rsidRDefault="00E76212" w:rsidP="00115076">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Viazanie rozpočtových prostriedkov určených na realizáciu zákona </w:t>
            </w:r>
            <w:r w:rsidR="00115076">
              <w:rPr>
                <w:rFonts w:eastAsia="Times New Roman" w:cs="Times New Roman"/>
                <w:sz w:val="16"/>
                <w:szCs w:val="16"/>
                <w:lang w:eastAsia="sk-SK"/>
              </w:rPr>
              <w:t>č. 232/2022 Z. z. o</w:t>
            </w:r>
            <w:r w:rsidRPr="008C63ED">
              <w:rPr>
                <w:rFonts w:eastAsia="Times New Roman" w:cs="Times New Roman"/>
                <w:sz w:val="16"/>
                <w:szCs w:val="16"/>
                <w:lang w:eastAsia="sk-SK"/>
              </w:rPr>
              <w:t> financovaní voľného času dieťaťa (nález Ústavného súdu SR, ktorým vybrané časti zákona č. 232/2022 Z. z. o financovaní voľného času detí stratili účinnosť a platnosť).</w:t>
            </w:r>
          </w:p>
        </w:tc>
        <w:tc>
          <w:tcPr>
            <w:tcW w:w="1724" w:type="dxa"/>
            <w:tcBorders>
              <w:top w:val="nil"/>
              <w:left w:val="nil"/>
              <w:bottom w:val="nil"/>
              <w:right w:val="nil"/>
            </w:tcBorders>
            <w:shd w:val="clear" w:color="auto" w:fill="auto"/>
            <w:vAlign w:val="center"/>
            <w:hideMark/>
          </w:tcPr>
          <w:p w14:paraId="6A730CD3"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425</w:t>
            </w:r>
          </w:p>
        </w:tc>
      </w:tr>
      <w:tr w:rsidR="00E76212" w:rsidRPr="008C63ED" w14:paraId="0849B1B2" w14:textId="77777777" w:rsidTr="00D2560E">
        <w:trPr>
          <w:trHeight w:val="340"/>
        </w:trPr>
        <w:tc>
          <w:tcPr>
            <w:tcW w:w="7371" w:type="dxa"/>
            <w:gridSpan w:val="2"/>
            <w:tcBorders>
              <w:top w:val="nil"/>
              <w:left w:val="nil"/>
              <w:bottom w:val="single" w:sz="4" w:space="0" w:color="auto"/>
              <w:right w:val="nil"/>
            </w:tcBorders>
            <w:shd w:val="clear" w:color="auto" w:fill="auto"/>
            <w:vAlign w:val="center"/>
            <w:hideMark/>
          </w:tcPr>
          <w:p w14:paraId="0E082346"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724" w:type="dxa"/>
            <w:tcBorders>
              <w:top w:val="nil"/>
              <w:left w:val="nil"/>
              <w:bottom w:val="single" w:sz="4" w:space="0" w:color="auto"/>
              <w:right w:val="nil"/>
            </w:tcBorders>
            <w:shd w:val="clear" w:color="auto" w:fill="auto"/>
            <w:vAlign w:val="center"/>
            <w:hideMark/>
          </w:tcPr>
          <w:p w14:paraId="693DF0BF"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425</w:t>
            </w:r>
          </w:p>
        </w:tc>
      </w:tr>
      <w:tr w:rsidR="00E76212" w:rsidRPr="008C63ED" w14:paraId="28CCDDBF" w14:textId="77777777" w:rsidTr="00D2560E">
        <w:trPr>
          <w:trHeight w:val="777"/>
        </w:trPr>
        <w:tc>
          <w:tcPr>
            <w:tcW w:w="1173" w:type="dxa"/>
            <w:tcBorders>
              <w:top w:val="nil"/>
              <w:left w:val="nil"/>
              <w:bottom w:val="nil"/>
              <w:right w:val="nil"/>
            </w:tcBorders>
            <w:shd w:val="clear" w:color="auto" w:fill="auto"/>
            <w:vAlign w:val="center"/>
            <w:hideMark/>
          </w:tcPr>
          <w:p w14:paraId="0E32B92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kultúry</w:t>
            </w:r>
            <w:r w:rsidRPr="008C63ED">
              <w:rPr>
                <w:rFonts w:eastAsia="Times New Roman" w:cs="Times New Roman"/>
                <w:sz w:val="16"/>
                <w:szCs w:val="16"/>
                <w:lang w:eastAsia="sk-SK"/>
              </w:rPr>
              <w:t xml:space="preserve"> SR</w:t>
            </w:r>
          </w:p>
        </w:tc>
        <w:tc>
          <w:tcPr>
            <w:tcW w:w="6198" w:type="dxa"/>
            <w:tcBorders>
              <w:top w:val="nil"/>
              <w:left w:val="nil"/>
              <w:bottom w:val="nil"/>
              <w:right w:val="nil"/>
            </w:tcBorders>
            <w:shd w:val="clear" w:color="auto" w:fill="auto"/>
            <w:vAlign w:val="bottom"/>
            <w:hideMark/>
          </w:tcPr>
          <w:p w14:paraId="4AF4FB0F" w14:textId="23E22D4A" w:rsidR="00E76212" w:rsidRPr="008C63ED" w:rsidRDefault="00E76212" w:rsidP="00115076">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Viazanie rozpočtových prostriedkov určených na realizáciu zákona č. 232/2022 Z. z. o financovaní voľného času dieťaťa (nález Ústavného súdu SR, ktorým vybrané časti zákona č. 232/2022 Z. z. o financovaní voľného času detí stratili účinnosť a platnosť)</w:t>
            </w:r>
          </w:p>
        </w:tc>
        <w:tc>
          <w:tcPr>
            <w:tcW w:w="1724" w:type="dxa"/>
            <w:tcBorders>
              <w:top w:val="nil"/>
              <w:left w:val="nil"/>
              <w:bottom w:val="nil"/>
              <w:right w:val="nil"/>
            </w:tcBorders>
            <w:shd w:val="clear" w:color="auto" w:fill="auto"/>
            <w:vAlign w:val="center"/>
            <w:hideMark/>
          </w:tcPr>
          <w:p w14:paraId="335040A6"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354</w:t>
            </w:r>
          </w:p>
        </w:tc>
      </w:tr>
      <w:tr w:rsidR="00E76212" w:rsidRPr="008C63ED" w14:paraId="4C1F4979" w14:textId="77777777" w:rsidTr="00D2560E">
        <w:trPr>
          <w:trHeight w:val="340"/>
        </w:trPr>
        <w:tc>
          <w:tcPr>
            <w:tcW w:w="7371" w:type="dxa"/>
            <w:gridSpan w:val="2"/>
            <w:tcBorders>
              <w:top w:val="nil"/>
              <w:left w:val="nil"/>
              <w:bottom w:val="single" w:sz="4" w:space="0" w:color="auto"/>
              <w:right w:val="nil"/>
            </w:tcBorders>
            <w:shd w:val="clear" w:color="auto" w:fill="auto"/>
            <w:vAlign w:val="center"/>
            <w:hideMark/>
          </w:tcPr>
          <w:p w14:paraId="5663C020"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lastRenderedPageBreak/>
              <w:t>Spolu</w:t>
            </w:r>
          </w:p>
        </w:tc>
        <w:tc>
          <w:tcPr>
            <w:tcW w:w="1724" w:type="dxa"/>
            <w:tcBorders>
              <w:top w:val="nil"/>
              <w:left w:val="nil"/>
              <w:bottom w:val="single" w:sz="4" w:space="0" w:color="auto"/>
              <w:right w:val="nil"/>
            </w:tcBorders>
            <w:shd w:val="clear" w:color="auto" w:fill="auto"/>
            <w:vAlign w:val="center"/>
            <w:hideMark/>
          </w:tcPr>
          <w:p w14:paraId="4BCE805D"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354</w:t>
            </w:r>
          </w:p>
        </w:tc>
      </w:tr>
      <w:tr w:rsidR="00E76212" w:rsidRPr="008C63ED" w14:paraId="6C960B51" w14:textId="77777777" w:rsidTr="00D2560E">
        <w:trPr>
          <w:trHeight w:val="340"/>
        </w:trPr>
        <w:tc>
          <w:tcPr>
            <w:tcW w:w="7371" w:type="dxa"/>
            <w:gridSpan w:val="2"/>
            <w:tcBorders>
              <w:top w:val="single" w:sz="4" w:space="0" w:color="auto"/>
              <w:left w:val="nil"/>
              <w:bottom w:val="single" w:sz="4" w:space="0" w:color="auto"/>
              <w:right w:val="nil"/>
            </w:tcBorders>
            <w:shd w:val="clear" w:color="auto" w:fill="auto"/>
            <w:vAlign w:val="center"/>
            <w:hideMark/>
          </w:tcPr>
          <w:p w14:paraId="6752910E" w14:textId="77777777" w:rsidR="00E76212" w:rsidRPr="008C63ED" w:rsidRDefault="00E76212" w:rsidP="00181464">
            <w:pPr>
              <w:spacing w:after="0" w:line="240" w:lineRule="auto"/>
              <w:jc w:val="left"/>
              <w:rPr>
                <w:rFonts w:eastAsia="Times New Roman" w:cs="Times New Roman"/>
                <w:b/>
                <w:bCs/>
                <w:sz w:val="16"/>
                <w:szCs w:val="16"/>
                <w:lang w:eastAsia="sk-SK"/>
              </w:rPr>
            </w:pPr>
            <w:r w:rsidRPr="008C63ED">
              <w:rPr>
                <w:rFonts w:eastAsia="Times New Roman" w:cs="Times New Roman"/>
                <w:b/>
                <w:bCs/>
                <w:sz w:val="16"/>
                <w:szCs w:val="16"/>
                <w:lang w:eastAsia="sk-SK"/>
              </w:rPr>
              <w:t xml:space="preserve">Spolu celkom </w:t>
            </w:r>
          </w:p>
        </w:tc>
        <w:tc>
          <w:tcPr>
            <w:tcW w:w="1724" w:type="dxa"/>
            <w:tcBorders>
              <w:top w:val="nil"/>
              <w:left w:val="nil"/>
              <w:bottom w:val="single" w:sz="4" w:space="0" w:color="auto"/>
              <w:right w:val="nil"/>
            </w:tcBorders>
            <w:shd w:val="clear" w:color="auto" w:fill="auto"/>
            <w:vAlign w:val="center"/>
            <w:hideMark/>
          </w:tcPr>
          <w:p w14:paraId="6593A7B7"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2 483</w:t>
            </w:r>
          </w:p>
        </w:tc>
      </w:tr>
      <w:tr w:rsidR="00E76212" w:rsidRPr="0035337C" w14:paraId="0860A794" w14:textId="77777777" w:rsidTr="00D2560E">
        <w:trPr>
          <w:trHeight w:val="232"/>
        </w:trPr>
        <w:tc>
          <w:tcPr>
            <w:tcW w:w="1173" w:type="dxa"/>
            <w:tcBorders>
              <w:top w:val="nil"/>
              <w:left w:val="nil"/>
              <w:bottom w:val="nil"/>
              <w:right w:val="nil"/>
            </w:tcBorders>
            <w:shd w:val="clear" w:color="auto" w:fill="auto"/>
            <w:noWrap/>
            <w:vAlign w:val="bottom"/>
            <w:hideMark/>
          </w:tcPr>
          <w:p w14:paraId="533D1B96" w14:textId="77777777" w:rsidR="00E76212" w:rsidRPr="0035337C" w:rsidRDefault="00E76212" w:rsidP="00D2560E">
            <w:pPr>
              <w:spacing w:after="0" w:line="240" w:lineRule="auto"/>
              <w:jc w:val="right"/>
              <w:rPr>
                <w:rFonts w:eastAsia="Times New Roman" w:cs="Times New Roman"/>
                <w:b/>
                <w:bCs/>
                <w:sz w:val="18"/>
                <w:szCs w:val="18"/>
                <w:lang w:eastAsia="sk-SK"/>
              </w:rPr>
            </w:pPr>
          </w:p>
        </w:tc>
        <w:tc>
          <w:tcPr>
            <w:tcW w:w="6198" w:type="dxa"/>
            <w:tcBorders>
              <w:top w:val="nil"/>
              <w:left w:val="nil"/>
              <w:bottom w:val="nil"/>
              <w:right w:val="nil"/>
            </w:tcBorders>
            <w:shd w:val="clear" w:color="auto" w:fill="auto"/>
            <w:noWrap/>
            <w:vAlign w:val="bottom"/>
            <w:hideMark/>
          </w:tcPr>
          <w:p w14:paraId="6A581864" w14:textId="77777777" w:rsidR="00E76212" w:rsidRPr="0035337C" w:rsidRDefault="00E76212" w:rsidP="00D2560E">
            <w:pPr>
              <w:spacing w:after="0" w:line="240" w:lineRule="auto"/>
              <w:rPr>
                <w:rFonts w:eastAsia="Times New Roman" w:cs="Times New Roman"/>
                <w:sz w:val="18"/>
                <w:szCs w:val="18"/>
                <w:lang w:eastAsia="sk-SK"/>
              </w:rPr>
            </w:pPr>
          </w:p>
        </w:tc>
        <w:tc>
          <w:tcPr>
            <w:tcW w:w="1724" w:type="dxa"/>
            <w:tcBorders>
              <w:top w:val="nil"/>
              <w:left w:val="nil"/>
              <w:bottom w:val="nil"/>
              <w:right w:val="nil"/>
            </w:tcBorders>
            <w:shd w:val="clear" w:color="auto" w:fill="auto"/>
            <w:noWrap/>
            <w:vAlign w:val="center"/>
            <w:hideMark/>
          </w:tcPr>
          <w:p w14:paraId="50AC986E" w14:textId="77777777" w:rsidR="00E76212" w:rsidRPr="0035337C" w:rsidRDefault="00E76212" w:rsidP="00D2560E">
            <w:pPr>
              <w:spacing w:after="0" w:line="240" w:lineRule="auto"/>
              <w:jc w:val="right"/>
              <w:rPr>
                <w:rFonts w:eastAsia="Times New Roman" w:cs="Times New Roman"/>
                <w:iCs/>
                <w:sz w:val="18"/>
                <w:szCs w:val="18"/>
                <w:lang w:eastAsia="sk-SK"/>
              </w:rPr>
            </w:pPr>
            <w:r w:rsidRPr="0035337C">
              <w:rPr>
                <w:rFonts w:eastAsia="Times New Roman" w:cs="Times New Roman"/>
                <w:iCs/>
                <w:sz w:val="18"/>
                <w:szCs w:val="18"/>
                <w:lang w:eastAsia="sk-SK"/>
              </w:rPr>
              <w:t>Zdroj: MF SR</w:t>
            </w:r>
          </w:p>
        </w:tc>
      </w:tr>
    </w:tbl>
    <w:p w14:paraId="7F0996A7" w14:textId="77777777" w:rsidR="00E76212" w:rsidRPr="00500379" w:rsidRDefault="00E76212" w:rsidP="00181464">
      <w:pPr>
        <w:spacing w:before="120" w:line="240" w:lineRule="auto"/>
        <w:rPr>
          <w:rFonts w:cs="Times New Roman"/>
          <w:b/>
          <w:iCs/>
          <w:sz w:val="24"/>
          <w:szCs w:val="24"/>
        </w:rPr>
      </w:pPr>
      <w:r w:rsidRPr="00500379">
        <w:rPr>
          <w:rFonts w:cs="Times New Roman"/>
          <w:b/>
          <w:iCs/>
          <w:sz w:val="24"/>
          <w:szCs w:val="24"/>
        </w:rPr>
        <w:t>Rezerva na výdavky súvisiace s vojnovým konfliktom na Ukrajine</w:t>
      </w:r>
    </w:p>
    <w:p w14:paraId="2DE58638" w14:textId="77777777" w:rsidR="00E76212" w:rsidRPr="00500379" w:rsidRDefault="00E76212" w:rsidP="00181464">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sz w:val="24"/>
          <w:szCs w:val="24"/>
          <w:lang w:eastAsia="cs-CZ"/>
        </w:rPr>
      </w:pPr>
      <w:r>
        <w:rPr>
          <w:rFonts w:eastAsia="Times New Roman" w:cs="Times New Roman"/>
          <w:sz w:val="24"/>
          <w:szCs w:val="24"/>
          <w:lang w:eastAsia="cs-CZ"/>
        </w:rPr>
        <w:t>Rozpočtovaná rezerva v sume 100 000 </w:t>
      </w:r>
      <w:r w:rsidRPr="00500379">
        <w:rPr>
          <w:rFonts w:eastAsia="Times New Roman" w:cs="Times New Roman"/>
          <w:sz w:val="24"/>
          <w:szCs w:val="24"/>
          <w:lang w:eastAsia="cs-CZ"/>
        </w:rPr>
        <w:t>ti</w:t>
      </w:r>
      <w:r>
        <w:rPr>
          <w:rFonts w:eastAsia="Times New Roman" w:cs="Times New Roman"/>
          <w:sz w:val="24"/>
          <w:szCs w:val="24"/>
          <w:lang w:eastAsia="cs-CZ"/>
        </w:rPr>
        <w:t>s. </w:t>
      </w:r>
      <w:r w:rsidRPr="00500379">
        <w:rPr>
          <w:rFonts w:eastAsia="Times New Roman" w:cs="Times New Roman"/>
          <w:sz w:val="24"/>
          <w:szCs w:val="24"/>
          <w:lang w:eastAsia="cs-CZ"/>
        </w:rPr>
        <w:t>eur bola z dôvodu zabezpečenia finančného krytia výdavkov vyplývajúcich z požiadaviek r</w:t>
      </w:r>
      <w:r>
        <w:rPr>
          <w:rFonts w:eastAsia="Times New Roman" w:cs="Times New Roman"/>
          <w:sz w:val="24"/>
          <w:szCs w:val="24"/>
          <w:lang w:eastAsia="cs-CZ"/>
        </w:rPr>
        <w:t>ezortov dofinancovaná v sume 10 000 tis. </w:t>
      </w:r>
      <w:r w:rsidRPr="00500379">
        <w:rPr>
          <w:rFonts w:eastAsia="Times New Roman" w:cs="Times New Roman"/>
          <w:sz w:val="24"/>
          <w:szCs w:val="24"/>
          <w:lang w:eastAsia="cs-CZ"/>
        </w:rPr>
        <w:t xml:space="preserve">eur v rámci kapitoly </w:t>
      </w:r>
      <w:r>
        <w:rPr>
          <w:rFonts w:eastAsia="Times New Roman" w:cs="Times New Roman"/>
          <w:sz w:val="24"/>
          <w:szCs w:val="24"/>
          <w:lang w:eastAsia="cs-CZ"/>
        </w:rPr>
        <w:t>Všeobecná pokladničná správa z </w:t>
      </w:r>
      <w:r w:rsidRPr="00500379">
        <w:rPr>
          <w:rFonts w:eastAsia="Times New Roman" w:cs="Times New Roman"/>
          <w:sz w:val="24"/>
          <w:szCs w:val="24"/>
          <w:lang w:eastAsia="cs-CZ"/>
        </w:rPr>
        <w:t xml:space="preserve">Rezervy na prostriedky Európskej únie a odvody Európskej únii. </w:t>
      </w:r>
    </w:p>
    <w:p w14:paraId="595AEE6E" w14:textId="77777777" w:rsidR="00E76212" w:rsidRPr="00500379"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sz w:val="24"/>
          <w:szCs w:val="24"/>
          <w:lang w:eastAsia="cs-CZ"/>
        </w:rPr>
      </w:pPr>
      <w:r>
        <w:rPr>
          <w:rFonts w:eastAsia="Times New Roman" w:cs="Times New Roman"/>
          <w:sz w:val="24"/>
          <w:szCs w:val="24"/>
          <w:lang w:eastAsia="cs-CZ"/>
        </w:rPr>
        <w:t>Z </w:t>
      </w:r>
      <w:r w:rsidRPr="00500379">
        <w:rPr>
          <w:rFonts w:eastAsia="Times New Roman" w:cs="Times New Roman"/>
          <w:sz w:val="24"/>
          <w:szCs w:val="24"/>
          <w:lang w:eastAsia="cs-CZ"/>
        </w:rPr>
        <w:t>daného výdavkového titulu sa</w:t>
      </w:r>
      <w:r>
        <w:rPr>
          <w:rFonts w:eastAsia="Times New Roman" w:cs="Times New Roman"/>
          <w:sz w:val="24"/>
          <w:szCs w:val="24"/>
          <w:lang w:eastAsia="cs-CZ"/>
        </w:rPr>
        <w:t xml:space="preserve"> uvoľnili prostriedky v sume 87 015 tis. eur, a to najmä na </w:t>
      </w:r>
      <w:r w:rsidRPr="00500379">
        <w:rPr>
          <w:rFonts w:eastAsia="Times New Roman" w:cs="Times New Roman"/>
          <w:sz w:val="24"/>
          <w:szCs w:val="24"/>
          <w:lang w:eastAsia="cs-CZ"/>
        </w:rPr>
        <w:t xml:space="preserve">financovanie príspevku za ubytovanie, dávky v hmotnej núdzi, na poskytovanie neodkladnej zdravotnej starostlivosti v súvislosti s hromadným prílevom cudzincov na územie Slovenskej republiky spôsobeným ozbrojeným konfliktom na území Ukrajiny. </w:t>
      </w:r>
    </w:p>
    <w:p w14:paraId="1079D4DF" w14:textId="77777777" w:rsidR="00E76212" w:rsidRPr="00500379"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sz w:val="24"/>
          <w:szCs w:val="24"/>
          <w:lang w:eastAsia="cs-CZ"/>
        </w:rPr>
      </w:pPr>
      <w:r w:rsidRPr="00500379">
        <w:rPr>
          <w:rFonts w:eastAsia="Times New Roman" w:cs="Times New Roman"/>
          <w:sz w:val="24"/>
          <w:szCs w:val="24"/>
          <w:lang w:eastAsia="cs-CZ"/>
        </w:rPr>
        <w:t>Z dôvodu zabezpečenia výplaty 13. dôchodku bol podľa no</w:t>
      </w:r>
      <w:r>
        <w:rPr>
          <w:rFonts w:eastAsia="Times New Roman" w:cs="Times New Roman"/>
          <w:sz w:val="24"/>
          <w:szCs w:val="24"/>
          <w:lang w:eastAsia="cs-CZ"/>
        </w:rPr>
        <w:t>vely zákona č. 296/2020 Z. z. o 13. </w:t>
      </w:r>
      <w:r w:rsidRPr="00500379">
        <w:rPr>
          <w:rFonts w:eastAsia="Times New Roman" w:cs="Times New Roman"/>
          <w:sz w:val="24"/>
          <w:szCs w:val="24"/>
          <w:lang w:eastAsia="cs-CZ"/>
        </w:rPr>
        <w:t>dôchodku a o zmene a doplnení niektorých zákonov v rámci kapitoly Všeobecná pokladničná správa realizovan</w:t>
      </w:r>
      <w:r>
        <w:rPr>
          <w:rFonts w:eastAsia="Times New Roman" w:cs="Times New Roman"/>
          <w:sz w:val="24"/>
          <w:szCs w:val="24"/>
          <w:lang w:eastAsia="cs-CZ"/>
        </w:rPr>
        <w:t>ý presun prostriedkov v sume 20 000 tis. </w:t>
      </w:r>
      <w:r w:rsidRPr="00500379">
        <w:rPr>
          <w:rFonts w:eastAsia="Times New Roman" w:cs="Times New Roman"/>
          <w:sz w:val="24"/>
          <w:szCs w:val="24"/>
          <w:lang w:eastAsia="cs-CZ"/>
        </w:rPr>
        <w:t>eur na Rezervu na riešenie vplyvov legislatívnych zmien.</w:t>
      </w:r>
    </w:p>
    <w:p w14:paraId="2CE8197F" w14:textId="77777777" w:rsidR="00E76212" w:rsidRPr="00500379"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sz w:val="24"/>
          <w:szCs w:val="24"/>
          <w:lang w:eastAsia="cs-CZ"/>
        </w:rPr>
      </w:pPr>
      <w:r w:rsidRPr="00500379">
        <w:rPr>
          <w:rFonts w:eastAsia="Times New Roman" w:cs="Times New Roman"/>
          <w:sz w:val="24"/>
          <w:szCs w:val="24"/>
          <w:lang w:eastAsia="cs-CZ"/>
        </w:rPr>
        <w:t>Nevyčerp</w:t>
      </w:r>
      <w:r>
        <w:rPr>
          <w:rFonts w:eastAsia="Times New Roman" w:cs="Times New Roman"/>
          <w:sz w:val="24"/>
          <w:szCs w:val="24"/>
          <w:lang w:eastAsia="cs-CZ"/>
        </w:rPr>
        <w:t>aný zostatok predstavuje sumu 2 985 tis. </w:t>
      </w:r>
      <w:r w:rsidRPr="00500379">
        <w:rPr>
          <w:rFonts w:eastAsia="Times New Roman" w:cs="Times New Roman"/>
          <w:sz w:val="24"/>
          <w:szCs w:val="24"/>
          <w:lang w:eastAsia="cs-CZ"/>
        </w:rPr>
        <w:t>eur.</w:t>
      </w:r>
    </w:p>
    <w:p w14:paraId="5F26F699" w14:textId="76FDE36C" w:rsidR="00E76212" w:rsidRPr="00500379"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sz w:val="24"/>
          <w:szCs w:val="24"/>
          <w:lang w:eastAsia="cs-CZ"/>
        </w:rPr>
      </w:pPr>
      <w:r w:rsidRPr="00500379">
        <w:rPr>
          <w:rFonts w:eastAsia="Times New Roman" w:cs="Times New Roman"/>
          <w:sz w:val="24"/>
          <w:szCs w:val="24"/>
          <w:lang w:eastAsia="cs-CZ"/>
        </w:rPr>
        <w:t xml:space="preserve">Podrobné informácie o uvoľnených prostriedkoch sú prezentované v </w:t>
      </w:r>
      <w:r w:rsidRPr="00DD022A">
        <w:rPr>
          <w:rFonts w:eastAsia="Times New Roman" w:cs="Times New Roman"/>
          <w:sz w:val="24"/>
          <w:szCs w:val="24"/>
          <w:lang w:eastAsia="cs-CZ"/>
        </w:rPr>
        <w:t xml:space="preserve">Tabuľke </w:t>
      </w:r>
      <w:r w:rsidR="00DD022A">
        <w:rPr>
          <w:rFonts w:eastAsia="Times New Roman" w:cs="Times New Roman"/>
          <w:sz w:val="24"/>
          <w:szCs w:val="24"/>
          <w:lang w:eastAsia="cs-CZ"/>
        </w:rPr>
        <w:t>60</w:t>
      </w:r>
      <w:r w:rsidRPr="00500379">
        <w:rPr>
          <w:rFonts w:eastAsia="Times New Roman" w:cs="Times New Roman"/>
          <w:sz w:val="24"/>
          <w:szCs w:val="24"/>
          <w:lang w:eastAsia="cs-CZ"/>
        </w:rPr>
        <w:t>.</w:t>
      </w:r>
    </w:p>
    <w:tbl>
      <w:tblPr>
        <w:tblW w:w="9072" w:type="dxa"/>
        <w:tblCellMar>
          <w:left w:w="70" w:type="dxa"/>
          <w:right w:w="70" w:type="dxa"/>
        </w:tblCellMar>
        <w:tblLook w:val="04A0" w:firstRow="1" w:lastRow="0" w:firstColumn="1" w:lastColumn="0" w:noHBand="0" w:noVBand="1"/>
      </w:tblPr>
      <w:tblGrid>
        <w:gridCol w:w="1480"/>
        <w:gridCol w:w="6340"/>
        <w:gridCol w:w="1252"/>
      </w:tblGrid>
      <w:tr w:rsidR="00E76212" w:rsidRPr="008C63ED" w14:paraId="5A73CD78" w14:textId="77777777" w:rsidTr="00D2560E">
        <w:trPr>
          <w:trHeight w:val="315"/>
        </w:trPr>
        <w:tc>
          <w:tcPr>
            <w:tcW w:w="7820" w:type="dxa"/>
            <w:gridSpan w:val="2"/>
            <w:tcBorders>
              <w:top w:val="nil"/>
              <w:left w:val="nil"/>
              <w:bottom w:val="single" w:sz="4" w:space="0" w:color="auto"/>
              <w:right w:val="nil"/>
            </w:tcBorders>
            <w:shd w:val="clear" w:color="auto" w:fill="auto"/>
            <w:noWrap/>
            <w:vAlign w:val="center"/>
            <w:hideMark/>
          </w:tcPr>
          <w:p w14:paraId="74CF4723" w14:textId="15C5FFFF" w:rsidR="00E76212" w:rsidRPr="008C63ED" w:rsidRDefault="00E76212" w:rsidP="008172CD">
            <w:pPr>
              <w:spacing w:line="240" w:lineRule="auto"/>
              <w:rPr>
                <w:rFonts w:eastAsia="Times New Roman" w:cs="Times New Roman"/>
                <w:b/>
                <w:bCs/>
                <w:sz w:val="20"/>
                <w:szCs w:val="20"/>
                <w:lang w:eastAsia="sk-SK"/>
              </w:rPr>
            </w:pPr>
            <w:r>
              <w:rPr>
                <w:b/>
                <w:bCs/>
                <w:color w:val="5B9BD5"/>
                <w:sz w:val="20"/>
                <w:szCs w:val="20"/>
              </w:rPr>
              <w:t xml:space="preserve">Tabuľka </w:t>
            </w:r>
            <w:r w:rsidR="00DD022A">
              <w:rPr>
                <w:b/>
                <w:bCs/>
                <w:color w:val="5B9BD5"/>
                <w:sz w:val="20"/>
                <w:szCs w:val="20"/>
              </w:rPr>
              <w:t>60</w:t>
            </w:r>
            <w:r w:rsidRPr="00FB0CC7">
              <w:rPr>
                <w:b/>
                <w:bCs/>
                <w:color w:val="5B9BD5"/>
                <w:sz w:val="20"/>
                <w:szCs w:val="20"/>
              </w:rPr>
              <w:t xml:space="preserve"> - Rezerva na výdavky súvisiace s vojnovým konfliktom na Ukrajine</w:t>
            </w:r>
          </w:p>
        </w:tc>
        <w:tc>
          <w:tcPr>
            <w:tcW w:w="1252" w:type="dxa"/>
            <w:tcBorders>
              <w:top w:val="nil"/>
              <w:left w:val="nil"/>
              <w:bottom w:val="nil"/>
              <w:right w:val="nil"/>
            </w:tcBorders>
            <w:shd w:val="clear" w:color="auto" w:fill="auto"/>
            <w:noWrap/>
            <w:vAlign w:val="center"/>
          </w:tcPr>
          <w:p w14:paraId="4EE8F7B6" w14:textId="77777777" w:rsidR="00E76212" w:rsidRPr="008C63ED" w:rsidRDefault="00E76212" w:rsidP="00D2560E">
            <w:pPr>
              <w:spacing w:after="0" w:line="240" w:lineRule="auto"/>
              <w:jc w:val="right"/>
              <w:rPr>
                <w:rFonts w:eastAsia="Times New Roman" w:cs="Times New Roman"/>
                <w:sz w:val="16"/>
                <w:szCs w:val="16"/>
                <w:lang w:eastAsia="sk-SK"/>
              </w:rPr>
            </w:pPr>
          </w:p>
        </w:tc>
      </w:tr>
      <w:tr w:rsidR="00E76212" w:rsidRPr="008C63ED" w14:paraId="3E0B354C" w14:textId="77777777" w:rsidTr="00D2560E">
        <w:trPr>
          <w:trHeight w:val="225"/>
        </w:trPr>
        <w:tc>
          <w:tcPr>
            <w:tcW w:w="1480" w:type="dxa"/>
            <w:tcBorders>
              <w:top w:val="nil"/>
              <w:left w:val="nil"/>
              <w:bottom w:val="single" w:sz="4" w:space="0" w:color="auto"/>
              <w:right w:val="nil"/>
            </w:tcBorders>
            <w:shd w:val="clear" w:color="auto" w:fill="auto"/>
            <w:vAlign w:val="center"/>
            <w:hideMark/>
          </w:tcPr>
          <w:p w14:paraId="279E51F5" w14:textId="77777777" w:rsidR="00E76212" w:rsidRPr="008C63ED" w:rsidRDefault="00E76212" w:rsidP="00D2560E">
            <w:pPr>
              <w:spacing w:after="0" w:line="240" w:lineRule="auto"/>
              <w:rPr>
                <w:rFonts w:eastAsia="Times New Roman" w:cs="Times New Roman"/>
                <w:b/>
                <w:bCs/>
                <w:sz w:val="16"/>
                <w:szCs w:val="16"/>
                <w:lang w:eastAsia="sk-SK"/>
              </w:rPr>
            </w:pPr>
            <w:r w:rsidRPr="008C63ED">
              <w:rPr>
                <w:rFonts w:eastAsia="Times New Roman" w:cs="Times New Roman"/>
                <w:b/>
                <w:bCs/>
                <w:sz w:val="16"/>
                <w:szCs w:val="16"/>
                <w:lang w:eastAsia="sk-SK"/>
              </w:rPr>
              <w:t xml:space="preserve">Kapitola </w:t>
            </w:r>
          </w:p>
        </w:tc>
        <w:tc>
          <w:tcPr>
            <w:tcW w:w="6340" w:type="dxa"/>
            <w:tcBorders>
              <w:top w:val="nil"/>
              <w:left w:val="nil"/>
              <w:bottom w:val="single" w:sz="4" w:space="0" w:color="auto"/>
              <w:right w:val="nil"/>
            </w:tcBorders>
            <w:shd w:val="clear" w:color="auto" w:fill="auto"/>
            <w:vAlign w:val="center"/>
            <w:hideMark/>
          </w:tcPr>
          <w:p w14:paraId="7FBAE3EA" w14:textId="77777777" w:rsidR="00E76212" w:rsidRPr="008C63ED" w:rsidRDefault="00E76212" w:rsidP="00D2560E">
            <w:pPr>
              <w:spacing w:after="0" w:line="240" w:lineRule="auto"/>
              <w:jc w:val="center"/>
              <w:rPr>
                <w:rFonts w:eastAsia="Times New Roman" w:cs="Times New Roman"/>
                <w:b/>
                <w:bCs/>
                <w:sz w:val="16"/>
                <w:szCs w:val="16"/>
                <w:lang w:eastAsia="sk-SK"/>
              </w:rPr>
            </w:pPr>
            <w:r w:rsidRPr="008C63ED">
              <w:rPr>
                <w:rFonts w:eastAsia="Times New Roman" w:cs="Times New Roman"/>
                <w:b/>
                <w:bCs/>
                <w:sz w:val="16"/>
                <w:szCs w:val="16"/>
                <w:lang w:eastAsia="sk-SK"/>
              </w:rPr>
              <w:t>Účel</w:t>
            </w:r>
          </w:p>
        </w:tc>
        <w:tc>
          <w:tcPr>
            <w:tcW w:w="1252" w:type="dxa"/>
            <w:tcBorders>
              <w:top w:val="single" w:sz="4" w:space="0" w:color="auto"/>
              <w:left w:val="nil"/>
              <w:bottom w:val="single" w:sz="4" w:space="0" w:color="auto"/>
              <w:right w:val="nil"/>
            </w:tcBorders>
            <w:shd w:val="clear" w:color="auto" w:fill="auto"/>
            <w:vAlign w:val="center"/>
            <w:hideMark/>
          </w:tcPr>
          <w:p w14:paraId="3FC685E3"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xml:space="preserve">Suma v tis. eur </w:t>
            </w:r>
          </w:p>
        </w:tc>
      </w:tr>
      <w:tr w:rsidR="00E76212" w:rsidRPr="008C63ED" w14:paraId="3A819CE6" w14:textId="77777777" w:rsidTr="00D2560E">
        <w:trPr>
          <w:trHeight w:val="897"/>
        </w:trPr>
        <w:tc>
          <w:tcPr>
            <w:tcW w:w="1480" w:type="dxa"/>
            <w:vMerge w:val="restart"/>
            <w:tcBorders>
              <w:top w:val="nil"/>
              <w:left w:val="nil"/>
              <w:bottom w:val="nil"/>
              <w:right w:val="nil"/>
            </w:tcBorders>
            <w:shd w:val="clear" w:color="auto" w:fill="auto"/>
            <w:vAlign w:val="center"/>
            <w:hideMark/>
          </w:tcPr>
          <w:p w14:paraId="4F088AA9" w14:textId="77777777" w:rsidR="00E76212" w:rsidRPr="008C63ED" w:rsidRDefault="00E76212" w:rsidP="00D2560E">
            <w:pPr>
              <w:spacing w:after="0" w:line="240" w:lineRule="auto"/>
              <w:rPr>
                <w:rFonts w:eastAsia="Times New Roman" w:cs="Times New Roman"/>
                <w:sz w:val="16"/>
                <w:szCs w:val="16"/>
                <w:lang w:eastAsia="sk-SK"/>
              </w:rPr>
            </w:pPr>
            <w:r>
              <w:rPr>
                <w:rFonts w:eastAsia="Times New Roman" w:cs="Times New Roman"/>
                <w:sz w:val="16"/>
                <w:szCs w:val="16"/>
                <w:lang w:eastAsia="sk-SK"/>
              </w:rPr>
              <w:t>Ministerstvo vnútra</w:t>
            </w:r>
            <w:r w:rsidRPr="008C63ED">
              <w:rPr>
                <w:rFonts w:eastAsia="Times New Roman" w:cs="Times New Roman"/>
                <w:sz w:val="16"/>
                <w:szCs w:val="16"/>
                <w:lang w:eastAsia="sk-SK"/>
              </w:rPr>
              <w:t xml:space="preserve"> SR </w:t>
            </w:r>
          </w:p>
        </w:tc>
        <w:tc>
          <w:tcPr>
            <w:tcW w:w="6340" w:type="dxa"/>
            <w:tcBorders>
              <w:top w:val="nil"/>
              <w:left w:val="nil"/>
              <w:bottom w:val="nil"/>
              <w:right w:val="nil"/>
            </w:tcBorders>
            <w:shd w:val="clear" w:color="auto" w:fill="auto"/>
            <w:vAlign w:val="bottom"/>
            <w:hideMark/>
          </w:tcPr>
          <w:p w14:paraId="15BC5E5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príspevok za ubytovanie odídencov za obdobie 12/2022 - 02/2023, 02 - 05/2023 v súlade s nariadením vlády SR č. 315/2022 a nariadením vlády SR č. 43/2023 Z. z. a na úhradu výdavkov za obdobie 01 - 02/2023 spojených so zabezpečením civilnej ochrany a výkonom záchranných prác v súvislosti s vyhlásenou mimoriadnou situáciou</w:t>
            </w:r>
          </w:p>
        </w:tc>
        <w:tc>
          <w:tcPr>
            <w:tcW w:w="1252" w:type="dxa"/>
            <w:tcBorders>
              <w:top w:val="nil"/>
              <w:left w:val="nil"/>
              <w:bottom w:val="nil"/>
              <w:right w:val="nil"/>
            </w:tcBorders>
            <w:shd w:val="clear" w:color="auto" w:fill="auto"/>
            <w:vAlign w:val="center"/>
            <w:hideMark/>
          </w:tcPr>
          <w:p w14:paraId="767D285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44 223</w:t>
            </w:r>
          </w:p>
        </w:tc>
      </w:tr>
      <w:tr w:rsidR="00E76212" w:rsidRPr="008C63ED" w14:paraId="676F7482" w14:textId="77777777" w:rsidTr="00D2560E">
        <w:trPr>
          <w:trHeight w:val="675"/>
        </w:trPr>
        <w:tc>
          <w:tcPr>
            <w:tcW w:w="1480" w:type="dxa"/>
            <w:vMerge/>
            <w:tcBorders>
              <w:top w:val="nil"/>
              <w:left w:val="nil"/>
              <w:bottom w:val="nil"/>
              <w:right w:val="nil"/>
            </w:tcBorders>
            <w:vAlign w:val="center"/>
            <w:hideMark/>
          </w:tcPr>
          <w:p w14:paraId="196CF0CF" w14:textId="77777777" w:rsidR="00E76212" w:rsidRPr="008C63ED" w:rsidRDefault="00E76212" w:rsidP="00D2560E">
            <w:pPr>
              <w:spacing w:after="0" w:line="240" w:lineRule="auto"/>
              <w:rPr>
                <w:rFonts w:eastAsia="Times New Roman" w:cs="Times New Roman"/>
                <w:sz w:val="16"/>
                <w:szCs w:val="16"/>
                <w:lang w:eastAsia="sk-SK"/>
              </w:rPr>
            </w:pPr>
          </w:p>
        </w:tc>
        <w:tc>
          <w:tcPr>
            <w:tcW w:w="6340" w:type="dxa"/>
            <w:tcBorders>
              <w:top w:val="nil"/>
              <w:left w:val="nil"/>
              <w:bottom w:val="nil"/>
              <w:right w:val="nil"/>
            </w:tcBorders>
            <w:shd w:val="clear" w:color="auto" w:fill="auto"/>
            <w:vAlign w:val="bottom"/>
            <w:hideMark/>
          </w:tcPr>
          <w:p w14:paraId="035EF31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oprávnené výdavky spojené so zabezpečením civilnej ochrany a výkonom záchranných prác na obdobie 03 - 05/2023 v súvislosti s vyhlásenou mimoriadnou situáciou</w:t>
            </w:r>
          </w:p>
        </w:tc>
        <w:tc>
          <w:tcPr>
            <w:tcW w:w="1252" w:type="dxa"/>
            <w:tcBorders>
              <w:top w:val="nil"/>
              <w:left w:val="nil"/>
              <w:bottom w:val="nil"/>
              <w:right w:val="nil"/>
            </w:tcBorders>
            <w:shd w:val="clear" w:color="auto" w:fill="auto"/>
            <w:vAlign w:val="center"/>
            <w:hideMark/>
          </w:tcPr>
          <w:p w14:paraId="6CA0948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7 000</w:t>
            </w:r>
          </w:p>
        </w:tc>
      </w:tr>
      <w:tr w:rsidR="00E76212" w:rsidRPr="008C63ED" w14:paraId="2F49A69C" w14:textId="77777777" w:rsidTr="00D2560E">
        <w:trPr>
          <w:trHeight w:val="333"/>
        </w:trPr>
        <w:tc>
          <w:tcPr>
            <w:tcW w:w="1480" w:type="dxa"/>
            <w:vMerge/>
            <w:tcBorders>
              <w:top w:val="nil"/>
              <w:left w:val="nil"/>
              <w:bottom w:val="nil"/>
              <w:right w:val="nil"/>
            </w:tcBorders>
            <w:vAlign w:val="center"/>
            <w:hideMark/>
          </w:tcPr>
          <w:p w14:paraId="39D57B2A" w14:textId="77777777" w:rsidR="00E76212" w:rsidRPr="008C63ED" w:rsidRDefault="00E76212" w:rsidP="00D2560E">
            <w:pPr>
              <w:spacing w:after="0" w:line="240" w:lineRule="auto"/>
              <w:rPr>
                <w:rFonts w:eastAsia="Times New Roman" w:cs="Times New Roman"/>
                <w:sz w:val="16"/>
                <w:szCs w:val="16"/>
                <w:lang w:eastAsia="sk-SK"/>
              </w:rPr>
            </w:pPr>
          </w:p>
        </w:tc>
        <w:tc>
          <w:tcPr>
            <w:tcW w:w="6340" w:type="dxa"/>
            <w:tcBorders>
              <w:top w:val="nil"/>
              <w:left w:val="nil"/>
              <w:bottom w:val="nil"/>
              <w:right w:val="nil"/>
            </w:tcBorders>
            <w:shd w:val="clear" w:color="auto" w:fill="auto"/>
            <w:vAlign w:val="bottom"/>
            <w:hideMark/>
          </w:tcPr>
          <w:p w14:paraId="4DE2CF3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Kontingenčný plán SR pre riešenie mimoriadnej situácie podľa UZN č. 665/2022</w:t>
            </w:r>
          </w:p>
        </w:tc>
        <w:tc>
          <w:tcPr>
            <w:tcW w:w="1252" w:type="dxa"/>
            <w:tcBorders>
              <w:top w:val="nil"/>
              <w:left w:val="nil"/>
              <w:bottom w:val="nil"/>
              <w:right w:val="nil"/>
            </w:tcBorders>
            <w:shd w:val="clear" w:color="auto" w:fill="auto"/>
            <w:vAlign w:val="center"/>
            <w:hideMark/>
          </w:tcPr>
          <w:p w14:paraId="1134BD2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4 794</w:t>
            </w:r>
          </w:p>
        </w:tc>
      </w:tr>
      <w:tr w:rsidR="00E76212" w:rsidRPr="008C63ED" w14:paraId="700644A5" w14:textId="77777777" w:rsidTr="00D2560E">
        <w:trPr>
          <w:trHeight w:val="578"/>
        </w:trPr>
        <w:tc>
          <w:tcPr>
            <w:tcW w:w="1480" w:type="dxa"/>
            <w:vMerge/>
            <w:tcBorders>
              <w:top w:val="nil"/>
              <w:left w:val="nil"/>
              <w:bottom w:val="nil"/>
              <w:right w:val="nil"/>
            </w:tcBorders>
            <w:vAlign w:val="center"/>
            <w:hideMark/>
          </w:tcPr>
          <w:p w14:paraId="37898AE9" w14:textId="77777777" w:rsidR="00E76212" w:rsidRPr="008C63ED" w:rsidRDefault="00E76212" w:rsidP="00D2560E">
            <w:pPr>
              <w:spacing w:after="0" w:line="240" w:lineRule="auto"/>
              <w:rPr>
                <w:rFonts w:eastAsia="Times New Roman" w:cs="Times New Roman"/>
                <w:sz w:val="16"/>
                <w:szCs w:val="16"/>
                <w:lang w:eastAsia="sk-SK"/>
              </w:rPr>
            </w:pPr>
          </w:p>
        </w:tc>
        <w:tc>
          <w:tcPr>
            <w:tcW w:w="6340" w:type="dxa"/>
            <w:tcBorders>
              <w:top w:val="nil"/>
              <w:left w:val="nil"/>
              <w:bottom w:val="nil"/>
              <w:right w:val="nil"/>
            </w:tcBorders>
            <w:shd w:val="clear" w:color="auto" w:fill="auto"/>
            <w:vAlign w:val="bottom"/>
            <w:hideMark/>
          </w:tcPr>
          <w:p w14:paraId="32A2D72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úhradu oprávnených výdavkov subjektov hospodárskej mobilizácie spojených s dopravným zabezpečením transportu odídencov podľa nariadenia vlády SR č. 59/2022 Z. z.</w:t>
            </w:r>
          </w:p>
        </w:tc>
        <w:tc>
          <w:tcPr>
            <w:tcW w:w="1252" w:type="dxa"/>
            <w:tcBorders>
              <w:top w:val="nil"/>
              <w:left w:val="nil"/>
              <w:bottom w:val="nil"/>
              <w:right w:val="nil"/>
            </w:tcBorders>
            <w:shd w:val="clear" w:color="auto" w:fill="auto"/>
            <w:vAlign w:val="center"/>
            <w:hideMark/>
          </w:tcPr>
          <w:p w14:paraId="2C23AF3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23</w:t>
            </w:r>
          </w:p>
        </w:tc>
      </w:tr>
      <w:tr w:rsidR="00E76212" w:rsidRPr="008C63ED" w14:paraId="6614D494" w14:textId="77777777" w:rsidTr="00D2560E">
        <w:trPr>
          <w:trHeight w:val="520"/>
        </w:trPr>
        <w:tc>
          <w:tcPr>
            <w:tcW w:w="1480" w:type="dxa"/>
            <w:tcBorders>
              <w:top w:val="nil"/>
              <w:left w:val="nil"/>
              <w:bottom w:val="nil"/>
              <w:right w:val="nil"/>
            </w:tcBorders>
            <w:shd w:val="clear" w:color="auto" w:fill="auto"/>
            <w:vAlign w:val="center"/>
            <w:hideMark/>
          </w:tcPr>
          <w:p w14:paraId="3B846275" w14:textId="77777777" w:rsidR="00E76212" w:rsidRPr="008C63ED" w:rsidRDefault="00E76212" w:rsidP="00D2560E">
            <w:pPr>
              <w:spacing w:after="0" w:line="240" w:lineRule="auto"/>
              <w:jc w:val="right"/>
              <w:rPr>
                <w:rFonts w:eastAsia="Times New Roman" w:cs="Times New Roman"/>
                <w:sz w:val="16"/>
                <w:szCs w:val="16"/>
                <w:lang w:eastAsia="sk-SK"/>
              </w:rPr>
            </w:pPr>
          </w:p>
        </w:tc>
        <w:tc>
          <w:tcPr>
            <w:tcW w:w="6340" w:type="dxa"/>
            <w:tcBorders>
              <w:top w:val="nil"/>
              <w:left w:val="nil"/>
              <w:bottom w:val="nil"/>
              <w:right w:val="nil"/>
            </w:tcBorders>
            <w:shd w:val="clear" w:color="auto" w:fill="auto"/>
            <w:vAlign w:val="bottom"/>
            <w:hideMark/>
          </w:tcPr>
          <w:p w14:paraId="60C1E75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Viazanie rozpočtových prostriedkov z dôvodu refundácie výdavkov z prostriedkov EÚ (FAST CARE)</w:t>
            </w:r>
          </w:p>
        </w:tc>
        <w:tc>
          <w:tcPr>
            <w:tcW w:w="1252" w:type="dxa"/>
            <w:tcBorders>
              <w:top w:val="nil"/>
              <w:left w:val="nil"/>
              <w:bottom w:val="nil"/>
              <w:right w:val="nil"/>
            </w:tcBorders>
            <w:shd w:val="clear" w:color="auto" w:fill="auto"/>
            <w:vAlign w:val="center"/>
            <w:hideMark/>
          </w:tcPr>
          <w:p w14:paraId="09D5B1D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-33 381</w:t>
            </w:r>
          </w:p>
        </w:tc>
      </w:tr>
      <w:tr w:rsidR="00E76212" w:rsidRPr="008C63ED" w14:paraId="123A04AC" w14:textId="77777777" w:rsidTr="00D2560E">
        <w:trPr>
          <w:trHeight w:val="225"/>
        </w:trPr>
        <w:tc>
          <w:tcPr>
            <w:tcW w:w="7820" w:type="dxa"/>
            <w:gridSpan w:val="2"/>
            <w:tcBorders>
              <w:top w:val="nil"/>
              <w:left w:val="nil"/>
              <w:bottom w:val="single" w:sz="4" w:space="0" w:color="auto"/>
              <w:right w:val="nil"/>
            </w:tcBorders>
            <w:shd w:val="clear" w:color="auto" w:fill="auto"/>
            <w:vAlign w:val="center"/>
            <w:hideMark/>
          </w:tcPr>
          <w:p w14:paraId="482C308B"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252" w:type="dxa"/>
            <w:tcBorders>
              <w:top w:val="nil"/>
              <w:left w:val="nil"/>
              <w:bottom w:val="single" w:sz="4" w:space="0" w:color="auto"/>
              <w:right w:val="nil"/>
            </w:tcBorders>
            <w:shd w:val="clear" w:color="auto" w:fill="auto"/>
            <w:vAlign w:val="center"/>
            <w:hideMark/>
          </w:tcPr>
          <w:p w14:paraId="624F2B39"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22 658</w:t>
            </w:r>
          </w:p>
        </w:tc>
      </w:tr>
      <w:tr w:rsidR="00E76212" w:rsidRPr="008C63ED" w14:paraId="140B2688" w14:textId="77777777" w:rsidTr="00D2560E">
        <w:trPr>
          <w:trHeight w:val="1125"/>
        </w:trPr>
        <w:tc>
          <w:tcPr>
            <w:tcW w:w="1480" w:type="dxa"/>
            <w:tcBorders>
              <w:top w:val="nil"/>
              <w:left w:val="nil"/>
              <w:bottom w:val="nil"/>
              <w:right w:val="nil"/>
            </w:tcBorders>
            <w:shd w:val="clear" w:color="auto" w:fill="auto"/>
            <w:vAlign w:val="center"/>
            <w:hideMark/>
          </w:tcPr>
          <w:p w14:paraId="56D2019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dopravy</w:t>
            </w:r>
            <w:r w:rsidRPr="008C63ED">
              <w:rPr>
                <w:rFonts w:eastAsia="Times New Roman" w:cs="Times New Roman"/>
                <w:sz w:val="16"/>
                <w:szCs w:val="16"/>
                <w:lang w:eastAsia="sk-SK"/>
              </w:rPr>
              <w:t xml:space="preserve"> SR </w:t>
            </w:r>
          </w:p>
        </w:tc>
        <w:tc>
          <w:tcPr>
            <w:tcW w:w="6340" w:type="dxa"/>
            <w:tcBorders>
              <w:top w:val="nil"/>
              <w:left w:val="nil"/>
              <w:bottom w:val="nil"/>
              <w:right w:val="nil"/>
            </w:tcBorders>
            <w:shd w:val="clear" w:color="auto" w:fill="auto"/>
            <w:vAlign w:val="bottom"/>
            <w:hideMark/>
          </w:tcPr>
          <w:p w14:paraId="5193E628" w14:textId="36EEA503" w:rsidR="00E76212" w:rsidRPr="008C63ED" w:rsidRDefault="00E76212" w:rsidP="00115076">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vyplatenie príspevku za ubytovanie odídencov za mesia</w:t>
            </w:r>
            <w:r w:rsidR="00115076">
              <w:rPr>
                <w:rFonts w:eastAsia="Times New Roman" w:cs="Times New Roman"/>
                <w:sz w:val="16"/>
                <w:szCs w:val="16"/>
                <w:lang w:eastAsia="sk-SK"/>
              </w:rPr>
              <w:t>ce 07/2022 - 09/2022 a 10/2022</w:t>
            </w:r>
            <w:r w:rsidRPr="008C63ED">
              <w:rPr>
                <w:rFonts w:eastAsia="Times New Roman" w:cs="Times New Roman"/>
                <w:sz w:val="16"/>
                <w:szCs w:val="16"/>
                <w:lang w:eastAsia="sk-SK"/>
              </w:rPr>
              <w:t> - 02/2023 podľa nariadenia vlády SR č. 219/2022 a č. 321/2022, za mesiace 10/2022 - 02/2023 podľa nariadenia vlády SR č. 321/2022 a č. 415/2022, za mesiace 03 - 05/2023 podľa nariadenia vlády SR č. 62/2023</w:t>
            </w:r>
          </w:p>
        </w:tc>
        <w:tc>
          <w:tcPr>
            <w:tcW w:w="1252" w:type="dxa"/>
            <w:tcBorders>
              <w:top w:val="nil"/>
              <w:left w:val="nil"/>
              <w:bottom w:val="nil"/>
              <w:right w:val="nil"/>
            </w:tcBorders>
            <w:shd w:val="clear" w:color="auto" w:fill="auto"/>
            <w:vAlign w:val="center"/>
            <w:hideMark/>
          </w:tcPr>
          <w:p w14:paraId="31F16061"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38 118</w:t>
            </w:r>
          </w:p>
        </w:tc>
      </w:tr>
      <w:tr w:rsidR="00E76212" w:rsidRPr="008C63ED" w14:paraId="57B5CDBC" w14:textId="77777777" w:rsidTr="00D2560E">
        <w:trPr>
          <w:trHeight w:val="225"/>
        </w:trPr>
        <w:tc>
          <w:tcPr>
            <w:tcW w:w="7820" w:type="dxa"/>
            <w:gridSpan w:val="2"/>
            <w:tcBorders>
              <w:top w:val="nil"/>
              <w:left w:val="nil"/>
              <w:bottom w:val="single" w:sz="4" w:space="0" w:color="auto"/>
              <w:right w:val="nil"/>
            </w:tcBorders>
            <w:shd w:val="clear" w:color="auto" w:fill="auto"/>
            <w:vAlign w:val="center"/>
            <w:hideMark/>
          </w:tcPr>
          <w:p w14:paraId="0AD1F937"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252" w:type="dxa"/>
            <w:tcBorders>
              <w:top w:val="nil"/>
              <w:left w:val="nil"/>
              <w:bottom w:val="single" w:sz="4" w:space="0" w:color="auto"/>
              <w:right w:val="nil"/>
            </w:tcBorders>
            <w:shd w:val="clear" w:color="auto" w:fill="auto"/>
            <w:vAlign w:val="center"/>
            <w:hideMark/>
          </w:tcPr>
          <w:p w14:paraId="3452633C"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38 118</w:t>
            </w:r>
          </w:p>
        </w:tc>
      </w:tr>
      <w:tr w:rsidR="00E76212" w:rsidRPr="008C63ED" w14:paraId="003E5E38" w14:textId="77777777" w:rsidTr="00D2560E">
        <w:trPr>
          <w:trHeight w:val="675"/>
        </w:trPr>
        <w:tc>
          <w:tcPr>
            <w:tcW w:w="1480" w:type="dxa"/>
            <w:vMerge w:val="restart"/>
            <w:tcBorders>
              <w:top w:val="nil"/>
              <w:left w:val="nil"/>
              <w:bottom w:val="nil"/>
              <w:right w:val="nil"/>
            </w:tcBorders>
            <w:shd w:val="clear" w:color="auto" w:fill="auto"/>
            <w:vAlign w:val="center"/>
            <w:hideMark/>
          </w:tcPr>
          <w:p w14:paraId="74A2967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zdravotníctva</w:t>
            </w:r>
            <w:r w:rsidRPr="008C63ED">
              <w:rPr>
                <w:rFonts w:eastAsia="Times New Roman" w:cs="Times New Roman"/>
                <w:sz w:val="16"/>
                <w:szCs w:val="16"/>
                <w:lang w:eastAsia="sk-SK"/>
              </w:rPr>
              <w:t xml:space="preserve"> SR</w:t>
            </w:r>
          </w:p>
        </w:tc>
        <w:tc>
          <w:tcPr>
            <w:tcW w:w="6340" w:type="dxa"/>
            <w:tcBorders>
              <w:top w:val="nil"/>
              <w:left w:val="nil"/>
              <w:bottom w:val="nil"/>
              <w:right w:val="nil"/>
            </w:tcBorders>
            <w:shd w:val="clear" w:color="auto" w:fill="auto"/>
            <w:vAlign w:val="bottom"/>
            <w:hideMark/>
          </w:tcPr>
          <w:p w14:paraId="1C722B2B" w14:textId="0975698B" w:rsidR="00E76212" w:rsidRPr="008C63ED" w:rsidRDefault="00E76212" w:rsidP="00115076">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úhradu zdravotnej starostlivosti za obdobie 7 - 12/2022, 01 - 09/2023 za osoby, ktoré nie sú verejne zdravotne poistené</w:t>
            </w:r>
          </w:p>
        </w:tc>
        <w:tc>
          <w:tcPr>
            <w:tcW w:w="1252" w:type="dxa"/>
            <w:tcBorders>
              <w:top w:val="nil"/>
              <w:left w:val="nil"/>
              <w:bottom w:val="nil"/>
              <w:right w:val="nil"/>
            </w:tcBorders>
            <w:shd w:val="clear" w:color="auto" w:fill="auto"/>
            <w:vAlign w:val="center"/>
            <w:hideMark/>
          </w:tcPr>
          <w:p w14:paraId="62EEDA6C"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11 358</w:t>
            </w:r>
          </w:p>
        </w:tc>
      </w:tr>
      <w:tr w:rsidR="00E76212" w:rsidRPr="008C63ED" w14:paraId="3799A584" w14:textId="77777777" w:rsidTr="00D2560E">
        <w:trPr>
          <w:trHeight w:val="943"/>
        </w:trPr>
        <w:tc>
          <w:tcPr>
            <w:tcW w:w="1480" w:type="dxa"/>
            <w:vMerge/>
            <w:tcBorders>
              <w:top w:val="nil"/>
              <w:left w:val="nil"/>
              <w:bottom w:val="nil"/>
              <w:right w:val="nil"/>
            </w:tcBorders>
            <w:vAlign w:val="center"/>
            <w:hideMark/>
          </w:tcPr>
          <w:p w14:paraId="73B13CEB" w14:textId="77777777" w:rsidR="00E76212" w:rsidRPr="008C63ED" w:rsidRDefault="00E76212" w:rsidP="00D2560E">
            <w:pPr>
              <w:spacing w:after="0" w:line="240" w:lineRule="auto"/>
              <w:rPr>
                <w:rFonts w:eastAsia="Times New Roman" w:cs="Times New Roman"/>
                <w:sz w:val="16"/>
                <w:szCs w:val="16"/>
                <w:lang w:eastAsia="sk-SK"/>
              </w:rPr>
            </w:pPr>
          </w:p>
        </w:tc>
        <w:tc>
          <w:tcPr>
            <w:tcW w:w="6340" w:type="dxa"/>
            <w:tcBorders>
              <w:top w:val="nil"/>
              <w:left w:val="nil"/>
              <w:bottom w:val="nil"/>
              <w:right w:val="nil"/>
            </w:tcBorders>
            <w:shd w:val="clear" w:color="auto" w:fill="auto"/>
            <w:vAlign w:val="bottom"/>
            <w:hideMark/>
          </w:tcPr>
          <w:p w14:paraId="717AF48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výdavky subjektom hospodárskej mobilizácie pre UNLP Košice, Fakultná nemocnica s poliklinikou F. D. Roosevelta Banská Bystrica, Fakultná nemocnica s poliklinikou Žilina, UN Bratislava, Fakultná nemocnica s poliklinikou J.A. </w:t>
            </w:r>
            <w:proofErr w:type="spellStart"/>
            <w:r w:rsidRPr="008C63ED">
              <w:rPr>
                <w:rFonts w:eastAsia="Times New Roman" w:cs="Times New Roman"/>
                <w:sz w:val="16"/>
                <w:szCs w:val="16"/>
                <w:lang w:eastAsia="sk-SK"/>
              </w:rPr>
              <w:t>Reimana</w:t>
            </w:r>
            <w:proofErr w:type="spellEnd"/>
            <w:r w:rsidRPr="008C63ED">
              <w:rPr>
                <w:rFonts w:eastAsia="Times New Roman" w:cs="Times New Roman"/>
                <w:sz w:val="16"/>
                <w:szCs w:val="16"/>
                <w:lang w:eastAsia="sk-SK"/>
              </w:rPr>
              <w:t xml:space="preserve"> Prešov za poskytnutú zdravotnú starostlivosť za mesiace 11 - 12/2022, 01 - 10/2023</w:t>
            </w:r>
          </w:p>
        </w:tc>
        <w:tc>
          <w:tcPr>
            <w:tcW w:w="1252" w:type="dxa"/>
            <w:tcBorders>
              <w:top w:val="nil"/>
              <w:left w:val="nil"/>
              <w:bottom w:val="nil"/>
              <w:right w:val="nil"/>
            </w:tcBorders>
            <w:shd w:val="clear" w:color="auto" w:fill="auto"/>
            <w:vAlign w:val="center"/>
            <w:hideMark/>
          </w:tcPr>
          <w:p w14:paraId="15033875"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267</w:t>
            </w:r>
          </w:p>
        </w:tc>
      </w:tr>
      <w:tr w:rsidR="00E76212" w:rsidRPr="008C63ED" w14:paraId="276B86F4" w14:textId="77777777" w:rsidTr="00D2560E">
        <w:trPr>
          <w:trHeight w:val="225"/>
        </w:trPr>
        <w:tc>
          <w:tcPr>
            <w:tcW w:w="7820" w:type="dxa"/>
            <w:gridSpan w:val="2"/>
            <w:tcBorders>
              <w:top w:val="nil"/>
              <w:left w:val="nil"/>
              <w:bottom w:val="single" w:sz="4" w:space="0" w:color="auto"/>
              <w:right w:val="nil"/>
            </w:tcBorders>
            <w:shd w:val="clear" w:color="auto" w:fill="auto"/>
            <w:vAlign w:val="center"/>
            <w:hideMark/>
          </w:tcPr>
          <w:p w14:paraId="1C6F7798"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252" w:type="dxa"/>
            <w:tcBorders>
              <w:top w:val="nil"/>
              <w:left w:val="nil"/>
              <w:bottom w:val="single" w:sz="4" w:space="0" w:color="auto"/>
              <w:right w:val="nil"/>
            </w:tcBorders>
            <w:shd w:val="clear" w:color="auto" w:fill="auto"/>
            <w:vAlign w:val="center"/>
            <w:hideMark/>
          </w:tcPr>
          <w:p w14:paraId="7B4BD65C"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11 625</w:t>
            </w:r>
          </w:p>
        </w:tc>
      </w:tr>
      <w:tr w:rsidR="00E76212" w:rsidRPr="008C63ED" w14:paraId="21A07669" w14:textId="77777777" w:rsidTr="00D2560E">
        <w:trPr>
          <w:trHeight w:val="675"/>
        </w:trPr>
        <w:tc>
          <w:tcPr>
            <w:tcW w:w="1480" w:type="dxa"/>
            <w:tcBorders>
              <w:top w:val="nil"/>
              <w:left w:val="nil"/>
              <w:bottom w:val="nil"/>
              <w:right w:val="nil"/>
            </w:tcBorders>
            <w:shd w:val="clear" w:color="auto" w:fill="auto"/>
            <w:vAlign w:val="center"/>
            <w:hideMark/>
          </w:tcPr>
          <w:p w14:paraId="6324F81C" w14:textId="77777777" w:rsidR="00E76212" w:rsidRPr="008C63ED" w:rsidRDefault="00E76212" w:rsidP="00D2560E">
            <w:pPr>
              <w:spacing w:after="0" w:line="240" w:lineRule="auto"/>
              <w:rPr>
                <w:rFonts w:eastAsia="Times New Roman" w:cs="Times New Roman"/>
                <w:sz w:val="16"/>
                <w:szCs w:val="16"/>
                <w:lang w:eastAsia="sk-SK"/>
              </w:rPr>
            </w:pPr>
            <w:r>
              <w:rPr>
                <w:rFonts w:eastAsia="Times New Roman" w:cs="Times New Roman"/>
                <w:sz w:val="16"/>
                <w:szCs w:val="16"/>
                <w:lang w:eastAsia="sk-SK"/>
              </w:rPr>
              <w:t>Ministerstvo školstva, vedy, výskumu a športu SR</w:t>
            </w:r>
            <w:r w:rsidRPr="008C63ED">
              <w:rPr>
                <w:rFonts w:eastAsia="Times New Roman" w:cs="Times New Roman"/>
                <w:sz w:val="16"/>
                <w:szCs w:val="16"/>
                <w:lang w:eastAsia="sk-SK"/>
              </w:rPr>
              <w:t xml:space="preserve"> </w:t>
            </w:r>
          </w:p>
        </w:tc>
        <w:tc>
          <w:tcPr>
            <w:tcW w:w="6340" w:type="dxa"/>
            <w:tcBorders>
              <w:top w:val="nil"/>
              <w:left w:val="nil"/>
              <w:bottom w:val="nil"/>
              <w:right w:val="nil"/>
            </w:tcBorders>
            <w:shd w:val="clear" w:color="auto" w:fill="auto"/>
            <w:vAlign w:val="bottom"/>
            <w:hideMark/>
          </w:tcPr>
          <w:p w14:paraId="1C4F303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w:t>
            </w:r>
            <w:proofErr w:type="spellStart"/>
            <w:r w:rsidRPr="008C63ED">
              <w:rPr>
                <w:rFonts w:eastAsia="Times New Roman" w:cs="Times New Roman"/>
                <w:sz w:val="16"/>
                <w:szCs w:val="16"/>
                <w:lang w:eastAsia="sk-SK"/>
              </w:rPr>
              <w:t>predfinancovanie</w:t>
            </w:r>
            <w:proofErr w:type="spellEnd"/>
            <w:r w:rsidRPr="008C63ED">
              <w:rPr>
                <w:rFonts w:eastAsia="Times New Roman" w:cs="Times New Roman"/>
                <w:sz w:val="16"/>
                <w:szCs w:val="16"/>
                <w:lang w:eastAsia="sk-SK"/>
              </w:rPr>
              <w:t xml:space="preserve"> národného projektu "Podpora začlenenia detí, žiakov a študentov Ukrajiny v súvislosti s vojnovým konfliktom na Ukrajine" na mesiace september až december 2023</w:t>
            </w:r>
          </w:p>
        </w:tc>
        <w:tc>
          <w:tcPr>
            <w:tcW w:w="1252" w:type="dxa"/>
            <w:tcBorders>
              <w:top w:val="nil"/>
              <w:left w:val="nil"/>
              <w:bottom w:val="nil"/>
              <w:right w:val="nil"/>
            </w:tcBorders>
            <w:shd w:val="clear" w:color="auto" w:fill="auto"/>
            <w:vAlign w:val="center"/>
            <w:hideMark/>
          </w:tcPr>
          <w:p w14:paraId="24F9E3A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8 000</w:t>
            </w:r>
          </w:p>
        </w:tc>
      </w:tr>
      <w:tr w:rsidR="00E76212" w:rsidRPr="008C63ED" w14:paraId="349555B7" w14:textId="77777777" w:rsidTr="00D2560E">
        <w:trPr>
          <w:trHeight w:val="233"/>
        </w:trPr>
        <w:tc>
          <w:tcPr>
            <w:tcW w:w="1480" w:type="dxa"/>
            <w:tcBorders>
              <w:top w:val="nil"/>
              <w:left w:val="nil"/>
              <w:bottom w:val="nil"/>
              <w:right w:val="nil"/>
            </w:tcBorders>
            <w:shd w:val="clear" w:color="auto" w:fill="auto"/>
            <w:vAlign w:val="center"/>
            <w:hideMark/>
          </w:tcPr>
          <w:p w14:paraId="23EB58B6" w14:textId="77777777" w:rsidR="00E76212" w:rsidRPr="008C63ED" w:rsidRDefault="00E76212" w:rsidP="00D2560E">
            <w:pPr>
              <w:spacing w:after="0" w:line="240" w:lineRule="auto"/>
              <w:jc w:val="right"/>
              <w:rPr>
                <w:rFonts w:eastAsia="Times New Roman" w:cs="Times New Roman"/>
                <w:sz w:val="16"/>
                <w:szCs w:val="16"/>
                <w:lang w:eastAsia="sk-SK"/>
              </w:rPr>
            </w:pPr>
          </w:p>
        </w:tc>
        <w:tc>
          <w:tcPr>
            <w:tcW w:w="6340" w:type="dxa"/>
            <w:tcBorders>
              <w:top w:val="nil"/>
              <w:left w:val="nil"/>
              <w:bottom w:val="nil"/>
              <w:right w:val="nil"/>
            </w:tcBorders>
            <w:shd w:val="clear" w:color="auto" w:fill="auto"/>
            <w:vAlign w:val="bottom"/>
            <w:hideMark/>
          </w:tcPr>
          <w:p w14:paraId="16B70B4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financovanie jazykového kurzu pre deti odídencov</w:t>
            </w:r>
          </w:p>
        </w:tc>
        <w:tc>
          <w:tcPr>
            <w:tcW w:w="1252" w:type="dxa"/>
            <w:tcBorders>
              <w:top w:val="nil"/>
              <w:left w:val="nil"/>
              <w:bottom w:val="nil"/>
              <w:right w:val="nil"/>
            </w:tcBorders>
            <w:shd w:val="clear" w:color="auto" w:fill="auto"/>
            <w:vAlign w:val="center"/>
            <w:hideMark/>
          </w:tcPr>
          <w:p w14:paraId="07391989"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416</w:t>
            </w:r>
          </w:p>
        </w:tc>
      </w:tr>
      <w:tr w:rsidR="00E76212" w:rsidRPr="008C63ED" w14:paraId="0C78E3A3" w14:textId="77777777" w:rsidTr="00D2560E">
        <w:trPr>
          <w:trHeight w:val="225"/>
        </w:trPr>
        <w:tc>
          <w:tcPr>
            <w:tcW w:w="7820" w:type="dxa"/>
            <w:gridSpan w:val="2"/>
            <w:tcBorders>
              <w:top w:val="nil"/>
              <w:left w:val="nil"/>
              <w:bottom w:val="single" w:sz="4" w:space="0" w:color="auto"/>
              <w:right w:val="nil"/>
            </w:tcBorders>
            <w:shd w:val="clear" w:color="auto" w:fill="auto"/>
            <w:vAlign w:val="center"/>
            <w:hideMark/>
          </w:tcPr>
          <w:p w14:paraId="6006291E"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lastRenderedPageBreak/>
              <w:t>Spolu</w:t>
            </w:r>
          </w:p>
        </w:tc>
        <w:tc>
          <w:tcPr>
            <w:tcW w:w="1252" w:type="dxa"/>
            <w:tcBorders>
              <w:top w:val="nil"/>
              <w:left w:val="nil"/>
              <w:bottom w:val="single" w:sz="4" w:space="0" w:color="auto"/>
              <w:right w:val="nil"/>
            </w:tcBorders>
            <w:shd w:val="clear" w:color="auto" w:fill="auto"/>
            <w:vAlign w:val="center"/>
            <w:hideMark/>
          </w:tcPr>
          <w:p w14:paraId="6764435B"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8 416</w:t>
            </w:r>
          </w:p>
        </w:tc>
      </w:tr>
      <w:tr w:rsidR="00E76212" w:rsidRPr="008C63ED" w14:paraId="5BEB82F5" w14:textId="77777777" w:rsidTr="00D2560E">
        <w:trPr>
          <w:trHeight w:val="900"/>
        </w:trPr>
        <w:tc>
          <w:tcPr>
            <w:tcW w:w="1480" w:type="dxa"/>
            <w:tcBorders>
              <w:top w:val="nil"/>
              <w:left w:val="nil"/>
              <w:bottom w:val="nil"/>
              <w:right w:val="nil"/>
            </w:tcBorders>
            <w:shd w:val="clear" w:color="auto" w:fill="auto"/>
            <w:vAlign w:val="center"/>
            <w:hideMark/>
          </w:tcPr>
          <w:p w14:paraId="14C1951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práce, sociálnych vecí a rodiny</w:t>
            </w:r>
            <w:r w:rsidRPr="008C63ED">
              <w:rPr>
                <w:rFonts w:eastAsia="Times New Roman" w:cs="Times New Roman"/>
                <w:sz w:val="16"/>
                <w:szCs w:val="16"/>
                <w:lang w:eastAsia="sk-SK"/>
              </w:rPr>
              <w:t xml:space="preserve"> SR</w:t>
            </w:r>
          </w:p>
        </w:tc>
        <w:tc>
          <w:tcPr>
            <w:tcW w:w="6340" w:type="dxa"/>
            <w:tcBorders>
              <w:top w:val="nil"/>
              <w:left w:val="nil"/>
              <w:bottom w:val="nil"/>
              <w:right w:val="nil"/>
            </w:tcBorders>
            <w:shd w:val="clear" w:color="auto" w:fill="auto"/>
            <w:vAlign w:val="bottom"/>
            <w:hideMark/>
          </w:tcPr>
          <w:p w14:paraId="6180977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dávky v hmotnej núdzi, dotácie na stravu pre dieťa v hmotnej núdzi, dotácie na školské potreby pre dieťa v hmotnej núdzi, príspevok na starostlivosť o dieťa a príspevky na náhradnú rodinnú starostlivosť pre odídencov z Ukrajiny</w:t>
            </w:r>
          </w:p>
        </w:tc>
        <w:tc>
          <w:tcPr>
            <w:tcW w:w="1252" w:type="dxa"/>
            <w:tcBorders>
              <w:top w:val="nil"/>
              <w:left w:val="nil"/>
              <w:bottom w:val="nil"/>
              <w:right w:val="nil"/>
            </w:tcBorders>
            <w:shd w:val="clear" w:color="auto" w:fill="auto"/>
            <w:vAlign w:val="center"/>
            <w:hideMark/>
          </w:tcPr>
          <w:p w14:paraId="1D40D9AD"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6 000</w:t>
            </w:r>
          </w:p>
        </w:tc>
      </w:tr>
      <w:tr w:rsidR="00E76212" w:rsidRPr="008C63ED" w14:paraId="05196334" w14:textId="77777777" w:rsidTr="00D2560E">
        <w:trPr>
          <w:trHeight w:val="225"/>
        </w:trPr>
        <w:tc>
          <w:tcPr>
            <w:tcW w:w="7820" w:type="dxa"/>
            <w:gridSpan w:val="2"/>
            <w:tcBorders>
              <w:top w:val="nil"/>
              <w:left w:val="nil"/>
              <w:bottom w:val="single" w:sz="4" w:space="0" w:color="auto"/>
              <w:right w:val="nil"/>
            </w:tcBorders>
            <w:shd w:val="clear" w:color="auto" w:fill="auto"/>
            <w:vAlign w:val="center"/>
            <w:hideMark/>
          </w:tcPr>
          <w:p w14:paraId="750BEB49"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252" w:type="dxa"/>
            <w:tcBorders>
              <w:top w:val="nil"/>
              <w:left w:val="nil"/>
              <w:bottom w:val="single" w:sz="4" w:space="0" w:color="auto"/>
              <w:right w:val="nil"/>
            </w:tcBorders>
            <w:shd w:val="clear" w:color="auto" w:fill="auto"/>
            <w:vAlign w:val="center"/>
            <w:hideMark/>
          </w:tcPr>
          <w:p w14:paraId="654E3A24"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6 000</w:t>
            </w:r>
          </w:p>
        </w:tc>
      </w:tr>
      <w:tr w:rsidR="00E76212" w:rsidRPr="008C63ED" w14:paraId="65BB3196" w14:textId="77777777" w:rsidTr="00D2560E">
        <w:trPr>
          <w:trHeight w:val="450"/>
        </w:trPr>
        <w:tc>
          <w:tcPr>
            <w:tcW w:w="1480" w:type="dxa"/>
            <w:tcBorders>
              <w:top w:val="nil"/>
              <w:left w:val="nil"/>
              <w:bottom w:val="nil"/>
              <w:right w:val="nil"/>
            </w:tcBorders>
            <w:shd w:val="clear" w:color="auto" w:fill="auto"/>
            <w:vAlign w:val="center"/>
            <w:hideMark/>
          </w:tcPr>
          <w:p w14:paraId="39FF797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zahraničných vecí a európskych záležitostí</w:t>
            </w:r>
            <w:r w:rsidRPr="008C63ED">
              <w:rPr>
                <w:rFonts w:eastAsia="Times New Roman" w:cs="Times New Roman"/>
                <w:sz w:val="16"/>
                <w:szCs w:val="16"/>
                <w:lang w:eastAsia="sk-SK"/>
              </w:rPr>
              <w:t xml:space="preserve"> SR</w:t>
            </w:r>
          </w:p>
        </w:tc>
        <w:tc>
          <w:tcPr>
            <w:tcW w:w="6340" w:type="dxa"/>
            <w:tcBorders>
              <w:top w:val="nil"/>
              <w:left w:val="nil"/>
              <w:bottom w:val="nil"/>
              <w:right w:val="nil"/>
            </w:tcBorders>
            <w:shd w:val="clear" w:color="auto" w:fill="auto"/>
            <w:vAlign w:val="center"/>
            <w:hideMark/>
          </w:tcPr>
          <w:p w14:paraId="18E481B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úhradu príspevku SR na </w:t>
            </w:r>
            <w:proofErr w:type="spellStart"/>
            <w:r w:rsidRPr="008C63ED">
              <w:rPr>
                <w:rFonts w:eastAsia="Times New Roman" w:cs="Times New Roman"/>
                <w:sz w:val="16"/>
                <w:szCs w:val="16"/>
                <w:lang w:eastAsia="sk-SK"/>
              </w:rPr>
              <w:t>trilaterálny</w:t>
            </w:r>
            <w:proofErr w:type="spellEnd"/>
            <w:r w:rsidRPr="008C63ED">
              <w:rPr>
                <w:rFonts w:eastAsia="Times New Roman" w:cs="Times New Roman"/>
                <w:sz w:val="16"/>
                <w:szCs w:val="16"/>
                <w:lang w:eastAsia="sk-SK"/>
              </w:rPr>
              <w:t xml:space="preserve"> projekt slovenských, holandských a ukrajinských mimovládnych organizácií</w:t>
            </w:r>
          </w:p>
        </w:tc>
        <w:tc>
          <w:tcPr>
            <w:tcW w:w="1252" w:type="dxa"/>
            <w:tcBorders>
              <w:top w:val="nil"/>
              <w:left w:val="nil"/>
              <w:bottom w:val="nil"/>
              <w:right w:val="nil"/>
            </w:tcBorders>
            <w:shd w:val="clear" w:color="auto" w:fill="auto"/>
            <w:vAlign w:val="center"/>
            <w:hideMark/>
          </w:tcPr>
          <w:p w14:paraId="1150D9A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100</w:t>
            </w:r>
          </w:p>
        </w:tc>
      </w:tr>
      <w:tr w:rsidR="00E76212" w:rsidRPr="008C63ED" w14:paraId="386D26EC" w14:textId="77777777" w:rsidTr="00D2560E">
        <w:trPr>
          <w:trHeight w:val="225"/>
        </w:trPr>
        <w:tc>
          <w:tcPr>
            <w:tcW w:w="7820" w:type="dxa"/>
            <w:gridSpan w:val="2"/>
            <w:tcBorders>
              <w:top w:val="nil"/>
              <w:left w:val="nil"/>
              <w:bottom w:val="single" w:sz="4" w:space="0" w:color="auto"/>
              <w:right w:val="nil"/>
            </w:tcBorders>
            <w:shd w:val="clear" w:color="auto" w:fill="auto"/>
            <w:vAlign w:val="center"/>
            <w:hideMark/>
          </w:tcPr>
          <w:p w14:paraId="596A37BC"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252" w:type="dxa"/>
            <w:tcBorders>
              <w:top w:val="nil"/>
              <w:left w:val="nil"/>
              <w:bottom w:val="single" w:sz="4" w:space="0" w:color="auto"/>
              <w:right w:val="nil"/>
            </w:tcBorders>
            <w:shd w:val="clear" w:color="auto" w:fill="auto"/>
            <w:vAlign w:val="center"/>
            <w:hideMark/>
          </w:tcPr>
          <w:p w14:paraId="5AE904E2"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100</w:t>
            </w:r>
          </w:p>
        </w:tc>
      </w:tr>
      <w:tr w:rsidR="00E76212" w:rsidRPr="008C63ED" w14:paraId="70AAC7BA" w14:textId="77777777" w:rsidTr="00D2560E">
        <w:trPr>
          <w:trHeight w:val="450"/>
        </w:trPr>
        <w:tc>
          <w:tcPr>
            <w:tcW w:w="1480" w:type="dxa"/>
            <w:tcBorders>
              <w:top w:val="nil"/>
              <w:left w:val="nil"/>
              <w:bottom w:val="nil"/>
              <w:right w:val="nil"/>
            </w:tcBorders>
            <w:shd w:val="clear" w:color="auto" w:fill="auto"/>
            <w:vAlign w:val="center"/>
            <w:hideMark/>
          </w:tcPr>
          <w:p w14:paraId="4E7AF6E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Ú</w:t>
            </w:r>
            <w:r>
              <w:rPr>
                <w:rFonts w:eastAsia="Times New Roman" w:cs="Times New Roman"/>
                <w:sz w:val="16"/>
                <w:szCs w:val="16"/>
                <w:lang w:eastAsia="sk-SK"/>
              </w:rPr>
              <w:t>rad vlády</w:t>
            </w:r>
            <w:r w:rsidRPr="008C63ED">
              <w:rPr>
                <w:rFonts w:eastAsia="Times New Roman" w:cs="Times New Roman"/>
                <w:sz w:val="16"/>
                <w:szCs w:val="16"/>
                <w:lang w:eastAsia="sk-SK"/>
              </w:rPr>
              <w:t xml:space="preserve"> SR </w:t>
            </w:r>
          </w:p>
        </w:tc>
        <w:tc>
          <w:tcPr>
            <w:tcW w:w="6340" w:type="dxa"/>
            <w:tcBorders>
              <w:top w:val="nil"/>
              <w:left w:val="nil"/>
              <w:bottom w:val="nil"/>
              <w:right w:val="nil"/>
            </w:tcBorders>
            <w:shd w:val="clear" w:color="auto" w:fill="auto"/>
            <w:vAlign w:val="bottom"/>
            <w:hideMark/>
          </w:tcPr>
          <w:p w14:paraId="5E5E436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prevádzkové výdavky súvisiace s vytvorením nového odboru pre stabilizáciu a obnovu Ukrajiny</w:t>
            </w:r>
          </w:p>
        </w:tc>
        <w:tc>
          <w:tcPr>
            <w:tcW w:w="1252" w:type="dxa"/>
            <w:tcBorders>
              <w:top w:val="nil"/>
              <w:left w:val="nil"/>
              <w:bottom w:val="nil"/>
              <w:right w:val="nil"/>
            </w:tcBorders>
            <w:shd w:val="clear" w:color="auto" w:fill="auto"/>
            <w:vAlign w:val="center"/>
            <w:hideMark/>
          </w:tcPr>
          <w:p w14:paraId="614D61B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98</w:t>
            </w:r>
          </w:p>
        </w:tc>
      </w:tr>
      <w:tr w:rsidR="00E76212" w:rsidRPr="008C63ED" w14:paraId="17DCC533" w14:textId="77777777" w:rsidTr="00D2560E">
        <w:trPr>
          <w:trHeight w:val="225"/>
        </w:trPr>
        <w:tc>
          <w:tcPr>
            <w:tcW w:w="7820" w:type="dxa"/>
            <w:gridSpan w:val="2"/>
            <w:tcBorders>
              <w:top w:val="nil"/>
              <w:left w:val="nil"/>
              <w:bottom w:val="single" w:sz="4" w:space="0" w:color="auto"/>
              <w:right w:val="nil"/>
            </w:tcBorders>
            <w:shd w:val="clear" w:color="auto" w:fill="auto"/>
            <w:vAlign w:val="center"/>
            <w:hideMark/>
          </w:tcPr>
          <w:p w14:paraId="62BD1C62"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1252" w:type="dxa"/>
            <w:tcBorders>
              <w:top w:val="nil"/>
              <w:left w:val="nil"/>
              <w:bottom w:val="single" w:sz="4" w:space="0" w:color="auto"/>
              <w:right w:val="nil"/>
            </w:tcBorders>
            <w:shd w:val="clear" w:color="auto" w:fill="auto"/>
            <w:vAlign w:val="center"/>
            <w:hideMark/>
          </w:tcPr>
          <w:p w14:paraId="0BF6D883"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98</w:t>
            </w:r>
          </w:p>
        </w:tc>
      </w:tr>
      <w:tr w:rsidR="00E76212" w:rsidRPr="008C63ED" w14:paraId="44689FA4" w14:textId="77777777" w:rsidTr="00D2560E">
        <w:trPr>
          <w:trHeight w:val="394"/>
        </w:trPr>
        <w:tc>
          <w:tcPr>
            <w:tcW w:w="7820" w:type="dxa"/>
            <w:gridSpan w:val="2"/>
            <w:tcBorders>
              <w:top w:val="nil"/>
              <w:left w:val="nil"/>
              <w:bottom w:val="single" w:sz="4" w:space="0" w:color="auto"/>
              <w:right w:val="nil"/>
            </w:tcBorders>
            <w:shd w:val="clear" w:color="auto" w:fill="auto"/>
            <w:vAlign w:val="center"/>
            <w:hideMark/>
          </w:tcPr>
          <w:p w14:paraId="0B86046E"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 celkom</w:t>
            </w:r>
          </w:p>
        </w:tc>
        <w:tc>
          <w:tcPr>
            <w:tcW w:w="1252" w:type="dxa"/>
            <w:tcBorders>
              <w:top w:val="nil"/>
              <w:left w:val="nil"/>
              <w:bottom w:val="single" w:sz="4" w:space="0" w:color="auto"/>
              <w:right w:val="nil"/>
            </w:tcBorders>
            <w:shd w:val="clear" w:color="auto" w:fill="auto"/>
            <w:vAlign w:val="center"/>
            <w:hideMark/>
          </w:tcPr>
          <w:p w14:paraId="2F64ADB4" w14:textId="77777777" w:rsidR="00E76212" w:rsidRPr="008C63ED" w:rsidRDefault="00E76212" w:rsidP="00D2560E">
            <w:pPr>
              <w:spacing w:after="0" w:line="240" w:lineRule="auto"/>
              <w:jc w:val="right"/>
              <w:rPr>
                <w:rFonts w:eastAsia="Times New Roman" w:cs="Times New Roman"/>
                <w:b/>
                <w:bCs/>
                <w:sz w:val="16"/>
                <w:szCs w:val="16"/>
                <w:lang w:eastAsia="sk-SK"/>
              </w:rPr>
            </w:pPr>
            <w:r>
              <w:rPr>
                <w:rFonts w:eastAsia="Times New Roman" w:cs="Times New Roman"/>
                <w:b/>
                <w:bCs/>
                <w:sz w:val="16"/>
                <w:szCs w:val="16"/>
                <w:lang w:eastAsia="sk-SK"/>
              </w:rPr>
              <w:t>87 015</w:t>
            </w:r>
          </w:p>
        </w:tc>
      </w:tr>
      <w:tr w:rsidR="00E76212" w:rsidRPr="00536426" w14:paraId="1BFAD892" w14:textId="77777777" w:rsidTr="00D2560E">
        <w:trPr>
          <w:trHeight w:val="225"/>
        </w:trPr>
        <w:tc>
          <w:tcPr>
            <w:tcW w:w="9072" w:type="dxa"/>
            <w:gridSpan w:val="3"/>
            <w:tcBorders>
              <w:top w:val="nil"/>
              <w:left w:val="nil"/>
              <w:bottom w:val="nil"/>
              <w:right w:val="nil"/>
            </w:tcBorders>
            <w:shd w:val="clear" w:color="auto" w:fill="auto"/>
            <w:noWrap/>
            <w:vAlign w:val="bottom"/>
            <w:hideMark/>
          </w:tcPr>
          <w:p w14:paraId="7CC13AD4" w14:textId="38F24365" w:rsidR="00E76212" w:rsidRPr="00536426" w:rsidRDefault="00E76212" w:rsidP="00181464">
            <w:pPr>
              <w:spacing w:after="0" w:line="240" w:lineRule="auto"/>
              <w:rPr>
                <w:rFonts w:eastAsia="Times New Roman" w:cs="Times New Roman"/>
                <w:iCs/>
                <w:sz w:val="18"/>
                <w:szCs w:val="18"/>
                <w:lang w:eastAsia="sk-SK"/>
              </w:rPr>
            </w:pPr>
            <w:r w:rsidRPr="00536426">
              <w:rPr>
                <w:rFonts w:eastAsia="Times New Roman" w:cs="Times New Roman"/>
                <w:iCs/>
                <w:sz w:val="18"/>
                <w:szCs w:val="18"/>
                <w:lang w:eastAsia="sk-SK"/>
              </w:rPr>
              <w:t xml:space="preserve">*V sumách sú premietnuté aj vrátené nevyčerpané prostriedky kapitol.                                                               Zdroj: MF SR </w:t>
            </w:r>
          </w:p>
        </w:tc>
      </w:tr>
    </w:tbl>
    <w:p w14:paraId="01530EC4" w14:textId="77777777" w:rsidR="00E76212" w:rsidRPr="00FB0CC7" w:rsidRDefault="00E76212" w:rsidP="00E76212">
      <w:pPr>
        <w:spacing w:before="240" w:line="240" w:lineRule="auto"/>
        <w:rPr>
          <w:rFonts w:cs="Times New Roman"/>
          <w:b/>
          <w:iCs/>
          <w:sz w:val="24"/>
          <w:szCs w:val="24"/>
        </w:rPr>
      </w:pPr>
      <w:r w:rsidRPr="00FB0CC7">
        <w:rPr>
          <w:rFonts w:cs="Times New Roman"/>
          <w:b/>
          <w:iCs/>
          <w:sz w:val="24"/>
          <w:szCs w:val="24"/>
        </w:rPr>
        <w:t>Rezerva na kompenzačné opatrenia súvisiace s rastom cien energií</w:t>
      </w:r>
    </w:p>
    <w:p w14:paraId="6A6A31BE" w14:textId="77777777" w:rsidR="00E76212" w:rsidRPr="00FB0CC7"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FB0CC7">
        <w:rPr>
          <w:rFonts w:eastAsia="Times New Roman" w:cs="Times New Roman"/>
          <w:color w:val="000000"/>
          <w:sz w:val="24"/>
          <w:szCs w:val="24"/>
          <w:lang w:eastAsia="cs-CZ"/>
        </w:rPr>
        <w:t>Rezerva na kompenzačné opatrenia súvisiace s rastom cien energií sa rozpočtovala v sume 860</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000</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tis.</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 xml:space="preserve">eur. </w:t>
      </w:r>
    </w:p>
    <w:p w14:paraId="07033D3D" w14:textId="77777777" w:rsidR="00E76212" w:rsidRPr="00FB0CC7"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FB0CC7">
        <w:rPr>
          <w:rFonts w:eastAsia="Times New Roman" w:cs="Times New Roman"/>
          <w:color w:val="000000"/>
          <w:sz w:val="24"/>
          <w:szCs w:val="24"/>
          <w:lang w:eastAsia="cs-CZ"/>
        </w:rPr>
        <w:t>Rezerva sa navýšila o prostriedky v sume 900</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000</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tis.</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eur viazané v kapitole MPSVR SR podľa § 18 ods. 4 písm. b) zákona č. 523/2004 Z. z. a v sume 210</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000</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tis.</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eur viazané v kapitole MH SR a v sume 107</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703</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tis.</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 xml:space="preserve">eur viazané v kapitole MD SR z dôvodu nižšej skutočnej potreby výdavkov určených na kompenzáciu negatívnych vplyvov zvýšených cien energií v pôsobnosti týchto rezortov. </w:t>
      </w:r>
    </w:p>
    <w:p w14:paraId="22510BBA" w14:textId="77777777" w:rsidR="00E76212" w:rsidRPr="00FB0CC7"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FB0CC7">
        <w:rPr>
          <w:rFonts w:eastAsia="Times New Roman" w:cs="Times New Roman"/>
          <w:color w:val="000000"/>
          <w:sz w:val="24"/>
          <w:szCs w:val="24"/>
          <w:lang w:eastAsia="cs-CZ"/>
        </w:rPr>
        <w:t>Jednotlivým kapitolám boli uvoľnené rozpočtové pros</w:t>
      </w:r>
      <w:r>
        <w:rPr>
          <w:rFonts w:eastAsia="Times New Roman" w:cs="Times New Roman"/>
          <w:color w:val="000000"/>
          <w:sz w:val="24"/>
          <w:szCs w:val="24"/>
          <w:lang w:eastAsia="cs-CZ"/>
        </w:rPr>
        <w:t>triedky v celkovej sume 235 255 tis. </w:t>
      </w:r>
      <w:r w:rsidRPr="00FB0CC7">
        <w:rPr>
          <w:rFonts w:eastAsia="Times New Roman" w:cs="Times New Roman"/>
          <w:color w:val="000000"/>
          <w:sz w:val="24"/>
          <w:szCs w:val="24"/>
          <w:lang w:eastAsia="cs-CZ"/>
        </w:rPr>
        <w:t xml:space="preserve">eur. </w:t>
      </w:r>
    </w:p>
    <w:p w14:paraId="1A3BABC0" w14:textId="77777777" w:rsidR="00E76212" w:rsidRPr="00FB0CC7" w:rsidRDefault="00E76212" w:rsidP="00E76212">
      <w:pPr>
        <w:tabs>
          <w:tab w:val="left" w:pos="0"/>
          <w:tab w:val="left" w:pos="720"/>
          <w:tab w:val="left" w:pos="1440"/>
          <w:tab w:val="left" w:pos="2160"/>
          <w:tab w:val="left" w:pos="2880"/>
          <w:tab w:val="left" w:pos="3600"/>
          <w:tab w:val="left" w:pos="4320"/>
        </w:tabs>
        <w:adjustRightInd w:val="0"/>
        <w:spacing w:after="0" w:line="240" w:lineRule="auto"/>
        <w:rPr>
          <w:rFonts w:eastAsia="Times New Roman" w:cs="Times New Roman"/>
          <w:color w:val="000000"/>
          <w:sz w:val="24"/>
          <w:szCs w:val="24"/>
          <w:lang w:eastAsia="cs-CZ"/>
        </w:rPr>
      </w:pPr>
      <w:r w:rsidRPr="00FB0CC7">
        <w:rPr>
          <w:rFonts w:eastAsia="Times New Roman" w:cs="Times New Roman"/>
          <w:color w:val="000000"/>
          <w:sz w:val="24"/>
          <w:szCs w:val="24"/>
          <w:lang w:eastAsia="cs-CZ"/>
        </w:rPr>
        <w:t>Vzhľadom na skutočnosť že disponibilné zdroje ostatných zákonných rezerv nepokrývali potreby finančného zabezpečenia legislatívnych a nelegislatívnych titulov schválených vládou Slovenskej republiky a Národnou radou Slovenskej republiky v priebehu roka, bolo nevyhnutné z tejto rezervy presunúť prostriedky v celkovej výške 1 842</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448</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tis.</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eur, z toho najmä:</w:t>
      </w:r>
    </w:p>
    <w:p w14:paraId="7E389BAB" w14:textId="77777777" w:rsidR="00E76212" w:rsidRPr="00FB0CC7" w:rsidRDefault="00E76212" w:rsidP="00E76212">
      <w:pPr>
        <w:numPr>
          <w:ilvl w:val="0"/>
          <w:numId w:val="4"/>
        </w:numPr>
        <w:tabs>
          <w:tab w:val="left" w:pos="0"/>
          <w:tab w:val="left" w:pos="426"/>
          <w:tab w:val="left" w:pos="1440"/>
          <w:tab w:val="left" w:pos="2160"/>
          <w:tab w:val="left" w:pos="2880"/>
          <w:tab w:val="left" w:pos="3600"/>
          <w:tab w:val="left" w:pos="4320"/>
        </w:tabs>
        <w:adjustRightInd w:val="0"/>
        <w:spacing w:after="0" w:line="240" w:lineRule="auto"/>
        <w:ind w:left="426" w:hanging="142"/>
        <w:rPr>
          <w:rFonts w:eastAsia="Times New Roman" w:cs="Times New Roman"/>
          <w:color w:val="000000"/>
          <w:sz w:val="24"/>
          <w:szCs w:val="24"/>
          <w:lang w:eastAsia="cs-CZ"/>
        </w:rPr>
      </w:pPr>
      <w:r w:rsidRPr="00FB0CC7">
        <w:rPr>
          <w:rFonts w:eastAsia="Times New Roman" w:cs="Times New Roman"/>
          <w:color w:val="000000"/>
          <w:sz w:val="24"/>
          <w:szCs w:val="24"/>
          <w:lang w:eastAsia="cs-CZ"/>
        </w:rPr>
        <w:t>837</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616</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tis.</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eur na Rezervu na riešenie vplyvov legislatívnych zmien, ktorých použitie je prezentované v príslušnej časti tejto správy,</w:t>
      </w:r>
    </w:p>
    <w:p w14:paraId="5CB8F4CB" w14:textId="77777777" w:rsidR="00E76212" w:rsidRPr="00FB0CC7" w:rsidRDefault="00E76212" w:rsidP="00E76212">
      <w:pPr>
        <w:numPr>
          <w:ilvl w:val="0"/>
          <w:numId w:val="4"/>
        </w:numPr>
        <w:tabs>
          <w:tab w:val="left" w:pos="0"/>
          <w:tab w:val="left" w:pos="426"/>
          <w:tab w:val="left" w:pos="1440"/>
          <w:tab w:val="left" w:pos="2160"/>
          <w:tab w:val="left" w:pos="2880"/>
          <w:tab w:val="left" w:pos="3600"/>
          <w:tab w:val="left" w:pos="4320"/>
        </w:tabs>
        <w:adjustRightInd w:val="0"/>
        <w:spacing w:after="0" w:line="240" w:lineRule="auto"/>
        <w:ind w:left="426" w:hanging="142"/>
        <w:rPr>
          <w:rFonts w:eastAsia="Times New Roman" w:cs="Times New Roman"/>
          <w:color w:val="000000"/>
          <w:sz w:val="24"/>
          <w:szCs w:val="24"/>
          <w:lang w:eastAsia="cs-CZ"/>
        </w:rPr>
      </w:pPr>
      <w:r w:rsidRPr="00FB0CC7">
        <w:rPr>
          <w:rFonts w:eastAsia="Times New Roman" w:cs="Times New Roman"/>
          <w:color w:val="000000"/>
          <w:sz w:val="24"/>
          <w:szCs w:val="24"/>
          <w:lang w:eastAsia="cs-CZ"/>
        </w:rPr>
        <w:t>316</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331</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tis.</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eur na dofinancovanie platby za poistencov štátu,</w:t>
      </w:r>
    </w:p>
    <w:p w14:paraId="3E93EB62" w14:textId="77777777" w:rsidR="00E76212" w:rsidRPr="00FB0CC7" w:rsidRDefault="00E76212" w:rsidP="00E76212">
      <w:pPr>
        <w:numPr>
          <w:ilvl w:val="0"/>
          <w:numId w:val="4"/>
        </w:numPr>
        <w:tabs>
          <w:tab w:val="left" w:pos="0"/>
          <w:tab w:val="left" w:pos="426"/>
          <w:tab w:val="left" w:pos="1440"/>
          <w:tab w:val="left" w:pos="2160"/>
          <w:tab w:val="left" w:pos="2880"/>
          <w:tab w:val="left" w:pos="3600"/>
          <w:tab w:val="left" w:pos="4320"/>
        </w:tabs>
        <w:adjustRightInd w:val="0"/>
        <w:spacing w:line="240" w:lineRule="auto"/>
        <w:ind w:left="426" w:hanging="142"/>
        <w:rPr>
          <w:rFonts w:eastAsia="Times New Roman" w:cs="Times New Roman"/>
          <w:color w:val="000000"/>
          <w:sz w:val="24"/>
          <w:szCs w:val="24"/>
          <w:lang w:eastAsia="cs-CZ"/>
        </w:rPr>
      </w:pPr>
      <w:r w:rsidRPr="00FB0CC7">
        <w:rPr>
          <w:rFonts w:eastAsia="Times New Roman" w:cs="Times New Roman"/>
          <w:color w:val="000000"/>
          <w:sz w:val="24"/>
          <w:szCs w:val="24"/>
          <w:lang w:eastAsia="cs-CZ"/>
        </w:rPr>
        <w:t>240</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000</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tis.</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eur na zabezpečenie platobnej schopnosti Sociálne</w:t>
      </w:r>
      <w:r>
        <w:rPr>
          <w:rFonts w:eastAsia="Times New Roman" w:cs="Times New Roman"/>
          <w:color w:val="000000"/>
          <w:sz w:val="24"/>
          <w:szCs w:val="24"/>
          <w:lang w:eastAsia="cs-CZ"/>
        </w:rPr>
        <w:t>j poisťovne v súlade so zákonom č. 461/2003 Z. z. o </w:t>
      </w:r>
      <w:r w:rsidRPr="00FB0CC7">
        <w:rPr>
          <w:rFonts w:eastAsia="Times New Roman" w:cs="Times New Roman"/>
          <w:color w:val="000000"/>
          <w:sz w:val="24"/>
          <w:szCs w:val="24"/>
          <w:lang w:eastAsia="cs-CZ"/>
        </w:rPr>
        <w:t>sociálnom poistení v znení neskorších predpisov.</w:t>
      </w:r>
    </w:p>
    <w:p w14:paraId="4BB9EE0F" w14:textId="77777777" w:rsidR="00E76212" w:rsidRPr="00FB0CC7"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FB0CC7">
        <w:rPr>
          <w:rFonts w:eastAsia="Times New Roman" w:cs="Times New Roman"/>
          <w:color w:val="000000"/>
          <w:sz w:val="24"/>
          <w:szCs w:val="24"/>
          <w:lang w:eastAsia="cs-CZ"/>
        </w:rPr>
        <w:t>Podľa § 37o zákona č. 523/2004 Z. z. boli nevyčerpané prostriedky z ro</w:t>
      </w:r>
      <w:r>
        <w:rPr>
          <w:rFonts w:eastAsia="Times New Roman" w:cs="Times New Roman"/>
          <w:color w:val="000000"/>
          <w:sz w:val="24"/>
          <w:szCs w:val="24"/>
          <w:lang w:eastAsia="cs-CZ"/>
        </w:rPr>
        <w:t>ku 2023 v celkovej sume 358 987 </w:t>
      </w:r>
      <w:r w:rsidRPr="00FB0CC7">
        <w:rPr>
          <w:rFonts w:eastAsia="Times New Roman" w:cs="Times New Roman"/>
          <w:color w:val="000000"/>
          <w:sz w:val="24"/>
          <w:szCs w:val="24"/>
          <w:lang w:eastAsia="cs-CZ"/>
        </w:rPr>
        <w:t>tis.</w:t>
      </w:r>
      <w:r>
        <w:rPr>
          <w:rFonts w:eastAsia="Times New Roman" w:cs="Times New Roman"/>
          <w:color w:val="000000"/>
          <w:sz w:val="24"/>
          <w:szCs w:val="24"/>
          <w:lang w:eastAsia="cs-CZ"/>
        </w:rPr>
        <w:t> </w:t>
      </w:r>
      <w:r w:rsidRPr="00FB0CC7">
        <w:rPr>
          <w:rFonts w:eastAsia="Times New Roman" w:cs="Times New Roman"/>
          <w:color w:val="000000"/>
          <w:sz w:val="24"/>
          <w:szCs w:val="24"/>
          <w:lang w:eastAsia="cs-CZ"/>
        </w:rPr>
        <w:t>eur viazané na použitie v nasledujúcom rozpočtovom roku.</w:t>
      </w:r>
    </w:p>
    <w:p w14:paraId="36EE9F06" w14:textId="1A9AE19A" w:rsidR="00E76212" w:rsidRPr="00FB0CC7" w:rsidRDefault="00E76212" w:rsidP="00E76212">
      <w:pPr>
        <w:tabs>
          <w:tab w:val="left" w:pos="0"/>
          <w:tab w:val="left" w:pos="720"/>
          <w:tab w:val="left" w:pos="1440"/>
          <w:tab w:val="left" w:pos="2160"/>
          <w:tab w:val="left" w:pos="2880"/>
          <w:tab w:val="left" w:pos="3600"/>
          <w:tab w:val="left" w:pos="4320"/>
        </w:tabs>
        <w:adjustRightInd w:val="0"/>
        <w:spacing w:line="240" w:lineRule="auto"/>
        <w:rPr>
          <w:rFonts w:eastAsia="Times New Roman" w:cs="Times New Roman"/>
          <w:color w:val="000000"/>
          <w:sz w:val="24"/>
          <w:szCs w:val="24"/>
          <w:lang w:eastAsia="cs-CZ"/>
        </w:rPr>
      </w:pPr>
      <w:r w:rsidRPr="00FB0CC7">
        <w:rPr>
          <w:rFonts w:eastAsia="Times New Roman" w:cs="Times New Roman"/>
          <w:color w:val="000000"/>
          <w:sz w:val="24"/>
          <w:szCs w:val="24"/>
          <w:lang w:eastAsia="cs-CZ"/>
        </w:rPr>
        <w:t>Podrobné informácie o uvoľnených prostriedkoch sú prezentované v </w:t>
      </w:r>
      <w:r w:rsidRPr="00DD022A">
        <w:rPr>
          <w:rFonts w:eastAsia="Times New Roman" w:cs="Times New Roman"/>
          <w:color w:val="000000"/>
          <w:sz w:val="24"/>
          <w:szCs w:val="24"/>
          <w:lang w:eastAsia="cs-CZ"/>
        </w:rPr>
        <w:t xml:space="preserve">Tabuľke </w:t>
      </w:r>
      <w:r w:rsidR="00DD022A">
        <w:rPr>
          <w:rFonts w:eastAsia="Times New Roman" w:cs="Times New Roman"/>
          <w:color w:val="000000"/>
          <w:sz w:val="24"/>
          <w:szCs w:val="24"/>
          <w:lang w:eastAsia="cs-CZ"/>
        </w:rPr>
        <w:t>61</w:t>
      </w:r>
      <w:r w:rsidRPr="00FB0CC7">
        <w:rPr>
          <w:rFonts w:eastAsia="Times New Roman" w:cs="Times New Roman"/>
          <w:color w:val="000000"/>
          <w:sz w:val="24"/>
          <w:szCs w:val="24"/>
          <w:lang w:eastAsia="cs-CZ"/>
        </w:rPr>
        <w:t>.</w:t>
      </w:r>
    </w:p>
    <w:p w14:paraId="7B578065" w14:textId="745808EB" w:rsidR="00E76212" w:rsidRPr="00BC0DC3" w:rsidRDefault="00E76212" w:rsidP="008172CD">
      <w:pPr>
        <w:tabs>
          <w:tab w:val="left" w:pos="0"/>
          <w:tab w:val="left" w:pos="720"/>
          <w:tab w:val="left" w:pos="1440"/>
          <w:tab w:val="left" w:pos="2160"/>
          <w:tab w:val="left" w:pos="2880"/>
          <w:tab w:val="left" w:pos="3600"/>
          <w:tab w:val="left" w:pos="4320"/>
        </w:tabs>
        <w:adjustRightInd w:val="0"/>
        <w:spacing w:line="240" w:lineRule="auto"/>
        <w:rPr>
          <w:b/>
          <w:bCs/>
          <w:color w:val="5B9BD5"/>
          <w:sz w:val="20"/>
          <w:szCs w:val="20"/>
        </w:rPr>
      </w:pPr>
      <w:r w:rsidRPr="00BC0DC3">
        <w:rPr>
          <w:b/>
          <w:bCs/>
          <w:color w:val="5B9BD5"/>
          <w:sz w:val="20"/>
          <w:szCs w:val="20"/>
        </w:rPr>
        <w:t xml:space="preserve">Tabuľka </w:t>
      </w:r>
      <w:r w:rsidR="00DD022A">
        <w:rPr>
          <w:b/>
          <w:bCs/>
          <w:color w:val="5B9BD5"/>
          <w:sz w:val="20"/>
          <w:szCs w:val="20"/>
        </w:rPr>
        <w:t>61</w:t>
      </w:r>
      <w:r w:rsidRPr="00BC0DC3">
        <w:rPr>
          <w:b/>
          <w:bCs/>
          <w:color w:val="5B9BD5"/>
          <w:sz w:val="20"/>
          <w:szCs w:val="20"/>
        </w:rPr>
        <w:t xml:space="preserve"> - Rezerva na kompenzačné opatrenia súvisiace s rastom cien energií </w:t>
      </w:r>
    </w:p>
    <w:tbl>
      <w:tblPr>
        <w:tblW w:w="9072" w:type="dxa"/>
        <w:tblCellMar>
          <w:left w:w="70" w:type="dxa"/>
          <w:right w:w="70" w:type="dxa"/>
        </w:tblCellMar>
        <w:tblLook w:val="04A0" w:firstRow="1" w:lastRow="0" w:firstColumn="1" w:lastColumn="0" w:noHBand="0" w:noVBand="1"/>
      </w:tblPr>
      <w:tblGrid>
        <w:gridCol w:w="1540"/>
        <w:gridCol w:w="5380"/>
        <w:gridCol w:w="2152"/>
      </w:tblGrid>
      <w:tr w:rsidR="00E76212" w:rsidRPr="008C63ED" w14:paraId="69E640C1" w14:textId="77777777" w:rsidTr="00D2560E">
        <w:trPr>
          <w:trHeight w:val="330"/>
        </w:trPr>
        <w:tc>
          <w:tcPr>
            <w:tcW w:w="1540" w:type="dxa"/>
            <w:tcBorders>
              <w:top w:val="single" w:sz="4" w:space="0" w:color="auto"/>
              <w:left w:val="nil"/>
              <w:bottom w:val="single" w:sz="4" w:space="0" w:color="auto"/>
              <w:right w:val="nil"/>
            </w:tcBorders>
            <w:shd w:val="clear" w:color="auto" w:fill="auto"/>
            <w:vAlign w:val="center"/>
            <w:hideMark/>
          </w:tcPr>
          <w:p w14:paraId="66E58D03" w14:textId="77777777" w:rsidR="00E76212" w:rsidRPr="008C63ED" w:rsidRDefault="00E76212" w:rsidP="00D2560E">
            <w:pPr>
              <w:spacing w:after="0" w:line="240" w:lineRule="auto"/>
              <w:rPr>
                <w:rFonts w:eastAsia="Times New Roman" w:cs="Times New Roman"/>
                <w:b/>
                <w:bCs/>
                <w:sz w:val="16"/>
                <w:szCs w:val="16"/>
                <w:lang w:eastAsia="sk-SK"/>
              </w:rPr>
            </w:pPr>
            <w:r w:rsidRPr="008C63ED">
              <w:rPr>
                <w:rFonts w:eastAsia="Times New Roman" w:cs="Times New Roman"/>
                <w:b/>
                <w:bCs/>
                <w:sz w:val="16"/>
                <w:szCs w:val="16"/>
                <w:lang w:eastAsia="sk-SK"/>
              </w:rPr>
              <w:t xml:space="preserve">Kapitola </w:t>
            </w:r>
          </w:p>
        </w:tc>
        <w:tc>
          <w:tcPr>
            <w:tcW w:w="5380" w:type="dxa"/>
            <w:tcBorders>
              <w:top w:val="single" w:sz="4" w:space="0" w:color="auto"/>
              <w:left w:val="nil"/>
              <w:bottom w:val="single" w:sz="4" w:space="0" w:color="auto"/>
              <w:right w:val="nil"/>
            </w:tcBorders>
            <w:shd w:val="clear" w:color="auto" w:fill="auto"/>
            <w:vAlign w:val="center"/>
            <w:hideMark/>
          </w:tcPr>
          <w:p w14:paraId="0F5FA2B4" w14:textId="77777777" w:rsidR="00E76212" w:rsidRPr="008C63ED" w:rsidRDefault="00E76212" w:rsidP="00D2560E">
            <w:pPr>
              <w:spacing w:after="0" w:line="240" w:lineRule="auto"/>
              <w:jc w:val="center"/>
              <w:rPr>
                <w:rFonts w:eastAsia="Times New Roman" w:cs="Times New Roman"/>
                <w:b/>
                <w:bCs/>
                <w:sz w:val="16"/>
                <w:szCs w:val="16"/>
                <w:lang w:eastAsia="sk-SK"/>
              </w:rPr>
            </w:pPr>
            <w:r w:rsidRPr="008C63ED">
              <w:rPr>
                <w:rFonts w:eastAsia="Times New Roman" w:cs="Times New Roman"/>
                <w:b/>
                <w:bCs/>
                <w:sz w:val="16"/>
                <w:szCs w:val="16"/>
                <w:lang w:eastAsia="sk-SK"/>
              </w:rPr>
              <w:t>Účel</w:t>
            </w:r>
          </w:p>
        </w:tc>
        <w:tc>
          <w:tcPr>
            <w:tcW w:w="2152" w:type="dxa"/>
            <w:tcBorders>
              <w:top w:val="single" w:sz="4" w:space="0" w:color="auto"/>
              <w:left w:val="nil"/>
              <w:bottom w:val="single" w:sz="4" w:space="0" w:color="auto"/>
              <w:right w:val="nil"/>
            </w:tcBorders>
            <w:shd w:val="clear" w:color="auto" w:fill="auto"/>
            <w:vAlign w:val="center"/>
            <w:hideMark/>
          </w:tcPr>
          <w:p w14:paraId="62F19B78"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 xml:space="preserve">Suma v tis. eur </w:t>
            </w:r>
          </w:p>
        </w:tc>
      </w:tr>
      <w:tr w:rsidR="00E76212" w:rsidRPr="008C63ED" w14:paraId="439DFE67" w14:textId="77777777" w:rsidTr="00D2560E">
        <w:trPr>
          <w:trHeight w:val="517"/>
        </w:trPr>
        <w:tc>
          <w:tcPr>
            <w:tcW w:w="1540" w:type="dxa"/>
            <w:vMerge w:val="restart"/>
            <w:tcBorders>
              <w:top w:val="nil"/>
              <w:left w:val="nil"/>
              <w:bottom w:val="nil"/>
              <w:right w:val="nil"/>
            </w:tcBorders>
            <w:shd w:val="clear" w:color="auto" w:fill="auto"/>
            <w:vAlign w:val="center"/>
            <w:hideMark/>
          </w:tcPr>
          <w:p w14:paraId="414F171C" w14:textId="77777777" w:rsidR="00E76212" w:rsidRPr="008C63ED" w:rsidRDefault="00E76212" w:rsidP="00D2560E">
            <w:pPr>
              <w:spacing w:after="0" w:line="240" w:lineRule="auto"/>
              <w:rPr>
                <w:rFonts w:eastAsia="Times New Roman" w:cs="Times New Roman"/>
                <w:sz w:val="16"/>
                <w:szCs w:val="16"/>
                <w:lang w:eastAsia="sk-SK"/>
              </w:rPr>
            </w:pPr>
            <w:r>
              <w:rPr>
                <w:rFonts w:eastAsia="Times New Roman" w:cs="Times New Roman"/>
                <w:sz w:val="16"/>
                <w:szCs w:val="16"/>
                <w:lang w:eastAsia="sk-SK"/>
              </w:rPr>
              <w:t>Ministerstvo školstva, vedy, výskumu a športu SR</w:t>
            </w:r>
            <w:r w:rsidRPr="008C63ED">
              <w:rPr>
                <w:rFonts w:eastAsia="Times New Roman" w:cs="Times New Roman"/>
                <w:sz w:val="16"/>
                <w:szCs w:val="16"/>
                <w:lang w:eastAsia="sk-SK"/>
              </w:rPr>
              <w:t xml:space="preserve"> </w:t>
            </w:r>
          </w:p>
        </w:tc>
        <w:tc>
          <w:tcPr>
            <w:tcW w:w="5380" w:type="dxa"/>
            <w:tcBorders>
              <w:top w:val="nil"/>
              <w:left w:val="nil"/>
              <w:bottom w:val="nil"/>
              <w:right w:val="nil"/>
            </w:tcBorders>
            <w:shd w:val="clear" w:color="auto" w:fill="auto"/>
            <w:vAlign w:val="bottom"/>
            <w:hideMark/>
          </w:tcPr>
          <w:p w14:paraId="123675B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zvýšené ceny energií pre regionálne školstvo </w:t>
            </w:r>
          </w:p>
        </w:tc>
        <w:tc>
          <w:tcPr>
            <w:tcW w:w="2152" w:type="dxa"/>
            <w:tcBorders>
              <w:top w:val="nil"/>
              <w:left w:val="nil"/>
              <w:bottom w:val="nil"/>
              <w:right w:val="nil"/>
            </w:tcBorders>
            <w:shd w:val="clear" w:color="auto" w:fill="auto"/>
            <w:vAlign w:val="center"/>
            <w:hideMark/>
          </w:tcPr>
          <w:p w14:paraId="24BEB7CD"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122 463</w:t>
            </w:r>
          </w:p>
        </w:tc>
      </w:tr>
      <w:tr w:rsidR="00E76212" w:rsidRPr="008C63ED" w14:paraId="16B0F295" w14:textId="77777777" w:rsidTr="00D2560E">
        <w:trPr>
          <w:trHeight w:val="330"/>
        </w:trPr>
        <w:tc>
          <w:tcPr>
            <w:tcW w:w="1540" w:type="dxa"/>
            <w:vMerge/>
            <w:tcBorders>
              <w:top w:val="nil"/>
              <w:left w:val="nil"/>
              <w:bottom w:val="nil"/>
              <w:right w:val="nil"/>
            </w:tcBorders>
            <w:vAlign w:val="center"/>
            <w:hideMark/>
          </w:tcPr>
          <w:p w14:paraId="1F358179" w14:textId="77777777" w:rsidR="00E76212" w:rsidRPr="008C63ED" w:rsidRDefault="00E76212" w:rsidP="00D2560E">
            <w:pPr>
              <w:spacing w:after="0" w:line="240" w:lineRule="auto"/>
              <w:rPr>
                <w:rFonts w:eastAsia="Times New Roman" w:cs="Times New Roman"/>
                <w:sz w:val="16"/>
                <w:szCs w:val="16"/>
                <w:lang w:eastAsia="sk-SK"/>
              </w:rPr>
            </w:pPr>
          </w:p>
        </w:tc>
        <w:tc>
          <w:tcPr>
            <w:tcW w:w="5380" w:type="dxa"/>
            <w:tcBorders>
              <w:top w:val="nil"/>
              <w:left w:val="nil"/>
              <w:bottom w:val="nil"/>
              <w:right w:val="nil"/>
            </w:tcBorders>
            <w:shd w:val="clear" w:color="auto" w:fill="auto"/>
            <w:vAlign w:val="bottom"/>
            <w:hideMark/>
          </w:tcPr>
          <w:p w14:paraId="62B4C07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zvýšené ceny energií pre verejné vysoké školy</w:t>
            </w:r>
          </w:p>
        </w:tc>
        <w:tc>
          <w:tcPr>
            <w:tcW w:w="2152" w:type="dxa"/>
            <w:tcBorders>
              <w:top w:val="nil"/>
              <w:left w:val="nil"/>
              <w:bottom w:val="nil"/>
              <w:right w:val="nil"/>
            </w:tcBorders>
            <w:shd w:val="clear" w:color="auto" w:fill="auto"/>
            <w:vAlign w:val="center"/>
            <w:hideMark/>
          </w:tcPr>
          <w:p w14:paraId="4B47A5D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22 856</w:t>
            </w:r>
          </w:p>
        </w:tc>
      </w:tr>
      <w:tr w:rsidR="00E76212" w:rsidRPr="008C63ED" w14:paraId="304601F8" w14:textId="77777777" w:rsidTr="00D2560E">
        <w:trPr>
          <w:trHeight w:val="83"/>
        </w:trPr>
        <w:tc>
          <w:tcPr>
            <w:tcW w:w="1540" w:type="dxa"/>
            <w:vMerge/>
            <w:tcBorders>
              <w:top w:val="nil"/>
              <w:left w:val="nil"/>
              <w:bottom w:val="nil"/>
              <w:right w:val="nil"/>
            </w:tcBorders>
            <w:vAlign w:val="center"/>
            <w:hideMark/>
          </w:tcPr>
          <w:p w14:paraId="1D5705B0" w14:textId="77777777" w:rsidR="00E76212" w:rsidRPr="008C63ED" w:rsidRDefault="00E76212" w:rsidP="00D2560E">
            <w:pPr>
              <w:spacing w:after="0" w:line="240" w:lineRule="auto"/>
              <w:rPr>
                <w:rFonts w:eastAsia="Times New Roman" w:cs="Times New Roman"/>
                <w:sz w:val="16"/>
                <w:szCs w:val="16"/>
                <w:lang w:eastAsia="sk-SK"/>
              </w:rPr>
            </w:pPr>
          </w:p>
        </w:tc>
        <w:tc>
          <w:tcPr>
            <w:tcW w:w="5380" w:type="dxa"/>
            <w:tcBorders>
              <w:top w:val="nil"/>
              <w:left w:val="nil"/>
              <w:bottom w:val="nil"/>
              <w:right w:val="nil"/>
            </w:tcBorders>
            <w:shd w:val="clear" w:color="auto" w:fill="auto"/>
            <w:vAlign w:val="bottom"/>
          </w:tcPr>
          <w:p w14:paraId="2E81F653" w14:textId="77777777" w:rsidR="00E76212" w:rsidRPr="008C63ED" w:rsidRDefault="00E76212" w:rsidP="00D2560E">
            <w:pPr>
              <w:spacing w:after="0" w:line="240" w:lineRule="auto"/>
              <w:rPr>
                <w:rFonts w:eastAsia="Times New Roman" w:cs="Times New Roman"/>
                <w:sz w:val="16"/>
                <w:szCs w:val="16"/>
                <w:lang w:eastAsia="sk-SK"/>
              </w:rPr>
            </w:pPr>
          </w:p>
        </w:tc>
        <w:tc>
          <w:tcPr>
            <w:tcW w:w="2152" w:type="dxa"/>
            <w:tcBorders>
              <w:top w:val="nil"/>
              <w:left w:val="nil"/>
              <w:bottom w:val="nil"/>
              <w:right w:val="nil"/>
            </w:tcBorders>
            <w:shd w:val="clear" w:color="auto" w:fill="auto"/>
            <w:vAlign w:val="center"/>
          </w:tcPr>
          <w:p w14:paraId="4AD38945" w14:textId="77777777" w:rsidR="00E76212" w:rsidRPr="008C63ED" w:rsidRDefault="00E76212" w:rsidP="00D2560E">
            <w:pPr>
              <w:spacing w:after="0" w:line="240" w:lineRule="auto"/>
              <w:jc w:val="right"/>
              <w:rPr>
                <w:rFonts w:eastAsia="Times New Roman" w:cs="Times New Roman"/>
                <w:sz w:val="16"/>
                <w:szCs w:val="16"/>
                <w:lang w:eastAsia="sk-SK"/>
              </w:rPr>
            </w:pPr>
          </w:p>
        </w:tc>
      </w:tr>
      <w:tr w:rsidR="00E76212" w:rsidRPr="008C63ED" w14:paraId="4B89DB83" w14:textId="77777777" w:rsidTr="00D2560E">
        <w:trPr>
          <w:trHeight w:val="80"/>
        </w:trPr>
        <w:tc>
          <w:tcPr>
            <w:tcW w:w="1540" w:type="dxa"/>
            <w:vMerge/>
            <w:tcBorders>
              <w:top w:val="nil"/>
              <w:left w:val="nil"/>
              <w:bottom w:val="nil"/>
              <w:right w:val="nil"/>
            </w:tcBorders>
            <w:vAlign w:val="center"/>
            <w:hideMark/>
          </w:tcPr>
          <w:p w14:paraId="08C66223" w14:textId="77777777" w:rsidR="00E76212" w:rsidRPr="008C63ED" w:rsidRDefault="00E76212" w:rsidP="00D2560E">
            <w:pPr>
              <w:spacing w:after="0" w:line="240" w:lineRule="auto"/>
              <w:rPr>
                <w:rFonts w:eastAsia="Times New Roman" w:cs="Times New Roman"/>
                <w:sz w:val="16"/>
                <w:szCs w:val="16"/>
                <w:lang w:eastAsia="sk-SK"/>
              </w:rPr>
            </w:pPr>
          </w:p>
        </w:tc>
        <w:tc>
          <w:tcPr>
            <w:tcW w:w="5380" w:type="dxa"/>
            <w:tcBorders>
              <w:top w:val="nil"/>
              <w:left w:val="nil"/>
              <w:bottom w:val="nil"/>
              <w:right w:val="nil"/>
            </w:tcBorders>
            <w:shd w:val="clear" w:color="auto" w:fill="auto"/>
            <w:vAlign w:val="bottom"/>
            <w:hideMark/>
          </w:tcPr>
          <w:p w14:paraId="3DAF806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zvýšené ceny energií - aparát</w:t>
            </w:r>
          </w:p>
        </w:tc>
        <w:tc>
          <w:tcPr>
            <w:tcW w:w="2152" w:type="dxa"/>
            <w:tcBorders>
              <w:top w:val="nil"/>
              <w:left w:val="nil"/>
              <w:bottom w:val="nil"/>
              <w:right w:val="nil"/>
            </w:tcBorders>
            <w:shd w:val="clear" w:color="auto" w:fill="auto"/>
            <w:vAlign w:val="center"/>
            <w:hideMark/>
          </w:tcPr>
          <w:p w14:paraId="10DEB9C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534</w:t>
            </w:r>
          </w:p>
        </w:tc>
      </w:tr>
      <w:tr w:rsidR="00E76212" w:rsidRPr="008C63ED" w14:paraId="399AC7C9" w14:textId="77777777" w:rsidTr="00D2560E">
        <w:trPr>
          <w:trHeight w:val="330"/>
        </w:trPr>
        <w:tc>
          <w:tcPr>
            <w:tcW w:w="1540" w:type="dxa"/>
            <w:vMerge/>
            <w:tcBorders>
              <w:top w:val="nil"/>
              <w:left w:val="nil"/>
              <w:bottom w:val="nil"/>
              <w:right w:val="nil"/>
            </w:tcBorders>
            <w:vAlign w:val="center"/>
            <w:hideMark/>
          </w:tcPr>
          <w:p w14:paraId="02B710BA" w14:textId="77777777" w:rsidR="00E76212" w:rsidRPr="008C63ED" w:rsidRDefault="00E76212" w:rsidP="00D2560E">
            <w:pPr>
              <w:spacing w:after="0" w:line="240" w:lineRule="auto"/>
              <w:rPr>
                <w:rFonts w:eastAsia="Times New Roman" w:cs="Times New Roman"/>
                <w:sz w:val="16"/>
                <w:szCs w:val="16"/>
                <w:lang w:eastAsia="sk-SK"/>
              </w:rPr>
            </w:pPr>
          </w:p>
        </w:tc>
        <w:tc>
          <w:tcPr>
            <w:tcW w:w="5380" w:type="dxa"/>
            <w:tcBorders>
              <w:top w:val="nil"/>
              <w:left w:val="nil"/>
              <w:bottom w:val="nil"/>
              <w:right w:val="nil"/>
            </w:tcBorders>
            <w:shd w:val="clear" w:color="auto" w:fill="auto"/>
            <w:vAlign w:val="bottom"/>
            <w:hideMark/>
          </w:tcPr>
          <w:p w14:paraId="440964C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zvýšené ceny energií pre materské školy </w:t>
            </w:r>
          </w:p>
        </w:tc>
        <w:tc>
          <w:tcPr>
            <w:tcW w:w="2152" w:type="dxa"/>
            <w:tcBorders>
              <w:top w:val="nil"/>
              <w:left w:val="nil"/>
              <w:bottom w:val="nil"/>
              <w:right w:val="nil"/>
            </w:tcBorders>
            <w:shd w:val="clear" w:color="auto" w:fill="auto"/>
            <w:vAlign w:val="center"/>
            <w:hideMark/>
          </w:tcPr>
          <w:p w14:paraId="376BB20F"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310</w:t>
            </w:r>
          </w:p>
        </w:tc>
      </w:tr>
      <w:tr w:rsidR="00E76212" w:rsidRPr="008C63ED" w14:paraId="78331540" w14:textId="77777777" w:rsidTr="00D2560E">
        <w:trPr>
          <w:trHeight w:val="83"/>
        </w:trPr>
        <w:tc>
          <w:tcPr>
            <w:tcW w:w="1540" w:type="dxa"/>
            <w:tcBorders>
              <w:top w:val="nil"/>
              <w:left w:val="nil"/>
              <w:bottom w:val="nil"/>
              <w:right w:val="nil"/>
            </w:tcBorders>
            <w:shd w:val="clear" w:color="auto" w:fill="auto"/>
            <w:vAlign w:val="center"/>
            <w:hideMark/>
          </w:tcPr>
          <w:p w14:paraId="01EF37CD" w14:textId="77777777" w:rsidR="00E76212" w:rsidRPr="008C63ED" w:rsidRDefault="00E76212" w:rsidP="00D2560E">
            <w:pPr>
              <w:spacing w:after="0" w:line="240" w:lineRule="auto"/>
              <w:jc w:val="right"/>
              <w:rPr>
                <w:rFonts w:eastAsia="Times New Roman" w:cs="Times New Roman"/>
                <w:sz w:val="16"/>
                <w:szCs w:val="16"/>
                <w:lang w:eastAsia="sk-SK"/>
              </w:rPr>
            </w:pPr>
          </w:p>
        </w:tc>
        <w:tc>
          <w:tcPr>
            <w:tcW w:w="5380" w:type="dxa"/>
            <w:tcBorders>
              <w:top w:val="nil"/>
              <w:left w:val="nil"/>
              <w:bottom w:val="nil"/>
              <w:right w:val="nil"/>
            </w:tcBorders>
            <w:shd w:val="clear" w:color="auto" w:fill="auto"/>
            <w:vAlign w:val="bottom"/>
          </w:tcPr>
          <w:p w14:paraId="513C556A" w14:textId="77777777" w:rsidR="00E76212" w:rsidRPr="008C63ED" w:rsidRDefault="00E76212" w:rsidP="00D2560E">
            <w:pPr>
              <w:spacing w:after="0" w:line="240" w:lineRule="auto"/>
              <w:rPr>
                <w:rFonts w:eastAsia="Times New Roman" w:cs="Times New Roman"/>
                <w:sz w:val="16"/>
                <w:szCs w:val="16"/>
                <w:lang w:eastAsia="sk-SK"/>
              </w:rPr>
            </w:pPr>
          </w:p>
        </w:tc>
        <w:tc>
          <w:tcPr>
            <w:tcW w:w="2152" w:type="dxa"/>
            <w:tcBorders>
              <w:top w:val="nil"/>
              <w:left w:val="nil"/>
              <w:bottom w:val="nil"/>
              <w:right w:val="nil"/>
            </w:tcBorders>
            <w:shd w:val="clear" w:color="auto" w:fill="auto"/>
            <w:vAlign w:val="center"/>
          </w:tcPr>
          <w:p w14:paraId="12A5A838" w14:textId="77777777" w:rsidR="00E76212" w:rsidRPr="008C63ED" w:rsidRDefault="00E76212" w:rsidP="00D2560E">
            <w:pPr>
              <w:spacing w:after="0" w:line="240" w:lineRule="auto"/>
              <w:jc w:val="right"/>
              <w:rPr>
                <w:rFonts w:eastAsia="Times New Roman" w:cs="Times New Roman"/>
                <w:sz w:val="16"/>
                <w:szCs w:val="16"/>
                <w:lang w:eastAsia="sk-SK"/>
              </w:rPr>
            </w:pPr>
          </w:p>
        </w:tc>
      </w:tr>
      <w:tr w:rsidR="00E76212" w:rsidRPr="008C63ED" w14:paraId="61199DFB" w14:textId="77777777" w:rsidTr="00D2560E">
        <w:trPr>
          <w:trHeight w:val="80"/>
        </w:trPr>
        <w:tc>
          <w:tcPr>
            <w:tcW w:w="6920" w:type="dxa"/>
            <w:gridSpan w:val="2"/>
            <w:tcBorders>
              <w:top w:val="nil"/>
              <w:left w:val="nil"/>
              <w:bottom w:val="single" w:sz="4" w:space="0" w:color="auto"/>
              <w:right w:val="nil"/>
            </w:tcBorders>
            <w:shd w:val="clear" w:color="auto" w:fill="auto"/>
            <w:vAlign w:val="center"/>
            <w:hideMark/>
          </w:tcPr>
          <w:p w14:paraId="5AC33F32"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0F5C4040"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146 163</w:t>
            </w:r>
          </w:p>
        </w:tc>
      </w:tr>
      <w:tr w:rsidR="00E76212" w:rsidRPr="008C63ED" w14:paraId="427F9C2E" w14:textId="77777777" w:rsidTr="00D2560E">
        <w:trPr>
          <w:trHeight w:val="330"/>
        </w:trPr>
        <w:tc>
          <w:tcPr>
            <w:tcW w:w="1540" w:type="dxa"/>
            <w:tcBorders>
              <w:top w:val="nil"/>
              <w:left w:val="nil"/>
              <w:bottom w:val="nil"/>
              <w:right w:val="nil"/>
            </w:tcBorders>
            <w:shd w:val="clear" w:color="auto" w:fill="auto"/>
            <w:vAlign w:val="center"/>
            <w:hideMark/>
          </w:tcPr>
          <w:p w14:paraId="45C418D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vnútra</w:t>
            </w:r>
            <w:r w:rsidRPr="008C63ED">
              <w:rPr>
                <w:rFonts w:eastAsia="Times New Roman" w:cs="Times New Roman"/>
                <w:sz w:val="16"/>
                <w:szCs w:val="16"/>
                <w:lang w:eastAsia="sk-SK"/>
              </w:rPr>
              <w:t xml:space="preserve"> SR </w:t>
            </w:r>
          </w:p>
        </w:tc>
        <w:tc>
          <w:tcPr>
            <w:tcW w:w="5380" w:type="dxa"/>
            <w:tcBorders>
              <w:top w:val="nil"/>
              <w:left w:val="nil"/>
              <w:bottom w:val="nil"/>
              <w:right w:val="nil"/>
            </w:tcBorders>
            <w:shd w:val="clear" w:color="auto" w:fill="auto"/>
            <w:vAlign w:val="bottom"/>
            <w:hideMark/>
          </w:tcPr>
          <w:p w14:paraId="0EF8C55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zvýšené ceny energií</w:t>
            </w:r>
          </w:p>
        </w:tc>
        <w:tc>
          <w:tcPr>
            <w:tcW w:w="2152" w:type="dxa"/>
            <w:tcBorders>
              <w:top w:val="nil"/>
              <w:left w:val="nil"/>
              <w:bottom w:val="nil"/>
              <w:right w:val="nil"/>
            </w:tcBorders>
            <w:shd w:val="clear" w:color="auto" w:fill="auto"/>
            <w:vAlign w:val="center"/>
            <w:hideMark/>
          </w:tcPr>
          <w:p w14:paraId="36F72628"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39 055</w:t>
            </w:r>
          </w:p>
        </w:tc>
      </w:tr>
      <w:tr w:rsidR="00E76212" w:rsidRPr="008C63ED" w14:paraId="306817E1" w14:textId="77777777" w:rsidTr="00D2560E">
        <w:trPr>
          <w:trHeight w:val="330"/>
        </w:trPr>
        <w:tc>
          <w:tcPr>
            <w:tcW w:w="6920" w:type="dxa"/>
            <w:gridSpan w:val="2"/>
            <w:tcBorders>
              <w:top w:val="nil"/>
              <w:left w:val="nil"/>
              <w:bottom w:val="single" w:sz="4" w:space="0" w:color="auto"/>
              <w:right w:val="nil"/>
            </w:tcBorders>
            <w:shd w:val="clear" w:color="auto" w:fill="auto"/>
            <w:vAlign w:val="center"/>
            <w:hideMark/>
          </w:tcPr>
          <w:p w14:paraId="34976DC6"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305B0F56"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39 055</w:t>
            </w:r>
          </w:p>
        </w:tc>
      </w:tr>
      <w:tr w:rsidR="00E76212" w:rsidRPr="008C63ED" w14:paraId="78CB5867" w14:textId="77777777" w:rsidTr="00D2560E">
        <w:trPr>
          <w:trHeight w:val="330"/>
        </w:trPr>
        <w:tc>
          <w:tcPr>
            <w:tcW w:w="1540" w:type="dxa"/>
            <w:tcBorders>
              <w:top w:val="nil"/>
              <w:left w:val="nil"/>
              <w:bottom w:val="nil"/>
              <w:right w:val="nil"/>
            </w:tcBorders>
            <w:shd w:val="clear" w:color="auto" w:fill="auto"/>
            <w:vAlign w:val="center"/>
            <w:hideMark/>
          </w:tcPr>
          <w:p w14:paraId="68F533A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lastRenderedPageBreak/>
              <w:t>M</w:t>
            </w:r>
            <w:r>
              <w:rPr>
                <w:rFonts w:eastAsia="Times New Roman" w:cs="Times New Roman"/>
                <w:sz w:val="16"/>
                <w:szCs w:val="16"/>
                <w:lang w:eastAsia="sk-SK"/>
              </w:rPr>
              <w:t>inisterstvo spravodlivosti</w:t>
            </w:r>
            <w:r w:rsidRPr="008C63ED">
              <w:rPr>
                <w:rFonts w:eastAsia="Times New Roman" w:cs="Times New Roman"/>
                <w:sz w:val="16"/>
                <w:szCs w:val="16"/>
                <w:lang w:eastAsia="sk-SK"/>
              </w:rPr>
              <w:t xml:space="preserve"> SR </w:t>
            </w:r>
          </w:p>
        </w:tc>
        <w:tc>
          <w:tcPr>
            <w:tcW w:w="5380" w:type="dxa"/>
            <w:tcBorders>
              <w:top w:val="nil"/>
              <w:left w:val="nil"/>
              <w:bottom w:val="nil"/>
              <w:right w:val="nil"/>
            </w:tcBorders>
            <w:shd w:val="clear" w:color="auto" w:fill="auto"/>
            <w:vAlign w:val="bottom"/>
            <w:hideMark/>
          </w:tcPr>
          <w:p w14:paraId="21CC628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zvýšené ceny energií </w:t>
            </w:r>
          </w:p>
        </w:tc>
        <w:tc>
          <w:tcPr>
            <w:tcW w:w="2152" w:type="dxa"/>
            <w:tcBorders>
              <w:top w:val="nil"/>
              <w:left w:val="nil"/>
              <w:bottom w:val="nil"/>
              <w:right w:val="nil"/>
            </w:tcBorders>
            <w:shd w:val="clear" w:color="auto" w:fill="auto"/>
            <w:vAlign w:val="center"/>
            <w:hideMark/>
          </w:tcPr>
          <w:p w14:paraId="5B5F79A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17 243</w:t>
            </w:r>
          </w:p>
        </w:tc>
      </w:tr>
      <w:tr w:rsidR="00E76212" w:rsidRPr="008C63ED" w14:paraId="3CE1293E" w14:textId="77777777" w:rsidTr="00D2560E">
        <w:trPr>
          <w:trHeight w:val="330"/>
        </w:trPr>
        <w:tc>
          <w:tcPr>
            <w:tcW w:w="6920" w:type="dxa"/>
            <w:gridSpan w:val="2"/>
            <w:tcBorders>
              <w:top w:val="nil"/>
              <w:left w:val="nil"/>
              <w:bottom w:val="single" w:sz="4" w:space="0" w:color="auto"/>
              <w:right w:val="nil"/>
            </w:tcBorders>
            <w:shd w:val="clear" w:color="auto" w:fill="auto"/>
            <w:vAlign w:val="center"/>
            <w:hideMark/>
          </w:tcPr>
          <w:p w14:paraId="2C0B6BF8"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4D39C902"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17 243</w:t>
            </w:r>
          </w:p>
        </w:tc>
      </w:tr>
      <w:tr w:rsidR="00E76212" w:rsidRPr="008C63ED" w14:paraId="71D622A3" w14:textId="77777777" w:rsidTr="00D2560E">
        <w:trPr>
          <w:trHeight w:val="450"/>
        </w:trPr>
        <w:tc>
          <w:tcPr>
            <w:tcW w:w="1540" w:type="dxa"/>
            <w:vMerge w:val="restart"/>
            <w:tcBorders>
              <w:top w:val="nil"/>
              <w:left w:val="nil"/>
              <w:bottom w:val="nil"/>
              <w:right w:val="nil"/>
            </w:tcBorders>
            <w:shd w:val="clear" w:color="auto" w:fill="auto"/>
            <w:vAlign w:val="center"/>
            <w:hideMark/>
          </w:tcPr>
          <w:p w14:paraId="24F80F5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hospodárstva</w:t>
            </w:r>
            <w:r w:rsidRPr="008C63ED">
              <w:rPr>
                <w:rFonts w:eastAsia="Times New Roman" w:cs="Times New Roman"/>
                <w:sz w:val="16"/>
                <w:szCs w:val="16"/>
                <w:lang w:eastAsia="sk-SK"/>
              </w:rPr>
              <w:t xml:space="preserve"> SR </w:t>
            </w:r>
          </w:p>
        </w:tc>
        <w:tc>
          <w:tcPr>
            <w:tcW w:w="5380" w:type="dxa"/>
            <w:tcBorders>
              <w:top w:val="nil"/>
              <w:left w:val="nil"/>
              <w:bottom w:val="nil"/>
              <w:right w:val="nil"/>
            </w:tcBorders>
            <w:shd w:val="clear" w:color="auto" w:fill="auto"/>
            <w:vAlign w:val="bottom"/>
            <w:hideMark/>
          </w:tcPr>
          <w:p w14:paraId="5B71FC1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krytie dodatočných nákladov zvýšených cien energií cirkevným organizáciám a iným subjektom nevykonávajúcim hospodársku činnosť</w:t>
            </w:r>
          </w:p>
        </w:tc>
        <w:tc>
          <w:tcPr>
            <w:tcW w:w="2152" w:type="dxa"/>
            <w:tcBorders>
              <w:top w:val="nil"/>
              <w:left w:val="nil"/>
              <w:bottom w:val="nil"/>
              <w:right w:val="nil"/>
            </w:tcBorders>
            <w:shd w:val="clear" w:color="auto" w:fill="auto"/>
            <w:vAlign w:val="center"/>
            <w:hideMark/>
          </w:tcPr>
          <w:p w14:paraId="3EE1A726"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10 000</w:t>
            </w:r>
          </w:p>
        </w:tc>
      </w:tr>
      <w:tr w:rsidR="00E76212" w:rsidRPr="008C63ED" w14:paraId="63D918C6" w14:textId="77777777" w:rsidTr="00D2560E">
        <w:trPr>
          <w:trHeight w:val="450"/>
        </w:trPr>
        <w:tc>
          <w:tcPr>
            <w:tcW w:w="1540" w:type="dxa"/>
            <w:vMerge/>
            <w:tcBorders>
              <w:top w:val="nil"/>
              <w:left w:val="nil"/>
              <w:bottom w:val="nil"/>
              <w:right w:val="nil"/>
            </w:tcBorders>
            <w:vAlign w:val="center"/>
            <w:hideMark/>
          </w:tcPr>
          <w:p w14:paraId="3EFBAC25" w14:textId="77777777" w:rsidR="00E76212" w:rsidRPr="008C63ED" w:rsidRDefault="00E76212" w:rsidP="00D2560E">
            <w:pPr>
              <w:spacing w:after="0" w:line="240" w:lineRule="auto"/>
              <w:rPr>
                <w:rFonts w:eastAsia="Times New Roman" w:cs="Times New Roman"/>
                <w:sz w:val="16"/>
                <w:szCs w:val="16"/>
                <w:lang w:eastAsia="sk-SK"/>
              </w:rPr>
            </w:pPr>
          </w:p>
        </w:tc>
        <w:tc>
          <w:tcPr>
            <w:tcW w:w="5380" w:type="dxa"/>
            <w:tcBorders>
              <w:top w:val="nil"/>
              <w:left w:val="nil"/>
              <w:bottom w:val="nil"/>
              <w:right w:val="nil"/>
            </w:tcBorders>
            <w:shd w:val="clear" w:color="auto" w:fill="auto"/>
            <w:vAlign w:val="bottom"/>
            <w:hideMark/>
          </w:tcPr>
          <w:p w14:paraId="5807D4B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osobné výdavky v súvislosti s agendou dotácií na kompenzácie cien energií </w:t>
            </w:r>
            <w:r w:rsidRPr="008C63ED">
              <w:rPr>
                <w:rFonts w:eastAsia="Times New Roman" w:cs="Times New Roman"/>
                <w:sz w:val="16"/>
                <w:szCs w:val="16"/>
                <w:lang w:eastAsia="sk-SK"/>
              </w:rPr>
              <w:br/>
              <w:t>a na úpravu informačného systému (20 osôb)</w:t>
            </w:r>
          </w:p>
        </w:tc>
        <w:tc>
          <w:tcPr>
            <w:tcW w:w="2152" w:type="dxa"/>
            <w:tcBorders>
              <w:top w:val="nil"/>
              <w:left w:val="nil"/>
              <w:bottom w:val="nil"/>
              <w:right w:val="nil"/>
            </w:tcBorders>
            <w:shd w:val="clear" w:color="auto" w:fill="auto"/>
            <w:vAlign w:val="center"/>
            <w:hideMark/>
          </w:tcPr>
          <w:p w14:paraId="3F776E8E"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902</w:t>
            </w:r>
          </w:p>
        </w:tc>
      </w:tr>
      <w:tr w:rsidR="00E76212" w:rsidRPr="008C63ED" w14:paraId="506C6E54" w14:textId="77777777" w:rsidTr="00D2560E">
        <w:trPr>
          <w:trHeight w:val="675"/>
        </w:trPr>
        <w:tc>
          <w:tcPr>
            <w:tcW w:w="1540" w:type="dxa"/>
            <w:vMerge/>
            <w:tcBorders>
              <w:top w:val="nil"/>
              <w:left w:val="nil"/>
              <w:bottom w:val="nil"/>
              <w:right w:val="nil"/>
            </w:tcBorders>
            <w:vAlign w:val="center"/>
            <w:hideMark/>
          </w:tcPr>
          <w:p w14:paraId="1A983FF2" w14:textId="77777777" w:rsidR="00E76212" w:rsidRPr="008C63ED" w:rsidRDefault="00E76212" w:rsidP="00D2560E">
            <w:pPr>
              <w:spacing w:after="0" w:line="240" w:lineRule="auto"/>
              <w:rPr>
                <w:rFonts w:eastAsia="Times New Roman" w:cs="Times New Roman"/>
                <w:sz w:val="16"/>
                <w:szCs w:val="16"/>
                <w:lang w:eastAsia="sk-SK"/>
              </w:rPr>
            </w:pPr>
          </w:p>
        </w:tc>
        <w:tc>
          <w:tcPr>
            <w:tcW w:w="5380" w:type="dxa"/>
            <w:tcBorders>
              <w:top w:val="nil"/>
              <w:left w:val="nil"/>
              <w:bottom w:val="nil"/>
              <w:right w:val="nil"/>
            </w:tcBorders>
            <w:shd w:val="clear" w:color="auto" w:fill="auto"/>
            <w:vAlign w:val="bottom"/>
            <w:hideMark/>
          </w:tcPr>
          <w:p w14:paraId="5DD9DC7C"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obstaranie softvéru na overovanie veľkostnej kategórie podniku podľa príslušných pravidiel štátnej pomoci/pomoci de </w:t>
            </w:r>
            <w:proofErr w:type="spellStart"/>
            <w:r w:rsidRPr="008C63ED">
              <w:rPr>
                <w:rFonts w:eastAsia="Times New Roman" w:cs="Times New Roman"/>
                <w:sz w:val="16"/>
                <w:szCs w:val="16"/>
                <w:lang w:eastAsia="sk-SK"/>
              </w:rPr>
              <w:t>minimis</w:t>
            </w:r>
            <w:proofErr w:type="spellEnd"/>
            <w:r w:rsidRPr="008C63ED">
              <w:rPr>
                <w:rFonts w:eastAsia="Times New Roman" w:cs="Times New Roman"/>
                <w:sz w:val="16"/>
                <w:szCs w:val="16"/>
                <w:lang w:eastAsia="sk-SK"/>
              </w:rPr>
              <w:t xml:space="preserve"> v súvislosti s riešením vplyvov energetickej krízy prostredníctvom EŠIF</w:t>
            </w:r>
          </w:p>
        </w:tc>
        <w:tc>
          <w:tcPr>
            <w:tcW w:w="2152" w:type="dxa"/>
            <w:tcBorders>
              <w:top w:val="nil"/>
              <w:left w:val="nil"/>
              <w:bottom w:val="nil"/>
              <w:right w:val="nil"/>
            </w:tcBorders>
            <w:shd w:val="clear" w:color="auto" w:fill="auto"/>
            <w:vAlign w:val="center"/>
            <w:hideMark/>
          </w:tcPr>
          <w:p w14:paraId="09EC7C62"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120</w:t>
            </w:r>
          </w:p>
        </w:tc>
      </w:tr>
      <w:tr w:rsidR="00E76212" w:rsidRPr="008C63ED" w14:paraId="73C68047" w14:textId="77777777" w:rsidTr="00D2560E">
        <w:trPr>
          <w:trHeight w:val="330"/>
        </w:trPr>
        <w:tc>
          <w:tcPr>
            <w:tcW w:w="1540" w:type="dxa"/>
            <w:tcBorders>
              <w:top w:val="nil"/>
              <w:left w:val="nil"/>
              <w:bottom w:val="nil"/>
              <w:right w:val="nil"/>
            </w:tcBorders>
            <w:shd w:val="clear" w:color="auto" w:fill="auto"/>
            <w:vAlign w:val="center"/>
            <w:hideMark/>
          </w:tcPr>
          <w:p w14:paraId="6AD1653A" w14:textId="77777777" w:rsidR="00E76212" w:rsidRPr="008C63ED" w:rsidRDefault="00E76212" w:rsidP="00D2560E">
            <w:pPr>
              <w:spacing w:after="0" w:line="240" w:lineRule="auto"/>
              <w:jc w:val="right"/>
              <w:rPr>
                <w:rFonts w:eastAsia="Times New Roman" w:cs="Times New Roman"/>
                <w:sz w:val="16"/>
                <w:szCs w:val="16"/>
                <w:lang w:eastAsia="sk-SK"/>
              </w:rPr>
            </w:pPr>
          </w:p>
        </w:tc>
        <w:tc>
          <w:tcPr>
            <w:tcW w:w="5380" w:type="dxa"/>
            <w:tcBorders>
              <w:top w:val="nil"/>
              <w:left w:val="nil"/>
              <w:bottom w:val="nil"/>
              <w:right w:val="nil"/>
            </w:tcBorders>
            <w:shd w:val="clear" w:color="auto" w:fill="auto"/>
            <w:vAlign w:val="bottom"/>
            <w:hideMark/>
          </w:tcPr>
          <w:p w14:paraId="7E2564A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zvýšené ceny energií </w:t>
            </w:r>
          </w:p>
        </w:tc>
        <w:tc>
          <w:tcPr>
            <w:tcW w:w="2152" w:type="dxa"/>
            <w:tcBorders>
              <w:top w:val="nil"/>
              <w:left w:val="nil"/>
              <w:bottom w:val="nil"/>
              <w:right w:val="nil"/>
            </w:tcBorders>
            <w:shd w:val="clear" w:color="auto" w:fill="auto"/>
            <w:vAlign w:val="center"/>
            <w:hideMark/>
          </w:tcPr>
          <w:p w14:paraId="7B93E509"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1 286</w:t>
            </w:r>
          </w:p>
        </w:tc>
      </w:tr>
      <w:tr w:rsidR="00E76212" w:rsidRPr="008C63ED" w14:paraId="30B62626" w14:textId="77777777" w:rsidTr="00D2560E">
        <w:trPr>
          <w:trHeight w:val="330"/>
        </w:trPr>
        <w:tc>
          <w:tcPr>
            <w:tcW w:w="6920" w:type="dxa"/>
            <w:gridSpan w:val="2"/>
            <w:tcBorders>
              <w:top w:val="nil"/>
              <w:left w:val="nil"/>
              <w:bottom w:val="single" w:sz="4" w:space="0" w:color="auto"/>
              <w:right w:val="nil"/>
            </w:tcBorders>
            <w:shd w:val="clear" w:color="auto" w:fill="auto"/>
            <w:vAlign w:val="center"/>
            <w:hideMark/>
          </w:tcPr>
          <w:p w14:paraId="2134274B"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68D439B1"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12 308</w:t>
            </w:r>
          </w:p>
        </w:tc>
      </w:tr>
      <w:tr w:rsidR="00E76212" w:rsidRPr="008C63ED" w14:paraId="62994B18" w14:textId="77777777" w:rsidTr="00D2560E">
        <w:trPr>
          <w:trHeight w:val="330"/>
        </w:trPr>
        <w:tc>
          <w:tcPr>
            <w:tcW w:w="1540" w:type="dxa"/>
            <w:tcBorders>
              <w:top w:val="nil"/>
              <w:left w:val="nil"/>
              <w:bottom w:val="nil"/>
              <w:right w:val="nil"/>
            </w:tcBorders>
            <w:shd w:val="clear" w:color="auto" w:fill="auto"/>
            <w:vAlign w:val="center"/>
            <w:hideMark/>
          </w:tcPr>
          <w:p w14:paraId="56E25A64" w14:textId="77777777" w:rsidR="00E76212" w:rsidRPr="008C63ED" w:rsidRDefault="00E76212" w:rsidP="00D2560E">
            <w:pPr>
              <w:spacing w:after="0" w:line="240" w:lineRule="auto"/>
              <w:rPr>
                <w:rFonts w:eastAsia="Times New Roman" w:cs="Times New Roman"/>
                <w:sz w:val="16"/>
                <w:szCs w:val="16"/>
                <w:lang w:eastAsia="sk-SK"/>
              </w:rPr>
            </w:pPr>
            <w:r>
              <w:rPr>
                <w:rFonts w:eastAsia="Times New Roman" w:cs="Times New Roman"/>
                <w:sz w:val="16"/>
                <w:szCs w:val="16"/>
                <w:lang w:eastAsia="sk-SK"/>
              </w:rPr>
              <w:t>Ministerstvo práce, sociálnych vecí a rodiny SR</w:t>
            </w:r>
          </w:p>
        </w:tc>
        <w:tc>
          <w:tcPr>
            <w:tcW w:w="5380" w:type="dxa"/>
            <w:tcBorders>
              <w:top w:val="nil"/>
              <w:left w:val="nil"/>
              <w:bottom w:val="nil"/>
              <w:right w:val="nil"/>
            </w:tcBorders>
            <w:shd w:val="clear" w:color="auto" w:fill="auto"/>
            <w:vAlign w:val="bottom"/>
            <w:hideMark/>
          </w:tcPr>
          <w:p w14:paraId="44B29F5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zvýšené ceny energií </w:t>
            </w:r>
          </w:p>
        </w:tc>
        <w:tc>
          <w:tcPr>
            <w:tcW w:w="2152" w:type="dxa"/>
            <w:tcBorders>
              <w:top w:val="nil"/>
              <w:left w:val="nil"/>
              <w:bottom w:val="nil"/>
              <w:right w:val="nil"/>
            </w:tcBorders>
            <w:shd w:val="clear" w:color="auto" w:fill="auto"/>
            <w:vAlign w:val="center"/>
            <w:hideMark/>
          </w:tcPr>
          <w:p w14:paraId="1E9C05D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7 115</w:t>
            </w:r>
          </w:p>
        </w:tc>
      </w:tr>
      <w:tr w:rsidR="00E76212" w:rsidRPr="008C63ED" w14:paraId="0248342D" w14:textId="77777777" w:rsidTr="00D2560E">
        <w:trPr>
          <w:trHeight w:val="330"/>
        </w:trPr>
        <w:tc>
          <w:tcPr>
            <w:tcW w:w="6920" w:type="dxa"/>
            <w:gridSpan w:val="2"/>
            <w:tcBorders>
              <w:top w:val="nil"/>
              <w:left w:val="nil"/>
              <w:bottom w:val="single" w:sz="4" w:space="0" w:color="auto"/>
              <w:right w:val="nil"/>
            </w:tcBorders>
            <w:shd w:val="clear" w:color="auto" w:fill="auto"/>
            <w:vAlign w:val="center"/>
            <w:hideMark/>
          </w:tcPr>
          <w:p w14:paraId="2DE2BBD3"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6E4C5AE7"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7 115</w:t>
            </w:r>
          </w:p>
        </w:tc>
      </w:tr>
      <w:tr w:rsidR="00E76212" w:rsidRPr="008C63ED" w14:paraId="2A2EA5AB" w14:textId="77777777" w:rsidTr="00D2560E">
        <w:trPr>
          <w:trHeight w:val="330"/>
        </w:trPr>
        <w:tc>
          <w:tcPr>
            <w:tcW w:w="1540" w:type="dxa"/>
            <w:tcBorders>
              <w:top w:val="nil"/>
              <w:left w:val="nil"/>
              <w:bottom w:val="nil"/>
              <w:right w:val="nil"/>
            </w:tcBorders>
            <w:shd w:val="clear" w:color="auto" w:fill="auto"/>
            <w:vAlign w:val="center"/>
            <w:hideMark/>
          </w:tcPr>
          <w:p w14:paraId="3950CEB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K</w:t>
            </w:r>
            <w:r>
              <w:rPr>
                <w:rFonts w:eastAsia="Times New Roman" w:cs="Times New Roman"/>
                <w:sz w:val="16"/>
                <w:szCs w:val="16"/>
                <w:lang w:eastAsia="sk-SK"/>
              </w:rPr>
              <w:t xml:space="preserve">ancelária </w:t>
            </w:r>
            <w:r w:rsidRPr="008C63ED">
              <w:rPr>
                <w:rFonts w:eastAsia="Times New Roman" w:cs="Times New Roman"/>
                <w:sz w:val="16"/>
                <w:szCs w:val="16"/>
                <w:lang w:eastAsia="sk-SK"/>
              </w:rPr>
              <w:t xml:space="preserve">NR SR </w:t>
            </w:r>
          </w:p>
        </w:tc>
        <w:tc>
          <w:tcPr>
            <w:tcW w:w="5380" w:type="dxa"/>
            <w:tcBorders>
              <w:top w:val="nil"/>
              <w:left w:val="nil"/>
              <w:bottom w:val="nil"/>
              <w:right w:val="nil"/>
            </w:tcBorders>
            <w:shd w:val="clear" w:color="auto" w:fill="auto"/>
            <w:vAlign w:val="bottom"/>
            <w:hideMark/>
          </w:tcPr>
          <w:p w14:paraId="6C18135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zvýšené ceny energií </w:t>
            </w:r>
          </w:p>
        </w:tc>
        <w:tc>
          <w:tcPr>
            <w:tcW w:w="2152" w:type="dxa"/>
            <w:tcBorders>
              <w:top w:val="nil"/>
              <w:left w:val="nil"/>
              <w:bottom w:val="nil"/>
              <w:right w:val="nil"/>
            </w:tcBorders>
            <w:shd w:val="clear" w:color="auto" w:fill="auto"/>
            <w:vAlign w:val="center"/>
            <w:hideMark/>
          </w:tcPr>
          <w:p w14:paraId="37EA14D9"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3 286</w:t>
            </w:r>
          </w:p>
        </w:tc>
      </w:tr>
      <w:tr w:rsidR="00E76212" w:rsidRPr="008C63ED" w14:paraId="3FDD5112" w14:textId="77777777" w:rsidTr="00D2560E">
        <w:trPr>
          <w:trHeight w:val="330"/>
        </w:trPr>
        <w:tc>
          <w:tcPr>
            <w:tcW w:w="6920" w:type="dxa"/>
            <w:gridSpan w:val="2"/>
            <w:tcBorders>
              <w:top w:val="nil"/>
              <w:left w:val="nil"/>
              <w:bottom w:val="single" w:sz="4" w:space="0" w:color="auto"/>
              <w:right w:val="nil"/>
            </w:tcBorders>
            <w:shd w:val="clear" w:color="auto" w:fill="auto"/>
            <w:vAlign w:val="center"/>
            <w:hideMark/>
          </w:tcPr>
          <w:p w14:paraId="5A966CFB"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57DFCD8C"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3 286</w:t>
            </w:r>
          </w:p>
        </w:tc>
      </w:tr>
      <w:tr w:rsidR="00E76212" w:rsidRPr="008C63ED" w14:paraId="5C35D5AD" w14:textId="77777777" w:rsidTr="00D2560E">
        <w:trPr>
          <w:trHeight w:val="330"/>
        </w:trPr>
        <w:tc>
          <w:tcPr>
            <w:tcW w:w="1540" w:type="dxa"/>
            <w:tcBorders>
              <w:top w:val="nil"/>
              <w:left w:val="nil"/>
              <w:bottom w:val="nil"/>
              <w:right w:val="nil"/>
            </w:tcBorders>
            <w:shd w:val="clear" w:color="auto" w:fill="auto"/>
            <w:vAlign w:val="center"/>
            <w:hideMark/>
          </w:tcPr>
          <w:p w14:paraId="36E1527F"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Ú</w:t>
            </w:r>
            <w:r>
              <w:rPr>
                <w:rFonts w:eastAsia="Times New Roman" w:cs="Times New Roman"/>
                <w:sz w:val="16"/>
                <w:szCs w:val="16"/>
                <w:lang w:eastAsia="sk-SK"/>
              </w:rPr>
              <w:t>rad vlády</w:t>
            </w:r>
            <w:r w:rsidRPr="008C63ED">
              <w:rPr>
                <w:rFonts w:eastAsia="Times New Roman" w:cs="Times New Roman"/>
                <w:sz w:val="16"/>
                <w:szCs w:val="16"/>
                <w:lang w:eastAsia="sk-SK"/>
              </w:rPr>
              <w:t xml:space="preserve"> SR</w:t>
            </w:r>
          </w:p>
        </w:tc>
        <w:tc>
          <w:tcPr>
            <w:tcW w:w="5380" w:type="dxa"/>
            <w:tcBorders>
              <w:top w:val="nil"/>
              <w:left w:val="nil"/>
              <w:bottom w:val="nil"/>
              <w:right w:val="nil"/>
            </w:tcBorders>
            <w:shd w:val="clear" w:color="auto" w:fill="auto"/>
            <w:vAlign w:val="bottom"/>
            <w:hideMark/>
          </w:tcPr>
          <w:p w14:paraId="7D26B13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zvýšené ceny energií</w:t>
            </w:r>
          </w:p>
        </w:tc>
        <w:tc>
          <w:tcPr>
            <w:tcW w:w="2152" w:type="dxa"/>
            <w:tcBorders>
              <w:top w:val="nil"/>
              <w:left w:val="nil"/>
              <w:bottom w:val="nil"/>
              <w:right w:val="nil"/>
            </w:tcBorders>
            <w:shd w:val="clear" w:color="auto" w:fill="auto"/>
            <w:vAlign w:val="center"/>
            <w:hideMark/>
          </w:tcPr>
          <w:p w14:paraId="7EF01A81"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1 799</w:t>
            </w:r>
          </w:p>
        </w:tc>
      </w:tr>
      <w:tr w:rsidR="00E76212" w:rsidRPr="008C63ED" w14:paraId="65705240" w14:textId="77777777" w:rsidTr="00D2560E">
        <w:trPr>
          <w:trHeight w:val="80"/>
        </w:trPr>
        <w:tc>
          <w:tcPr>
            <w:tcW w:w="6920" w:type="dxa"/>
            <w:gridSpan w:val="2"/>
            <w:tcBorders>
              <w:top w:val="nil"/>
              <w:left w:val="nil"/>
              <w:bottom w:val="single" w:sz="4" w:space="0" w:color="auto"/>
              <w:right w:val="nil"/>
            </w:tcBorders>
            <w:shd w:val="clear" w:color="auto" w:fill="auto"/>
            <w:vAlign w:val="center"/>
            <w:hideMark/>
          </w:tcPr>
          <w:p w14:paraId="18532FC8"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4A5CCEA4"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1 799</w:t>
            </w:r>
          </w:p>
        </w:tc>
      </w:tr>
      <w:tr w:rsidR="00E76212" w:rsidRPr="008C63ED" w14:paraId="47342C47" w14:textId="77777777" w:rsidTr="00D2560E">
        <w:trPr>
          <w:trHeight w:val="330"/>
        </w:trPr>
        <w:tc>
          <w:tcPr>
            <w:tcW w:w="1540" w:type="dxa"/>
            <w:tcBorders>
              <w:top w:val="nil"/>
              <w:left w:val="nil"/>
              <w:bottom w:val="nil"/>
              <w:right w:val="nil"/>
            </w:tcBorders>
            <w:shd w:val="clear" w:color="auto" w:fill="auto"/>
            <w:vAlign w:val="center"/>
            <w:hideMark/>
          </w:tcPr>
          <w:p w14:paraId="0B0A613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pôdohospodárstva a rozvoja vidieka</w:t>
            </w:r>
            <w:r w:rsidRPr="008C63ED">
              <w:rPr>
                <w:rFonts w:eastAsia="Times New Roman" w:cs="Times New Roman"/>
                <w:sz w:val="16"/>
                <w:szCs w:val="16"/>
                <w:lang w:eastAsia="sk-SK"/>
              </w:rPr>
              <w:t xml:space="preserve"> SR</w:t>
            </w:r>
          </w:p>
        </w:tc>
        <w:tc>
          <w:tcPr>
            <w:tcW w:w="5380" w:type="dxa"/>
            <w:tcBorders>
              <w:top w:val="nil"/>
              <w:left w:val="nil"/>
              <w:bottom w:val="nil"/>
              <w:right w:val="nil"/>
            </w:tcBorders>
            <w:shd w:val="clear" w:color="auto" w:fill="auto"/>
            <w:vAlign w:val="bottom"/>
            <w:hideMark/>
          </w:tcPr>
          <w:p w14:paraId="28412CD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zvýšené ceny energií </w:t>
            </w:r>
          </w:p>
        </w:tc>
        <w:tc>
          <w:tcPr>
            <w:tcW w:w="2152" w:type="dxa"/>
            <w:tcBorders>
              <w:top w:val="nil"/>
              <w:left w:val="nil"/>
              <w:bottom w:val="nil"/>
              <w:right w:val="nil"/>
            </w:tcBorders>
            <w:shd w:val="clear" w:color="auto" w:fill="auto"/>
            <w:vAlign w:val="center"/>
            <w:hideMark/>
          </w:tcPr>
          <w:p w14:paraId="349EB28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1 728</w:t>
            </w:r>
          </w:p>
        </w:tc>
      </w:tr>
      <w:tr w:rsidR="00E76212" w:rsidRPr="008C63ED" w14:paraId="62CFEE0D" w14:textId="77777777" w:rsidTr="00D2560E">
        <w:trPr>
          <w:trHeight w:val="330"/>
        </w:trPr>
        <w:tc>
          <w:tcPr>
            <w:tcW w:w="6920" w:type="dxa"/>
            <w:gridSpan w:val="2"/>
            <w:tcBorders>
              <w:top w:val="nil"/>
              <w:left w:val="nil"/>
              <w:bottom w:val="single" w:sz="4" w:space="0" w:color="auto"/>
              <w:right w:val="nil"/>
            </w:tcBorders>
            <w:shd w:val="clear" w:color="auto" w:fill="auto"/>
            <w:vAlign w:val="center"/>
            <w:hideMark/>
          </w:tcPr>
          <w:p w14:paraId="379378F5"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2F942EB0"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1 728</w:t>
            </w:r>
          </w:p>
        </w:tc>
      </w:tr>
      <w:tr w:rsidR="00E76212" w:rsidRPr="008C63ED" w14:paraId="5C78DF20" w14:textId="77777777" w:rsidTr="00D2560E">
        <w:trPr>
          <w:trHeight w:val="330"/>
        </w:trPr>
        <w:tc>
          <w:tcPr>
            <w:tcW w:w="1540" w:type="dxa"/>
            <w:tcBorders>
              <w:top w:val="nil"/>
              <w:left w:val="nil"/>
              <w:bottom w:val="nil"/>
              <w:right w:val="nil"/>
            </w:tcBorders>
            <w:shd w:val="clear" w:color="auto" w:fill="auto"/>
            <w:vAlign w:val="center"/>
            <w:hideMark/>
          </w:tcPr>
          <w:p w14:paraId="4F4337A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zahraničných vecí a európskych záležitostí</w:t>
            </w:r>
            <w:r w:rsidRPr="008C63ED">
              <w:rPr>
                <w:rFonts w:eastAsia="Times New Roman" w:cs="Times New Roman"/>
                <w:sz w:val="16"/>
                <w:szCs w:val="16"/>
                <w:lang w:eastAsia="sk-SK"/>
              </w:rPr>
              <w:t xml:space="preserve"> SR</w:t>
            </w:r>
          </w:p>
        </w:tc>
        <w:tc>
          <w:tcPr>
            <w:tcW w:w="5380" w:type="dxa"/>
            <w:tcBorders>
              <w:top w:val="nil"/>
              <w:left w:val="nil"/>
              <w:bottom w:val="nil"/>
              <w:right w:val="nil"/>
            </w:tcBorders>
            <w:shd w:val="clear" w:color="auto" w:fill="auto"/>
            <w:vAlign w:val="bottom"/>
            <w:hideMark/>
          </w:tcPr>
          <w:p w14:paraId="60BA2DD2"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zvýšené ceny energií </w:t>
            </w:r>
          </w:p>
        </w:tc>
        <w:tc>
          <w:tcPr>
            <w:tcW w:w="2152" w:type="dxa"/>
            <w:tcBorders>
              <w:top w:val="nil"/>
              <w:left w:val="nil"/>
              <w:bottom w:val="nil"/>
              <w:right w:val="nil"/>
            </w:tcBorders>
            <w:shd w:val="clear" w:color="auto" w:fill="auto"/>
            <w:vAlign w:val="center"/>
            <w:hideMark/>
          </w:tcPr>
          <w:p w14:paraId="0B051164"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1 489</w:t>
            </w:r>
          </w:p>
        </w:tc>
      </w:tr>
      <w:tr w:rsidR="00E76212" w:rsidRPr="008C63ED" w14:paraId="1D1231E9" w14:textId="77777777" w:rsidTr="00D2560E">
        <w:trPr>
          <w:trHeight w:val="330"/>
        </w:trPr>
        <w:tc>
          <w:tcPr>
            <w:tcW w:w="6920" w:type="dxa"/>
            <w:gridSpan w:val="2"/>
            <w:tcBorders>
              <w:top w:val="nil"/>
              <w:left w:val="nil"/>
              <w:bottom w:val="single" w:sz="4" w:space="0" w:color="auto"/>
              <w:right w:val="nil"/>
            </w:tcBorders>
            <w:shd w:val="clear" w:color="auto" w:fill="auto"/>
            <w:vAlign w:val="center"/>
            <w:hideMark/>
          </w:tcPr>
          <w:p w14:paraId="2414B880"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49F6D33A"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1 489</w:t>
            </w:r>
          </w:p>
        </w:tc>
      </w:tr>
      <w:tr w:rsidR="00E76212" w:rsidRPr="008C63ED" w14:paraId="653437FF" w14:textId="77777777" w:rsidTr="00D2560E">
        <w:trPr>
          <w:trHeight w:val="330"/>
        </w:trPr>
        <w:tc>
          <w:tcPr>
            <w:tcW w:w="1540" w:type="dxa"/>
            <w:tcBorders>
              <w:top w:val="nil"/>
              <w:left w:val="nil"/>
              <w:bottom w:val="nil"/>
              <w:right w:val="nil"/>
            </w:tcBorders>
            <w:shd w:val="clear" w:color="auto" w:fill="auto"/>
            <w:vAlign w:val="center"/>
            <w:hideMark/>
          </w:tcPr>
          <w:p w14:paraId="61CDC1D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M</w:t>
            </w:r>
            <w:r>
              <w:rPr>
                <w:rFonts w:eastAsia="Times New Roman" w:cs="Times New Roman"/>
                <w:sz w:val="16"/>
                <w:szCs w:val="16"/>
                <w:lang w:eastAsia="sk-SK"/>
              </w:rPr>
              <w:t>inisterstvo financií</w:t>
            </w:r>
            <w:r w:rsidRPr="008C63ED">
              <w:rPr>
                <w:rFonts w:eastAsia="Times New Roman" w:cs="Times New Roman"/>
                <w:sz w:val="16"/>
                <w:szCs w:val="16"/>
                <w:lang w:eastAsia="sk-SK"/>
              </w:rPr>
              <w:t xml:space="preserve"> SR</w:t>
            </w:r>
          </w:p>
        </w:tc>
        <w:tc>
          <w:tcPr>
            <w:tcW w:w="5380" w:type="dxa"/>
            <w:tcBorders>
              <w:top w:val="nil"/>
              <w:left w:val="nil"/>
              <w:bottom w:val="nil"/>
              <w:right w:val="nil"/>
            </w:tcBorders>
            <w:shd w:val="clear" w:color="auto" w:fill="auto"/>
            <w:vAlign w:val="bottom"/>
            <w:hideMark/>
          </w:tcPr>
          <w:p w14:paraId="2D913D27"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zvýšené ceny energií </w:t>
            </w:r>
          </w:p>
        </w:tc>
        <w:tc>
          <w:tcPr>
            <w:tcW w:w="2152" w:type="dxa"/>
            <w:tcBorders>
              <w:top w:val="nil"/>
              <w:left w:val="nil"/>
              <w:bottom w:val="nil"/>
              <w:right w:val="nil"/>
            </w:tcBorders>
            <w:shd w:val="clear" w:color="auto" w:fill="auto"/>
            <w:vAlign w:val="center"/>
            <w:hideMark/>
          </w:tcPr>
          <w:p w14:paraId="393945B6"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1 431</w:t>
            </w:r>
          </w:p>
        </w:tc>
      </w:tr>
      <w:tr w:rsidR="00E76212" w:rsidRPr="008C63ED" w14:paraId="22660B73" w14:textId="77777777" w:rsidTr="00D2560E">
        <w:trPr>
          <w:trHeight w:val="330"/>
        </w:trPr>
        <w:tc>
          <w:tcPr>
            <w:tcW w:w="6920" w:type="dxa"/>
            <w:gridSpan w:val="2"/>
            <w:tcBorders>
              <w:top w:val="nil"/>
              <w:left w:val="nil"/>
              <w:bottom w:val="single" w:sz="4" w:space="0" w:color="auto"/>
              <w:right w:val="nil"/>
            </w:tcBorders>
            <w:shd w:val="clear" w:color="auto" w:fill="auto"/>
            <w:vAlign w:val="center"/>
            <w:hideMark/>
          </w:tcPr>
          <w:p w14:paraId="1F552C85"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2199BFF6"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1 431</w:t>
            </w:r>
          </w:p>
        </w:tc>
      </w:tr>
      <w:tr w:rsidR="00E76212" w:rsidRPr="008C63ED" w14:paraId="0DEE32E3" w14:textId="77777777" w:rsidTr="00D2560E">
        <w:trPr>
          <w:trHeight w:val="330"/>
        </w:trPr>
        <w:tc>
          <w:tcPr>
            <w:tcW w:w="1540" w:type="dxa"/>
            <w:tcBorders>
              <w:top w:val="nil"/>
              <w:left w:val="nil"/>
              <w:bottom w:val="nil"/>
              <w:right w:val="nil"/>
            </w:tcBorders>
            <w:shd w:val="clear" w:color="auto" w:fill="auto"/>
            <w:vAlign w:val="center"/>
            <w:hideMark/>
          </w:tcPr>
          <w:p w14:paraId="73B3C50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G</w:t>
            </w:r>
            <w:r>
              <w:rPr>
                <w:rFonts w:eastAsia="Times New Roman" w:cs="Times New Roman"/>
                <w:sz w:val="16"/>
                <w:szCs w:val="16"/>
                <w:lang w:eastAsia="sk-SK"/>
              </w:rPr>
              <w:t>enerálna prokuratúra</w:t>
            </w:r>
            <w:r w:rsidRPr="008C63ED">
              <w:rPr>
                <w:rFonts w:eastAsia="Times New Roman" w:cs="Times New Roman"/>
                <w:sz w:val="16"/>
                <w:szCs w:val="16"/>
                <w:lang w:eastAsia="sk-SK"/>
              </w:rPr>
              <w:t xml:space="preserve"> SR</w:t>
            </w:r>
          </w:p>
        </w:tc>
        <w:tc>
          <w:tcPr>
            <w:tcW w:w="5380" w:type="dxa"/>
            <w:tcBorders>
              <w:top w:val="nil"/>
              <w:left w:val="nil"/>
              <w:bottom w:val="nil"/>
              <w:right w:val="nil"/>
            </w:tcBorders>
            <w:shd w:val="clear" w:color="auto" w:fill="auto"/>
            <w:vAlign w:val="bottom"/>
            <w:hideMark/>
          </w:tcPr>
          <w:p w14:paraId="529A6EB1"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zvýšené ceny energií </w:t>
            </w:r>
          </w:p>
        </w:tc>
        <w:tc>
          <w:tcPr>
            <w:tcW w:w="2152" w:type="dxa"/>
            <w:tcBorders>
              <w:top w:val="nil"/>
              <w:left w:val="nil"/>
              <w:bottom w:val="nil"/>
              <w:right w:val="nil"/>
            </w:tcBorders>
            <w:shd w:val="clear" w:color="auto" w:fill="auto"/>
            <w:vAlign w:val="center"/>
            <w:hideMark/>
          </w:tcPr>
          <w:p w14:paraId="3F78876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1 089</w:t>
            </w:r>
          </w:p>
        </w:tc>
      </w:tr>
      <w:tr w:rsidR="00E76212" w:rsidRPr="008C63ED" w14:paraId="5ED181CE" w14:textId="77777777" w:rsidTr="00D2560E">
        <w:trPr>
          <w:trHeight w:val="330"/>
        </w:trPr>
        <w:tc>
          <w:tcPr>
            <w:tcW w:w="6920" w:type="dxa"/>
            <w:gridSpan w:val="2"/>
            <w:tcBorders>
              <w:top w:val="nil"/>
              <w:left w:val="nil"/>
              <w:bottom w:val="single" w:sz="4" w:space="0" w:color="auto"/>
              <w:right w:val="nil"/>
            </w:tcBorders>
            <w:shd w:val="clear" w:color="auto" w:fill="auto"/>
            <w:vAlign w:val="center"/>
            <w:hideMark/>
          </w:tcPr>
          <w:p w14:paraId="0622ED1C"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04EEF8F5"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1 089</w:t>
            </w:r>
          </w:p>
        </w:tc>
      </w:tr>
      <w:tr w:rsidR="00E76212" w:rsidRPr="008C63ED" w14:paraId="2278F4DF" w14:textId="77777777" w:rsidTr="00D2560E">
        <w:trPr>
          <w:trHeight w:val="330"/>
        </w:trPr>
        <w:tc>
          <w:tcPr>
            <w:tcW w:w="1540" w:type="dxa"/>
            <w:tcBorders>
              <w:top w:val="nil"/>
              <w:left w:val="nil"/>
              <w:bottom w:val="nil"/>
              <w:right w:val="nil"/>
            </w:tcBorders>
            <w:shd w:val="clear" w:color="auto" w:fill="auto"/>
            <w:vAlign w:val="center"/>
            <w:hideMark/>
          </w:tcPr>
          <w:p w14:paraId="55F4156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S</w:t>
            </w:r>
            <w:r>
              <w:rPr>
                <w:rFonts w:eastAsia="Times New Roman" w:cs="Times New Roman"/>
                <w:sz w:val="16"/>
                <w:szCs w:val="16"/>
                <w:lang w:eastAsia="sk-SK"/>
              </w:rPr>
              <w:t>lovenská informačná služba</w:t>
            </w:r>
          </w:p>
        </w:tc>
        <w:tc>
          <w:tcPr>
            <w:tcW w:w="5380" w:type="dxa"/>
            <w:tcBorders>
              <w:top w:val="nil"/>
              <w:left w:val="nil"/>
              <w:bottom w:val="nil"/>
              <w:right w:val="nil"/>
            </w:tcBorders>
            <w:shd w:val="clear" w:color="auto" w:fill="auto"/>
            <w:vAlign w:val="bottom"/>
            <w:hideMark/>
          </w:tcPr>
          <w:p w14:paraId="0FE70E2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Na zvýšené ceny energií</w:t>
            </w:r>
          </w:p>
        </w:tc>
        <w:tc>
          <w:tcPr>
            <w:tcW w:w="2152" w:type="dxa"/>
            <w:tcBorders>
              <w:top w:val="nil"/>
              <w:left w:val="nil"/>
              <w:bottom w:val="nil"/>
              <w:right w:val="nil"/>
            </w:tcBorders>
            <w:shd w:val="clear" w:color="auto" w:fill="auto"/>
            <w:vAlign w:val="center"/>
            <w:hideMark/>
          </w:tcPr>
          <w:p w14:paraId="6025BAB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620</w:t>
            </w:r>
          </w:p>
        </w:tc>
      </w:tr>
      <w:tr w:rsidR="00E76212" w:rsidRPr="008C63ED" w14:paraId="77B2E274" w14:textId="77777777" w:rsidTr="00D2560E">
        <w:trPr>
          <w:trHeight w:val="330"/>
        </w:trPr>
        <w:tc>
          <w:tcPr>
            <w:tcW w:w="6920" w:type="dxa"/>
            <w:gridSpan w:val="2"/>
            <w:tcBorders>
              <w:top w:val="nil"/>
              <w:left w:val="nil"/>
              <w:bottom w:val="single" w:sz="4" w:space="0" w:color="auto"/>
              <w:right w:val="nil"/>
            </w:tcBorders>
            <w:shd w:val="clear" w:color="auto" w:fill="auto"/>
            <w:vAlign w:val="center"/>
            <w:hideMark/>
          </w:tcPr>
          <w:p w14:paraId="1556C231"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3C64879A"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620</w:t>
            </w:r>
          </w:p>
        </w:tc>
      </w:tr>
      <w:tr w:rsidR="00E76212" w:rsidRPr="008C63ED" w14:paraId="6CB5F5D8" w14:textId="77777777" w:rsidTr="00D2560E">
        <w:trPr>
          <w:trHeight w:val="330"/>
        </w:trPr>
        <w:tc>
          <w:tcPr>
            <w:tcW w:w="1540" w:type="dxa"/>
            <w:tcBorders>
              <w:top w:val="nil"/>
              <w:left w:val="nil"/>
              <w:bottom w:val="nil"/>
              <w:right w:val="nil"/>
            </w:tcBorders>
            <w:shd w:val="clear" w:color="auto" w:fill="auto"/>
            <w:vAlign w:val="center"/>
            <w:hideMark/>
          </w:tcPr>
          <w:p w14:paraId="20060446"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Š</w:t>
            </w:r>
            <w:r>
              <w:rPr>
                <w:rFonts w:eastAsia="Times New Roman" w:cs="Times New Roman"/>
                <w:sz w:val="16"/>
                <w:szCs w:val="16"/>
                <w:lang w:eastAsia="sk-SK"/>
              </w:rPr>
              <w:t>tatistický úrad</w:t>
            </w:r>
            <w:r w:rsidRPr="008C63ED">
              <w:rPr>
                <w:rFonts w:eastAsia="Times New Roman" w:cs="Times New Roman"/>
                <w:sz w:val="16"/>
                <w:szCs w:val="16"/>
                <w:lang w:eastAsia="sk-SK"/>
              </w:rPr>
              <w:t xml:space="preserve"> SR</w:t>
            </w:r>
          </w:p>
        </w:tc>
        <w:tc>
          <w:tcPr>
            <w:tcW w:w="5380" w:type="dxa"/>
            <w:tcBorders>
              <w:top w:val="nil"/>
              <w:left w:val="nil"/>
              <w:bottom w:val="nil"/>
              <w:right w:val="nil"/>
            </w:tcBorders>
            <w:shd w:val="clear" w:color="auto" w:fill="auto"/>
            <w:vAlign w:val="bottom"/>
            <w:hideMark/>
          </w:tcPr>
          <w:p w14:paraId="21DEC31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zvýšené ceny energií </w:t>
            </w:r>
          </w:p>
        </w:tc>
        <w:tc>
          <w:tcPr>
            <w:tcW w:w="2152" w:type="dxa"/>
            <w:tcBorders>
              <w:top w:val="nil"/>
              <w:left w:val="nil"/>
              <w:bottom w:val="nil"/>
              <w:right w:val="nil"/>
            </w:tcBorders>
            <w:shd w:val="clear" w:color="auto" w:fill="auto"/>
            <w:vAlign w:val="center"/>
            <w:hideMark/>
          </w:tcPr>
          <w:p w14:paraId="775400F7"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514</w:t>
            </w:r>
          </w:p>
        </w:tc>
      </w:tr>
      <w:tr w:rsidR="00E76212" w:rsidRPr="008C63ED" w14:paraId="1D096AE9" w14:textId="77777777" w:rsidTr="00D2560E">
        <w:trPr>
          <w:trHeight w:val="330"/>
        </w:trPr>
        <w:tc>
          <w:tcPr>
            <w:tcW w:w="6920" w:type="dxa"/>
            <w:gridSpan w:val="2"/>
            <w:tcBorders>
              <w:top w:val="nil"/>
              <w:left w:val="nil"/>
              <w:bottom w:val="single" w:sz="4" w:space="0" w:color="auto"/>
              <w:right w:val="nil"/>
            </w:tcBorders>
            <w:shd w:val="clear" w:color="auto" w:fill="auto"/>
            <w:vAlign w:val="center"/>
            <w:hideMark/>
          </w:tcPr>
          <w:p w14:paraId="1BA551E3"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30433307"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514</w:t>
            </w:r>
          </w:p>
        </w:tc>
      </w:tr>
      <w:tr w:rsidR="00E76212" w:rsidRPr="008C63ED" w14:paraId="38DB91B8" w14:textId="77777777" w:rsidTr="00D2560E">
        <w:trPr>
          <w:trHeight w:val="330"/>
        </w:trPr>
        <w:tc>
          <w:tcPr>
            <w:tcW w:w="1540" w:type="dxa"/>
            <w:tcBorders>
              <w:top w:val="nil"/>
              <w:left w:val="nil"/>
              <w:bottom w:val="nil"/>
              <w:right w:val="nil"/>
            </w:tcBorders>
            <w:shd w:val="clear" w:color="auto" w:fill="auto"/>
            <w:vAlign w:val="center"/>
            <w:hideMark/>
          </w:tcPr>
          <w:p w14:paraId="6707226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K</w:t>
            </w:r>
            <w:r>
              <w:rPr>
                <w:rFonts w:eastAsia="Times New Roman" w:cs="Times New Roman"/>
                <w:sz w:val="16"/>
                <w:szCs w:val="16"/>
                <w:lang w:eastAsia="sk-SK"/>
              </w:rPr>
              <w:t>ancelária prezidenta</w:t>
            </w:r>
            <w:r w:rsidRPr="008C63ED">
              <w:rPr>
                <w:rFonts w:eastAsia="Times New Roman" w:cs="Times New Roman"/>
                <w:sz w:val="16"/>
                <w:szCs w:val="16"/>
                <w:lang w:eastAsia="sk-SK"/>
              </w:rPr>
              <w:t xml:space="preserve"> SR </w:t>
            </w:r>
          </w:p>
        </w:tc>
        <w:tc>
          <w:tcPr>
            <w:tcW w:w="5380" w:type="dxa"/>
            <w:tcBorders>
              <w:top w:val="nil"/>
              <w:left w:val="nil"/>
              <w:bottom w:val="nil"/>
              <w:right w:val="nil"/>
            </w:tcBorders>
            <w:shd w:val="clear" w:color="auto" w:fill="auto"/>
            <w:vAlign w:val="bottom"/>
            <w:hideMark/>
          </w:tcPr>
          <w:p w14:paraId="17C097D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zvýšené ceny energií </w:t>
            </w:r>
          </w:p>
        </w:tc>
        <w:tc>
          <w:tcPr>
            <w:tcW w:w="2152" w:type="dxa"/>
            <w:tcBorders>
              <w:top w:val="nil"/>
              <w:left w:val="nil"/>
              <w:bottom w:val="nil"/>
              <w:right w:val="nil"/>
            </w:tcBorders>
            <w:shd w:val="clear" w:color="auto" w:fill="auto"/>
            <w:vAlign w:val="center"/>
            <w:hideMark/>
          </w:tcPr>
          <w:p w14:paraId="10D790D2"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424</w:t>
            </w:r>
          </w:p>
        </w:tc>
      </w:tr>
      <w:tr w:rsidR="00E76212" w:rsidRPr="008C63ED" w14:paraId="640B91D6" w14:textId="77777777" w:rsidTr="00D2560E">
        <w:trPr>
          <w:trHeight w:val="330"/>
        </w:trPr>
        <w:tc>
          <w:tcPr>
            <w:tcW w:w="6920" w:type="dxa"/>
            <w:gridSpan w:val="2"/>
            <w:tcBorders>
              <w:top w:val="nil"/>
              <w:left w:val="nil"/>
              <w:bottom w:val="single" w:sz="4" w:space="0" w:color="auto"/>
              <w:right w:val="nil"/>
            </w:tcBorders>
            <w:shd w:val="clear" w:color="auto" w:fill="auto"/>
            <w:vAlign w:val="center"/>
            <w:hideMark/>
          </w:tcPr>
          <w:p w14:paraId="5A7219FB"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665B9FBA"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424</w:t>
            </w:r>
          </w:p>
        </w:tc>
      </w:tr>
      <w:tr w:rsidR="00E76212" w:rsidRPr="008C63ED" w14:paraId="724FFE9A" w14:textId="77777777" w:rsidTr="00D2560E">
        <w:trPr>
          <w:trHeight w:val="330"/>
        </w:trPr>
        <w:tc>
          <w:tcPr>
            <w:tcW w:w="1540" w:type="dxa"/>
            <w:tcBorders>
              <w:top w:val="nil"/>
              <w:left w:val="nil"/>
              <w:bottom w:val="nil"/>
              <w:right w:val="nil"/>
            </w:tcBorders>
            <w:shd w:val="clear" w:color="auto" w:fill="auto"/>
            <w:vAlign w:val="center"/>
            <w:hideMark/>
          </w:tcPr>
          <w:p w14:paraId="6FB40D0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S</w:t>
            </w:r>
            <w:r>
              <w:rPr>
                <w:rFonts w:eastAsia="Times New Roman" w:cs="Times New Roman"/>
                <w:sz w:val="16"/>
                <w:szCs w:val="16"/>
                <w:lang w:eastAsia="sk-SK"/>
              </w:rPr>
              <w:t>práva štátnych hmotných rezerv</w:t>
            </w:r>
            <w:r w:rsidRPr="008C63ED">
              <w:rPr>
                <w:rFonts w:eastAsia="Times New Roman" w:cs="Times New Roman"/>
                <w:sz w:val="16"/>
                <w:szCs w:val="16"/>
                <w:lang w:eastAsia="sk-SK"/>
              </w:rPr>
              <w:t xml:space="preserve"> SR</w:t>
            </w:r>
          </w:p>
        </w:tc>
        <w:tc>
          <w:tcPr>
            <w:tcW w:w="5380" w:type="dxa"/>
            <w:tcBorders>
              <w:top w:val="nil"/>
              <w:left w:val="nil"/>
              <w:bottom w:val="nil"/>
              <w:right w:val="nil"/>
            </w:tcBorders>
            <w:shd w:val="clear" w:color="auto" w:fill="auto"/>
            <w:vAlign w:val="bottom"/>
            <w:hideMark/>
          </w:tcPr>
          <w:p w14:paraId="69654BA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zvýšené ceny energií </w:t>
            </w:r>
          </w:p>
        </w:tc>
        <w:tc>
          <w:tcPr>
            <w:tcW w:w="2152" w:type="dxa"/>
            <w:tcBorders>
              <w:top w:val="nil"/>
              <w:left w:val="nil"/>
              <w:bottom w:val="nil"/>
              <w:right w:val="nil"/>
            </w:tcBorders>
            <w:shd w:val="clear" w:color="auto" w:fill="auto"/>
            <w:vAlign w:val="center"/>
            <w:hideMark/>
          </w:tcPr>
          <w:p w14:paraId="05FDBD33"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251</w:t>
            </w:r>
          </w:p>
        </w:tc>
      </w:tr>
      <w:tr w:rsidR="00E76212" w:rsidRPr="008C63ED" w14:paraId="08D4C1E1" w14:textId="77777777" w:rsidTr="00D2560E">
        <w:trPr>
          <w:trHeight w:val="330"/>
        </w:trPr>
        <w:tc>
          <w:tcPr>
            <w:tcW w:w="6920" w:type="dxa"/>
            <w:gridSpan w:val="2"/>
            <w:tcBorders>
              <w:top w:val="nil"/>
              <w:left w:val="nil"/>
              <w:bottom w:val="single" w:sz="4" w:space="0" w:color="auto"/>
              <w:right w:val="nil"/>
            </w:tcBorders>
            <w:shd w:val="clear" w:color="auto" w:fill="auto"/>
            <w:vAlign w:val="center"/>
            <w:hideMark/>
          </w:tcPr>
          <w:p w14:paraId="01E7592D"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2354D74F"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251</w:t>
            </w:r>
          </w:p>
        </w:tc>
      </w:tr>
      <w:tr w:rsidR="00E76212" w:rsidRPr="008C63ED" w14:paraId="71DA7112" w14:textId="77777777" w:rsidTr="00D2560E">
        <w:trPr>
          <w:trHeight w:val="330"/>
        </w:trPr>
        <w:tc>
          <w:tcPr>
            <w:tcW w:w="1540" w:type="dxa"/>
            <w:tcBorders>
              <w:top w:val="nil"/>
              <w:left w:val="nil"/>
              <w:bottom w:val="nil"/>
              <w:right w:val="nil"/>
            </w:tcBorders>
            <w:shd w:val="clear" w:color="auto" w:fill="auto"/>
            <w:vAlign w:val="center"/>
            <w:hideMark/>
          </w:tcPr>
          <w:p w14:paraId="5F1A5AA0"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Ú</w:t>
            </w:r>
            <w:r>
              <w:rPr>
                <w:rFonts w:eastAsia="Times New Roman" w:cs="Times New Roman"/>
                <w:sz w:val="16"/>
                <w:szCs w:val="16"/>
                <w:lang w:eastAsia="sk-SK"/>
              </w:rPr>
              <w:t>rad pre normalizáciu, metrológiu a skúšobníctvo</w:t>
            </w:r>
            <w:r w:rsidRPr="008C63ED">
              <w:rPr>
                <w:rFonts w:eastAsia="Times New Roman" w:cs="Times New Roman"/>
                <w:sz w:val="16"/>
                <w:szCs w:val="16"/>
                <w:lang w:eastAsia="sk-SK"/>
              </w:rPr>
              <w:t xml:space="preserve"> SR </w:t>
            </w:r>
          </w:p>
        </w:tc>
        <w:tc>
          <w:tcPr>
            <w:tcW w:w="5380" w:type="dxa"/>
            <w:tcBorders>
              <w:top w:val="nil"/>
              <w:left w:val="nil"/>
              <w:bottom w:val="nil"/>
              <w:right w:val="nil"/>
            </w:tcBorders>
            <w:shd w:val="clear" w:color="auto" w:fill="auto"/>
            <w:vAlign w:val="center"/>
            <w:hideMark/>
          </w:tcPr>
          <w:p w14:paraId="1113979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zvýšené ceny energií </w:t>
            </w:r>
          </w:p>
        </w:tc>
        <w:tc>
          <w:tcPr>
            <w:tcW w:w="2152" w:type="dxa"/>
            <w:tcBorders>
              <w:top w:val="nil"/>
              <w:left w:val="nil"/>
              <w:bottom w:val="nil"/>
              <w:right w:val="nil"/>
            </w:tcBorders>
            <w:shd w:val="clear" w:color="auto" w:fill="auto"/>
            <w:vAlign w:val="center"/>
            <w:hideMark/>
          </w:tcPr>
          <w:p w14:paraId="28FC4B1D"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173</w:t>
            </w:r>
          </w:p>
        </w:tc>
      </w:tr>
      <w:tr w:rsidR="00E76212" w:rsidRPr="008C63ED" w14:paraId="1CF8F168" w14:textId="77777777" w:rsidTr="00D2560E">
        <w:trPr>
          <w:trHeight w:val="330"/>
        </w:trPr>
        <w:tc>
          <w:tcPr>
            <w:tcW w:w="6920" w:type="dxa"/>
            <w:gridSpan w:val="2"/>
            <w:tcBorders>
              <w:top w:val="nil"/>
              <w:left w:val="nil"/>
              <w:bottom w:val="single" w:sz="4" w:space="0" w:color="auto"/>
              <w:right w:val="nil"/>
            </w:tcBorders>
            <w:shd w:val="clear" w:color="auto" w:fill="auto"/>
            <w:vAlign w:val="center"/>
            <w:hideMark/>
          </w:tcPr>
          <w:p w14:paraId="6430C210"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3D91C9D6"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173</w:t>
            </w:r>
          </w:p>
        </w:tc>
      </w:tr>
      <w:tr w:rsidR="00E76212" w:rsidRPr="008C63ED" w14:paraId="46E8D87F" w14:textId="77777777" w:rsidTr="00D2560E">
        <w:trPr>
          <w:trHeight w:val="330"/>
        </w:trPr>
        <w:tc>
          <w:tcPr>
            <w:tcW w:w="1540" w:type="dxa"/>
            <w:tcBorders>
              <w:top w:val="nil"/>
              <w:left w:val="nil"/>
              <w:bottom w:val="nil"/>
              <w:right w:val="nil"/>
            </w:tcBorders>
            <w:shd w:val="clear" w:color="auto" w:fill="auto"/>
            <w:vAlign w:val="center"/>
            <w:hideMark/>
          </w:tcPr>
          <w:p w14:paraId="0418FFAA"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w:t>
            </w:r>
            <w:r>
              <w:rPr>
                <w:rFonts w:eastAsia="Times New Roman" w:cs="Times New Roman"/>
                <w:sz w:val="16"/>
                <w:szCs w:val="16"/>
                <w:lang w:eastAsia="sk-SK"/>
              </w:rPr>
              <w:t>árodný bezpečnostný úrad</w:t>
            </w:r>
          </w:p>
        </w:tc>
        <w:tc>
          <w:tcPr>
            <w:tcW w:w="5380" w:type="dxa"/>
            <w:tcBorders>
              <w:top w:val="nil"/>
              <w:left w:val="nil"/>
              <w:bottom w:val="nil"/>
              <w:right w:val="nil"/>
            </w:tcBorders>
            <w:shd w:val="clear" w:color="auto" w:fill="auto"/>
            <w:vAlign w:val="bottom"/>
            <w:hideMark/>
          </w:tcPr>
          <w:p w14:paraId="4E14C8B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zvýšené ceny energií </w:t>
            </w:r>
          </w:p>
        </w:tc>
        <w:tc>
          <w:tcPr>
            <w:tcW w:w="2152" w:type="dxa"/>
            <w:tcBorders>
              <w:top w:val="nil"/>
              <w:left w:val="nil"/>
              <w:bottom w:val="nil"/>
              <w:right w:val="nil"/>
            </w:tcBorders>
            <w:shd w:val="clear" w:color="auto" w:fill="auto"/>
            <w:vAlign w:val="center"/>
            <w:hideMark/>
          </w:tcPr>
          <w:p w14:paraId="772AFAEA"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129</w:t>
            </w:r>
          </w:p>
        </w:tc>
      </w:tr>
      <w:tr w:rsidR="00E76212" w:rsidRPr="008C63ED" w14:paraId="201D0ED0" w14:textId="77777777" w:rsidTr="00D2560E">
        <w:trPr>
          <w:trHeight w:val="330"/>
        </w:trPr>
        <w:tc>
          <w:tcPr>
            <w:tcW w:w="6920" w:type="dxa"/>
            <w:gridSpan w:val="2"/>
            <w:tcBorders>
              <w:top w:val="nil"/>
              <w:left w:val="nil"/>
              <w:bottom w:val="single" w:sz="4" w:space="0" w:color="auto"/>
              <w:right w:val="nil"/>
            </w:tcBorders>
            <w:shd w:val="clear" w:color="auto" w:fill="auto"/>
            <w:vAlign w:val="center"/>
            <w:hideMark/>
          </w:tcPr>
          <w:p w14:paraId="6DC652C8"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6C62A9E8"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129</w:t>
            </w:r>
          </w:p>
        </w:tc>
      </w:tr>
      <w:tr w:rsidR="00E76212" w:rsidRPr="008C63ED" w14:paraId="7D57E159" w14:textId="77777777" w:rsidTr="00D2560E">
        <w:trPr>
          <w:trHeight w:val="330"/>
        </w:trPr>
        <w:tc>
          <w:tcPr>
            <w:tcW w:w="1540" w:type="dxa"/>
            <w:tcBorders>
              <w:top w:val="nil"/>
              <w:left w:val="nil"/>
              <w:bottom w:val="nil"/>
              <w:right w:val="nil"/>
            </w:tcBorders>
            <w:shd w:val="clear" w:color="auto" w:fill="auto"/>
            <w:vAlign w:val="center"/>
            <w:hideMark/>
          </w:tcPr>
          <w:p w14:paraId="19F64A0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K</w:t>
            </w:r>
            <w:r>
              <w:rPr>
                <w:rFonts w:eastAsia="Times New Roman" w:cs="Times New Roman"/>
                <w:sz w:val="16"/>
                <w:szCs w:val="16"/>
                <w:lang w:eastAsia="sk-SK"/>
              </w:rPr>
              <w:t>ancelária Ústavného súdu</w:t>
            </w:r>
            <w:r w:rsidRPr="008C63ED">
              <w:rPr>
                <w:rFonts w:eastAsia="Times New Roman" w:cs="Times New Roman"/>
                <w:sz w:val="16"/>
                <w:szCs w:val="16"/>
                <w:lang w:eastAsia="sk-SK"/>
              </w:rPr>
              <w:t xml:space="preserve"> SR </w:t>
            </w:r>
          </w:p>
        </w:tc>
        <w:tc>
          <w:tcPr>
            <w:tcW w:w="5380" w:type="dxa"/>
            <w:tcBorders>
              <w:top w:val="nil"/>
              <w:left w:val="nil"/>
              <w:bottom w:val="nil"/>
              <w:right w:val="nil"/>
            </w:tcBorders>
            <w:shd w:val="clear" w:color="auto" w:fill="auto"/>
            <w:vAlign w:val="bottom"/>
            <w:hideMark/>
          </w:tcPr>
          <w:p w14:paraId="1882CCBB"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zvýšené ceny energií </w:t>
            </w:r>
          </w:p>
        </w:tc>
        <w:tc>
          <w:tcPr>
            <w:tcW w:w="2152" w:type="dxa"/>
            <w:tcBorders>
              <w:top w:val="nil"/>
              <w:left w:val="nil"/>
              <w:bottom w:val="nil"/>
              <w:right w:val="nil"/>
            </w:tcBorders>
            <w:shd w:val="clear" w:color="auto" w:fill="auto"/>
            <w:vAlign w:val="center"/>
            <w:hideMark/>
          </w:tcPr>
          <w:p w14:paraId="0986397B"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115</w:t>
            </w:r>
          </w:p>
        </w:tc>
      </w:tr>
      <w:tr w:rsidR="00E76212" w:rsidRPr="008C63ED" w14:paraId="6C57D2B7" w14:textId="77777777" w:rsidTr="00D2560E">
        <w:trPr>
          <w:trHeight w:val="330"/>
        </w:trPr>
        <w:tc>
          <w:tcPr>
            <w:tcW w:w="6920" w:type="dxa"/>
            <w:gridSpan w:val="2"/>
            <w:tcBorders>
              <w:top w:val="nil"/>
              <w:left w:val="nil"/>
              <w:bottom w:val="single" w:sz="4" w:space="0" w:color="auto"/>
              <w:right w:val="nil"/>
            </w:tcBorders>
            <w:shd w:val="clear" w:color="auto" w:fill="auto"/>
            <w:vAlign w:val="center"/>
            <w:hideMark/>
          </w:tcPr>
          <w:p w14:paraId="2F6CFFFB"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03A50259"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115</w:t>
            </w:r>
          </w:p>
        </w:tc>
      </w:tr>
      <w:tr w:rsidR="00E76212" w:rsidRPr="008C63ED" w14:paraId="0B091612" w14:textId="77777777" w:rsidTr="00D2560E">
        <w:trPr>
          <w:trHeight w:val="330"/>
        </w:trPr>
        <w:tc>
          <w:tcPr>
            <w:tcW w:w="1540" w:type="dxa"/>
            <w:tcBorders>
              <w:top w:val="nil"/>
              <w:left w:val="nil"/>
              <w:bottom w:val="nil"/>
              <w:right w:val="nil"/>
            </w:tcBorders>
            <w:shd w:val="clear" w:color="auto" w:fill="auto"/>
            <w:vAlign w:val="center"/>
            <w:hideMark/>
          </w:tcPr>
          <w:p w14:paraId="0D7A6DB9"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lastRenderedPageBreak/>
              <w:t>M</w:t>
            </w:r>
            <w:r>
              <w:rPr>
                <w:rFonts w:eastAsia="Times New Roman" w:cs="Times New Roman"/>
                <w:sz w:val="16"/>
                <w:szCs w:val="16"/>
                <w:lang w:eastAsia="sk-SK"/>
              </w:rPr>
              <w:t>inisterstvo kultúry</w:t>
            </w:r>
            <w:r w:rsidRPr="008C63ED">
              <w:rPr>
                <w:rFonts w:eastAsia="Times New Roman" w:cs="Times New Roman"/>
                <w:sz w:val="16"/>
                <w:szCs w:val="16"/>
                <w:lang w:eastAsia="sk-SK"/>
              </w:rPr>
              <w:t xml:space="preserve"> SR</w:t>
            </w:r>
          </w:p>
        </w:tc>
        <w:tc>
          <w:tcPr>
            <w:tcW w:w="5380" w:type="dxa"/>
            <w:tcBorders>
              <w:top w:val="nil"/>
              <w:left w:val="nil"/>
              <w:bottom w:val="nil"/>
              <w:right w:val="nil"/>
            </w:tcBorders>
            <w:shd w:val="clear" w:color="auto" w:fill="auto"/>
            <w:vAlign w:val="bottom"/>
            <w:hideMark/>
          </w:tcPr>
          <w:p w14:paraId="2CCFFEDE"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zvýšené ceny energií </w:t>
            </w:r>
          </w:p>
        </w:tc>
        <w:tc>
          <w:tcPr>
            <w:tcW w:w="2152" w:type="dxa"/>
            <w:tcBorders>
              <w:top w:val="nil"/>
              <w:left w:val="nil"/>
              <w:bottom w:val="nil"/>
              <w:right w:val="nil"/>
            </w:tcBorders>
            <w:shd w:val="clear" w:color="auto" w:fill="auto"/>
            <w:vAlign w:val="center"/>
            <w:hideMark/>
          </w:tcPr>
          <w:p w14:paraId="110BC173"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101</w:t>
            </w:r>
          </w:p>
        </w:tc>
      </w:tr>
      <w:tr w:rsidR="00E76212" w:rsidRPr="008C63ED" w14:paraId="748D4B6E" w14:textId="77777777" w:rsidTr="00D2560E">
        <w:trPr>
          <w:trHeight w:val="330"/>
        </w:trPr>
        <w:tc>
          <w:tcPr>
            <w:tcW w:w="6920" w:type="dxa"/>
            <w:gridSpan w:val="2"/>
            <w:tcBorders>
              <w:top w:val="nil"/>
              <w:left w:val="nil"/>
              <w:bottom w:val="single" w:sz="4" w:space="0" w:color="auto"/>
              <w:right w:val="nil"/>
            </w:tcBorders>
            <w:shd w:val="clear" w:color="auto" w:fill="auto"/>
            <w:vAlign w:val="center"/>
            <w:hideMark/>
          </w:tcPr>
          <w:p w14:paraId="76A07A57"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05825897"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101</w:t>
            </w:r>
          </w:p>
        </w:tc>
      </w:tr>
      <w:tr w:rsidR="00E76212" w:rsidRPr="008C63ED" w14:paraId="0B6289A3" w14:textId="77777777" w:rsidTr="00D2560E">
        <w:trPr>
          <w:trHeight w:val="330"/>
        </w:trPr>
        <w:tc>
          <w:tcPr>
            <w:tcW w:w="1540" w:type="dxa"/>
            <w:tcBorders>
              <w:top w:val="nil"/>
              <w:left w:val="nil"/>
              <w:bottom w:val="nil"/>
              <w:right w:val="nil"/>
            </w:tcBorders>
            <w:shd w:val="clear" w:color="auto" w:fill="auto"/>
            <w:vAlign w:val="center"/>
            <w:hideMark/>
          </w:tcPr>
          <w:p w14:paraId="1B3E461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N</w:t>
            </w:r>
            <w:r>
              <w:rPr>
                <w:rFonts w:eastAsia="Times New Roman" w:cs="Times New Roman"/>
                <w:sz w:val="16"/>
                <w:szCs w:val="16"/>
                <w:lang w:eastAsia="sk-SK"/>
              </w:rPr>
              <w:t>ajvyšší kontrolný úrad</w:t>
            </w:r>
            <w:r w:rsidRPr="008C63ED">
              <w:rPr>
                <w:rFonts w:eastAsia="Times New Roman" w:cs="Times New Roman"/>
                <w:sz w:val="16"/>
                <w:szCs w:val="16"/>
                <w:lang w:eastAsia="sk-SK"/>
              </w:rPr>
              <w:t xml:space="preserve"> SR </w:t>
            </w:r>
          </w:p>
        </w:tc>
        <w:tc>
          <w:tcPr>
            <w:tcW w:w="5380" w:type="dxa"/>
            <w:tcBorders>
              <w:top w:val="nil"/>
              <w:left w:val="nil"/>
              <w:bottom w:val="nil"/>
              <w:right w:val="nil"/>
            </w:tcBorders>
            <w:shd w:val="clear" w:color="auto" w:fill="auto"/>
            <w:vAlign w:val="bottom"/>
            <w:hideMark/>
          </w:tcPr>
          <w:p w14:paraId="3F131EA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zvýšené ceny energií </w:t>
            </w:r>
          </w:p>
        </w:tc>
        <w:tc>
          <w:tcPr>
            <w:tcW w:w="2152" w:type="dxa"/>
            <w:tcBorders>
              <w:top w:val="nil"/>
              <w:left w:val="nil"/>
              <w:bottom w:val="nil"/>
              <w:right w:val="nil"/>
            </w:tcBorders>
            <w:shd w:val="clear" w:color="auto" w:fill="auto"/>
            <w:vAlign w:val="center"/>
            <w:hideMark/>
          </w:tcPr>
          <w:p w14:paraId="0F13F31E"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92</w:t>
            </w:r>
          </w:p>
        </w:tc>
      </w:tr>
      <w:tr w:rsidR="00E76212" w:rsidRPr="008C63ED" w14:paraId="53BC9679" w14:textId="77777777" w:rsidTr="00D2560E">
        <w:trPr>
          <w:trHeight w:val="330"/>
        </w:trPr>
        <w:tc>
          <w:tcPr>
            <w:tcW w:w="6920" w:type="dxa"/>
            <w:gridSpan w:val="2"/>
            <w:tcBorders>
              <w:top w:val="nil"/>
              <w:left w:val="nil"/>
              <w:bottom w:val="single" w:sz="4" w:space="0" w:color="auto"/>
              <w:right w:val="nil"/>
            </w:tcBorders>
            <w:shd w:val="clear" w:color="auto" w:fill="auto"/>
            <w:vAlign w:val="center"/>
            <w:hideMark/>
          </w:tcPr>
          <w:p w14:paraId="5E46ED7B"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62117B85"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92</w:t>
            </w:r>
          </w:p>
        </w:tc>
      </w:tr>
      <w:tr w:rsidR="00E76212" w:rsidRPr="008C63ED" w14:paraId="1641BF80" w14:textId="77777777" w:rsidTr="00D2560E">
        <w:trPr>
          <w:trHeight w:val="330"/>
        </w:trPr>
        <w:tc>
          <w:tcPr>
            <w:tcW w:w="1540" w:type="dxa"/>
            <w:tcBorders>
              <w:top w:val="nil"/>
              <w:left w:val="nil"/>
              <w:bottom w:val="nil"/>
              <w:right w:val="nil"/>
            </w:tcBorders>
            <w:shd w:val="clear" w:color="auto" w:fill="auto"/>
            <w:vAlign w:val="center"/>
            <w:hideMark/>
          </w:tcPr>
          <w:p w14:paraId="7697899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K</w:t>
            </w:r>
            <w:r>
              <w:rPr>
                <w:rFonts w:eastAsia="Times New Roman" w:cs="Times New Roman"/>
                <w:sz w:val="16"/>
                <w:szCs w:val="16"/>
                <w:lang w:eastAsia="sk-SK"/>
              </w:rPr>
              <w:t>ancelária súdnej rady</w:t>
            </w:r>
            <w:r w:rsidRPr="008C63ED">
              <w:rPr>
                <w:rFonts w:eastAsia="Times New Roman" w:cs="Times New Roman"/>
                <w:sz w:val="16"/>
                <w:szCs w:val="16"/>
                <w:lang w:eastAsia="sk-SK"/>
              </w:rPr>
              <w:t xml:space="preserve"> SR </w:t>
            </w:r>
          </w:p>
        </w:tc>
        <w:tc>
          <w:tcPr>
            <w:tcW w:w="5380" w:type="dxa"/>
            <w:tcBorders>
              <w:top w:val="nil"/>
              <w:left w:val="nil"/>
              <w:bottom w:val="nil"/>
              <w:right w:val="nil"/>
            </w:tcBorders>
            <w:shd w:val="clear" w:color="auto" w:fill="auto"/>
            <w:vAlign w:val="bottom"/>
            <w:hideMark/>
          </w:tcPr>
          <w:p w14:paraId="2E85C424"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zvýšené ceny energií </w:t>
            </w:r>
          </w:p>
        </w:tc>
        <w:tc>
          <w:tcPr>
            <w:tcW w:w="2152" w:type="dxa"/>
            <w:tcBorders>
              <w:top w:val="nil"/>
              <w:left w:val="nil"/>
              <w:bottom w:val="nil"/>
              <w:right w:val="nil"/>
            </w:tcBorders>
            <w:shd w:val="clear" w:color="auto" w:fill="auto"/>
            <w:vAlign w:val="center"/>
            <w:hideMark/>
          </w:tcPr>
          <w:p w14:paraId="2686A3AC"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64</w:t>
            </w:r>
          </w:p>
        </w:tc>
      </w:tr>
      <w:tr w:rsidR="00E76212" w:rsidRPr="008C63ED" w14:paraId="7A4CA7D0" w14:textId="77777777" w:rsidTr="00D2560E">
        <w:trPr>
          <w:trHeight w:val="330"/>
        </w:trPr>
        <w:tc>
          <w:tcPr>
            <w:tcW w:w="6920" w:type="dxa"/>
            <w:gridSpan w:val="2"/>
            <w:tcBorders>
              <w:top w:val="nil"/>
              <w:left w:val="nil"/>
              <w:bottom w:val="single" w:sz="4" w:space="0" w:color="auto"/>
              <w:right w:val="nil"/>
            </w:tcBorders>
            <w:shd w:val="clear" w:color="auto" w:fill="auto"/>
            <w:vAlign w:val="center"/>
            <w:hideMark/>
          </w:tcPr>
          <w:p w14:paraId="735C45F2"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35F45AD0"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64</w:t>
            </w:r>
          </w:p>
        </w:tc>
      </w:tr>
      <w:tr w:rsidR="00E76212" w:rsidRPr="008C63ED" w14:paraId="5B400FC9" w14:textId="77777777" w:rsidTr="00181464">
        <w:trPr>
          <w:trHeight w:val="330"/>
        </w:trPr>
        <w:tc>
          <w:tcPr>
            <w:tcW w:w="1540" w:type="dxa"/>
            <w:tcBorders>
              <w:top w:val="nil"/>
              <w:left w:val="nil"/>
              <w:right w:val="nil"/>
            </w:tcBorders>
            <w:shd w:val="clear" w:color="auto" w:fill="auto"/>
            <w:vAlign w:val="center"/>
            <w:hideMark/>
          </w:tcPr>
          <w:p w14:paraId="3F1A8EA3"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Ú</w:t>
            </w:r>
            <w:r>
              <w:rPr>
                <w:rFonts w:eastAsia="Times New Roman" w:cs="Times New Roman"/>
                <w:sz w:val="16"/>
                <w:szCs w:val="16"/>
                <w:lang w:eastAsia="sk-SK"/>
              </w:rPr>
              <w:t>rad pre reguláciu sieťových odvetví</w:t>
            </w:r>
          </w:p>
        </w:tc>
        <w:tc>
          <w:tcPr>
            <w:tcW w:w="5380" w:type="dxa"/>
            <w:tcBorders>
              <w:top w:val="nil"/>
              <w:left w:val="nil"/>
              <w:right w:val="nil"/>
            </w:tcBorders>
            <w:shd w:val="clear" w:color="auto" w:fill="auto"/>
            <w:vAlign w:val="bottom"/>
            <w:hideMark/>
          </w:tcPr>
          <w:p w14:paraId="78DEDE2D"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zvýšené ceny energií </w:t>
            </w:r>
          </w:p>
        </w:tc>
        <w:tc>
          <w:tcPr>
            <w:tcW w:w="2152" w:type="dxa"/>
            <w:tcBorders>
              <w:top w:val="nil"/>
              <w:left w:val="nil"/>
              <w:right w:val="nil"/>
            </w:tcBorders>
            <w:shd w:val="clear" w:color="auto" w:fill="auto"/>
            <w:vAlign w:val="center"/>
            <w:hideMark/>
          </w:tcPr>
          <w:p w14:paraId="6F95A74C"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39</w:t>
            </w:r>
          </w:p>
        </w:tc>
      </w:tr>
      <w:tr w:rsidR="00E76212" w:rsidRPr="008C63ED" w14:paraId="4A50184C" w14:textId="77777777" w:rsidTr="00181464">
        <w:trPr>
          <w:trHeight w:val="330"/>
        </w:trPr>
        <w:tc>
          <w:tcPr>
            <w:tcW w:w="6920" w:type="dxa"/>
            <w:gridSpan w:val="2"/>
            <w:tcBorders>
              <w:top w:val="nil"/>
              <w:left w:val="nil"/>
              <w:bottom w:val="single" w:sz="4" w:space="0" w:color="auto"/>
              <w:right w:val="nil"/>
            </w:tcBorders>
            <w:shd w:val="clear" w:color="auto" w:fill="auto"/>
            <w:vAlign w:val="center"/>
            <w:hideMark/>
          </w:tcPr>
          <w:p w14:paraId="43AA718E"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7CD31EC3"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39</w:t>
            </w:r>
          </w:p>
        </w:tc>
      </w:tr>
      <w:tr w:rsidR="00E76212" w:rsidRPr="008C63ED" w14:paraId="777EF7D8" w14:textId="77777777" w:rsidTr="00181464">
        <w:trPr>
          <w:trHeight w:val="450"/>
        </w:trPr>
        <w:tc>
          <w:tcPr>
            <w:tcW w:w="1540" w:type="dxa"/>
            <w:tcBorders>
              <w:top w:val="single" w:sz="4" w:space="0" w:color="auto"/>
              <w:left w:val="nil"/>
              <w:bottom w:val="nil"/>
              <w:right w:val="nil"/>
            </w:tcBorders>
            <w:shd w:val="clear" w:color="auto" w:fill="auto"/>
            <w:vAlign w:val="center"/>
            <w:hideMark/>
          </w:tcPr>
          <w:p w14:paraId="711EB138"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K</w:t>
            </w:r>
            <w:r>
              <w:rPr>
                <w:rFonts w:eastAsia="Times New Roman" w:cs="Times New Roman"/>
                <w:sz w:val="16"/>
                <w:szCs w:val="16"/>
                <w:lang w:eastAsia="sk-SK"/>
              </w:rPr>
              <w:t>ancelária verejného ochrancu práv</w:t>
            </w:r>
            <w:r w:rsidRPr="008C63ED">
              <w:rPr>
                <w:rFonts w:eastAsia="Times New Roman" w:cs="Times New Roman"/>
                <w:sz w:val="16"/>
                <w:szCs w:val="16"/>
                <w:lang w:eastAsia="sk-SK"/>
              </w:rPr>
              <w:t xml:space="preserve"> </w:t>
            </w:r>
          </w:p>
        </w:tc>
        <w:tc>
          <w:tcPr>
            <w:tcW w:w="5380" w:type="dxa"/>
            <w:tcBorders>
              <w:top w:val="single" w:sz="4" w:space="0" w:color="auto"/>
              <w:left w:val="nil"/>
              <w:bottom w:val="nil"/>
              <w:right w:val="nil"/>
            </w:tcBorders>
            <w:shd w:val="clear" w:color="auto" w:fill="auto"/>
            <w:vAlign w:val="bottom"/>
            <w:hideMark/>
          </w:tcPr>
          <w:p w14:paraId="4181A675" w14:textId="77777777" w:rsidR="00E76212" w:rsidRPr="008C63ED" w:rsidRDefault="00E76212" w:rsidP="00D2560E">
            <w:pPr>
              <w:spacing w:after="0" w:line="240" w:lineRule="auto"/>
              <w:rPr>
                <w:rFonts w:eastAsia="Times New Roman" w:cs="Times New Roman"/>
                <w:sz w:val="16"/>
                <w:szCs w:val="16"/>
                <w:lang w:eastAsia="sk-SK"/>
              </w:rPr>
            </w:pPr>
            <w:r w:rsidRPr="008C63ED">
              <w:rPr>
                <w:rFonts w:eastAsia="Times New Roman" w:cs="Times New Roman"/>
                <w:sz w:val="16"/>
                <w:szCs w:val="16"/>
                <w:lang w:eastAsia="sk-SK"/>
              </w:rPr>
              <w:t xml:space="preserve">Na zvýšené ceny energií </w:t>
            </w:r>
          </w:p>
        </w:tc>
        <w:tc>
          <w:tcPr>
            <w:tcW w:w="2152" w:type="dxa"/>
            <w:tcBorders>
              <w:top w:val="single" w:sz="4" w:space="0" w:color="auto"/>
              <w:left w:val="nil"/>
              <w:bottom w:val="nil"/>
              <w:right w:val="nil"/>
            </w:tcBorders>
            <w:shd w:val="clear" w:color="auto" w:fill="auto"/>
            <w:vAlign w:val="center"/>
            <w:hideMark/>
          </w:tcPr>
          <w:p w14:paraId="25DBACC0" w14:textId="77777777" w:rsidR="00E76212" w:rsidRPr="008C63ED" w:rsidRDefault="00E76212" w:rsidP="00D2560E">
            <w:pPr>
              <w:spacing w:after="0" w:line="240" w:lineRule="auto"/>
              <w:jc w:val="right"/>
              <w:rPr>
                <w:rFonts w:eastAsia="Times New Roman" w:cs="Times New Roman"/>
                <w:sz w:val="16"/>
                <w:szCs w:val="16"/>
                <w:lang w:eastAsia="sk-SK"/>
              </w:rPr>
            </w:pPr>
            <w:r w:rsidRPr="008C63ED">
              <w:rPr>
                <w:rFonts w:eastAsia="Times New Roman" w:cs="Times New Roman"/>
                <w:sz w:val="16"/>
                <w:szCs w:val="16"/>
                <w:lang w:eastAsia="sk-SK"/>
              </w:rPr>
              <w:t>27</w:t>
            </w:r>
          </w:p>
        </w:tc>
      </w:tr>
      <w:tr w:rsidR="00E76212" w:rsidRPr="008C63ED" w14:paraId="257D2CB4" w14:textId="77777777" w:rsidTr="00D2560E">
        <w:trPr>
          <w:trHeight w:val="330"/>
        </w:trPr>
        <w:tc>
          <w:tcPr>
            <w:tcW w:w="6920" w:type="dxa"/>
            <w:gridSpan w:val="2"/>
            <w:tcBorders>
              <w:top w:val="nil"/>
              <w:left w:val="nil"/>
              <w:bottom w:val="single" w:sz="4" w:space="0" w:color="auto"/>
              <w:right w:val="nil"/>
            </w:tcBorders>
            <w:shd w:val="clear" w:color="auto" w:fill="auto"/>
            <w:vAlign w:val="center"/>
            <w:hideMark/>
          </w:tcPr>
          <w:p w14:paraId="5CF71F37"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Spolu</w:t>
            </w:r>
          </w:p>
        </w:tc>
        <w:tc>
          <w:tcPr>
            <w:tcW w:w="2152" w:type="dxa"/>
            <w:tcBorders>
              <w:top w:val="nil"/>
              <w:left w:val="nil"/>
              <w:bottom w:val="single" w:sz="4" w:space="0" w:color="auto"/>
              <w:right w:val="nil"/>
            </w:tcBorders>
            <w:shd w:val="clear" w:color="auto" w:fill="auto"/>
            <w:vAlign w:val="center"/>
            <w:hideMark/>
          </w:tcPr>
          <w:p w14:paraId="0F7563AA"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27</w:t>
            </w:r>
          </w:p>
        </w:tc>
      </w:tr>
      <w:tr w:rsidR="00E76212" w:rsidRPr="008C63ED" w14:paraId="781137AE" w14:textId="77777777" w:rsidTr="0035337C">
        <w:trPr>
          <w:trHeight w:val="330"/>
        </w:trPr>
        <w:tc>
          <w:tcPr>
            <w:tcW w:w="6920" w:type="dxa"/>
            <w:gridSpan w:val="2"/>
            <w:tcBorders>
              <w:top w:val="single" w:sz="4" w:space="0" w:color="auto"/>
              <w:left w:val="nil"/>
              <w:bottom w:val="single" w:sz="4" w:space="0" w:color="auto"/>
              <w:right w:val="nil"/>
            </w:tcBorders>
            <w:shd w:val="clear" w:color="auto" w:fill="auto"/>
            <w:vAlign w:val="center"/>
            <w:hideMark/>
          </w:tcPr>
          <w:p w14:paraId="4E28B4DB" w14:textId="77777777" w:rsidR="00E76212" w:rsidRPr="008C63ED" w:rsidRDefault="00E76212" w:rsidP="00181464">
            <w:pPr>
              <w:spacing w:after="0" w:line="240" w:lineRule="auto"/>
              <w:jc w:val="left"/>
              <w:rPr>
                <w:rFonts w:eastAsia="Times New Roman" w:cs="Times New Roman"/>
                <w:b/>
                <w:bCs/>
                <w:sz w:val="16"/>
                <w:szCs w:val="16"/>
                <w:lang w:eastAsia="sk-SK"/>
              </w:rPr>
            </w:pPr>
            <w:r w:rsidRPr="008C63ED">
              <w:rPr>
                <w:rFonts w:eastAsia="Times New Roman" w:cs="Times New Roman"/>
                <w:b/>
                <w:bCs/>
                <w:sz w:val="16"/>
                <w:szCs w:val="16"/>
                <w:lang w:eastAsia="sk-SK"/>
              </w:rPr>
              <w:t xml:space="preserve">Spolu celkom </w:t>
            </w:r>
          </w:p>
        </w:tc>
        <w:tc>
          <w:tcPr>
            <w:tcW w:w="2152" w:type="dxa"/>
            <w:tcBorders>
              <w:top w:val="nil"/>
              <w:left w:val="nil"/>
              <w:bottom w:val="single" w:sz="4" w:space="0" w:color="auto"/>
              <w:right w:val="nil"/>
            </w:tcBorders>
            <w:shd w:val="clear" w:color="auto" w:fill="auto"/>
            <w:vAlign w:val="center"/>
            <w:hideMark/>
          </w:tcPr>
          <w:p w14:paraId="0AAF09A2" w14:textId="77777777" w:rsidR="00E76212" w:rsidRPr="008C63ED" w:rsidRDefault="00E76212" w:rsidP="00D2560E">
            <w:pPr>
              <w:spacing w:after="0" w:line="240" w:lineRule="auto"/>
              <w:jc w:val="right"/>
              <w:rPr>
                <w:rFonts w:eastAsia="Times New Roman" w:cs="Times New Roman"/>
                <w:b/>
                <w:bCs/>
                <w:sz w:val="16"/>
                <w:szCs w:val="16"/>
                <w:lang w:eastAsia="sk-SK"/>
              </w:rPr>
            </w:pPr>
            <w:r w:rsidRPr="008C63ED">
              <w:rPr>
                <w:rFonts w:eastAsia="Times New Roman" w:cs="Times New Roman"/>
                <w:b/>
                <w:bCs/>
                <w:sz w:val="16"/>
                <w:szCs w:val="16"/>
                <w:lang w:eastAsia="sk-SK"/>
              </w:rPr>
              <w:t>235 255</w:t>
            </w:r>
          </w:p>
        </w:tc>
      </w:tr>
    </w:tbl>
    <w:p w14:paraId="128EFD28" w14:textId="1829396A" w:rsidR="00E76212" w:rsidRPr="0035337C" w:rsidRDefault="0035337C" w:rsidP="0035337C">
      <w:pPr>
        <w:jc w:val="right"/>
        <w:rPr>
          <w:sz w:val="18"/>
          <w:szCs w:val="18"/>
        </w:rPr>
      </w:pPr>
      <w:r w:rsidRPr="0035337C">
        <w:rPr>
          <w:sz w:val="18"/>
          <w:szCs w:val="18"/>
        </w:rPr>
        <w:t>Zdroj: MF SR</w:t>
      </w:r>
    </w:p>
    <w:p w14:paraId="1A0A2DAB" w14:textId="0FBA3096" w:rsidR="008254BE" w:rsidRDefault="008254BE" w:rsidP="00642B82">
      <w:pPr>
        <w:pStyle w:val="Nadpis2"/>
      </w:pPr>
      <w:bookmarkStart w:id="61" w:name="_Toc6415651"/>
      <w:bookmarkStart w:id="62" w:name="_Toc164846951"/>
      <w:r w:rsidRPr="00D63B64">
        <w:t>Štátne finančné aktíva</w:t>
      </w:r>
      <w:bookmarkEnd w:id="61"/>
      <w:bookmarkEnd w:id="62"/>
    </w:p>
    <w:p w14:paraId="1E49635B" w14:textId="3C58F5D1" w:rsidR="00F72D98" w:rsidRDefault="00F72D98" w:rsidP="00F72D98">
      <w:pPr>
        <w:spacing w:line="240" w:lineRule="auto"/>
        <w:rPr>
          <w:sz w:val="24"/>
          <w:szCs w:val="24"/>
        </w:rPr>
      </w:pPr>
      <w:r w:rsidRPr="00D715AF">
        <w:rPr>
          <w:sz w:val="24"/>
          <w:szCs w:val="24"/>
        </w:rPr>
        <w:t>Štátne finančné aktíva (ŠFA) rovnako ako aj štátne finančné pasíva</w:t>
      </w:r>
      <w:r w:rsidRPr="00D715AF">
        <w:rPr>
          <w:rStyle w:val="Odkaznapoznmkupodiarou"/>
          <w:sz w:val="24"/>
          <w:szCs w:val="24"/>
        </w:rPr>
        <w:footnoteReference w:id="32"/>
      </w:r>
      <w:r w:rsidRPr="00D715AF">
        <w:rPr>
          <w:sz w:val="24"/>
          <w:szCs w:val="24"/>
        </w:rPr>
        <w:t xml:space="preserve"> sú súčasťou návrhu štátneho rozpočtu verejnej správy na príslušný rok. Finančné operácie so štátnymi finančnými aktívami a iné operácie, ktoré ovplyvňujú stav štátnych finančných aktív, nie sú súčasťou príjmov štátneho rozpočtu a výdavkov štátneho rozpočtu. Správu štátnych finančných aktív vykonáva Ministerstvo financií SR, v rozsahu zá</w:t>
      </w:r>
      <w:r>
        <w:rPr>
          <w:sz w:val="24"/>
          <w:szCs w:val="24"/>
        </w:rPr>
        <w:t xml:space="preserve">kona o rozpočtových pravidlách, </w:t>
      </w:r>
      <w:r w:rsidRPr="00D715AF">
        <w:rPr>
          <w:sz w:val="24"/>
          <w:szCs w:val="24"/>
        </w:rPr>
        <w:t>pričom na niektoré transakcie sa vyžaduje súhlas</w:t>
      </w:r>
      <w:r w:rsidR="002B42D8">
        <w:rPr>
          <w:sz w:val="24"/>
          <w:szCs w:val="24"/>
        </w:rPr>
        <w:t xml:space="preserve"> vlády a na niektoré aj súhlas N</w:t>
      </w:r>
      <w:r w:rsidRPr="00D715AF">
        <w:rPr>
          <w:sz w:val="24"/>
          <w:szCs w:val="24"/>
        </w:rPr>
        <w:t>árodnej rady SR</w:t>
      </w:r>
      <w:r w:rsidRPr="00D715AF">
        <w:rPr>
          <w:rStyle w:val="Odkaznapoznmkupodiarou"/>
          <w:sz w:val="24"/>
          <w:szCs w:val="24"/>
        </w:rPr>
        <w:footnoteReference w:id="33"/>
      </w:r>
      <w:r w:rsidRPr="00D715AF">
        <w:rPr>
          <w:sz w:val="24"/>
          <w:szCs w:val="24"/>
        </w:rPr>
        <w:t>.</w:t>
      </w:r>
    </w:p>
    <w:p w14:paraId="336801B0" w14:textId="4176A32D" w:rsidR="00F72D98" w:rsidRPr="00D715AF" w:rsidRDefault="00F72D98" w:rsidP="00F72D98">
      <w:pPr>
        <w:spacing w:before="120" w:after="0" w:line="240" w:lineRule="auto"/>
        <w:contextualSpacing/>
        <w:rPr>
          <w:sz w:val="24"/>
          <w:szCs w:val="24"/>
        </w:rPr>
      </w:pPr>
      <w:r w:rsidRPr="00D715AF">
        <w:rPr>
          <w:sz w:val="24"/>
          <w:szCs w:val="24"/>
        </w:rPr>
        <w:t>Podľa zákona o rozpočtových pravidlách štátnymi finančnými aktívami</w:t>
      </w:r>
      <w:r w:rsidR="002B42D8" w:rsidRPr="002B42D8">
        <w:rPr>
          <w:sz w:val="24"/>
          <w:szCs w:val="24"/>
        </w:rPr>
        <w:t xml:space="preserve"> </w:t>
      </w:r>
      <w:r w:rsidR="002B42D8" w:rsidRPr="00D715AF">
        <w:rPr>
          <w:sz w:val="24"/>
          <w:szCs w:val="24"/>
        </w:rPr>
        <w:t>sú</w:t>
      </w:r>
      <w:r w:rsidRPr="00D715AF">
        <w:rPr>
          <w:sz w:val="24"/>
          <w:szCs w:val="24"/>
        </w:rPr>
        <w:t>:</w:t>
      </w:r>
    </w:p>
    <w:p w14:paraId="38158339" w14:textId="77777777" w:rsidR="00F72D98" w:rsidRPr="00D715AF" w:rsidRDefault="00F72D98" w:rsidP="00F72D98">
      <w:pPr>
        <w:pStyle w:val="Odsekzoznamu"/>
        <w:numPr>
          <w:ilvl w:val="0"/>
          <w:numId w:val="9"/>
        </w:numPr>
        <w:tabs>
          <w:tab w:val="left" w:pos="284"/>
        </w:tabs>
        <w:spacing w:after="120"/>
        <w:ind w:left="284" w:hanging="284"/>
        <w:jc w:val="both"/>
        <w:rPr>
          <w:rFonts w:ascii="Times New Roman" w:hAnsi="Times New Roman"/>
          <w:sz w:val="24"/>
          <w:szCs w:val="24"/>
        </w:rPr>
      </w:pPr>
      <w:r w:rsidRPr="00D715AF">
        <w:rPr>
          <w:rFonts w:ascii="Times New Roman" w:hAnsi="Times New Roman"/>
          <w:sz w:val="24"/>
          <w:szCs w:val="24"/>
        </w:rPr>
        <w:t>peňažné prostriedky štátu vytvorené z výsledkov rozpočtového hospodárenia štátneho rozpočtu z minulých rokov,</w:t>
      </w:r>
    </w:p>
    <w:p w14:paraId="2C57EF39" w14:textId="31995F8A" w:rsidR="00F72D98" w:rsidRPr="00D715AF" w:rsidRDefault="00F72D98" w:rsidP="00F72D98">
      <w:pPr>
        <w:pStyle w:val="Odsekzoznamu"/>
        <w:numPr>
          <w:ilvl w:val="0"/>
          <w:numId w:val="9"/>
        </w:numPr>
        <w:tabs>
          <w:tab w:val="left" w:pos="284"/>
        </w:tabs>
        <w:spacing w:after="120"/>
        <w:ind w:left="284" w:hanging="284"/>
        <w:jc w:val="both"/>
        <w:rPr>
          <w:rFonts w:ascii="Times New Roman" w:hAnsi="Times New Roman"/>
          <w:sz w:val="24"/>
          <w:szCs w:val="24"/>
        </w:rPr>
      </w:pPr>
      <w:r w:rsidRPr="00D715AF">
        <w:rPr>
          <w:rFonts w:ascii="Times New Roman" w:hAnsi="Times New Roman"/>
          <w:sz w:val="24"/>
          <w:szCs w:val="24"/>
        </w:rPr>
        <w:t xml:space="preserve">peňažné prostriedky štátu zo splácania istín poskytnutých návratných výpomocí, úverov </w:t>
      </w:r>
      <w:r>
        <w:rPr>
          <w:rFonts w:ascii="Times New Roman" w:hAnsi="Times New Roman"/>
          <w:sz w:val="24"/>
          <w:szCs w:val="24"/>
        </w:rPr>
        <w:t>a </w:t>
      </w:r>
      <w:r w:rsidRPr="00D715AF">
        <w:rPr>
          <w:rFonts w:ascii="Times New Roman" w:hAnsi="Times New Roman"/>
          <w:sz w:val="24"/>
          <w:szCs w:val="24"/>
        </w:rPr>
        <w:t>pôžičiek,</w:t>
      </w:r>
    </w:p>
    <w:p w14:paraId="448120D8" w14:textId="40541A72" w:rsidR="00F72D98" w:rsidRPr="00D715AF" w:rsidRDefault="00F72D98" w:rsidP="00F72D98">
      <w:pPr>
        <w:pStyle w:val="Odsekzoznamu"/>
        <w:numPr>
          <w:ilvl w:val="0"/>
          <w:numId w:val="9"/>
        </w:numPr>
        <w:tabs>
          <w:tab w:val="left" w:pos="284"/>
        </w:tabs>
        <w:spacing w:after="120"/>
        <w:ind w:left="284" w:hanging="284"/>
        <w:jc w:val="both"/>
        <w:rPr>
          <w:rFonts w:ascii="Times New Roman" w:hAnsi="Times New Roman"/>
          <w:sz w:val="24"/>
          <w:szCs w:val="24"/>
        </w:rPr>
      </w:pPr>
      <w:r w:rsidRPr="00D715AF">
        <w:rPr>
          <w:rFonts w:ascii="Times New Roman" w:hAnsi="Times New Roman"/>
          <w:sz w:val="24"/>
          <w:szCs w:val="24"/>
        </w:rPr>
        <w:t>peňažné prostriedky v pokladnici a na bežných účtoch štátnych rozpočtových organizácií a štátnych príspevkových organizácií a odvod za porušenie finančnej disciplíny pri nakladaní so štátnymi finančnými aktívami,</w:t>
      </w:r>
    </w:p>
    <w:p w14:paraId="28D5CEB8" w14:textId="77777777" w:rsidR="00F72D98" w:rsidRPr="00D715AF" w:rsidRDefault="00F72D98" w:rsidP="00F72D98">
      <w:pPr>
        <w:pStyle w:val="Odsekzoznamu"/>
        <w:numPr>
          <w:ilvl w:val="0"/>
          <w:numId w:val="9"/>
        </w:numPr>
        <w:tabs>
          <w:tab w:val="left" w:pos="284"/>
        </w:tabs>
        <w:spacing w:after="120"/>
        <w:ind w:left="0" w:firstLine="0"/>
        <w:jc w:val="both"/>
        <w:rPr>
          <w:rFonts w:ascii="Times New Roman" w:hAnsi="Times New Roman"/>
          <w:sz w:val="24"/>
          <w:szCs w:val="24"/>
        </w:rPr>
      </w:pPr>
      <w:r w:rsidRPr="00D715AF">
        <w:rPr>
          <w:rFonts w:ascii="Times New Roman" w:hAnsi="Times New Roman"/>
          <w:sz w:val="24"/>
          <w:szCs w:val="24"/>
        </w:rPr>
        <w:t>pohľadávky štátu z poskytnutých návratných finančných výpomocí, úverov a pôžičiek,</w:t>
      </w:r>
    </w:p>
    <w:p w14:paraId="2D6830ED" w14:textId="77777777" w:rsidR="00F72D98" w:rsidRPr="00D715AF" w:rsidRDefault="00F72D98" w:rsidP="00F72D98">
      <w:pPr>
        <w:pStyle w:val="Odsekzoznamu"/>
        <w:numPr>
          <w:ilvl w:val="0"/>
          <w:numId w:val="9"/>
        </w:numPr>
        <w:tabs>
          <w:tab w:val="left" w:pos="284"/>
        </w:tabs>
        <w:spacing w:after="120"/>
        <w:ind w:left="0" w:firstLine="0"/>
        <w:jc w:val="both"/>
        <w:rPr>
          <w:rFonts w:ascii="Times New Roman" w:hAnsi="Times New Roman"/>
          <w:sz w:val="24"/>
          <w:szCs w:val="24"/>
        </w:rPr>
      </w:pPr>
      <w:r w:rsidRPr="00D715AF">
        <w:rPr>
          <w:rFonts w:ascii="Times New Roman" w:hAnsi="Times New Roman"/>
          <w:sz w:val="24"/>
          <w:szCs w:val="24"/>
        </w:rPr>
        <w:t>cenné papiere vo vlastníctve štátu,</w:t>
      </w:r>
    </w:p>
    <w:p w14:paraId="1129C3E6" w14:textId="77777777" w:rsidR="00F72D98" w:rsidRPr="00D715AF" w:rsidRDefault="00F72D98" w:rsidP="00F72D98">
      <w:pPr>
        <w:pStyle w:val="Odsekzoznamu"/>
        <w:numPr>
          <w:ilvl w:val="0"/>
          <w:numId w:val="9"/>
        </w:numPr>
        <w:tabs>
          <w:tab w:val="left" w:pos="284"/>
        </w:tabs>
        <w:spacing w:after="120"/>
        <w:ind w:left="0" w:firstLine="0"/>
        <w:jc w:val="both"/>
        <w:rPr>
          <w:rFonts w:ascii="Times New Roman" w:hAnsi="Times New Roman"/>
          <w:sz w:val="24"/>
          <w:szCs w:val="24"/>
        </w:rPr>
      </w:pPr>
      <w:r w:rsidRPr="00D715AF">
        <w:rPr>
          <w:rFonts w:ascii="Times New Roman" w:hAnsi="Times New Roman"/>
          <w:sz w:val="24"/>
          <w:szCs w:val="24"/>
        </w:rPr>
        <w:t>majetkové účasti štátu,</w:t>
      </w:r>
    </w:p>
    <w:p w14:paraId="0A4D1331" w14:textId="77777777" w:rsidR="00F72D98" w:rsidRPr="00D715AF" w:rsidRDefault="00F72D98" w:rsidP="00F72D98">
      <w:pPr>
        <w:pStyle w:val="Odsekzoznamu"/>
        <w:numPr>
          <w:ilvl w:val="0"/>
          <w:numId w:val="9"/>
        </w:numPr>
        <w:tabs>
          <w:tab w:val="left" w:pos="284"/>
        </w:tabs>
        <w:spacing w:after="120"/>
        <w:ind w:left="0" w:firstLine="0"/>
        <w:jc w:val="both"/>
        <w:rPr>
          <w:rFonts w:ascii="Times New Roman" w:hAnsi="Times New Roman"/>
          <w:sz w:val="24"/>
          <w:szCs w:val="24"/>
        </w:rPr>
      </w:pPr>
      <w:r w:rsidRPr="00D715AF">
        <w:rPr>
          <w:rFonts w:ascii="Times New Roman" w:hAnsi="Times New Roman"/>
          <w:sz w:val="24"/>
          <w:szCs w:val="24"/>
        </w:rPr>
        <w:t>ďalšie peňažné prostriedky na základe rozhodnutia vlády alebo národnej rady.</w:t>
      </w:r>
    </w:p>
    <w:p w14:paraId="49E600F6" w14:textId="31052595" w:rsidR="00F72D98" w:rsidRDefault="00F72D98" w:rsidP="00F72D9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sz w:val="24"/>
          <w:szCs w:val="24"/>
        </w:rPr>
      </w:pPr>
      <w:r w:rsidRPr="00D715AF">
        <w:rPr>
          <w:sz w:val="24"/>
          <w:szCs w:val="24"/>
        </w:rPr>
        <w:t xml:space="preserve">Prostriedky ŠFA sú vedené na samostatných (bežných) účtoch v Štátnej pokladnici a ich zostatok prechádza vždy do nasledujúceho rozpočtového roka. Na účtoch ŠFA sa klasifikujú príjmy, výdavky </w:t>
      </w:r>
      <w:r w:rsidRPr="00CC1476">
        <w:rPr>
          <w:sz w:val="24"/>
          <w:szCs w:val="24"/>
        </w:rPr>
        <w:t>a fina</w:t>
      </w:r>
      <w:r>
        <w:rPr>
          <w:sz w:val="24"/>
          <w:szCs w:val="24"/>
        </w:rPr>
        <w:t>nčné operácie.</w:t>
      </w:r>
    </w:p>
    <w:p w14:paraId="17BFC61F" w14:textId="2BE36A67" w:rsidR="00F72D98" w:rsidRDefault="00F72D98" w:rsidP="00F72D9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sz w:val="24"/>
          <w:szCs w:val="24"/>
        </w:rPr>
      </w:pPr>
      <w:r w:rsidRPr="00351175">
        <w:rPr>
          <w:i/>
          <w:sz w:val="24"/>
          <w:szCs w:val="24"/>
        </w:rPr>
        <w:t>Do príjmov ŠFA</w:t>
      </w:r>
      <w:r w:rsidRPr="00CC1476">
        <w:rPr>
          <w:i/>
          <w:sz w:val="24"/>
          <w:szCs w:val="24"/>
        </w:rPr>
        <w:t xml:space="preserve"> patria</w:t>
      </w:r>
      <w:r w:rsidRPr="00CC1476">
        <w:rPr>
          <w:sz w:val="24"/>
          <w:szCs w:val="24"/>
        </w:rPr>
        <w:t xml:space="preserve"> napr. </w:t>
      </w:r>
      <w:r w:rsidR="00945410">
        <w:rPr>
          <w:sz w:val="24"/>
          <w:szCs w:val="24"/>
        </w:rPr>
        <w:t>splátky z poskytnutých návratných finančných v</w:t>
      </w:r>
      <w:r w:rsidR="00351175">
        <w:rPr>
          <w:sz w:val="24"/>
          <w:szCs w:val="24"/>
        </w:rPr>
        <w:t xml:space="preserve">ýpomocí </w:t>
      </w:r>
      <w:r w:rsidRPr="00CC1476">
        <w:rPr>
          <w:sz w:val="24"/>
          <w:szCs w:val="24"/>
        </w:rPr>
        <w:t>a</w:t>
      </w:r>
      <w:r w:rsidR="005F43DB">
        <w:rPr>
          <w:sz w:val="24"/>
          <w:szCs w:val="24"/>
        </w:rPr>
        <w:t xml:space="preserve"> </w:t>
      </w:r>
      <w:r w:rsidRPr="00CC1476">
        <w:rPr>
          <w:sz w:val="24"/>
          <w:szCs w:val="24"/>
        </w:rPr>
        <w:t>osobitný odvod z podnikania v regulovaných odvetviach</w:t>
      </w:r>
      <w:r w:rsidRPr="00D715AF">
        <w:rPr>
          <w:rStyle w:val="Odkaznapoznmkupodiarou"/>
          <w:sz w:val="24"/>
          <w:szCs w:val="24"/>
        </w:rPr>
        <w:footnoteReference w:id="34"/>
      </w:r>
      <w:r w:rsidR="00351175">
        <w:rPr>
          <w:sz w:val="24"/>
          <w:szCs w:val="24"/>
        </w:rPr>
        <w:t>, pri ktorom došlo ku koncu roka 2023 k výraznej legislatívnej zmene vzťahujúcej sa na presmerovanie príjmov do štátneho rozpočtu.</w:t>
      </w:r>
    </w:p>
    <w:p w14:paraId="33204431" w14:textId="77777777" w:rsidR="00F72D98" w:rsidRDefault="00F72D98" w:rsidP="00F72D9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sz w:val="24"/>
          <w:szCs w:val="24"/>
        </w:rPr>
      </w:pPr>
      <w:r w:rsidRPr="00D715AF">
        <w:rPr>
          <w:i/>
          <w:sz w:val="24"/>
          <w:szCs w:val="24"/>
        </w:rPr>
        <w:lastRenderedPageBreak/>
        <w:t>Ako výdavky sa klasifikujú</w:t>
      </w:r>
      <w:r w:rsidRPr="00D715AF">
        <w:rPr>
          <w:sz w:val="24"/>
          <w:szCs w:val="24"/>
        </w:rPr>
        <w:t xml:space="preserve"> napríklad kapitálové trans</w:t>
      </w:r>
      <w:r>
        <w:rPr>
          <w:sz w:val="24"/>
          <w:szCs w:val="24"/>
        </w:rPr>
        <w:t>fery do obchodných spoločností.</w:t>
      </w:r>
    </w:p>
    <w:p w14:paraId="77E4D6BA" w14:textId="77777777" w:rsidR="00F72D98" w:rsidRPr="00D715AF" w:rsidRDefault="00F72D98" w:rsidP="00F72D9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sz w:val="24"/>
          <w:szCs w:val="24"/>
        </w:rPr>
      </w:pPr>
      <w:r w:rsidRPr="00D715AF">
        <w:rPr>
          <w:sz w:val="24"/>
          <w:szCs w:val="24"/>
        </w:rPr>
        <w:t xml:space="preserve">Medzi </w:t>
      </w:r>
      <w:r w:rsidRPr="00D715AF">
        <w:rPr>
          <w:i/>
          <w:sz w:val="24"/>
          <w:szCs w:val="24"/>
        </w:rPr>
        <w:t>finančné operácie na strane výdavkov</w:t>
      </w:r>
      <w:r w:rsidRPr="00D715AF">
        <w:rPr>
          <w:sz w:val="24"/>
          <w:szCs w:val="24"/>
        </w:rPr>
        <w:t xml:space="preserve"> patrí poskytovanie návratných finančných výpomocí, úhrada podielov na základnom imaní zahraničných finančných inštitúcií (napríklad Európskej investičnej banky) a ďalšie transakcie. </w:t>
      </w:r>
      <w:r w:rsidRPr="00D715AF">
        <w:rPr>
          <w:i/>
          <w:sz w:val="24"/>
          <w:szCs w:val="24"/>
        </w:rPr>
        <w:t>Príjmové finančné operácie</w:t>
      </w:r>
      <w:r w:rsidRPr="00D715AF">
        <w:rPr>
          <w:sz w:val="24"/>
          <w:szCs w:val="24"/>
        </w:rPr>
        <w:t xml:space="preserve"> predstavujú najmä splátky istín poskytnutých návratných finančných výpomocí, úverov a pôžičiek.</w:t>
      </w:r>
    </w:p>
    <w:p w14:paraId="21D8FC6A" w14:textId="01676118" w:rsidR="00F72D98" w:rsidRDefault="00F72D98" w:rsidP="00F72D98">
      <w:pPr>
        <w:spacing w:before="120" w:line="240" w:lineRule="auto"/>
        <w:rPr>
          <w:sz w:val="24"/>
          <w:szCs w:val="24"/>
        </w:rPr>
      </w:pPr>
      <w:r w:rsidRPr="00D715AF">
        <w:rPr>
          <w:sz w:val="24"/>
          <w:szCs w:val="24"/>
        </w:rPr>
        <w:t>Nasledovný prehľad ŠFA abstrahuje od účtov, ktoré slúžia na operácie so štátnym dlhom. Odpočet plnenia ŠFA pod tabuľkou reflektuje na návrh rozpočtu verejnej správy na rok 202</w:t>
      </w:r>
      <w:r>
        <w:rPr>
          <w:sz w:val="24"/>
          <w:szCs w:val="24"/>
        </w:rPr>
        <w:t>3</w:t>
      </w:r>
      <w:r w:rsidRPr="00D715AF">
        <w:rPr>
          <w:sz w:val="24"/>
          <w:szCs w:val="24"/>
        </w:rPr>
        <w:t xml:space="preserve">. </w:t>
      </w:r>
    </w:p>
    <w:tbl>
      <w:tblPr>
        <w:tblW w:w="8852" w:type="dxa"/>
        <w:jc w:val="center"/>
        <w:tblCellMar>
          <w:left w:w="70" w:type="dxa"/>
          <w:right w:w="70" w:type="dxa"/>
        </w:tblCellMar>
        <w:tblLook w:val="04A0" w:firstRow="1" w:lastRow="0" w:firstColumn="1" w:lastColumn="0" w:noHBand="0" w:noVBand="1"/>
      </w:tblPr>
      <w:tblGrid>
        <w:gridCol w:w="5032"/>
        <w:gridCol w:w="1276"/>
        <w:gridCol w:w="1271"/>
        <w:gridCol w:w="1273"/>
      </w:tblGrid>
      <w:tr w:rsidR="00F72D98" w:rsidRPr="007D12A6" w14:paraId="6A2F4BA7" w14:textId="77777777" w:rsidTr="00F72D98">
        <w:trPr>
          <w:trHeight w:hRule="exact" w:val="284"/>
          <w:jc w:val="center"/>
        </w:trPr>
        <w:tc>
          <w:tcPr>
            <w:tcW w:w="8852" w:type="dxa"/>
            <w:gridSpan w:val="4"/>
            <w:tcBorders>
              <w:top w:val="nil"/>
              <w:left w:val="nil"/>
              <w:right w:val="nil"/>
            </w:tcBorders>
            <w:shd w:val="clear" w:color="auto" w:fill="auto"/>
            <w:noWrap/>
            <w:vAlign w:val="center"/>
          </w:tcPr>
          <w:p w14:paraId="4857C50C" w14:textId="7382ACFE" w:rsidR="00F72D98" w:rsidRPr="00244D68" w:rsidRDefault="00F72D98" w:rsidP="00622D4E">
            <w:pPr>
              <w:spacing w:after="0" w:line="240" w:lineRule="auto"/>
              <w:rPr>
                <w:b/>
                <w:bCs/>
                <w:sz w:val="20"/>
                <w:szCs w:val="20"/>
              </w:rPr>
            </w:pPr>
            <w:r w:rsidRPr="00244D68">
              <w:rPr>
                <w:rFonts w:eastAsia="Times New Roman" w:cs="Times New Roman"/>
                <w:b/>
                <w:bCs/>
                <w:color w:val="5B9BD5" w:themeColor="accent1"/>
                <w:sz w:val="20"/>
                <w:szCs w:val="20"/>
                <w:lang w:eastAsia="sk-SK"/>
              </w:rPr>
              <w:t xml:space="preserve">Tabuľka </w:t>
            </w:r>
            <w:r>
              <w:rPr>
                <w:rFonts w:eastAsia="Times New Roman" w:cs="Times New Roman"/>
                <w:b/>
                <w:bCs/>
                <w:color w:val="5B9BD5" w:themeColor="accent1"/>
                <w:sz w:val="20"/>
                <w:szCs w:val="20"/>
                <w:lang w:eastAsia="sk-SK"/>
              </w:rPr>
              <w:t>62 - Pohyb na v</w:t>
            </w:r>
            <w:r w:rsidRPr="00244D68">
              <w:rPr>
                <w:rFonts w:eastAsia="Times New Roman" w:cs="Times New Roman"/>
                <w:b/>
                <w:bCs/>
                <w:color w:val="5B9BD5" w:themeColor="accent1"/>
                <w:sz w:val="20"/>
                <w:szCs w:val="20"/>
                <w:lang w:eastAsia="sk-SK"/>
              </w:rPr>
              <w:t>ybran</w:t>
            </w:r>
            <w:r>
              <w:rPr>
                <w:rFonts w:eastAsia="Times New Roman" w:cs="Times New Roman"/>
                <w:b/>
                <w:bCs/>
                <w:color w:val="5B9BD5" w:themeColor="accent1"/>
                <w:sz w:val="20"/>
                <w:szCs w:val="20"/>
                <w:lang w:eastAsia="sk-SK"/>
              </w:rPr>
              <w:t>ých</w:t>
            </w:r>
            <w:r w:rsidRPr="00244D68">
              <w:rPr>
                <w:rFonts w:eastAsia="Times New Roman" w:cs="Times New Roman"/>
                <w:b/>
                <w:bCs/>
                <w:color w:val="5B9BD5" w:themeColor="accent1"/>
                <w:sz w:val="20"/>
                <w:szCs w:val="20"/>
                <w:lang w:eastAsia="sk-SK"/>
              </w:rPr>
              <w:t xml:space="preserve"> účt</w:t>
            </w:r>
            <w:r>
              <w:rPr>
                <w:rFonts w:eastAsia="Times New Roman" w:cs="Times New Roman"/>
                <w:b/>
                <w:bCs/>
                <w:color w:val="5B9BD5" w:themeColor="accent1"/>
                <w:sz w:val="20"/>
                <w:szCs w:val="20"/>
                <w:lang w:eastAsia="sk-SK"/>
              </w:rPr>
              <w:t>och</w:t>
            </w:r>
            <w:r w:rsidR="00622D4E">
              <w:rPr>
                <w:rFonts w:eastAsia="Times New Roman" w:cs="Times New Roman"/>
                <w:b/>
                <w:bCs/>
                <w:color w:val="5B9BD5" w:themeColor="accent1"/>
                <w:sz w:val="20"/>
                <w:szCs w:val="20"/>
                <w:lang w:eastAsia="sk-SK"/>
              </w:rPr>
              <w:t xml:space="preserve"> štátnych finančných aktív</w:t>
            </w:r>
          </w:p>
        </w:tc>
      </w:tr>
      <w:tr w:rsidR="00F72D98" w:rsidRPr="007D12A6" w14:paraId="0452DCAF" w14:textId="77777777" w:rsidTr="00F72D98">
        <w:trPr>
          <w:trHeight w:hRule="exact" w:val="284"/>
          <w:jc w:val="center"/>
        </w:trPr>
        <w:tc>
          <w:tcPr>
            <w:tcW w:w="5032" w:type="dxa"/>
            <w:tcBorders>
              <w:top w:val="nil"/>
              <w:left w:val="nil"/>
              <w:bottom w:val="single" w:sz="4" w:space="0" w:color="auto"/>
              <w:right w:val="nil"/>
            </w:tcBorders>
            <w:shd w:val="clear" w:color="auto" w:fill="auto"/>
            <w:noWrap/>
            <w:vAlign w:val="center"/>
          </w:tcPr>
          <w:p w14:paraId="33762DE5" w14:textId="3BA97083" w:rsidR="00F72D98" w:rsidRPr="00AF18DB" w:rsidRDefault="00F72D98" w:rsidP="00F72D98">
            <w:pPr>
              <w:spacing w:after="0" w:line="240" w:lineRule="auto"/>
              <w:rPr>
                <w:b/>
                <w:sz w:val="18"/>
                <w:szCs w:val="18"/>
              </w:rPr>
            </w:pPr>
            <w:r w:rsidRPr="00AF18DB">
              <w:rPr>
                <w:b/>
                <w:sz w:val="18"/>
                <w:szCs w:val="18"/>
              </w:rPr>
              <w:t>v tis. eur</w:t>
            </w:r>
          </w:p>
        </w:tc>
        <w:tc>
          <w:tcPr>
            <w:tcW w:w="1276" w:type="dxa"/>
            <w:tcBorders>
              <w:top w:val="nil"/>
              <w:left w:val="nil"/>
              <w:bottom w:val="single" w:sz="4" w:space="0" w:color="auto"/>
              <w:right w:val="nil"/>
            </w:tcBorders>
            <w:shd w:val="clear" w:color="auto" w:fill="auto"/>
            <w:noWrap/>
            <w:vAlign w:val="center"/>
          </w:tcPr>
          <w:p w14:paraId="57CB7711" w14:textId="77777777" w:rsidR="00F72D98" w:rsidRPr="00BE6F66" w:rsidRDefault="00F72D98" w:rsidP="00F72D98">
            <w:pPr>
              <w:spacing w:after="0" w:line="240" w:lineRule="auto"/>
              <w:jc w:val="right"/>
              <w:rPr>
                <w:b/>
                <w:bCs/>
                <w:sz w:val="18"/>
                <w:szCs w:val="18"/>
              </w:rPr>
            </w:pPr>
            <w:r w:rsidRPr="00BE6F66">
              <w:rPr>
                <w:b/>
                <w:bCs/>
                <w:sz w:val="18"/>
                <w:szCs w:val="18"/>
              </w:rPr>
              <w:t>202</w:t>
            </w:r>
            <w:r>
              <w:rPr>
                <w:b/>
                <w:bCs/>
                <w:sz w:val="18"/>
                <w:szCs w:val="18"/>
              </w:rPr>
              <w:t>1 S</w:t>
            </w:r>
          </w:p>
        </w:tc>
        <w:tc>
          <w:tcPr>
            <w:tcW w:w="1271" w:type="dxa"/>
            <w:tcBorders>
              <w:top w:val="nil"/>
              <w:left w:val="nil"/>
              <w:bottom w:val="single" w:sz="4" w:space="0" w:color="auto"/>
              <w:right w:val="nil"/>
            </w:tcBorders>
            <w:shd w:val="clear" w:color="auto" w:fill="auto"/>
            <w:noWrap/>
            <w:vAlign w:val="center"/>
          </w:tcPr>
          <w:p w14:paraId="33A3AEF4" w14:textId="77777777" w:rsidR="00F72D98" w:rsidRPr="00BE6F66" w:rsidRDefault="00F72D98" w:rsidP="00F72D98">
            <w:pPr>
              <w:spacing w:after="0" w:line="240" w:lineRule="auto"/>
              <w:jc w:val="right"/>
              <w:rPr>
                <w:b/>
                <w:bCs/>
                <w:sz w:val="18"/>
                <w:szCs w:val="18"/>
              </w:rPr>
            </w:pPr>
            <w:r w:rsidRPr="00BE6F66">
              <w:rPr>
                <w:b/>
                <w:bCs/>
                <w:sz w:val="18"/>
                <w:szCs w:val="18"/>
              </w:rPr>
              <w:t>202</w:t>
            </w:r>
            <w:r>
              <w:rPr>
                <w:b/>
                <w:bCs/>
                <w:sz w:val="18"/>
                <w:szCs w:val="18"/>
              </w:rPr>
              <w:t>2 S</w:t>
            </w:r>
          </w:p>
        </w:tc>
        <w:tc>
          <w:tcPr>
            <w:tcW w:w="1273" w:type="dxa"/>
            <w:tcBorders>
              <w:top w:val="nil"/>
              <w:left w:val="nil"/>
              <w:bottom w:val="single" w:sz="4" w:space="0" w:color="auto"/>
              <w:right w:val="nil"/>
            </w:tcBorders>
            <w:shd w:val="clear" w:color="auto" w:fill="auto"/>
            <w:noWrap/>
            <w:vAlign w:val="center"/>
          </w:tcPr>
          <w:p w14:paraId="297B9012" w14:textId="77777777" w:rsidR="00F72D98" w:rsidRPr="00BE6F66" w:rsidRDefault="00F72D98" w:rsidP="00F72D98">
            <w:pPr>
              <w:spacing w:after="0" w:line="240" w:lineRule="auto"/>
              <w:jc w:val="right"/>
              <w:rPr>
                <w:b/>
                <w:bCs/>
                <w:sz w:val="18"/>
                <w:szCs w:val="18"/>
              </w:rPr>
            </w:pPr>
            <w:r w:rsidRPr="00BE6F66">
              <w:rPr>
                <w:b/>
                <w:bCs/>
                <w:sz w:val="18"/>
                <w:szCs w:val="18"/>
              </w:rPr>
              <w:t>202</w:t>
            </w:r>
            <w:r>
              <w:rPr>
                <w:b/>
                <w:bCs/>
                <w:sz w:val="18"/>
                <w:szCs w:val="18"/>
              </w:rPr>
              <w:t>3 S</w:t>
            </w:r>
          </w:p>
        </w:tc>
      </w:tr>
      <w:tr w:rsidR="00F72D98" w:rsidRPr="002D24FD" w14:paraId="32B98C32" w14:textId="77777777" w:rsidTr="00F72D98">
        <w:trPr>
          <w:trHeight w:hRule="exact" w:val="284"/>
          <w:jc w:val="center"/>
        </w:trPr>
        <w:tc>
          <w:tcPr>
            <w:tcW w:w="5032" w:type="dxa"/>
            <w:tcBorders>
              <w:top w:val="single" w:sz="4" w:space="0" w:color="auto"/>
              <w:left w:val="nil"/>
              <w:right w:val="nil"/>
            </w:tcBorders>
            <w:noWrap/>
            <w:vAlign w:val="center"/>
          </w:tcPr>
          <w:p w14:paraId="79E8C664" w14:textId="77777777" w:rsidR="00F72D98" w:rsidRPr="007D12A6" w:rsidRDefault="00F72D98" w:rsidP="00F72D98">
            <w:pPr>
              <w:spacing w:after="0" w:line="240" w:lineRule="auto"/>
              <w:rPr>
                <w:b/>
                <w:color w:val="000000"/>
                <w:sz w:val="18"/>
                <w:szCs w:val="18"/>
              </w:rPr>
            </w:pPr>
            <w:r w:rsidRPr="007D12A6">
              <w:rPr>
                <w:b/>
                <w:color w:val="000000"/>
                <w:sz w:val="18"/>
                <w:szCs w:val="18"/>
              </w:rPr>
              <w:t>Stav k 1.1.</w:t>
            </w:r>
          </w:p>
        </w:tc>
        <w:tc>
          <w:tcPr>
            <w:tcW w:w="1276" w:type="dxa"/>
            <w:tcBorders>
              <w:top w:val="single" w:sz="4" w:space="0" w:color="auto"/>
              <w:left w:val="nil"/>
              <w:right w:val="nil"/>
            </w:tcBorders>
            <w:noWrap/>
            <w:vAlign w:val="center"/>
          </w:tcPr>
          <w:p w14:paraId="720FD998" w14:textId="77777777" w:rsidR="00F72D98" w:rsidRPr="007D12A6" w:rsidRDefault="00F72D98" w:rsidP="00F72D98">
            <w:pPr>
              <w:spacing w:after="0" w:line="240" w:lineRule="auto"/>
              <w:jc w:val="right"/>
              <w:rPr>
                <w:b/>
                <w:color w:val="000000"/>
                <w:sz w:val="18"/>
                <w:szCs w:val="18"/>
              </w:rPr>
            </w:pPr>
            <w:r>
              <w:rPr>
                <w:b/>
                <w:color w:val="000000"/>
                <w:sz w:val="18"/>
                <w:szCs w:val="18"/>
              </w:rPr>
              <w:t>3 354 465</w:t>
            </w:r>
          </w:p>
        </w:tc>
        <w:tc>
          <w:tcPr>
            <w:tcW w:w="1271" w:type="dxa"/>
            <w:tcBorders>
              <w:top w:val="single" w:sz="4" w:space="0" w:color="auto"/>
              <w:left w:val="nil"/>
              <w:right w:val="nil"/>
            </w:tcBorders>
            <w:noWrap/>
            <w:vAlign w:val="center"/>
          </w:tcPr>
          <w:p w14:paraId="651B9261" w14:textId="77777777" w:rsidR="00F72D98" w:rsidRPr="007D12A6" w:rsidRDefault="00F72D98" w:rsidP="00F72D98">
            <w:pPr>
              <w:spacing w:after="0" w:line="240" w:lineRule="auto"/>
              <w:jc w:val="right"/>
              <w:rPr>
                <w:b/>
                <w:color w:val="000000"/>
                <w:sz w:val="18"/>
                <w:szCs w:val="18"/>
              </w:rPr>
            </w:pPr>
            <w:r>
              <w:rPr>
                <w:b/>
                <w:color w:val="000000"/>
                <w:sz w:val="18"/>
                <w:szCs w:val="18"/>
              </w:rPr>
              <w:t>3 419 084</w:t>
            </w:r>
          </w:p>
        </w:tc>
        <w:tc>
          <w:tcPr>
            <w:tcW w:w="1273" w:type="dxa"/>
            <w:tcBorders>
              <w:top w:val="single" w:sz="4" w:space="0" w:color="auto"/>
              <w:left w:val="nil"/>
              <w:right w:val="nil"/>
            </w:tcBorders>
            <w:shd w:val="clear" w:color="auto" w:fill="auto"/>
            <w:noWrap/>
            <w:vAlign w:val="center"/>
          </w:tcPr>
          <w:p w14:paraId="6DCB7E4F" w14:textId="77777777" w:rsidR="00F72D98" w:rsidRDefault="00F72D98" w:rsidP="00F72D98">
            <w:pPr>
              <w:spacing w:after="0" w:line="240" w:lineRule="auto"/>
              <w:jc w:val="right"/>
              <w:rPr>
                <w:b/>
                <w:bCs/>
                <w:sz w:val="18"/>
                <w:szCs w:val="18"/>
              </w:rPr>
            </w:pPr>
            <w:r>
              <w:rPr>
                <w:b/>
                <w:bCs/>
                <w:sz w:val="18"/>
                <w:szCs w:val="18"/>
              </w:rPr>
              <w:t>3 196 933</w:t>
            </w:r>
          </w:p>
        </w:tc>
      </w:tr>
      <w:tr w:rsidR="00F72D98" w:rsidRPr="00E82FD3" w14:paraId="505EA85C" w14:textId="77777777" w:rsidTr="00F72D98">
        <w:trPr>
          <w:trHeight w:hRule="exact" w:val="284"/>
          <w:jc w:val="center"/>
        </w:trPr>
        <w:tc>
          <w:tcPr>
            <w:tcW w:w="5032" w:type="dxa"/>
            <w:tcBorders>
              <w:top w:val="single" w:sz="4" w:space="0" w:color="auto"/>
              <w:left w:val="nil"/>
              <w:right w:val="nil"/>
            </w:tcBorders>
            <w:noWrap/>
            <w:vAlign w:val="center"/>
          </w:tcPr>
          <w:p w14:paraId="1344186F" w14:textId="2E61F496" w:rsidR="00F72D98" w:rsidRPr="007D12A6" w:rsidRDefault="00F72D98" w:rsidP="00F72D98">
            <w:pPr>
              <w:spacing w:after="0" w:line="240" w:lineRule="auto"/>
              <w:rPr>
                <w:b/>
                <w:color w:val="000000"/>
                <w:sz w:val="18"/>
                <w:szCs w:val="18"/>
              </w:rPr>
            </w:pPr>
            <w:r>
              <w:rPr>
                <w:b/>
                <w:color w:val="000000"/>
                <w:sz w:val="18"/>
                <w:szCs w:val="18"/>
              </w:rPr>
              <w:t>Príjmy -</w:t>
            </w:r>
            <w:r w:rsidRPr="007D12A6">
              <w:rPr>
                <w:b/>
                <w:color w:val="000000"/>
                <w:sz w:val="18"/>
                <w:szCs w:val="18"/>
              </w:rPr>
              <w:t xml:space="preserve"> </w:t>
            </w:r>
            <w:r>
              <w:rPr>
                <w:b/>
                <w:color w:val="000000"/>
                <w:sz w:val="18"/>
                <w:szCs w:val="18"/>
              </w:rPr>
              <w:t>zvýšenie</w:t>
            </w:r>
            <w:r w:rsidRPr="007D12A6">
              <w:rPr>
                <w:b/>
                <w:color w:val="000000"/>
                <w:sz w:val="18"/>
                <w:szCs w:val="18"/>
              </w:rPr>
              <w:t xml:space="preserve"> </w:t>
            </w:r>
            <w:r w:rsidR="00D55611">
              <w:rPr>
                <w:b/>
                <w:color w:val="000000"/>
                <w:sz w:val="18"/>
                <w:szCs w:val="18"/>
              </w:rPr>
              <w:t xml:space="preserve">na účtoch </w:t>
            </w:r>
            <w:r w:rsidRPr="007D12A6">
              <w:rPr>
                <w:b/>
                <w:color w:val="000000"/>
                <w:sz w:val="18"/>
                <w:szCs w:val="18"/>
              </w:rPr>
              <w:t>ŠFA</w:t>
            </w:r>
          </w:p>
          <w:p w14:paraId="366A0BA1" w14:textId="77777777" w:rsidR="00F72D98" w:rsidRPr="007D12A6" w:rsidRDefault="00F72D98" w:rsidP="00F72D98">
            <w:pPr>
              <w:spacing w:after="0" w:line="240" w:lineRule="auto"/>
              <w:rPr>
                <w:b/>
                <w:color w:val="000000"/>
                <w:sz w:val="18"/>
                <w:szCs w:val="18"/>
              </w:rPr>
            </w:pPr>
          </w:p>
        </w:tc>
        <w:tc>
          <w:tcPr>
            <w:tcW w:w="1276" w:type="dxa"/>
            <w:tcBorders>
              <w:top w:val="single" w:sz="4" w:space="0" w:color="auto"/>
              <w:left w:val="nil"/>
              <w:right w:val="nil"/>
            </w:tcBorders>
            <w:noWrap/>
            <w:vAlign w:val="center"/>
          </w:tcPr>
          <w:p w14:paraId="1D4CE6E6" w14:textId="77777777" w:rsidR="00F72D98" w:rsidRPr="007D12A6" w:rsidRDefault="00F72D98" w:rsidP="00F72D98">
            <w:pPr>
              <w:spacing w:after="0" w:line="240" w:lineRule="auto"/>
              <w:jc w:val="right"/>
              <w:rPr>
                <w:b/>
                <w:color w:val="000000"/>
                <w:sz w:val="18"/>
                <w:szCs w:val="18"/>
              </w:rPr>
            </w:pPr>
            <w:r>
              <w:rPr>
                <w:b/>
                <w:color w:val="000000"/>
                <w:sz w:val="18"/>
                <w:szCs w:val="18"/>
              </w:rPr>
              <w:t>302 072</w:t>
            </w:r>
          </w:p>
        </w:tc>
        <w:tc>
          <w:tcPr>
            <w:tcW w:w="1271" w:type="dxa"/>
            <w:tcBorders>
              <w:top w:val="single" w:sz="4" w:space="0" w:color="auto"/>
              <w:left w:val="nil"/>
              <w:right w:val="nil"/>
            </w:tcBorders>
            <w:noWrap/>
            <w:vAlign w:val="center"/>
          </w:tcPr>
          <w:p w14:paraId="2A42BD01" w14:textId="77777777" w:rsidR="00F72D98" w:rsidRPr="007D12A6" w:rsidRDefault="00F72D98" w:rsidP="00F72D98">
            <w:pPr>
              <w:spacing w:after="0" w:line="240" w:lineRule="auto"/>
              <w:jc w:val="right"/>
              <w:rPr>
                <w:b/>
                <w:color w:val="000000"/>
                <w:sz w:val="18"/>
                <w:szCs w:val="18"/>
              </w:rPr>
            </w:pPr>
            <w:r>
              <w:rPr>
                <w:b/>
                <w:color w:val="000000"/>
                <w:sz w:val="18"/>
                <w:szCs w:val="18"/>
              </w:rPr>
              <w:t>1 056 782</w:t>
            </w:r>
          </w:p>
        </w:tc>
        <w:tc>
          <w:tcPr>
            <w:tcW w:w="1273" w:type="dxa"/>
            <w:tcBorders>
              <w:top w:val="single" w:sz="4" w:space="0" w:color="auto"/>
              <w:left w:val="nil"/>
              <w:right w:val="nil"/>
            </w:tcBorders>
            <w:shd w:val="clear" w:color="auto" w:fill="auto"/>
            <w:noWrap/>
            <w:vAlign w:val="center"/>
          </w:tcPr>
          <w:p w14:paraId="5D5992B9" w14:textId="77777777" w:rsidR="00F72D98" w:rsidRPr="00846C8A" w:rsidRDefault="00F72D98" w:rsidP="00F72D98">
            <w:pPr>
              <w:spacing w:after="0" w:line="240" w:lineRule="auto"/>
              <w:jc w:val="right"/>
              <w:rPr>
                <w:b/>
                <w:color w:val="000000"/>
                <w:sz w:val="18"/>
                <w:szCs w:val="18"/>
              </w:rPr>
            </w:pPr>
            <w:r w:rsidRPr="00846C8A">
              <w:rPr>
                <w:b/>
                <w:color w:val="000000"/>
                <w:sz w:val="18"/>
                <w:szCs w:val="18"/>
              </w:rPr>
              <w:t>167 155</w:t>
            </w:r>
          </w:p>
        </w:tc>
      </w:tr>
      <w:tr w:rsidR="00F72D98" w:rsidRPr="002D24FD" w14:paraId="3EC19FFD" w14:textId="77777777" w:rsidTr="00F72D98">
        <w:trPr>
          <w:trHeight w:hRule="exact" w:val="284"/>
          <w:jc w:val="center"/>
        </w:trPr>
        <w:tc>
          <w:tcPr>
            <w:tcW w:w="5032" w:type="dxa"/>
            <w:tcBorders>
              <w:top w:val="nil"/>
              <w:left w:val="nil"/>
              <w:right w:val="nil"/>
            </w:tcBorders>
            <w:noWrap/>
            <w:vAlign w:val="center"/>
          </w:tcPr>
          <w:p w14:paraId="5A6DB380" w14:textId="77777777" w:rsidR="00F72D98" w:rsidRPr="007D12A6" w:rsidRDefault="00F72D98" w:rsidP="00F72D98">
            <w:pPr>
              <w:spacing w:after="0" w:line="240" w:lineRule="auto"/>
              <w:rPr>
                <w:color w:val="000000"/>
                <w:sz w:val="18"/>
                <w:szCs w:val="18"/>
              </w:rPr>
            </w:pPr>
            <w:r w:rsidRPr="007D12A6">
              <w:rPr>
                <w:color w:val="000000"/>
                <w:sz w:val="18"/>
                <w:szCs w:val="18"/>
              </w:rPr>
              <w:t>z toho:</w:t>
            </w:r>
          </w:p>
        </w:tc>
        <w:tc>
          <w:tcPr>
            <w:tcW w:w="1276" w:type="dxa"/>
            <w:tcBorders>
              <w:top w:val="nil"/>
              <w:left w:val="nil"/>
              <w:right w:val="nil"/>
            </w:tcBorders>
            <w:noWrap/>
            <w:vAlign w:val="center"/>
          </w:tcPr>
          <w:p w14:paraId="3D8C2CC9" w14:textId="77777777" w:rsidR="00F72D98" w:rsidRPr="007D12A6" w:rsidRDefault="00F72D98" w:rsidP="00F72D98">
            <w:pPr>
              <w:spacing w:after="0" w:line="240" w:lineRule="auto"/>
              <w:jc w:val="right"/>
              <w:rPr>
                <w:color w:val="000000"/>
                <w:sz w:val="18"/>
                <w:szCs w:val="18"/>
              </w:rPr>
            </w:pPr>
          </w:p>
        </w:tc>
        <w:tc>
          <w:tcPr>
            <w:tcW w:w="1271" w:type="dxa"/>
            <w:tcBorders>
              <w:top w:val="nil"/>
              <w:left w:val="nil"/>
              <w:right w:val="nil"/>
            </w:tcBorders>
            <w:noWrap/>
            <w:vAlign w:val="center"/>
          </w:tcPr>
          <w:p w14:paraId="459EFB74" w14:textId="77777777" w:rsidR="00F72D98" w:rsidRPr="007D12A6" w:rsidRDefault="00F72D98" w:rsidP="00F72D98">
            <w:pPr>
              <w:spacing w:after="0" w:line="240" w:lineRule="auto"/>
              <w:jc w:val="right"/>
              <w:rPr>
                <w:color w:val="000000"/>
                <w:sz w:val="18"/>
                <w:szCs w:val="18"/>
              </w:rPr>
            </w:pPr>
          </w:p>
        </w:tc>
        <w:tc>
          <w:tcPr>
            <w:tcW w:w="1273" w:type="dxa"/>
            <w:tcBorders>
              <w:top w:val="nil"/>
              <w:left w:val="nil"/>
              <w:right w:val="nil"/>
            </w:tcBorders>
            <w:shd w:val="clear" w:color="auto" w:fill="auto"/>
            <w:noWrap/>
            <w:vAlign w:val="center"/>
          </w:tcPr>
          <w:p w14:paraId="7F216236" w14:textId="77777777" w:rsidR="00F72D98" w:rsidRPr="00846C8A" w:rsidRDefault="00F72D98" w:rsidP="00F72D98">
            <w:pPr>
              <w:spacing w:after="0" w:line="240" w:lineRule="auto"/>
              <w:jc w:val="right"/>
              <w:rPr>
                <w:color w:val="000000"/>
                <w:sz w:val="18"/>
                <w:szCs w:val="18"/>
              </w:rPr>
            </w:pPr>
          </w:p>
        </w:tc>
      </w:tr>
      <w:tr w:rsidR="00F72D98" w:rsidRPr="002D24FD" w14:paraId="1B8E700F" w14:textId="77777777" w:rsidTr="00F72D98">
        <w:trPr>
          <w:trHeight w:hRule="exact" w:val="284"/>
          <w:jc w:val="center"/>
        </w:trPr>
        <w:tc>
          <w:tcPr>
            <w:tcW w:w="5032" w:type="dxa"/>
            <w:tcBorders>
              <w:left w:val="nil"/>
              <w:right w:val="nil"/>
            </w:tcBorders>
            <w:noWrap/>
            <w:vAlign w:val="center"/>
          </w:tcPr>
          <w:p w14:paraId="252375D1" w14:textId="77777777" w:rsidR="00F72D98" w:rsidRPr="007D12A6" w:rsidRDefault="00F72D98" w:rsidP="00F72D98">
            <w:pPr>
              <w:spacing w:after="0" w:line="240" w:lineRule="auto"/>
              <w:rPr>
                <w:color w:val="000000"/>
                <w:sz w:val="18"/>
                <w:szCs w:val="18"/>
              </w:rPr>
            </w:pPr>
            <w:r w:rsidRPr="007D12A6">
              <w:rPr>
                <w:color w:val="000000"/>
                <w:sz w:val="18"/>
                <w:szCs w:val="18"/>
              </w:rPr>
              <w:t xml:space="preserve">   účelové prostriedky z FNM/MH Manažment, </w:t>
            </w:r>
            <w:proofErr w:type="spellStart"/>
            <w:r w:rsidRPr="007D12A6">
              <w:rPr>
                <w:color w:val="000000"/>
                <w:sz w:val="18"/>
                <w:szCs w:val="18"/>
              </w:rPr>
              <w:t>a.s</w:t>
            </w:r>
            <w:proofErr w:type="spellEnd"/>
            <w:r w:rsidRPr="007D12A6">
              <w:rPr>
                <w:color w:val="000000"/>
                <w:sz w:val="18"/>
                <w:szCs w:val="18"/>
              </w:rPr>
              <w:t>.</w:t>
            </w:r>
          </w:p>
        </w:tc>
        <w:tc>
          <w:tcPr>
            <w:tcW w:w="1276" w:type="dxa"/>
            <w:tcBorders>
              <w:left w:val="nil"/>
              <w:right w:val="nil"/>
            </w:tcBorders>
            <w:noWrap/>
            <w:vAlign w:val="center"/>
          </w:tcPr>
          <w:p w14:paraId="5C6BA2A6" w14:textId="77777777" w:rsidR="00F72D98" w:rsidRPr="007D12A6" w:rsidRDefault="00F72D98" w:rsidP="00F72D98">
            <w:pPr>
              <w:spacing w:after="0" w:line="240" w:lineRule="auto"/>
              <w:jc w:val="right"/>
              <w:rPr>
                <w:color w:val="000000"/>
                <w:sz w:val="18"/>
                <w:szCs w:val="18"/>
              </w:rPr>
            </w:pPr>
            <w:r>
              <w:rPr>
                <w:color w:val="000000"/>
                <w:sz w:val="18"/>
                <w:szCs w:val="18"/>
              </w:rPr>
              <w:t>321</w:t>
            </w:r>
          </w:p>
        </w:tc>
        <w:tc>
          <w:tcPr>
            <w:tcW w:w="1271" w:type="dxa"/>
            <w:tcBorders>
              <w:left w:val="nil"/>
              <w:right w:val="nil"/>
            </w:tcBorders>
            <w:noWrap/>
            <w:vAlign w:val="center"/>
          </w:tcPr>
          <w:p w14:paraId="284B9E56" w14:textId="77777777" w:rsidR="00F72D98" w:rsidRPr="007D12A6" w:rsidRDefault="00F72D98" w:rsidP="00F72D98">
            <w:pPr>
              <w:spacing w:after="0" w:line="240" w:lineRule="auto"/>
              <w:jc w:val="right"/>
              <w:rPr>
                <w:color w:val="000000"/>
                <w:sz w:val="18"/>
                <w:szCs w:val="18"/>
              </w:rPr>
            </w:pPr>
            <w:r>
              <w:rPr>
                <w:color w:val="000000"/>
                <w:sz w:val="18"/>
                <w:szCs w:val="18"/>
              </w:rPr>
              <w:t>414 925</w:t>
            </w:r>
          </w:p>
        </w:tc>
        <w:tc>
          <w:tcPr>
            <w:tcW w:w="1273" w:type="dxa"/>
            <w:tcBorders>
              <w:left w:val="nil"/>
              <w:right w:val="nil"/>
            </w:tcBorders>
            <w:shd w:val="clear" w:color="auto" w:fill="auto"/>
            <w:noWrap/>
            <w:vAlign w:val="center"/>
          </w:tcPr>
          <w:p w14:paraId="78060F86" w14:textId="77777777" w:rsidR="00F72D98" w:rsidRPr="00846C8A" w:rsidRDefault="00F72D98" w:rsidP="00F72D98">
            <w:pPr>
              <w:spacing w:after="0" w:line="240" w:lineRule="auto"/>
              <w:jc w:val="right"/>
              <w:rPr>
                <w:color w:val="000000"/>
                <w:sz w:val="18"/>
                <w:szCs w:val="18"/>
              </w:rPr>
            </w:pPr>
            <w:r w:rsidRPr="00846C8A">
              <w:rPr>
                <w:color w:val="000000"/>
                <w:sz w:val="18"/>
                <w:szCs w:val="18"/>
              </w:rPr>
              <w:t>1 571</w:t>
            </w:r>
          </w:p>
        </w:tc>
      </w:tr>
      <w:tr w:rsidR="00F72D98" w:rsidRPr="002D24FD" w14:paraId="614F8B5A" w14:textId="77777777" w:rsidTr="00F72D98">
        <w:trPr>
          <w:trHeight w:hRule="exact" w:val="284"/>
          <w:jc w:val="center"/>
        </w:trPr>
        <w:tc>
          <w:tcPr>
            <w:tcW w:w="5032" w:type="dxa"/>
            <w:tcBorders>
              <w:top w:val="nil"/>
              <w:left w:val="nil"/>
              <w:right w:val="nil"/>
            </w:tcBorders>
            <w:noWrap/>
            <w:vAlign w:val="center"/>
          </w:tcPr>
          <w:p w14:paraId="426DA3F9" w14:textId="77777777" w:rsidR="00F72D98" w:rsidRPr="007D12A6" w:rsidRDefault="00F72D98" w:rsidP="00F72D98">
            <w:pPr>
              <w:spacing w:after="0" w:line="240" w:lineRule="auto"/>
              <w:rPr>
                <w:color w:val="000000"/>
                <w:sz w:val="18"/>
                <w:szCs w:val="18"/>
              </w:rPr>
            </w:pPr>
            <w:r>
              <w:rPr>
                <w:color w:val="000000"/>
                <w:sz w:val="18"/>
                <w:szCs w:val="18"/>
              </w:rPr>
              <w:t xml:space="preserve">   návratné finančné výpomoci</w:t>
            </w:r>
          </w:p>
        </w:tc>
        <w:tc>
          <w:tcPr>
            <w:tcW w:w="1276" w:type="dxa"/>
            <w:tcBorders>
              <w:top w:val="nil"/>
              <w:left w:val="nil"/>
              <w:right w:val="nil"/>
            </w:tcBorders>
            <w:noWrap/>
            <w:vAlign w:val="center"/>
          </w:tcPr>
          <w:p w14:paraId="03386DF7" w14:textId="77777777" w:rsidR="00F72D98" w:rsidRPr="007D12A6" w:rsidRDefault="00F72D98" w:rsidP="00F72D98">
            <w:pPr>
              <w:spacing w:after="0" w:line="240" w:lineRule="auto"/>
              <w:jc w:val="right"/>
              <w:rPr>
                <w:color w:val="000000"/>
                <w:sz w:val="18"/>
                <w:szCs w:val="18"/>
              </w:rPr>
            </w:pPr>
            <w:r>
              <w:rPr>
                <w:color w:val="000000"/>
                <w:sz w:val="18"/>
                <w:szCs w:val="18"/>
              </w:rPr>
              <w:t>189 665</w:t>
            </w:r>
          </w:p>
        </w:tc>
        <w:tc>
          <w:tcPr>
            <w:tcW w:w="1271" w:type="dxa"/>
            <w:tcBorders>
              <w:top w:val="nil"/>
              <w:left w:val="nil"/>
              <w:right w:val="nil"/>
            </w:tcBorders>
            <w:noWrap/>
            <w:vAlign w:val="center"/>
          </w:tcPr>
          <w:p w14:paraId="26DF3C6D" w14:textId="77777777" w:rsidR="00F72D98" w:rsidRPr="007D12A6" w:rsidRDefault="00F72D98" w:rsidP="00F72D98">
            <w:pPr>
              <w:spacing w:after="0" w:line="240" w:lineRule="auto"/>
              <w:jc w:val="right"/>
              <w:rPr>
                <w:color w:val="000000"/>
                <w:sz w:val="18"/>
                <w:szCs w:val="18"/>
              </w:rPr>
            </w:pPr>
            <w:r>
              <w:rPr>
                <w:color w:val="000000"/>
                <w:sz w:val="18"/>
                <w:szCs w:val="18"/>
              </w:rPr>
              <w:t>550 112</w:t>
            </w:r>
          </w:p>
        </w:tc>
        <w:tc>
          <w:tcPr>
            <w:tcW w:w="1273" w:type="dxa"/>
            <w:tcBorders>
              <w:top w:val="nil"/>
              <w:left w:val="nil"/>
              <w:right w:val="nil"/>
            </w:tcBorders>
            <w:shd w:val="clear" w:color="auto" w:fill="auto"/>
            <w:noWrap/>
            <w:vAlign w:val="center"/>
          </w:tcPr>
          <w:p w14:paraId="5D1DF512" w14:textId="77777777" w:rsidR="00F72D98" w:rsidRPr="00846C8A" w:rsidRDefault="00F72D98" w:rsidP="00F72D98">
            <w:pPr>
              <w:spacing w:after="0" w:line="240" w:lineRule="auto"/>
              <w:jc w:val="right"/>
              <w:rPr>
                <w:color w:val="000000"/>
                <w:sz w:val="18"/>
                <w:szCs w:val="18"/>
              </w:rPr>
            </w:pPr>
            <w:r w:rsidRPr="00846C8A">
              <w:rPr>
                <w:color w:val="000000"/>
                <w:sz w:val="18"/>
                <w:szCs w:val="18"/>
              </w:rPr>
              <w:t>58 430</w:t>
            </w:r>
          </w:p>
        </w:tc>
      </w:tr>
      <w:tr w:rsidR="00F72D98" w:rsidRPr="002D24FD" w14:paraId="75FA0554" w14:textId="77777777" w:rsidTr="00F72D98">
        <w:trPr>
          <w:trHeight w:hRule="exact" w:val="284"/>
          <w:jc w:val="center"/>
        </w:trPr>
        <w:tc>
          <w:tcPr>
            <w:tcW w:w="5032" w:type="dxa"/>
            <w:tcBorders>
              <w:top w:val="nil"/>
              <w:left w:val="nil"/>
              <w:right w:val="nil"/>
            </w:tcBorders>
            <w:noWrap/>
            <w:vAlign w:val="center"/>
          </w:tcPr>
          <w:p w14:paraId="43A1F767" w14:textId="77777777" w:rsidR="00F72D98" w:rsidRPr="007D12A6" w:rsidRDefault="00F72D98" w:rsidP="00F72D98">
            <w:pPr>
              <w:spacing w:after="0" w:line="240" w:lineRule="auto"/>
              <w:rPr>
                <w:color w:val="000000"/>
                <w:sz w:val="18"/>
                <w:szCs w:val="18"/>
              </w:rPr>
            </w:pPr>
            <w:r w:rsidRPr="007D12A6">
              <w:rPr>
                <w:color w:val="000000"/>
                <w:sz w:val="18"/>
                <w:szCs w:val="18"/>
              </w:rPr>
              <w:t xml:space="preserve">   osobitný odvod finančných inštitúcií</w:t>
            </w:r>
          </w:p>
        </w:tc>
        <w:tc>
          <w:tcPr>
            <w:tcW w:w="1276" w:type="dxa"/>
            <w:tcBorders>
              <w:top w:val="nil"/>
              <w:left w:val="nil"/>
              <w:right w:val="nil"/>
            </w:tcBorders>
            <w:noWrap/>
            <w:vAlign w:val="center"/>
          </w:tcPr>
          <w:p w14:paraId="379CFFFD" w14:textId="77777777" w:rsidR="00F72D98" w:rsidRPr="007D12A6" w:rsidRDefault="00F72D98" w:rsidP="00F72D98">
            <w:pPr>
              <w:spacing w:after="0" w:line="240" w:lineRule="auto"/>
              <w:jc w:val="right"/>
              <w:rPr>
                <w:color w:val="000000"/>
                <w:sz w:val="18"/>
                <w:szCs w:val="18"/>
              </w:rPr>
            </w:pPr>
            <w:r>
              <w:rPr>
                <w:color w:val="000000"/>
                <w:sz w:val="18"/>
                <w:szCs w:val="18"/>
              </w:rPr>
              <w:t>0</w:t>
            </w:r>
          </w:p>
        </w:tc>
        <w:tc>
          <w:tcPr>
            <w:tcW w:w="1271" w:type="dxa"/>
            <w:tcBorders>
              <w:top w:val="nil"/>
              <w:left w:val="nil"/>
              <w:right w:val="nil"/>
            </w:tcBorders>
            <w:noWrap/>
            <w:vAlign w:val="center"/>
          </w:tcPr>
          <w:p w14:paraId="1D155106" w14:textId="77777777" w:rsidR="00F72D98" w:rsidRPr="007D12A6" w:rsidRDefault="00F72D98" w:rsidP="00F72D98">
            <w:pPr>
              <w:spacing w:after="0" w:line="240" w:lineRule="auto"/>
              <w:jc w:val="right"/>
              <w:rPr>
                <w:color w:val="000000"/>
                <w:sz w:val="18"/>
                <w:szCs w:val="18"/>
              </w:rPr>
            </w:pPr>
            <w:r>
              <w:rPr>
                <w:color w:val="000000"/>
                <w:sz w:val="18"/>
                <w:szCs w:val="18"/>
              </w:rPr>
              <w:t>0</w:t>
            </w:r>
          </w:p>
        </w:tc>
        <w:tc>
          <w:tcPr>
            <w:tcW w:w="1273" w:type="dxa"/>
            <w:tcBorders>
              <w:top w:val="nil"/>
              <w:left w:val="nil"/>
              <w:right w:val="nil"/>
            </w:tcBorders>
            <w:shd w:val="clear" w:color="auto" w:fill="auto"/>
            <w:noWrap/>
            <w:vAlign w:val="center"/>
          </w:tcPr>
          <w:p w14:paraId="55D20AED" w14:textId="77777777" w:rsidR="00F72D98" w:rsidRPr="00846C8A" w:rsidRDefault="00F72D98" w:rsidP="00F72D98">
            <w:pPr>
              <w:spacing w:after="0" w:line="240" w:lineRule="auto"/>
              <w:jc w:val="right"/>
              <w:rPr>
                <w:color w:val="000000"/>
                <w:sz w:val="18"/>
                <w:szCs w:val="18"/>
              </w:rPr>
            </w:pPr>
            <w:r w:rsidRPr="00846C8A">
              <w:rPr>
                <w:color w:val="000000"/>
                <w:sz w:val="18"/>
                <w:szCs w:val="18"/>
              </w:rPr>
              <w:t>0</w:t>
            </w:r>
          </w:p>
        </w:tc>
      </w:tr>
      <w:tr w:rsidR="00F72D98" w:rsidRPr="002D24FD" w14:paraId="763D97DC" w14:textId="77777777" w:rsidTr="00F72D98">
        <w:trPr>
          <w:trHeight w:hRule="exact" w:val="265"/>
          <w:jc w:val="center"/>
        </w:trPr>
        <w:tc>
          <w:tcPr>
            <w:tcW w:w="5032" w:type="dxa"/>
            <w:tcBorders>
              <w:top w:val="nil"/>
              <w:left w:val="nil"/>
              <w:right w:val="nil"/>
            </w:tcBorders>
            <w:noWrap/>
            <w:vAlign w:val="center"/>
          </w:tcPr>
          <w:p w14:paraId="13AB628D" w14:textId="77777777" w:rsidR="00F72D98" w:rsidRPr="007D12A6" w:rsidRDefault="00F72D98" w:rsidP="00F72D98">
            <w:pPr>
              <w:spacing w:after="0" w:line="240" w:lineRule="auto"/>
              <w:rPr>
                <w:color w:val="000000"/>
                <w:sz w:val="18"/>
                <w:szCs w:val="18"/>
              </w:rPr>
            </w:pPr>
            <w:r w:rsidRPr="007D12A6">
              <w:rPr>
                <w:color w:val="000000"/>
                <w:sz w:val="18"/>
                <w:szCs w:val="18"/>
              </w:rPr>
              <w:t xml:space="preserve">   osobitný odvod z podnikania v regulovaných odvetviach</w:t>
            </w:r>
          </w:p>
        </w:tc>
        <w:tc>
          <w:tcPr>
            <w:tcW w:w="1276" w:type="dxa"/>
            <w:tcBorders>
              <w:top w:val="nil"/>
              <w:left w:val="nil"/>
              <w:right w:val="nil"/>
            </w:tcBorders>
            <w:noWrap/>
            <w:vAlign w:val="center"/>
          </w:tcPr>
          <w:p w14:paraId="30F07897" w14:textId="77777777" w:rsidR="00F72D98" w:rsidRPr="007D12A6" w:rsidRDefault="00F72D98" w:rsidP="00F72D98">
            <w:pPr>
              <w:spacing w:after="0" w:line="240" w:lineRule="auto"/>
              <w:jc w:val="right"/>
              <w:rPr>
                <w:color w:val="000000"/>
                <w:sz w:val="18"/>
                <w:szCs w:val="18"/>
              </w:rPr>
            </w:pPr>
            <w:r>
              <w:rPr>
                <w:color w:val="000000"/>
                <w:sz w:val="18"/>
                <w:szCs w:val="18"/>
              </w:rPr>
              <w:t>111 384</w:t>
            </w:r>
          </w:p>
        </w:tc>
        <w:tc>
          <w:tcPr>
            <w:tcW w:w="1271" w:type="dxa"/>
            <w:tcBorders>
              <w:top w:val="nil"/>
              <w:left w:val="nil"/>
              <w:right w:val="nil"/>
            </w:tcBorders>
            <w:noWrap/>
            <w:vAlign w:val="center"/>
          </w:tcPr>
          <w:p w14:paraId="144F09A2" w14:textId="77777777" w:rsidR="00F72D98" w:rsidRPr="007D12A6" w:rsidRDefault="00F72D98" w:rsidP="00F72D98">
            <w:pPr>
              <w:spacing w:after="0" w:line="240" w:lineRule="auto"/>
              <w:jc w:val="right"/>
              <w:rPr>
                <w:color w:val="000000"/>
                <w:sz w:val="18"/>
                <w:szCs w:val="18"/>
              </w:rPr>
            </w:pPr>
            <w:r>
              <w:rPr>
                <w:color w:val="000000"/>
                <w:sz w:val="18"/>
                <w:szCs w:val="18"/>
              </w:rPr>
              <w:t>91 465</w:t>
            </w:r>
          </w:p>
        </w:tc>
        <w:tc>
          <w:tcPr>
            <w:tcW w:w="1273" w:type="dxa"/>
            <w:tcBorders>
              <w:top w:val="nil"/>
              <w:left w:val="nil"/>
              <w:right w:val="nil"/>
            </w:tcBorders>
            <w:shd w:val="clear" w:color="auto" w:fill="auto"/>
            <w:noWrap/>
            <w:vAlign w:val="center"/>
          </w:tcPr>
          <w:p w14:paraId="373137FC" w14:textId="77777777" w:rsidR="00F72D98" w:rsidRPr="00846C8A" w:rsidRDefault="00F72D98" w:rsidP="00F72D98">
            <w:pPr>
              <w:spacing w:after="0" w:line="240" w:lineRule="auto"/>
              <w:jc w:val="right"/>
              <w:rPr>
                <w:color w:val="000000"/>
                <w:sz w:val="18"/>
                <w:szCs w:val="18"/>
              </w:rPr>
            </w:pPr>
            <w:r w:rsidRPr="00846C8A">
              <w:rPr>
                <w:color w:val="000000"/>
                <w:sz w:val="18"/>
                <w:szCs w:val="18"/>
              </w:rPr>
              <w:t>105 552</w:t>
            </w:r>
          </w:p>
        </w:tc>
      </w:tr>
      <w:tr w:rsidR="00F72D98" w:rsidRPr="002D24FD" w14:paraId="4F153897" w14:textId="77777777" w:rsidTr="00F72D98">
        <w:trPr>
          <w:trHeight w:hRule="exact" w:val="284"/>
          <w:jc w:val="center"/>
        </w:trPr>
        <w:tc>
          <w:tcPr>
            <w:tcW w:w="5032" w:type="dxa"/>
            <w:tcBorders>
              <w:top w:val="nil"/>
              <w:left w:val="nil"/>
              <w:right w:val="nil"/>
            </w:tcBorders>
            <w:noWrap/>
            <w:vAlign w:val="center"/>
          </w:tcPr>
          <w:p w14:paraId="33F7C08B" w14:textId="77777777" w:rsidR="00F72D98" w:rsidRPr="007D12A6" w:rsidRDefault="00F72D98" w:rsidP="00F72D98">
            <w:pPr>
              <w:spacing w:after="0" w:line="240" w:lineRule="auto"/>
              <w:rPr>
                <w:color w:val="000000"/>
                <w:sz w:val="18"/>
                <w:szCs w:val="18"/>
              </w:rPr>
            </w:pPr>
            <w:r w:rsidRPr="007D12A6">
              <w:rPr>
                <w:color w:val="000000"/>
                <w:sz w:val="18"/>
                <w:szCs w:val="18"/>
              </w:rPr>
              <w:t xml:space="preserve">   anonymné vklady</w:t>
            </w:r>
          </w:p>
        </w:tc>
        <w:tc>
          <w:tcPr>
            <w:tcW w:w="1276" w:type="dxa"/>
            <w:tcBorders>
              <w:top w:val="nil"/>
              <w:left w:val="nil"/>
              <w:right w:val="nil"/>
            </w:tcBorders>
            <w:noWrap/>
            <w:vAlign w:val="center"/>
          </w:tcPr>
          <w:p w14:paraId="42A26472" w14:textId="77777777" w:rsidR="00F72D98" w:rsidRPr="007D12A6" w:rsidRDefault="00F72D98" w:rsidP="00F72D98">
            <w:pPr>
              <w:spacing w:after="0" w:line="240" w:lineRule="auto"/>
              <w:jc w:val="right"/>
              <w:rPr>
                <w:color w:val="000000"/>
                <w:sz w:val="18"/>
                <w:szCs w:val="18"/>
              </w:rPr>
            </w:pPr>
            <w:r>
              <w:rPr>
                <w:color w:val="000000"/>
                <w:sz w:val="18"/>
                <w:szCs w:val="18"/>
              </w:rPr>
              <w:t>79</w:t>
            </w:r>
          </w:p>
        </w:tc>
        <w:tc>
          <w:tcPr>
            <w:tcW w:w="1271" w:type="dxa"/>
            <w:tcBorders>
              <w:top w:val="nil"/>
              <w:left w:val="nil"/>
              <w:right w:val="nil"/>
            </w:tcBorders>
            <w:noWrap/>
            <w:vAlign w:val="center"/>
          </w:tcPr>
          <w:p w14:paraId="6AF43BFC" w14:textId="77777777" w:rsidR="00F72D98" w:rsidRPr="007D12A6" w:rsidRDefault="00F72D98" w:rsidP="00F72D98">
            <w:pPr>
              <w:spacing w:after="0" w:line="240" w:lineRule="auto"/>
              <w:jc w:val="right"/>
              <w:rPr>
                <w:color w:val="000000"/>
                <w:sz w:val="18"/>
                <w:szCs w:val="18"/>
              </w:rPr>
            </w:pPr>
            <w:r>
              <w:rPr>
                <w:color w:val="000000"/>
                <w:sz w:val="18"/>
                <w:szCs w:val="18"/>
              </w:rPr>
              <w:t>63</w:t>
            </w:r>
          </w:p>
        </w:tc>
        <w:tc>
          <w:tcPr>
            <w:tcW w:w="1273" w:type="dxa"/>
            <w:tcBorders>
              <w:top w:val="nil"/>
              <w:left w:val="nil"/>
              <w:right w:val="nil"/>
            </w:tcBorders>
            <w:shd w:val="clear" w:color="auto" w:fill="auto"/>
            <w:noWrap/>
            <w:vAlign w:val="center"/>
          </w:tcPr>
          <w:p w14:paraId="36AE12D5" w14:textId="77777777" w:rsidR="00F72D98" w:rsidRPr="00846C8A" w:rsidRDefault="00F72D98" w:rsidP="00F72D98">
            <w:pPr>
              <w:spacing w:after="0" w:line="240" w:lineRule="auto"/>
              <w:jc w:val="right"/>
              <w:rPr>
                <w:color w:val="000000"/>
                <w:sz w:val="18"/>
                <w:szCs w:val="18"/>
              </w:rPr>
            </w:pPr>
            <w:r w:rsidRPr="00846C8A">
              <w:rPr>
                <w:color w:val="000000"/>
                <w:sz w:val="18"/>
                <w:szCs w:val="18"/>
              </w:rPr>
              <w:t>47</w:t>
            </w:r>
          </w:p>
        </w:tc>
      </w:tr>
      <w:tr w:rsidR="00F72D98" w:rsidRPr="002D24FD" w14:paraId="4FF6E7FE" w14:textId="77777777" w:rsidTr="00F72D98">
        <w:trPr>
          <w:trHeight w:hRule="exact" w:val="284"/>
          <w:jc w:val="center"/>
        </w:trPr>
        <w:tc>
          <w:tcPr>
            <w:tcW w:w="5032" w:type="dxa"/>
            <w:tcBorders>
              <w:top w:val="nil"/>
              <w:left w:val="nil"/>
              <w:right w:val="nil"/>
            </w:tcBorders>
            <w:noWrap/>
            <w:vAlign w:val="center"/>
          </w:tcPr>
          <w:p w14:paraId="7C28D012" w14:textId="77777777" w:rsidR="00F72D98" w:rsidRPr="007D12A6" w:rsidRDefault="00F72D98" w:rsidP="00F72D98">
            <w:pPr>
              <w:spacing w:after="0" w:line="240" w:lineRule="auto"/>
              <w:rPr>
                <w:color w:val="000000"/>
                <w:sz w:val="18"/>
                <w:szCs w:val="18"/>
              </w:rPr>
            </w:pPr>
            <w:r w:rsidRPr="007D12A6">
              <w:rPr>
                <w:color w:val="000000"/>
                <w:sz w:val="18"/>
                <w:szCs w:val="18"/>
              </w:rPr>
              <w:t xml:space="preserve">   ostatné</w:t>
            </w:r>
          </w:p>
        </w:tc>
        <w:tc>
          <w:tcPr>
            <w:tcW w:w="1276" w:type="dxa"/>
            <w:tcBorders>
              <w:top w:val="nil"/>
              <w:left w:val="nil"/>
              <w:right w:val="nil"/>
            </w:tcBorders>
            <w:noWrap/>
            <w:vAlign w:val="center"/>
          </w:tcPr>
          <w:p w14:paraId="44C32CDD" w14:textId="77777777" w:rsidR="00F72D98" w:rsidRPr="007D12A6" w:rsidRDefault="00F72D98" w:rsidP="00F72D98">
            <w:pPr>
              <w:spacing w:after="0" w:line="240" w:lineRule="auto"/>
              <w:jc w:val="right"/>
              <w:rPr>
                <w:color w:val="000000"/>
                <w:sz w:val="18"/>
                <w:szCs w:val="18"/>
              </w:rPr>
            </w:pPr>
            <w:r>
              <w:rPr>
                <w:color w:val="000000"/>
                <w:sz w:val="18"/>
                <w:szCs w:val="18"/>
              </w:rPr>
              <w:t>623</w:t>
            </w:r>
          </w:p>
        </w:tc>
        <w:tc>
          <w:tcPr>
            <w:tcW w:w="1271" w:type="dxa"/>
            <w:tcBorders>
              <w:top w:val="nil"/>
              <w:left w:val="nil"/>
              <w:right w:val="nil"/>
            </w:tcBorders>
            <w:noWrap/>
            <w:vAlign w:val="center"/>
          </w:tcPr>
          <w:p w14:paraId="0E9CEA89" w14:textId="77777777" w:rsidR="00F72D98" w:rsidRPr="007D12A6" w:rsidRDefault="00F72D98" w:rsidP="00F72D98">
            <w:pPr>
              <w:spacing w:after="0" w:line="240" w:lineRule="auto"/>
              <w:jc w:val="right"/>
              <w:rPr>
                <w:color w:val="000000"/>
                <w:sz w:val="18"/>
                <w:szCs w:val="18"/>
              </w:rPr>
            </w:pPr>
            <w:r>
              <w:rPr>
                <w:color w:val="000000"/>
                <w:sz w:val="18"/>
                <w:szCs w:val="18"/>
              </w:rPr>
              <w:t>216</w:t>
            </w:r>
          </w:p>
        </w:tc>
        <w:tc>
          <w:tcPr>
            <w:tcW w:w="1273" w:type="dxa"/>
            <w:tcBorders>
              <w:top w:val="nil"/>
              <w:left w:val="nil"/>
              <w:right w:val="nil"/>
            </w:tcBorders>
            <w:shd w:val="clear" w:color="auto" w:fill="auto"/>
            <w:noWrap/>
            <w:vAlign w:val="center"/>
          </w:tcPr>
          <w:p w14:paraId="34DE51DA" w14:textId="77777777" w:rsidR="00F72D98" w:rsidRPr="00846C8A" w:rsidRDefault="00F72D98" w:rsidP="00F72D98">
            <w:pPr>
              <w:spacing w:after="0" w:line="240" w:lineRule="auto"/>
              <w:jc w:val="right"/>
              <w:rPr>
                <w:color w:val="000000"/>
                <w:sz w:val="18"/>
                <w:szCs w:val="18"/>
              </w:rPr>
            </w:pPr>
            <w:r w:rsidRPr="00846C8A">
              <w:rPr>
                <w:color w:val="000000"/>
                <w:sz w:val="18"/>
                <w:szCs w:val="18"/>
              </w:rPr>
              <w:t>1 555</w:t>
            </w:r>
          </w:p>
        </w:tc>
      </w:tr>
      <w:tr w:rsidR="00F72D98" w:rsidRPr="002D24FD" w14:paraId="24555D9F" w14:textId="77777777" w:rsidTr="00F72D98">
        <w:trPr>
          <w:trHeight w:hRule="exact" w:val="284"/>
          <w:jc w:val="center"/>
        </w:trPr>
        <w:tc>
          <w:tcPr>
            <w:tcW w:w="5032" w:type="dxa"/>
            <w:tcBorders>
              <w:top w:val="nil"/>
              <w:left w:val="nil"/>
              <w:right w:val="nil"/>
            </w:tcBorders>
            <w:noWrap/>
            <w:vAlign w:val="center"/>
          </w:tcPr>
          <w:p w14:paraId="4E2EE645" w14:textId="47F01112" w:rsidR="00F72D98" w:rsidRPr="007D12A6" w:rsidRDefault="00F72D98" w:rsidP="00F72D98">
            <w:pPr>
              <w:spacing w:after="0" w:line="240" w:lineRule="auto"/>
              <w:rPr>
                <w:b/>
                <w:color w:val="000000"/>
                <w:sz w:val="18"/>
                <w:szCs w:val="18"/>
              </w:rPr>
            </w:pPr>
            <w:r>
              <w:rPr>
                <w:b/>
                <w:color w:val="000000"/>
                <w:sz w:val="18"/>
                <w:szCs w:val="18"/>
              </w:rPr>
              <w:t>Výdavky - zníženie</w:t>
            </w:r>
            <w:r w:rsidRPr="007D12A6">
              <w:rPr>
                <w:b/>
                <w:color w:val="000000"/>
                <w:sz w:val="18"/>
                <w:szCs w:val="18"/>
              </w:rPr>
              <w:t xml:space="preserve"> </w:t>
            </w:r>
            <w:r w:rsidR="00D55611">
              <w:rPr>
                <w:b/>
                <w:color w:val="000000"/>
                <w:sz w:val="18"/>
                <w:szCs w:val="18"/>
              </w:rPr>
              <w:t xml:space="preserve">na účtoch </w:t>
            </w:r>
            <w:r w:rsidRPr="007D12A6">
              <w:rPr>
                <w:b/>
                <w:color w:val="000000"/>
                <w:sz w:val="18"/>
                <w:szCs w:val="18"/>
              </w:rPr>
              <w:t>ŠFA</w:t>
            </w:r>
          </w:p>
        </w:tc>
        <w:tc>
          <w:tcPr>
            <w:tcW w:w="1276" w:type="dxa"/>
            <w:tcBorders>
              <w:top w:val="nil"/>
              <w:left w:val="nil"/>
              <w:right w:val="nil"/>
            </w:tcBorders>
            <w:noWrap/>
            <w:vAlign w:val="center"/>
          </w:tcPr>
          <w:p w14:paraId="7844CD97" w14:textId="77777777" w:rsidR="00F72D98" w:rsidRPr="007D12A6" w:rsidRDefault="00F72D98" w:rsidP="00F72D98">
            <w:pPr>
              <w:spacing w:after="0" w:line="240" w:lineRule="auto"/>
              <w:jc w:val="right"/>
              <w:rPr>
                <w:b/>
                <w:color w:val="000000"/>
                <w:sz w:val="18"/>
                <w:szCs w:val="18"/>
              </w:rPr>
            </w:pPr>
            <w:r>
              <w:rPr>
                <w:b/>
                <w:color w:val="000000"/>
                <w:sz w:val="18"/>
                <w:szCs w:val="18"/>
              </w:rPr>
              <w:t>237 453</w:t>
            </w:r>
          </w:p>
        </w:tc>
        <w:tc>
          <w:tcPr>
            <w:tcW w:w="1271" w:type="dxa"/>
            <w:tcBorders>
              <w:top w:val="nil"/>
              <w:left w:val="nil"/>
              <w:right w:val="nil"/>
            </w:tcBorders>
            <w:noWrap/>
            <w:vAlign w:val="center"/>
          </w:tcPr>
          <w:p w14:paraId="0290029C" w14:textId="77777777" w:rsidR="00F72D98" w:rsidRPr="007D12A6" w:rsidRDefault="00F72D98" w:rsidP="00F72D98">
            <w:pPr>
              <w:spacing w:after="0" w:line="240" w:lineRule="auto"/>
              <w:jc w:val="right"/>
              <w:rPr>
                <w:b/>
                <w:color w:val="000000"/>
                <w:sz w:val="18"/>
                <w:szCs w:val="18"/>
              </w:rPr>
            </w:pPr>
            <w:r>
              <w:rPr>
                <w:b/>
                <w:color w:val="000000"/>
                <w:sz w:val="18"/>
                <w:szCs w:val="18"/>
              </w:rPr>
              <w:t>1 278 933</w:t>
            </w:r>
          </w:p>
        </w:tc>
        <w:tc>
          <w:tcPr>
            <w:tcW w:w="1273" w:type="dxa"/>
            <w:tcBorders>
              <w:top w:val="nil"/>
              <w:left w:val="nil"/>
              <w:right w:val="nil"/>
            </w:tcBorders>
            <w:shd w:val="clear" w:color="auto" w:fill="auto"/>
            <w:noWrap/>
            <w:vAlign w:val="center"/>
          </w:tcPr>
          <w:p w14:paraId="69C0CBBF" w14:textId="77777777" w:rsidR="00F72D98" w:rsidRPr="00846C8A" w:rsidRDefault="00F72D98" w:rsidP="00F72D98">
            <w:pPr>
              <w:spacing w:after="0" w:line="240" w:lineRule="auto"/>
              <w:jc w:val="right"/>
              <w:rPr>
                <w:b/>
                <w:color w:val="000000"/>
                <w:sz w:val="18"/>
                <w:szCs w:val="18"/>
              </w:rPr>
            </w:pPr>
            <w:r w:rsidRPr="00846C8A">
              <w:rPr>
                <w:b/>
                <w:color w:val="000000"/>
                <w:sz w:val="18"/>
                <w:szCs w:val="18"/>
              </w:rPr>
              <w:t>322 885</w:t>
            </w:r>
          </w:p>
        </w:tc>
      </w:tr>
      <w:tr w:rsidR="00F72D98" w:rsidRPr="002D24FD" w14:paraId="0774B531" w14:textId="77777777" w:rsidTr="00F72D98">
        <w:trPr>
          <w:trHeight w:hRule="exact" w:val="284"/>
          <w:jc w:val="center"/>
        </w:trPr>
        <w:tc>
          <w:tcPr>
            <w:tcW w:w="5032" w:type="dxa"/>
            <w:tcBorders>
              <w:left w:val="nil"/>
              <w:right w:val="nil"/>
            </w:tcBorders>
            <w:noWrap/>
            <w:vAlign w:val="center"/>
          </w:tcPr>
          <w:p w14:paraId="79F55135" w14:textId="77777777" w:rsidR="00F72D98" w:rsidRPr="007D12A6" w:rsidRDefault="00F72D98" w:rsidP="00F72D98">
            <w:pPr>
              <w:spacing w:after="0" w:line="240" w:lineRule="auto"/>
              <w:rPr>
                <w:color w:val="000000"/>
                <w:sz w:val="18"/>
                <w:szCs w:val="18"/>
              </w:rPr>
            </w:pPr>
            <w:r w:rsidRPr="007D12A6">
              <w:rPr>
                <w:color w:val="000000"/>
                <w:sz w:val="18"/>
                <w:szCs w:val="18"/>
              </w:rPr>
              <w:t>z toho:</w:t>
            </w:r>
          </w:p>
        </w:tc>
        <w:tc>
          <w:tcPr>
            <w:tcW w:w="1276" w:type="dxa"/>
            <w:tcBorders>
              <w:left w:val="nil"/>
              <w:right w:val="nil"/>
            </w:tcBorders>
            <w:noWrap/>
            <w:vAlign w:val="center"/>
          </w:tcPr>
          <w:p w14:paraId="53396426" w14:textId="77777777" w:rsidR="00F72D98" w:rsidRPr="007D12A6" w:rsidRDefault="00F72D98" w:rsidP="00F72D98">
            <w:pPr>
              <w:spacing w:after="0" w:line="240" w:lineRule="auto"/>
              <w:jc w:val="right"/>
              <w:rPr>
                <w:b/>
                <w:color w:val="000000"/>
                <w:sz w:val="18"/>
                <w:szCs w:val="18"/>
              </w:rPr>
            </w:pPr>
          </w:p>
        </w:tc>
        <w:tc>
          <w:tcPr>
            <w:tcW w:w="1271" w:type="dxa"/>
            <w:tcBorders>
              <w:left w:val="nil"/>
              <w:right w:val="nil"/>
            </w:tcBorders>
            <w:noWrap/>
            <w:vAlign w:val="center"/>
          </w:tcPr>
          <w:p w14:paraId="5BC3F66C" w14:textId="77777777" w:rsidR="00F72D98" w:rsidRPr="007D12A6" w:rsidRDefault="00F72D98" w:rsidP="00F72D98">
            <w:pPr>
              <w:spacing w:after="0" w:line="240" w:lineRule="auto"/>
              <w:jc w:val="right"/>
              <w:rPr>
                <w:b/>
                <w:color w:val="000000"/>
                <w:sz w:val="18"/>
                <w:szCs w:val="18"/>
              </w:rPr>
            </w:pPr>
          </w:p>
        </w:tc>
        <w:tc>
          <w:tcPr>
            <w:tcW w:w="1273" w:type="dxa"/>
            <w:tcBorders>
              <w:left w:val="nil"/>
              <w:right w:val="nil"/>
            </w:tcBorders>
            <w:shd w:val="clear" w:color="auto" w:fill="auto"/>
            <w:noWrap/>
            <w:vAlign w:val="center"/>
          </w:tcPr>
          <w:p w14:paraId="07D1674D" w14:textId="77777777" w:rsidR="00F72D98" w:rsidRPr="00846C8A" w:rsidRDefault="00F72D98" w:rsidP="00F72D98">
            <w:pPr>
              <w:spacing w:after="0" w:line="240" w:lineRule="auto"/>
              <w:jc w:val="right"/>
              <w:rPr>
                <w:color w:val="000000"/>
                <w:sz w:val="18"/>
                <w:szCs w:val="18"/>
              </w:rPr>
            </w:pPr>
          </w:p>
        </w:tc>
      </w:tr>
      <w:tr w:rsidR="00F72D98" w:rsidRPr="002D24FD" w14:paraId="3528894F" w14:textId="77777777" w:rsidTr="00F72D98">
        <w:trPr>
          <w:trHeight w:hRule="exact" w:val="284"/>
          <w:jc w:val="center"/>
        </w:trPr>
        <w:tc>
          <w:tcPr>
            <w:tcW w:w="5032" w:type="dxa"/>
            <w:tcBorders>
              <w:left w:val="nil"/>
              <w:right w:val="nil"/>
            </w:tcBorders>
            <w:noWrap/>
            <w:vAlign w:val="center"/>
          </w:tcPr>
          <w:p w14:paraId="2357BF77" w14:textId="77777777" w:rsidR="00F72D98" w:rsidRPr="007D12A6" w:rsidRDefault="00F72D98" w:rsidP="00F72D98">
            <w:pPr>
              <w:spacing w:after="0" w:line="240" w:lineRule="auto"/>
              <w:rPr>
                <w:color w:val="000000"/>
                <w:sz w:val="18"/>
                <w:szCs w:val="18"/>
              </w:rPr>
            </w:pPr>
            <w:r w:rsidRPr="007D12A6">
              <w:rPr>
                <w:color w:val="000000"/>
                <w:sz w:val="18"/>
                <w:szCs w:val="18"/>
              </w:rPr>
              <w:t xml:space="preserve">   účelové prostriedky z FNM/ MH Manažment, </w:t>
            </w:r>
            <w:proofErr w:type="spellStart"/>
            <w:r w:rsidRPr="007D12A6">
              <w:rPr>
                <w:color w:val="000000"/>
                <w:sz w:val="18"/>
                <w:szCs w:val="18"/>
              </w:rPr>
              <w:t>a.s</w:t>
            </w:r>
            <w:proofErr w:type="spellEnd"/>
            <w:r w:rsidRPr="007D12A6">
              <w:rPr>
                <w:color w:val="000000"/>
                <w:sz w:val="18"/>
                <w:szCs w:val="18"/>
              </w:rPr>
              <w:t>.</w:t>
            </w:r>
          </w:p>
        </w:tc>
        <w:tc>
          <w:tcPr>
            <w:tcW w:w="1276" w:type="dxa"/>
            <w:tcBorders>
              <w:left w:val="nil"/>
              <w:right w:val="nil"/>
            </w:tcBorders>
            <w:noWrap/>
            <w:vAlign w:val="center"/>
          </w:tcPr>
          <w:p w14:paraId="78590794" w14:textId="77777777" w:rsidR="00F72D98" w:rsidRPr="007D12A6" w:rsidRDefault="00F72D98" w:rsidP="00F72D98">
            <w:pPr>
              <w:spacing w:after="0" w:line="240" w:lineRule="auto"/>
              <w:jc w:val="right"/>
              <w:rPr>
                <w:color w:val="000000"/>
                <w:sz w:val="18"/>
                <w:szCs w:val="18"/>
              </w:rPr>
            </w:pPr>
            <w:r>
              <w:rPr>
                <w:color w:val="000000"/>
                <w:sz w:val="18"/>
                <w:szCs w:val="18"/>
              </w:rPr>
              <w:t>16 464</w:t>
            </w:r>
          </w:p>
        </w:tc>
        <w:tc>
          <w:tcPr>
            <w:tcW w:w="1271" w:type="dxa"/>
            <w:tcBorders>
              <w:left w:val="nil"/>
              <w:right w:val="nil"/>
            </w:tcBorders>
            <w:noWrap/>
            <w:vAlign w:val="center"/>
          </w:tcPr>
          <w:p w14:paraId="0A84A052" w14:textId="77777777" w:rsidR="00F72D98" w:rsidRPr="007D12A6" w:rsidRDefault="00F72D98" w:rsidP="00F72D98">
            <w:pPr>
              <w:spacing w:after="0" w:line="240" w:lineRule="auto"/>
              <w:jc w:val="right"/>
              <w:rPr>
                <w:color w:val="000000"/>
                <w:sz w:val="18"/>
                <w:szCs w:val="18"/>
              </w:rPr>
            </w:pPr>
            <w:r>
              <w:rPr>
                <w:color w:val="000000"/>
                <w:sz w:val="18"/>
                <w:szCs w:val="18"/>
              </w:rPr>
              <w:t>506 322</w:t>
            </w:r>
          </w:p>
        </w:tc>
        <w:tc>
          <w:tcPr>
            <w:tcW w:w="1273" w:type="dxa"/>
            <w:tcBorders>
              <w:left w:val="nil"/>
              <w:right w:val="nil"/>
            </w:tcBorders>
            <w:shd w:val="clear" w:color="auto" w:fill="auto"/>
            <w:noWrap/>
            <w:vAlign w:val="center"/>
          </w:tcPr>
          <w:p w14:paraId="1D071E77" w14:textId="77777777" w:rsidR="00F72D98" w:rsidRPr="00846C8A" w:rsidRDefault="00F72D98" w:rsidP="00F72D98">
            <w:pPr>
              <w:spacing w:after="0" w:line="240" w:lineRule="auto"/>
              <w:jc w:val="right"/>
              <w:rPr>
                <w:color w:val="000000"/>
                <w:sz w:val="18"/>
                <w:szCs w:val="18"/>
              </w:rPr>
            </w:pPr>
            <w:r w:rsidRPr="00846C8A">
              <w:rPr>
                <w:color w:val="000000"/>
                <w:sz w:val="18"/>
                <w:szCs w:val="18"/>
              </w:rPr>
              <w:t>107 264</w:t>
            </w:r>
          </w:p>
        </w:tc>
      </w:tr>
      <w:tr w:rsidR="00F72D98" w:rsidRPr="002D24FD" w14:paraId="5EEF063A" w14:textId="77777777" w:rsidTr="00F72D98">
        <w:trPr>
          <w:trHeight w:hRule="exact" w:val="284"/>
          <w:jc w:val="center"/>
        </w:trPr>
        <w:tc>
          <w:tcPr>
            <w:tcW w:w="5032" w:type="dxa"/>
            <w:tcBorders>
              <w:left w:val="nil"/>
              <w:right w:val="nil"/>
            </w:tcBorders>
            <w:noWrap/>
            <w:vAlign w:val="center"/>
          </w:tcPr>
          <w:p w14:paraId="6F285983" w14:textId="77777777" w:rsidR="00F72D98" w:rsidRPr="007D12A6" w:rsidRDefault="00F72D98" w:rsidP="00F72D98">
            <w:pPr>
              <w:spacing w:after="0" w:line="240" w:lineRule="auto"/>
              <w:rPr>
                <w:color w:val="000000"/>
                <w:sz w:val="18"/>
                <w:szCs w:val="18"/>
              </w:rPr>
            </w:pPr>
            <w:r w:rsidRPr="007D12A6">
              <w:rPr>
                <w:color w:val="000000"/>
                <w:sz w:val="18"/>
                <w:szCs w:val="18"/>
              </w:rPr>
              <w:t xml:space="preserve">   návratné finančné výpomocí</w:t>
            </w:r>
          </w:p>
        </w:tc>
        <w:tc>
          <w:tcPr>
            <w:tcW w:w="1276" w:type="dxa"/>
            <w:tcBorders>
              <w:left w:val="nil"/>
              <w:right w:val="nil"/>
            </w:tcBorders>
            <w:noWrap/>
            <w:vAlign w:val="center"/>
          </w:tcPr>
          <w:p w14:paraId="79FEF12B" w14:textId="77777777" w:rsidR="00F72D98" w:rsidRPr="007D12A6" w:rsidRDefault="00F72D98" w:rsidP="00F72D98">
            <w:pPr>
              <w:spacing w:after="0" w:line="240" w:lineRule="auto"/>
              <w:jc w:val="right"/>
              <w:rPr>
                <w:color w:val="000000"/>
                <w:sz w:val="18"/>
                <w:szCs w:val="18"/>
              </w:rPr>
            </w:pPr>
            <w:r>
              <w:rPr>
                <w:color w:val="000000"/>
                <w:sz w:val="18"/>
                <w:szCs w:val="18"/>
              </w:rPr>
              <w:t>220 837</w:t>
            </w:r>
          </w:p>
        </w:tc>
        <w:tc>
          <w:tcPr>
            <w:tcW w:w="1271" w:type="dxa"/>
            <w:tcBorders>
              <w:left w:val="nil"/>
              <w:right w:val="nil"/>
            </w:tcBorders>
            <w:noWrap/>
            <w:vAlign w:val="center"/>
          </w:tcPr>
          <w:p w14:paraId="4477051E" w14:textId="77777777" w:rsidR="00F72D98" w:rsidRPr="007D12A6" w:rsidRDefault="00F72D98" w:rsidP="00F72D98">
            <w:pPr>
              <w:spacing w:after="0" w:line="240" w:lineRule="auto"/>
              <w:jc w:val="right"/>
              <w:rPr>
                <w:color w:val="000000"/>
                <w:sz w:val="18"/>
                <w:szCs w:val="18"/>
              </w:rPr>
            </w:pPr>
            <w:r>
              <w:rPr>
                <w:color w:val="000000"/>
                <w:sz w:val="18"/>
                <w:szCs w:val="18"/>
              </w:rPr>
              <w:t>643 786</w:t>
            </w:r>
          </w:p>
        </w:tc>
        <w:tc>
          <w:tcPr>
            <w:tcW w:w="1273" w:type="dxa"/>
            <w:tcBorders>
              <w:left w:val="nil"/>
              <w:right w:val="nil"/>
            </w:tcBorders>
            <w:shd w:val="clear" w:color="auto" w:fill="auto"/>
            <w:noWrap/>
            <w:vAlign w:val="center"/>
          </w:tcPr>
          <w:p w14:paraId="250C2B8A" w14:textId="77777777" w:rsidR="00F72D98" w:rsidRPr="00846C8A" w:rsidRDefault="00F72D98" w:rsidP="00F72D98">
            <w:pPr>
              <w:spacing w:after="0" w:line="240" w:lineRule="auto"/>
              <w:jc w:val="right"/>
              <w:rPr>
                <w:color w:val="000000"/>
                <w:sz w:val="18"/>
                <w:szCs w:val="18"/>
              </w:rPr>
            </w:pPr>
            <w:r w:rsidRPr="00846C8A">
              <w:rPr>
                <w:color w:val="000000"/>
                <w:sz w:val="18"/>
                <w:szCs w:val="18"/>
              </w:rPr>
              <w:t>20 500</w:t>
            </w:r>
          </w:p>
        </w:tc>
      </w:tr>
      <w:tr w:rsidR="00F72D98" w:rsidRPr="002D24FD" w14:paraId="010FAF6A" w14:textId="77777777" w:rsidTr="00F72D98">
        <w:trPr>
          <w:trHeight w:hRule="exact" w:val="284"/>
          <w:jc w:val="center"/>
        </w:trPr>
        <w:tc>
          <w:tcPr>
            <w:tcW w:w="5032" w:type="dxa"/>
            <w:tcBorders>
              <w:left w:val="nil"/>
              <w:right w:val="nil"/>
            </w:tcBorders>
            <w:noWrap/>
            <w:vAlign w:val="center"/>
          </w:tcPr>
          <w:p w14:paraId="12CEC8A6" w14:textId="77777777" w:rsidR="00F72D98" w:rsidRPr="007D12A6" w:rsidRDefault="00F72D98" w:rsidP="00F72D98">
            <w:pPr>
              <w:spacing w:after="0" w:line="240" w:lineRule="auto"/>
              <w:rPr>
                <w:color w:val="000000"/>
                <w:sz w:val="18"/>
                <w:szCs w:val="18"/>
              </w:rPr>
            </w:pPr>
            <w:r w:rsidRPr="007D12A6">
              <w:rPr>
                <w:color w:val="000000"/>
                <w:sz w:val="18"/>
                <w:szCs w:val="18"/>
              </w:rPr>
              <w:t xml:space="preserve">   osobitný odvod finančných inštitúcií</w:t>
            </w:r>
          </w:p>
        </w:tc>
        <w:tc>
          <w:tcPr>
            <w:tcW w:w="1276" w:type="dxa"/>
            <w:tcBorders>
              <w:left w:val="nil"/>
              <w:right w:val="nil"/>
            </w:tcBorders>
            <w:noWrap/>
            <w:vAlign w:val="center"/>
          </w:tcPr>
          <w:p w14:paraId="21F43929" w14:textId="77777777" w:rsidR="00F72D98" w:rsidRPr="007D12A6" w:rsidRDefault="00F72D98" w:rsidP="00F72D98">
            <w:pPr>
              <w:spacing w:after="0" w:line="240" w:lineRule="auto"/>
              <w:jc w:val="right"/>
              <w:rPr>
                <w:color w:val="000000"/>
                <w:sz w:val="18"/>
                <w:szCs w:val="18"/>
              </w:rPr>
            </w:pPr>
            <w:r>
              <w:rPr>
                <w:color w:val="000000"/>
                <w:sz w:val="18"/>
                <w:szCs w:val="18"/>
              </w:rPr>
              <w:t>1</w:t>
            </w:r>
          </w:p>
        </w:tc>
        <w:tc>
          <w:tcPr>
            <w:tcW w:w="1271" w:type="dxa"/>
            <w:tcBorders>
              <w:left w:val="nil"/>
              <w:right w:val="nil"/>
            </w:tcBorders>
            <w:noWrap/>
            <w:vAlign w:val="center"/>
          </w:tcPr>
          <w:p w14:paraId="31419DDB" w14:textId="77777777" w:rsidR="00F72D98" w:rsidRPr="007D12A6" w:rsidRDefault="00F72D98" w:rsidP="00F72D98">
            <w:pPr>
              <w:spacing w:after="0" w:line="240" w:lineRule="auto"/>
              <w:jc w:val="right"/>
              <w:rPr>
                <w:color w:val="000000"/>
                <w:sz w:val="18"/>
                <w:szCs w:val="18"/>
              </w:rPr>
            </w:pPr>
            <w:r>
              <w:rPr>
                <w:color w:val="000000"/>
                <w:sz w:val="18"/>
                <w:szCs w:val="18"/>
              </w:rPr>
              <w:t>128 733</w:t>
            </w:r>
          </w:p>
        </w:tc>
        <w:tc>
          <w:tcPr>
            <w:tcW w:w="1273" w:type="dxa"/>
            <w:tcBorders>
              <w:left w:val="nil"/>
              <w:right w:val="nil"/>
            </w:tcBorders>
            <w:shd w:val="clear" w:color="auto" w:fill="auto"/>
            <w:noWrap/>
            <w:vAlign w:val="center"/>
          </w:tcPr>
          <w:p w14:paraId="3D51AABB" w14:textId="77777777" w:rsidR="00F72D98" w:rsidRPr="00846C8A" w:rsidRDefault="00F72D98" w:rsidP="00F72D98">
            <w:pPr>
              <w:spacing w:after="0" w:line="240" w:lineRule="auto"/>
              <w:jc w:val="right"/>
              <w:rPr>
                <w:color w:val="000000"/>
                <w:sz w:val="18"/>
                <w:szCs w:val="18"/>
              </w:rPr>
            </w:pPr>
            <w:r w:rsidRPr="00846C8A">
              <w:rPr>
                <w:color w:val="000000"/>
                <w:sz w:val="18"/>
                <w:szCs w:val="18"/>
              </w:rPr>
              <w:t>188 630</w:t>
            </w:r>
          </w:p>
        </w:tc>
      </w:tr>
      <w:tr w:rsidR="00F72D98" w:rsidRPr="002D24FD" w14:paraId="6EFEFB8D" w14:textId="77777777" w:rsidTr="00F72D98">
        <w:trPr>
          <w:trHeight w:hRule="exact" w:val="284"/>
          <w:jc w:val="center"/>
        </w:trPr>
        <w:tc>
          <w:tcPr>
            <w:tcW w:w="5032" w:type="dxa"/>
            <w:tcBorders>
              <w:left w:val="nil"/>
              <w:right w:val="nil"/>
            </w:tcBorders>
            <w:noWrap/>
            <w:vAlign w:val="center"/>
          </w:tcPr>
          <w:p w14:paraId="51C92310" w14:textId="77777777" w:rsidR="00F72D98" w:rsidRPr="007D12A6" w:rsidRDefault="00F72D98" w:rsidP="00F72D98">
            <w:pPr>
              <w:spacing w:after="0" w:line="240" w:lineRule="auto"/>
              <w:rPr>
                <w:color w:val="000000"/>
                <w:sz w:val="18"/>
                <w:szCs w:val="18"/>
              </w:rPr>
            </w:pPr>
            <w:r w:rsidRPr="007D12A6">
              <w:rPr>
                <w:color w:val="000000"/>
                <w:sz w:val="18"/>
                <w:szCs w:val="18"/>
              </w:rPr>
              <w:t xml:space="preserve">   osobitný odvod z podnikania v regulovaných odvetviach</w:t>
            </w:r>
          </w:p>
        </w:tc>
        <w:tc>
          <w:tcPr>
            <w:tcW w:w="1276" w:type="dxa"/>
            <w:tcBorders>
              <w:left w:val="nil"/>
              <w:right w:val="nil"/>
            </w:tcBorders>
            <w:noWrap/>
            <w:vAlign w:val="center"/>
          </w:tcPr>
          <w:p w14:paraId="2C530770" w14:textId="77777777" w:rsidR="00F72D98" w:rsidRPr="007D12A6" w:rsidRDefault="00F72D98" w:rsidP="00F72D98">
            <w:pPr>
              <w:spacing w:after="0" w:line="240" w:lineRule="auto"/>
              <w:jc w:val="right"/>
              <w:rPr>
                <w:color w:val="000000"/>
                <w:sz w:val="18"/>
                <w:szCs w:val="18"/>
              </w:rPr>
            </w:pPr>
            <w:r>
              <w:rPr>
                <w:color w:val="000000"/>
                <w:sz w:val="18"/>
                <w:szCs w:val="18"/>
              </w:rPr>
              <w:t>0</w:t>
            </w:r>
          </w:p>
        </w:tc>
        <w:tc>
          <w:tcPr>
            <w:tcW w:w="1271" w:type="dxa"/>
            <w:tcBorders>
              <w:left w:val="nil"/>
              <w:right w:val="nil"/>
            </w:tcBorders>
            <w:noWrap/>
            <w:vAlign w:val="center"/>
          </w:tcPr>
          <w:p w14:paraId="085124D7" w14:textId="77777777" w:rsidR="00F72D98" w:rsidRPr="007D12A6" w:rsidRDefault="00F72D98" w:rsidP="00F72D98">
            <w:pPr>
              <w:spacing w:after="0" w:line="240" w:lineRule="auto"/>
              <w:jc w:val="right"/>
              <w:rPr>
                <w:color w:val="000000"/>
                <w:sz w:val="18"/>
                <w:szCs w:val="18"/>
              </w:rPr>
            </w:pPr>
            <w:r>
              <w:rPr>
                <w:color w:val="000000"/>
                <w:sz w:val="18"/>
                <w:szCs w:val="18"/>
              </w:rPr>
              <w:t>0</w:t>
            </w:r>
          </w:p>
        </w:tc>
        <w:tc>
          <w:tcPr>
            <w:tcW w:w="1273" w:type="dxa"/>
            <w:tcBorders>
              <w:left w:val="nil"/>
              <w:right w:val="nil"/>
            </w:tcBorders>
            <w:shd w:val="clear" w:color="auto" w:fill="auto"/>
            <w:noWrap/>
            <w:vAlign w:val="center"/>
          </w:tcPr>
          <w:p w14:paraId="2BFEF4B8" w14:textId="77777777" w:rsidR="00F72D98" w:rsidRPr="00846C8A" w:rsidRDefault="00F72D98" w:rsidP="00F72D98">
            <w:pPr>
              <w:spacing w:after="0" w:line="240" w:lineRule="auto"/>
              <w:jc w:val="right"/>
              <w:rPr>
                <w:color w:val="000000"/>
                <w:sz w:val="18"/>
                <w:szCs w:val="18"/>
              </w:rPr>
            </w:pPr>
            <w:r w:rsidRPr="00846C8A">
              <w:rPr>
                <w:color w:val="000000"/>
                <w:sz w:val="18"/>
                <w:szCs w:val="18"/>
              </w:rPr>
              <w:t>6 433</w:t>
            </w:r>
          </w:p>
        </w:tc>
      </w:tr>
      <w:tr w:rsidR="00F72D98" w:rsidRPr="002D24FD" w14:paraId="750B3766" w14:textId="77777777" w:rsidTr="00F72D98">
        <w:trPr>
          <w:trHeight w:hRule="exact" w:val="284"/>
          <w:jc w:val="center"/>
        </w:trPr>
        <w:tc>
          <w:tcPr>
            <w:tcW w:w="5032" w:type="dxa"/>
            <w:tcBorders>
              <w:left w:val="nil"/>
              <w:right w:val="nil"/>
            </w:tcBorders>
            <w:noWrap/>
            <w:vAlign w:val="center"/>
          </w:tcPr>
          <w:p w14:paraId="47053FB7" w14:textId="77777777" w:rsidR="00F72D98" w:rsidRPr="007D12A6" w:rsidRDefault="00F72D98" w:rsidP="00F72D98">
            <w:pPr>
              <w:spacing w:after="0" w:line="240" w:lineRule="auto"/>
              <w:rPr>
                <w:color w:val="000000"/>
                <w:sz w:val="18"/>
                <w:szCs w:val="18"/>
              </w:rPr>
            </w:pPr>
            <w:r w:rsidRPr="007D12A6">
              <w:rPr>
                <w:color w:val="000000"/>
                <w:sz w:val="18"/>
                <w:szCs w:val="18"/>
              </w:rPr>
              <w:t xml:space="preserve">   anonymné vklady</w:t>
            </w:r>
          </w:p>
        </w:tc>
        <w:tc>
          <w:tcPr>
            <w:tcW w:w="1276" w:type="dxa"/>
            <w:tcBorders>
              <w:left w:val="nil"/>
              <w:right w:val="nil"/>
            </w:tcBorders>
            <w:noWrap/>
            <w:vAlign w:val="center"/>
          </w:tcPr>
          <w:p w14:paraId="2F6A341C" w14:textId="77777777" w:rsidR="00F72D98" w:rsidRPr="007D12A6" w:rsidRDefault="00F72D98" w:rsidP="00F72D98">
            <w:pPr>
              <w:spacing w:after="0" w:line="240" w:lineRule="auto"/>
              <w:jc w:val="right"/>
              <w:rPr>
                <w:color w:val="000000"/>
                <w:sz w:val="18"/>
                <w:szCs w:val="18"/>
              </w:rPr>
            </w:pPr>
            <w:r>
              <w:rPr>
                <w:color w:val="000000"/>
                <w:sz w:val="18"/>
                <w:szCs w:val="18"/>
              </w:rPr>
              <w:t>0</w:t>
            </w:r>
          </w:p>
        </w:tc>
        <w:tc>
          <w:tcPr>
            <w:tcW w:w="1271" w:type="dxa"/>
            <w:tcBorders>
              <w:left w:val="nil"/>
              <w:right w:val="nil"/>
            </w:tcBorders>
            <w:noWrap/>
            <w:vAlign w:val="center"/>
          </w:tcPr>
          <w:p w14:paraId="185DEDD7" w14:textId="77777777" w:rsidR="00F72D98" w:rsidRPr="007D12A6" w:rsidRDefault="00F72D98" w:rsidP="00F72D98">
            <w:pPr>
              <w:spacing w:after="0" w:line="240" w:lineRule="auto"/>
              <w:jc w:val="right"/>
              <w:rPr>
                <w:color w:val="000000"/>
                <w:sz w:val="18"/>
                <w:szCs w:val="18"/>
              </w:rPr>
            </w:pPr>
            <w:r>
              <w:rPr>
                <w:color w:val="000000"/>
                <w:sz w:val="18"/>
                <w:szCs w:val="18"/>
              </w:rPr>
              <w:t>2</w:t>
            </w:r>
          </w:p>
        </w:tc>
        <w:tc>
          <w:tcPr>
            <w:tcW w:w="1273" w:type="dxa"/>
            <w:tcBorders>
              <w:left w:val="nil"/>
              <w:right w:val="nil"/>
            </w:tcBorders>
            <w:shd w:val="clear" w:color="auto" w:fill="auto"/>
            <w:noWrap/>
            <w:vAlign w:val="center"/>
          </w:tcPr>
          <w:p w14:paraId="667A1883" w14:textId="77777777" w:rsidR="00F72D98" w:rsidRPr="00846C8A" w:rsidRDefault="00F72D98" w:rsidP="00F72D98">
            <w:pPr>
              <w:spacing w:after="0" w:line="240" w:lineRule="auto"/>
              <w:jc w:val="right"/>
              <w:rPr>
                <w:color w:val="000000"/>
                <w:sz w:val="18"/>
                <w:szCs w:val="18"/>
              </w:rPr>
            </w:pPr>
            <w:r w:rsidRPr="00846C8A">
              <w:rPr>
                <w:color w:val="000000"/>
                <w:sz w:val="18"/>
                <w:szCs w:val="18"/>
              </w:rPr>
              <w:t>58</w:t>
            </w:r>
          </w:p>
        </w:tc>
      </w:tr>
      <w:tr w:rsidR="00F72D98" w:rsidRPr="002D24FD" w14:paraId="55BB8415" w14:textId="77777777" w:rsidTr="00F72D98">
        <w:trPr>
          <w:trHeight w:hRule="exact" w:val="284"/>
          <w:jc w:val="center"/>
        </w:trPr>
        <w:tc>
          <w:tcPr>
            <w:tcW w:w="5032" w:type="dxa"/>
            <w:tcBorders>
              <w:left w:val="nil"/>
              <w:bottom w:val="single" w:sz="4" w:space="0" w:color="auto"/>
              <w:right w:val="nil"/>
            </w:tcBorders>
            <w:noWrap/>
            <w:vAlign w:val="center"/>
          </w:tcPr>
          <w:p w14:paraId="4A592DC7" w14:textId="77777777" w:rsidR="00F72D98" w:rsidRPr="007D12A6" w:rsidRDefault="00F72D98" w:rsidP="00F72D98">
            <w:pPr>
              <w:spacing w:after="0" w:line="240" w:lineRule="auto"/>
              <w:rPr>
                <w:color w:val="000000"/>
                <w:sz w:val="18"/>
                <w:szCs w:val="18"/>
              </w:rPr>
            </w:pPr>
            <w:r w:rsidRPr="007D12A6">
              <w:rPr>
                <w:color w:val="000000"/>
                <w:sz w:val="18"/>
                <w:szCs w:val="18"/>
              </w:rPr>
              <w:t xml:space="preserve">   ostatné</w:t>
            </w:r>
          </w:p>
        </w:tc>
        <w:tc>
          <w:tcPr>
            <w:tcW w:w="1276" w:type="dxa"/>
            <w:tcBorders>
              <w:left w:val="nil"/>
              <w:bottom w:val="single" w:sz="4" w:space="0" w:color="auto"/>
              <w:right w:val="nil"/>
            </w:tcBorders>
            <w:noWrap/>
            <w:vAlign w:val="center"/>
          </w:tcPr>
          <w:p w14:paraId="5A3E1085" w14:textId="77777777" w:rsidR="00F72D98" w:rsidRPr="007D12A6" w:rsidRDefault="00F72D98" w:rsidP="00F72D98">
            <w:pPr>
              <w:spacing w:after="0" w:line="240" w:lineRule="auto"/>
              <w:jc w:val="right"/>
              <w:rPr>
                <w:color w:val="000000"/>
                <w:sz w:val="18"/>
                <w:szCs w:val="18"/>
              </w:rPr>
            </w:pPr>
            <w:r>
              <w:rPr>
                <w:color w:val="000000"/>
                <w:sz w:val="18"/>
                <w:szCs w:val="18"/>
              </w:rPr>
              <w:t>151</w:t>
            </w:r>
          </w:p>
        </w:tc>
        <w:tc>
          <w:tcPr>
            <w:tcW w:w="1271" w:type="dxa"/>
            <w:tcBorders>
              <w:left w:val="nil"/>
              <w:bottom w:val="single" w:sz="4" w:space="0" w:color="auto"/>
              <w:right w:val="nil"/>
            </w:tcBorders>
            <w:noWrap/>
            <w:vAlign w:val="center"/>
          </w:tcPr>
          <w:p w14:paraId="1A0CA75E" w14:textId="77777777" w:rsidR="00F72D98" w:rsidRPr="007D12A6" w:rsidRDefault="00F72D98" w:rsidP="00F72D98">
            <w:pPr>
              <w:spacing w:after="0" w:line="240" w:lineRule="auto"/>
              <w:jc w:val="right"/>
              <w:rPr>
                <w:color w:val="000000"/>
                <w:sz w:val="18"/>
                <w:szCs w:val="18"/>
              </w:rPr>
            </w:pPr>
            <w:r>
              <w:rPr>
                <w:color w:val="000000"/>
                <w:sz w:val="18"/>
                <w:szCs w:val="18"/>
              </w:rPr>
              <w:t>90</w:t>
            </w:r>
          </w:p>
        </w:tc>
        <w:tc>
          <w:tcPr>
            <w:tcW w:w="1273" w:type="dxa"/>
            <w:tcBorders>
              <w:left w:val="nil"/>
              <w:bottom w:val="single" w:sz="4" w:space="0" w:color="auto"/>
              <w:right w:val="nil"/>
            </w:tcBorders>
            <w:shd w:val="clear" w:color="auto" w:fill="auto"/>
            <w:noWrap/>
            <w:vAlign w:val="center"/>
          </w:tcPr>
          <w:p w14:paraId="727D8DF2" w14:textId="77777777" w:rsidR="00F72D98" w:rsidRPr="00846C8A" w:rsidRDefault="00F72D98" w:rsidP="00F72D98">
            <w:pPr>
              <w:spacing w:after="0" w:line="240" w:lineRule="auto"/>
              <w:jc w:val="right"/>
              <w:rPr>
                <w:color w:val="000000"/>
                <w:sz w:val="18"/>
                <w:szCs w:val="18"/>
              </w:rPr>
            </w:pPr>
            <w:r w:rsidRPr="00846C8A">
              <w:rPr>
                <w:color w:val="000000"/>
                <w:sz w:val="18"/>
                <w:szCs w:val="18"/>
              </w:rPr>
              <w:t>0</w:t>
            </w:r>
          </w:p>
        </w:tc>
      </w:tr>
      <w:tr w:rsidR="00F72D98" w:rsidRPr="002D24FD" w14:paraId="615B2013" w14:textId="77777777" w:rsidTr="00F72D98">
        <w:trPr>
          <w:trHeight w:hRule="exact" w:val="302"/>
          <w:jc w:val="center"/>
        </w:trPr>
        <w:tc>
          <w:tcPr>
            <w:tcW w:w="5032" w:type="dxa"/>
            <w:tcBorders>
              <w:top w:val="single" w:sz="4" w:space="0" w:color="auto"/>
              <w:left w:val="nil"/>
              <w:bottom w:val="single" w:sz="4" w:space="0" w:color="auto"/>
              <w:right w:val="nil"/>
            </w:tcBorders>
            <w:noWrap/>
            <w:vAlign w:val="center"/>
          </w:tcPr>
          <w:p w14:paraId="15C70D8C" w14:textId="77777777" w:rsidR="00F72D98" w:rsidRPr="007D12A6" w:rsidRDefault="00F72D98" w:rsidP="00F72D98">
            <w:pPr>
              <w:spacing w:after="0" w:line="240" w:lineRule="auto"/>
              <w:rPr>
                <w:b/>
                <w:bCs/>
                <w:color w:val="000000"/>
                <w:sz w:val="18"/>
                <w:szCs w:val="18"/>
              </w:rPr>
            </w:pPr>
            <w:r w:rsidRPr="007D12A6">
              <w:rPr>
                <w:b/>
                <w:bCs/>
                <w:color w:val="000000"/>
                <w:sz w:val="18"/>
                <w:szCs w:val="18"/>
              </w:rPr>
              <w:t>Stav k 31.12.</w:t>
            </w:r>
          </w:p>
        </w:tc>
        <w:tc>
          <w:tcPr>
            <w:tcW w:w="1276" w:type="dxa"/>
            <w:tcBorders>
              <w:top w:val="single" w:sz="4" w:space="0" w:color="auto"/>
              <w:left w:val="nil"/>
              <w:bottom w:val="single" w:sz="4" w:space="0" w:color="auto"/>
              <w:right w:val="nil"/>
            </w:tcBorders>
            <w:noWrap/>
            <w:vAlign w:val="center"/>
          </w:tcPr>
          <w:p w14:paraId="105F6743" w14:textId="77777777" w:rsidR="00F72D98" w:rsidRPr="007D12A6" w:rsidRDefault="00F72D98" w:rsidP="00F72D98">
            <w:pPr>
              <w:spacing w:after="0" w:line="240" w:lineRule="auto"/>
              <w:jc w:val="right"/>
              <w:rPr>
                <w:b/>
                <w:color w:val="000000"/>
                <w:sz w:val="18"/>
                <w:szCs w:val="18"/>
              </w:rPr>
            </w:pPr>
            <w:r>
              <w:rPr>
                <w:b/>
                <w:color w:val="000000"/>
                <w:sz w:val="18"/>
                <w:szCs w:val="18"/>
              </w:rPr>
              <w:t>3 419 084</w:t>
            </w:r>
          </w:p>
        </w:tc>
        <w:tc>
          <w:tcPr>
            <w:tcW w:w="1271" w:type="dxa"/>
            <w:tcBorders>
              <w:top w:val="single" w:sz="4" w:space="0" w:color="auto"/>
              <w:left w:val="nil"/>
              <w:bottom w:val="single" w:sz="4" w:space="0" w:color="auto"/>
              <w:right w:val="nil"/>
            </w:tcBorders>
            <w:noWrap/>
            <w:vAlign w:val="center"/>
          </w:tcPr>
          <w:p w14:paraId="3709400B" w14:textId="77777777" w:rsidR="00F72D98" w:rsidRPr="007D12A6" w:rsidRDefault="00F72D98" w:rsidP="00F72D98">
            <w:pPr>
              <w:spacing w:after="0" w:line="240" w:lineRule="auto"/>
              <w:jc w:val="right"/>
              <w:rPr>
                <w:b/>
                <w:color w:val="000000"/>
                <w:sz w:val="18"/>
                <w:szCs w:val="18"/>
              </w:rPr>
            </w:pPr>
            <w:r>
              <w:rPr>
                <w:b/>
                <w:color w:val="000000"/>
                <w:sz w:val="18"/>
                <w:szCs w:val="18"/>
              </w:rPr>
              <w:t>3 196 933</w:t>
            </w:r>
          </w:p>
        </w:tc>
        <w:tc>
          <w:tcPr>
            <w:tcW w:w="1273" w:type="dxa"/>
            <w:tcBorders>
              <w:top w:val="single" w:sz="4" w:space="0" w:color="auto"/>
              <w:left w:val="nil"/>
              <w:bottom w:val="single" w:sz="4" w:space="0" w:color="auto"/>
              <w:right w:val="nil"/>
            </w:tcBorders>
            <w:shd w:val="clear" w:color="auto" w:fill="auto"/>
            <w:noWrap/>
            <w:vAlign w:val="center"/>
          </w:tcPr>
          <w:p w14:paraId="78EAC381" w14:textId="77777777" w:rsidR="00F72D98" w:rsidRPr="00846C8A" w:rsidRDefault="00F72D98" w:rsidP="00F72D98">
            <w:pPr>
              <w:spacing w:after="0" w:line="240" w:lineRule="auto"/>
              <w:jc w:val="right"/>
              <w:rPr>
                <w:b/>
                <w:color w:val="000000"/>
                <w:sz w:val="18"/>
                <w:szCs w:val="18"/>
              </w:rPr>
            </w:pPr>
            <w:r w:rsidRPr="00846C8A">
              <w:rPr>
                <w:b/>
                <w:color w:val="000000"/>
                <w:sz w:val="18"/>
                <w:szCs w:val="18"/>
              </w:rPr>
              <w:t>3 041 203</w:t>
            </w:r>
          </w:p>
        </w:tc>
      </w:tr>
      <w:tr w:rsidR="00F72D98" w:rsidRPr="002D24FD" w14:paraId="5AF21703" w14:textId="77777777" w:rsidTr="00F72D98">
        <w:trPr>
          <w:trHeight w:hRule="exact" w:val="302"/>
          <w:jc w:val="center"/>
        </w:trPr>
        <w:tc>
          <w:tcPr>
            <w:tcW w:w="5032" w:type="dxa"/>
            <w:tcBorders>
              <w:top w:val="single" w:sz="4" w:space="0" w:color="auto"/>
              <w:left w:val="nil"/>
              <w:right w:val="nil"/>
            </w:tcBorders>
            <w:noWrap/>
            <w:vAlign w:val="center"/>
          </w:tcPr>
          <w:p w14:paraId="7FEA6E9C" w14:textId="77777777" w:rsidR="00F72D98" w:rsidRPr="007D12A6" w:rsidRDefault="00F72D98" w:rsidP="00F72D98">
            <w:pPr>
              <w:spacing w:after="0" w:line="240" w:lineRule="auto"/>
              <w:rPr>
                <w:b/>
                <w:bCs/>
                <w:color w:val="000000"/>
                <w:sz w:val="18"/>
                <w:szCs w:val="18"/>
              </w:rPr>
            </w:pPr>
            <w:r w:rsidRPr="007D12A6">
              <w:rPr>
                <w:color w:val="000000"/>
                <w:sz w:val="18"/>
                <w:szCs w:val="18"/>
              </w:rPr>
              <w:t>z toho:</w:t>
            </w:r>
          </w:p>
        </w:tc>
        <w:tc>
          <w:tcPr>
            <w:tcW w:w="1276" w:type="dxa"/>
            <w:tcBorders>
              <w:top w:val="single" w:sz="4" w:space="0" w:color="auto"/>
              <w:left w:val="nil"/>
              <w:right w:val="nil"/>
            </w:tcBorders>
            <w:noWrap/>
            <w:vAlign w:val="center"/>
          </w:tcPr>
          <w:p w14:paraId="5FA26496" w14:textId="77777777" w:rsidR="00F72D98" w:rsidRDefault="00F72D98" w:rsidP="00F72D98">
            <w:pPr>
              <w:spacing w:after="0" w:line="240" w:lineRule="auto"/>
              <w:jc w:val="right"/>
              <w:rPr>
                <w:b/>
                <w:color w:val="000000"/>
                <w:sz w:val="18"/>
                <w:szCs w:val="18"/>
              </w:rPr>
            </w:pPr>
          </w:p>
        </w:tc>
        <w:tc>
          <w:tcPr>
            <w:tcW w:w="1271" w:type="dxa"/>
            <w:tcBorders>
              <w:top w:val="single" w:sz="4" w:space="0" w:color="auto"/>
              <w:left w:val="nil"/>
              <w:right w:val="nil"/>
            </w:tcBorders>
            <w:noWrap/>
            <w:vAlign w:val="center"/>
          </w:tcPr>
          <w:p w14:paraId="73F9A987" w14:textId="77777777" w:rsidR="00F72D98" w:rsidRDefault="00F72D98" w:rsidP="00F72D98">
            <w:pPr>
              <w:spacing w:after="0" w:line="240" w:lineRule="auto"/>
              <w:jc w:val="right"/>
              <w:rPr>
                <w:b/>
                <w:color w:val="000000"/>
                <w:sz w:val="18"/>
                <w:szCs w:val="18"/>
              </w:rPr>
            </w:pPr>
          </w:p>
        </w:tc>
        <w:tc>
          <w:tcPr>
            <w:tcW w:w="1273" w:type="dxa"/>
            <w:tcBorders>
              <w:top w:val="single" w:sz="4" w:space="0" w:color="auto"/>
              <w:left w:val="nil"/>
              <w:right w:val="nil"/>
            </w:tcBorders>
            <w:shd w:val="clear" w:color="auto" w:fill="auto"/>
            <w:noWrap/>
            <w:vAlign w:val="center"/>
          </w:tcPr>
          <w:p w14:paraId="4BE9947B" w14:textId="77777777" w:rsidR="00F72D98" w:rsidRDefault="00F72D98" w:rsidP="00F72D98">
            <w:pPr>
              <w:jc w:val="right"/>
              <w:rPr>
                <w:b/>
                <w:bCs/>
                <w:sz w:val="18"/>
                <w:szCs w:val="18"/>
              </w:rPr>
            </w:pPr>
          </w:p>
        </w:tc>
      </w:tr>
      <w:tr w:rsidR="00F72D98" w:rsidRPr="002D24FD" w14:paraId="71A48BF5" w14:textId="77777777" w:rsidTr="00F72D98">
        <w:trPr>
          <w:trHeight w:hRule="exact" w:val="302"/>
          <w:jc w:val="center"/>
        </w:trPr>
        <w:tc>
          <w:tcPr>
            <w:tcW w:w="5032" w:type="dxa"/>
            <w:tcBorders>
              <w:left w:val="nil"/>
              <w:right w:val="nil"/>
            </w:tcBorders>
            <w:noWrap/>
            <w:vAlign w:val="center"/>
          </w:tcPr>
          <w:p w14:paraId="1469B040" w14:textId="77777777" w:rsidR="00F72D98" w:rsidRPr="000D745C" w:rsidRDefault="00F72D98" w:rsidP="00F72D98">
            <w:pPr>
              <w:spacing w:after="0" w:line="240" w:lineRule="auto"/>
              <w:ind w:left="212"/>
              <w:rPr>
                <w:bCs/>
                <w:color w:val="000000"/>
                <w:sz w:val="18"/>
                <w:szCs w:val="18"/>
              </w:rPr>
            </w:pPr>
            <w:r>
              <w:rPr>
                <w:bCs/>
                <w:color w:val="000000"/>
                <w:sz w:val="18"/>
                <w:szCs w:val="18"/>
              </w:rPr>
              <w:t>ú</w:t>
            </w:r>
            <w:r w:rsidRPr="000D745C">
              <w:rPr>
                <w:bCs/>
                <w:color w:val="000000"/>
                <w:sz w:val="18"/>
                <w:szCs w:val="18"/>
              </w:rPr>
              <w:t xml:space="preserve">čet </w:t>
            </w:r>
            <w:r>
              <w:rPr>
                <w:bCs/>
                <w:color w:val="000000"/>
                <w:sz w:val="18"/>
                <w:szCs w:val="18"/>
              </w:rPr>
              <w:t>FN</w:t>
            </w:r>
            <w:r w:rsidRPr="000D745C">
              <w:rPr>
                <w:bCs/>
                <w:color w:val="000000"/>
                <w:sz w:val="18"/>
                <w:szCs w:val="18"/>
              </w:rPr>
              <w:t>M</w:t>
            </w:r>
            <w:r>
              <w:rPr>
                <w:bCs/>
                <w:color w:val="000000"/>
                <w:sz w:val="18"/>
                <w:szCs w:val="18"/>
              </w:rPr>
              <w:t xml:space="preserve">/MH Manažment, </w:t>
            </w:r>
            <w:proofErr w:type="spellStart"/>
            <w:r>
              <w:rPr>
                <w:bCs/>
                <w:color w:val="000000"/>
                <w:sz w:val="18"/>
                <w:szCs w:val="18"/>
              </w:rPr>
              <w:t>a.s</w:t>
            </w:r>
            <w:proofErr w:type="spellEnd"/>
            <w:r>
              <w:rPr>
                <w:bCs/>
                <w:color w:val="000000"/>
                <w:sz w:val="18"/>
                <w:szCs w:val="18"/>
              </w:rPr>
              <w:t>.</w:t>
            </w:r>
          </w:p>
        </w:tc>
        <w:tc>
          <w:tcPr>
            <w:tcW w:w="1276" w:type="dxa"/>
            <w:tcBorders>
              <w:left w:val="nil"/>
              <w:right w:val="nil"/>
            </w:tcBorders>
            <w:noWrap/>
            <w:vAlign w:val="center"/>
          </w:tcPr>
          <w:p w14:paraId="359B38C7" w14:textId="77777777" w:rsidR="00F72D98" w:rsidRPr="000D745C" w:rsidRDefault="00F72D98" w:rsidP="00F72D98">
            <w:pPr>
              <w:spacing w:after="0" w:line="240" w:lineRule="auto"/>
              <w:jc w:val="right"/>
              <w:rPr>
                <w:color w:val="000000"/>
                <w:sz w:val="18"/>
                <w:szCs w:val="18"/>
              </w:rPr>
            </w:pPr>
            <w:r>
              <w:rPr>
                <w:color w:val="000000"/>
                <w:sz w:val="18"/>
                <w:szCs w:val="18"/>
              </w:rPr>
              <w:t>1 110 562</w:t>
            </w:r>
          </w:p>
        </w:tc>
        <w:tc>
          <w:tcPr>
            <w:tcW w:w="1271" w:type="dxa"/>
            <w:tcBorders>
              <w:left w:val="nil"/>
              <w:right w:val="nil"/>
            </w:tcBorders>
            <w:noWrap/>
            <w:vAlign w:val="center"/>
          </w:tcPr>
          <w:p w14:paraId="1EDE069B" w14:textId="77777777" w:rsidR="00F72D98" w:rsidRPr="000D745C" w:rsidRDefault="00F72D98" w:rsidP="00F72D98">
            <w:pPr>
              <w:spacing w:after="0" w:line="240" w:lineRule="auto"/>
              <w:jc w:val="right"/>
              <w:rPr>
                <w:color w:val="000000"/>
                <w:sz w:val="18"/>
                <w:szCs w:val="18"/>
              </w:rPr>
            </w:pPr>
            <w:r>
              <w:rPr>
                <w:color w:val="000000"/>
                <w:sz w:val="18"/>
                <w:szCs w:val="18"/>
              </w:rPr>
              <w:t>1 019 165</w:t>
            </w:r>
          </w:p>
        </w:tc>
        <w:tc>
          <w:tcPr>
            <w:tcW w:w="1273" w:type="dxa"/>
            <w:tcBorders>
              <w:left w:val="nil"/>
              <w:right w:val="nil"/>
            </w:tcBorders>
            <w:shd w:val="clear" w:color="auto" w:fill="auto"/>
            <w:noWrap/>
            <w:vAlign w:val="center"/>
          </w:tcPr>
          <w:p w14:paraId="46B039C1" w14:textId="77777777" w:rsidR="00F72D98" w:rsidRPr="00846C8A" w:rsidRDefault="00F72D98" w:rsidP="00F72D98">
            <w:pPr>
              <w:spacing w:after="0" w:line="240" w:lineRule="auto"/>
              <w:jc w:val="right"/>
              <w:rPr>
                <w:color w:val="000000"/>
                <w:sz w:val="18"/>
                <w:szCs w:val="18"/>
              </w:rPr>
            </w:pPr>
            <w:r w:rsidRPr="00846C8A">
              <w:rPr>
                <w:color w:val="000000"/>
                <w:sz w:val="18"/>
                <w:szCs w:val="18"/>
              </w:rPr>
              <w:t>913 473</w:t>
            </w:r>
          </w:p>
        </w:tc>
      </w:tr>
      <w:tr w:rsidR="00F72D98" w:rsidRPr="002D24FD" w14:paraId="18BE9CDD" w14:textId="77777777" w:rsidTr="00F72D98">
        <w:trPr>
          <w:trHeight w:hRule="exact" w:val="302"/>
          <w:jc w:val="center"/>
        </w:trPr>
        <w:tc>
          <w:tcPr>
            <w:tcW w:w="5032" w:type="dxa"/>
            <w:tcBorders>
              <w:left w:val="nil"/>
              <w:right w:val="nil"/>
            </w:tcBorders>
            <w:noWrap/>
            <w:vAlign w:val="center"/>
          </w:tcPr>
          <w:p w14:paraId="509A36F4" w14:textId="77777777" w:rsidR="00F72D98" w:rsidRPr="000D745C" w:rsidRDefault="00F72D98" w:rsidP="00F72D98">
            <w:pPr>
              <w:spacing w:after="0" w:line="240" w:lineRule="auto"/>
              <w:ind w:left="212"/>
              <w:rPr>
                <w:bCs/>
                <w:color w:val="000000"/>
                <w:sz w:val="18"/>
                <w:szCs w:val="18"/>
              </w:rPr>
            </w:pPr>
            <w:r>
              <w:rPr>
                <w:bCs/>
                <w:color w:val="000000"/>
                <w:sz w:val="18"/>
                <w:szCs w:val="18"/>
              </w:rPr>
              <w:t>účet NFV</w:t>
            </w:r>
          </w:p>
        </w:tc>
        <w:tc>
          <w:tcPr>
            <w:tcW w:w="1276" w:type="dxa"/>
            <w:tcBorders>
              <w:left w:val="nil"/>
              <w:right w:val="nil"/>
            </w:tcBorders>
            <w:noWrap/>
            <w:vAlign w:val="center"/>
          </w:tcPr>
          <w:p w14:paraId="473B1FB5" w14:textId="77777777" w:rsidR="00F72D98" w:rsidRPr="000D745C" w:rsidRDefault="00F72D98" w:rsidP="00F72D98">
            <w:pPr>
              <w:spacing w:after="0" w:line="240" w:lineRule="auto"/>
              <w:jc w:val="right"/>
              <w:rPr>
                <w:color w:val="000000"/>
                <w:sz w:val="18"/>
                <w:szCs w:val="18"/>
              </w:rPr>
            </w:pPr>
            <w:r>
              <w:rPr>
                <w:color w:val="000000"/>
                <w:sz w:val="18"/>
                <w:szCs w:val="18"/>
              </w:rPr>
              <w:t>151 989</w:t>
            </w:r>
          </w:p>
        </w:tc>
        <w:tc>
          <w:tcPr>
            <w:tcW w:w="1271" w:type="dxa"/>
            <w:tcBorders>
              <w:left w:val="nil"/>
              <w:right w:val="nil"/>
            </w:tcBorders>
            <w:noWrap/>
            <w:vAlign w:val="center"/>
          </w:tcPr>
          <w:p w14:paraId="423C4044" w14:textId="77777777" w:rsidR="00F72D98" w:rsidRPr="000D745C" w:rsidRDefault="00F72D98" w:rsidP="00F72D98">
            <w:pPr>
              <w:spacing w:after="0" w:line="240" w:lineRule="auto"/>
              <w:jc w:val="right"/>
              <w:rPr>
                <w:color w:val="000000"/>
                <w:sz w:val="18"/>
                <w:szCs w:val="18"/>
              </w:rPr>
            </w:pPr>
            <w:r>
              <w:rPr>
                <w:color w:val="000000"/>
                <w:sz w:val="18"/>
                <w:szCs w:val="18"/>
              </w:rPr>
              <w:t>58 315</w:t>
            </w:r>
          </w:p>
        </w:tc>
        <w:tc>
          <w:tcPr>
            <w:tcW w:w="1273" w:type="dxa"/>
            <w:tcBorders>
              <w:left w:val="nil"/>
              <w:right w:val="nil"/>
            </w:tcBorders>
            <w:shd w:val="clear" w:color="auto" w:fill="auto"/>
            <w:noWrap/>
            <w:vAlign w:val="center"/>
          </w:tcPr>
          <w:p w14:paraId="1C7A3E8E" w14:textId="77777777" w:rsidR="00F72D98" w:rsidRPr="00846C8A" w:rsidRDefault="00F72D98" w:rsidP="00F72D98">
            <w:pPr>
              <w:spacing w:after="0" w:line="240" w:lineRule="auto"/>
              <w:jc w:val="right"/>
              <w:rPr>
                <w:color w:val="000000"/>
                <w:sz w:val="18"/>
                <w:szCs w:val="18"/>
              </w:rPr>
            </w:pPr>
            <w:r w:rsidRPr="00846C8A">
              <w:rPr>
                <w:color w:val="000000"/>
                <w:sz w:val="18"/>
                <w:szCs w:val="18"/>
              </w:rPr>
              <w:t>96 245</w:t>
            </w:r>
          </w:p>
        </w:tc>
      </w:tr>
      <w:tr w:rsidR="00F72D98" w:rsidRPr="002D24FD" w14:paraId="6194271B" w14:textId="77777777" w:rsidTr="00F72D98">
        <w:trPr>
          <w:trHeight w:hRule="exact" w:val="302"/>
          <w:jc w:val="center"/>
        </w:trPr>
        <w:tc>
          <w:tcPr>
            <w:tcW w:w="5032" w:type="dxa"/>
            <w:tcBorders>
              <w:left w:val="nil"/>
              <w:right w:val="nil"/>
            </w:tcBorders>
            <w:noWrap/>
            <w:vAlign w:val="center"/>
          </w:tcPr>
          <w:p w14:paraId="63948481" w14:textId="77777777" w:rsidR="00F72D98" w:rsidRPr="000D745C" w:rsidRDefault="00F72D98" w:rsidP="00F72D98">
            <w:pPr>
              <w:spacing w:after="0" w:line="240" w:lineRule="auto"/>
              <w:ind w:left="212"/>
              <w:rPr>
                <w:bCs/>
                <w:color w:val="000000"/>
                <w:sz w:val="18"/>
                <w:szCs w:val="18"/>
              </w:rPr>
            </w:pPr>
            <w:r>
              <w:rPr>
                <w:bCs/>
                <w:color w:val="000000"/>
                <w:sz w:val="18"/>
                <w:szCs w:val="18"/>
              </w:rPr>
              <w:t>účet osobitného odvodu finančných inštitúcií</w:t>
            </w:r>
          </w:p>
        </w:tc>
        <w:tc>
          <w:tcPr>
            <w:tcW w:w="1276" w:type="dxa"/>
            <w:tcBorders>
              <w:left w:val="nil"/>
              <w:right w:val="nil"/>
            </w:tcBorders>
            <w:noWrap/>
            <w:vAlign w:val="center"/>
          </w:tcPr>
          <w:p w14:paraId="53AC27DF" w14:textId="77777777" w:rsidR="00F72D98" w:rsidRPr="000D745C" w:rsidRDefault="00F72D98" w:rsidP="00F72D98">
            <w:pPr>
              <w:spacing w:after="0" w:line="240" w:lineRule="auto"/>
              <w:jc w:val="right"/>
              <w:rPr>
                <w:color w:val="000000"/>
                <w:sz w:val="18"/>
                <w:szCs w:val="18"/>
              </w:rPr>
            </w:pPr>
            <w:r>
              <w:rPr>
                <w:color w:val="000000"/>
                <w:sz w:val="18"/>
                <w:szCs w:val="18"/>
              </w:rPr>
              <w:t>1 251 518</w:t>
            </w:r>
          </w:p>
        </w:tc>
        <w:tc>
          <w:tcPr>
            <w:tcW w:w="1271" w:type="dxa"/>
            <w:tcBorders>
              <w:left w:val="nil"/>
              <w:right w:val="nil"/>
            </w:tcBorders>
            <w:noWrap/>
            <w:vAlign w:val="center"/>
          </w:tcPr>
          <w:p w14:paraId="0E827C24" w14:textId="77777777" w:rsidR="00F72D98" w:rsidRPr="000D745C" w:rsidRDefault="00F72D98" w:rsidP="00F72D98">
            <w:pPr>
              <w:spacing w:after="0" w:line="240" w:lineRule="auto"/>
              <w:jc w:val="right"/>
              <w:rPr>
                <w:color w:val="000000"/>
                <w:sz w:val="18"/>
                <w:szCs w:val="18"/>
              </w:rPr>
            </w:pPr>
            <w:r>
              <w:rPr>
                <w:color w:val="000000"/>
                <w:sz w:val="18"/>
                <w:szCs w:val="18"/>
              </w:rPr>
              <w:t>1 122 786</w:t>
            </w:r>
          </w:p>
        </w:tc>
        <w:tc>
          <w:tcPr>
            <w:tcW w:w="1273" w:type="dxa"/>
            <w:tcBorders>
              <w:left w:val="nil"/>
              <w:right w:val="nil"/>
            </w:tcBorders>
            <w:shd w:val="clear" w:color="auto" w:fill="auto"/>
            <w:noWrap/>
            <w:vAlign w:val="center"/>
          </w:tcPr>
          <w:p w14:paraId="3EE13AA8" w14:textId="77777777" w:rsidR="00F72D98" w:rsidRPr="00846C8A" w:rsidRDefault="00F72D98" w:rsidP="00F72D98">
            <w:pPr>
              <w:spacing w:after="0" w:line="240" w:lineRule="auto"/>
              <w:jc w:val="right"/>
              <w:rPr>
                <w:color w:val="000000"/>
                <w:sz w:val="18"/>
                <w:szCs w:val="18"/>
              </w:rPr>
            </w:pPr>
            <w:r w:rsidRPr="00846C8A">
              <w:rPr>
                <w:color w:val="000000"/>
                <w:sz w:val="18"/>
                <w:szCs w:val="18"/>
              </w:rPr>
              <w:t>934 156</w:t>
            </w:r>
          </w:p>
        </w:tc>
      </w:tr>
      <w:tr w:rsidR="00F72D98" w:rsidRPr="002D24FD" w14:paraId="383267AE" w14:textId="77777777" w:rsidTr="00F72D98">
        <w:trPr>
          <w:trHeight w:hRule="exact" w:val="302"/>
          <w:jc w:val="center"/>
        </w:trPr>
        <w:tc>
          <w:tcPr>
            <w:tcW w:w="5032" w:type="dxa"/>
            <w:tcBorders>
              <w:left w:val="nil"/>
              <w:right w:val="nil"/>
            </w:tcBorders>
            <w:noWrap/>
            <w:vAlign w:val="center"/>
          </w:tcPr>
          <w:p w14:paraId="0BAD1C1D" w14:textId="77777777" w:rsidR="00F72D98" w:rsidRPr="000D745C" w:rsidRDefault="00F72D98" w:rsidP="00F72D98">
            <w:pPr>
              <w:spacing w:after="0" w:line="240" w:lineRule="auto"/>
              <w:ind w:left="212"/>
              <w:rPr>
                <w:bCs/>
                <w:color w:val="000000"/>
                <w:sz w:val="18"/>
                <w:szCs w:val="18"/>
              </w:rPr>
            </w:pPr>
            <w:r>
              <w:rPr>
                <w:bCs/>
                <w:color w:val="000000"/>
                <w:sz w:val="18"/>
                <w:szCs w:val="18"/>
              </w:rPr>
              <w:t>účet osobitného odvodu z podnikania v regulovaných odvetviach</w:t>
            </w:r>
          </w:p>
        </w:tc>
        <w:tc>
          <w:tcPr>
            <w:tcW w:w="1276" w:type="dxa"/>
            <w:tcBorders>
              <w:left w:val="nil"/>
              <w:right w:val="nil"/>
            </w:tcBorders>
            <w:noWrap/>
            <w:vAlign w:val="center"/>
          </w:tcPr>
          <w:p w14:paraId="0B1C4E31" w14:textId="77777777" w:rsidR="00F72D98" w:rsidRPr="000D745C" w:rsidRDefault="00F72D98" w:rsidP="00F72D98">
            <w:pPr>
              <w:spacing w:after="0" w:line="240" w:lineRule="auto"/>
              <w:jc w:val="right"/>
              <w:rPr>
                <w:color w:val="000000"/>
                <w:sz w:val="18"/>
                <w:szCs w:val="18"/>
              </w:rPr>
            </w:pPr>
            <w:r>
              <w:rPr>
                <w:color w:val="000000"/>
                <w:sz w:val="18"/>
                <w:szCs w:val="18"/>
              </w:rPr>
              <w:t>828 339</w:t>
            </w:r>
          </w:p>
        </w:tc>
        <w:tc>
          <w:tcPr>
            <w:tcW w:w="1271" w:type="dxa"/>
            <w:tcBorders>
              <w:left w:val="nil"/>
              <w:right w:val="nil"/>
            </w:tcBorders>
            <w:noWrap/>
            <w:vAlign w:val="center"/>
          </w:tcPr>
          <w:p w14:paraId="57F0767B" w14:textId="77777777" w:rsidR="00F72D98" w:rsidRPr="000D745C" w:rsidRDefault="00F72D98" w:rsidP="00F72D98">
            <w:pPr>
              <w:spacing w:after="0" w:line="240" w:lineRule="auto"/>
              <w:jc w:val="right"/>
              <w:rPr>
                <w:color w:val="000000"/>
                <w:sz w:val="18"/>
                <w:szCs w:val="18"/>
              </w:rPr>
            </w:pPr>
            <w:r>
              <w:rPr>
                <w:color w:val="000000"/>
                <w:sz w:val="18"/>
                <w:szCs w:val="18"/>
              </w:rPr>
              <w:t>919 804</w:t>
            </w:r>
          </w:p>
        </w:tc>
        <w:tc>
          <w:tcPr>
            <w:tcW w:w="1273" w:type="dxa"/>
            <w:tcBorders>
              <w:left w:val="nil"/>
              <w:right w:val="nil"/>
            </w:tcBorders>
            <w:shd w:val="clear" w:color="auto" w:fill="auto"/>
            <w:noWrap/>
            <w:vAlign w:val="center"/>
          </w:tcPr>
          <w:p w14:paraId="3EFE2DDE" w14:textId="77777777" w:rsidR="00F72D98" w:rsidRPr="00846C8A" w:rsidRDefault="00F72D98" w:rsidP="00F72D98">
            <w:pPr>
              <w:spacing w:after="0" w:line="240" w:lineRule="auto"/>
              <w:jc w:val="right"/>
              <w:rPr>
                <w:color w:val="000000"/>
                <w:sz w:val="18"/>
                <w:szCs w:val="18"/>
              </w:rPr>
            </w:pPr>
            <w:r w:rsidRPr="00846C8A">
              <w:rPr>
                <w:color w:val="000000"/>
                <w:sz w:val="18"/>
                <w:szCs w:val="18"/>
              </w:rPr>
              <w:t>1 018 922</w:t>
            </w:r>
          </w:p>
        </w:tc>
      </w:tr>
      <w:tr w:rsidR="00F72D98" w:rsidRPr="002D24FD" w14:paraId="3D3EC680" w14:textId="77777777" w:rsidTr="00F72D98">
        <w:trPr>
          <w:trHeight w:hRule="exact" w:val="302"/>
          <w:jc w:val="center"/>
        </w:trPr>
        <w:tc>
          <w:tcPr>
            <w:tcW w:w="5032" w:type="dxa"/>
            <w:tcBorders>
              <w:left w:val="nil"/>
              <w:right w:val="nil"/>
            </w:tcBorders>
            <w:noWrap/>
            <w:vAlign w:val="center"/>
          </w:tcPr>
          <w:p w14:paraId="00C04360" w14:textId="77777777" w:rsidR="00F72D98" w:rsidRDefault="00F72D98" w:rsidP="00F72D98">
            <w:pPr>
              <w:spacing w:after="0" w:line="240" w:lineRule="auto"/>
              <w:ind w:left="212"/>
              <w:rPr>
                <w:bCs/>
                <w:color w:val="000000"/>
                <w:sz w:val="18"/>
                <w:szCs w:val="18"/>
              </w:rPr>
            </w:pPr>
            <w:r>
              <w:rPr>
                <w:bCs/>
                <w:color w:val="000000"/>
                <w:sz w:val="18"/>
                <w:szCs w:val="18"/>
              </w:rPr>
              <w:t>účet anonymných vkladov</w:t>
            </w:r>
          </w:p>
        </w:tc>
        <w:tc>
          <w:tcPr>
            <w:tcW w:w="1276" w:type="dxa"/>
            <w:tcBorders>
              <w:left w:val="nil"/>
              <w:right w:val="nil"/>
            </w:tcBorders>
            <w:noWrap/>
            <w:vAlign w:val="center"/>
          </w:tcPr>
          <w:p w14:paraId="6AE56016" w14:textId="77777777" w:rsidR="00F72D98" w:rsidRPr="000D745C" w:rsidRDefault="00F72D98" w:rsidP="00F72D98">
            <w:pPr>
              <w:spacing w:after="0" w:line="240" w:lineRule="auto"/>
              <w:jc w:val="right"/>
              <w:rPr>
                <w:color w:val="000000"/>
                <w:sz w:val="18"/>
                <w:szCs w:val="18"/>
              </w:rPr>
            </w:pPr>
            <w:r>
              <w:rPr>
                <w:color w:val="000000"/>
                <w:sz w:val="18"/>
                <w:szCs w:val="18"/>
              </w:rPr>
              <w:t>25 980</w:t>
            </w:r>
          </w:p>
        </w:tc>
        <w:tc>
          <w:tcPr>
            <w:tcW w:w="1271" w:type="dxa"/>
            <w:tcBorders>
              <w:left w:val="nil"/>
              <w:right w:val="nil"/>
            </w:tcBorders>
            <w:noWrap/>
            <w:vAlign w:val="center"/>
          </w:tcPr>
          <w:p w14:paraId="7CA41E41" w14:textId="77777777" w:rsidR="00F72D98" w:rsidRPr="000D745C" w:rsidRDefault="00F72D98" w:rsidP="00F72D98">
            <w:pPr>
              <w:spacing w:after="0" w:line="240" w:lineRule="auto"/>
              <w:jc w:val="right"/>
              <w:rPr>
                <w:color w:val="000000"/>
                <w:sz w:val="18"/>
                <w:szCs w:val="18"/>
              </w:rPr>
            </w:pPr>
            <w:r>
              <w:rPr>
                <w:color w:val="000000"/>
                <w:sz w:val="18"/>
                <w:szCs w:val="18"/>
              </w:rPr>
              <w:t>26 041</w:t>
            </w:r>
          </w:p>
        </w:tc>
        <w:tc>
          <w:tcPr>
            <w:tcW w:w="1273" w:type="dxa"/>
            <w:tcBorders>
              <w:left w:val="nil"/>
              <w:right w:val="nil"/>
            </w:tcBorders>
            <w:shd w:val="clear" w:color="auto" w:fill="auto"/>
            <w:noWrap/>
            <w:vAlign w:val="center"/>
          </w:tcPr>
          <w:p w14:paraId="3F29AF81" w14:textId="77777777" w:rsidR="00F72D98" w:rsidRPr="00846C8A" w:rsidRDefault="00F72D98" w:rsidP="00F72D98">
            <w:pPr>
              <w:spacing w:after="0" w:line="240" w:lineRule="auto"/>
              <w:jc w:val="right"/>
              <w:rPr>
                <w:color w:val="000000"/>
                <w:sz w:val="18"/>
                <w:szCs w:val="18"/>
              </w:rPr>
            </w:pPr>
            <w:r w:rsidRPr="00846C8A">
              <w:rPr>
                <w:color w:val="000000"/>
                <w:sz w:val="18"/>
                <w:szCs w:val="18"/>
              </w:rPr>
              <w:t>26 030</w:t>
            </w:r>
          </w:p>
        </w:tc>
      </w:tr>
      <w:tr w:rsidR="00F72D98" w:rsidRPr="002D24FD" w14:paraId="1C9E32BC" w14:textId="77777777" w:rsidTr="00F72D98">
        <w:trPr>
          <w:trHeight w:hRule="exact" w:val="302"/>
          <w:jc w:val="center"/>
        </w:trPr>
        <w:tc>
          <w:tcPr>
            <w:tcW w:w="5032" w:type="dxa"/>
            <w:tcBorders>
              <w:left w:val="nil"/>
              <w:bottom w:val="single" w:sz="4" w:space="0" w:color="auto"/>
              <w:right w:val="nil"/>
            </w:tcBorders>
            <w:noWrap/>
            <w:vAlign w:val="center"/>
          </w:tcPr>
          <w:p w14:paraId="2C51DFCA" w14:textId="77777777" w:rsidR="00F72D98" w:rsidRDefault="00F72D98" w:rsidP="00F72D98">
            <w:pPr>
              <w:spacing w:after="0" w:line="240" w:lineRule="auto"/>
              <w:ind w:left="212"/>
              <w:rPr>
                <w:bCs/>
                <w:color w:val="000000"/>
                <w:sz w:val="18"/>
                <w:szCs w:val="18"/>
              </w:rPr>
            </w:pPr>
            <w:r>
              <w:rPr>
                <w:bCs/>
                <w:color w:val="000000"/>
                <w:sz w:val="18"/>
                <w:szCs w:val="18"/>
              </w:rPr>
              <w:t>ostatné</w:t>
            </w:r>
          </w:p>
        </w:tc>
        <w:tc>
          <w:tcPr>
            <w:tcW w:w="1276" w:type="dxa"/>
            <w:tcBorders>
              <w:left w:val="nil"/>
              <w:bottom w:val="single" w:sz="4" w:space="0" w:color="auto"/>
              <w:right w:val="nil"/>
            </w:tcBorders>
            <w:noWrap/>
            <w:vAlign w:val="center"/>
          </w:tcPr>
          <w:p w14:paraId="5C030034" w14:textId="77777777" w:rsidR="00F72D98" w:rsidRPr="000D745C" w:rsidRDefault="00F72D98" w:rsidP="00F72D98">
            <w:pPr>
              <w:spacing w:after="0" w:line="240" w:lineRule="auto"/>
              <w:jc w:val="right"/>
              <w:rPr>
                <w:color w:val="000000"/>
                <w:sz w:val="18"/>
                <w:szCs w:val="18"/>
              </w:rPr>
            </w:pPr>
            <w:r>
              <w:rPr>
                <w:color w:val="000000"/>
                <w:sz w:val="18"/>
                <w:szCs w:val="18"/>
              </w:rPr>
              <w:t>50 696</w:t>
            </w:r>
          </w:p>
        </w:tc>
        <w:tc>
          <w:tcPr>
            <w:tcW w:w="1271" w:type="dxa"/>
            <w:tcBorders>
              <w:left w:val="nil"/>
              <w:bottom w:val="single" w:sz="4" w:space="0" w:color="auto"/>
              <w:right w:val="nil"/>
            </w:tcBorders>
            <w:noWrap/>
            <w:vAlign w:val="center"/>
          </w:tcPr>
          <w:p w14:paraId="7A2BB117" w14:textId="77777777" w:rsidR="00F72D98" w:rsidRPr="000D745C" w:rsidRDefault="00F72D98" w:rsidP="00F72D98">
            <w:pPr>
              <w:spacing w:after="0" w:line="240" w:lineRule="auto"/>
              <w:jc w:val="right"/>
              <w:rPr>
                <w:color w:val="000000"/>
                <w:sz w:val="18"/>
                <w:szCs w:val="18"/>
              </w:rPr>
            </w:pPr>
            <w:r>
              <w:rPr>
                <w:color w:val="000000"/>
                <w:sz w:val="18"/>
                <w:szCs w:val="18"/>
              </w:rPr>
              <w:t>50 822</w:t>
            </w:r>
          </w:p>
        </w:tc>
        <w:tc>
          <w:tcPr>
            <w:tcW w:w="1273" w:type="dxa"/>
            <w:tcBorders>
              <w:left w:val="nil"/>
              <w:bottom w:val="single" w:sz="4" w:space="0" w:color="auto"/>
              <w:right w:val="nil"/>
            </w:tcBorders>
            <w:shd w:val="clear" w:color="auto" w:fill="auto"/>
            <w:noWrap/>
            <w:vAlign w:val="center"/>
          </w:tcPr>
          <w:p w14:paraId="7935B643" w14:textId="77777777" w:rsidR="00F72D98" w:rsidRPr="00846C8A" w:rsidRDefault="00F72D98" w:rsidP="00F72D98">
            <w:pPr>
              <w:spacing w:after="0" w:line="240" w:lineRule="auto"/>
              <w:jc w:val="right"/>
              <w:rPr>
                <w:color w:val="000000"/>
                <w:sz w:val="18"/>
                <w:szCs w:val="18"/>
              </w:rPr>
            </w:pPr>
            <w:r w:rsidRPr="00846C8A">
              <w:rPr>
                <w:color w:val="000000"/>
                <w:sz w:val="18"/>
                <w:szCs w:val="18"/>
              </w:rPr>
              <w:t>52 377</w:t>
            </w:r>
          </w:p>
        </w:tc>
      </w:tr>
    </w:tbl>
    <w:p w14:paraId="4EC964B7" w14:textId="75DE53C3" w:rsidR="00F72D98" w:rsidRPr="00F72D98" w:rsidRDefault="00F72D98" w:rsidP="00F72D9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F72D98">
        <w:rPr>
          <w:sz w:val="20"/>
          <w:szCs w:val="20"/>
        </w:rPr>
        <w:t>Zdroj: MF SR</w:t>
      </w:r>
    </w:p>
    <w:p w14:paraId="1E112204" w14:textId="3B4FC21C" w:rsidR="00F72D98" w:rsidRDefault="00F72D98" w:rsidP="00F72D9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sz w:val="24"/>
          <w:szCs w:val="24"/>
        </w:rPr>
      </w:pPr>
      <w:r w:rsidRPr="00BB092C">
        <w:rPr>
          <w:sz w:val="24"/>
          <w:szCs w:val="24"/>
          <w:u w:val="single"/>
        </w:rPr>
        <w:t>Rozpočtované príjmy štátnych finančných aktív</w:t>
      </w:r>
      <w:r>
        <w:rPr>
          <w:sz w:val="24"/>
          <w:szCs w:val="24"/>
        </w:rPr>
        <w:t xml:space="preserve"> pre rok 2023 </w:t>
      </w:r>
      <w:r w:rsidRPr="00BB092C">
        <w:rPr>
          <w:sz w:val="24"/>
          <w:szCs w:val="24"/>
        </w:rPr>
        <w:t xml:space="preserve">boli v sume </w:t>
      </w:r>
      <w:r w:rsidR="00847952">
        <w:rPr>
          <w:sz w:val="24"/>
          <w:szCs w:val="24"/>
        </w:rPr>
        <w:t>943 </w:t>
      </w:r>
      <w:r>
        <w:rPr>
          <w:sz w:val="24"/>
          <w:szCs w:val="24"/>
        </w:rPr>
        <w:t>762</w:t>
      </w:r>
      <w:r w:rsidR="00847952">
        <w:rPr>
          <w:sz w:val="24"/>
          <w:szCs w:val="24"/>
        </w:rPr>
        <w:t> </w:t>
      </w:r>
      <w:r w:rsidRPr="00BB092C">
        <w:rPr>
          <w:sz w:val="24"/>
          <w:szCs w:val="24"/>
        </w:rPr>
        <w:t>tis.</w:t>
      </w:r>
      <w:r w:rsidR="00847952">
        <w:rPr>
          <w:sz w:val="24"/>
          <w:szCs w:val="24"/>
        </w:rPr>
        <w:t> </w:t>
      </w:r>
      <w:r w:rsidRPr="00BB092C">
        <w:rPr>
          <w:sz w:val="24"/>
          <w:szCs w:val="24"/>
        </w:rPr>
        <w:t xml:space="preserve">eur, z čoho príjmové finančné operácie tvorili </w:t>
      </w:r>
      <w:r>
        <w:rPr>
          <w:sz w:val="24"/>
          <w:szCs w:val="24"/>
        </w:rPr>
        <w:t>64</w:t>
      </w:r>
      <w:r w:rsidR="00847952">
        <w:rPr>
          <w:sz w:val="24"/>
          <w:szCs w:val="24"/>
        </w:rPr>
        <w:t> </w:t>
      </w:r>
      <w:r>
        <w:rPr>
          <w:sz w:val="24"/>
          <w:szCs w:val="24"/>
        </w:rPr>
        <w:t>169</w:t>
      </w:r>
      <w:r w:rsidR="00847952">
        <w:rPr>
          <w:sz w:val="24"/>
          <w:szCs w:val="24"/>
        </w:rPr>
        <w:t> </w:t>
      </w:r>
      <w:r w:rsidRPr="00BB092C">
        <w:rPr>
          <w:sz w:val="24"/>
          <w:szCs w:val="24"/>
        </w:rPr>
        <w:t>tis.</w:t>
      </w:r>
      <w:r w:rsidR="00847952">
        <w:rPr>
          <w:sz w:val="24"/>
          <w:szCs w:val="24"/>
        </w:rPr>
        <w:t> </w:t>
      </w:r>
      <w:r w:rsidRPr="00BB092C">
        <w:rPr>
          <w:sz w:val="24"/>
          <w:szCs w:val="24"/>
        </w:rPr>
        <w:t>eur (ako splátky NFV). Oproti roku 202</w:t>
      </w:r>
      <w:r>
        <w:rPr>
          <w:sz w:val="24"/>
          <w:szCs w:val="24"/>
        </w:rPr>
        <w:t>2</w:t>
      </w:r>
      <w:r w:rsidRPr="00BB092C">
        <w:rPr>
          <w:sz w:val="24"/>
          <w:szCs w:val="24"/>
        </w:rPr>
        <w:t xml:space="preserve"> </w:t>
      </w:r>
      <w:r w:rsidRPr="00F93475">
        <w:rPr>
          <w:sz w:val="24"/>
          <w:szCs w:val="24"/>
        </w:rPr>
        <w:t>sa príjmy spolu s príjmovými finančnými operáciami rozpočtovali vyššie úhrnom o 544</w:t>
      </w:r>
      <w:r w:rsidR="00847952">
        <w:rPr>
          <w:sz w:val="24"/>
          <w:szCs w:val="24"/>
        </w:rPr>
        <w:t> </w:t>
      </w:r>
      <w:r>
        <w:rPr>
          <w:sz w:val="24"/>
          <w:szCs w:val="24"/>
        </w:rPr>
        <w:t>569</w:t>
      </w:r>
      <w:r w:rsidR="00847952">
        <w:rPr>
          <w:sz w:val="24"/>
          <w:szCs w:val="24"/>
        </w:rPr>
        <w:t> </w:t>
      </w:r>
      <w:r w:rsidRPr="00F93475">
        <w:rPr>
          <w:sz w:val="24"/>
          <w:szCs w:val="24"/>
        </w:rPr>
        <w:t>tis.</w:t>
      </w:r>
      <w:r w:rsidR="00847952">
        <w:rPr>
          <w:sz w:val="24"/>
          <w:szCs w:val="24"/>
        </w:rPr>
        <w:t> </w:t>
      </w:r>
      <w:r w:rsidRPr="00F93475">
        <w:rPr>
          <w:sz w:val="24"/>
          <w:szCs w:val="24"/>
        </w:rPr>
        <w:t>eur</w:t>
      </w:r>
      <w:r>
        <w:rPr>
          <w:sz w:val="24"/>
          <w:szCs w:val="24"/>
        </w:rPr>
        <w:t>. Nárast bol spôsobený doplnením zdrojov štátnych finančných aktív v roku 2023 z výdavkov štátneho rozpočtu v sume 750</w:t>
      </w:r>
      <w:r w:rsidR="00847952">
        <w:rPr>
          <w:sz w:val="24"/>
          <w:szCs w:val="24"/>
        </w:rPr>
        <w:t> </w:t>
      </w:r>
      <w:r>
        <w:rPr>
          <w:sz w:val="24"/>
          <w:szCs w:val="24"/>
        </w:rPr>
        <w:t>000</w:t>
      </w:r>
      <w:r w:rsidR="00847952">
        <w:rPr>
          <w:sz w:val="24"/>
          <w:szCs w:val="24"/>
        </w:rPr>
        <w:t> </w:t>
      </w:r>
      <w:r>
        <w:rPr>
          <w:sz w:val="24"/>
          <w:szCs w:val="24"/>
        </w:rPr>
        <w:t xml:space="preserve">tis. eur na kapitalizáciu existujúcich spoločnosti štátu. </w:t>
      </w:r>
    </w:p>
    <w:p w14:paraId="1252A3EF" w14:textId="3C4530CF" w:rsidR="00F72D98" w:rsidRPr="00BB092C" w:rsidRDefault="00F72D98" w:rsidP="00F72D9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sz w:val="24"/>
          <w:szCs w:val="24"/>
        </w:rPr>
      </w:pPr>
      <w:r>
        <w:rPr>
          <w:sz w:val="24"/>
          <w:szCs w:val="24"/>
        </w:rPr>
        <w:t>Osobitný odvod z podnikania v regulovaných odvetviach bol rozpočtovaný v</w:t>
      </w:r>
      <w:r w:rsidR="00847952">
        <w:rPr>
          <w:sz w:val="24"/>
          <w:szCs w:val="24"/>
        </w:rPr>
        <w:t> </w:t>
      </w:r>
      <w:r>
        <w:rPr>
          <w:sz w:val="24"/>
          <w:szCs w:val="24"/>
        </w:rPr>
        <w:t>sume 98</w:t>
      </w:r>
      <w:r w:rsidR="00847952">
        <w:rPr>
          <w:sz w:val="24"/>
          <w:szCs w:val="24"/>
        </w:rPr>
        <w:t> </w:t>
      </w:r>
      <w:r>
        <w:rPr>
          <w:sz w:val="24"/>
          <w:szCs w:val="24"/>
        </w:rPr>
        <w:t>552</w:t>
      </w:r>
      <w:r w:rsidR="00847952">
        <w:rPr>
          <w:sz w:val="24"/>
          <w:szCs w:val="24"/>
        </w:rPr>
        <w:t> </w:t>
      </w:r>
      <w:r>
        <w:rPr>
          <w:sz w:val="24"/>
          <w:szCs w:val="24"/>
        </w:rPr>
        <w:t>tis.</w:t>
      </w:r>
      <w:r w:rsidR="00847952">
        <w:rPr>
          <w:sz w:val="24"/>
          <w:szCs w:val="24"/>
        </w:rPr>
        <w:t> </w:t>
      </w:r>
      <w:r>
        <w:rPr>
          <w:sz w:val="24"/>
          <w:szCs w:val="24"/>
        </w:rPr>
        <w:t>eur, medziročne viac o</w:t>
      </w:r>
      <w:r w:rsidR="00847952">
        <w:rPr>
          <w:sz w:val="24"/>
          <w:szCs w:val="24"/>
        </w:rPr>
        <w:t> </w:t>
      </w:r>
      <w:r>
        <w:rPr>
          <w:sz w:val="24"/>
          <w:szCs w:val="24"/>
        </w:rPr>
        <w:t>258</w:t>
      </w:r>
      <w:r w:rsidR="00847952">
        <w:rPr>
          <w:sz w:val="24"/>
          <w:szCs w:val="24"/>
        </w:rPr>
        <w:t> </w:t>
      </w:r>
      <w:r>
        <w:rPr>
          <w:sz w:val="24"/>
          <w:szCs w:val="24"/>
        </w:rPr>
        <w:t>tis.</w:t>
      </w:r>
      <w:r w:rsidR="00847952">
        <w:rPr>
          <w:sz w:val="24"/>
          <w:szCs w:val="24"/>
        </w:rPr>
        <w:t> </w:t>
      </w:r>
      <w:r>
        <w:rPr>
          <w:sz w:val="24"/>
          <w:szCs w:val="24"/>
        </w:rPr>
        <w:t>eur.</w:t>
      </w:r>
    </w:p>
    <w:p w14:paraId="0767CF4F" w14:textId="392C1A58" w:rsidR="00F72D98" w:rsidRDefault="00F72D98" w:rsidP="008172C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sz w:val="24"/>
          <w:szCs w:val="24"/>
        </w:rPr>
      </w:pPr>
      <w:r w:rsidRPr="00BB092C">
        <w:rPr>
          <w:sz w:val="24"/>
          <w:szCs w:val="24"/>
          <w:u w:val="single"/>
        </w:rPr>
        <w:t>Rozpočtované výdavky štátnych finančných aktív</w:t>
      </w:r>
      <w:r w:rsidRPr="00BB092C">
        <w:rPr>
          <w:sz w:val="24"/>
          <w:szCs w:val="24"/>
        </w:rPr>
        <w:t xml:space="preserve"> pre rok 202</w:t>
      </w:r>
      <w:r>
        <w:rPr>
          <w:sz w:val="24"/>
          <w:szCs w:val="24"/>
        </w:rPr>
        <w:t>3</w:t>
      </w:r>
      <w:r w:rsidRPr="00BB092C">
        <w:rPr>
          <w:sz w:val="24"/>
          <w:szCs w:val="24"/>
        </w:rPr>
        <w:t xml:space="preserve"> boli v sume </w:t>
      </w:r>
      <w:r>
        <w:rPr>
          <w:sz w:val="24"/>
          <w:szCs w:val="24"/>
        </w:rPr>
        <w:t>39</w:t>
      </w:r>
      <w:r w:rsidR="00847952">
        <w:rPr>
          <w:sz w:val="24"/>
          <w:szCs w:val="24"/>
        </w:rPr>
        <w:t> </w:t>
      </w:r>
      <w:r>
        <w:rPr>
          <w:sz w:val="24"/>
          <w:szCs w:val="24"/>
        </w:rPr>
        <w:t>989</w:t>
      </w:r>
      <w:r w:rsidR="00847952">
        <w:rPr>
          <w:sz w:val="24"/>
          <w:szCs w:val="24"/>
        </w:rPr>
        <w:t> </w:t>
      </w:r>
      <w:r w:rsidRPr="00BB092C">
        <w:rPr>
          <w:sz w:val="24"/>
          <w:szCs w:val="24"/>
        </w:rPr>
        <w:t>tis.</w:t>
      </w:r>
      <w:r w:rsidR="00847952">
        <w:rPr>
          <w:sz w:val="24"/>
          <w:szCs w:val="24"/>
        </w:rPr>
        <w:t> </w:t>
      </w:r>
      <w:r w:rsidRPr="00BB092C">
        <w:rPr>
          <w:sz w:val="24"/>
          <w:szCs w:val="24"/>
        </w:rPr>
        <w:t>eur</w:t>
      </w:r>
      <w:r>
        <w:rPr>
          <w:sz w:val="24"/>
          <w:szCs w:val="24"/>
        </w:rPr>
        <w:t>.</w:t>
      </w:r>
      <w:r w:rsidRPr="00BB092C">
        <w:rPr>
          <w:sz w:val="24"/>
          <w:szCs w:val="24"/>
        </w:rPr>
        <w:t xml:space="preserve"> Oproti roku 202</w:t>
      </w:r>
      <w:r>
        <w:rPr>
          <w:sz w:val="24"/>
          <w:szCs w:val="24"/>
        </w:rPr>
        <w:t xml:space="preserve">2 </w:t>
      </w:r>
      <w:r w:rsidRPr="00BB092C">
        <w:rPr>
          <w:sz w:val="24"/>
          <w:szCs w:val="24"/>
        </w:rPr>
        <w:t xml:space="preserve">sa výdavky spolu s výdavkovými finančnými operáciami rozpočtovali </w:t>
      </w:r>
      <w:r>
        <w:rPr>
          <w:sz w:val="24"/>
          <w:szCs w:val="24"/>
        </w:rPr>
        <w:t>vyššie</w:t>
      </w:r>
      <w:r w:rsidRPr="00BB092C">
        <w:rPr>
          <w:sz w:val="24"/>
          <w:szCs w:val="24"/>
        </w:rPr>
        <w:t xml:space="preserve"> </w:t>
      </w:r>
      <w:r w:rsidR="00D55611">
        <w:rPr>
          <w:sz w:val="24"/>
          <w:szCs w:val="24"/>
        </w:rPr>
        <w:t xml:space="preserve">len </w:t>
      </w:r>
      <w:r w:rsidRPr="00BB092C">
        <w:rPr>
          <w:sz w:val="24"/>
          <w:szCs w:val="24"/>
        </w:rPr>
        <w:t>o</w:t>
      </w:r>
      <w:r w:rsidR="00847952">
        <w:rPr>
          <w:sz w:val="24"/>
          <w:szCs w:val="24"/>
        </w:rPr>
        <w:t> </w:t>
      </w:r>
      <w:r>
        <w:rPr>
          <w:sz w:val="24"/>
          <w:szCs w:val="24"/>
        </w:rPr>
        <w:t>37</w:t>
      </w:r>
      <w:r w:rsidR="00847952">
        <w:rPr>
          <w:sz w:val="24"/>
          <w:szCs w:val="24"/>
        </w:rPr>
        <w:t> </w:t>
      </w:r>
      <w:r w:rsidRPr="00BB092C">
        <w:rPr>
          <w:sz w:val="24"/>
          <w:szCs w:val="24"/>
        </w:rPr>
        <w:t>tis.</w:t>
      </w:r>
      <w:r w:rsidR="00847952">
        <w:rPr>
          <w:sz w:val="24"/>
          <w:szCs w:val="24"/>
        </w:rPr>
        <w:t> </w:t>
      </w:r>
      <w:r w:rsidRPr="00BB092C">
        <w:rPr>
          <w:sz w:val="24"/>
          <w:szCs w:val="24"/>
        </w:rPr>
        <w:t>eur</w:t>
      </w:r>
      <w:r>
        <w:rPr>
          <w:sz w:val="24"/>
          <w:szCs w:val="24"/>
        </w:rPr>
        <w:t xml:space="preserve">. </w:t>
      </w:r>
      <w:r w:rsidRPr="00BB092C">
        <w:rPr>
          <w:sz w:val="24"/>
          <w:szCs w:val="24"/>
        </w:rPr>
        <w:t xml:space="preserve">Celkovým úhrnom </w:t>
      </w:r>
      <w:r>
        <w:rPr>
          <w:sz w:val="24"/>
          <w:szCs w:val="24"/>
        </w:rPr>
        <w:t xml:space="preserve">boli vyššie </w:t>
      </w:r>
      <w:r w:rsidRPr="00BB092C">
        <w:rPr>
          <w:sz w:val="24"/>
          <w:szCs w:val="24"/>
        </w:rPr>
        <w:t>rozpočtované príspevky a vklady do imania medzinárodných finančných inštitúcií</w:t>
      </w:r>
      <w:r>
        <w:rPr>
          <w:sz w:val="24"/>
          <w:szCs w:val="24"/>
        </w:rPr>
        <w:t xml:space="preserve"> a investičných fondov Slovak </w:t>
      </w:r>
      <w:proofErr w:type="spellStart"/>
      <w:r>
        <w:rPr>
          <w:sz w:val="24"/>
          <w:szCs w:val="24"/>
        </w:rPr>
        <w:t>Asset</w:t>
      </w:r>
      <w:proofErr w:type="spellEnd"/>
      <w:r>
        <w:rPr>
          <w:sz w:val="24"/>
          <w:szCs w:val="24"/>
        </w:rPr>
        <w:t xml:space="preserve"> Management, </w:t>
      </w:r>
      <w:r w:rsidR="00847952">
        <w:rPr>
          <w:sz w:val="24"/>
          <w:szCs w:val="24"/>
        </w:rPr>
        <w:t>o 10 </w:t>
      </w:r>
      <w:r>
        <w:rPr>
          <w:sz w:val="24"/>
          <w:szCs w:val="24"/>
        </w:rPr>
        <w:t>447</w:t>
      </w:r>
      <w:r w:rsidR="00847952">
        <w:rPr>
          <w:sz w:val="24"/>
          <w:szCs w:val="24"/>
        </w:rPr>
        <w:t> </w:t>
      </w:r>
      <w:r>
        <w:rPr>
          <w:sz w:val="24"/>
          <w:szCs w:val="24"/>
        </w:rPr>
        <w:t>tis.</w:t>
      </w:r>
      <w:r w:rsidR="00847952">
        <w:rPr>
          <w:sz w:val="24"/>
          <w:szCs w:val="24"/>
        </w:rPr>
        <w:t> </w:t>
      </w:r>
      <w:r>
        <w:rPr>
          <w:sz w:val="24"/>
          <w:szCs w:val="24"/>
        </w:rPr>
        <w:t>eur. Tieto transakcie sa</w:t>
      </w:r>
      <w:r w:rsidRPr="00BB092C">
        <w:rPr>
          <w:sz w:val="24"/>
          <w:szCs w:val="24"/>
        </w:rPr>
        <w:t xml:space="preserve"> považujú za výdavkové finančné operácie. Ich </w:t>
      </w:r>
      <w:r w:rsidRPr="00BB092C">
        <w:rPr>
          <w:sz w:val="24"/>
          <w:szCs w:val="24"/>
        </w:rPr>
        <w:lastRenderedPageBreak/>
        <w:t>rozpočtovanie závisí aj od rozhodnutia akcioná</w:t>
      </w:r>
      <w:r w:rsidR="00847952">
        <w:rPr>
          <w:sz w:val="24"/>
          <w:szCs w:val="24"/>
        </w:rPr>
        <w:t xml:space="preserve">rov efektívne splácať podiely z </w:t>
      </w:r>
      <w:r w:rsidRPr="00BB092C">
        <w:rPr>
          <w:sz w:val="24"/>
          <w:szCs w:val="24"/>
        </w:rPr>
        <w:t>už upí</w:t>
      </w:r>
      <w:r>
        <w:rPr>
          <w:sz w:val="24"/>
          <w:szCs w:val="24"/>
        </w:rPr>
        <w:t>saných podielov (</w:t>
      </w:r>
      <w:proofErr w:type="spellStart"/>
      <w:r>
        <w:rPr>
          <w:sz w:val="24"/>
          <w:szCs w:val="24"/>
        </w:rPr>
        <w:t>call</w:t>
      </w:r>
      <w:proofErr w:type="spellEnd"/>
      <w:r>
        <w:rPr>
          <w:sz w:val="24"/>
          <w:szCs w:val="24"/>
        </w:rPr>
        <w:t xml:space="preserve"> </w:t>
      </w:r>
      <w:proofErr w:type="spellStart"/>
      <w:r>
        <w:rPr>
          <w:sz w:val="24"/>
          <w:szCs w:val="24"/>
        </w:rPr>
        <w:t>capital</w:t>
      </w:r>
      <w:proofErr w:type="spellEnd"/>
      <w:r>
        <w:rPr>
          <w:sz w:val="24"/>
          <w:szCs w:val="24"/>
        </w:rPr>
        <w:t xml:space="preserve">) </w:t>
      </w:r>
      <w:r w:rsidRPr="00BB092C">
        <w:rPr>
          <w:sz w:val="24"/>
          <w:szCs w:val="24"/>
        </w:rPr>
        <w:t>alebo ktoré sa môžu riadiť aj stanoveným harmonogra</w:t>
      </w:r>
      <w:r>
        <w:rPr>
          <w:sz w:val="24"/>
          <w:szCs w:val="24"/>
        </w:rPr>
        <w:t xml:space="preserve">mom upisovania nových podielov. </w:t>
      </w:r>
      <w:r w:rsidRPr="00D64700">
        <w:rPr>
          <w:sz w:val="24"/>
          <w:szCs w:val="24"/>
        </w:rPr>
        <w:t>V roku 2023</w:t>
      </w:r>
      <w:r>
        <w:rPr>
          <w:sz w:val="24"/>
          <w:szCs w:val="24"/>
        </w:rPr>
        <w:t xml:space="preserve"> boli rozpočtované</w:t>
      </w:r>
      <w:r w:rsidRPr="00BB092C">
        <w:rPr>
          <w:sz w:val="24"/>
          <w:szCs w:val="24"/>
        </w:rPr>
        <w:t xml:space="preserve"> výdavky na realizovanie záruk </w:t>
      </w:r>
      <w:r>
        <w:rPr>
          <w:sz w:val="24"/>
          <w:szCs w:val="24"/>
        </w:rPr>
        <w:t>v sume</w:t>
      </w:r>
      <w:r w:rsidRPr="00BB092C">
        <w:rPr>
          <w:sz w:val="24"/>
          <w:szCs w:val="24"/>
        </w:rPr>
        <w:t xml:space="preserve"> </w:t>
      </w:r>
      <w:r>
        <w:rPr>
          <w:sz w:val="24"/>
          <w:szCs w:val="24"/>
        </w:rPr>
        <w:t>18</w:t>
      </w:r>
      <w:r w:rsidR="00847952">
        <w:rPr>
          <w:sz w:val="24"/>
          <w:szCs w:val="24"/>
        </w:rPr>
        <w:t> </w:t>
      </w:r>
      <w:r>
        <w:rPr>
          <w:sz w:val="24"/>
          <w:szCs w:val="24"/>
        </w:rPr>
        <w:t>309</w:t>
      </w:r>
      <w:r w:rsidR="00847952">
        <w:rPr>
          <w:sz w:val="24"/>
          <w:szCs w:val="24"/>
        </w:rPr>
        <w:t> </w:t>
      </w:r>
      <w:r w:rsidRPr="00BB092C">
        <w:rPr>
          <w:sz w:val="24"/>
          <w:szCs w:val="24"/>
        </w:rPr>
        <w:t>tis.</w:t>
      </w:r>
      <w:r w:rsidR="00847952">
        <w:rPr>
          <w:sz w:val="24"/>
          <w:szCs w:val="24"/>
        </w:rPr>
        <w:t> </w:t>
      </w:r>
      <w:r w:rsidR="00B72E5F">
        <w:rPr>
          <w:sz w:val="24"/>
          <w:szCs w:val="24"/>
        </w:rPr>
        <w:t>eur, čo je oproti roku 2022 nižšie o 10 410 tis. eur.</w:t>
      </w:r>
      <w:r>
        <w:rPr>
          <w:sz w:val="24"/>
          <w:szCs w:val="24"/>
        </w:rPr>
        <w:t xml:space="preserve"> Poskytovanie nových NFV nebolo pre rok 2023 rozpočtované.</w:t>
      </w:r>
    </w:p>
    <w:p w14:paraId="3488C81E" w14:textId="6ABE2B1B" w:rsidR="00F72D98" w:rsidRDefault="00F72D98" w:rsidP="008172C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sz w:val="24"/>
          <w:szCs w:val="24"/>
        </w:rPr>
      </w:pPr>
      <w:r w:rsidRPr="00105924">
        <w:rPr>
          <w:b/>
          <w:sz w:val="24"/>
          <w:szCs w:val="24"/>
        </w:rPr>
        <w:t>Celkové saldo príjmov a výdavkov ŠFA v roku 2023 sa rozpočtovalo v sume 903</w:t>
      </w:r>
      <w:r w:rsidR="00847952">
        <w:rPr>
          <w:b/>
          <w:sz w:val="24"/>
          <w:szCs w:val="24"/>
        </w:rPr>
        <w:t> </w:t>
      </w:r>
      <w:r w:rsidRPr="00105924">
        <w:rPr>
          <w:b/>
          <w:sz w:val="24"/>
          <w:szCs w:val="24"/>
        </w:rPr>
        <w:t>773</w:t>
      </w:r>
      <w:r w:rsidR="00847952">
        <w:rPr>
          <w:b/>
          <w:sz w:val="24"/>
          <w:szCs w:val="24"/>
        </w:rPr>
        <w:t> tis. </w:t>
      </w:r>
      <w:r w:rsidRPr="00105924">
        <w:rPr>
          <w:b/>
          <w:sz w:val="24"/>
          <w:szCs w:val="24"/>
        </w:rPr>
        <w:t>eur</w:t>
      </w:r>
      <w:r w:rsidR="00D55611">
        <w:rPr>
          <w:sz w:val="24"/>
          <w:szCs w:val="24"/>
        </w:rPr>
        <w:t>, po očistení vplyvu finančných operácií v sume 841 531 tis. eur.</w:t>
      </w:r>
      <w:r w:rsidRPr="008925D3">
        <w:rPr>
          <w:sz w:val="24"/>
          <w:szCs w:val="24"/>
        </w:rPr>
        <w:t xml:space="preserve"> Skutočné plnenie vybraných účtov ŠFA predstavovalo ich medziročné zníženie o 155</w:t>
      </w:r>
      <w:r w:rsidR="00847952">
        <w:rPr>
          <w:sz w:val="24"/>
          <w:szCs w:val="24"/>
        </w:rPr>
        <w:t> </w:t>
      </w:r>
      <w:r w:rsidRPr="008925D3">
        <w:rPr>
          <w:sz w:val="24"/>
          <w:szCs w:val="24"/>
        </w:rPr>
        <w:t>730</w:t>
      </w:r>
      <w:r w:rsidR="00847952">
        <w:rPr>
          <w:sz w:val="24"/>
          <w:szCs w:val="24"/>
        </w:rPr>
        <w:t> </w:t>
      </w:r>
      <w:r w:rsidRPr="008925D3">
        <w:rPr>
          <w:sz w:val="24"/>
          <w:szCs w:val="24"/>
        </w:rPr>
        <w:t>tis.</w:t>
      </w:r>
      <w:r w:rsidR="00847952">
        <w:rPr>
          <w:sz w:val="24"/>
          <w:szCs w:val="24"/>
        </w:rPr>
        <w:t> </w:t>
      </w:r>
      <w:r w:rsidRPr="008925D3">
        <w:rPr>
          <w:sz w:val="24"/>
          <w:szCs w:val="24"/>
        </w:rPr>
        <w:t>eur.</w:t>
      </w:r>
    </w:p>
    <w:p w14:paraId="7E71E622" w14:textId="77777777" w:rsidR="00F72D98" w:rsidRPr="00C9112A" w:rsidRDefault="00F72D98" w:rsidP="008172CD">
      <w:pPr>
        <w:spacing w:line="240" w:lineRule="auto"/>
        <w:rPr>
          <w:i/>
          <w:sz w:val="24"/>
          <w:szCs w:val="24"/>
        </w:rPr>
      </w:pPr>
      <w:r w:rsidRPr="00C9112A">
        <w:rPr>
          <w:i/>
          <w:sz w:val="24"/>
          <w:szCs w:val="24"/>
          <w:u w:val="single"/>
        </w:rPr>
        <w:t xml:space="preserve">Účelové prostriedky FNM/MH Manažment, </w:t>
      </w:r>
      <w:proofErr w:type="spellStart"/>
      <w:r w:rsidRPr="00C9112A">
        <w:rPr>
          <w:i/>
          <w:sz w:val="24"/>
          <w:szCs w:val="24"/>
          <w:u w:val="single"/>
        </w:rPr>
        <w:t>a.s</w:t>
      </w:r>
      <w:proofErr w:type="spellEnd"/>
      <w:r w:rsidRPr="00C9112A">
        <w:rPr>
          <w:i/>
          <w:sz w:val="24"/>
          <w:szCs w:val="24"/>
        </w:rPr>
        <w:t xml:space="preserve">. </w:t>
      </w:r>
      <w:r w:rsidRPr="00C9112A">
        <w:rPr>
          <w:sz w:val="24"/>
          <w:szCs w:val="24"/>
        </w:rPr>
        <w:t xml:space="preserve">boli v minulosti tvorené najmä prevodom dividend obchodných spoločností štátu, v ktorých podiely do roku 2016 spravoval Fond národného majetku. </w:t>
      </w:r>
    </w:p>
    <w:p w14:paraId="7296B23D" w14:textId="7B7423E5" w:rsidR="00F72D98" w:rsidRDefault="00F72D98" w:rsidP="008172CD">
      <w:pPr>
        <w:spacing w:line="240" w:lineRule="auto"/>
        <w:rPr>
          <w:sz w:val="24"/>
          <w:szCs w:val="24"/>
        </w:rPr>
      </w:pPr>
      <w:r>
        <w:rPr>
          <w:sz w:val="24"/>
          <w:szCs w:val="24"/>
        </w:rPr>
        <w:t>Medziročné zníženie stavu tohto účtu o 105</w:t>
      </w:r>
      <w:r w:rsidR="00847952">
        <w:rPr>
          <w:sz w:val="24"/>
          <w:szCs w:val="24"/>
        </w:rPr>
        <w:t> </w:t>
      </w:r>
      <w:r>
        <w:rPr>
          <w:sz w:val="24"/>
          <w:szCs w:val="24"/>
        </w:rPr>
        <w:t>692</w:t>
      </w:r>
      <w:r w:rsidR="00847952">
        <w:rPr>
          <w:sz w:val="24"/>
          <w:szCs w:val="24"/>
        </w:rPr>
        <w:t> </w:t>
      </w:r>
      <w:r>
        <w:rPr>
          <w:sz w:val="24"/>
          <w:szCs w:val="24"/>
        </w:rPr>
        <w:t>tis.</w:t>
      </w:r>
      <w:r w:rsidR="00847952">
        <w:rPr>
          <w:sz w:val="24"/>
          <w:szCs w:val="24"/>
        </w:rPr>
        <w:t> </w:t>
      </w:r>
      <w:r>
        <w:rPr>
          <w:sz w:val="24"/>
          <w:szCs w:val="24"/>
        </w:rPr>
        <w:t>eur spôsobili na jednej strane príjmy v sume 1</w:t>
      </w:r>
      <w:r w:rsidR="00847952">
        <w:rPr>
          <w:sz w:val="24"/>
          <w:szCs w:val="24"/>
        </w:rPr>
        <w:t> </w:t>
      </w:r>
      <w:r>
        <w:rPr>
          <w:sz w:val="24"/>
          <w:szCs w:val="24"/>
        </w:rPr>
        <w:t>572</w:t>
      </w:r>
      <w:r w:rsidR="00847952">
        <w:rPr>
          <w:sz w:val="24"/>
          <w:szCs w:val="24"/>
        </w:rPr>
        <w:t> </w:t>
      </w:r>
      <w:r>
        <w:rPr>
          <w:sz w:val="24"/>
          <w:szCs w:val="24"/>
        </w:rPr>
        <w:t>tis.</w:t>
      </w:r>
      <w:r w:rsidR="00847952">
        <w:rPr>
          <w:sz w:val="24"/>
          <w:szCs w:val="24"/>
        </w:rPr>
        <w:t> </w:t>
      </w:r>
      <w:r>
        <w:rPr>
          <w:sz w:val="24"/>
          <w:szCs w:val="24"/>
        </w:rPr>
        <w:t>eur a na druhej strane použitie ŠFA v sume 107</w:t>
      </w:r>
      <w:r w:rsidR="00847952">
        <w:rPr>
          <w:sz w:val="24"/>
          <w:szCs w:val="24"/>
        </w:rPr>
        <w:t> </w:t>
      </w:r>
      <w:r>
        <w:rPr>
          <w:sz w:val="24"/>
          <w:szCs w:val="24"/>
        </w:rPr>
        <w:t>264</w:t>
      </w:r>
      <w:r w:rsidR="00847952">
        <w:rPr>
          <w:sz w:val="24"/>
          <w:szCs w:val="24"/>
        </w:rPr>
        <w:t> </w:t>
      </w:r>
      <w:r>
        <w:rPr>
          <w:sz w:val="24"/>
          <w:szCs w:val="24"/>
        </w:rPr>
        <w:t>tis.</w:t>
      </w:r>
      <w:r w:rsidR="00847952">
        <w:rPr>
          <w:sz w:val="24"/>
          <w:szCs w:val="24"/>
        </w:rPr>
        <w:t> </w:t>
      </w:r>
      <w:r>
        <w:rPr>
          <w:sz w:val="24"/>
          <w:szCs w:val="24"/>
        </w:rPr>
        <w:t>eur. Príjmy tvorili rozpočtované splátky NFV v sume 300</w:t>
      </w:r>
      <w:r w:rsidR="00847952">
        <w:rPr>
          <w:sz w:val="24"/>
          <w:szCs w:val="24"/>
        </w:rPr>
        <w:t> </w:t>
      </w:r>
      <w:r>
        <w:rPr>
          <w:sz w:val="24"/>
          <w:szCs w:val="24"/>
        </w:rPr>
        <w:t>tis.</w:t>
      </w:r>
      <w:r w:rsidR="00847952">
        <w:rPr>
          <w:sz w:val="24"/>
          <w:szCs w:val="24"/>
        </w:rPr>
        <w:t> </w:t>
      </w:r>
      <w:r>
        <w:rPr>
          <w:sz w:val="24"/>
          <w:szCs w:val="24"/>
        </w:rPr>
        <w:t>eur. Ďalej sa tento účet ŠFA posilnil o 1</w:t>
      </w:r>
      <w:r w:rsidR="00847952">
        <w:rPr>
          <w:sz w:val="24"/>
          <w:szCs w:val="24"/>
        </w:rPr>
        <w:t> </w:t>
      </w:r>
      <w:r>
        <w:rPr>
          <w:sz w:val="24"/>
          <w:szCs w:val="24"/>
        </w:rPr>
        <w:t>093</w:t>
      </w:r>
      <w:r w:rsidR="00847952">
        <w:rPr>
          <w:sz w:val="24"/>
          <w:szCs w:val="24"/>
        </w:rPr>
        <w:t> </w:t>
      </w:r>
      <w:r>
        <w:rPr>
          <w:sz w:val="24"/>
          <w:szCs w:val="24"/>
        </w:rPr>
        <w:t>tis.</w:t>
      </w:r>
      <w:r w:rsidR="00847952">
        <w:rPr>
          <w:sz w:val="24"/>
          <w:szCs w:val="24"/>
        </w:rPr>
        <w:t> </w:t>
      </w:r>
      <w:r>
        <w:rPr>
          <w:sz w:val="24"/>
          <w:szCs w:val="24"/>
        </w:rPr>
        <w:t xml:space="preserve">eur </w:t>
      </w:r>
      <w:r w:rsidR="00E556E6">
        <w:rPr>
          <w:sz w:val="24"/>
          <w:szCs w:val="24"/>
        </w:rPr>
        <w:t xml:space="preserve">úhradou likvidačného zostatku spoločnosti Národný štadión </w:t>
      </w:r>
      <w:proofErr w:type="spellStart"/>
      <w:r w:rsidR="00E556E6">
        <w:rPr>
          <w:sz w:val="24"/>
          <w:szCs w:val="24"/>
        </w:rPr>
        <w:t>a.s</w:t>
      </w:r>
      <w:proofErr w:type="spellEnd"/>
      <w:r w:rsidR="00E556E6">
        <w:rPr>
          <w:sz w:val="24"/>
          <w:szCs w:val="24"/>
        </w:rPr>
        <w:t>. v „likvidácii“ cez Ministerstvo školstva, vedy, výskumu a športu SR.</w:t>
      </w:r>
    </w:p>
    <w:p w14:paraId="1A40D329" w14:textId="3F5A08EA" w:rsidR="00F72D98" w:rsidRDefault="00F72D98" w:rsidP="008172CD">
      <w:pPr>
        <w:spacing w:line="240" w:lineRule="auto"/>
        <w:rPr>
          <w:sz w:val="24"/>
          <w:szCs w:val="24"/>
        </w:rPr>
      </w:pPr>
      <w:r>
        <w:rPr>
          <w:sz w:val="24"/>
          <w:szCs w:val="24"/>
        </w:rPr>
        <w:t xml:space="preserve">Na strane výdavkov sa realizoval najmä transfer Ministerstvu zdravotníctva SR s cieľom stabilizácie zdravotníckych zariadení v sume 83 389 tis. eur, realizácia záruk poskytovaných Eximbankou, Slovenskou záručnou a rozvojovou bankou a National </w:t>
      </w:r>
      <w:proofErr w:type="spellStart"/>
      <w:r>
        <w:rPr>
          <w:sz w:val="24"/>
          <w:szCs w:val="24"/>
        </w:rPr>
        <w:t>Development</w:t>
      </w:r>
      <w:proofErr w:type="spellEnd"/>
      <w:r>
        <w:rPr>
          <w:sz w:val="24"/>
          <w:szCs w:val="24"/>
        </w:rPr>
        <w:t xml:space="preserve"> </w:t>
      </w:r>
      <w:proofErr w:type="spellStart"/>
      <w:r>
        <w:rPr>
          <w:sz w:val="24"/>
          <w:szCs w:val="24"/>
        </w:rPr>
        <w:t>Found</w:t>
      </w:r>
      <w:proofErr w:type="spellEnd"/>
      <w:r>
        <w:rPr>
          <w:sz w:val="24"/>
          <w:szCs w:val="24"/>
        </w:rPr>
        <w:t xml:space="preserve"> v sume 10</w:t>
      </w:r>
      <w:r w:rsidR="00847952">
        <w:rPr>
          <w:sz w:val="24"/>
          <w:szCs w:val="24"/>
        </w:rPr>
        <w:t> </w:t>
      </w:r>
      <w:r>
        <w:rPr>
          <w:sz w:val="24"/>
          <w:szCs w:val="24"/>
        </w:rPr>
        <w:t>119</w:t>
      </w:r>
      <w:r w:rsidR="00847952">
        <w:rPr>
          <w:sz w:val="24"/>
          <w:szCs w:val="24"/>
        </w:rPr>
        <w:t> </w:t>
      </w:r>
      <w:r>
        <w:rPr>
          <w:sz w:val="24"/>
          <w:szCs w:val="24"/>
        </w:rPr>
        <w:t>tis.</w:t>
      </w:r>
      <w:r w:rsidR="00847952">
        <w:rPr>
          <w:sz w:val="24"/>
          <w:szCs w:val="24"/>
        </w:rPr>
        <w:t> </w:t>
      </w:r>
      <w:r>
        <w:rPr>
          <w:sz w:val="24"/>
          <w:szCs w:val="24"/>
        </w:rPr>
        <w:t>eur, transfer Ministerstvu dopravy SR na zvýšenie kmeňového imania štátneho podniku Letové prevádzkové služby, š. p. v sume 3</w:t>
      </w:r>
      <w:r w:rsidR="00847952">
        <w:rPr>
          <w:sz w:val="24"/>
          <w:szCs w:val="24"/>
        </w:rPr>
        <w:t> </w:t>
      </w:r>
      <w:r>
        <w:rPr>
          <w:sz w:val="24"/>
          <w:szCs w:val="24"/>
        </w:rPr>
        <w:t>500</w:t>
      </w:r>
      <w:r w:rsidR="00847952">
        <w:rPr>
          <w:sz w:val="24"/>
          <w:szCs w:val="24"/>
        </w:rPr>
        <w:t> </w:t>
      </w:r>
      <w:r>
        <w:rPr>
          <w:sz w:val="24"/>
          <w:szCs w:val="24"/>
        </w:rPr>
        <w:t>tis.</w:t>
      </w:r>
      <w:r w:rsidR="00847952">
        <w:rPr>
          <w:sz w:val="24"/>
          <w:szCs w:val="24"/>
        </w:rPr>
        <w:t> </w:t>
      </w:r>
      <w:r>
        <w:rPr>
          <w:sz w:val="24"/>
          <w:szCs w:val="24"/>
        </w:rPr>
        <w:t xml:space="preserve">eur a na zvýšenie základného imania letiskovej spoločnosti Letisko Poprad Tatry, </w:t>
      </w:r>
      <w:proofErr w:type="spellStart"/>
      <w:r>
        <w:rPr>
          <w:sz w:val="24"/>
          <w:szCs w:val="24"/>
        </w:rPr>
        <w:t>a.s</w:t>
      </w:r>
      <w:proofErr w:type="spellEnd"/>
      <w:r>
        <w:rPr>
          <w:sz w:val="24"/>
          <w:szCs w:val="24"/>
        </w:rPr>
        <w:t>. v sume 1</w:t>
      </w:r>
      <w:r w:rsidR="00CC6CB7">
        <w:rPr>
          <w:sz w:val="24"/>
          <w:szCs w:val="24"/>
        </w:rPr>
        <w:t> </w:t>
      </w:r>
      <w:r>
        <w:rPr>
          <w:sz w:val="24"/>
          <w:szCs w:val="24"/>
        </w:rPr>
        <w:t>200</w:t>
      </w:r>
      <w:r w:rsidR="00CC6CB7">
        <w:rPr>
          <w:sz w:val="24"/>
          <w:szCs w:val="24"/>
        </w:rPr>
        <w:t> </w:t>
      </w:r>
      <w:r>
        <w:rPr>
          <w:sz w:val="24"/>
          <w:szCs w:val="24"/>
        </w:rPr>
        <w:t>tis.</w:t>
      </w:r>
      <w:r w:rsidR="00CC6CB7">
        <w:rPr>
          <w:sz w:val="24"/>
          <w:szCs w:val="24"/>
        </w:rPr>
        <w:t> eur. Vklady do </w:t>
      </w:r>
      <w:r>
        <w:rPr>
          <w:sz w:val="24"/>
          <w:szCs w:val="24"/>
        </w:rPr>
        <w:t>medzinárodných finančných inštitúcií tvorili 8</w:t>
      </w:r>
      <w:r w:rsidR="00CC6CB7">
        <w:rPr>
          <w:sz w:val="24"/>
          <w:szCs w:val="24"/>
        </w:rPr>
        <w:t> </w:t>
      </w:r>
      <w:r>
        <w:rPr>
          <w:sz w:val="24"/>
          <w:szCs w:val="24"/>
        </w:rPr>
        <w:t>524</w:t>
      </w:r>
      <w:r w:rsidR="00CC6CB7">
        <w:rPr>
          <w:sz w:val="24"/>
          <w:szCs w:val="24"/>
        </w:rPr>
        <w:t> </w:t>
      </w:r>
      <w:r>
        <w:rPr>
          <w:sz w:val="24"/>
          <w:szCs w:val="24"/>
        </w:rPr>
        <w:t>tis.</w:t>
      </w:r>
      <w:r w:rsidR="00CC6CB7">
        <w:rPr>
          <w:sz w:val="24"/>
          <w:szCs w:val="24"/>
        </w:rPr>
        <w:t> </w:t>
      </w:r>
      <w:r>
        <w:rPr>
          <w:sz w:val="24"/>
          <w:szCs w:val="24"/>
        </w:rPr>
        <w:t>eur, z toho do IFC suma 3</w:t>
      </w:r>
      <w:r w:rsidR="00CC6CB7">
        <w:rPr>
          <w:sz w:val="24"/>
          <w:szCs w:val="24"/>
        </w:rPr>
        <w:t> </w:t>
      </w:r>
      <w:r>
        <w:rPr>
          <w:sz w:val="24"/>
          <w:szCs w:val="24"/>
        </w:rPr>
        <w:t>318</w:t>
      </w:r>
      <w:r w:rsidR="00CC6CB7">
        <w:rPr>
          <w:sz w:val="24"/>
          <w:szCs w:val="24"/>
        </w:rPr>
        <w:t> </w:t>
      </w:r>
      <w:r>
        <w:rPr>
          <w:sz w:val="24"/>
          <w:szCs w:val="24"/>
        </w:rPr>
        <w:t>tis.</w:t>
      </w:r>
      <w:r w:rsidR="00CC6CB7">
        <w:rPr>
          <w:sz w:val="24"/>
          <w:szCs w:val="24"/>
        </w:rPr>
        <w:t> eur, do </w:t>
      </w:r>
      <w:r>
        <w:rPr>
          <w:sz w:val="24"/>
          <w:szCs w:val="24"/>
        </w:rPr>
        <w:t>IDA suma 2</w:t>
      </w:r>
      <w:r w:rsidR="00CC6CB7">
        <w:rPr>
          <w:sz w:val="24"/>
          <w:szCs w:val="24"/>
        </w:rPr>
        <w:t> </w:t>
      </w:r>
      <w:r>
        <w:rPr>
          <w:sz w:val="24"/>
          <w:szCs w:val="24"/>
        </w:rPr>
        <w:t>990</w:t>
      </w:r>
      <w:r w:rsidR="00CC6CB7">
        <w:rPr>
          <w:sz w:val="24"/>
          <w:szCs w:val="24"/>
        </w:rPr>
        <w:t> </w:t>
      </w:r>
      <w:r>
        <w:rPr>
          <w:sz w:val="24"/>
          <w:szCs w:val="24"/>
        </w:rPr>
        <w:t>tis.</w:t>
      </w:r>
      <w:r w:rsidR="00CC6CB7">
        <w:rPr>
          <w:sz w:val="24"/>
          <w:szCs w:val="24"/>
        </w:rPr>
        <w:t> </w:t>
      </w:r>
      <w:r>
        <w:rPr>
          <w:sz w:val="24"/>
          <w:szCs w:val="24"/>
        </w:rPr>
        <w:t>eur a do IBRD suma 2</w:t>
      </w:r>
      <w:r w:rsidR="00CC6CB7">
        <w:rPr>
          <w:sz w:val="24"/>
          <w:szCs w:val="24"/>
        </w:rPr>
        <w:t> </w:t>
      </w:r>
      <w:r>
        <w:rPr>
          <w:sz w:val="24"/>
          <w:szCs w:val="24"/>
        </w:rPr>
        <w:t>216</w:t>
      </w:r>
      <w:r w:rsidR="00CC6CB7">
        <w:rPr>
          <w:sz w:val="24"/>
          <w:szCs w:val="24"/>
        </w:rPr>
        <w:t> </w:t>
      </w:r>
      <w:r>
        <w:rPr>
          <w:sz w:val="24"/>
          <w:szCs w:val="24"/>
        </w:rPr>
        <w:t>tis.</w:t>
      </w:r>
      <w:r w:rsidR="00CC6CB7">
        <w:rPr>
          <w:sz w:val="24"/>
          <w:szCs w:val="24"/>
        </w:rPr>
        <w:t> </w:t>
      </w:r>
      <w:r>
        <w:rPr>
          <w:sz w:val="24"/>
          <w:szCs w:val="24"/>
        </w:rPr>
        <w:t>eur.</w:t>
      </w:r>
    </w:p>
    <w:p w14:paraId="43F18F41" w14:textId="347A1F51" w:rsidR="00F72D98" w:rsidRDefault="00F72D98" w:rsidP="008172CD">
      <w:pPr>
        <w:spacing w:line="240" w:lineRule="auto"/>
        <w:rPr>
          <w:sz w:val="24"/>
          <w:szCs w:val="24"/>
        </w:rPr>
      </w:pPr>
      <w:r w:rsidRPr="00D715AF">
        <w:rPr>
          <w:i/>
          <w:sz w:val="24"/>
          <w:szCs w:val="24"/>
          <w:u w:val="single"/>
        </w:rPr>
        <w:t>Bežný účet návratných finančných výpomocí (NFV)</w:t>
      </w:r>
      <w:r w:rsidRPr="00D715AF">
        <w:rPr>
          <w:i/>
          <w:sz w:val="24"/>
          <w:szCs w:val="24"/>
        </w:rPr>
        <w:t xml:space="preserve"> </w:t>
      </w:r>
      <w:r w:rsidRPr="00D715AF">
        <w:rPr>
          <w:sz w:val="24"/>
          <w:szCs w:val="24"/>
        </w:rPr>
        <w:t>zaznamenal v roku 202</w:t>
      </w:r>
      <w:r>
        <w:rPr>
          <w:sz w:val="24"/>
          <w:szCs w:val="24"/>
        </w:rPr>
        <w:t>3</w:t>
      </w:r>
      <w:r w:rsidRPr="00D715AF">
        <w:rPr>
          <w:sz w:val="24"/>
          <w:szCs w:val="24"/>
        </w:rPr>
        <w:t xml:space="preserve"> príjm</w:t>
      </w:r>
      <w:r>
        <w:rPr>
          <w:sz w:val="24"/>
          <w:szCs w:val="24"/>
        </w:rPr>
        <w:t>y</w:t>
      </w:r>
      <w:r w:rsidRPr="00D715AF">
        <w:rPr>
          <w:sz w:val="24"/>
          <w:szCs w:val="24"/>
        </w:rPr>
        <w:t xml:space="preserve"> </w:t>
      </w:r>
      <w:r>
        <w:rPr>
          <w:sz w:val="24"/>
          <w:szCs w:val="24"/>
        </w:rPr>
        <w:t>v sume</w:t>
      </w:r>
      <w:r w:rsidRPr="00D715AF">
        <w:rPr>
          <w:sz w:val="24"/>
          <w:szCs w:val="24"/>
        </w:rPr>
        <w:t xml:space="preserve"> </w:t>
      </w:r>
      <w:r w:rsidR="00CC6CB7">
        <w:rPr>
          <w:sz w:val="24"/>
          <w:szCs w:val="24"/>
        </w:rPr>
        <w:t>58 430 </w:t>
      </w:r>
      <w:r>
        <w:rPr>
          <w:sz w:val="24"/>
          <w:szCs w:val="24"/>
        </w:rPr>
        <w:t>tis.</w:t>
      </w:r>
      <w:r w:rsidR="00CC6CB7">
        <w:rPr>
          <w:sz w:val="24"/>
          <w:szCs w:val="24"/>
        </w:rPr>
        <w:t> </w:t>
      </w:r>
      <w:r>
        <w:rPr>
          <w:sz w:val="24"/>
          <w:szCs w:val="24"/>
        </w:rPr>
        <w:t>eur a výdavky v sume 20</w:t>
      </w:r>
      <w:r w:rsidR="00CC6CB7">
        <w:rPr>
          <w:sz w:val="24"/>
          <w:szCs w:val="24"/>
        </w:rPr>
        <w:t> </w:t>
      </w:r>
      <w:r>
        <w:rPr>
          <w:sz w:val="24"/>
          <w:szCs w:val="24"/>
        </w:rPr>
        <w:t>500</w:t>
      </w:r>
      <w:r w:rsidR="00CC6CB7">
        <w:rPr>
          <w:sz w:val="24"/>
          <w:szCs w:val="24"/>
        </w:rPr>
        <w:t> </w:t>
      </w:r>
      <w:r>
        <w:rPr>
          <w:sz w:val="24"/>
          <w:szCs w:val="24"/>
        </w:rPr>
        <w:t>tis.</w:t>
      </w:r>
      <w:r w:rsidR="00CC6CB7">
        <w:rPr>
          <w:sz w:val="24"/>
          <w:szCs w:val="24"/>
        </w:rPr>
        <w:t> </w:t>
      </w:r>
      <w:r>
        <w:rPr>
          <w:sz w:val="24"/>
          <w:szCs w:val="24"/>
        </w:rPr>
        <w:t xml:space="preserve">eur. </w:t>
      </w:r>
    </w:p>
    <w:p w14:paraId="251195C5" w14:textId="6C7E802A" w:rsidR="00F72D98" w:rsidRDefault="00F72D98" w:rsidP="008172CD">
      <w:pPr>
        <w:spacing w:line="240" w:lineRule="auto"/>
        <w:rPr>
          <w:sz w:val="24"/>
          <w:szCs w:val="24"/>
        </w:rPr>
      </w:pPr>
      <w:r>
        <w:rPr>
          <w:sz w:val="24"/>
          <w:szCs w:val="24"/>
        </w:rPr>
        <w:t xml:space="preserve">Najvyššiu sumu v rámci pohybov tvorila splátka NFV od Agentúry pre núdzové zásoby ropy a ropných </w:t>
      </w:r>
      <w:r w:rsidR="00722AAD">
        <w:rPr>
          <w:sz w:val="24"/>
          <w:szCs w:val="24"/>
        </w:rPr>
        <w:t xml:space="preserve">výrobkov </w:t>
      </w:r>
      <w:r>
        <w:rPr>
          <w:sz w:val="24"/>
          <w:szCs w:val="24"/>
        </w:rPr>
        <w:t>v sume 21</w:t>
      </w:r>
      <w:r w:rsidR="00CC6CB7">
        <w:rPr>
          <w:sz w:val="24"/>
          <w:szCs w:val="24"/>
        </w:rPr>
        <w:t> </w:t>
      </w:r>
      <w:r>
        <w:rPr>
          <w:sz w:val="24"/>
          <w:szCs w:val="24"/>
        </w:rPr>
        <w:t>000</w:t>
      </w:r>
      <w:r w:rsidR="00CC6CB7">
        <w:rPr>
          <w:sz w:val="24"/>
          <w:szCs w:val="24"/>
        </w:rPr>
        <w:t> </w:t>
      </w:r>
      <w:r>
        <w:rPr>
          <w:sz w:val="24"/>
          <w:szCs w:val="24"/>
        </w:rPr>
        <w:t>tis.</w:t>
      </w:r>
      <w:r w:rsidR="00CC6CB7">
        <w:rPr>
          <w:sz w:val="24"/>
          <w:szCs w:val="24"/>
        </w:rPr>
        <w:t> </w:t>
      </w:r>
      <w:r>
        <w:rPr>
          <w:sz w:val="24"/>
          <w:szCs w:val="24"/>
        </w:rPr>
        <w:t>eur. Z poskytnutej NFV vrátil Banskobystrický samosprávny kraj sumu 3</w:t>
      </w:r>
      <w:r w:rsidR="00CC6CB7">
        <w:rPr>
          <w:sz w:val="24"/>
          <w:szCs w:val="24"/>
        </w:rPr>
        <w:t> </w:t>
      </w:r>
      <w:r>
        <w:rPr>
          <w:sz w:val="24"/>
          <w:szCs w:val="24"/>
        </w:rPr>
        <w:t>300</w:t>
      </w:r>
      <w:r w:rsidR="00CC6CB7">
        <w:rPr>
          <w:sz w:val="24"/>
          <w:szCs w:val="24"/>
        </w:rPr>
        <w:t> </w:t>
      </w:r>
      <w:r>
        <w:rPr>
          <w:sz w:val="24"/>
          <w:szCs w:val="24"/>
        </w:rPr>
        <w:t>tis.</w:t>
      </w:r>
      <w:r w:rsidR="00CC6CB7">
        <w:rPr>
          <w:sz w:val="24"/>
          <w:szCs w:val="24"/>
        </w:rPr>
        <w:t> </w:t>
      </w:r>
      <w:r>
        <w:rPr>
          <w:sz w:val="24"/>
          <w:szCs w:val="24"/>
        </w:rPr>
        <w:t>eur</w:t>
      </w:r>
      <w:r w:rsidR="00B22B22">
        <w:rPr>
          <w:sz w:val="24"/>
          <w:szCs w:val="24"/>
        </w:rPr>
        <w:t>, Prešovský samosprávny kraj a m</w:t>
      </w:r>
      <w:r>
        <w:rPr>
          <w:sz w:val="24"/>
          <w:szCs w:val="24"/>
        </w:rPr>
        <w:t xml:space="preserve">esto Košice sumu </w:t>
      </w:r>
      <w:r w:rsidR="00CC6CB7">
        <w:rPr>
          <w:sz w:val="24"/>
          <w:szCs w:val="24"/>
        </w:rPr>
        <w:t>2 200 tis. </w:t>
      </w:r>
      <w:r>
        <w:rPr>
          <w:sz w:val="24"/>
          <w:szCs w:val="24"/>
        </w:rPr>
        <w:t>eur, Košický samosprávny kraj a Trenčiansky samosprávny kraj sumu 2</w:t>
      </w:r>
      <w:r w:rsidR="00CC6CB7">
        <w:rPr>
          <w:sz w:val="24"/>
          <w:szCs w:val="24"/>
        </w:rPr>
        <w:t> </w:t>
      </w:r>
      <w:r>
        <w:rPr>
          <w:sz w:val="24"/>
          <w:szCs w:val="24"/>
        </w:rPr>
        <w:t>000</w:t>
      </w:r>
      <w:r w:rsidR="00CC6CB7">
        <w:rPr>
          <w:sz w:val="24"/>
          <w:szCs w:val="24"/>
        </w:rPr>
        <w:t> </w:t>
      </w:r>
      <w:r>
        <w:rPr>
          <w:sz w:val="24"/>
          <w:szCs w:val="24"/>
        </w:rPr>
        <w:t>tis.</w:t>
      </w:r>
      <w:r w:rsidR="00CC6CB7">
        <w:rPr>
          <w:sz w:val="24"/>
          <w:szCs w:val="24"/>
        </w:rPr>
        <w:t> </w:t>
      </w:r>
      <w:r>
        <w:rPr>
          <w:sz w:val="24"/>
          <w:szCs w:val="24"/>
        </w:rPr>
        <w:t>eur, Bratislavský samosprávny kraj sumu 1</w:t>
      </w:r>
      <w:r w:rsidR="00CC6CB7">
        <w:rPr>
          <w:sz w:val="24"/>
          <w:szCs w:val="24"/>
        </w:rPr>
        <w:t> </w:t>
      </w:r>
      <w:r>
        <w:rPr>
          <w:sz w:val="24"/>
          <w:szCs w:val="24"/>
        </w:rPr>
        <w:t>700</w:t>
      </w:r>
      <w:r w:rsidR="00CC6CB7">
        <w:rPr>
          <w:sz w:val="24"/>
          <w:szCs w:val="24"/>
        </w:rPr>
        <w:t> </w:t>
      </w:r>
      <w:r>
        <w:rPr>
          <w:sz w:val="24"/>
          <w:szCs w:val="24"/>
        </w:rPr>
        <w:t>tis.</w:t>
      </w:r>
      <w:r w:rsidR="00CC6CB7">
        <w:rPr>
          <w:sz w:val="24"/>
          <w:szCs w:val="24"/>
        </w:rPr>
        <w:t> </w:t>
      </w:r>
      <w:r>
        <w:rPr>
          <w:sz w:val="24"/>
          <w:szCs w:val="24"/>
        </w:rPr>
        <w:t>eur, Nitriansky samosprávny kraj, Žilinský samosprávny kraj a Trnavský samosprávny kraj sumu 1</w:t>
      </w:r>
      <w:r w:rsidR="00CC6CB7">
        <w:rPr>
          <w:sz w:val="24"/>
          <w:szCs w:val="24"/>
        </w:rPr>
        <w:t> </w:t>
      </w:r>
      <w:r>
        <w:rPr>
          <w:sz w:val="24"/>
          <w:szCs w:val="24"/>
        </w:rPr>
        <w:t>500</w:t>
      </w:r>
      <w:r w:rsidR="00CC6CB7">
        <w:rPr>
          <w:sz w:val="24"/>
          <w:szCs w:val="24"/>
        </w:rPr>
        <w:t> </w:t>
      </w:r>
      <w:r>
        <w:rPr>
          <w:sz w:val="24"/>
          <w:szCs w:val="24"/>
        </w:rPr>
        <w:t>tis.</w:t>
      </w:r>
      <w:r w:rsidR="00CC6CB7">
        <w:rPr>
          <w:sz w:val="24"/>
          <w:szCs w:val="24"/>
        </w:rPr>
        <w:t> </w:t>
      </w:r>
      <w:r>
        <w:rPr>
          <w:sz w:val="24"/>
          <w:szCs w:val="24"/>
        </w:rPr>
        <w:t xml:space="preserve">eur, </w:t>
      </w:r>
      <w:r w:rsidR="00B22B22">
        <w:rPr>
          <w:sz w:val="24"/>
          <w:szCs w:val="24"/>
        </w:rPr>
        <w:t>Mestská časť Bratislava -Staré m</w:t>
      </w:r>
      <w:r>
        <w:rPr>
          <w:sz w:val="24"/>
          <w:szCs w:val="24"/>
        </w:rPr>
        <w:t>esto sumu 2</w:t>
      </w:r>
      <w:r w:rsidR="00CC6CB7">
        <w:rPr>
          <w:sz w:val="24"/>
          <w:szCs w:val="24"/>
        </w:rPr>
        <w:t> </w:t>
      </w:r>
      <w:r>
        <w:rPr>
          <w:sz w:val="24"/>
          <w:szCs w:val="24"/>
        </w:rPr>
        <w:t>000</w:t>
      </w:r>
      <w:r w:rsidR="00CC6CB7">
        <w:rPr>
          <w:sz w:val="24"/>
          <w:szCs w:val="24"/>
        </w:rPr>
        <w:t> </w:t>
      </w:r>
      <w:r>
        <w:rPr>
          <w:sz w:val="24"/>
          <w:szCs w:val="24"/>
        </w:rPr>
        <w:t>tis.</w:t>
      </w:r>
      <w:r w:rsidR="00CC6CB7">
        <w:rPr>
          <w:sz w:val="24"/>
          <w:szCs w:val="24"/>
        </w:rPr>
        <w:t> </w:t>
      </w:r>
      <w:r>
        <w:rPr>
          <w:sz w:val="24"/>
          <w:szCs w:val="24"/>
        </w:rPr>
        <w:t xml:space="preserve">eur, GA </w:t>
      </w:r>
      <w:proofErr w:type="spellStart"/>
      <w:r>
        <w:rPr>
          <w:sz w:val="24"/>
          <w:szCs w:val="24"/>
        </w:rPr>
        <w:t>Drilling</w:t>
      </w:r>
      <w:proofErr w:type="spellEnd"/>
      <w:r>
        <w:rPr>
          <w:sz w:val="24"/>
          <w:szCs w:val="24"/>
        </w:rPr>
        <w:t xml:space="preserve">, </w:t>
      </w:r>
      <w:proofErr w:type="spellStart"/>
      <w:r>
        <w:rPr>
          <w:sz w:val="24"/>
          <w:szCs w:val="24"/>
        </w:rPr>
        <w:t>a.s</w:t>
      </w:r>
      <w:proofErr w:type="spellEnd"/>
      <w:r>
        <w:rPr>
          <w:sz w:val="24"/>
          <w:szCs w:val="24"/>
        </w:rPr>
        <w:t>. sumu 1</w:t>
      </w:r>
      <w:r w:rsidR="00CC6CB7">
        <w:rPr>
          <w:sz w:val="24"/>
          <w:szCs w:val="24"/>
        </w:rPr>
        <w:t> </w:t>
      </w:r>
      <w:r>
        <w:rPr>
          <w:sz w:val="24"/>
          <w:szCs w:val="24"/>
        </w:rPr>
        <w:t>000</w:t>
      </w:r>
      <w:r w:rsidR="00CC6CB7">
        <w:rPr>
          <w:sz w:val="24"/>
          <w:szCs w:val="24"/>
        </w:rPr>
        <w:t> </w:t>
      </w:r>
      <w:r>
        <w:rPr>
          <w:sz w:val="24"/>
          <w:szCs w:val="24"/>
        </w:rPr>
        <w:t>tis.</w:t>
      </w:r>
      <w:r w:rsidR="00CC6CB7">
        <w:rPr>
          <w:sz w:val="24"/>
          <w:szCs w:val="24"/>
        </w:rPr>
        <w:t> </w:t>
      </w:r>
      <w:r>
        <w:rPr>
          <w:sz w:val="24"/>
          <w:szCs w:val="24"/>
        </w:rPr>
        <w:t>eur, Ministerstvo hospodárstva SR sumu 254</w:t>
      </w:r>
      <w:r w:rsidR="00CC6CB7">
        <w:rPr>
          <w:sz w:val="24"/>
          <w:szCs w:val="24"/>
        </w:rPr>
        <w:t> </w:t>
      </w:r>
      <w:r>
        <w:rPr>
          <w:sz w:val="24"/>
          <w:szCs w:val="24"/>
        </w:rPr>
        <w:t>tis.</w:t>
      </w:r>
      <w:r w:rsidR="00CC6CB7">
        <w:rPr>
          <w:sz w:val="24"/>
          <w:szCs w:val="24"/>
        </w:rPr>
        <w:t> </w:t>
      </w:r>
      <w:r>
        <w:rPr>
          <w:sz w:val="24"/>
          <w:szCs w:val="24"/>
        </w:rPr>
        <w:t xml:space="preserve">eur, </w:t>
      </w:r>
      <w:r w:rsidR="00B22B22">
        <w:rPr>
          <w:sz w:val="24"/>
          <w:szCs w:val="24"/>
        </w:rPr>
        <w:t>m</w:t>
      </w:r>
      <w:r>
        <w:rPr>
          <w:sz w:val="24"/>
          <w:szCs w:val="24"/>
        </w:rPr>
        <w:t>esto Kežmaro</w:t>
      </w:r>
      <w:r w:rsidR="00B22B22">
        <w:rPr>
          <w:sz w:val="24"/>
          <w:szCs w:val="24"/>
        </w:rPr>
        <w:t>k a m</w:t>
      </w:r>
      <w:r>
        <w:rPr>
          <w:sz w:val="24"/>
          <w:szCs w:val="24"/>
        </w:rPr>
        <w:t>esto Martin vrátilo sumu 250</w:t>
      </w:r>
      <w:r w:rsidR="00CC6CB7">
        <w:rPr>
          <w:sz w:val="24"/>
          <w:szCs w:val="24"/>
        </w:rPr>
        <w:t> </w:t>
      </w:r>
      <w:r>
        <w:rPr>
          <w:sz w:val="24"/>
          <w:szCs w:val="24"/>
        </w:rPr>
        <w:t>tis.</w:t>
      </w:r>
      <w:r w:rsidR="00CC6CB7">
        <w:rPr>
          <w:sz w:val="24"/>
          <w:szCs w:val="24"/>
        </w:rPr>
        <w:t> </w:t>
      </w:r>
      <w:r w:rsidR="00B22B22">
        <w:rPr>
          <w:sz w:val="24"/>
          <w:szCs w:val="24"/>
        </w:rPr>
        <w:t>eur a m</w:t>
      </w:r>
      <w:r>
        <w:rPr>
          <w:sz w:val="24"/>
          <w:szCs w:val="24"/>
        </w:rPr>
        <w:t>esto Bardejov sumu 100</w:t>
      </w:r>
      <w:r w:rsidR="00CC6CB7">
        <w:rPr>
          <w:sz w:val="24"/>
          <w:szCs w:val="24"/>
        </w:rPr>
        <w:t> </w:t>
      </w:r>
      <w:r>
        <w:rPr>
          <w:sz w:val="24"/>
          <w:szCs w:val="24"/>
        </w:rPr>
        <w:t>tis.</w:t>
      </w:r>
      <w:r w:rsidR="00CC6CB7">
        <w:rPr>
          <w:sz w:val="24"/>
          <w:szCs w:val="24"/>
        </w:rPr>
        <w:t> </w:t>
      </w:r>
      <w:r>
        <w:rPr>
          <w:sz w:val="24"/>
          <w:szCs w:val="24"/>
        </w:rPr>
        <w:t>eur.</w:t>
      </w:r>
      <w:r w:rsidRPr="00914B2B">
        <w:rPr>
          <w:sz w:val="24"/>
          <w:szCs w:val="24"/>
        </w:rPr>
        <w:t xml:space="preserve"> </w:t>
      </w:r>
      <w:r>
        <w:rPr>
          <w:sz w:val="24"/>
          <w:szCs w:val="24"/>
        </w:rPr>
        <w:t>Z NFV poskytnutej cestovným kanceláriám bola celkovo splatená suma 15</w:t>
      </w:r>
      <w:r w:rsidR="00CC6CB7">
        <w:rPr>
          <w:sz w:val="24"/>
          <w:szCs w:val="24"/>
        </w:rPr>
        <w:t> </w:t>
      </w:r>
      <w:r>
        <w:rPr>
          <w:sz w:val="24"/>
          <w:szCs w:val="24"/>
        </w:rPr>
        <w:t>676</w:t>
      </w:r>
      <w:r w:rsidR="00CC6CB7">
        <w:rPr>
          <w:sz w:val="24"/>
          <w:szCs w:val="24"/>
        </w:rPr>
        <w:t> </w:t>
      </w:r>
      <w:r>
        <w:rPr>
          <w:sz w:val="24"/>
          <w:szCs w:val="24"/>
        </w:rPr>
        <w:t>tis.</w:t>
      </w:r>
      <w:r w:rsidR="00CC6CB7">
        <w:rPr>
          <w:sz w:val="24"/>
          <w:szCs w:val="24"/>
        </w:rPr>
        <w:t> </w:t>
      </w:r>
      <w:r>
        <w:rPr>
          <w:sz w:val="24"/>
          <w:szCs w:val="24"/>
        </w:rPr>
        <w:t>eur.</w:t>
      </w:r>
    </w:p>
    <w:p w14:paraId="2EAB6249" w14:textId="5B9CFC48" w:rsidR="00F72D98" w:rsidRDefault="00F72D98" w:rsidP="008172CD">
      <w:pPr>
        <w:spacing w:line="240" w:lineRule="auto"/>
        <w:rPr>
          <w:sz w:val="24"/>
          <w:szCs w:val="24"/>
        </w:rPr>
      </w:pPr>
      <w:r>
        <w:rPr>
          <w:sz w:val="24"/>
          <w:szCs w:val="24"/>
        </w:rPr>
        <w:t xml:space="preserve">Výdavky tvorili úhradu investície </w:t>
      </w:r>
      <w:r w:rsidRPr="00851C1F">
        <w:rPr>
          <w:sz w:val="24"/>
          <w:szCs w:val="24"/>
        </w:rPr>
        <w:t xml:space="preserve">do </w:t>
      </w:r>
      <w:r w:rsidR="00722AAD">
        <w:rPr>
          <w:sz w:val="24"/>
          <w:szCs w:val="24"/>
        </w:rPr>
        <w:t xml:space="preserve">spoločnosti </w:t>
      </w:r>
      <w:proofErr w:type="spellStart"/>
      <w:r w:rsidRPr="00851C1F">
        <w:rPr>
          <w:sz w:val="24"/>
          <w:szCs w:val="24"/>
        </w:rPr>
        <w:t>Venture</w:t>
      </w:r>
      <w:proofErr w:type="spellEnd"/>
      <w:r w:rsidRPr="00851C1F">
        <w:rPr>
          <w:sz w:val="24"/>
          <w:szCs w:val="24"/>
        </w:rPr>
        <w:t xml:space="preserve"> </w:t>
      </w:r>
      <w:r>
        <w:rPr>
          <w:sz w:val="24"/>
          <w:szCs w:val="24"/>
        </w:rPr>
        <w:t>to</w:t>
      </w:r>
      <w:r w:rsidRPr="00851C1F">
        <w:rPr>
          <w:sz w:val="24"/>
          <w:szCs w:val="24"/>
        </w:rPr>
        <w:t xml:space="preserve"> </w:t>
      </w:r>
      <w:proofErr w:type="spellStart"/>
      <w:r w:rsidRPr="00851C1F">
        <w:rPr>
          <w:sz w:val="24"/>
          <w:szCs w:val="24"/>
        </w:rPr>
        <w:t>Future</w:t>
      </w:r>
      <w:proofErr w:type="spellEnd"/>
      <w:r w:rsidRPr="00851C1F">
        <w:rPr>
          <w:sz w:val="24"/>
          <w:szCs w:val="24"/>
        </w:rPr>
        <w:t xml:space="preserve"> </w:t>
      </w:r>
      <w:proofErr w:type="spellStart"/>
      <w:r w:rsidRPr="00851C1F">
        <w:rPr>
          <w:sz w:val="24"/>
          <w:szCs w:val="24"/>
        </w:rPr>
        <w:t>Fund</w:t>
      </w:r>
      <w:proofErr w:type="spellEnd"/>
      <w:r>
        <w:rPr>
          <w:sz w:val="24"/>
          <w:szCs w:val="24"/>
        </w:rPr>
        <w:t xml:space="preserve">, </w:t>
      </w:r>
      <w:proofErr w:type="spellStart"/>
      <w:r>
        <w:rPr>
          <w:sz w:val="24"/>
          <w:szCs w:val="24"/>
        </w:rPr>
        <w:t>a.s</w:t>
      </w:r>
      <w:proofErr w:type="spellEnd"/>
      <w:r>
        <w:rPr>
          <w:sz w:val="24"/>
          <w:szCs w:val="24"/>
        </w:rPr>
        <w:t>. v sume 12</w:t>
      </w:r>
      <w:r w:rsidR="00CC6CB7">
        <w:rPr>
          <w:sz w:val="24"/>
          <w:szCs w:val="24"/>
        </w:rPr>
        <w:t> </w:t>
      </w:r>
      <w:r>
        <w:rPr>
          <w:sz w:val="24"/>
          <w:szCs w:val="24"/>
        </w:rPr>
        <w:t>500</w:t>
      </w:r>
      <w:r w:rsidR="00CC6CB7">
        <w:rPr>
          <w:sz w:val="24"/>
          <w:szCs w:val="24"/>
        </w:rPr>
        <w:t> </w:t>
      </w:r>
      <w:r>
        <w:rPr>
          <w:sz w:val="24"/>
          <w:szCs w:val="24"/>
        </w:rPr>
        <w:t>tis.</w:t>
      </w:r>
      <w:r w:rsidR="00CC6CB7">
        <w:rPr>
          <w:sz w:val="24"/>
          <w:szCs w:val="24"/>
        </w:rPr>
        <w:t> </w:t>
      </w:r>
      <w:r>
        <w:rPr>
          <w:sz w:val="24"/>
          <w:szCs w:val="24"/>
        </w:rPr>
        <w:t>eur a 8</w:t>
      </w:r>
      <w:r w:rsidR="00CC6CB7">
        <w:rPr>
          <w:sz w:val="24"/>
          <w:szCs w:val="24"/>
        </w:rPr>
        <w:t> </w:t>
      </w:r>
      <w:r>
        <w:rPr>
          <w:sz w:val="24"/>
          <w:szCs w:val="24"/>
        </w:rPr>
        <w:t>000</w:t>
      </w:r>
      <w:r w:rsidR="00CC6CB7">
        <w:rPr>
          <w:sz w:val="24"/>
          <w:szCs w:val="24"/>
        </w:rPr>
        <w:t> </w:t>
      </w:r>
      <w:r>
        <w:rPr>
          <w:sz w:val="24"/>
          <w:szCs w:val="24"/>
        </w:rPr>
        <w:t>tis.</w:t>
      </w:r>
      <w:r w:rsidR="00CC6CB7">
        <w:rPr>
          <w:sz w:val="24"/>
          <w:szCs w:val="24"/>
        </w:rPr>
        <w:t> </w:t>
      </w:r>
      <w:r>
        <w:rPr>
          <w:sz w:val="24"/>
          <w:szCs w:val="24"/>
        </w:rPr>
        <w:t>eur ako transfer Ministerstvu vnútra SR na zvýšenie základného imania Nemocnice</w:t>
      </w:r>
      <w:r w:rsidRPr="00851C1F">
        <w:rPr>
          <w:sz w:val="24"/>
          <w:szCs w:val="24"/>
        </w:rPr>
        <w:t xml:space="preserve"> svätého Michala, </w:t>
      </w:r>
      <w:proofErr w:type="spellStart"/>
      <w:r w:rsidRPr="00851C1F">
        <w:rPr>
          <w:sz w:val="24"/>
          <w:szCs w:val="24"/>
        </w:rPr>
        <w:t>a.</w:t>
      </w:r>
      <w:r>
        <w:rPr>
          <w:sz w:val="24"/>
          <w:szCs w:val="24"/>
        </w:rPr>
        <w:t>s</w:t>
      </w:r>
      <w:proofErr w:type="spellEnd"/>
      <w:r>
        <w:rPr>
          <w:sz w:val="24"/>
          <w:szCs w:val="24"/>
        </w:rPr>
        <w:t>.</w:t>
      </w:r>
    </w:p>
    <w:p w14:paraId="7FE65B70" w14:textId="3D5FEB78" w:rsidR="00F72D98" w:rsidRPr="00D33881" w:rsidRDefault="00F72D98" w:rsidP="008172CD">
      <w:pPr>
        <w:spacing w:line="240" w:lineRule="auto"/>
        <w:rPr>
          <w:sz w:val="24"/>
          <w:szCs w:val="24"/>
        </w:rPr>
      </w:pPr>
      <w:r w:rsidRPr="00D33881">
        <w:rPr>
          <w:i/>
          <w:sz w:val="24"/>
          <w:szCs w:val="24"/>
          <w:u w:val="single"/>
        </w:rPr>
        <w:t>Osobitný odvod finančných inštitúcií</w:t>
      </w:r>
      <w:r w:rsidRPr="00DA0DA3">
        <w:rPr>
          <w:i/>
          <w:sz w:val="24"/>
          <w:szCs w:val="24"/>
        </w:rPr>
        <w:t xml:space="preserve"> </w:t>
      </w:r>
      <w:r w:rsidRPr="00D33881">
        <w:rPr>
          <w:sz w:val="24"/>
          <w:szCs w:val="24"/>
        </w:rPr>
        <w:t>sa účinnosťou novely č. 353/2020 Z. z. zákona</w:t>
      </w:r>
      <w:r w:rsidR="00CC6CB7">
        <w:rPr>
          <w:sz w:val="24"/>
          <w:szCs w:val="24"/>
        </w:rPr>
        <w:t xml:space="preserve"> </w:t>
      </w:r>
      <w:r w:rsidRPr="00D33881">
        <w:rPr>
          <w:sz w:val="24"/>
          <w:szCs w:val="24"/>
        </w:rPr>
        <w:t>č</w:t>
      </w:r>
      <w:r w:rsidR="00CC6CB7">
        <w:rPr>
          <w:sz w:val="24"/>
          <w:szCs w:val="24"/>
        </w:rPr>
        <w:t>. </w:t>
      </w:r>
      <w:r w:rsidRPr="00D33881">
        <w:rPr>
          <w:sz w:val="24"/>
          <w:szCs w:val="24"/>
        </w:rPr>
        <w:t>384/2011</w:t>
      </w:r>
      <w:r w:rsidR="00CC6CB7">
        <w:rPr>
          <w:sz w:val="24"/>
          <w:szCs w:val="24"/>
        </w:rPr>
        <w:t> </w:t>
      </w:r>
      <w:r w:rsidRPr="00D33881">
        <w:rPr>
          <w:sz w:val="24"/>
          <w:szCs w:val="24"/>
        </w:rPr>
        <w:t xml:space="preserve">Z. z. o osobitnom odvode vybraných finančných inštitúcií a o doplnení niektorých zákonov zrušil od 1.1.2021. Použitie prostriedkov v roku 2023 </w:t>
      </w:r>
      <w:r>
        <w:rPr>
          <w:sz w:val="24"/>
          <w:szCs w:val="24"/>
        </w:rPr>
        <w:t>v sume</w:t>
      </w:r>
      <w:r w:rsidR="00CC6CB7">
        <w:rPr>
          <w:sz w:val="24"/>
          <w:szCs w:val="24"/>
        </w:rPr>
        <w:t xml:space="preserve"> 88 629 </w:t>
      </w:r>
      <w:r w:rsidRPr="00D33881">
        <w:rPr>
          <w:sz w:val="24"/>
          <w:szCs w:val="24"/>
        </w:rPr>
        <w:t>tis.</w:t>
      </w:r>
      <w:r w:rsidR="00CC6CB7">
        <w:rPr>
          <w:sz w:val="24"/>
          <w:szCs w:val="24"/>
        </w:rPr>
        <w:t> </w:t>
      </w:r>
      <w:r w:rsidRPr="00D33881">
        <w:rPr>
          <w:sz w:val="24"/>
          <w:szCs w:val="24"/>
        </w:rPr>
        <w:t xml:space="preserve">eur bolo určené pre </w:t>
      </w:r>
      <w:r>
        <w:rPr>
          <w:sz w:val="24"/>
          <w:szCs w:val="24"/>
        </w:rPr>
        <w:t xml:space="preserve">Ministerstvo hospodárstva </w:t>
      </w:r>
      <w:r w:rsidR="006243D7">
        <w:rPr>
          <w:sz w:val="24"/>
          <w:szCs w:val="24"/>
        </w:rPr>
        <w:t>SR na investičný projekt „</w:t>
      </w:r>
      <w:r w:rsidRPr="00D33881">
        <w:rPr>
          <w:sz w:val="24"/>
          <w:szCs w:val="24"/>
        </w:rPr>
        <w:t>Strategické územie Valaliky“</w:t>
      </w:r>
      <w:r>
        <w:rPr>
          <w:sz w:val="24"/>
          <w:szCs w:val="24"/>
        </w:rPr>
        <w:t xml:space="preserve"> </w:t>
      </w:r>
      <w:r w:rsidRPr="00D33881">
        <w:rPr>
          <w:sz w:val="24"/>
          <w:szCs w:val="24"/>
        </w:rPr>
        <w:t xml:space="preserve">a </w:t>
      </w:r>
      <w:r>
        <w:rPr>
          <w:sz w:val="24"/>
          <w:szCs w:val="24"/>
        </w:rPr>
        <w:t>suma</w:t>
      </w:r>
      <w:r w:rsidRPr="00D33881">
        <w:rPr>
          <w:sz w:val="24"/>
          <w:szCs w:val="24"/>
        </w:rPr>
        <w:t xml:space="preserve"> 100</w:t>
      </w:r>
      <w:r w:rsidR="00CC6CB7">
        <w:rPr>
          <w:sz w:val="24"/>
          <w:szCs w:val="24"/>
        </w:rPr>
        <w:t> </w:t>
      </w:r>
      <w:r w:rsidRPr="00D33881">
        <w:rPr>
          <w:sz w:val="24"/>
          <w:szCs w:val="24"/>
        </w:rPr>
        <w:t>000</w:t>
      </w:r>
      <w:r w:rsidR="00CC6CB7">
        <w:rPr>
          <w:sz w:val="24"/>
          <w:szCs w:val="24"/>
        </w:rPr>
        <w:t> </w:t>
      </w:r>
      <w:r w:rsidRPr="00D33881">
        <w:rPr>
          <w:sz w:val="24"/>
          <w:szCs w:val="24"/>
        </w:rPr>
        <w:t>tis.</w:t>
      </w:r>
      <w:r w:rsidR="00CC6CB7">
        <w:rPr>
          <w:sz w:val="24"/>
          <w:szCs w:val="24"/>
        </w:rPr>
        <w:t> </w:t>
      </w:r>
      <w:r w:rsidRPr="00D33881">
        <w:rPr>
          <w:sz w:val="24"/>
          <w:szCs w:val="24"/>
        </w:rPr>
        <w:t xml:space="preserve">eur na transfer Ministerstvu obrany SR </w:t>
      </w:r>
      <w:r>
        <w:rPr>
          <w:sz w:val="24"/>
          <w:szCs w:val="24"/>
        </w:rPr>
        <w:t xml:space="preserve">s cieľom </w:t>
      </w:r>
      <w:r w:rsidRPr="00D33881">
        <w:rPr>
          <w:sz w:val="24"/>
          <w:szCs w:val="24"/>
        </w:rPr>
        <w:t xml:space="preserve">zvýšenia </w:t>
      </w:r>
      <w:r>
        <w:rPr>
          <w:sz w:val="24"/>
          <w:szCs w:val="24"/>
        </w:rPr>
        <w:t>základného</w:t>
      </w:r>
      <w:r w:rsidRPr="00D33881">
        <w:rPr>
          <w:sz w:val="24"/>
          <w:szCs w:val="24"/>
        </w:rPr>
        <w:t xml:space="preserve"> imania spoločností DMD Group</w:t>
      </w:r>
      <w:r>
        <w:rPr>
          <w:sz w:val="24"/>
          <w:szCs w:val="24"/>
        </w:rPr>
        <w:t xml:space="preserve">, </w:t>
      </w:r>
      <w:proofErr w:type="spellStart"/>
      <w:r>
        <w:rPr>
          <w:sz w:val="24"/>
          <w:szCs w:val="24"/>
        </w:rPr>
        <w:t>a.s</w:t>
      </w:r>
      <w:proofErr w:type="spellEnd"/>
      <w:r>
        <w:rPr>
          <w:sz w:val="24"/>
          <w:szCs w:val="24"/>
        </w:rPr>
        <w:t>.</w:t>
      </w:r>
      <w:r w:rsidR="00722AAD">
        <w:rPr>
          <w:sz w:val="24"/>
          <w:szCs w:val="24"/>
        </w:rPr>
        <w:t xml:space="preserve"> (90 000 tis. eur)</w:t>
      </w:r>
      <w:r>
        <w:rPr>
          <w:sz w:val="24"/>
          <w:szCs w:val="24"/>
        </w:rPr>
        <w:t xml:space="preserve"> a Letecké opravovne Trenčín, </w:t>
      </w:r>
      <w:proofErr w:type="spellStart"/>
      <w:r>
        <w:rPr>
          <w:sz w:val="24"/>
          <w:szCs w:val="24"/>
        </w:rPr>
        <w:t>a.s</w:t>
      </w:r>
      <w:proofErr w:type="spellEnd"/>
      <w:r>
        <w:rPr>
          <w:sz w:val="24"/>
          <w:szCs w:val="24"/>
        </w:rPr>
        <w:t>.</w:t>
      </w:r>
      <w:r w:rsidR="00722AAD">
        <w:rPr>
          <w:sz w:val="24"/>
          <w:szCs w:val="24"/>
        </w:rPr>
        <w:t>(10 000 tis. eur).</w:t>
      </w:r>
    </w:p>
    <w:p w14:paraId="434EDE7C" w14:textId="04ED36E0" w:rsidR="00F72D98" w:rsidRDefault="00F72D98" w:rsidP="008172CD">
      <w:pPr>
        <w:spacing w:line="240" w:lineRule="auto"/>
        <w:rPr>
          <w:sz w:val="24"/>
          <w:szCs w:val="24"/>
        </w:rPr>
      </w:pPr>
      <w:r w:rsidRPr="00D715AF">
        <w:rPr>
          <w:i/>
          <w:sz w:val="24"/>
          <w:szCs w:val="24"/>
          <w:u w:val="single"/>
        </w:rPr>
        <w:lastRenderedPageBreak/>
        <w:t>Prostriedky osobitného odvodu z podnikania v regulovaných odvetviach</w:t>
      </w:r>
      <w:r w:rsidRPr="00D715AF">
        <w:rPr>
          <w:i/>
          <w:sz w:val="24"/>
          <w:szCs w:val="24"/>
        </w:rPr>
        <w:t>,</w:t>
      </w:r>
      <w:r w:rsidRPr="00D715AF">
        <w:rPr>
          <w:sz w:val="24"/>
          <w:szCs w:val="24"/>
        </w:rPr>
        <w:t xml:space="preserve"> </w:t>
      </w:r>
      <w:r>
        <w:rPr>
          <w:sz w:val="24"/>
          <w:szCs w:val="24"/>
        </w:rPr>
        <w:t>podľa</w:t>
      </w:r>
      <w:r w:rsidRPr="00D715AF">
        <w:rPr>
          <w:sz w:val="24"/>
          <w:szCs w:val="24"/>
        </w:rPr>
        <w:t xml:space="preserve"> zákona č. 235/2012 Z. z.</w:t>
      </w:r>
      <w:r>
        <w:rPr>
          <w:sz w:val="24"/>
          <w:szCs w:val="24"/>
        </w:rPr>
        <w:t>, s</w:t>
      </w:r>
      <w:r w:rsidRPr="00D715AF">
        <w:rPr>
          <w:sz w:val="24"/>
          <w:szCs w:val="24"/>
        </w:rPr>
        <w:t xml:space="preserve">lúžia na perspektívne vytvorenie účelovo určenej osobitnej časti ŠFA, z ktorých sa budú financovať </w:t>
      </w:r>
      <w:r w:rsidRPr="00DE7F9A">
        <w:rPr>
          <w:sz w:val="24"/>
          <w:szCs w:val="24"/>
        </w:rPr>
        <w:t>prioritné projekty vlády. Rozpočet na rok 2023 predpokladal príjem v sume 98</w:t>
      </w:r>
      <w:r w:rsidR="00CC6CB7">
        <w:rPr>
          <w:sz w:val="24"/>
          <w:szCs w:val="24"/>
        </w:rPr>
        <w:t> </w:t>
      </w:r>
      <w:r w:rsidRPr="00DE7F9A">
        <w:rPr>
          <w:sz w:val="24"/>
          <w:szCs w:val="24"/>
        </w:rPr>
        <w:t>552</w:t>
      </w:r>
      <w:r w:rsidR="00CC6CB7">
        <w:rPr>
          <w:sz w:val="24"/>
          <w:szCs w:val="24"/>
        </w:rPr>
        <w:t> </w:t>
      </w:r>
      <w:r w:rsidRPr="00DE7F9A">
        <w:rPr>
          <w:sz w:val="24"/>
          <w:szCs w:val="24"/>
        </w:rPr>
        <w:t>tis.</w:t>
      </w:r>
      <w:r w:rsidR="00CC6CB7">
        <w:rPr>
          <w:sz w:val="24"/>
          <w:szCs w:val="24"/>
        </w:rPr>
        <w:t> </w:t>
      </w:r>
      <w:r w:rsidRPr="00DE7F9A">
        <w:rPr>
          <w:sz w:val="24"/>
          <w:szCs w:val="24"/>
        </w:rPr>
        <w:t>eur, čo je viac o</w:t>
      </w:r>
      <w:r w:rsidR="00CC6CB7">
        <w:rPr>
          <w:sz w:val="24"/>
          <w:szCs w:val="24"/>
        </w:rPr>
        <w:t> </w:t>
      </w:r>
      <w:r w:rsidRPr="00DE7F9A">
        <w:rPr>
          <w:sz w:val="24"/>
          <w:szCs w:val="24"/>
        </w:rPr>
        <w:t>258</w:t>
      </w:r>
      <w:r w:rsidR="00CC6CB7">
        <w:rPr>
          <w:sz w:val="24"/>
          <w:szCs w:val="24"/>
        </w:rPr>
        <w:t> </w:t>
      </w:r>
      <w:r w:rsidRPr="00DE7F9A">
        <w:rPr>
          <w:sz w:val="24"/>
          <w:szCs w:val="24"/>
        </w:rPr>
        <w:t>tis.</w:t>
      </w:r>
      <w:r w:rsidR="00CC6CB7">
        <w:rPr>
          <w:sz w:val="24"/>
          <w:szCs w:val="24"/>
        </w:rPr>
        <w:t> </w:t>
      </w:r>
      <w:r w:rsidRPr="00DE7F9A">
        <w:rPr>
          <w:sz w:val="24"/>
          <w:szCs w:val="24"/>
        </w:rPr>
        <w:t>eur ako v roku 2022. Rozpočet zohľadňoval vývoj bázy, z ktorej sa odvod počíta (výsledok hospodárenia</w:t>
      </w:r>
      <w:r>
        <w:rPr>
          <w:sz w:val="24"/>
          <w:szCs w:val="24"/>
        </w:rPr>
        <w:t xml:space="preserve"> spoločností v regulovanom období v nadväznosti na makroekonomický vývoj hospodárstva).</w:t>
      </w:r>
      <w:r w:rsidRPr="00D715AF">
        <w:rPr>
          <w:sz w:val="24"/>
          <w:szCs w:val="24"/>
        </w:rPr>
        <w:t xml:space="preserve"> </w:t>
      </w:r>
    </w:p>
    <w:p w14:paraId="43BA0C32" w14:textId="344A8056" w:rsidR="00F72D98" w:rsidRDefault="00F72D98" w:rsidP="008172CD">
      <w:pPr>
        <w:spacing w:line="240" w:lineRule="auto"/>
        <w:rPr>
          <w:sz w:val="24"/>
          <w:szCs w:val="24"/>
        </w:rPr>
      </w:pPr>
      <w:r>
        <w:rPr>
          <w:sz w:val="24"/>
          <w:szCs w:val="24"/>
        </w:rPr>
        <w:t>Skutočný príjem z odvodu predstavoval 105</w:t>
      </w:r>
      <w:r w:rsidR="00CC6CB7">
        <w:rPr>
          <w:sz w:val="24"/>
          <w:szCs w:val="24"/>
        </w:rPr>
        <w:t> </w:t>
      </w:r>
      <w:r>
        <w:rPr>
          <w:sz w:val="24"/>
          <w:szCs w:val="24"/>
        </w:rPr>
        <w:t>552</w:t>
      </w:r>
      <w:r w:rsidR="00CC6CB7">
        <w:rPr>
          <w:sz w:val="24"/>
          <w:szCs w:val="24"/>
        </w:rPr>
        <w:t> </w:t>
      </w:r>
      <w:r>
        <w:rPr>
          <w:sz w:val="24"/>
          <w:szCs w:val="24"/>
        </w:rPr>
        <w:t>tis.</w:t>
      </w:r>
      <w:r w:rsidR="00CC6CB7">
        <w:rPr>
          <w:sz w:val="24"/>
          <w:szCs w:val="24"/>
        </w:rPr>
        <w:t> </w:t>
      </w:r>
      <w:r>
        <w:rPr>
          <w:sz w:val="24"/>
          <w:szCs w:val="24"/>
        </w:rPr>
        <w:t>eur, čo je medziročne viac o 14</w:t>
      </w:r>
      <w:r w:rsidR="00CC6CB7">
        <w:rPr>
          <w:sz w:val="24"/>
          <w:szCs w:val="24"/>
        </w:rPr>
        <w:t> </w:t>
      </w:r>
      <w:r>
        <w:rPr>
          <w:sz w:val="24"/>
          <w:szCs w:val="24"/>
        </w:rPr>
        <w:t>087</w:t>
      </w:r>
      <w:r w:rsidR="00CC6CB7">
        <w:rPr>
          <w:sz w:val="24"/>
          <w:szCs w:val="24"/>
        </w:rPr>
        <w:t> </w:t>
      </w:r>
      <w:r>
        <w:rPr>
          <w:sz w:val="24"/>
          <w:szCs w:val="24"/>
        </w:rPr>
        <w:t>tis. eur.</w:t>
      </w:r>
    </w:p>
    <w:p w14:paraId="06F8DE90" w14:textId="1C197FC9" w:rsidR="00F72D98" w:rsidRPr="00F72D98" w:rsidRDefault="00F72D98" w:rsidP="008172CD">
      <w:pPr>
        <w:spacing w:line="240" w:lineRule="auto"/>
        <w:rPr>
          <w:i/>
          <w:sz w:val="24"/>
          <w:szCs w:val="24"/>
          <w:u w:val="single"/>
        </w:rPr>
      </w:pPr>
      <w:r w:rsidRPr="00DD1FCE">
        <w:rPr>
          <w:i/>
          <w:sz w:val="24"/>
          <w:szCs w:val="24"/>
          <w:u w:val="single"/>
        </w:rPr>
        <w:t>Pokles stavu prostriedkov anonymných vkladov</w:t>
      </w:r>
      <w:r>
        <w:rPr>
          <w:sz w:val="24"/>
          <w:szCs w:val="24"/>
        </w:rPr>
        <w:t xml:space="preserve"> </w:t>
      </w:r>
      <w:r w:rsidRPr="00DD1FCE">
        <w:rPr>
          <w:sz w:val="24"/>
          <w:szCs w:val="24"/>
        </w:rPr>
        <w:t>o 11 tis. eur predstavovalo precenenie prostriedkov v cudzej mene ku koncu roka 2023.</w:t>
      </w:r>
    </w:p>
    <w:p w14:paraId="39D5632D" w14:textId="21A17610" w:rsidR="008254BE" w:rsidRDefault="008254BE" w:rsidP="008A6314">
      <w:pPr>
        <w:pStyle w:val="Nadpis2"/>
      </w:pPr>
      <w:bookmarkStart w:id="63" w:name="_Toc6415652"/>
      <w:bookmarkStart w:id="64" w:name="_Toc164846952"/>
      <w:r>
        <w:t>Vzťahy štátneho rozpočtu k Európskej únii</w:t>
      </w:r>
      <w:bookmarkEnd w:id="63"/>
      <w:bookmarkEnd w:id="64"/>
    </w:p>
    <w:p w14:paraId="3B4DF354" w14:textId="49DBA9C4" w:rsidR="00E333D1" w:rsidRPr="00E333D1" w:rsidRDefault="00E333D1" w:rsidP="00E333D1">
      <w:pPr>
        <w:tabs>
          <w:tab w:val="left" w:pos="284"/>
        </w:tabs>
        <w:spacing w:line="240" w:lineRule="auto"/>
        <w:rPr>
          <w:sz w:val="24"/>
          <w:szCs w:val="24"/>
        </w:rPr>
      </w:pPr>
      <w:r w:rsidRPr="00E333D1">
        <w:rPr>
          <w:b/>
          <w:sz w:val="24"/>
          <w:szCs w:val="24"/>
        </w:rPr>
        <w:t xml:space="preserve">Príjmy Slovenskej republiky z rozpočtu EÚ </w:t>
      </w:r>
      <w:r w:rsidRPr="00E333D1">
        <w:rPr>
          <w:sz w:val="24"/>
          <w:szCs w:val="24"/>
        </w:rPr>
        <w:t>tvoria zahraničné transfery (prostriedky EÚ a prostriedky z Plánu obnovy a odolnosti SR) a zahraničné granty poskytnuté z rozpočtu EÚ.</w:t>
      </w:r>
      <w:r w:rsidRPr="00E333D1">
        <w:rPr>
          <w:b/>
          <w:sz w:val="24"/>
          <w:szCs w:val="24"/>
        </w:rPr>
        <w:t xml:space="preserve"> </w:t>
      </w:r>
      <w:r w:rsidRPr="00E333D1">
        <w:rPr>
          <w:sz w:val="24"/>
          <w:szCs w:val="24"/>
        </w:rPr>
        <w:t>Príjmy zo zahraničných transferov</w:t>
      </w:r>
      <w:r w:rsidRPr="00E333D1">
        <w:rPr>
          <w:b/>
          <w:sz w:val="24"/>
          <w:szCs w:val="24"/>
        </w:rPr>
        <w:t xml:space="preserve"> </w:t>
      </w:r>
      <w:r w:rsidRPr="00E333D1">
        <w:rPr>
          <w:sz w:val="24"/>
          <w:szCs w:val="24"/>
        </w:rPr>
        <w:t>boli rozpočtované v ŠR na rok 2023 vo výške 7 728</w:t>
      </w:r>
      <w:r>
        <w:rPr>
          <w:sz w:val="24"/>
          <w:szCs w:val="24"/>
        </w:rPr>
        <w:t> </w:t>
      </w:r>
      <w:r w:rsidRPr="00E333D1">
        <w:rPr>
          <w:sz w:val="24"/>
          <w:szCs w:val="24"/>
        </w:rPr>
        <w:t>805</w:t>
      </w:r>
      <w:r>
        <w:rPr>
          <w:sz w:val="24"/>
          <w:szCs w:val="24"/>
        </w:rPr>
        <w:t> </w:t>
      </w:r>
      <w:r w:rsidRPr="00E333D1">
        <w:rPr>
          <w:sz w:val="24"/>
          <w:szCs w:val="24"/>
        </w:rPr>
        <w:t>tis. eur, z toho príjmy za prostriedky EÚ boli rozpočtované vo výške 5 717</w:t>
      </w:r>
      <w:r>
        <w:rPr>
          <w:sz w:val="24"/>
          <w:szCs w:val="24"/>
        </w:rPr>
        <w:t> </w:t>
      </w:r>
      <w:r w:rsidRPr="00E333D1">
        <w:rPr>
          <w:sz w:val="24"/>
          <w:szCs w:val="24"/>
        </w:rPr>
        <w:t>554</w:t>
      </w:r>
      <w:r>
        <w:rPr>
          <w:sz w:val="24"/>
          <w:szCs w:val="24"/>
        </w:rPr>
        <w:t> tis. </w:t>
      </w:r>
      <w:r w:rsidRPr="00E333D1">
        <w:rPr>
          <w:sz w:val="24"/>
          <w:szCs w:val="24"/>
        </w:rPr>
        <w:t>eur a</w:t>
      </w:r>
      <w:r>
        <w:rPr>
          <w:sz w:val="24"/>
          <w:szCs w:val="24"/>
        </w:rPr>
        <w:t xml:space="preserve"> </w:t>
      </w:r>
      <w:r w:rsidRPr="00E333D1">
        <w:rPr>
          <w:sz w:val="24"/>
          <w:szCs w:val="24"/>
        </w:rPr>
        <w:t>príjmy za Plán obnovy a odolnosti SR vo výške 2 011</w:t>
      </w:r>
      <w:r>
        <w:rPr>
          <w:sz w:val="24"/>
          <w:szCs w:val="24"/>
        </w:rPr>
        <w:t> </w:t>
      </w:r>
      <w:r w:rsidRPr="00E333D1">
        <w:rPr>
          <w:sz w:val="24"/>
          <w:szCs w:val="24"/>
        </w:rPr>
        <w:t>251</w:t>
      </w:r>
      <w:r>
        <w:rPr>
          <w:sz w:val="24"/>
          <w:szCs w:val="24"/>
        </w:rPr>
        <w:t> </w:t>
      </w:r>
      <w:r w:rsidRPr="00E333D1">
        <w:rPr>
          <w:sz w:val="24"/>
          <w:szCs w:val="24"/>
        </w:rPr>
        <w:t>tis.</w:t>
      </w:r>
      <w:r>
        <w:rPr>
          <w:sz w:val="24"/>
          <w:szCs w:val="24"/>
        </w:rPr>
        <w:t> </w:t>
      </w:r>
      <w:r w:rsidRPr="00E333D1">
        <w:rPr>
          <w:sz w:val="24"/>
          <w:szCs w:val="24"/>
        </w:rPr>
        <w:t>eur. Rozpočet príjmov z rozpočtu EÚ bol upravený na úroveň 4 509</w:t>
      </w:r>
      <w:r>
        <w:rPr>
          <w:sz w:val="24"/>
          <w:szCs w:val="24"/>
        </w:rPr>
        <w:t> </w:t>
      </w:r>
      <w:r w:rsidRPr="00E333D1">
        <w:rPr>
          <w:sz w:val="24"/>
          <w:szCs w:val="24"/>
        </w:rPr>
        <w:t>274</w:t>
      </w:r>
      <w:r>
        <w:rPr>
          <w:sz w:val="24"/>
          <w:szCs w:val="24"/>
        </w:rPr>
        <w:t> </w:t>
      </w:r>
      <w:r w:rsidRPr="00E333D1">
        <w:rPr>
          <w:sz w:val="24"/>
          <w:szCs w:val="24"/>
        </w:rPr>
        <w:t>tis.</w:t>
      </w:r>
      <w:r>
        <w:rPr>
          <w:sz w:val="24"/>
          <w:szCs w:val="24"/>
        </w:rPr>
        <w:t> </w:t>
      </w:r>
      <w:r w:rsidRPr="00E333D1">
        <w:rPr>
          <w:sz w:val="24"/>
          <w:szCs w:val="24"/>
        </w:rPr>
        <w:t>eur. Skutočné plnenie príjmov SR zo zahraničných transferov je vo výške 4 509</w:t>
      </w:r>
      <w:r>
        <w:rPr>
          <w:sz w:val="24"/>
          <w:szCs w:val="24"/>
        </w:rPr>
        <w:t> </w:t>
      </w:r>
      <w:r w:rsidRPr="00E333D1">
        <w:rPr>
          <w:sz w:val="24"/>
          <w:szCs w:val="24"/>
        </w:rPr>
        <w:t>274</w:t>
      </w:r>
      <w:r>
        <w:rPr>
          <w:sz w:val="24"/>
          <w:szCs w:val="24"/>
        </w:rPr>
        <w:t> tis. </w:t>
      </w:r>
      <w:r w:rsidRPr="00E333D1">
        <w:rPr>
          <w:sz w:val="24"/>
          <w:szCs w:val="24"/>
        </w:rPr>
        <w:t>eur, z toho príjmy za prostriedky EÚ sú vo výške 4 141</w:t>
      </w:r>
      <w:r>
        <w:rPr>
          <w:sz w:val="24"/>
          <w:szCs w:val="24"/>
        </w:rPr>
        <w:t> </w:t>
      </w:r>
      <w:r w:rsidRPr="00E333D1">
        <w:rPr>
          <w:sz w:val="24"/>
          <w:szCs w:val="24"/>
        </w:rPr>
        <w:t>996</w:t>
      </w:r>
      <w:r>
        <w:rPr>
          <w:sz w:val="24"/>
          <w:szCs w:val="24"/>
        </w:rPr>
        <w:t> </w:t>
      </w:r>
      <w:r w:rsidRPr="00E333D1">
        <w:rPr>
          <w:sz w:val="24"/>
          <w:szCs w:val="24"/>
        </w:rPr>
        <w:t>tis. eur a príjmy za Plán obnovy a odolnosti SR vo výške 367</w:t>
      </w:r>
      <w:r>
        <w:rPr>
          <w:sz w:val="24"/>
          <w:szCs w:val="24"/>
        </w:rPr>
        <w:t> </w:t>
      </w:r>
      <w:r w:rsidRPr="00E333D1">
        <w:rPr>
          <w:sz w:val="24"/>
          <w:szCs w:val="24"/>
        </w:rPr>
        <w:t>278</w:t>
      </w:r>
      <w:r>
        <w:rPr>
          <w:sz w:val="24"/>
          <w:szCs w:val="24"/>
        </w:rPr>
        <w:t> tis. </w:t>
      </w:r>
      <w:r w:rsidRPr="00E333D1">
        <w:rPr>
          <w:sz w:val="24"/>
          <w:szCs w:val="24"/>
        </w:rPr>
        <w:t>eur. Príjmy za zahraničné granty poskytnuté z rozpočtu EÚ sú vo výške 0 tis. eur.</w:t>
      </w:r>
    </w:p>
    <w:p w14:paraId="4A3AFC88" w14:textId="3DB5D707" w:rsidR="00E333D1" w:rsidRDefault="00E333D1" w:rsidP="00E333D1">
      <w:pPr>
        <w:spacing w:line="240" w:lineRule="auto"/>
        <w:rPr>
          <w:sz w:val="24"/>
          <w:szCs w:val="24"/>
        </w:rPr>
      </w:pPr>
      <w:r w:rsidRPr="00E333D1">
        <w:rPr>
          <w:b/>
          <w:sz w:val="24"/>
          <w:szCs w:val="24"/>
        </w:rPr>
        <w:t>Odvody a príspevky SR do všeobecného rozpočtu EÚ</w:t>
      </w:r>
      <w:r w:rsidRPr="00E333D1">
        <w:rPr>
          <w:sz w:val="24"/>
          <w:szCs w:val="24"/>
        </w:rPr>
        <w:t xml:space="preserve"> tvoria odvody do rozpočtu EÚ a príspevky do Európskeho rozvojového fondu. Odvody a príspevky SR do všeobecného rozpočtu EÚ boli rozpočtované na rok 2023 v sume 1 164</w:t>
      </w:r>
      <w:r>
        <w:rPr>
          <w:sz w:val="24"/>
          <w:szCs w:val="24"/>
        </w:rPr>
        <w:t> </w:t>
      </w:r>
      <w:r w:rsidRPr="00E333D1">
        <w:rPr>
          <w:sz w:val="24"/>
          <w:szCs w:val="24"/>
        </w:rPr>
        <w:t>381</w:t>
      </w:r>
      <w:r>
        <w:rPr>
          <w:sz w:val="24"/>
          <w:szCs w:val="24"/>
        </w:rPr>
        <w:t> </w:t>
      </w:r>
      <w:r w:rsidRPr="00E333D1">
        <w:rPr>
          <w:sz w:val="24"/>
          <w:szCs w:val="24"/>
        </w:rPr>
        <w:t>tis. eur.</w:t>
      </w:r>
    </w:p>
    <w:tbl>
      <w:tblPr>
        <w:tblW w:w="4923" w:type="pct"/>
        <w:tblLayout w:type="fixed"/>
        <w:tblCellMar>
          <w:left w:w="70" w:type="dxa"/>
          <w:right w:w="70" w:type="dxa"/>
        </w:tblCellMar>
        <w:tblLook w:val="04A0" w:firstRow="1" w:lastRow="0" w:firstColumn="1" w:lastColumn="0" w:noHBand="0" w:noVBand="1"/>
      </w:tblPr>
      <w:tblGrid>
        <w:gridCol w:w="2989"/>
        <w:gridCol w:w="995"/>
        <w:gridCol w:w="992"/>
        <w:gridCol w:w="1134"/>
        <w:gridCol w:w="992"/>
        <w:gridCol w:w="989"/>
        <w:gridCol w:w="145"/>
        <w:gridCol w:w="836"/>
      </w:tblGrid>
      <w:tr w:rsidR="00DB5CB6" w:rsidRPr="00DB5CB6" w14:paraId="68C0D517" w14:textId="77777777" w:rsidTr="005042CC">
        <w:trPr>
          <w:trHeight w:val="330"/>
        </w:trPr>
        <w:tc>
          <w:tcPr>
            <w:tcW w:w="5000" w:type="pct"/>
            <w:gridSpan w:val="8"/>
            <w:tcBorders>
              <w:top w:val="nil"/>
              <w:left w:val="nil"/>
              <w:bottom w:val="single" w:sz="4" w:space="0" w:color="auto"/>
              <w:right w:val="nil"/>
            </w:tcBorders>
            <w:shd w:val="clear" w:color="000000" w:fill="auto"/>
            <w:noWrap/>
            <w:vAlign w:val="bottom"/>
            <w:hideMark/>
          </w:tcPr>
          <w:p w14:paraId="35751C06" w14:textId="5C41B014" w:rsidR="00DB5CB6" w:rsidRPr="00DB5CB6" w:rsidRDefault="00DB5CB6" w:rsidP="004A6E2F">
            <w:pPr>
              <w:spacing w:line="240" w:lineRule="auto"/>
              <w:jc w:val="left"/>
              <w:rPr>
                <w:rFonts w:eastAsia="Times New Roman" w:cs="Times New Roman"/>
                <w:b/>
                <w:bCs/>
                <w:color w:val="5B9BD5" w:themeColor="accent1"/>
                <w:sz w:val="20"/>
                <w:szCs w:val="20"/>
                <w:lang w:eastAsia="sk-SK"/>
              </w:rPr>
            </w:pPr>
            <w:r w:rsidRPr="00DB5CB6">
              <w:rPr>
                <w:rFonts w:eastAsia="Times New Roman" w:cs="Times New Roman"/>
                <w:b/>
                <w:bCs/>
                <w:color w:val="5B9BD5" w:themeColor="accent1"/>
                <w:sz w:val="20"/>
                <w:szCs w:val="20"/>
                <w:lang w:eastAsia="sk-SK"/>
              </w:rPr>
              <w:t xml:space="preserve">Tabuľka </w:t>
            </w:r>
            <w:r w:rsidR="00DD022A">
              <w:rPr>
                <w:rFonts w:eastAsia="Times New Roman" w:cs="Times New Roman"/>
                <w:b/>
                <w:bCs/>
                <w:color w:val="5B9BD5" w:themeColor="accent1"/>
                <w:sz w:val="20"/>
                <w:szCs w:val="20"/>
                <w:lang w:eastAsia="sk-SK"/>
              </w:rPr>
              <w:t>6</w:t>
            </w:r>
            <w:r w:rsidR="004A6E2F">
              <w:rPr>
                <w:rFonts w:eastAsia="Times New Roman" w:cs="Times New Roman"/>
                <w:b/>
                <w:bCs/>
                <w:color w:val="5B9BD5" w:themeColor="accent1"/>
                <w:sz w:val="20"/>
                <w:szCs w:val="20"/>
                <w:lang w:eastAsia="sk-SK"/>
              </w:rPr>
              <w:t>3</w:t>
            </w:r>
            <w:r w:rsidRPr="00DB5CB6">
              <w:rPr>
                <w:rFonts w:eastAsia="Times New Roman" w:cs="Times New Roman"/>
                <w:b/>
                <w:bCs/>
                <w:color w:val="5B9BD5" w:themeColor="accent1"/>
                <w:sz w:val="20"/>
                <w:szCs w:val="20"/>
                <w:lang w:eastAsia="sk-SK"/>
              </w:rPr>
              <w:t xml:space="preserve"> - Príjmy z rozpočtu EÚ a odvody a príspevky do všeobecného rozpočtu EÚ</w:t>
            </w:r>
            <w:r w:rsidRPr="00DB5CB6">
              <w:rPr>
                <w:rFonts w:eastAsia="Times New Roman" w:cs="Times New Roman"/>
                <w:color w:val="5B9BD5" w:themeColor="accent1"/>
                <w:sz w:val="20"/>
                <w:szCs w:val="20"/>
                <w:lang w:eastAsia="sk-SK"/>
              </w:rPr>
              <w:t> </w:t>
            </w:r>
          </w:p>
        </w:tc>
      </w:tr>
      <w:tr w:rsidR="00DB5CB6" w:rsidRPr="00181464" w14:paraId="23820DA3" w14:textId="77777777" w:rsidTr="005042CC">
        <w:trPr>
          <w:trHeight w:val="330"/>
        </w:trPr>
        <w:tc>
          <w:tcPr>
            <w:tcW w:w="1647" w:type="pct"/>
            <w:vMerge w:val="restart"/>
            <w:tcBorders>
              <w:top w:val="nil"/>
              <w:left w:val="nil"/>
              <w:right w:val="nil"/>
            </w:tcBorders>
            <w:shd w:val="clear" w:color="000000" w:fill="auto"/>
            <w:vAlign w:val="center"/>
            <w:hideMark/>
          </w:tcPr>
          <w:p w14:paraId="48BBB510" w14:textId="77777777" w:rsidR="00DB5CB6" w:rsidRPr="00181464" w:rsidRDefault="00DB5CB6" w:rsidP="00DB5CB6">
            <w:pPr>
              <w:spacing w:after="0" w:line="240" w:lineRule="auto"/>
              <w:jc w:val="left"/>
              <w:rPr>
                <w:rFonts w:eastAsia="Times New Roman" w:cs="Times New Roman"/>
                <w:b/>
                <w:bCs/>
                <w:sz w:val="18"/>
                <w:szCs w:val="18"/>
                <w:lang w:eastAsia="sk-SK"/>
              </w:rPr>
            </w:pPr>
            <w:r w:rsidRPr="00181464">
              <w:rPr>
                <w:rFonts w:eastAsia="Times New Roman" w:cs="Times New Roman"/>
                <w:b/>
                <w:bCs/>
                <w:sz w:val="18"/>
                <w:szCs w:val="18"/>
                <w:lang w:eastAsia="sk-SK"/>
              </w:rPr>
              <w:t>v tis. eur</w:t>
            </w:r>
          </w:p>
        </w:tc>
        <w:tc>
          <w:tcPr>
            <w:tcW w:w="548" w:type="pct"/>
            <w:tcBorders>
              <w:top w:val="nil"/>
              <w:left w:val="nil"/>
              <w:bottom w:val="nil"/>
              <w:right w:val="nil"/>
            </w:tcBorders>
            <w:shd w:val="clear" w:color="000000" w:fill="auto"/>
            <w:vAlign w:val="center"/>
            <w:hideMark/>
          </w:tcPr>
          <w:p w14:paraId="641DFB41" w14:textId="77777777" w:rsidR="00DB5CB6" w:rsidRPr="00181464" w:rsidRDefault="00DB5CB6" w:rsidP="00DB5CB6">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2021 S</w:t>
            </w:r>
          </w:p>
        </w:tc>
        <w:tc>
          <w:tcPr>
            <w:tcW w:w="547" w:type="pct"/>
            <w:tcBorders>
              <w:top w:val="nil"/>
              <w:left w:val="nil"/>
              <w:bottom w:val="nil"/>
              <w:right w:val="nil"/>
            </w:tcBorders>
            <w:shd w:val="clear" w:color="000000" w:fill="auto"/>
            <w:vAlign w:val="center"/>
            <w:hideMark/>
          </w:tcPr>
          <w:p w14:paraId="6D3CE1A6" w14:textId="77777777" w:rsidR="00DB5CB6" w:rsidRPr="00181464" w:rsidRDefault="00DB5CB6" w:rsidP="00DB5CB6">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2022 S</w:t>
            </w:r>
          </w:p>
        </w:tc>
        <w:tc>
          <w:tcPr>
            <w:tcW w:w="625" w:type="pct"/>
            <w:tcBorders>
              <w:top w:val="nil"/>
              <w:left w:val="nil"/>
              <w:bottom w:val="nil"/>
              <w:right w:val="nil"/>
            </w:tcBorders>
            <w:shd w:val="clear" w:color="000000" w:fill="auto"/>
            <w:vAlign w:val="center"/>
            <w:hideMark/>
          </w:tcPr>
          <w:p w14:paraId="53A992DE" w14:textId="77777777" w:rsidR="00DB5CB6" w:rsidRPr="00181464" w:rsidRDefault="00DB5CB6" w:rsidP="00DB5CB6">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2023 R</w:t>
            </w:r>
          </w:p>
        </w:tc>
        <w:tc>
          <w:tcPr>
            <w:tcW w:w="547" w:type="pct"/>
            <w:tcBorders>
              <w:top w:val="nil"/>
              <w:left w:val="nil"/>
              <w:bottom w:val="nil"/>
              <w:right w:val="nil"/>
            </w:tcBorders>
            <w:shd w:val="clear" w:color="000000" w:fill="auto"/>
            <w:vAlign w:val="center"/>
            <w:hideMark/>
          </w:tcPr>
          <w:p w14:paraId="2B742857" w14:textId="77777777" w:rsidR="00DB5CB6" w:rsidRPr="00181464" w:rsidRDefault="00DB5CB6" w:rsidP="00DB5CB6">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2023 S</w:t>
            </w:r>
          </w:p>
        </w:tc>
        <w:tc>
          <w:tcPr>
            <w:tcW w:w="545" w:type="pct"/>
            <w:tcBorders>
              <w:top w:val="nil"/>
              <w:left w:val="nil"/>
              <w:bottom w:val="nil"/>
              <w:right w:val="nil"/>
            </w:tcBorders>
            <w:shd w:val="clear" w:color="000000" w:fill="auto"/>
            <w:vAlign w:val="center"/>
            <w:hideMark/>
          </w:tcPr>
          <w:p w14:paraId="223C5558" w14:textId="77777777" w:rsidR="00DB5CB6" w:rsidRPr="00181464" w:rsidRDefault="00DB5CB6" w:rsidP="00DB5CB6">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 xml:space="preserve">Rozdiel </w:t>
            </w:r>
          </w:p>
        </w:tc>
        <w:tc>
          <w:tcPr>
            <w:tcW w:w="541" w:type="pct"/>
            <w:gridSpan w:val="2"/>
            <w:tcBorders>
              <w:top w:val="nil"/>
              <w:left w:val="nil"/>
              <w:bottom w:val="nil"/>
              <w:right w:val="nil"/>
            </w:tcBorders>
            <w:shd w:val="clear" w:color="000000" w:fill="auto"/>
            <w:vAlign w:val="center"/>
          </w:tcPr>
          <w:p w14:paraId="7FA2CC3C" w14:textId="77777777" w:rsidR="00DB5CB6" w:rsidRPr="00181464" w:rsidRDefault="00DB5CB6" w:rsidP="00DB5CB6">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v %</w:t>
            </w:r>
          </w:p>
        </w:tc>
      </w:tr>
      <w:tr w:rsidR="00DB5CB6" w:rsidRPr="00181464" w14:paraId="6352C585" w14:textId="77777777" w:rsidTr="005042CC">
        <w:trPr>
          <w:trHeight w:val="80"/>
        </w:trPr>
        <w:tc>
          <w:tcPr>
            <w:tcW w:w="1647" w:type="pct"/>
            <w:vMerge/>
            <w:tcBorders>
              <w:left w:val="nil"/>
              <w:bottom w:val="single" w:sz="8" w:space="0" w:color="auto"/>
              <w:right w:val="nil"/>
            </w:tcBorders>
            <w:shd w:val="clear" w:color="000000" w:fill="auto"/>
            <w:vAlign w:val="center"/>
            <w:hideMark/>
          </w:tcPr>
          <w:p w14:paraId="4F51F929" w14:textId="77777777" w:rsidR="00DB5CB6" w:rsidRPr="00181464" w:rsidRDefault="00DB5CB6" w:rsidP="00DB5CB6">
            <w:pPr>
              <w:spacing w:after="0" w:line="240" w:lineRule="auto"/>
              <w:jc w:val="left"/>
              <w:rPr>
                <w:rFonts w:eastAsia="Times New Roman" w:cs="Times New Roman"/>
                <w:b/>
                <w:bCs/>
                <w:color w:val="FFFFFF"/>
                <w:sz w:val="18"/>
                <w:szCs w:val="18"/>
                <w:lang w:eastAsia="sk-SK"/>
              </w:rPr>
            </w:pPr>
          </w:p>
        </w:tc>
        <w:tc>
          <w:tcPr>
            <w:tcW w:w="548" w:type="pct"/>
            <w:tcBorders>
              <w:top w:val="nil"/>
              <w:left w:val="nil"/>
              <w:bottom w:val="single" w:sz="8" w:space="0" w:color="auto"/>
              <w:right w:val="nil"/>
            </w:tcBorders>
            <w:shd w:val="clear" w:color="000000" w:fill="auto"/>
            <w:vAlign w:val="center"/>
            <w:hideMark/>
          </w:tcPr>
          <w:p w14:paraId="16D076A9" w14:textId="77777777" w:rsidR="00DB5CB6" w:rsidRPr="00181464" w:rsidRDefault="00DB5CB6" w:rsidP="00DB5CB6">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1</w:t>
            </w:r>
          </w:p>
        </w:tc>
        <w:tc>
          <w:tcPr>
            <w:tcW w:w="547" w:type="pct"/>
            <w:tcBorders>
              <w:top w:val="nil"/>
              <w:left w:val="nil"/>
              <w:bottom w:val="single" w:sz="8" w:space="0" w:color="auto"/>
              <w:right w:val="nil"/>
            </w:tcBorders>
            <w:shd w:val="clear" w:color="000000" w:fill="auto"/>
            <w:vAlign w:val="center"/>
            <w:hideMark/>
          </w:tcPr>
          <w:p w14:paraId="5664DFED" w14:textId="77777777" w:rsidR="00DB5CB6" w:rsidRPr="00181464" w:rsidRDefault="00DB5CB6" w:rsidP="00DB5CB6">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2</w:t>
            </w:r>
          </w:p>
        </w:tc>
        <w:tc>
          <w:tcPr>
            <w:tcW w:w="625" w:type="pct"/>
            <w:tcBorders>
              <w:top w:val="nil"/>
              <w:left w:val="nil"/>
              <w:bottom w:val="single" w:sz="8" w:space="0" w:color="auto"/>
              <w:right w:val="nil"/>
            </w:tcBorders>
            <w:shd w:val="clear" w:color="000000" w:fill="auto"/>
            <w:vAlign w:val="center"/>
            <w:hideMark/>
          </w:tcPr>
          <w:p w14:paraId="76EF5937" w14:textId="77777777" w:rsidR="00DB5CB6" w:rsidRPr="00181464" w:rsidRDefault="00DB5CB6" w:rsidP="00DB5CB6">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3</w:t>
            </w:r>
          </w:p>
        </w:tc>
        <w:tc>
          <w:tcPr>
            <w:tcW w:w="547" w:type="pct"/>
            <w:tcBorders>
              <w:top w:val="nil"/>
              <w:left w:val="nil"/>
              <w:bottom w:val="single" w:sz="8" w:space="0" w:color="auto"/>
              <w:right w:val="nil"/>
            </w:tcBorders>
            <w:shd w:val="clear" w:color="000000" w:fill="auto"/>
            <w:vAlign w:val="center"/>
            <w:hideMark/>
          </w:tcPr>
          <w:p w14:paraId="573E962E" w14:textId="77777777" w:rsidR="00DB5CB6" w:rsidRPr="00181464" w:rsidRDefault="00DB5CB6" w:rsidP="00DB5CB6">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4</w:t>
            </w:r>
          </w:p>
        </w:tc>
        <w:tc>
          <w:tcPr>
            <w:tcW w:w="625" w:type="pct"/>
            <w:gridSpan w:val="2"/>
            <w:tcBorders>
              <w:top w:val="nil"/>
              <w:left w:val="nil"/>
              <w:bottom w:val="single" w:sz="8" w:space="0" w:color="auto"/>
              <w:right w:val="nil"/>
            </w:tcBorders>
            <w:shd w:val="clear" w:color="000000" w:fill="auto"/>
            <w:vAlign w:val="center"/>
            <w:hideMark/>
          </w:tcPr>
          <w:p w14:paraId="17143EA7" w14:textId="77777777" w:rsidR="00DB5CB6" w:rsidRPr="00181464" w:rsidRDefault="00DB5CB6" w:rsidP="00DB5CB6">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5=4-3</w:t>
            </w:r>
          </w:p>
        </w:tc>
        <w:tc>
          <w:tcPr>
            <w:tcW w:w="461" w:type="pct"/>
            <w:tcBorders>
              <w:top w:val="nil"/>
              <w:left w:val="nil"/>
              <w:bottom w:val="single" w:sz="8" w:space="0" w:color="auto"/>
              <w:right w:val="nil"/>
            </w:tcBorders>
            <w:shd w:val="clear" w:color="000000" w:fill="auto"/>
            <w:vAlign w:val="center"/>
            <w:hideMark/>
          </w:tcPr>
          <w:p w14:paraId="7EB43B45" w14:textId="77777777" w:rsidR="00DB5CB6" w:rsidRPr="00181464" w:rsidRDefault="00DB5CB6" w:rsidP="00DB5CB6">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6=4-3</w:t>
            </w:r>
          </w:p>
        </w:tc>
      </w:tr>
      <w:tr w:rsidR="00DB5CB6" w:rsidRPr="00181464" w14:paraId="5CCF60C3" w14:textId="77777777" w:rsidTr="005042CC">
        <w:trPr>
          <w:trHeight w:val="345"/>
        </w:trPr>
        <w:tc>
          <w:tcPr>
            <w:tcW w:w="1647" w:type="pct"/>
            <w:tcBorders>
              <w:top w:val="single" w:sz="8" w:space="0" w:color="auto"/>
              <w:left w:val="nil"/>
              <w:right w:val="nil"/>
            </w:tcBorders>
            <w:shd w:val="clear" w:color="auto" w:fill="auto"/>
            <w:vAlign w:val="center"/>
          </w:tcPr>
          <w:p w14:paraId="7970581A" w14:textId="77777777" w:rsidR="00DB5CB6" w:rsidRPr="00181464" w:rsidRDefault="00DB5CB6" w:rsidP="00DB5CB6">
            <w:pPr>
              <w:spacing w:after="0" w:line="240" w:lineRule="auto"/>
              <w:jc w:val="left"/>
              <w:rPr>
                <w:rFonts w:eastAsia="Times New Roman" w:cs="Times New Roman"/>
                <w:b/>
                <w:bCs/>
                <w:color w:val="FFFFFF"/>
                <w:sz w:val="18"/>
                <w:szCs w:val="18"/>
                <w:lang w:eastAsia="sk-SK"/>
              </w:rPr>
            </w:pPr>
            <w:r w:rsidRPr="00181464">
              <w:rPr>
                <w:rFonts w:eastAsia="Times New Roman" w:cs="Times New Roman"/>
                <w:color w:val="000000"/>
                <w:sz w:val="18"/>
                <w:szCs w:val="18"/>
                <w:lang w:eastAsia="sk-SK"/>
              </w:rPr>
              <w:t>Zahraničné transfery – prostriedky EÚ</w:t>
            </w:r>
          </w:p>
        </w:tc>
        <w:tc>
          <w:tcPr>
            <w:tcW w:w="548" w:type="pct"/>
            <w:tcBorders>
              <w:top w:val="single" w:sz="8" w:space="0" w:color="auto"/>
              <w:left w:val="nil"/>
              <w:right w:val="nil"/>
            </w:tcBorders>
            <w:shd w:val="clear" w:color="auto" w:fill="auto"/>
            <w:vAlign w:val="center"/>
          </w:tcPr>
          <w:p w14:paraId="65F0E703"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2 269 707</w:t>
            </w:r>
          </w:p>
        </w:tc>
        <w:tc>
          <w:tcPr>
            <w:tcW w:w="547" w:type="pct"/>
            <w:tcBorders>
              <w:top w:val="single" w:sz="8" w:space="0" w:color="auto"/>
              <w:left w:val="nil"/>
              <w:right w:val="nil"/>
            </w:tcBorders>
            <w:shd w:val="clear" w:color="auto" w:fill="auto"/>
            <w:vAlign w:val="center"/>
          </w:tcPr>
          <w:p w14:paraId="65DB4ACF"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2 146 641</w:t>
            </w:r>
          </w:p>
        </w:tc>
        <w:tc>
          <w:tcPr>
            <w:tcW w:w="625" w:type="pct"/>
            <w:tcBorders>
              <w:top w:val="single" w:sz="8" w:space="0" w:color="auto"/>
              <w:left w:val="nil"/>
              <w:right w:val="nil"/>
            </w:tcBorders>
            <w:shd w:val="clear" w:color="auto" w:fill="auto"/>
            <w:vAlign w:val="center"/>
          </w:tcPr>
          <w:p w14:paraId="28D1D68B"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5 717 554</w:t>
            </w:r>
          </w:p>
        </w:tc>
        <w:tc>
          <w:tcPr>
            <w:tcW w:w="547" w:type="pct"/>
            <w:tcBorders>
              <w:top w:val="single" w:sz="8" w:space="0" w:color="auto"/>
              <w:left w:val="nil"/>
              <w:right w:val="nil"/>
            </w:tcBorders>
            <w:shd w:val="clear" w:color="auto" w:fill="auto"/>
            <w:vAlign w:val="center"/>
          </w:tcPr>
          <w:p w14:paraId="15206931"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4 141 996</w:t>
            </w:r>
          </w:p>
        </w:tc>
        <w:tc>
          <w:tcPr>
            <w:tcW w:w="625" w:type="pct"/>
            <w:gridSpan w:val="2"/>
            <w:tcBorders>
              <w:top w:val="single" w:sz="8" w:space="0" w:color="auto"/>
              <w:left w:val="nil"/>
              <w:right w:val="nil"/>
            </w:tcBorders>
            <w:shd w:val="clear" w:color="auto" w:fill="auto"/>
            <w:vAlign w:val="center"/>
          </w:tcPr>
          <w:p w14:paraId="17703659"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-1 575 558</w:t>
            </w:r>
          </w:p>
        </w:tc>
        <w:tc>
          <w:tcPr>
            <w:tcW w:w="461" w:type="pct"/>
            <w:tcBorders>
              <w:top w:val="single" w:sz="8" w:space="0" w:color="auto"/>
              <w:left w:val="nil"/>
              <w:right w:val="nil"/>
            </w:tcBorders>
            <w:shd w:val="clear" w:color="auto" w:fill="auto"/>
            <w:vAlign w:val="center"/>
          </w:tcPr>
          <w:p w14:paraId="46E1BAFD"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-27,6</w:t>
            </w:r>
          </w:p>
        </w:tc>
      </w:tr>
      <w:tr w:rsidR="00DB5CB6" w:rsidRPr="00181464" w14:paraId="49E1A688" w14:textId="77777777" w:rsidTr="005042CC">
        <w:trPr>
          <w:trHeight w:val="345"/>
        </w:trPr>
        <w:tc>
          <w:tcPr>
            <w:tcW w:w="1647" w:type="pct"/>
            <w:tcBorders>
              <w:left w:val="nil"/>
              <w:right w:val="nil"/>
            </w:tcBorders>
            <w:shd w:val="clear" w:color="auto" w:fill="auto"/>
            <w:vAlign w:val="center"/>
          </w:tcPr>
          <w:p w14:paraId="1AC0056A" w14:textId="77777777" w:rsidR="00DB5CB6" w:rsidRPr="00181464" w:rsidRDefault="00DB5CB6" w:rsidP="00DB5CB6">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Zahraničné transfery POO</w:t>
            </w:r>
          </w:p>
        </w:tc>
        <w:tc>
          <w:tcPr>
            <w:tcW w:w="548" w:type="pct"/>
            <w:tcBorders>
              <w:left w:val="nil"/>
              <w:right w:val="nil"/>
            </w:tcBorders>
            <w:shd w:val="clear" w:color="auto" w:fill="auto"/>
            <w:vAlign w:val="center"/>
          </w:tcPr>
          <w:p w14:paraId="539C6E8D"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4 283</w:t>
            </w:r>
          </w:p>
        </w:tc>
        <w:tc>
          <w:tcPr>
            <w:tcW w:w="547" w:type="pct"/>
            <w:tcBorders>
              <w:left w:val="nil"/>
              <w:right w:val="nil"/>
            </w:tcBorders>
            <w:shd w:val="clear" w:color="auto" w:fill="auto"/>
            <w:vAlign w:val="center"/>
          </w:tcPr>
          <w:p w14:paraId="3349F628"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41 061</w:t>
            </w:r>
          </w:p>
        </w:tc>
        <w:tc>
          <w:tcPr>
            <w:tcW w:w="625" w:type="pct"/>
            <w:tcBorders>
              <w:left w:val="nil"/>
              <w:right w:val="nil"/>
            </w:tcBorders>
            <w:shd w:val="clear" w:color="auto" w:fill="auto"/>
            <w:vAlign w:val="center"/>
          </w:tcPr>
          <w:p w14:paraId="37753BB1"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2 011 251</w:t>
            </w:r>
          </w:p>
        </w:tc>
        <w:tc>
          <w:tcPr>
            <w:tcW w:w="547" w:type="pct"/>
            <w:tcBorders>
              <w:left w:val="nil"/>
              <w:right w:val="nil"/>
            </w:tcBorders>
            <w:shd w:val="clear" w:color="auto" w:fill="auto"/>
            <w:vAlign w:val="center"/>
          </w:tcPr>
          <w:p w14:paraId="277FC301"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367 278</w:t>
            </w:r>
          </w:p>
        </w:tc>
        <w:tc>
          <w:tcPr>
            <w:tcW w:w="625" w:type="pct"/>
            <w:gridSpan w:val="2"/>
            <w:tcBorders>
              <w:left w:val="nil"/>
              <w:right w:val="nil"/>
            </w:tcBorders>
            <w:shd w:val="clear" w:color="auto" w:fill="auto"/>
            <w:vAlign w:val="center"/>
          </w:tcPr>
          <w:p w14:paraId="6B68BEB3"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-1 643 973</w:t>
            </w:r>
          </w:p>
        </w:tc>
        <w:tc>
          <w:tcPr>
            <w:tcW w:w="461" w:type="pct"/>
            <w:tcBorders>
              <w:left w:val="nil"/>
              <w:right w:val="nil"/>
            </w:tcBorders>
            <w:shd w:val="clear" w:color="auto" w:fill="auto"/>
            <w:vAlign w:val="center"/>
          </w:tcPr>
          <w:p w14:paraId="2C68C1DB"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-81,7</w:t>
            </w:r>
          </w:p>
        </w:tc>
      </w:tr>
      <w:tr w:rsidR="00DB5CB6" w:rsidRPr="00181464" w14:paraId="2FF662F0" w14:textId="77777777" w:rsidTr="00DB5CB6">
        <w:trPr>
          <w:trHeight w:val="345"/>
        </w:trPr>
        <w:tc>
          <w:tcPr>
            <w:tcW w:w="1647" w:type="pct"/>
            <w:tcBorders>
              <w:left w:val="nil"/>
              <w:right w:val="nil"/>
            </w:tcBorders>
            <w:shd w:val="clear" w:color="auto" w:fill="auto"/>
            <w:vAlign w:val="center"/>
          </w:tcPr>
          <w:p w14:paraId="70BE7D2E" w14:textId="77777777" w:rsidR="00DB5CB6" w:rsidRPr="00181464" w:rsidRDefault="00DB5CB6" w:rsidP="00DB5CB6">
            <w:pPr>
              <w:spacing w:after="0" w:line="240" w:lineRule="auto"/>
              <w:jc w:val="left"/>
              <w:rPr>
                <w:rFonts w:eastAsia="Times New Roman" w:cs="Times New Roman"/>
                <w:b/>
                <w:bCs/>
                <w:color w:val="FFFFFF"/>
                <w:sz w:val="18"/>
                <w:szCs w:val="18"/>
                <w:lang w:eastAsia="sk-SK"/>
              </w:rPr>
            </w:pPr>
            <w:r w:rsidRPr="00181464">
              <w:rPr>
                <w:rFonts w:eastAsia="Times New Roman" w:cs="Times New Roman"/>
                <w:color w:val="000000"/>
                <w:sz w:val="18"/>
                <w:szCs w:val="18"/>
                <w:lang w:eastAsia="sk-SK"/>
              </w:rPr>
              <w:t>Zahraničné granty z rozpočtu EÚ</w:t>
            </w:r>
          </w:p>
        </w:tc>
        <w:tc>
          <w:tcPr>
            <w:tcW w:w="548" w:type="pct"/>
            <w:tcBorders>
              <w:left w:val="nil"/>
              <w:right w:val="nil"/>
            </w:tcBorders>
            <w:shd w:val="clear" w:color="auto" w:fill="auto"/>
            <w:vAlign w:val="center"/>
          </w:tcPr>
          <w:p w14:paraId="56D53C61" w14:textId="77777777" w:rsidR="00DB5CB6" w:rsidRPr="00181464" w:rsidRDefault="00DB5CB6" w:rsidP="00DB5CB6">
            <w:pPr>
              <w:spacing w:after="0" w:line="240" w:lineRule="auto"/>
              <w:jc w:val="right"/>
              <w:rPr>
                <w:rFonts w:eastAsia="Times New Roman" w:cs="Times New Roman"/>
                <w:b/>
                <w:bCs/>
                <w:sz w:val="18"/>
                <w:szCs w:val="18"/>
                <w:lang w:eastAsia="sk-SK"/>
              </w:rPr>
            </w:pPr>
            <w:r w:rsidRPr="00181464">
              <w:rPr>
                <w:rFonts w:cs="Times New Roman"/>
                <w:color w:val="000000"/>
                <w:sz w:val="18"/>
                <w:szCs w:val="18"/>
              </w:rPr>
              <w:t>0</w:t>
            </w:r>
          </w:p>
        </w:tc>
        <w:tc>
          <w:tcPr>
            <w:tcW w:w="547" w:type="pct"/>
            <w:tcBorders>
              <w:left w:val="nil"/>
              <w:right w:val="nil"/>
            </w:tcBorders>
            <w:shd w:val="clear" w:color="auto" w:fill="auto"/>
            <w:vAlign w:val="center"/>
          </w:tcPr>
          <w:p w14:paraId="4D7A3A04" w14:textId="77777777" w:rsidR="00DB5CB6" w:rsidRPr="00181464" w:rsidRDefault="00DB5CB6" w:rsidP="00DB5CB6">
            <w:pPr>
              <w:spacing w:after="0" w:line="240" w:lineRule="auto"/>
              <w:jc w:val="right"/>
              <w:rPr>
                <w:rFonts w:eastAsia="Times New Roman" w:cs="Times New Roman"/>
                <w:b/>
                <w:bCs/>
                <w:sz w:val="18"/>
                <w:szCs w:val="18"/>
                <w:lang w:eastAsia="sk-SK"/>
              </w:rPr>
            </w:pPr>
            <w:r w:rsidRPr="00181464">
              <w:rPr>
                <w:rFonts w:cs="Times New Roman"/>
                <w:color w:val="000000"/>
                <w:sz w:val="18"/>
                <w:szCs w:val="18"/>
              </w:rPr>
              <w:t>0</w:t>
            </w:r>
          </w:p>
        </w:tc>
        <w:tc>
          <w:tcPr>
            <w:tcW w:w="625" w:type="pct"/>
            <w:tcBorders>
              <w:left w:val="nil"/>
              <w:right w:val="nil"/>
            </w:tcBorders>
            <w:shd w:val="clear" w:color="auto" w:fill="auto"/>
            <w:vAlign w:val="center"/>
          </w:tcPr>
          <w:p w14:paraId="6510910E" w14:textId="77777777" w:rsidR="00DB5CB6" w:rsidRPr="00181464" w:rsidRDefault="00DB5CB6" w:rsidP="00DB5CB6">
            <w:pPr>
              <w:spacing w:after="0" w:line="240" w:lineRule="auto"/>
              <w:jc w:val="right"/>
              <w:rPr>
                <w:rFonts w:eastAsia="Times New Roman" w:cs="Times New Roman"/>
                <w:b/>
                <w:bCs/>
                <w:sz w:val="18"/>
                <w:szCs w:val="18"/>
                <w:lang w:eastAsia="sk-SK"/>
              </w:rPr>
            </w:pPr>
            <w:r w:rsidRPr="00181464">
              <w:rPr>
                <w:rFonts w:cs="Times New Roman"/>
                <w:sz w:val="18"/>
                <w:szCs w:val="18"/>
              </w:rPr>
              <w:t>0</w:t>
            </w:r>
          </w:p>
        </w:tc>
        <w:tc>
          <w:tcPr>
            <w:tcW w:w="547" w:type="pct"/>
            <w:tcBorders>
              <w:left w:val="nil"/>
              <w:right w:val="nil"/>
            </w:tcBorders>
            <w:shd w:val="clear" w:color="auto" w:fill="auto"/>
            <w:vAlign w:val="center"/>
          </w:tcPr>
          <w:p w14:paraId="4799AB9D" w14:textId="77777777" w:rsidR="00DB5CB6" w:rsidRPr="00181464" w:rsidRDefault="00DB5CB6" w:rsidP="00DB5CB6">
            <w:pPr>
              <w:spacing w:after="0" w:line="240" w:lineRule="auto"/>
              <w:jc w:val="right"/>
              <w:rPr>
                <w:rFonts w:eastAsia="Times New Roman" w:cs="Times New Roman"/>
                <w:b/>
                <w:bCs/>
                <w:sz w:val="18"/>
                <w:szCs w:val="18"/>
                <w:lang w:eastAsia="sk-SK"/>
              </w:rPr>
            </w:pPr>
            <w:r w:rsidRPr="00181464">
              <w:rPr>
                <w:rFonts w:cs="Times New Roman"/>
                <w:color w:val="000000"/>
                <w:sz w:val="18"/>
                <w:szCs w:val="18"/>
              </w:rPr>
              <w:t>0</w:t>
            </w:r>
          </w:p>
        </w:tc>
        <w:tc>
          <w:tcPr>
            <w:tcW w:w="625" w:type="pct"/>
            <w:gridSpan w:val="2"/>
            <w:tcBorders>
              <w:left w:val="nil"/>
              <w:right w:val="nil"/>
            </w:tcBorders>
            <w:shd w:val="clear" w:color="auto" w:fill="auto"/>
            <w:vAlign w:val="center"/>
          </w:tcPr>
          <w:p w14:paraId="6D598498" w14:textId="3F8C638A" w:rsidR="00DB5CB6" w:rsidRPr="00181464" w:rsidRDefault="00424C27" w:rsidP="00DB5CB6">
            <w:pPr>
              <w:spacing w:after="0" w:line="240" w:lineRule="auto"/>
              <w:jc w:val="right"/>
              <w:rPr>
                <w:rFonts w:eastAsia="Times New Roman" w:cs="Times New Roman"/>
                <w:b/>
                <w:bCs/>
                <w:sz w:val="18"/>
                <w:szCs w:val="18"/>
                <w:lang w:eastAsia="sk-SK"/>
              </w:rPr>
            </w:pPr>
            <w:r w:rsidRPr="00181464">
              <w:rPr>
                <w:rFonts w:cs="Times New Roman"/>
                <w:color w:val="000000"/>
                <w:sz w:val="18"/>
                <w:szCs w:val="18"/>
              </w:rPr>
              <w:t>0</w:t>
            </w:r>
          </w:p>
        </w:tc>
        <w:tc>
          <w:tcPr>
            <w:tcW w:w="461" w:type="pct"/>
            <w:tcBorders>
              <w:left w:val="nil"/>
              <w:right w:val="nil"/>
            </w:tcBorders>
            <w:shd w:val="clear" w:color="auto" w:fill="auto"/>
            <w:vAlign w:val="center"/>
          </w:tcPr>
          <w:p w14:paraId="1E409DE7" w14:textId="77777777" w:rsidR="00DB5CB6" w:rsidRPr="00181464" w:rsidRDefault="00DB5CB6" w:rsidP="00DB5CB6">
            <w:pPr>
              <w:spacing w:after="0" w:line="240" w:lineRule="auto"/>
              <w:jc w:val="right"/>
              <w:rPr>
                <w:rFonts w:eastAsia="Times New Roman" w:cs="Times New Roman"/>
                <w:bCs/>
                <w:sz w:val="18"/>
                <w:szCs w:val="18"/>
                <w:lang w:eastAsia="sk-SK"/>
              </w:rPr>
            </w:pPr>
            <w:r w:rsidRPr="00181464">
              <w:rPr>
                <w:rFonts w:cs="Times New Roman"/>
                <w:color w:val="000000"/>
                <w:sz w:val="18"/>
                <w:szCs w:val="18"/>
              </w:rPr>
              <w:t>-</w:t>
            </w:r>
          </w:p>
        </w:tc>
      </w:tr>
      <w:tr w:rsidR="00DB5CB6" w:rsidRPr="00181464" w14:paraId="79069219" w14:textId="77777777" w:rsidTr="00DB5CB6">
        <w:trPr>
          <w:trHeight w:val="345"/>
        </w:trPr>
        <w:tc>
          <w:tcPr>
            <w:tcW w:w="1647" w:type="pct"/>
            <w:tcBorders>
              <w:left w:val="nil"/>
              <w:bottom w:val="single" w:sz="4" w:space="0" w:color="auto"/>
              <w:right w:val="nil"/>
            </w:tcBorders>
            <w:shd w:val="clear" w:color="auto" w:fill="auto"/>
            <w:vAlign w:val="center"/>
          </w:tcPr>
          <w:p w14:paraId="1A3E579F" w14:textId="77777777" w:rsidR="00DB5CB6" w:rsidRPr="00181464" w:rsidRDefault="00DB5CB6" w:rsidP="00DB5CB6">
            <w:pPr>
              <w:spacing w:after="0" w:line="240" w:lineRule="auto"/>
              <w:jc w:val="left"/>
              <w:rPr>
                <w:rFonts w:eastAsia="Times New Roman" w:cs="Times New Roman"/>
                <w:b/>
                <w:bCs/>
                <w:color w:val="FFFFFF"/>
                <w:sz w:val="18"/>
                <w:szCs w:val="18"/>
                <w:lang w:eastAsia="sk-SK"/>
              </w:rPr>
            </w:pPr>
            <w:r w:rsidRPr="00181464">
              <w:rPr>
                <w:rFonts w:eastAsia="Times New Roman" w:cs="Times New Roman"/>
                <w:b/>
                <w:bCs/>
                <w:color w:val="000000"/>
                <w:sz w:val="18"/>
                <w:szCs w:val="18"/>
                <w:lang w:eastAsia="sk-SK"/>
              </w:rPr>
              <w:t>Spolu príjmy z rozpočtu EÚ</w:t>
            </w:r>
          </w:p>
        </w:tc>
        <w:tc>
          <w:tcPr>
            <w:tcW w:w="548" w:type="pct"/>
            <w:tcBorders>
              <w:left w:val="nil"/>
              <w:bottom w:val="single" w:sz="4" w:space="0" w:color="auto"/>
              <w:right w:val="nil"/>
            </w:tcBorders>
            <w:shd w:val="clear" w:color="auto" w:fill="auto"/>
            <w:vAlign w:val="center"/>
          </w:tcPr>
          <w:p w14:paraId="64B43EB5" w14:textId="77777777" w:rsidR="00DB5CB6" w:rsidRPr="00181464" w:rsidRDefault="00DB5CB6" w:rsidP="00DB5CB6">
            <w:pPr>
              <w:spacing w:after="0" w:line="240" w:lineRule="auto"/>
              <w:jc w:val="right"/>
              <w:rPr>
                <w:rFonts w:eastAsia="Times New Roman" w:cs="Times New Roman"/>
                <w:b/>
                <w:bCs/>
                <w:color w:val="000000"/>
                <w:sz w:val="18"/>
                <w:szCs w:val="18"/>
                <w:lang w:eastAsia="sk-SK"/>
              </w:rPr>
            </w:pPr>
            <w:r w:rsidRPr="00181464">
              <w:rPr>
                <w:rFonts w:cs="Times New Roman"/>
                <w:b/>
                <w:bCs/>
                <w:color w:val="000000"/>
                <w:sz w:val="18"/>
                <w:szCs w:val="18"/>
              </w:rPr>
              <w:t>2 273 990</w:t>
            </w:r>
          </w:p>
        </w:tc>
        <w:tc>
          <w:tcPr>
            <w:tcW w:w="547" w:type="pct"/>
            <w:tcBorders>
              <w:left w:val="nil"/>
              <w:bottom w:val="single" w:sz="4" w:space="0" w:color="auto"/>
              <w:right w:val="nil"/>
            </w:tcBorders>
            <w:shd w:val="clear" w:color="auto" w:fill="auto"/>
            <w:vAlign w:val="center"/>
          </w:tcPr>
          <w:p w14:paraId="71D69EAF" w14:textId="77777777" w:rsidR="00DB5CB6" w:rsidRPr="00181464" w:rsidRDefault="00DB5CB6" w:rsidP="00DB5CB6">
            <w:pPr>
              <w:spacing w:after="0" w:line="240" w:lineRule="auto"/>
              <w:jc w:val="right"/>
              <w:rPr>
                <w:rFonts w:eastAsia="Times New Roman" w:cs="Times New Roman"/>
                <w:b/>
                <w:bCs/>
                <w:color w:val="000000"/>
                <w:sz w:val="18"/>
                <w:szCs w:val="18"/>
                <w:lang w:eastAsia="sk-SK"/>
              </w:rPr>
            </w:pPr>
            <w:r w:rsidRPr="00181464">
              <w:rPr>
                <w:rFonts w:cs="Times New Roman"/>
                <w:b/>
                <w:bCs/>
                <w:color w:val="000000"/>
                <w:sz w:val="18"/>
                <w:szCs w:val="18"/>
              </w:rPr>
              <w:t>2 187 702</w:t>
            </w:r>
          </w:p>
        </w:tc>
        <w:tc>
          <w:tcPr>
            <w:tcW w:w="625" w:type="pct"/>
            <w:tcBorders>
              <w:left w:val="nil"/>
              <w:bottom w:val="single" w:sz="4" w:space="0" w:color="auto"/>
              <w:right w:val="nil"/>
            </w:tcBorders>
            <w:shd w:val="clear" w:color="auto" w:fill="auto"/>
            <w:vAlign w:val="center"/>
          </w:tcPr>
          <w:p w14:paraId="5192A638" w14:textId="77777777" w:rsidR="00DB5CB6" w:rsidRPr="00181464" w:rsidRDefault="00DB5CB6" w:rsidP="00DB5CB6">
            <w:pPr>
              <w:spacing w:after="0" w:line="240" w:lineRule="auto"/>
              <w:jc w:val="right"/>
              <w:rPr>
                <w:rFonts w:eastAsia="Times New Roman" w:cs="Times New Roman"/>
                <w:b/>
                <w:bCs/>
                <w:color w:val="000000"/>
                <w:sz w:val="18"/>
                <w:szCs w:val="18"/>
                <w:lang w:eastAsia="sk-SK"/>
              </w:rPr>
            </w:pPr>
            <w:r w:rsidRPr="00181464">
              <w:rPr>
                <w:rFonts w:cs="Times New Roman"/>
                <w:b/>
                <w:bCs/>
                <w:color w:val="000000"/>
                <w:sz w:val="18"/>
                <w:szCs w:val="18"/>
              </w:rPr>
              <w:t>7 728 805</w:t>
            </w:r>
          </w:p>
        </w:tc>
        <w:tc>
          <w:tcPr>
            <w:tcW w:w="547" w:type="pct"/>
            <w:tcBorders>
              <w:left w:val="nil"/>
              <w:bottom w:val="single" w:sz="4" w:space="0" w:color="auto"/>
              <w:right w:val="nil"/>
            </w:tcBorders>
            <w:shd w:val="clear" w:color="auto" w:fill="auto"/>
            <w:vAlign w:val="center"/>
          </w:tcPr>
          <w:p w14:paraId="01FF9BEC" w14:textId="77777777" w:rsidR="00DB5CB6" w:rsidRPr="00181464" w:rsidRDefault="00DB5CB6" w:rsidP="00DB5CB6">
            <w:pPr>
              <w:spacing w:after="0" w:line="240" w:lineRule="auto"/>
              <w:jc w:val="right"/>
              <w:rPr>
                <w:rFonts w:eastAsia="Times New Roman" w:cs="Times New Roman"/>
                <w:b/>
                <w:bCs/>
                <w:color w:val="000000"/>
                <w:sz w:val="18"/>
                <w:szCs w:val="18"/>
                <w:lang w:eastAsia="sk-SK"/>
              </w:rPr>
            </w:pPr>
            <w:r w:rsidRPr="00181464">
              <w:rPr>
                <w:rFonts w:cs="Times New Roman"/>
                <w:b/>
                <w:bCs/>
                <w:color w:val="000000"/>
                <w:sz w:val="18"/>
                <w:szCs w:val="18"/>
              </w:rPr>
              <w:t>4 509 274</w:t>
            </w:r>
          </w:p>
        </w:tc>
        <w:tc>
          <w:tcPr>
            <w:tcW w:w="625" w:type="pct"/>
            <w:gridSpan w:val="2"/>
            <w:tcBorders>
              <w:left w:val="nil"/>
              <w:bottom w:val="single" w:sz="4" w:space="0" w:color="auto"/>
              <w:right w:val="nil"/>
            </w:tcBorders>
            <w:shd w:val="clear" w:color="auto" w:fill="auto"/>
            <w:vAlign w:val="center"/>
          </w:tcPr>
          <w:p w14:paraId="460D5D96" w14:textId="77777777" w:rsidR="00DB5CB6" w:rsidRPr="00181464" w:rsidRDefault="00DB5CB6" w:rsidP="00DB5CB6">
            <w:pPr>
              <w:spacing w:after="0" w:line="240" w:lineRule="auto"/>
              <w:jc w:val="right"/>
              <w:rPr>
                <w:rFonts w:eastAsia="Times New Roman" w:cs="Times New Roman"/>
                <w:b/>
                <w:bCs/>
                <w:color w:val="000000"/>
                <w:sz w:val="18"/>
                <w:szCs w:val="18"/>
                <w:lang w:eastAsia="sk-SK"/>
              </w:rPr>
            </w:pPr>
            <w:r w:rsidRPr="00181464">
              <w:rPr>
                <w:rFonts w:cs="Times New Roman"/>
                <w:b/>
                <w:bCs/>
                <w:color w:val="000000"/>
                <w:sz w:val="18"/>
                <w:szCs w:val="18"/>
              </w:rPr>
              <w:t>-3 219 531</w:t>
            </w:r>
          </w:p>
        </w:tc>
        <w:tc>
          <w:tcPr>
            <w:tcW w:w="461" w:type="pct"/>
            <w:tcBorders>
              <w:left w:val="nil"/>
              <w:bottom w:val="single" w:sz="4" w:space="0" w:color="auto"/>
              <w:right w:val="nil"/>
            </w:tcBorders>
            <w:shd w:val="clear" w:color="auto" w:fill="auto"/>
            <w:vAlign w:val="center"/>
          </w:tcPr>
          <w:p w14:paraId="09CC2DD2" w14:textId="77777777" w:rsidR="00DB5CB6" w:rsidRPr="00181464" w:rsidRDefault="00DB5CB6" w:rsidP="00DB5CB6">
            <w:pPr>
              <w:spacing w:after="0" w:line="240" w:lineRule="auto"/>
              <w:jc w:val="right"/>
              <w:rPr>
                <w:rFonts w:eastAsia="Times New Roman" w:cs="Times New Roman"/>
                <w:b/>
                <w:bCs/>
                <w:sz w:val="18"/>
                <w:szCs w:val="18"/>
                <w:highlight w:val="yellow"/>
                <w:lang w:eastAsia="sk-SK"/>
              </w:rPr>
            </w:pPr>
            <w:r w:rsidRPr="00181464">
              <w:rPr>
                <w:rFonts w:cs="Times New Roman"/>
                <w:b/>
                <w:bCs/>
                <w:color w:val="000000"/>
                <w:sz w:val="18"/>
                <w:szCs w:val="18"/>
              </w:rPr>
              <w:t>-41,7</w:t>
            </w:r>
          </w:p>
        </w:tc>
      </w:tr>
      <w:tr w:rsidR="00DB5CB6" w:rsidRPr="00181464" w14:paraId="5FE56BB4" w14:textId="77777777" w:rsidTr="00DB5CB6">
        <w:trPr>
          <w:trHeight w:val="330"/>
        </w:trPr>
        <w:tc>
          <w:tcPr>
            <w:tcW w:w="1647" w:type="pct"/>
            <w:tcBorders>
              <w:top w:val="single" w:sz="4" w:space="0" w:color="auto"/>
              <w:left w:val="nil"/>
              <w:bottom w:val="nil"/>
              <w:right w:val="nil"/>
            </w:tcBorders>
            <w:shd w:val="clear" w:color="000000" w:fill="FFFFFF"/>
            <w:vAlign w:val="center"/>
            <w:hideMark/>
          </w:tcPr>
          <w:p w14:paraId="0C1FCDDC" w14:textId="77777777" w:rsidR="00DB5CB6" w:rsidRPr="00181464" w:rsidRDefault="00DB5CB6" w:rsidP="00DB5CB6">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Tradičné vlastné zdroje</w:t>
            </w:r>
          </w:p>
        </w:tc>
        <w:tc>
          <w:tcPr>
            <w:tcW w:w="548" w:type="pct"/>
            <w:tcBorders>
              <w:top w:val="single" w:sz="4" w:space="0" w:color="auto"/>
              <w:left w:val="nil"/>
              <w:bottom w:val="nil"/>
              <w:right w:val="nil"/>
            </w:tcBorders>
            <w:shd w:val="clear" w:color="000000" w:fill="FFFFFF"/>
            <w:noWrap/>
            <w:vAlign w:val="center"/>
            <w:hideMark/>
          </w:tcPr>
          <w:p w14:paraId="3B291F4E"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95 716</w:t>
            </w:r>
          </w:p>
        </w:tc>
        <w:tc>
          <w:tcPr>
            <w:tcW w:w="547" w:type="pct"/>
            <w:tcBorders>
              <w:top w:val="single" w:sz="4" w:space="0" w:color="auto"/>
              <w:left w:val="nil"/>
              <w:bottom w:val="nil"/>
              <w:right w:val="nil"/>
            </w:tcBorders>
            <w:shd w:val="clear" w:color="000000" w:fill="FFFFFF"/>
            <w:noWrap/>
            <w:vAlign w:val="center"/>
            <w:hideMark/>
          </w:tcPr>
          <w:p w14:paraId="33A2B786"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119 450</w:t>
            </w:r>
          </w:p>
        </w:tc>
        <w:tc>
          <w:tcPr>
            <w:tcW w:w="625" w:type="pct"/>
            <w:tcBorders>
              <w:top w:val="single" w:sz="4" w:space="0" w:color="auto"/>
              <w:left w:val="nil"/>
              <w:bottom w:val="nil"/>
              <w:right w:val="nil"/>
            </w:tcBorders>
            <w:shd w:val="clear" w:color="000000" w:fill="FFFFFF"/>
            <w:noWrap/>
            <w:vAlign w:val="center"/>
            <w:hideMark/>
          </w:tcPr>
          <w:p w14:paraId="04674E66"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128 800</w:t>
            </w:r>
          </w:p>
        </w:tc>
        <w:tc>
          <w:tcPr>
            <w:tcW w:w="547" w:type="pct"/>
            <w:tcBorders>
              <w:top w:val="single" w:sz="4" w:space="0" w:color="auto"/>
              <w:left w:val="nil"/>
              <w:bottom w:val="nil"/>
              <w:right w:val="nil"/>
            </w:tcBorders>
            <w:shd w:val="clear" w:color="000000" w:fill="FFFFFF"/>
            <w:noWrap/>
            <w:vAlign w:val="center"/>
            <w:hideMark/>
          </w:tcPr>
          <w:p w14:paraId="0A3753CF"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113 713</w:t>
            </w:r>
          </w:p>
        </w:tc>
        <w:tc>
          <w:tcPr>
            <w:tcW w:w="625" w:type="pct"/>
            <w:gridSpan w:val="2"/>
            <w:tcBorders>
              <w:top w:val="single" w:sz="4" w:space="0" w:color="auto"/>
              <w:left w:val="nil"/>
              <w:bottom w:val="nil"/>
              <w:right w:val="nil"/>
            </w:tcBorders>
            <w:shd w:val="clear" w:color="auto" w:fill="auto"/>
            <w:vAlign w:val="center"/>
            <w:hideMark/>
          </w:tcPr>
          <w:p w14:paraId="0796DAE2"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-15 088</w:t>
            </w:r>
          </w:p>
        </w:tc>
        <w:tc>
          <w:tcPr>
            <w:tcW w:w="461" w:type="pct"/>
            <w:tcBorders>
              <w:top w:val="single" w:sz="4" w:space="0" w:color="auto"/>
              <w:left w:val="nil"/>
              <w:bottom w:val="nil"/>
              <w:right w:val="nil"/>
            </w:tcBorders>
            <w:shd w:val="clear" w:color="000000" w:fill="FFFFFF"/>
            <w:vAlign w:val="center"/>
            <w:hideMark/>
          </w:tcPr>
          <w:p w14:paraId="4157C9CC"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-11,7</w:t>
            </w:r>
          </w:p>
        </w:tc>
      </w:tr>
      <w:tr w:rsidR="00DB5CB6" w:rsidRPr="00181464" w14:paraId="251E424F" w14:textId="77777777" w:rsidTr="00DB5CB6">
        <w:trPr>
          <w:trHeight w:val="510"/>
        </w:trPr>
        <w:tc>
          <w:tcPr>
            <w:tcW w:w="1647" w:type="pct"/>
            <w:tcBorders>
              <w:top w:val="nil"/>
              <w:left w:val="nil"/>
              <w:right w:val="nil"/>
            </w:tcBorders>
            <w:shd w:val="clear" w:color="000000" w:fill="FFFFFF"/>
            <w:vAlign w:val="center"/>
            <w:hideMark/>
          </w:tcPr>
          <w:p w14:paraId="7F61B500" w14:textId="77777777" w:rsidR="00DB5CB6" w:rsidRPr="00181464" w:rsidRDefault="00DB5CB6" w:rsidP="00DB5CB6">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Odvody SR do rozpočtu EÚ bez tradičných vlastných zdrojov</w:t>
            </w:r>
          </w:p>
        </w:tc>
        <w:tc>
          <w:tcPr>
            <w:tcW w:w="548" w:type="pct"/>
            <w:tcBorders>
              <w:top w:val="nil"/>
              <w:left w:val="nil"/>
              <w:right w:val="nil"/>
            </w:tcBorders>
            <w:shd w:val="clear" w:color="000000" w:fill="FFFFFF"/>
            <w:noWrap/>
            <w:vAlign w:val="center"/>
            <w:hideMark/>
          </w:tcPr>
          <w:p w14:paraId="6269AE52"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966 750</w:t>
            </w:r>
          </w:p>
        </w:tc>
        <w:tc>
          <w:tcPr>
            <w:tcW w:w="547" w:type="pct"/>
            <w:tcBorders>
              <w:top w:val="nil"/>
              <w:left w:val="nil"/>
              <w:right w:val="nil"/>
            </w:tcBorders>
            <w:shd w:val="clear" w:color="000000" w:fill="FFFFFF"/>
            <w:noWrap/>
            <w:vAlign w:val="center"/>
            <w:hideMark/>
          </w:tcPr>
          <w:p w14:paraId="0B515A3B"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940 226</w:t>
            </w:r>
          </w:p>
        </w:tc>
        <w:tc>
          <w:tcPr>
            <w:tcW w:w="625" w:type="pct"/>
            <w:tcBorders>
              <w:top w:val="nil"/>
              <w:left w:val="nil"/>
              <w:right w:val="nil"/>
            </w:tcBorders>
            <w:shd w:val="clear" w:color="000000" w:fill="FFFFFF"/>
            <w:noWrap/>
            <w:vAlign w:val="center"/>
            <w:hideMark/>
          </w:tcPr>
          <w:p w14:paraId="4AFF4620"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1 027 581</w:t>
            </w:r>
          </w:p>
        </w:tc>
        <w:tc>
          <w:tcPr>
            <w:tcW w:w="547" w:type="pct"/>
            <w:tcBorders>
              <w:top w:val="nil"/>
              <w:left w:val="nil"/>
              <w:right w:val="nil"/>
            </w:tcBorders>
            <w:shd w:val="clear" w:color="000000" w:fill="FFFFFF"/>
            <w:noWrap/>
            <w:vAlign w:val="center"/>
            <w:hideMark/>
          </w:tcPr>
          <w:p w14:paraId="3E321869"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943 226</w:t>
            </w:r>
          </w:p>
        </w:tc>
        <w:tc>
          <w:tcPr>
            <w:tcW w:w="625" w:type="pct"/>
            <w:gridSpan w:val="2"/>
            <w:tcBorders>
              <w:top w:val="nil"/>
              <w:left w:val="nil"/>
              <w:right w:val="nil"/>
            </w:tcBorders>
            <w:shd w:val="clear" w:color="000000" w:fill="FFFFFF"/>
            <w:noWrap/>
            <w:vAlign w:val="center"/>
            <w:hideMark/>
          </w:tcPr>
          <w:p w14:paraId="22DF455E"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-84 355</w:t>
            </w:r>
          </w:p>
        </w:tc>
        <w:tc>
          <w:tcPr>
            <w:tcW w:w="461" w:type="pct"/>
            <w:tcBorders>
              <w:top w:val="nil"/>
              <w:left w:val="nil"/>
              <w:right w:val="nil"/>
            </w:tcBorders>
            <w:shd w:val="clear" w:color="auto" w:fill="auto"/>
            <w:vAlign w:val="center"/>
            <w:hideMark/>
          </w:tcPr>
          <w:p w14:paraId="6A74FD17"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-8,2</w:t>
            </w:r>
          </w:p>
        </w:tc>
      </w:tr>
      <w:tr w:rsidR="00DB5CB6" w:rsidRPr="00181464" w14:paraId="76CF7F90" w14:textId="77777777" w:rsidTr="00DB5CB6">
        <w:trPr>
          <w:trHeight w:val="510"/>
        </w:trPr>
        <w:tc>
          <w:tcPr>
            <w:tcW w:w="1647" w:type="pct"/>
            <w:tcBorders>
              <w:top w:val="nil"/>
              <w:left w:val="nil"/>
              <w:right w:val="nil"/>
            </w:tcBorders>
            <w:shd w:val="clear" w:color="000000" w:fill="FFFFFF"/>
            <w:vAlign w:val="center"/>
          </w:tcPr>
          <w:p w14:paraId="14E29A35" w14:textId="77777777" w:rsidR="00DB5CB6" w:rsidRPr="00181464" w:rsidRDefault="00DB5CB6" w:rsidP="00DB5CB6">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Strata na TVZ – podmienená platba</w:t>
            </w:r>
          </w:p>
        </w:tc>
        <w:tc>
          <w:tcPr>
            <w:tcW w:w="548" w:type="pct"/>
            <w:tcBorders>
              <w:top w:val="nil"/>
              <w:left w:val="nil"/>
              <w:right w:val="nil"/>
            </w:tcBorders>
            <w:shd w:val="clear" w:color="000000" w:fill="FFFFFF"/>
            <w:noWrap/>
            <w:vAlign w:val="center"/>
          </w:tcPr>
          <w:p w14:paraId="54429DFF"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277 251</w:t>
            </w:r>
          </w:p>
        </w:tc>
        <w:tc>
          <w:tcPr>
            <w:tcW w:w="547" w:type="pct"/>
            <w:tcBorders>
              <w:top w:val="nil"/>
              <w:left w:val="nil"/>
              <w:right w:val="nil"/>
            </w:tcBorders>
            <w:shd w:val="clear" w:color="000000" w:fill="FFFFFF"/>
            <w:noWrap/>
            <w:vAlign w:val="center"/>
          </w:tcPr>
          <w:p w14:paraId="1AB42910"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0</w:t>
            </w:r>
          </w:p>
        </w:tc>
        <w:tc>
          <w:tcPr>
            <w:tcW w:w="625" w:type="pct"/>
            <w:tcBorders>
              <w:top w:val="nil"/>
              <w:left w:val="nil"/>
              <w:right w:val="nil"/>
            </w:tcBorders>
            <w:shd w:val="clear" w:color="000000" w:fill="FFFFFF"/>
            <w:noWrap/>
            <w:vAlign w:val="center"/>
          </w:tcPr>
          <w:p w14:paraId="0C981419"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0</w:t>
            </w:r>
          </w:p>
        </w:tc>
        <w:tc>
          <w:tcPr>
            <w:tcW w:w="547" w:type="pct"/>
            <w:tcBorders>
              <w:top w:val="nil"/>
              <w:left w:val="nil"/>
              <w:right w:val="nil"/>
            </w:tcBorders>
            <w:shd w:val="clear" w:color="000000" w:fill="FFFFFF"/>
            <w:noWrap/>
            <w:vAlign w:val="center"/>
          </w:tcPr>
          <w:p w14:paraId="4147A8EC"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0</w:t>
            </w:r>
          </w:p>
        </w:tc>
        <w:tc>
          <w:tcPr>
            <w:tcW w:w="625" w:type="pct"/>
            <w:gridSpan w:val="2"/>
            <w:tcBorders>
              <w:top w:val="nil"/>
              <w:left w:val="nil"/>
              <w:right w:val="nil"/>
            </w:tcBorders>
            <w:shd w:val="clear" w:color="000000" w:fill="FFFFFF"/>
            <w:noWrap/>
            <w:vAlign w:val="center"/>
          </w:tcPr>
          <w:p w14:paraId="75283528"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0</w:t>
            </w:r>
          </w:p>
        </w:tc>
        <w:tc>
          <w:tcPr>
            <w:tcW w:w="461" w:type="pct"/>
            <w:tcBorders>
              <w:top w:val="nil"/>
              <w:left w:val="nil"/>
              <w:right w:val="nil"/>
            </w:tcBorders>
            <w:shd w:val="clear" w:color="auto" w:fill="auto"/>
            <w:vAlign w:val="center"/>
          </w:tcPr>
          <w:p w14:paraId="228C2E0D"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w:t>
            </w:r>
          </w:p>
        </w:tc>
      </w:tr>
      <w:tr w:rsidR="00DB5CB6" w:rsidRPr="00181464" w14:paraId="386AF962" w14:textId="77777777" w:rsidTr="00DB5CB6">
        <w:trPr>
          <w:trHeight w:val="330"/>
        </w:trPr>
        <w:tc>
          <w:tcPr>
            <w:tcW w:w="1647" w:type="pct"/>
            <w:tcBorders>
              <w:left w:val="nil"/>
              <w:bottom w:val="single" w:sz="4" w:space="0" w:color="auto"/>
              <w:right w:val="nil"/>
            </w:tcBorders>
            <w:shd w:val="clear" w:color="000000" w:fill="FFFFFF"/>
            <w:vAlign w:val="center"/>
            <w:hideMark/>
          </w:tcPr>
          <w:p w14:paraId="115DA529" w14:textId="77777777" w:rsidR="00DB5CB6" w:rsidRPr="00181464" w:rsidRDefault="00DB5CB6" w:rsidP="00DB5CB6">
            <w:pPr>
              <w:spacing w:after="0" w:line="240" w:lineRule="auto"/>
              <w:jc w:val="lef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Odvody do rozpočtu EÚ spolu</w:t>
            </w:r>
          </w:p>
        </w:tc>
        <w:tc>
          <w:tcPr>
            <w:tcW w:w="548" w:type="pct"/>
            <w:tcBorders>
              <w:left w:val="nil"/>
              <w:bottom w:val="single" w:sz="4" w:space="0" w:color="auto"/>
              <w:right w:val="nil"/>
            </w:tcBorders>
            <w:shd w:val="clear" w:color="000000" w:fill="FFFFFF"/>
            <w:noWrap/>
            <w:vAlign w:val="center"/>
            <w:hideMark/>
          </w:tcPr>
          <w:p w14:paraId="5095D475" w14:textId="77777777" w:rsidR="00DB5CB6" w:rsidRPr="00181464" w:rsidRDefault="00DB5CB6" w:rsidP="00DB5CB6">
            <w:pPr>
              <w:spacing w:after="0" w:line="240" w:lineRule="auto"/>
              <w:jc w:val="right"/>
              <w:rPr>
                <w:rFonts w:eastAsia="Times New Roman" w:cs="Times New Roman"/>
                <w:b/>
                <w:bCs/>
                <w:i/>
                <w:color w:val="000000"/>
                <w:sz w:val="18"/>
                <w:szCs w:val="18"/>
                <w:lang w:eastAsia="sk-SK"/>
              </w:rPr>
            </w:pPr>
            <w:r w:rsidRPr="00181464">
              <w:rPr>
                <w:rFonts w:cs="Times New Roman"/>
                <w:b/>
                <w:bCs/>
                <w:color w:val="000000"/>
                <w:sz w:val="18"/>
                <w:szCs w:val="18"/>
              </w:rPr>
              <w:t>1 339 717</w:t>
            </w:r>
          </w:p>
        </w:tc>
        <w:tc>
          <w:tcPr>
            <w:tcW w:w="547" w:type="pct"/>
            <w:tcBorders>
              <w:left w:val="nil"/>
              <w:bottom w:val="single" w:sz="4" w:space="0" w:color="auto"/>
              <w:right w:val="nil"/>
            </w:tcBorders>
            <w:shd w:val="clear" w:color="000000" w:fill="FFFFFF"/>
            <w:noWrap/>
            <w:vAlign w:val="center"/>
            <w:hideMark/>
          </w:tcPr>
          <w:p w14:paraId="1F04800C" w14:textId="77777777" w:rsidR="00DB5CB6" w:rsidRPr="00181464" w:rsidRDefault="00DB5CB6" w:rsidP="00DB5CB6">
            <w:pPr>
              <w:spacing w:after="0" w:line="240" w:lineRule="auto"/>
              <w:jc w:val="right"/>
              <w:rPr>
                <w:rFonts w:eastAsia="Times New Roman" w:cs="Times New Roman"/>
                <w:b/>
                <w:bCs/>
                <w:i/>
                <w:color w:val="000000"/>
                <w:sz w:val="18"/>
                <w:szCs w:val="18"/>
                <w:lang w:eastAsia="sk-SK"/>
              </w:rPr>
            </w:pPr>
            <w:r w:rsidRPr="00181464">
              <w:rPr>
                <w:rFonts w:cs="Times New Roman"/>
                <w:b/>
                <w:bCs/>
                <w:color w:val="000000"/>
                <w:sz w:val="18"/>
                <w:szCs w:val="18"/>
              </w:rPr>
              <w:t>1 059 676</w:t>
            </w:r>
          </w:p>
        </w:tc>
        <w:tc>
          <w:tcPr>
            <w:tcW w:w="625" w:type="pct"/>
            <w:tcBorders>
              <w:left w:val="nil"/>
              <w:bottom w:val="single" w:sz="4" w:space="0" w:color="auto"/>
              <w:right w:val="nil"/>
            </w:tcBorders>
            <w:shd w:val="clear" w:color="000000" w:fill="FFFFFF"/>
            <w:noWrap/>
            <w:vAlign w:val="center"/>
            <w:hideMark/>
          </w:tcPr>
          <w:p w14:paraId="0AB10349" w14:textId="77777777" w:rsidR="00DB5CB6" w:rsidRPr="00181464" w:rsidRDefault="00DB5CB6" w:rsidP="00DB5CB6">
            <w:pPr>
              <w:spacing w:after="0" w:line="240" w:lineRule="auto"/>
              <w:jc w:val="right"/>
              <w:rPr>
                <w:rFonts w:eastAsia="Times New Roman" w:cs="Times New Roman"/>
                <w:b/>
                <w:bCs/>
                <w:i/>
                <w:color w:val="000000"/>
                <w:sz w:val="18"/>
                <w:szCs w:val="18"/>
                <w:lang w:eastAsia="sk-SK"/>
              </w:rPr>
            </w:pPr>
            <w:r w:rsidRPr="00181464">
              <w:rPr>
                <w:rFonts w:cs="Times New Roman"/>
                <w:b/>
                <w:bCs/>
                <w:color w:val="000000"/>
                <w:sz w:val="18"/>
                <w:szCs w:val="18"/>
              </w:rPr>
              <w:t>1 156 381</w:t>
            </w:r>
          </w:p>
        </w:tc>
        <w:tc>
          <w:tcPr>
            <w:tcW w:w="547" w:type="pct"/>
            <w:tcBorders>
              <w:left w:val="nil"/>
              <w:bottom w:val="single" w:sz="4" w:space="0" w:color="auto"/>
              <w:right w:val="nil"/>
            </w:tcBorders>
            <w:shd w:val="clear" w:color="000000" w:fill="FFFFFF"/>
            <w:noWrap/>
            <w:vAlign w:val="center"/>
            <w:hideMark/>
          </w:tcPr>
          <w:p w14:paraId="43D7C077" w14:textId="77777777" w:rsidR="00DB5CB6" w:rsidRPr="00181464" w:rsidRDefault="00DB5CB6" w:rsidP="00DB5CB6">
            <w:pPr>
              <w:spacing w:after="0" w:line="240" w:lineRule="auto"/>
              <w:jc w:val="right"/>
              <w:rPr>
                <w:rFonts w:eastAsia="Times New Roman" w:cs="Times New Roman"/>
                <w:b/>
                <w:bCs/>
                <w:i/>
                <w:color w:val="000000"/>
                <w:sz w:val="18"/>
                <w:szCs w:val="18"/>
                <w:lang w:eastAsia="sk-SK"/>
              </w:rPr>
            </w:pPr>
            <w:r w:rsidRPr="00181464">
              <w:rPr>
                <w:rFonts w:cs="Times New Roman"/>
                <w:b/>
                <w:bCs/>
                <w:color w:val="000000"/>
                <w:sz w:val="18"/>
                <w:szCs w:val="18"/>
              </w:rPr>
              <w:t>1 056 939</w:t>
            </w:r>
          </w:p>
        </w:tc>
        <w:tc>
          <w:tcPr>
            <w:tcW w:w="625" w:type="pct"/>
            <w:gridSpan w:val="2"/>
            <w:tcBorders>
              <w:left w:val="nil"/>
              <w:bottom w:val="single" w:sz="4" w:space="0" w:color="auto"/>
              <w:right w:val="nil"/>
            </w:tcBorders>
            <w:shd w:val="clear" w:color="000000" w:fill="FFFFFF"/>
            <w:vAlign w:val="center"/>
            <w:hideMark/>
          </w:tcPr>
          <w:p w14:paraId="46FF70DE" w14:textId="77777777" w:rsidR="00DB5CB6" w:rsidRPr="00181464" w:rsidRDefault="00DB5CB6" w:rsidP="00DB5CB6">
            <w:pPr>
              <w:spacing w:after="0" w:line="240" w:lineRule="auto"/>
              <w:jc w:val="right"/>
              <w:rPr>
                <w:rFonts w:eastAsia="Times New Roman" w:cs="Times New Roman"/>
                <w:b/>
                <w:bCs/>
                <w:i/>
                <w:color w:val="000000"/>
                <w:sz w:val="18"/>
                <w:szCs w:val="18"/>
                <w:lang w:eastAsia="sk-SK"/>
              </w:rPr>
            </w:pPr>
            <w:r w:rsidRPr="00181464">
              <w:rPr>
                <w:rFonts w:cs="Times New Roman"/>
                <w:b/>
                <w:bCs/>
                <w:color w:val="000000"/>
                <w:sz w:val="18"/>
                <w:szCs w:val="18"/>
              </w:rPr>
              <w:t>-99 442</w:t>
            </w:r>
          </w:p>
        </w:tc>
        <w:tc>
          <w:tcPr>
            <w:tcW w:w="461" w:type="pct"/>
            <w:tcBorders>
              <w:left w:val="nil"/>
              <w:bottom w:val="single" w:sz="4" w:space="0" w:color="auto"/>
              <w:right w:val="nil"/>
            </w:tcBorders>
            <w:shd w:val="clear" w:color="000000" w:fill="FFFFFF"/>
            <w:vAlign w:val="center"/>
            <w:hideMark/>
          </w:tcPr>
          <w:p w14:paraId="5099D41B" w14:textId="77777777" w:rsidR="00DB5CB6" w:rsidRPr="00181464" w:rsidRDefault="00DB5CB6" w:rsidP="00DB5CB6">
            <w:pPr>
              <w:spacing w:after="0" w:line="240" w:lineRule="auto"/>
              <w:jc w:val="right"/>
              <w:rPr>
                <w:rFonts w:eastAsia="Times New Roman" w:cs="Times New Roman"/>
                <w:b/>
                <w:bCs/>
                <w:i/>
                <w:color w:val="000000"/>
                <w:sz w:val="18"/>
                <w:szCs w:val="18"/>
                <w:lang w:eastAsia="sk-SK"/>
              </w:rPr>
            </w:pPr>
            <w:r w:rsidRPr="00181464">
              <w:rPr>
                <w:rFonts w:cs="Times New Roman"/>
                <w:b/>
                <w:bCs/>
                <w:color w:val="000000"/>
                <w:sz w:val="18"/>
                <w:szCs w:val="18"/>
              </w:rPr>
              <w:t>-8,6</w:t>
            </w:r>
          </w:p>
        </w:tc>
      </w:tr>
      <w:tr w:rsidR="00DB5CB6" w:rsidRPr="00181464" w14:paraId="37BC8A46" w14:textId="77777777" w:rsidTr="00DB5CB6">
        <w:trPr>
          <w:trHeight w:val="510"/>
        </w:trPr>
        <w:tc>
          <w:tcPr>
            <w:tcW w:w="1647" w:type="pct"/>
            <w:tcBorders>
              <w:top w:val="single" w:sz="4" w:space="0" w:color="auto"/>
              <w:left w:val="nil"/>
              <w:bottom w:val="nil"/>
              <w:right w:val="nil"/>
            </w:tcBorders>
            <w:shd w:val="clear" w:color="000000" w:fill="FFFFFF"/>
            <w:vAlign w:val="center"/>
            <w:hideMark/>
          </w:tcPr>
          <w:p w14:paraId="7AEDFBD1" w14:textId="77777777" w:rsidR="00DB5CB6" w:rsidRPr="00181464" w:rsidRDefault="00DB5CB6" w:rsidP="00DB5CB6">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Príspevky SR do Európskeho rozvojového fondu</w:t>
            </w:r>
          </w:p>
        </w:tc>
        <w:tc>
          <w:tcPr>
            <w:tcW w:w="548" w:type="pct"/>
            <w:tcBorders>
              <w:top w:val="single" w:sz="4" w:space="0" w:color="auto"/>
              <w:left w:val="nil"/>
              <w:bottom w:val="nil"/>
              <w:right w:val="nil"/>
            </w:tcBorders>
            <w:shd w:val="clear" w:color="000000" w:fill="FFFFFF"/>
            <w:noWrap/>
            <w:vAlign w:val="center"/>
            <w:hideMark/>
          </w:tcPr>
          <w:p w14:paraId="16E26B40"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14 930</w:t>
            </w:r>
          </w:p>
        </w:tc>
        <w:tc>
          <w:tcPr>
            <w:tcW w:w="547" w:type="pct"/>
            <w:tcBorders>
              <w:top w:val="single" w:sz="4" w:space="0" w:color="auto"/>
              <w:left w:val="nil"/>
              <w:bottom w:val="nil"/>
              <w:right w:val="nil"/>
            </w:tcBorders>
            <w:shd w:val="clear" w:color="000000" w:fill="FFFFFF"/>
            <w:noWrap/>
            <w:vAlign w:val="center"/>
            <w:hideMark/>
          </w:tcPr>
          <w:p w14:paraId="07394681"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10 532</w:t>
            </w:r>
          </w:p>
        </w:tc>
        <w:tc>
          <w:tcPr>
            <w:tcW w:w="625" w:type="pct"/>
            <w:tcBorders>
              <w:top w:val="single" w:sz="4" w:space="0" w:color="auto"/>
              <w:left w:val="nil"/>
              <w:bottom w:val="nil"/>
              <w:right w:val="nil"/>
            </w:tcBorders>
            <w:shd w:val="clear" w:color="000000" w:fill="FFFFFF"/>
            <w:noWrap/>
            <w:vAlign w:val="center"/>
            <w:hideMark/>
          </w:tcPr>
          <w:p w14:paraId="3B526495"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8 000</w:t>
            </w:r>
          </w:p>
        </w:tc>
        <w:tc>
          <w:tcPr>
            <w:tcW w:w="547" w:type="pct"/>
            <w:tcBorders>
              <w:top w:val="single" w:sz="4" w:space="0" w:color="auto"/>
              <w:left w:val="nil"/>
              <w:bottom w:val="nil"/>
              <w:right w:val="nil"/>
            </w:tcBorders>
            <w:shd w:val="clear" w:color="000000" w:fill="FFFFFF"/>
            <w:noWrap/>
            <w:vAlign w:val="center"/>
            <w:hideMark/>
          </w:tcPr>
          <w:p w14:paraId="62E977ED"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7 899</w:t>
            </w:r>
          </w:p>
        </w:tc>
        <w:tc>
          <w:tcPr>
            <w:tcW w:w="625" w:type="pct"/>
            <w:gridSpan w:val="2"/>
            <w:tcBorders>
              <w:top w:val="single" w:sz="4" w:space="0" w:color="auto"/>
              <w:left w:val="nil"/>
              <w:bottom w:val="nil"/>
              <w:right w:val="nil"/>
            </w:tcBorders>
            <w:shd w:val="clear" w:color="000000" w:fill="FFFFFF"/>
            <w:vAlign w:val="center"/>
            <w:hideMark/>
          </w:tcPr>
          <w:p w14:paraId="31AAAA19"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-101</w:t>
            </w:r>
          </w:p>
        </w:tc>
        <w:tc>
          <w:tcPr>
            <w:tcW w:w="461" w:type="pct"/>
            <w:tcBorders>
              <w:top w:val="single" w:sz="4" w:space="0" w:color="auto"/>
              <w:left w:val="nil"/>
              <w:bottom w:val="nil"/>
              <w:right w:val="nil"/>
            </w:tcBorders>
            <w:shd w:val="clear" w:color="000000" w:fill="FFFFFF"/>
            <w:vAlign w:val="center"/>
            <w:hideMark/>
          </w:tcPr>
          <w:p w14:paraId="7B4C433E" w14:textId="77777777" w:rsidR="00DB5CB6" w:rsidRPr="00181464" w:rsidRDefault="00DB5CB6" w:rsidP="00DB5CB6">
            <w:pPr>
              <w:spacing w:after="0" w:line="240" w:lineRule="auto"/>
              <w:jc w:val="right"/>
              <w:rPr>
                <w:rFonts w:eastAsia="Times New Roman" w:cs="Times New Roman"/>
                <w:color w:val="000000"/>
                <w:sz w:val="18"/>
                <w:szCs w:val="18"/>
                <w:lang w:eastAsia="sk-SK"/>
              </w:rPr>
            </w:pPr>
            <w:r w:rsidRPr="00181464">
              <w:rPr>
                <w:rFonts w:cs="Times New Roman"/>
                <w:color w:val="000000"/>
                <w:sz w:val="18"/>
                <w:szCs w:val="18"/>
              </w:rPr>
              <w:t>-1,3</w:t>
            </w:r>
          </w:p>
        </w:tc>
      </w:tr>
      <w:tr w:rsidR="00DB5CB6" w:rsidRPr="00181464" w14:paraId="1E9C376B" w14:textId="77777777" w:rsidTr="005042CC">
        <w:trPr>
          <w:trHeight w:val="330"/>
        </w:trPr>
        <w:tc>
          <w:tcPr>
            <w:tcW w:w="1647" w:type="pct"/>
            <w:tcBorders>
              <w:top w:val="nil"/>
              <w:left w:val="nil"/>
              <w:bottom w:val="nil"/>
              <w:right w:val="nil"/>
            </w:tcBorders>
            <w:shd w:val="clear" w:color="000000" w:fill="FFFFFF"/>
            <w:vAlign w:val="center"/>
            <w:hideMark/>
          </w:tcPr>
          <w:p w14:paraId="571176DF" w14:textId="77777777" w:rsidR="00DB5CB6" w:rsidRPr="00181464" w:rsidRDefault="00DB5CB6" w:rsidP="00DB5CB6">
            <w:pPr>
              <w:spacing w:after="0" w:line="240" w:lineRule="auto"/>
              <w:jc w:val="lef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Odvody a príspevky SR spolu</w:t>
            </w:r>
          </w:p>
        </w:tc>
        <w:tc>
          <w:tcPr>
            <w:tcW w:w="548" w:type="pct"/>
            <w:tcBorders>
              <w:top w:val="nil"/>
              <w:left w:val="nil"/>
              <w:bottom w:val="nil"/>
              <w:right w:val="nil"/>
            </w:tcBorders>
            <w:shd w:val="clear" w:color="000000" w:fill="FFFFFF"/>
            <w:noWrap/>
            <w:vAlign w:val="center"/>
            <w:hideMark/>
          </w:tcPr>
          <w:p w14:paraId="540A21E0" w14:textId="77777777" w:rsidR="00DB5CB6" w:rsidRPr="00181464" w:rsidRDefault="00DB5CB6" w:rsidP="00DB5CB6">
            <w:pPr>
              <w:spacing w:after="0" w:line="240" w:lineRule="auto"/>
              <w:jc w:val="right"/>
              <w:rPr>
                <w:rFonts w:eastAsia="Times New Roman" w:cs="Times New Roman"/>
                <w:b/>
                <w:bCs/>
                <w:color w:val="000000"/>
                <w:sz w:val="18"/>
                <w:szCs w:val="18"/>
                <w:lang w:eastAsia="sk-SK"/>
              </w:rPr>
            </w:pPr>
            <w:r w:rsidRPr="00181464">
              <w:rPr>
                <w:rFonts w:cs="Times New Roman"/>
                <w:b/>
                <w:bCs/>
                <w:color w:val="000000"/>
                <w:sz w:val="18"/>
                <w:szCs w:val="18"/>
              </w:rPr>
              <w:t>1 354 647</w:t>
            </w:r>
          </w:p>
        </w:tc>
        <w:tc>
          <w:tcPr>
            <w:tcW w:w="547" w:type="pct"/>
            <w:tcBorders>
              <w:top w:val="nil"/>
              <w:left w:val="nil"/>
              <w:bottom w:val="nil"/>
              <w:right w:val="nil"/>
            </w:tcBorders>
            <w:shd w:val="clear" w:color="000000" w:fill="FFFFFF"/>
            <w:noWrap/>
            <w:vAlign w:val="center"/>
            <w:hideMark/>
          </w:tcPr>
          <w:p w14:paraId="23C2788D" w14:textId="77777777" w:rsidR="00DB5CB6" w:rsidRPr="00181464" w:rsidRDefault="00DB5CB6" w:rsidP="00DB5CB6">
            <w:pPr>
              <w:spacing w:after="0" w:line="240" w:lineRule="auto"/>
              <w:jc w:val="right"/>
              <w:rPr>
                <w:rFonts w:eastAsia="Times New Roman" w:cs="Times New Roman"/>
                <w:b/>
                <w:bCs/>
                <w:color w:val="000000"/>
                <w:sz w:val="18"/>
                <w:szCs w:val="18"/>
                <w:lang w:eastAsia="sk-SK"/>
              </w:rPr>
            </w:pPr>
            <w:r w:rsidRPr="00181464">
              <w:rPr>
                <w:rFonts w:cs="Times New Roman"/>
                <w:b/>
                <w:bCs/>
                <w:color w:val="000000"/>
                <w:sz w:val="18"/>
                <w:szCs w:val="18"/>
              </w:rPr>
              <w:t>1 070 208</w:t>
            </w:r>
          </w:p>
        </w:tc>
        <w:tc>
          <w:tcPr>
            <w:tcW w:w="625" w:type="pct"/>
            <w:tcBorders>
              <w:top w:val="nil"/>
              <w:left w:val="nil"/>
              <w:bottom w:val="nil"/>
              <w:right w:val="nil"/>
            </w:tcBorders>
            <w:shd w:val="clear" w:color="000000" w:fill="FFFFFF"/>
            <w:noWrap/>
            <w:vAlign w:val="center"/>
            <w:hideMark/>
          </w:tcPr>
          <w:p w14:paraId="76977B75" w14:textId="77777777" w:rsidR="00DB5CB6" w:rsidRPr="00181464" w:rsidRDefault="00DB5CB6" w:rsidP="00DB5CB6">
            <w:pPr>
              <w:spacing w:after="0" w:line="240" w:lineRule="auto"/>
              <w:jc w:val="right"/>
              <w:rPr>
                <w:rFonts w:eastAsia="Times New Roman" w:cs="Times New Roman"/>
                <w:b/>
                <w:bCs/>
                <w:color w:val="000000"/>
                <w:sz w:val="18"/>
                <w:szCs w:val="18"/>
                <w:lang w:eastAsia="sk-SK"/>
              </w:rPr>
            </w:pPr>
            <w:r w:rsidRPr="00181464">
              <w:rPr>
                <w:rFonts w:cs="Times New Roman"/>
                <w:b/>
                <w:bCs/>
                <w:color w:val="000000"/>
                <w:sz w:val="18"/>
                <w:szCs w:val="18"/>
              </w:rPr>
              <w:t>1 164 381</w:t>
            </w:r>
          </w:p>
        </w:tc>
        <w:tc>
          <w:tcPr>
            <w:tcW w:w="547" w:type="pct"/>
            <w:tcBorders>
              <w:top w:val="nil"/>
              <w:left w:val="nil"/>
              <w:bottom w:val="nil"/>
              <w:right w:val="nil"/>
            </w:tcBorders>
            <w:shd w:val="clear" w:color="000000" w:fill="FFFFFF"/>
            <w:noWrap/>
            <w:vAlign w:val="center"/>
            <w:hideMark/>
          </w:tcPr>
          <w:p w14:paraId="2C682739" w14:textId="77777777" w:rsidR="00DB5CB6" w:rsidRPr="00181464" w:rsidRDefault="00DB5CB6" w:rsidP="00DB5CB6">
            <w:pPr>
              <w:spacing w:after="0" w:line="240" w:lineRule="auto"/>
              <w:jc w:val="right"/>
              <w:rPr>
                <w:rFonts w:eastAsia="Times New Roman" w:cs="Times New Roman"/>
                <w:b/>
                <w:bCs/>
                <w:color w:val="000000"/>
                <w:sz w:val="18"/>
                <w:szCs w:val="18"/>
                <w:lang w:eastAsia="sk-SK"/>
              </w:rPr>
            </w:pPr>
            <w:r w:rsidRPr="00181464">
              <w:rPr>
                <w:rFonts w:cs="Times New Roman"/>
                <w:b/>
                <w:bCs/>
                <w:color w:val="000000"/>
                <w:sz w:val="18"/>
                <w:szCs w:val="18"/>
              </w:rPr>
              <w:t>1 064 838</w:t>
            </w:r>
          </w:p>
        </w:tc>
        <w:tc>
          <w:tcPr>
            <w:tcW w:w="625" w:type="pct"/>
            <w:gridSpan w:val="2"/>
            <w:tcBorders>
              <w:top w:val="nil"/>
              <w:left w:val="nil"/>
              <w:bottom w:val="nil"/>
              <w:right w:val="nil"/>
            </w:tcBorders>
            <w:shd w:val="clear" w:color="000000" w:fill="FFFFFF"/>
            <w:vAlign w:val="center"/>
            <w:hideMark/>
          </w:tcPr>
          <w:p w14:paraId="32B588F4" w14:textId="77777777" w:rsidR="00DB5CB6" w:rsidRPr="00181464" w:rsidRDefault="00DB5CB6" w:rsidP="00DB5CB6">
            <w:pPr>
              <w:spacing w:after="0" w:line="240" w:lineRule="auto"/>
              <w:jc w:val="right"/>
              <w:rPr>
                <w:rFonts w:eastAsia="Times New Roman" w:cs="Times New Roman"/>
                <w:b/>
                <w:bCs/>
                <w:color w:val="000000"/>
                <w:sz w:val="18"/>
                <w:szCs w:val="18"/>
                <w:lang w:eastAsia="sk-SK"/>
              </w:rPr>
            </w:pPr>
            <w:r w:rsidRPr="00181464">
              <w:rPr>
                <w:rFonts w:cs="Times New Roman"/>
                <w:b/>
                <w:bCs/>
                <w:color w:val="000000"/>
                <w:sz w:val="18"/>
                <w:szCs w:val="18"/>
              </w:rPr>
              <w:t>-99 543</w:t>
            </w:r>
          </w:p>
        </w:tc>
        <w:tc>
          <w:tcPr>
            <w:tcW w:w="461" w:type="pct"/>
            <w:tcBorders>
              <w:top w:val="nil"/>
              <w:left w:val="nil"/>
              <w:bottom w:val="nil"/>
              <w:right w:val="nil"/>
            </w:tcBorders>
            <w:shd w:val="clear" w:color="000000" w:fill="FFFFFF"/>
            <w:vAlign w:val="center"/>
            <w:hideMark/>
          </w:tcPr>
          <w:p w14:paraId="7953CAE9" w14:textId="77777777" w:rsidR="00DB5CB6" w:rsidRPr="00181464" w:rsidRDefault="00DB5CB6" w:rsidP="00DB5CB6">
            <w:pPr>
              <w:spacing w:after="0" w:line="240" w:lineRule="auto"/>
              <w:jc w:val="right"/>
              <w:rPr>
                <w:rFonts w:eastAsia="Times New Roman" w:cs="Times New Roman"/>
                <w:b/>
                <w:bCs/>
                <w:color w:val="000000"/>
                <w:sz w:val="18"/>
                <w:szCs w:val="18"/>
                <w:lang w:eastAsia="sk-SK"/>
              </w:rPr>
            </w:pPr>
            <w:r w:rsidRPr="00181464">
              <w:rPr>
                <w:rFonts w:cs="Times New Roman"/>
                <w:b/>
                <w:bCs/>
                <w:color w:val="000000"/>
                <w:sz w:val="18"/>
                <w:szCs w:val="18"/>
              </w:rPr>
              <w:t>-8,5</w:t>
            </w:r>
          </w:p>
        </w:tc>
      </w:tr>
      <w:tr w:rsidR="00DB5CB6" w:rsidRPr="00181464" w14:paraId="0F2F6D68" w14:textId="77777777" w:rsidTr="005042CC">
        <w:trPr>
          <w:trHeight w:val="345"/>
        </w:trPr>
        <w:tc>
          <w:tcPr>
            <w:tcW w:w="1647" w:type="pct"/>
            <w:tcBorders>
              <w:top w:val="single" w:sz="4" w:space="0" w:color="auto"/>
              <w:left w:val="nil"/>
              <w:bottom w:val="single" w:sz="8" w:space="0" w:color="auto"/>
              <w:right w:val="nil"/>
            </w:tcBorders>
            <w:shd w:val="clear" w:color="000000" w:fill="FFFFFF"/>
            <w:vAlign w:val="center"/>
            <w:hideMark/>
          </w:tcPr>
          <w:p w14:paraId="6A06D790" w14:textId="77777777" w:rsidR="00DB5CB6" w:rsidRPr="00181464" w:rsidRDefault="00DB5CB6" w:rsidP="00DB5CB6">
            <w:pPr>
              <w:spacing w:after="0" w:line="240" w:lineRule="auto"/>
              <w:jc w:val="lef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Čistá finančná pozícia</w:t>
            </w:r>
          </w:p>
        </w:tc>
        <w:tc>
          <w:tcPr>
            <w:tcW w:w="548" w:type="pct"/>
            <w:tcBorders>
              <w:top w:val="single" w:sz="4" w:space="0" w:color="auto"/>
              <w:left w:val="nil"/>
              <w:bottom w:val="single" w:sz="8" w:space="0" w:color="auto"/>
              <w:right w:val="nil"/>
            </w:tcBorders>
            <w:shd w:val="clear" w:color="000000" w:fill="FFFFFF"/>
            <w:noWrap/>
            <w:vAlign w:val="center"/>
            <w:hideMark/>
          </w:tcPr>
          <w:p w14:paraId="2388AB65" w14:textId="77777777" w:rsidR="00DB5CB6" w:rsidRPr="00181464" w:rsidRDefault="00DB5CB6" w:rsidP="00DB5CB6">
            <w:pPr>
              <w:spacing w:after="0" w:line="240" w:lineRule="auto"/>
              <w:jc w:val="right"/>
              <w:rPr>
                <w:rFonts w:eastAsia="Times New Roman" w:cs="Times New Roman"/>
                <w:b/>
                <w:bCs/>
                <w:color w:val="000000"/>
                <w:sz w:val="18"/>
                <w:szCs w:val="18"/>
                <w:lang w:eastAsia="sk-SK"/>
              </w:rPr>
            </w:pPr>
            <w:r w:rsidRPr="00181464">
              <w:rPr>
                <w:rFonts w:cs="Times New Roman"/>
                <w:b/>
                <w:bCs/>
                <w:color w:val="000000"/>
                <w:sz w:val="18"/>
                <w:szCs w:val="18"/>
              </w:rPr>
              <w:t>919 343</w:t>
            </w:r>
          </w:p>
        </w:tc>
        <w:tc>
          <w:tcPr>
            <w:tcW w:w="547" w:type="pct"/>
            <w:tcBorders>
              <w:top w:val="single" w:sz="4" w:space="0" w:color="auto"/>
              <w:left w:val="nil"/>
              <w:bottom w:val="single" w:sz="8" w:space="0" w:color="auto"/>
              <w:right w:val="nil"/>
            </w:tcBorders>
            <w:shd w:val="clear" w:color="000000" w:fill="FFFFFF"/>
            <w:noWrap/>
            <w:vAlign w:val="center"/>
            <w:hideMark/>
          </w:tcPr>
          <w:p w14:paraId="4D2413BD" w14:textId="77777777" w:rsidR="00DB5CB6" w:rsidRPr="00181464" w:rsidRDefault="00DB5CB6" w:rsidP="00DB5CB6">
            <w:pPr>
              <w:spacing w:after="0" w:line="240" w:lineRule="auto"/>
              <w:jc w:val="right"/>
              <w:rPr>
                <w:rFonts w:eastAsia="Times New Roman" w:cs="Times New Roman"/>
                <w:b/>
                <w:bCs/>
                <w:color w:val="000000"/>
                <w:sz w:val="18"/>
                <w:szCs w:val="18"/>
                <w:lang w:eastAsia="sk-SK"/>
              </w:rPr>
            </w:pPr>
            <w:r w:rsidRPr="00181464">
              <w:rPr>
                <w:rFonts w:cs="Times New Roman"/>
                <w:b/>
                <w:bCs/>
                <w:color w:val="000000"/>
                <w:sz w:val="18"/>
                <w:szCs w:val="18"/>
              </w:rPr>
              <w:t>1 117 494</w:t>
            </w:r>
          </w:p>
        </w:tc>
        <w:tc>
          <w:tcPr>
            <w:tcW w:w="625" w:type="pct"/>
            <w:tcBorders>
              <w:top w:val="single" w:sz="4" w:space="0" w:color="auto"/>
              <w:left w:val="nil"/>
              <w:bottom w:val="single" w:sz="8" w:space="0" w:color="auto"/>
              <w:right w:val="nil"/>
            </w:tcBorders>
            <w:shd w:val="clear" w:color="000000" w:fill="FFFFFF"/>
            <w:noWrap/>
            <w:vAlign w:val="center"/>
            <w:hideMark/>
          </w:tcPr>
          <w:p w14:paraId="7C160F86" w14:textId="77777777" w:rsidR="00DB5CB6" w:rsidRPr="00181464" w:rsidRDefault="00DB5CB6" w:rsidP="00DB5CB6">
            <w:pPr>
              <w:spacing w:after="0" w:line="240" w:lineRule="auto"/>
              <w:jc w:val="right"/>
              <w:rPr>
                <w:rFonts w:eastAsia="Times New Roman" w:cs="Times New Roman"/>
                <w:b/>
                <w:bCs/>
                <w:color w:val="000000"/>
                <w:sz w:val="18"/>
                <w:szCs w:val="18"/>
                <w:lang w:eastAsia="sk-SK"/>
              </w:rPr>
            </w:pPr>
            <w:r w:rsidRPr="00181464">
              <w:rPr>
                <w:rFonts w:cs="Times New Roman"/>
                <w:b/>
                <w:bCs/>
                <w:color w:val="000000"/>
                <w:sz w:val="18"/>
                <w:szCs w:val="18"/>
              </w:rPr>
              <w:t>6 564 424</w:t>
            </w:r>
          </w:p>
        </w:tc>
        <w:tc>
          <w:tcPr>
            <w:tcW w:w="547" w:type="pct"/>
            <w:tcBorders>
              <w:top w:val="single" w:sz="4" w:space="0" w:color="auto"/>
              <w:left w:val="nil"/>
              <w:bottom w:val="single" w:sz="8" w:space="0" w:color="auto"/>
              <w:right w:val="nil"/>
            </w:tcBorders>
            <w:shd w:val="clear" w:color="000000" w:fill="FFFFFF"/>
            <w:noWrap/>
            <w:vAlign w:val="center"/>
            <w:hideMark/>
          </w:tcPr>
          <w:p w14:paraId="755E8E06" w14:textId="77777777" w:rsidR="00DB5CB6" w:rsidRPr="00181464" w:rsidRDefault="00DB5CB6" w:rsidP="00DB5CB6">
            <w:pPr>
              <w:spacing w:after="0" w:line="240" w:lineRule="auto"/>
              <w:jc w:val="right"/>
              <w:rPr>
                <w:rFonts w:eastAsia="Times New Roman" w:cs="Times New Roman"/>
                <w:b/>
                <w:bCs/>
                <w:color w:val="000000"/>
                <w:sz w:val="18"/>
                <w:szCs w:val="18"/>
                <w:lang w:eastAsia="sk-SK"/>
              </w:rPr>
            </w:pPr>
            <w:r w:rsidRPr="00181464">
              <w:rPr>
                <w:rFonts w:cs="Times New Roman"/>
                <w:b/>
                <w:bCs/>
                <w:color w:val="000000"/>
                <w:sz w:val="18"/>
                <w:szCs w:val="18"/>
              </w:rPr>
              <w:t>3 444 436</w:t>
            </w:r>
          </w:p>
        </w:tc>
        <w:tc>
          <w:tcPr>
            <w:tcW w:w="625" w:type="pct"/>
            <w:gridSpan w:val="2"/>
            <w:tcBorders>
              <w:top w:val="single" w:sz="4" w:space="0" w:color="auto"/>
              <w:left w:val="nil"/>
              <w:bottom w:val="single" w:sz="8" w:space="0" w:color="auto"/>
              <w:right w:val="nil"/>
            </w:tcBorders>
            <w:shd w:val="clear" w:color="000000" w:fill="FFFFFF"/>
            <w:noWrap/>
            <w:vAlign w:val="center"/>
            <w:hideMark/>
          </w:tcPr>
          <w:p w14:paraId="477B703E" w14:textId="77777777" w:rsidR="00DB5CB6" w:rsidRPr="00181464" w:rsidRDefault="00DB5CB6" w:rsidP="00DB5CB6">
            <w:pPr>
              <w:spacing w:after="0" w:line="240" w:lineRule="auto"/>
              <w:jc w:val="right"/>
              <w:rPr>
                <w:rFonts w:eastAsia="Times New Roman" w:cs="Times New Roman"/>
                <w:b/>
                <w:bCs/>
                <w:color w:val="000000"/>
                <w:sz w:val="18"/>
                <w:szCs w:val="18"/>
                <w:highlight w:val="yellow"/>
                <w:lang w:eastAsia="sk-SK"/>
              </w:rPr>
            </w:pPr>
            <w:r w:rsidRPr="00181464">
              <w:rPr>
                <w:rFonts w:cs="Times New Roman"/>
                <w:b/>
                <w:bCs/>
                <w:color w:val="000000"/>
                <w:sz w:val="18"/>
                <w:szCs w:val="18"/>
              </w:rPr>
              <w:t>-3 119 988</w:t>
            </w:r>
          </w:p>
        </w:tc>
        <w:tc>
          <w:tcPr>
            <w:tcW w:w="461" w:type="pct"/>
            <w:tcBorders>
              <w:top w:val="single" w:sz="4" w:space="0" w:color="auto"/>
              <w:left w:val="nil"/>
              <w:bottom w:val="single" w:sz="8" w:space="0" w:color="auto"/>
              <w:right w:val="nil"/>
            </w:tcBorders>
            <w:shd w:val="clear" w:color="000000" w:fill="FFFFFF"/>
            <w:noWrap/>
            <w:vAlign w:val="center"/>
            <w:hideMark/>
          </w:tcPr>
          <w:p w14:paraId="658DE24C" w14:textId="77777777" w:rsidR="00DB5CB6" w:rsidRPr="00181464" w:rsidRDefault="00DB5CB6" w:rsidP="00DB5CB6">
            <w:pPr>
              <w:spacing w:after="0" w:line="240" w:lineRule="auto"/>
              <w:jc w:val="right"/>
              <w:rPr>
                <w:rFonts w:eastAsia="Times New Roman" w:cs="Times New Roman"/>
                <w:b/>
                <w:bCs/>
                <w:color w:val="000000"/>
                <w:sz w:val="18"/>
                <w:szCs w:val="18"/>
                <w:highlight w:val="yellow"/>
                <w:lang w:eastAsia="sk-SK"/>
              </w:rPr>
            </w:pPr>
            <w:r w:rsidRPr="00181464">
              <w:rPr>
                <w:rFonts w:cs="Times New Roman"/>
                <w:b/>
                <w:bCs/>
                <w:color w:val="000000"/>
                <w:sz w:val="18"/>
                <w:szCs w:val="18"/>
              </w:rPr>
              <w:t>-47,5</w:t>
            </w:r>
          </w:p>
        </w:tc>
      </w:tr>
    </w:tbl>
    <w:p w14:paraId="3A2696E9" w14:textId="24E54AC6" w:rsidR="00DB5CB6" w:rsidRPr="00181464" w:rsidRDefault="00DB5CB6" w:rsidP="00DB5CB6">
      <w:pPr>
        <w:pStyle w:val="Zkladntext1"/>
        <w:tabs>
          <w:tab w:val="left" w:pos="-5103"/>
          <w:tab w:val="left" w:pos="-4962"/>
          <w:tab w:val="left" w:pos="-4820"/>
        </w:tabs>
        <w:spacing w:after="120" w:line="360" w:lineRule="auto"/>
        <w:jc w:val="right"/>
        <w:rPr>
          <w:rFonts w:ascii="Times New Roman" w:hAnsi="Times New Roman"/>
          <w:sz w:val="18"/>
          <w:szCs w:val="18"/>
        </w:rPr>
      </w:pPr>
      <w:proofErr w:type="spellStart"/>
      <w:r w:rsidRPr="00181464">
        <w:rPr>
          <w:rFonts w:ascii="Times New Roman" w:hAnsi="Times New Roman"/>
          <w:sz w:val="18"/>
          <w:szCs w:val="18"/>
        </w:rPr>
        <w:t>Zdroj</w:t>
      </w:r>
      <w:proofErr w:type="spellEnd"/>
      <w:r w:rsidRPr="00181464">
        <w:rPr>
          <w:rFonts w:ascii="Times New Roman" w:hAnsi="Times New Roman"/>
          <w:sz w:val="18"/>
          <w:szCs w:val="18"/>
        </w:rPr>
        <w:t>: MF SR</w:t>
      </w:r>
    </w:p>
    <w:p w14:paraId="5575231D" w14:textId="57C3FD0A" w:rsidR="00DB5CB6" w:rsidRPr="00DB5CB6" w:rsidRDefault="00DB5CB6" w:rsidP="00DB5CB6">
      <w:pPr>
        <w:pStyle w:val="Zkladntext1"/>
        <w:tabs>
          <w:tab w:val="left" w:pos="-5103"/>
          <w:tab w:val="left" w:pos="-4962"/>
          <w:tab w:val="left" w:pos="-4820"/>
        </w:tabs>
        <w:spacing w:after="120"/>
        <w:jc w:val="both"/>
        <w:rPr>
          <w:rFonts w:ascii="Times New Roman" w:hAnsi="Times New Roman"/>
          <w:color w:val="auto"/>
          <w:szCs w:val="24"/>
          <w:lang w:val="sk-SK"/>
        </w:rPr>
      </w:pPr>
      <w:r w:rsidRPr="00DB5CB6">
        <w:rPr>
          <w:rFonts w:ascii="Times New Roman" w:hAnsi="Times New Roman"/>
          <w:b/>
          <w:szCs w:val="24"/>
          <w:lang w:val="sk-SK"/>
        </w:rPr>
        <w:t>Odvody za tradičné vlastné zdroje</w:t>
      </w:r>
      <w:r w:rsidRPr="00DB5CB6">
        <w:rPr>
          <w:rFonts w:ascii="Times New Roman" w:hAnsi="Times New Roman"/>
          <w:color w:val="auto"/>
          <w:szCs w:val="24"/>
          <w:lang w:val="sk-SK"/>
        </w:rPr>
        <w:t xml:space="preserve"> (75 % z výberu cla) boli rozpočtované v sume 128 800 tis. eur. V priebehu roka 2023 však Slovenská republika odviedla do rozpočtu EÚ 113 712 tis. eur.</w:t>
      </w:r>
    </w:p>
    <w:p w14:paraId="09D0E256" w14:textId="57C4E415" w:rsidR="00DB5CB6" w:rsidRPr="00E87AA5" w:rsidRDefault="00DB5CB6" w:rsidP="00DB5CB6">
      <w:pPr>
        <w:pStyle w:val="Zkladntext1"/>
        <w:tabs>
          <w:tab w:val="left" w:pos="-5103"/>
          <w:tab w:val="left" w:pos="-4962"/>
          <w:tab w:val="left" w:pos="-4820"/>
        </w:tabs>
        <w:spacing w:after="120"/>
        <w:jc w:val="both"/>
        <w:rPr>
          <w:color w:val="00B050"/>
          <w:szCs w:val="24"/>
          <w:lang w:val="sk-SK"/>
        </w:rPr>
      </w:pPr>
      <w:r w:rsidRPr="005042CC">
        <w:rPr>
          <w:rFonts w:ascii="Times New Roman" w:hAnsi="Times New Roman"/>
          <w:b/>
          <w:color w:val="auto"/>
          <w:szCs w:val="24"/>
          <w:lang w:val="sk-SK"/>
        </w:rPr>
        <w:lastRenderedPageBreak/>
        <w:t>Ostatné odvody do rozpočtu EÚ</w:t>
      </w:r>
      <w:r w:rsidRPr="00DB5CB6">
        <w:rPr>
          <w:rFonts w:ascii="Times New Roman" w:hAnsi="Times New Roman"/>
          <w:color w:val="auto"/>
          <w:szCs w:val="24"/>
          <w:lang w:val="sk-SK"/>
        </w:rPr>
        <w:t xml:space="preserve"> (zdroj založený</w:t>
      </w:r>
      <w:r w:rsidR="005042CC">
        <w:rPr>
          <w:rFonts w:ascii="Times New Roman" w:hAnsi="Times New Roman"/>
          <w:color w:val="auto"/>
          <w:szCs w:val="24"/>
          <w:lang w:val="sk-SK"/>
        </w:rPr>
        <w:t xml:space="preserve"> na DPH, zdroj založený na HND, </w:t>
      </w:r>
      <w:r w:rsidRPr="00DB5CB6">
        <w:rPr>
          <w:rFonts w:ascii="Times New Roman" w:hAnsi="Times New Roman"/>
          <w:color w:val="auto"/>
          <w:szCs w:val="24"/>
          <w:lang w:val="sk-SK"/>
        </w:rPr>
        <w:t>zdroj založený na odpade z pla</w:t>
      </w:r>
      <w:r w:rsidR="005042CC">
        <w:rPr>
          <w:rFonts w:ascii="Times New Roman" w:hAnsi="Times New Roman"/>
          <w:color w:val="auto"/>
          <w:szCs w:val="24"/>
          <w:lang w:val="sk-SK"/>
        </w:rPr>
        <w:t>s</w:t>
      </w:r>
      <w:r w:rsidRPr="00DB5CB6">
        <w:rPr>
          <w:rFonts w:ascii="Times New Roman" w:hAnsi="Times New Roman"/>
          <w:color w:val="auto"/>
          <w:szCs w:val="24"/>
          <w:lang w:val="sk-SK"/>
        </w:rPr>
        <w:t xml:space="preserve">tových obalov, </w:t>
      </w:r>
      <w:r w:rsidRPr="00DB5CB6">
        <w:rPr>
          <w:rFonts w:ascii="Times New Roman" w:hAnsi="Times New Roman"/>
          <w:color w:val="000000" w:themeColor="text1"/>
          <w:szCs w:val="24"/>
          <w:lang w:val="sk-SK"/>
        </w:rPr>
        <w:t>ktorý nie je recyklovaný, podiel SR na korekciách pre Dánsko, Holandsko, Nemecko, Rakúsko a Švédsko) boli rozpočtované v sume 1 027</w:t>
      </w:r>
      <w:r w:rsidR="005042CC">
        <w:rPr>
          <w:rFonts w:ascii="Times New Roman" w:hAnsi="Times New Roman"/>
          <w:color w:val="000000" w:themeColor="text1"/>
          <w:szCs w:val="24"/>
          <w:lang w:val="sk-SK"/>
        </w:rPr>
        <w:t> </w:t>
      </w:r>
      <w:r w:rsidRPr="00DB5CB6">
        <w:rPr>
          <w:rFonts w:ascii="Times New Roman" w:hAnsi="Times New Roman"/>
          <w:color w:val="000000" w:themeColor="text1"/>
          <w:szCs w:val="24"/>
          <w:lang w:val="sk-SK"/>
        </w:rPr>
        <w:t>581</w:t>
      </w:r>
      <w:r w:rsidR="005042CC">
        <w:rPr>
          <w:rFonts w:ascii="Times New Roman" w:hAnsi="Times New Roman"/>
          <w:color w:val="000000" w:themeColor="text1"/>
          <w:szCs w:val="24"/>
          <w:lang w:val="sk-SK"/>
        </w:rPr>
        <w:t> </w:t>
      </w:r>
      <w:r w:rsidRPr="00DB5CB6">
        <w:rPr>
          <w:rFonts w:ascii="Times New Roman" w:hAnsi="Times New Roman"/>
          <w:color w:val="000000" w:themeColor="text1"/>
          <w:szCs w:val="24"/>
          <w:lang w:val="sk-SK"/>
        </w:rPr>
        <w:t>tis. eur. Skutočný odvod SR z vlastných zdrojov rozpočtu EÚ pred</w:t>
      </w:r>
      <w:r w:rsidR="005042CC">
        <w:rPr>
          <w:rFonts w:ascii="Times New Roman" w:hAnsi="Times New Roman"/>
          <w:color w:val="000000" w:themeColor="text1"/>
          <w:szCs w:val="24"/>
          <w:lang w:val="sk-SK"/>
        </w:rPr>
        <w:t xml:space="preserve">stavoval sumu </w:t>
      </w:r>
      <w:r w:rsidRPr="00DB5CB6">
        <w:rPr>
          <w:rFonts w:ascii="Times New Roman" w:hAnsi="Times New Roman"/>
          <w:color w:val="000000" w:themeColor="text1"/>
          <w:szCs w:val="24"/>
          <w:lang w:val="sk-SK"/>
        </w:rPr>
        <w:t>943</w:t>
      </w:r>
      <w:r w:rsidR="005042CC">
        <w:rPr>
          <w:rFonts w:ascii="Times New Roman" w:hAnsi="Times New Roman"/>
          <w:color w:val="000000" w:themeColor="text1"/>
          <w:szCs w:val="24"/>
          <w:lang w:val="sk-SK"/>
        </w:rPr>
        <w:t> </w:t>
      </w:r>
      <w:r w:rsidRPr="00DB5CB6">
        <w:rPr>
          <w:rFonts w:ascii="Times New Roman" w:hAnsi="Times New Roman"/>
          <w:color w:val="000000" w:themeColor="text1"/>
          <w:szCs w:val="24"/>
          <w:lang w:val="sk-SK"/>
        </w:rPr>
        <w:t>226</w:t>
      </w:r>
      <w:r w:rsidR="005042CC">
        <w:rPr>
          <w:rFonts w:ascii="Times New Roman" w:hAnsi="Times New Roman"/>
          <w:color w:val="000000" w:themeColor="text1"/>
          <w:szCs w:val="24"/>
          <w:lang w:val="sk-SK"/>
        </w:rPr>
        <w:t> tis. </w:t>
      </w:r>
      <w:r w:rsidRPr="00DB5CB6">
        <w:rPr>
          <w:rFonts w:ascii="Times New Roman" w:hAnsi="Times New Roman"/>
          <w:color w:val="000000" w:themeColor="text1"/>
          <w:szCs w:val="24"/>
          <w:lang w:val="sk-SK"/>
        </w:rPr>
        <w:t>eur</w:t>
      </w:r>
      <w:r w:rsidR="005042CC">
        <w:rPr>
          <w:rFonts w:ascii="Times New Roman" w:hAnsi="Times New Roman"/>
          <w:color w:val="000000" w:themeColor="text1"/>
          <w:szCs w:val="24"/>
          <w:lang w:val="sk-SK"/>
        </w:rPr>
        <w:t xml:space="preserve"> a </w:t>
      </w:r>
      <w:r w:rsidRPr="00DB5CB6">
        <w:rPr>
          <w:rFonts w:ascii="Times New Roman" w:hAnsi="Times New Roman"/>
          <w:color w:val="000000" w:themeColor="text1"/>
          <w:szCs w:val="24"/>
          <w:lang w:val="sk-SK"/>
        </w:rPr>
        <w:t>jeho zníženie bolo ovplyvnené novelou rozpočtového roka 2022, ako aj novelami príslušného rozpočtového roka, súviseli s </w:t>
      </w:r>
      <w:r w:rsidR="005042CC">
        <w:rPr>
          <w:rFonts w:ascii="Times New Roman" w:hAnsi="Times New Roman"/>
          <w:color w:val="000000" w:themeColor="text1"/>
          <w:szCs w:val="24"/>
          <w:lang w:val="sk-SK"/>
        </w:rPr>
        <w:t>technickými zmenami vyplývajúcimi z politických dohôd, v </w:t>
      </w:r>
      <w:r w:rsidRPr="00DB5CB6">
        <w:rPr>
          <w:rFonts w:ascii="Times New Roman" w:hAnsi="Times New Roman"/>
          <w:color w:val="000000" w:themeColor="text1"/>
          <w:szCs w:val="24"/>
          <w:lang w:val="sk-SK"/>
        </w:rPr>
        <w:t xml:space="preserve">súvislosti s niekoľkými legislatívnymi návrhmi (plán </w:t>
      </w:r>
      <w:proofErr w:type="spellStart"/>
      <w:r w:rsidRPr="00DB5CB6">
        <w:rPr>
          <w:rFonts w:ascii="Times New Roman" w:hAnsi="Times New Roman"/>
          <w:color w:val="000000" w:themeColor="text1"/>
          <w:szCs w:val="24"/>
          <w:lang w:val="sk-SK"/>
        </w:rPr>
        <w:t>REPowerEU</w:t>
      </w:r>
      <w:proofErr w:type="spellEnd"/>
      <w:r w:rsidRPr="00DB5CB6">
        <w:rPr>
          <w:rFonts w:ascii="Times New Roman" w:hAnsi="Times New Roman"/>
          <w:color w:val="000000" w:themeColor="text1"/>
          <w:szCs w:val="24"/>
          <w:lang w:val="sk-SK"/>
        </w:rPr>
        <w:t xml:space="preserve">, mechanizmus uhlíkovej </w:t>
      </w:r>
      <w:r w:rsidRPr="00E87AA5">
        <w:rPr>
          <w:rFonts w:ascii="Times New Roman" w:hAnsi="Times New Roman"/>
          <w:color w:val="000000" w:themeColor="text1"/>
          <w:szCs w:val="24"/>
          <w:lang w:val="sk-SK"/>
        </w:rPr>
        <w:t>kompenzácie na hraniciach (CBAM) a Program Únie pre bezpe</w:t>
      </w:r>
      <w:r w:rsidR="005042CC" w:rsidRPr="00E87AA5">
        <w:rPr>
          <w:rFonts w:ascii="Times New Roman" w:hAnsi="Times New Roman"/>
          <w:color w:val="000000" w:themeColor="text1"/>
          <w:szCs w:val="24"/>
          <w:lang w:val="sk-SK"/>
        </w:rPr>
        <w:t>čnú konektivitu), s prebytkom z </w:t>
      </w:r>
      <w:r w:rsidRPr="00E87AA5">
        <w:rPr>
          <w:rFonts w:ascii="Times New Roman" w:hAnsi="Times New Roman"/>
          <w:color w:val="000000" w:themeColor="text1"/>
          <w:szCs w:val="24"/>
          <w:lang w:val="sk-SK"/>
        </w:rPr>
        <w:t>plnenia rozpočtu v roku 2022 a</w:t>
      </w:r>
      <w:r w:rsidR="005042CC" w:rsidRPr="00E87AA5">
        <w:rPr>
          <w:rFonts w:ascii="Times New Roman" w:hAnsi="Times New Roman"/>
          <w:color w:val="000000" w:themeColor="text1"/>
          <w:szCs w:val="24"/>
          <w:lang w:val="sk-SK"/>
        </w:rPr>
        <w:t xml:space="preserve"> </w:t>
      </w:r>
      <w:r w:rsidRPr="00E87AA5">
        <w:rPr>
          <w:rFonts w:ascii="Times New Roman" w:hAnsi="Times New Roman"/>
          <w:color w:val="000000" w:themeColor="text1"/>
          <w:szCs w:val="24"/>
          <w:lang w:val="sk-SK"/>
        </w:rPr>
        <w:t>s úpravou základne vlastných zdrojov podľa najnovších ekonomických prognóz.</w:t>
      </w:r>
    </w:p>
    <w:p w14:paraId="2D87A5B4" w14:textId="67FA1C5F" w:rsidR="00DB5CB6" w:rsidRPr="00E87AA5" w:rsidRDefault="00DB5CB6" w:rsidP="00DB5CB6">
      <w:pPr>
        <w:pStyle w:val="Zkladntext1"/>
        <w:tabs>
          <w:tab w:val="left" w:pos="-5103"/>
          <w:tab w:val="left" w:pos="-4962"/>
          <w:tab w:val="left" w:pos="-4820"/>
        </w:tabs>
        <w:spacing w:after="120"/>
        <w:jc w:val="both"/>
        <w:rPr>
          <w:rFonts w:ascii="Times New Roman" w:hAnsi="Times New Roman"/>
          <w:szCs w:val="24"/>
          <w:lang w:val="sk-SK"/>
        </w:rPr>
      </w:pPr>
      <w:r w:rsidRPr="00E87AA5">
        <w:rPr>
          <w:rFonts w:ascii="Times New Roman" w:hAnsi="Times New Roman"/>
          <w:b/>
          <w:color w:val="auto"/>
          <w:szCs w:val="24"/>
          <w:lang w:val="sk-SK"/>
        </w:rPr>
        <w:t>Príspevky Slovenskej republiky do Európskeho rozvojového fondu</w:t>
      </w:r>
      <w:r w:rsidRPr="00E87AA5">
        <w:rPr>
          <w:rFonts w:ascii="Times New Roman" w:hAnsi="Times New Roman"/>
          <w:szCs w:val="24"/>
          <w:lang w:val="sk-SK"/>
        </w:rPr>
        <w:t xml:space="preserve"> </w:t>
      </w:r>
      <w:r w:rsidRPr="00E87AA5">
        <w:rPr>
          <w:rFonts w:ascii="Times New Roman" w:hAnsi="Times New Roman"/>
          <w:color w:val="auto"/>
          <w:szCs w:val="24"/>
          <w:lang w:val="sk-SK"/>
        </w:rPr>
        <w:t>boli rozpočtované v sume 8</w:t>
      </w:r>
      <w:r w:rsidR="005042CC" w:rsidRPr="00E87AA5">
        <w:rPr>
          <w:rFonts w:ascii="Times New Roman" w:hAnsi="Times New Roman"/>
          <w:color w:val="auto"/>
          <w:szCs w:val="24"/>
          <w:lang w:val="sk-SK"/>
        </w:rPr>
        <w:t> </w:t>
      </w:r>
      <w:r w:rsidRPr="00E87AA5">
        <w:rPr>
          <w:rFonts w:ascii="Times New Roman" w:hAnsi="Times New Roman"/>
          <w:color w:val="auto"/>
          <w:szCs w:val="24"/>
          <w:lang w:val="sk-SK"/>
        </w:rPr>
        <w:t>000</w:t>
      </w:r>
      <w:r w:rsidR="005042CC" w:rsidRPr="00E87AA5">
        <w:rPr>
          <w:rFonts w:ascii="Times New Roman" w:hAnsi="Times New Roman"/>
          <w:color w:val="auto"/>
          <w:szCs w:val="24"/>
          <w:lang w:val="sk-SK"/>
        </w:rPr>
        <w:t> tis. </w:t>
      </w:r>
      <w:r w:rsidRPr="00E87AA5">
        <w:rPr>
          <w:rFonts w:ascii="Times New Roman" w:hAnsi="Times New Roman"/>
          <w:color w:val="auto"/>
          <w:szCs w:val="24"/>
          <w:lang w:val="sk-SK"/>
        </w:rPr>
        <w:t>eur a</w:t>
      </w:r>
      <w:r w:rsidR="005042CC" w:rsidRPr="00E87AA5">
        <w:rPr>
          <w:rFonts w:ascii="Times New Roman" w:hAnsi="Times New Roman"/>
          <w:color w:val="auto"/>
          <w:szCs w:val="24"/>
          <w:lang w:val="sk-SK"/>
        </w:rPr>
        <w:t xml:space="preserve"> </w:t>
      </w:r>
      <w:r w:rsidRPr="00E87AA5">
        <w:rPr>
          <w:rFonts w:ascii="Times New Roman" w:hAnsi="Times New Roman"/>
          <w:color w:val="auto"/>
          <w:szCs w:val="24"/>
          <w:lang w:val="sk-SK"/>
        </w:rPr>
        <w:t>SR skutočne odviedla do fondu 7</w:t>
      </w:r>
      <w:r w:rsidR="005042CC" w:rsidRPr="00E87AA5">
        <w:rPr>
          <w:rFonts w:ascii="Times New Roman" w:hAnsi="Times New Roman"/>
          <w:color w:val="auto"/>
          <w:szCs w:val="24"/>
          <w:lang w:val="sk-SK"/>
        </w:rPr>
        <w:t> </w:t>
      </w:r>
      <w:r w:rsidRPr="00E87AA5">
        <w:rPr>
          <w:rFonts w:ascii="Times New Roman" w:hAnsi="Times New Roman"/>
          <w:color w:val="auto"/>
          <w:szCs w:val="24"/>
          <w:lang w:val="sk-SK"/>
        </w:rPr>
        <w:t>899</w:t>
      </w:r>
      <w:r w:rsidR="005042CC" w:rsidRPr="00E87AA5">
        <w:rPr>
          <w:rFonts w:ascii="Times New Roman" w:hAnsi="Times New Roman"/>
          <w:color w:val="auto"/>
          <w:szCs w:val="24"/>
          <w:lang w:val="sk-SK"/>
        </w:rPr>
        <w:t> tis. </w:t>
      </w:r>
      <w:r w:rsidRPr="00E87AA5">
        <w:rPr>
          <w:rFonts w:ascii="Times New Roman" w:hAnsi="Times New Roman"/>
          <w:color w:val="auto"/>
          <w:szCs w:val="24"/>
          <w:lang w:val="sk-SK"/>
        </w:rPr>
        <w:t>eur.</w:t>
      </w:r>
    </w:p>
    <w:p w14:paraId="47ECC787" w14:textId="29CCB01E" w:rsidR="00DB5CB6" w:rsidRPr="00E87AA5" w:rsidRDefault="00DB5CB6" w:rsidP="00DB5CB6">
      <w:pPr>
        <w:pStyle w:val="Zkladntext1"/>
        <w:tabs>
          <w:tab w:val="left" w:pos="-5103"/>
          <w:tab w:val="left" w:pos="-4962"/>
          <w:tab w:val="left" w:pos="-4820"/>
        </w:tabs>
        <w:spacing w:after="120"/>
        <w:jc w:val="both"/>
        <w:rPr>
          <w:rFonts w:ascii="Times New Roman" w:hAnsi="Times New Roman"/>
          <w:color w:val="auto"/>
          <w:szCs w:val="24"/>
          <w:lang w:val="sk-SK"/>
        </w:rPr>
      </w:pPr>
      <w:r w:rsidRPr="00E87AA5">
        <w:rPr>
          <w:rFonts w:ascii="Times New Roman" w:hAnsi="Times New Roman"/>
          <w:color w:val="auto"/>
          <w:szCs w:val="24"/>
          <w:lang w:val="sk-SK"/>
        </w:rPr>
        <w:t xml:space="preserve">Na základe realizovaných príjmov z rozpočtu EÚ v roku 2023 vo výške </w:t>
      </w:r>
      <w:r w:rsidR="005042CC" w:rsidRPr="00E87AA5">
        <w:rPr>
          <w:rFonts w:ascii="Times New Roman" w:hAnsi="Times New Roman"/>
          <w:color w:val="auto"/>
          <w:szCs w:val="24"/>
          <w:lang w:val="sk-SK"/>
        </w:rPr>
        <w:t>4 509 </w:t>
      </w:r>
      <w:r w:rsidRPr="00E87AA5">
        <w:rPr>
          <w:rFonts w:ascii="Times New Roman" w:hAnsi="Times New Roman"/>
          <w:color w:val="auto"/>
          <w:szCs w:val="24"/>
          <w:lang w:val="sk-SK"/>
        </w:rPr>
        <w:t>274</w:t>
      </w:r>
      <w:r w:rsidR="005042CC" w:rsidRPr="00E87AA5">
        <w:rPr>
          <w:rFonts w:ascii="Times New Roman" w:hAnsi="Times New Roman"/>
          <w:color w:val="auto"/>
          <w:szCs w:val="24"/>
          <w:lang w:val="sk-SK"/>
        </w:rPr>
        <w:t> </w:t>
      </w:r>
      <w:r w:rsidRPr="00E87AA5">
        <w:rPr>
          <w:rFonts w:ascii="Times New Roman" w:hAnsi="Times New Roman"/>
          <w:color w:val="auto"/>
          <w:szCs w:val="24"/>
          <w:lang w:val="sk-SK"/>
        </w:rPr>
        <w:t>tis. eur a odvodov a</w:t>
      </w:r>
      <w:r w:rsidR="005042CC" w:rsidRPr="00E87AA5">
        <w:rPr>
          <w:rFonts w:ascii="Times New Roman" w:hAnsi="Times New Roman"/>
          <w:color w:val="auto"/>
          <w:szCs w:val="24"/>
          <w:lang w:val="sk-SK"/>
        </w:rPr>
        <w:t xml:space="preserve"> </w:t>
      </w:r>
      <w:r w:rsidRPr="00E87AA5">
        <w:rPr>
          <w:rFonts w:ascii="Times New Roman" w:hAnsi="Times New Roman"/>
          <w:color w:val="auto"/>
          <w:szCs w:val="24"/>
          <w:lang w:val="sk-SK"/>
        </w:rPr>
        <w:t>príspevkov do všeobecného rozpočtu EÚ vo výške 1 064</w:t>
      </w:r>
      <w:r w:rsidR="005042CC" w:rsidRPr="00E87AA5">
        <w:rPr>
          <w:rFonts w:ascii="Times New Roman" w:hAnsi="Times New Roman"/>
          <w:color w:val="auto"/>
          <w:szCs w:val="24"/>
          <w:lang w:val="sk-SK"/>
        </w:rPr>
        <w:t> </w:t>
      </w:r>
      <w:r w:rsidRPr="00E87AA5">
        <w:rPr>
          <w:rFonts w:ascii="Times New Roman" w:hAnsi="Times New Roman"/>
          <w:color w:val="auto"/>
          <w:szCs w:val="24"/>
          <w:lang w:val="sk-SK"/>
        </w:rPr>
        <w:t>838</w:t>
      </w:r>
      <w:r w:rsidR="005042CC" w:rsidRPr="00E87AA5">
        <w:rPr>
          <w:rFonts w:ascii="Times New Roman" w:hAnsi="Times New Roman"/>
          <w:color w:val="auto"/>
          <w:szCs w:val="24"/>
          <w:lang w:val="sk-SK"/>
        </w:rPr>
        <w:t> tis. e</w:t>
      </w:r>
      <w:r w:rsidRPr="00E87AA5">
        <w:rPr>
          <w:rFonts w:ascii="Times New Roman" w:hAnsi="Times New Roman"/>
          <w:color w:val="auto"/>
          <w:szCs w:val="24"/>
          <w:lang w:val="sk-SK"/>
        </w:rPr>
        <w:t xml:space="preserve">ur predstavuje </w:t>
      </w:r>
      <w:r w:rsidRPr="00E87AA5">
        <w:rPr>
          <w:rFonts w:ascii="Times New Roman" w:hAnsi="Times New Roman"/>
          <w:b/>
          <w:color w:val="auto"/>
          <w:szCs w:val="24"/>
          <w:lang w:val="sk-SK"/>
        </w:rPr>
        <w:t>čistá finančná pozícia Slovenskej republiky voči rozpočtu EÚ za rok 2023 sumu 3 444</w:t>
      </w:r>
      <w:r w:rsidR="005042CC" w:rsidRPr="00E87AA5">
        <w:rPr>
          <w:rFonts w:ascii="Times New Roman" w:hAnsi="Times New Roman"/>
          <w:b/>
          <w:color w:val="auto"/>
          <w:szCs w:val="24"/>
          <w:lang w:val="sk-SK"/>
        </w:rPr>
        <w:t> </w:t>
      </w:r>
      <w:r w:rsidRPr="00E87AA5">
        <w:rPr>
          <w:rFonts w:ascii="Times New Roman" w:hAnsi="Times New Roman"/>
          <w:b/>
          <w:color w:val="auto"/>
          <w:szCs w:val="24"/>
          <w:lang w:val="sk-SK"/>
        </w:rPr>
        <w:t>436</w:t>
      </w:r>
      <w:r w:rsidR="005042CC" w:rsidRPr="00E87AA5">
        <w:rPr>
          <w:rFonts w:ascii="Times New Roman" w:hAnsi="Times New Roman"/>
          <w:b/>
          <w:color w:val="auto"/>
          <w:szCs w:val="24"/>
          <w:lang w:val="sk-SK"/>
        </w:rPr>
        <w:t> tis. </w:t>
      </w:r>
      <w:r w:rsidRPr="00E87AA5">
        <w:rPr>
          <w:rFonts w:ascii="Times New Roman" w:hAnsi="Times New Roman"/>
          <w:b/>
          <w:color w:val="auto"/>
          <w:szCs w:val="24"/>
          <w:lang w:val="sk-SK"/>
        </w:rPr>
        <w:t>eur</w:t>
      </w:r>
      <w:r w:rsidRPr="00E87AA5">
        <w:rPr>
          <w:rFonts w:ascii="Times New Roman" w:hAnsi="Times New Roman"/>
          <w:color w:val="auto"/>
          <w:szCs w:val="24"/>
          <w:lang w:val="sk-SK"/>
        </w:rPr>
        <w:t>, čo predstavuje medziročný nárast o</w:t>
      </w:r>
      <w:r w:rsidR="005042CC" w:rsidRPr="00E87AA5">
        <w:rPr>
          <w:rFonts w:ascii="Times New Roman" w:hAnsi="Times New Roman"/>
          <w:color w:val="auto"/>
          <w:szCs w:val="24"/>
          <w:lang w:val="sk-SK"/>
        </w:rPr>
        <w:t> 2 </w:t>
      </w:r>
      <w:r w:rsidRPr="00E87AA5">
        <w:rPr>
          <w:rFonts w:ascii="Times New Roman" w:hAnsi="Times New Roman"/>
          <w:color w:val="auto"/>
          <w:szCs w:val="24"/>
          <w:lang w:val="sk-SK"/>
        </w:rPr>
        <w:t>326</w:t>
      </w:r>
      <w:r w:rsidR="005042CC" w:rsidRPr="00E87AA5">
        <w:rPr>
          <w:rFonts w:ascii="Times New Roman" w:hAnsi="Times New Roman"/>
          <w:color w:val="auto"/>
          <w:szCs w:val="24"/>
          <w:lang w:val="sk-SK"/>
        </w:rPr>
        <w:t> </w:t>
      </w:r>
      <w:r w:rsidRPr="00E87AA5">
        <w:rPr>
          <w:rFonts w:ascii="Times New Roman" w:hAnsi="Times New Roman"/>
          <w:color w:val="auto"/>
          <w:szCs w:val="24"/>
          <w:lang w:val="sk-SK"/>
        </w:rPr>
        <w:t>942</w:t>
      </w:r>
      <w:r w:rsidR="005042CC" w:rsidRPr="00E87AA5">
        <w:rPr>
          <w:rFonts w:ascii="Times New Roman" w:hAnsi="Times New Roman"/>
          <w:color w:val="auto"/>
          <w:szCs w:val="24"/>
          <w:lang w:val="sk-SK"/>
        </w:rPr>
        <w:t> </w:t>
      </w:r>
      <w:r w:rsidRPr="00E87AA5">
        <w:rPr>
          <w:rFonts w:ascii="Times New Roman" w:hAnsi="Times New Roman"/>
          <w:color w:val="auto"/>
          <w:szCs w:val="24"/>
          <w:lang w:val="sk-SK"/>
        </w:rPr>
        <w:t>tis. eur.</w:t>
      </w:r>
    </w:p>
    <w:p w14:paraId="6C194419" w14:textId="77777777" w:rsidR="00DB5CB6" w:rsidRPr="00DB5CB6" w:rsidRDefault="00DB5CB6" w:rsidP="00DB5CB6">
      <w:pPr>
        <w:spacing w:line="240" w:lineRule="auto"/>
        <w:rPr>
          <w:sz w:val="24"/>
          <w:szCs w:val="24"/>
        </w:rPr>
      </w:pPr>
      <w:r w:rsidRPr="00E87AA5">
        <w:rPr>
          <w:sz w:val="24"/>
          <w:szCs w:val="24"/>
        </w:rPr>
        <w:t>Prehľad o ročných príjmoch z rozpočtu EÚ a odvodoch a príspevkoch Slovenskej republiky</w:t>
      </w:r>
      <w:r w:rsidRPr="00DB5CB6">
        <w:rPr>
          <w:sz w:val="24"/>
          <w:szCs w:val="24"/>
        </w:rPr>
        <w:t xml:space="preserve"> do všeobecného rozpočtu EÚ je uvedený v nasledovnej tabuľke:</w:t>
      </w:r>
    </w:p>
    <w:tbl>
      <w:tblPr>
        <w:tblW w:w="4923" w:type="pct"/>
        <w:tblCellMar>
          <w:left w:w="70" w:type="dxa"/>
          <w:right w:w="70" w:type="dxa"/>
        </w:tblCellMar>
        <w:tblLook w:val="04A0" w:firstRow="1" w:lastRow="0" w:firstColumn="1" w:lastColumn="0" w:noHBand="0" w:noVBand="1"/>
      </w:tblPr>
      <w:tblGrid>
        <w:gridCol w:w="709"/>
        <w:gridCol w:w="3544"/>
        <w:gridCol w:w="2126"/>
        <w:gridCol w:w="2693"/>
      </w:tblGrid>
      <w:tr w:rsidR="005042CC" w:rsidRPr="005042CC" w14:paraId="55CA38F2" w14:textId="77777777" w:rsidTr="005042CC">
        <w:trPr>
          <w:trHeight w:val="525"/>
        </w:trPr>
        <w:tc>
          <w:tcPr>
            <w:tcW w:w="5000" w:type="pct"/>
            <w:gridSpan w:val="4"/>
            <w:tcBorders>
              <w:top w:val="nil"/>
              <w:left w:val="nil"/>
              <w:bottom w:val="single" w:sz="4" w:space="0" w:color="auto"/>
              <w:right w:val="nil"/>
            </w:tcBorders>
            <w:shd w:val="clear" w:color="000000" w:fill="auto"/>
            <w:vAlign w:val="bottom"/>
            <w:hideMark/>
          </w:tcPr>
          <w:p w14:paraId="0FAC0861" w14:textId="6C141070" w:rsidR="005042CC" w:rsidRPr="005042CC" w:rsidRDefault="005042CC" w:rsidP="00DD022A">
            <w:pPr>
              <w:spacing w:after="0" w:line="240" w:lineRule="auto"/>
              <w:jc w:val="left"/>
              <w:rPr>
                <w:rFonts w:eastAsia="Times New Roman" w:cs="Times New Roman"/>
                <w:b/>
                <w:bCs/>
                <w:color w:val="5B9BD5" w:themeColor="accent1"/>
                <w:sz w:val="20"/>
                <w:szCs w:val="20"/>
                <w:lang w:eastAsia="sk-SK"/>
              </w:rPr>
            </w:pPr>
            <w:r w:rsidRPr="005042CC">
              <w:rPr>
                <w:rFonts w:eastAsia="Times New Roman" w:cs="Times New Roman"/>
                <w:b/>
                <w:bCs/>
                <w:color w:val="5B9BD5" w:themeColor="accent1"/>
                <w:sz w:val="20"/>
                <w:szCs w:val="20"/>
                <w:lang w:eastAsia="sk-SK"/>
              </w:rPr>
              <w:t xml:space="preserve">Tabuľka </w:t>
            </w:r>
            <w:r w:rsidR="004A6E2F">
              <w:rPr>
                <w:rFonts w:eastAsia="Times New Roman" w:cs="Times New Roman"/>
                <w:b/>
                <w:bCs/>
                <w:color w:val="5B9BD5" w:themeColor="accent1"/>
                <w:sz w:val="20"/>
                <w:szCs w:val="20"/>
                <w:lang w:eastAsia="sk-SK"/>
              </w:rPr>
              <w:t>64</w:t>
            </w:r>
            <w:r w:rsidRPr="005042CC">
              <w:rPr>
                <w:rFonts w:eastAsia="Times New Roman" w:cs="Times New Roman"/>
                <w:b/>
                <w:bCs/>
                <w:color w:val="5B9BD5" w:themeColor="accent1"/>
                <w:sz w:val="20"/>
                <w:szCs w:val="20"/>
                <w:lang w:eastAsia="sk-SK"/>
              </w:rPr>
              <w:t xml:space="preserve"> - Prehľad o ročných príjmoch z rozpočtu EÚ a odvodoch a príspevkoch SR do všeobecného rozpočtu EÚ </w:t>
            </w:r>
          </w:p>
        </w:tc>
      </w:tr>
      <w:tr w:rsidR="005042CC" w:rsidRPr="00181464" w14:paraId="03B2E72A" w14:textId="77777777" w:rsidTr="005042CC">
        <w:trPr>
          <w:trHeight w:val="525"/>
        </w:trPr>
        <w:tc>
          <w:tcPr>
            <w:tcW w:w="391" w:type="pct"/>
            <w:tcBorders>
              <w:top w:val="single" w:sz="4" w:space="0" w:color="auto"/>
              <w:left w:val="nil"/>
              <w:bottom w:val="single" w:sz="8" w:space="0" w:color="auto"/>
              <w:right w:val="nil"/>
            </w:tcBorders>
            <w:shd w:val="clear" w:color="000000" w:fill="auto"/>
            <w:vAlign w:val="center"/>
            <w:hideMark/>
          </w:tcPr>
          <w:p w14:paraId="49F76F3C" w14:textId="77777777" w:rsidR="005042CC" w:rsidRPr="00181464" w:rsidRDefault="005042CC" w:rsidP="005042CC">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Rok</w:t>
            </w:r>
          </w:p>
        </w:tc>
        <w:tc>
          <w:tcPr>
            <w:tcW w:w="1953" w:type="pct"/>
            <w:tcBorders>
              <w:top w:val="single" w:sz="4" w:space="0" w:color="auto"/>
              <w:left w:val="nil"/>
              <w:bottom w:val="single" w:sz="8" w:space="0" w:color="auto"/>
              <w:right w:val="nil"/>
            </w:tcBorders>
            <w:shd w:val="clear" w:color="000000" w:fill="auto"/>
            <w:vAlign w:val="center"/>
            <w:hideMark/>
          </w:tcPr>
          <w:p w14:paraId="34732A0A" w14:textId="77777777" w:rsidR="005042CC" w:rsidRPr="00181464" w:rsidRDefault="005042CC" w:rsidP="005042CC">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Celkové príjmy</w:t>
            </w:r>
          </w:p>
        </w:tc>
        <w:tc>
          <w:tcPr>
            <w:tcW w:w="1172" w:type="pct"/>
            <w:tcBorders>
              <w:top w:val="single" w:sz="4" w:space="0" w:color="auto"/>
              <w:left w:val="nil"/>
              <w:bottom w:val="single" w:sz="8" w:space="0" w:color="auto"/>
              <w:right w:val="nil"/>
            </w:tcBorders>
            <w:shd w:val="clear" w:color="000000" w:fill="auto"/>
            <w:vAlign w:val="center"/>
            <w:hideMark/>
          </w:tcPr>
          <w:p w14:paraId="412081EC" w14:textId="77777777" w:rsidR="005042CC" w:rsidRPr="00181464" w:rsidRDefault="005042CC" w:rsidP="005042CC">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Celkové odvody a príspevky</w:t>
            </w:r>
          </w:p>
        </w:tc>
        <w:tc>
          <w:tcPr>
            <w:tcW w:w="1484" w:type="pct"/>
            <w:tcBorders>
              <w:top w:val="single" w:sz="4" w:space="0" w:color="auto"/>
              <w:left w:val="nil"/>
              <w:bottom w:val="single" w:sz="8" w:space="0" w:color="auto"/>
              <w:right w:val="nil"/>
            </w:tcBorders>
            <w:shd w:val="clear" w:color="000000" w:fill="auto"/>
            <w:vAlign w:val="center"/>
            <w:hideMark/>
          </w:tcPr>
          <w:p w14:paraId="17250EBB" w14:textId="77777777" w:rsidR="005042CC" w:rsidRPr="00181464" w:rsidRDefault="005042CC" w:rsidP="005042CC">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Čistá finančná pozícia</w:t>
            </w:r>
          </w:p>
        </w:tc>
      </w:tr>
      <w:tr w:rsidR="005042CC" w:rsidRPr="00181464" w14:paraId="64EF2AB3" w14:textId="77777777" w:rsidTr="005042CC">
        <w:trPr>
          <w:trHeight w:val="330"/>
        </w:trPr>
        <w:tc>
          <w:tcPr>
            <w:tcW w:w="391" w:type="pct"/>
            <w:tcBorders>
              <w:top w:val="nil"/>
              <w:left w:val="nil"/>
              <w:bottom w:val="nil"/>
              <w:right w:val="nil"/>
            </w:tcBorders>
            <w:shd w:val="clear" w:color="000000" w:fill="FFFFFF"/>
            <w:vAlign w:val="center"/>
            <w:hideMark/>
          </w:tcPr>
          <w:p w14:paraId="015AF7D3" w14:textId="7777777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2004</w:t>
            </w:r>
          </w:p>
        </w:tc>
        <w:tc>
          <w:tcPr>
            <w:tcW w:w="1953" w:type="pct"/>
            <w:tcBorders>
              <w:top w:val="nil"/>
              <w:left w:val="nil"/>
              <w:bottom w:val="nil"/>
              <w:right w:val="nil"/>
            </w:tcBorders>
            <w:shd w:val="clear" w:color="000000" w:fill="FFFFFF"/>
            <w:noWrap/>
            <w:vAlign w:val="center"/>
            <w:hideMark/>
          </w:tcPr>
          <w:p w14:paraId="19E20AA8" w14:textId="3606C092"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303 990</w:t>
            </w:r>
          </w:p>
        </w:tc>
        <w:tc>
          <w:tcPr>
            <w:tcW w:w="1172" w:type="pct"/>
            <w:tcBorders>
              <w:top w:val="nil"/>
              <w:left w:val="nil"/>
              <w:bottom w:val="nil"/>
              <w:right w:val="nil"/>
            </w:tcBorders>
            <w:shd w:val="clear" w:color="000000" w:fill="FFFFFF"/>
            <w:noWrap/>
            <w:vAlign w:val="center"/>
            <w:hideMark/>
          </w:tcPr>
          <w:p w14:paraId="0FBFA0EF" w14:textId="459759DC"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290 689</w:t>
            </w:r>
          </w:p>
        </w:tc>
        <w:tc>
          <w:tcPr>
            <w:tcW w:w="1484" w:type="pct"/>
            <w:tcBorders>
              <w:top w:val="nil"/>
              <w:left w:val="nil"/>
              <w:bottom w:val="nil"/>
              <w:right w:val="nil"/>
            </w:tcBorders>
            <w:shd w:val="clear" w:color="000000" w:fill="FFFFFF"/>
            <w:noWrap/>
            <w:vAlign w:val="center"/>
            <w:hideMark/>
          </w:tcPr>
          <w:p w14:paraId="458D9DE5" w14:textId="0DA42C6E"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13 301</w:t>
            </w:r>
          </w:p>
        </w:tc>
      </w:tr>
      <w:tr w:rsidR="005042CC" w:rsidRPr="00181464" w14:paraId="2C09E23F" w14:textId="77777777" w:rsidTr="005042CC">
        <w:trPr>
          <w:trHeight w:val="330"/>
        </w:trPr>
        <w:tc>
          <w:tcPr>
            <w:tcW w:w="391" w:type="pct"/>
            <w:tcBorders>
              <w:top w:val="nil"/>
              <w:left w:val="nil"/>
              <w:bottom w:val="nil"/>
              <w:right w:val="nil"/>
            </w:tcBorders>
            <w:shd w:val="clear" w:color="000000" w:fill="FFFFFF"/>
            <w:vAlign w:val="center"/>
            <w:hideMark/>
          </w:tcPr>
          <w:p w14:paraId="464608B7" w14:textId="7777777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2005</w:t>
            </w:r>
          </w:p>
        </w:tc>
        <w:tc>
          <w:tcPr>
            <w:tcW w:w="1953" w:type="pct"/>
            <w:tcBorders>
              <w:top w:val="nil"/>
              <w:left w:val="nil"/>
              <w:bottom w:val="nil"/>
              <w:right w:val="nil"/>
            </w:tcBorders>
            <w:shd w:val="clear" w:color="000000" w:fill="FFFFFF"/>
            <w:noWrap/>
            <w:vAlign w:val="center"/>
            <w:hideMark/>
          </w:tcPr>
          <w:p w14:paraId="07C93FB5" w14:textId="0B221630"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704 993</w:t>
            </w:r>
          </w:p>
        </w:tc>
        <w:tc>
          <w:tcPr>
            <w:tcW w:w="1172" w:type="pct"/>
            <w:tcBorders>
              <w:top w:val="nil"/>
              <w:left w:val="nil"/>
              <w:bottom w:val="nil"/>
              <w:right w:val="nil"/>
            </w:tcBorders>
            <w:shd w:val="clear" w:color="000000" w:fill="FFFFFF"/>
            <w:noWrap/>
            <w:vAlign w:val="center"/>
            <w:hideMark/>
          </w:tcPr>
          <w:p w14:paraId="4E9DB375" w14:textId="35F58BAF"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485 614</w:t>
            </w:r>
          </w:p>
        </w:tc>
        <w:tc>
          <w:tcPr>
            <w:tcW w:w="1484" w:type="pct"/>
            <w:tcBorders>
              <w:top w:val="nil"/>
              <w:left w:val="nil"/>
              <w:bottom w:val="nil"/>
              <w:right w:val="nil"/>
            </w:tcBorders>
            <w:shd w:val="clear" w:color="000000" w:fill="FFFFFF"/>
            <w:noWrap/>
            <w:vAlign w:val="center"/>
            <w:hideMark/>
          </w:tcPr>
          <w:p w14:paraId="12FA6BE5" w14:textId="1C5F22A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219 379</w:t>
            </w:r>
          </w:p>
        </w:tc>
      </w:tr>
      <w:tr w:rsidR="005042CC" w:rsidRPr="00181464" w14:paraId="2F585718" w14:textId="77777777" w:rsidTr="005042CC">
        <w:trPr>
          <w:trHeight w:val="330"/>
        </w:trPr>
        <w:tc>
          <w:tcPr>
            <w:tcW w:w="391" w:type="pct"/>
            <w:tcBorders>
              <w:top w:val="nil"/>
              <w:left w:val="nil"/>
              <w:bottom w:val="nil"/>
              <w:right w:val="nil"/>
            </w:tcBorders>
            <w:shd w:val="clear" w:color="000000" w:fill="FFFFFF"/>
            <w:vAlign w:val="center"/>
            <w:hideMark/>
          </w:tcPr>
          <w:p w14:paraId="12394B41" w14:textId="7777777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2006</w:t>
            </w:r>
          </w:p>
        </w:tc>
        <w:tc>
          <w:tcPr>
            <w:tcW w:w="1953" w:type="pct"/>
            <w:tcBorders>
              <w:top w:val="nil"/>
              <w:left w:val="nil"/>
              <w:bottom w:val="nil"/>
              <w:right w:val="nil"/>
            </w:tcBorders>
            <w:shd w:val="clear" w:color="000000" w:fill="FFFFFF"/>
            <w:noWrap/>
            <w:vAlign w:val="center"/>
            <w:hideMark/>
          </w:tcPr>
          <w:p w14:paraId="3B08B137" w14:textId="73CC8E7D"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893 623</w:t>
            </w:r>
          </w:p>
        </w:tc>
        <w:tc>
          <w:tcPr>
            <w:tcW w:w="1172" w:type="pct"/>
            <w:tcBorders>
              <w:top w:val="nil"/>
              <w:left w:val="nil"/>
              <w:bottom w:val="nil"/>
              <w:right w:val="nil"/>
            </w:tcBorders>
            <w:shd w:val="clear" w:color="000000" w:fill="FFFFFF"/>
            <w:noWrap/>
            <w:vAlign w:val="center"/>
            <w:hideMark/>
          </w:tcPr>
          <w:p w14:paraId="57835216" w14:textId="0B1BA59A"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526 326</w:t>
            </w:r>
          </w:p>
        </w:tc>
        <w:tc>
          <w:tcPr>
            <w:tcW w:w="1484" w:type="pct"/>
            <w:tcBorders>
              <w:top w:val="nil"/>
              <w:left w:val="nil"/>
              <w:bottom w:val="nil"/>
              <w:right w:val="nil"/>
            </w:tcBorders>
            <w:shd w:val="clear" w:color="000000" w:fill="FFFFFF"/>
            <w:noWrap/>
            <w:vAlign w:val="center"/>
            <w:hideMark/>
          </w:tcPr>
          <w:p w14:paraId="63F0FE4A" w14:textId="00D8D3AE"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367 297</w:t>
            </w:r>
          </w:p>
        </w:tc>
      </w:tr>
      <w:tr w:rsidR="005042CC" w:rsidRPr="00181464" w14:paraId="3FCBCBBF" w14:textId="77777777" w:rsidTr="005042CC">
        <w:trPr>
          <w:trHeight w:val="330"/>
        </w:trPr>
        <w:tc>
          <w:tcPr>
            <w:tcW w:w="391" w:type="pct"/>
            <w:tcBorders>
              <w:top w:val="nil"/>
              <w:left w:val="nil"/>
              <w:bottom w:val="nil"/>
              <w:right w:val="nil"/>
            </w:tcBorders>
            <w:shd w:val="clear" w:color="000000" w:fill="FFFFFF"/>
            <w:vAlign w:val="center"/>
            <w:hideMark/>
          </w:tcPr>
          <w:p w14:paraId="6B11F102" w14:textId="7777777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2007</w:t>
            </w:r>
          </w:p>
        </w:tc>
        <w:tc>
          <w:tcPr>
            <w:tcW w:w="1953" w:type="pct"/>
            <w:tcBorders>
              <w:top w:val="nil"/>
              <w:left w:val="nil"/>
              <w:bottom w:val="nil"/>
              <w:right w:val="nil"/>
            </w:tcBorders>
            <w:shd w:val="clear" w:color="000000" w:fill="FFFFFF"/>
            <w:noWrap/>
            <w:vAlign w:val="center"/>
            <w:hideMark/>
          </w:tcPr>
          <w:p w14:paraId="2A57C9E5" w14:textId="65F05BBC"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910 838</w:t>
            </w:r>
          </w:p>
        </w:tc>
        <w:tc>
          <w:tcPr>
            <w:tcW w:w="1172" w:type="pct"/>
            <w:tcBorders>
              <w:top w:val="nil"/>
              <w:left w:val="nil"/>
              <w:bottom w:val="nil"/>
              <w:right w:val="nil"/>
            </w:tcBorders>
            <w:shd w:val="clear" w:color="000000" w:fill="FFFFFF"/>
            <w:noWrap/>
            <w:vAlign w:val="center"/>
            <w:hideMark/>
          </w:tcPr>
          <w:p w14:paraId="04E92CE3" w14:textId="7723237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589 800</w:t>
            </w:r>
          </w:p>
        </w:tc>
        <w:tc>
          <w:tcPr>
            <w:tcW w:w="1484" w:type="pct"/>
            <w:tcBorders>
              <w:top w:val="nil"/>
              <w:left w:val="nil"/>
              <w:bottom w:val="nil"/>
              <w:right w:val="nil"/>
            </w:tcBorders>
            <w:shd w:val="clear" w:color="000000" w:fill="FFFFFF"/>
            <w:noWrap/>
            <w:vAlign w:val="center"/>
            <w:hideMark/>
          </w:tcPr>
          <w:p w14:paraId="006BBA04" w14:textId="1E76B170"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321 038</w:t>
            </w:r>
          </w:p>
        </w:tc>
      </w:tr>
      <w:tr w:rsidR="005042CC" w:rsidRPr="00181464" w14:paraId="2AED2651" w14:textId="77777777" w:rsidTr="005042CC">
        <w:trPr>
          <w:trHeight w:val="330"/>
        </w:trPr>
        <w:tc>
          <w:tcPr>
            <w:tcW w:w="391" w:type="pct"/>
            <w:tcBorders>
              <w:top w:val="nil"/>
              <w:left w:val="nil"/>
              <w:bottom w:val="nil"/>
              <w:right w:val="nil"/>
            </w:tcBorders>
            <w:shd w:val="clear" w:color="000000" w:fill="FFFFFF"/>
            <w:vAlign w:val="center"/>
            <w:hideMark/>
          </w:tcPr>
          <w:p w14:paraId="0854433F" w14:textId="7777777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2008</w:t>
            </w:r>
          </w:p>
        </w:tc>
        <w:tc>
          <w:tcPr>
            <w:tcW w:w="1953" w:type="pct"/>
            <w:tcBorders>
              <w:top w:val="nil"/>
              <w:left w:val="nil"/>
              <w:bottom w:val="nil"/>
              <w:right w:val="nil"/>
            </w:tcBorders>
            <w:shd w:val="clear" w:color="000000" w:fill="FFFFFF"/>
            <w:noWrap/>
            <w:vAlign w:val="center"/>
            <w:hideMark/>
          </w:tcPr>
          <w:p w14:paraId="23A47333" w14:textId="75254758"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893 497</w:t>
            </w:r>
          </w:p>
        </w:tc>
        <w:tc>
          <w:tcPr>
            <w:tcW w:w="1172" w:type="pct"/>
            <w:tcBorders>
              <w:top w:val="nil"/>
              <w:left w:val="nil"/>
              <w:bottom w:val="nil"/>
              <w:right w:val="nil"/>
            </w:tcBorders>
            <w:shd w:val="clear" w:color="000000" w:fill="FFFFFF"/>
            <w:noWrap/>
            <w:vAlign w:val="center"/>
            <w:hideMark/>
          </w:tcPr>
          <w:p w14:paraId="76E41E8D" w14:textId="4B86E56C"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643 374</w:t>
            </w:r>
          </w:p>
        </w:tc>
        <w:tc>
          <w:tcPr>
            <w:tcW w:w="1484" w:type="pct"/>
            <w:tcBorders>
              <w:top w:val="nil"/>
              <w:left w:val="nil"/>
              <w:bottom w:val="nil"/>
              <w:right w:val="nil"/>
            </w:tcBorders>
            <w:shd w:val="clear" w:color="000000" w:fill="FFFFFF"/>
            <w:noWrap/>
            <w:vAlign w:val="center"/>
            <w:hideMark/>
          </w:tcPr>
          <w:p w14:paraId="2874FBD0" w14:textId="054B414A"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250 123</w:t>
            </w:r>
          </w:p>
        </w:tc>
      </w:tr>
      <w:tr w:rsidR="005042CC" w:rsidRPr="00181464" w14:paraId="6759F9F2" w14:textId="77777777" w:rsidTr="005042CC">
        <w:trPr>
          <w:trHeight w:val="330"/>
        </w:trPr>
        <w:tc>
          <w:tcPr>
            <w:tcW w:w="391" w:type="pct"/>
            <w:tcBorders>
              <w:top w:val="nil"/>
              <w:left w:val="nil"/>
              <w:bottom w:val="nil"/>
              <w:right w:val="nil"/>
            </w:tcBorders>
            <w:shd w:val="clear" w:color="000000" w:fill="FFFFFF"/>
            <w:vAlign w:val="center"/>
            <w:hideMark/>
          </w:tcPr>
          <w:p w14:paraId="66E3BD67" w14:textId="7777777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2009</w:t>
            </w:r>
          </w:p>
        </w:tc>
        <w:tc>
          <w:tcPr>
            <w:tcW w:w="1953" w:type="pct"/>
            <w:tcBorders>
              <w:top w:val="nil"/>
              <w:left w:val="nil"/>
              <w:bottom w:val="nil"/>
              <w:right w:val="nil"/>
            </w:tcBorders>
            <w:shd w:val="clear" w:color="000000" w:fill="FFFFFF"/>
            <w:noWrap/>
            <w:vAlign w:val="center"/>
            <w:hideMark/>
          </w:tcPr>
          <w:p w14:paraId="49E5F94D" w14:textId="32A850C2"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1 119 659</w:t>
            </w:r>
          </w:p>
        </w:tc>
        <w:tc>
          <w:tcPr>
            <w:tcW w:w="1172" w:type="pct"/>
            <w:tcBorders>
              <w:top w:val="nil"/>
              <w:left w:val="nil"/>
              <w:bottom w:val="nil"/>
              <w:right w:val="nil"/>
            </w:tcBorders>
            <w:shd w:val="clear" w:color="000000" w:fill="FFFFFF"/>
            <w:noWrap/>
            <w:vAlign w:val="center"/>
            <w:hideMark/>
          </w:tcPr>
          <w:p w14:paraId="1699D37F" w14:textId="6756D1DA"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695 726</w:t>
            </w:r>
          </w:p>
        </w:tc>
        <w:tc>
          <w:tcPr>
            <w:tcW w:w="1484" w:type="pct"/>
            <w:tcBorders>
              <w:top w:val="nil"/>
              <w:left w:val="nil"/>
              <w:bottom w:val="nil"/>
              <w:right w:val="nil"/>
            </w:tcBorders>
            <w:shd w:val="clear" w:color="000000" w:fill="FFFFFF"/>
            <w:noWrap/>
            <w:vAlign w:val="center"/>
            <w:hideMark/>
          </w:tcPr>
          <w:p w14:paraId="26535E6B" w14:textId="699B349C"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423 933</w:t>
            </w:r>
          </w:p>
        </w:tc>
      </w:tr>
      <w:tr w:rsidR="005042CC" w:rsidRPr="00181464" w14:paraId="1890A93A" w14:textId="77777777" w:rsidTr="005042CC">
        <w:trPr>
          <w:trHeight w:val="330"/>
        </w:trPr>
        <w:tc>
          <w:tcPr>
            <w:tcW w:w="391" w:type="pct"/>
            <w:tcBorders>
              <w:top w:val="nil"/>
              <w:left w:val="nil"/>
              <w:bottom w:val="nil"/>
              <w:right w:val="nil"/>
            </w:tcBorders>
            <w:shd w:val="clear" w:color="000000" w:fill="FFFFFF"/>
            <w:vAlign w:val="center"/>
            <w:hideMark/>
          </w:tcPr>
          <w:p w14:paraId="01D6B945" w14:textId="7777777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2010</w:t>
            </w:r>
          </w:p>
        </w:tc>
        <w:tc>
          <w:tcPr>
            <w:tcW w:w="1953" w:type="pct"/>
            <w:tcBorders>
              <w:top w:val="nil"/>
              <w:left w:val="nil"/>
              <w:bottom w:val="nil"/>
              <w:right w:val="nil"/>
            </w:tcBorders>
            <w:shd w:val="clear" w:color="000000" w:fill="FFFFFF"/>
            <w:noWrap/>
            <w:vAlign w:val="center"/>
            <w:hideMark/>
          </w:tcPr>
          <w:p w14:paraId="258E4550" w14:textId="24E8D078"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1 672 483</w:t>
            </w:r>
          </w:p>
        </w:tc>
        <w:tc>
          <w:tcPr>
            <w:tcW w:w="1172" w:type="pct"/>
            <w:tcBorders>
              <w:top w:val="nil"/>
              <w:left w:val="nil"/>
              <w:bottom w:val="nil"/>
              <w:right w:val="nil"/>
            </w:tcBorders>
            <w:shd w:val="clear" w:color="000000" w:fill="FFFFFF"/>
            <w:noWrap/>
            <w:vAlign w:val="center"/>
            <w:hideMark/>
          </w:tcPr>
          <w:p w14:paraId="5E05DF36" w14:textId="137890F4"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627 529</w:t>
            </w:r>
          </w:p>
        </w:tc>
        <w:tc>
          <w:tcPr>
            <w:tcW w:w="1484" w:type="pct"/>
            <w:tcBorders>
              <w:top w:val="nil"/>
              <w:left w:val="nil"/>
              <w:bottom w:val="nil"/>
              <w:right w:val="nil"/>
            </w:tcBorders>
            <w:shd w:val="clear" w:color="000000" w:fill="FFFFFF"/>
            <w:noWrap/>
            <w:vAlign w:val="center"/>
            <w:hideMark/>
          </w:tcPr>
          <w:p w14:paraId="22510099" w14:textId="08EB2A5B"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1 044 954</w:t>
            </w:r>
          </w:p>
        </w:tc>
      </w:tr>
      <w:tr w:rsidR="005042CC" w:rsidRPr="00181464" w14:paraId="6DFC5CE7" w14:textId="77777777" w:rsidTr="005042CC">
        <w:trPr>
          <w:trHeight w:val="330"/>
        </w:trPr>
        <w:tc>
          <w:tcPr>
            <w:tcW w:w="391" w:type="pct"/>
            <w:tcBorders>
              <w:top w:val="nil"/>
              <w:left w:val="nil"/>
              <w:bottom w:val="nil"/>
              <w:right w:val="nil"/>
            </w:tcBorders>
            <w:shd w:val="clear" w:color="000000" w:fill="FFFFFF"/>
            <w:vAlign w:val="center"/>
            <w:hideMark/>
          </w:tcPr>
          <w:p w14:paraId="00B8E007" w14:textId="7777777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2011</w:t>
            </w:r>
          </w:p>
        </w:tc>
        <w:tc>
          <w:tcPr>
            <w:tcW w:w="1953" w:type="pct"/>
            <w:tcBorders>
              <w:top w:val="nil"/>
              <w:left w:val="nil"/>
              <w:bottom w:val="nil"/>
              <w:right w:val="nil"/>
            </w:tcBorders>
            <w:shd w:val="clear" w:color="000000" w:fill="FFFFFF"/>
            <w:noWrap/>
            <w:vAlign w:val="center"/>
            <w:hideMark/>
          </w:tcPr>
          <w:p w14:paraId="4F772ABC" w14:textId="53FF5034"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2 041 093</w:t>
            </w:r>
          </w:p>
        </w:tc>
        <w:tc>
          <w:tcPr>
            <w:tcW w:w="1172" w:type="pct"/>
            <w:tcBorders>
              <w:top w:val="nil"/>
              <w:left w:val="nil"/>
              <w:bottom w:val="nil"/>
              <w:right w:val="nil"/>
            </w:tcBorders>
            <w:shd w:val="clear" w:color="000000" w:fill="FFFFFF"/>
            <w:noWrap/>
            <w:vAlign w:val="center"/>
            <w:hideMark/>
          </w:tcPr>
          <w:p w14:paraId="29AF3EFF" w14:textId="25B6C264"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704 656</w:t>
            </w:r>
          </w:p>
        </w:tc>
        <w:tc>
          <w:tcPr>
            <w:tcW w:w="1484" w:type="pct"/>
            <w:tcBorders>
              <w:top w:val="nil"/>
              <w:left w:val="nil"/>
              <w:bottom w:val="nil"/>
              <w:right w:val="nil"/>
            </w:tcBorders>
            <w:shd w:val="clear" w:color="000000" w:fill="FFFFFF"/>
            <w:noWrap/>
            <w:vAlign w:val="center"/>
            <w:hideMark/>
          </w:tcPr>
          <w:p w14:paraId="431093A1" w14:textId="5828F2CA"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1 336 437</w:t>
            </w:r>
          </w:p>
        </w:tc>
      </w:tr>
      <w:tr w:rsidR="005042CC" w:rsidRPr="00181464" w14:paraId="564EA47E" w14:textId="77777777" w:rsidTr="005042CC">
        <w:trPr>
          <w:trHeight w:val="330"/>
        </w:trPr>
        <w:tc>
          <w:tcPr>
            <w:tcW w:w="391" w:type="pct"/>
            <w:tcBorders>
              <w:top w:val="nil"/>
              <w:left w:val="nil"/>
              <w:bottom w:val="nil"/>
              <w:right w:val="nil"/>
            </w:tcBorders>
            <w:shd w:val="clear" w:color="000000" w:fill="FFFFFF"/>
            <w:vAlign w:val="center"/>
            <w:hideMark/>
          </w:tcPr>
          <w:p w14:paraId="05850CD2" w14:textId="7777777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2012</w:t>
            </w:r>
          </w:p>
        </w:tc>
        <w:tc>
          <w:tcPr>
            <w:tcW w:w="1953" w:type="pct"/>
            <w:tcBorders>
              <w:top w:val="nil"/>
              <w:left w:val="nil"/>
              <w:bottom w:val="nil"/>
              <w:right w:val="nil"/>
            </w:tcBorders>
            <w:shd w:val="clear" w:color="000000" w:fill="FFFFFF"/>
            <w:noWrap/>
            <w:vAlign w:val="center"/>
            <w:hideMark/>
          </w:tcPr>
          <w:p w14:paraId="5C49945A" w14:textId="656270C0"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2 137 849</w:t>
            </w:r>
          </w:p>
        </w:tc>
        <w:tc>
          <w:tcPr>
            <w:tcW w:w="1172" w:type="pct"/>
            <w:tcBorders>
              <w:top w:val="nil"/>
              <w:left w:val="nil"/>
              <w:bottom w:val="nil"/>
              <w:right w:val="nil"/>
            </w:tcBorders>
            <w:shd w:val="clear" w:color="000000" w:fill="FFFFFF"/>
            <w:noWrap/>
            <w:vAlign w:val="center"/>
            <w:hideMark/>
          </w:tcPr>
          <w:p w14:paraId="0DCD2627" w14:textId="0145BDF5"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722 831</w:t>
            </w:r>
          </w:p>
        </w:tc>
        <w:tc>
          <w:tcPr>
            <w:tcW w:w="1484" w:type="pct"/>
            <w:tcBorders>
              <w:top w:val="nil"/>
              <w:left w:val="nil"/>
              <w:bottom w:val="nil"/>
              <w:right w:val="nil"/>
            </w:tcBorders>
            <w:shd w:val="clear" w:color="000000" w:fill="FFFFFF"/>
            <w:noWrap/>
            <w:vAlign w:val="center"/>
            <w:hideMark/>
          </w:tcPr>
          <w:p w14:paraId="123D5766" w14:textId="51C59F99"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1 415 018</w:t>
            </w:r>
          </w:p>
        </w:tc>
      </w:tr>
      <w:tr w:rsidR="005042CC" w:rsidRPr="00181464" w14:paraId="6EF154B9" w14:textId="77777777" w:rsidTr="005042CC">
        <w:trPr>
          <w:trHeight w:val="330"/>
        </w:trPr>
        <w:tc>
          <w:tcPr>
            <w:tcW w:w="391" w:type="pct"/>
            <w:tcBorders>
              <w:top w:val="nil"/>
              <w:left w:val="nil"/>
              <w:bottom w:val="nil"/>
              <w:right w:val="nil"/>
            </w:tcBorders>
            <w:shd w:val="clear" w:color="000000" w:fill="FFFFFF"/>
            <w:vAlign w:val="center"/>
            <w:hideMark/>
          </w:tcPr>
          <w:p w14:paraId="220957B5" w14:textId="7777777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2013</w:t>
            </w:r>
          </w:p>
        </w:tc>
        <w:tc>
          <w:tcPr>
            <w:tcW w:w="1953" w:type="pct"/>
            <w:tcBorders>
              <w:top w:val="nil"/>
              <w:left w:val="nil"/>
              <w:bottom w:val="nil"/>
              <w:right w:val="nil"/>
            </w:tcBorders>
            <w:shd w:val="clear" w:color="000000" w:fill="FFFFFF"/>
            <w:noWrap/>
            <w:vAlign w:val="center"/>
            <w:hideMark/>
          </w:tcPr>
          <w:p w14:paraId="5B767DBD" w14:textId="014D2D42"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2 185 358</w:t>
            </w:r>
          </w:p>
        </w:tc>
        <w:tc>
          <w:tcPr>
            <w:tcW w:w="1172" w:type="pct"/>
            <w:tcBorders>
              <w:top w:val="nil"/>
              <w:left w:val="nil"/>
              <w:bottom w:val="nil"/>
              <w:right w:val="nil"/>
            </w:tcBorders>
            <w:shd w:val="clear" w:color="000000" w:fill="FFFFFF"/>
            <w:noWrap/>
            <w:vAlign w:val="center"/>
            <w:hideMark/>
          </w:tcPr>
          <w:p w14:paraId="6BC2A455" w14:textId="5D273F7D"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825 098</w:t>
            </w:r>
          </w:p>
        </w:tc>
        <w:tc>
          <w:tcPr>
            <w:tcW w:w="1484" w:type="pct"/>
            <w:tcBorders>
              <w:top w:val="nil"/>
              <w:left w:val="nil"/>
              <w:bottom w:val="nil"/>
              <w:right w:val="nil"/>
            </w:tcBorders>
            <w:shd w:val="clear" w:color="000000" w:fill="FFFFFF"/>
            <w:noWrap/>
            <w:vAlign w:val="center"/>
            <w:hideMark/>
          </w:tcPr>
          <w:p w14:paraId="25274791" w14:textId="4597BEA9"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1 360 260</w:t>
            </w:r>
          </w:p>
        </w:tc>
      </w:tr>
      <w:tr w:rsidR="005042CC" w:rsidRPr="00181464" w14:paraId="11C70FD5" w14:textId="77777777" w:rsidTr="005042CC">
        <w:trPr>
          <w:trHeight w:val="330"/>
        </w:trPr>
        <w:tc>
          <w:tcPr>
            <w:tcW w:w="391" w:type="pct"/>
            <w:tcBorders>
              <w:top w:val="nil"/>
              <w:left w:val="nil"/>
              <w:bottom w:val="nil"/>
              <w:right w:val="nil"/>
            </w:tcBorders>
            <w:shd w:val="clear" w:color="000000" w:fill="FFFFFF"/>
            <w:vAlign w:val="center"/>
            <w:hideMark/>
          </w:tcPr>
          <w:p w14:paraId="3B4C2F40" w14:textId="7777777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2014</w:t>
            </w:r>
          </w:p>
        </w:tc>
        <w:tc>
          <w:tcPr>
            <w:tcW w:w="1953" w:type="pct"/>
            <w:tcBorders>
              <w:top w:val="nil"/>
              <w:left w:val="nil"/>
              <w:bottom w:val="nil"/>
              <w:right w:val="nil"/>
            </w:tcBorders>
            <w:shd w:val="clear" w:color="000000" w:fill="FFFFFF"/>
            <w:noWrap/>
            <w:vAlign w:val="center"/>
            <w:hideMark/>
          </w:tcPr>
          <w:p w14:paraId="74BD6F68" w14:textId="0F5A1E7D"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1 265 091</w:t>
            </w:r>
          </w:p>
        </w:tc>
        <w:tc>
          <w:tcPr>
            <w:tcW w:w="1172" w:type="pct"/>
            <w:tcBorders>
              <w:top w:val="nil"/>
              <w:left w:val="nil"/>
              <w:bottom w:val="nil"/>
              <w:right w:val="nil"/>
            </w:tcBorders>
            <w:shd w:val="clear" w:color="000000" w:fill="FFFFFF"/>
            <w:noWrap/>
            <w:vAlign w:val="center"/>
            <w:hideMark/>
          </w:tcPr>
          <w:p w14:paraId="2267DBB9" w14:textId="1B8FAF34"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785 366</w:t>
            </w:r>
          </w:p>
        </w:tc>
        <w:tc>
          <w:tcPr>
            <w:tcW w:w="1484" w:type="pct"/>
            <w:tcBorders>
              <w:top w:val="nil"/>
              <w:left w:val="nil"/>
              <w:bottom w:val="nil"/>
              <w:right w:val="nil"/>
            </w:tcBorders>
            <w:shd w:val="clear" w:color="000000" w:fill="FFFFFF"/>
            <w:noWrap/>
            <w:vAlign w:val="center"/>
            <w:hideMark/>
          </w:tcPr>
          <w:p w14:paraId="05651443" w14:textId="47213F5A"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479 725</w:t>
            </w:r>
          </w:p>
        </w:tc>
      </w:tr>
      <w:tr w:rsidR="005042CC" w:rsidRPr="00181464" w14:paraId="27AEFF00" w14:textId="77777777" w:rsidTr="005042CC">
        <w:trPr>
          <w:trHeight w:val="330"/>
        </w:trPr>
        <w:tc>
          <w:tcPr>
            <w:tcW w:w="391" w:type="pct"/>
            <w:tcBorders>
              <w:top w:val="nil"/>
              <w:left w:val="nil"/>
              <w:bottom w:val="nil"/>
              <w:right w:val="nil"/>
            </w:tcBorders>
            <w:shd w:val="clear" w:color="000000" w:fill="FFFFFF"/>
            <w:vAlign w:val="center"/>
            <w:hideMark/>
          </w:tcPr>
          <w:p w14:paraId="1CB7086B" w14:textId="7777777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2015</w:t>
            </w:r>
          </w:p>
        </w:tc>
        <w:tc>
          <w:tcPr>
            <w:tcW w:w="1953" w:type="pct"/>
            <w:tcBorders>
              <w:top w:val="nil"/>
              <w:left w:val="nil"/>
              <w:bottom w:val="nil"/>
              <w:right w:val="nil"/>
            </w:tcBorders>
            <w:shd w:val="clear" w:color="auto" w:fill="auto"/>
            <w:noWrap/>
            <w:vAlign w:val="center"/>
            <w:hideMark/>
          </w:tcPr>
          <w:p w14:paraId="34CAA087" w14:textId="42FA0418"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4 288 873</w:t>
            </w:r>
          </w:p>
        </w:tc>
        <w:tc>
          <w:tcPr>
            <w:tcW w:w="1172" w:type="pct"/>
            <w:tcBorders>
              <w:top w:val="nil"/>
              <w:left w:val="nil"/>
              <w:bottom w:val="nil"/>
              <w:right w:val="nil"/>
            </w:tcBorders>
            <w:shd w:val="clear" w:color="000000" w:fill="FFFFFF"/>
            <w:noWrap/>
            <w:vAlign w:val="center"/>
            <w:hideMark/>
          </w:tcPr>
          <w:p w14:paraId="5C7D2299" w14:textId="0A8D7380"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695 508</w:t>
            </w:r>
          </w:p>
        </w:tc>
        <w:tc>
          <w:tcPr>
            <w:tcW w:w="1484" w:type="pct"/>
            <w:tcBorders>
              <w:top w:val="nil"/>
              <w:left w:val="nil"/>
              <w:bottom w:val="nil"/>
              <w:right w:val="nil"/>
            </w:tcBorders>
            <w:shd w:val="clear" w:color="auto" w:fill="auto"/>
            <w:noWrap/>
            <w:vAlign w:val="center"/>
            <w:hideMark/>
          </w:tcPr>
          <w:p w14:paraId="47A53354" w14:textId="36CCBD5A"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3 593 365</w:t>
            </w:r>
          </w:p>
        </w:tc>
      </w:tr>
      <w:tr w:rsidR="005042CC" w:rsidRPr="00181464" w14:paraId="19DFBA79" w14:textId="77777777" w:rsidTr="005042CC">
        <w:trPr>
          <w:trHeight w:val="330"/>
        </w:trPr>
        <w:tc>
          <w:tcPr>
            <w:tcW w:w="391" w:type="pct"/>
            <w:tcBorders>
              <w:top w:val="nil"/>
              <w:left w:val="nil"/>
              <w:bottom w:val="nil"/>
              <w:right w:val="nil"/>
            </w:tcBorders>
            <w:shd w:val="clear" w:color="000000" w:fill="FFFFFF"/>
            <w:vAlign w:val="center"/>
            <w:hideMark/>
          </w:tcPr>
          <w:p w14:paraId="7F796289" w14:textId="7777777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2016</w:t>
            </w:r>
          </w:p>
        </w:tc>
        <w:tc>
          <w:tcPr>
            <w:tcW w:w="1953" w:type="pct"/>
            <w:tcBorders>
              <w:top w:val="nil"/>
              <w:left w:val="nil"/>
              <w:bottom w:val="nil"/>
              <w:right w:val="nil"/>
            </w:tcBorders>
            <w:shd w:val="clear" w:color="000000" w:fill="FFFFFF"/>
            <w:noWrap/>
            <w:vAlign w:val="center"/>
            <w:hideMark/>
          </w:tcPr>
          <w:p w14:paraId="6EC6232B" w14:textId="0E49F63D"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1 947 481</w:t>
            </w:r>
          </w:p>
        </w:tc>
        <w:tc>
          <w:tcPr>
            <w:tcW w:w="1172" w:type="pct"/>
            <w:tcBorders>
              <w:top w:val="nil"/>
              <w:left w:val="nil"/>
              <w:bottom w:val="nil"/>
              <w:right w:val="nil"/>
            </w:tcBorders>
            <w:shd w:val="clear" w:color="auto" w:fill="auto"/>
            <w:noWrap/>
            <w:vAlign w:val="center"/>
            <w:hideMark/>
          </w:tcPr>
          <w:p w14:paraId="42401D23" w14:textId="0BB74B03"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739 903</w:t>
            </w:r>
          </w:p>
        </w:tc>
        <w:tc>
          <w:tcPr>
            <w:tcW w:w="1484" w:type="pct"/>
            <w:tcBorders>
              <w:top w:val="nil"/>
              <w:left w:val="nil"/>
              <w:bottom w:val="nil"/>
              <w:right w:val="nil"/>
            </w:tcBorders>
            <w:shd w:val="clear" w:color="000000" w:fill="FFFFFF"/>
            <w:noWrap/>
            <w:vAlign w:val="center"/>
            <w:hideMark/>
          </w:tcPr>
          <w:p w14:paraId="30AA8C93" w14:textId="5E23AE58"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1 207 578</w:t>
            </w:r>
          </w:p>
        </w:tc>
      </w:tr>
      <w:tr w:rsidR="005042CC" w:rsidRPr="00181464" w14:paraId="07D403DE" w14:textId="77777777" w:rsidTr="005042CC">
        <w:trPr>
          <w:trHeight w:val="330"/>
        </w:trPr>
        <w:tc>
          <w:tcPr>
            <w:tcW w:w="391" w:type="pct"/>
            <w:tcBorders>
              <w:top w:val="nil"/>
              <w:left w:val="nil"/>
              <w:bottom w:val="nil"/>
              <w:right w:val="nil"/>
            </w:tcBorders>
            <w:shd w:val="clear" w:color="000000" w:fill="FFFFFF"/>
            <w:vAlign w:val="center"/>
            <w:hideMark/>
          </w:tcPr>
          <w:p w14:paraId="370169FB" w14:textId="7777777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2017</w:t>
            </w:r>
          </w:p>
        </w:tc>
        <w:tc>
          <w:tcPr>
            <w:tcW w:w="1953" w:type="pct"/>
            <w:tcBorders>
              <w:top w:val="nil"/>
              <w:left w:val="nil"/>
              <w:bottom w:val="nil"/>
              <w:right w:val="nil"/>
            </w:tcBorders>
            <w:shd w:val="clear" w:color="000000" w:fill="FFFFFF"/>
            <w:noWrap/>
            <w:vAlign w:val="center"/>
            <w:hideMark/>
          </w:tcPr>
          <w:p w14:paraId="4C4B9A99" w14:textId="6778D6F3"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1 425 572</w:t>
            </w:r>
          </w:p>
        </w:tc>
        <w:tc>
          <w:tcPr>
            <w:tcW w:w="1172" w:type="pct"/>
            <w:tcBorders>
              <w:top w:val="nil"/>
              <w:left w:val="nil"/>
              <w:bottom w:val="nil"/>
              <w:right w:val="nil"/>
            </w:tcBorders>
            <w:shd w:val="clear" w:color="000000" w:fill="FFFFFF"/>
            <w:noWrap/>
            <w:vAlign w:val="center"/>
            <w:hideMark/>
          </w:tcPr>
          <w:p w14:paraId="0B76C650" w14:textId="6F95C963"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738 045</w:t>
            </w:r>
          </w:p>
        </w:tc>
        <w:tc>
          <w:tcPr>
            <w:tcW w:w="1484" w:type="pct"/>
            <w:tcBorders>
              <w:top w:val="nil"/>
              <w:left w:val="nil"/>
              <w:bottom w:val="nil"/>
              <w:right w:val="nil"/>
            </w:tcBorders>
            <w:shd w:val="clear" w:color="000000" w:fill="FFFFFF"/>
            <w:noWrap/>
            <w:vAlign w:val="center"/>
            <w:hideMark/>
          </w:tcPr>
          <w:p w14:paraId="66A29FA9" w14:textId="3E139C75"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687 527</w:t>
            </w:r>
          </w:p>
        </w:tc>
      </w:tr>
      <w:tr w:rsidR="005042CC" w:rsidRPr="00181464" w14:paraId="4CB44FEE" w14:textId="77777777" w:rsidTr="005042CC">
        <w:trPr>
          <w:trHeight w:val="330"/>
        </w:trPr>
        <w:tc>
          <w:tcPr>
            <w:tcW w:w="391" w:type="pct"/>
            <w:tcBorders>
              <w:top w:val="nil"/>
              <w:left w:val="nil"/>
              <w:bottom w:val="nil"/>
              <w:right w:val="nil"/>
            </w:tcBorders>
            <w:shd w:val="clear" w:color="000000" w:fill="FFFFFF"/>
            <w:vAlign w:val="center"/>
            <w:hideMark/>
          </w:tcPr>
          <w:p w14:paraId="6BA51D95" w14:textId="7777777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2018</w:t>
            </w:r>
          </w:p>
        </w:tc>
        <w:tc>
          <w:tcPr>
            <w:tcW w:w="1953" w:type="pct"/>
            <w:tcBorders>
              <w:top w:val="nil"/>
              <w:left w:val="nil"/>
              <w:bottom w:val="nil"/>
              <w:right w:val="nil"/>
            </w:tcBorders>
            <w:shd w:val="clear" w:color="000000" w:fill="FFFFFF"/>
            <w:noWrap/>
            <w:vAlign w:val="center"/>
            <w:hideMark/>
          </w:tcPr>
          <w:p w14:paraId="386CD756" w14:textId="10A91585"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2 169 732</w:t>
            </w:r>
          </w:p>
        </w:tc>
        <w:tc>
          <w:tcPr>
            <w:tcW w:w="1172" w:type="pct"/>
            <w:tcBorders>
              <w:top w:val="nil"/>
              <w:left w:val="nil"/>
              <w:bottom w:val="nil"/>
              <w:right w:val="nil"/>
            </w:tcBorders>
            <w:shd w:val="clear" w:color="auto" w:fill="auto"/>
            <w:noWrap/>
            <w:vAlign w:val="center"/>
            <w:hideMark/>
          </w:tcPr>
          <w:p w14:paraId="428DE1F9" w14:textId="610BE47A"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841 321</w:t>
            </w:r>
          </w:p>
        </w:tc>
        <w:tc>
          <w:tcPr>
            <w:tcW w:w="1484" w:type="pct"/>
            <w:tcBorders>
              <w:top w:val="nil"/>
              <w:left w:val="nil"/>
              <w:bottom w:val="nil"/>
              <w:right w:val="nil"/>
            </w:tcBorders>
            <w:shd w:val="clear" w:color="000000" w:fill="FFFFFF"/>
            <w:noWrap/>
            <w:vAlign w:val="center"/>
            <w:hideMark/>
          </w:tcPr>
          <w:p w14:paraId="5822DE3B" w14:textId="2EE97D16"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1 328 411</w:t>
            </w:r>
          </w:p>
        </w:tc>
      </w:tr>
      <w:tr w:rsidR="005042CC" w:rsidRPr="00181464" w14:paraId="30DC4BB9" w14:textId="77777777" w:rsidTr="005042CC">
        <w:trPr>
          <w:trHeight w:val="330"/>
        </w:trPr>
        <w:tc>
          <w:tcPr>
            <w:tcW w:w="391" w:type="pct"/>
            <w:tcBorders>
              <w:top w:val="nil"/>
              <w:left w:val="nil"/>
              <w:bottom w:val="nil"/>
              <w:right w:val="nil"/>
            </w:tcBorders>
            <w:shd w:val="clear" w:color="000000" w:fill="FFFFFF"/>
            <w:vAlign w:val="center"/>
            <w:hideMark/>
          </w:tcPr>
          <w:p w14:paraId="3C6B36C7" w14:textId="7777777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2019</w:t>
            </w:r>
          </w:p>
        </w:tc>
        <w:tc>
          <w:tcPr>
            <w:tcW w:w="1953" w:type="pct"/>
            <w:tcBorders>
              <w:top w:val="nil"/>
              <w:left w:val="nil"/>
              <w:bottom w:val="nil"/>
              <w:right w:val="nil"/>
            </w:tcBorders>
            <w:shd w:val="clear" w:color="auto" w:fill="auto"/>
            <w:noWrap/>
            <w:vAlign w:val="center"/>
            <w:hideMark/>
          </w:tcPr>
          <w:p w14:paraId="7821378C" w14:textId="4E977963"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2 126 943</w:t>
            </w:r>
          </w:p>
        </w:tc>
        <w:tc>
          <w:tcPr>
            <w:tcW w:w="1172" w:type="pct"/>
            <w:tcBorders>
              <w:top w:val="nil"/>
              <w:left w:val="nil"/>
              <w:bottom w:val="nil"/>
              <w:right w:val="nil"/>
            </w:tcBorders>
            <w:shd w:val="clear" w:color="000000" w:fill="FFFFFF"/>
            <w:noWrap/>
            <w:vAlign w:val="center"/>
            <w:hideMark/>
          </w:tcPr>
          <w:p w14:paraId="2D5CEC19" w14:textId="61EA13D3"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851 733</w:t>
            </w:r>
          </w:p>
        </w:tc>
        <w:tc>
          <w:tcPr>
            <w:tcW w:w="1484" w:type="pct"/>
            <w:tcBorders>
              <w:top w:val="nil"/>
              <w:left w:val="nil"/>
              <w:bottom w:val="nil"/>
              <w:right w:val="nil"/>
            </w:tcBorders>
            <w:shd w:val="clear" w:color="000000" w:fill="FFFFFF"/>
            <w:noWrap/>
            <w:vAlign w:val="center"/>
            <w:hideMark/>
          </w:tcPr>
          <w:p w14:paraId="60DA46D5" w14:textId="72A7CDC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1 275 210</w:t>
            </w:r>
          </w:p>
        </w:tc>
      </w:tr>
      <w:tr w:rsidR="005042CC" w:rsidRPr="00181464" w14:paraId="5186D620" w14:textId="77777777" w:rsidTr="005042CC">
        <w:trPr>
          <w:trHeight w:val="330"/>
        </w:trPr>
        <w:tc>
          <w:tcPr>
            <w:tcW w:w="391" w:type="pct"/>
            <w:tcBorders>
              <w:top w:val="nil"/>
              <w:left w:val="nil"/>
              <w:bottom w:val="nil"/>
              <w:right w:val="nil"/>
            </w:tcBorders>
            <w:shd w:val="clear" w:color="000000" w:fill="FFFFFF"/>
            <w:vAlign w:val="center"/>
          </w:tcPr>
          <w:p w14:paraId="0E51B2BB" w14:textId="7777777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2020</w:t>
            </w:r>
          </w:p>
        </w:tc>
        <w:tc>
          <w:tcPr>
            <w:tcW w:w="1953" w:type="pct"/>
            <w:tcBorders>
              <w:top w:val="nil"/>
              <w:left w:val="nil"/>
              <w:bottom w:val="nil"/>
              <w:right w:val="nil"/>
            </w:tcBorders>
            <w:shd w:val="clear" w:color="auto" w:fill="auto"/>
            <w:noWrap/>
            <w:vAlign w:val="center"/>
          </w:tcPr>
          <w:p w14:paraId="6F425E16" w14:textId="2EC26698"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2 551 360</w:t>
            </w:r>
          </w:p>
        </w:tc>
        <w:tc>
          <w:tcPr>
            <w:tcW w:w="1172" w:type="pct"/>
            <w:tcBorders>
              <w:top w:val="nil"/>
              <w:left w:val="nil"/>
              <w:bottom w:val="nil"/>
              <w:right w:val="nil"/>
            </w:tcBorders>
            <w:shd w:val="clear" w:color="000000" w:fill="FFFFFF"/>
            <w:noWrap/>
            <w:vAlign w:val="center"/>
          </w:tcPr>
          <w:p w14:paraId="60206DFF" w14:textId="144A217B"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974 126</w:t>
            </w:r>
          </w:p>
        </w:tc>
        <w:tc>
          <w:tcPr>
            <w:tcW w:w="1484" w:type="pct"/>
            <w:tcBorders>
              <w:top w:val="nil"/>
              <w:left w:val="nil"/>
              <w:bottom w:val="nil"/>
              <w:right w:val="nil"/>
            </w:tcBorders>
            <w:shd w:val="clear" w:color="000000" w:fill="FFFFFF"/>
            <w:noWrap/>
            <w:vAlign w:val="center"/>
          </w:tcPr>
          <w:p w14:paraId="5728C127" w14:textId="5E2720BC"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1 577 234</w:t>
            </w:r>
          </w:p>
        </w:tc>
      </w:tr>
      <w:tr w:rsidR="005042CC" w:rsidRPr="00181464" w14:paraId="6A7DE5F7" w14:textId="77777777" w:rsidTr="005042CC">
        <w:trPr>
          <w:trHeight w:val="330"/>
        </w:trPr>
        <w:tc>
          <w:tcPr>
            <w:tcW w:w="391" w:type="pct"/>
            <w:tcBorders>
              <w:top w:val="nil"/>
              <w:left w:val="nil"/>
              <w:bottom w:val="nil"/>
              <w:right w:val="nil"/>
            </w:tcBorders>
            <w:shd w:val="clear" w:color="000000" w:fill="FFFFFF"/>
            <w:vAlign w:val="center"/>
          </w:tcPr>
          <w:p w14:paraId="3CD1651D" w14:textId="7777777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2021</w:t>
            </w:r>
          </w:p>
        </w:tc>
        <w:tc>
          <w:tcPr>
            <w:tcW w:w="1953" w:type="pct"/>
            <w:tcBorders>
              <w:top w:val="nil"/>
              <w:left w:val="nil"/>
              <w:bottom w:val="nil"/>
              <w:right w:val="nil"/>
            </w:tcBorders>
            <w:shd w:val="clear" w:color="auto" w:fill="auto"/>
            <w:noWrap/>
            <w:vAlign w:val="center"/>
          </w:tcPr>
          <w:p w14:paraId="4820DB0F" w14:textId="4151C613"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2 273 990</w:t>
            </w:r>
          </w:p>
        </w:tc>
        <w:tc>
          <w:tcPr>
            <w:tcW w:w="1172" w:type="pct"/>
            <w:tcBorders>
              <w:top w:val="nil"/>
              <w:left w:val="nil"/>
              <w:bottom w:val="nil"/>
              <w:right w:val="nil"/>
            </w:tcBorders>
            <w:shd w:val="clear" w:color="000000" w:fill="FFFFFF"/>
            <w:noWrap/>
            <w:vAlign w:val="center"/>
          </w:tcPr>
          <w:p w14:paraId="2F8099E7" w14:textId="257AB868"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1 354 647</w:t>
            </w:r>
          </w:p>
        </w:tc>
        <w:tc>
          <w:tcPr>
            <w:tcW w:w="1484" w:type="pct"/>
            <w:tcBorders>
              <w:top w:val="nil"/>
              <w:left w:val="nil"/>
              <w:bottom w:val="nil"/>
              <w:right w:val="nil"/>
            </w:tcBorders>
            <w:shd w:val="clear" w:color="000000" w:fill="FFFFFF"/>
            <w:noWrap/>
            <w:vAlign w:val="center"/>
          </w:tcPr>
          <w:p w14:paraId="739D0962" w14:textId="788D99D1"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919 343</w:t>
            </w:r>
          </w:p>
        </w:tc>
      </w:tr>
      <w:tr w:rsidR="005042CC" w:rsidRPr="00181464" w14:paraId="2D4BF79C" w14:textId="77777777" w:rsidTr="005042CC">
        <w:trPr>
          <w:trHeight w:val="330"/>
        </w:trPr>
        <w:tc>
          <w:tcPr>
            <w:tcW w:w="391" w:type="pct"/>
            <w:tcBorders>
              <w:top w:val="nil"/>
              <w:left w:val="nil"/>
              <w:bottom w:val="nil"/>
              <w:right w:val="nil"/>
            </w:tcBorders>
            <w:shd w:val="clear" w:color="000000" w:fill="FFFFFF"/>
            <w:vAlign w:val="center"/>
          </w:tcPr>
          <w:p w14:paraId="7AEC2E30" w14:textId="77777777"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2022</w:t>
            </w:r>
          </w:p>
        </w:tc>
        <w:tc>
          <w:tcPr>
            <w:tcW w:w="1953" w:type="pct"/>
            <w:tcBorders>
              <w:top w:val="nil"/>
              <w:left w:val="nil"/>
              <w:bottom w:val="nil"/>
              <w:right w:val="nil"/>
            </w:tcBorders>
            <w:shd w:val="clear" w:color="auto" w:fill="auto"/>
            <w:noWrap/>
            <w:vAlign w:val="center"/>
          </w:tcPr>
          <w:p w14:paraId="51B4D222" w14:textId="62D658A3"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2 187 702</w:t>
            </w:r>
          </w:p>
        </w:tc>
        <w:tc>
          <w:tcPr>
            <w:tcW w:w="1172" w:type="pct"/>
            <w:tcBorders>
              <w:top w:val="nil"/>
              <w:left w:val="nil"/>
              <w:bottom w:val="nil"/>
              <w:right w:val="nil"/>
            </w:tcBorders>
            <w:shd w:val="clear" w:color="000000" w:fill="FFFFFF"/>
            <w:noWrap/>
            <w:vAlign w:val="center"/>
          </w:tcPr>
          <w:p w14:paraId="20EE555E" w14:textId="01444F50"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1 070 208</w:t>
            </w:r>
          </w:p>
        </w:tc>
        <w:tc>
          <w:tcPr>
            <w:tcW w:w="1484" w:type="pct"/>
            <w:tcBorders>
              <w:top w:val="nil"/>
              <w:left w:val="nil"/>
              <w:bottom w:val="nil"/>
              <w:right w:val="nil"/>
            </w:tcBorders>
            <w:shd w:val="clear" w:color="000000" w:fill="FFFFFF"/>
            <w:noWrap/>
            <w:vAlign w:val="center"/>
          </w:tcPr>
          <w:p w14:paraId="724DCA04" w14:textId="7CC6A470"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1 117 494</w:t>
            </w:r>
          </w:p>
        </w:tc>
      </w:tr>
      <w:tr w:rsidR="005042CC" w:rsidRPr="00181464" w14:paraId="50785910" w14:textId="77777777" w:rsidTr="005042CC">
        <w:trPr>
          <w:trHeight w:val="330"/>
        </w:trPr>
        <w:tc>
          <w:tcPr>
            <w:tcW w:w="391" w:type="pct"/>
            <w:tcBorders>
              <w:top w:val="nil"/>
              <w:left w:val="nil"/>
              <w:bottom w:val="nil"/>
              <w:right w:val="nil"/>
            </w:tcBorders>
            <w:shd w:val="clear" w:color="000000" w:fill="FFFFFF"/>
            <w:vAlign w:val="center"/>
          </w:tcPr>
          <w:p w14:paraId="5CA4C78C" w14:textId="0C63C5E9"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2023</w:t>
            </w:r>
          </w:p>
        </w:tc>
        <w:tc>
          <w:tcPr>
            <w:tcW w:w="1953" w:type="pct"/>
            <w:tcBorders>
              <w:top w:val="nil"/>
              <w:left w:val="nil"/>
              <w:bottom w:val="nil"/>
              <w:right w:val="nil"/>
            </w:tcBorders>
            <w:shd w:val="clear" w:color="auto" w:fill="auto"/>
            <w:noWrap/>
            <w:vAlign w:val="center"/>
          </w:tcPr>
          <w:p w14:paraId="388839ED" w14:textId="6B9F5E33"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4 509 274</w:t>
            </w:r>
          </w:p>
        </w:tc>
        <w:tc>
          <w:tcPr>
            <w:tcW w:w="1172" w:type="pct"/>
            <w:tcBorders>
              <w:top w:val="nil"/>
              <w:left w:val="nil"/>
              <w:bottom w:val="nil"/>
              <w:right w:val="nil"/>
            </w:tcBorders>
            <w:shd w:val="clear" w:color="000000" w:fill="FFFFFF"/>
            <w:noWrap/>
            <w:vAlign w:val="center"/>
          </w:tcPr>
          <w:p w14:paraId="5D22FA6F" w14:textId="5BEDB659"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1 064 838</w:t>
            </w:r>
          </w:p>
        </w:tc>
        <w:tc>
          <w:tcPr>
            <w:tcW w:w="1484" w:type="pct"/>
            <w:tcBorders>
              <w:top w:val="nil"/>
              <w:left w:val="nil"/>
              <w:bottom w:val="nil"/>
              <w:right w:val="nil"/>
            </w:tcBorders>
            <w:shd w:val="clear" w:color="000000" w:fill="FFFFFF"/>
            <w:noWrap/>
            <w:vAlign w:val="center"/>
          </w:tcPr>
          <w:p w14:paraId="21EE5D27" w14:textId="49795CDB" w:rsidR="005042CC" w:rsidRPr="00181464" w:rsidRDefault="005042CC" w:rsidP="005042CC">
            <w:pPr>
              <w:spacing w:after="0" w:line="240" w:lineRule="auto"/>
              <w:jc w:val="center"/>
              <w:rPr>
                <w:rFonts w:eastAsia="Times New Roman" w:cs="Times New Roman"/>
                <w:color w:val="000000"/>
                <w:sz w:val="18"/>
                <w:szCs w:val="18"/>
                <w:lang w:eastAsia="sk-SK"/>
              </w:rPr>
            </w:pPr>
            <w:r w:rsidRPr="00181464">
              <w:rPr>
                <w:rFonts w:cs="Times New Roman"/>
                <w:color w:val="000000"/>
                <w:sz w:val="18"/>
                <w:szCs w:val="18"/>
              </w:rPr>
              <w:t>3 444 436</w:t>
            </w:r>
          </w:p>
        </w:tc>
      </w:tr>
      <w:tr w:rsidR="005042CC" w:rsidRPr="00181464" w14:paraId="0EC209F6" w14:textId="77777777" w:rsidTr="005042CC">
        <w:trPr>
          <w:trHeight w:val="345"/>
        </w:trPr>
        <w:tc>
          <w:tcPr>
            <w:tcW w:w="391" w:type="pct"/>
            <w:tcBorders>
              <w:top w:val="single" w:sz="4" w:space="0" w:color="auto"/>
              <w:left w:val="nil"/>
              <w:bottom w:val="single" w:sz="8" w:space="0" w:color="auto"/>
              <w:right w:val="nil"/>
            </w:tcBorders>
            <w:shd w:val="clear" w:color="000000" w:fill="FFFFFF"/>
            <w:vAlign w:val="center"/>
            <w:hideMark/>
          </w:tcPr>
          <w:p w14:paraId="5666F4C3" w14:textId="77777777" w:rsidR="005042CC" w:rsidRPr="00181464" w:rsidRDefault="005042CC" w:rsidP="005042CC">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Spolu</w:t>
            </w:r>
          </w:p>
        </w:tc>
        <w:tc>
          <w:tcPr>
            <w:tcW w:w="1953" w:type="pct"/>
            <w:tcBorders>
              <w:top w:val="single" w:sz="4" w:space="0" w:color="auto"/>
              <w:left w:val="nil"/>
              <w:bottom w:val="single" w:sz="8" w:space="0" w:color="auto"/>
              <w:right w:val="nil"/>
            </w:tcBorders>
            <w:shd w:val="clear" w:color="000000" w:fill="FFFFFF"/>
            <w:noWrap/>
            <w:vAlign w:val="center"/>
            <w:hideMark/>
          </w:tcPr>
          <w:p w14:paraId="46C8B58E" w14:textId="15F62543" w:rsidR="005042CC" w:rsidRPr="00181464" w:rsidRDefault="005042CC" w:rsidP="00B05BA8">
            <w:pPr>
              <w:spacing w:after="0" w:line="240" w:lineRule="auto"/>
              <w:jc w:val="center"/>
              <w:rPr>
                <w:rFonts w:eastAsia="Times New Roman" w:cs="Times New Roman"/>
                <w:b/>
                <w:bCs/>
                <w:color w:val="000000"/>
                <w:sz w:val="18"/>
                <w:szCs w:val="18"/>
                <w:lang w:eastAsia="sk-SK"/>
              </w:rPr>
            </w:pPr>
            <w:r w:rsidRPr="00181464">
              <w:rPr>
                <w:rFonts w:cs="Times New Roman"/>
                <w:b/>
                <w:bCs/>
                <w:color w:val="000000"/>
                <w:sz w:val="18"/>
                <w:szCs w:val="18"/>
              </w:rPr>
              <w:t>3</w:t>
            </w:r>
            <w:r w:rsidR="00B05BA8">
              <w:rPr>
                <w:rFonts w:cs="Times New Roman"/>
                <w:b/>
                <w:bCs/>
                <w:color w:val="000000"/>
                <w:sz w:val="18"/>
                <w:szCs w:val="18"/>
              </w:rPr>
              <w:t>7 609 401</w:t>
            </w:r>
          </w:p>
        </w:tc>
        <w:tc>
          <w:tcPr>
            <w:tcW w:w="1172" w:type="pct"/>
            <w:tcBorders>
              <w:top w:val="single" w:sz="4" w:space="0" w:color="auto"/>
              <w:left w:val="nil"/>
              <w:bottom w:val="single" w:sz="8" w:space="0" w:color="auto"/>
              <w:right w:val="nil"/>
            </w:tcBorders>
            <w:shd w:val="clear" w:color="000000" w:fill="FFFFFF"/>
            <w:noWrap/>
            <w:vAlign w:val="center"/>
            <w:hideMark/>
          </w:tcPr>
          <w:p w14:paraId="1CE9E4D3" w14:textId="733CB3F2" w:rsidR="005042CC" w:rsidRPr="00181464" w:rsidRDefault="005042CC" w:rsidP="00B05BA8">
            <w:pPr>
              <w:spacing w:after="0" w:line="240" w:lineRule="auto"/>
              <w:jc w:val="center"/>
              <w:rPr>
                <w:rFonts w:eastAsia="Times New Roman" w:cs="Times New Roman"/>
                <w:b/>
                <w:bCs/>
                <w:color w:val="000000"/>
                <w:sz w:val="18"/>
                <w:szCs w:val="18"/>
                <w:lang w:eastAsia="sk-SK"/>
              </w:rPr>
            </w:pPr>
            <w:r w:rsidRPr="00181464">
              <w:rPr>
                <w:rFonts w:cs="Times New Roman"/>
                <w:b/>
                <w:bCs/>
                <w:color w:val="000000"/>
                <w:sz w:val="18"/>
                <w:szCs w:val="18"/>
              </w:rPr>
              <w:t>1</w:t>
            </w:r>
            <w:r w:rsidR="00B05BA8">
              <w:rPr>
                <w:rFonts w:cs="Times New Roman"/>
                <w:b/>
                <w:bCs/>
                <w:color w:val="000000"/>
                <w:sz w:val="18"/>
                <w:szCs w:val="18"/>
              </w:rPr>
              <w:t>5 227 338</w:t>
            </w:r>
          </w:p>
        </w:tc>
        <w:tc>
          <w:tcPr>
            <w:tcW w:w="1484" w:type="pct"/>
            <w:tcBorders>
              <w:top w:val="single" w:sz="4" w:space="0" w:color="auto"/>
              <w:left w:val="nil"/>
              <w:bottom w:val="single" w:sz="8" w:space="0" w:color="auto"/>
              <w:right w:val="nil"/>
            </w:tcBorders>
            <w:shd w:val="clear" w:color="000000" w:fill="FFFFFF"/>
            <w:noWrap/>
            <w:vAlign w:val="center"/>
            <w:hideMark/>
          </w:tcPr>
          <w:p w14:paraId="53FC3D21" w14:textId="3761C5C2" w:rsidR="005042CC" w:rsidRPr="00181464" w:rsidRDefault="00B05BA8" w:rsidP="00B05BA8">
            <w:pPr>
              <w:spacing w:after="0" w:line="240" w:lineRule="auto"/>
              <w:jc w:val="center"/>
              <w:rPr>
                <w:rFonts w:eastAsia="Times New Roman" w:cs="Times New Roman"/>
                <w:b/>
                <w:bCs/>
                <w:color w:val="000000"/>
                <w:sz w:val="18"/>
                <w:szCs w:val="18"/>
                <w:lang w:eastAsia="sk-SK"/>
              </w:rPr>
            </w:pPr>
            <w:r>
              <w:rPr>
                <w:rFonts w:cs="Times New Roman"/>
                <w:b/>
                <w:bCs/>
                <w:color w:val="000000"/>
                <w:sz w:val="18"/>
                <w:szCs w:val="18"/>
              </w:rPr>
              <w:t>22 382 063</w:t>
            </w:r>
          </w:p>
        </w:tc>
      </w:tr>
    </w:tbl>
    <w:p w14:paraId="0B72630D" w14:textId="0FB90FFC" w:rsidR="00DB5CB6" w:rsidRPr="00181464" w:rsidRDefault="005042CC" w:rsidP="005042CC">
      <w:pPr>
        <w:pStyle w:val="Zkladntext1"/>
        <w:tabs>
          <w:tab w:val="left" w:pos="-5103"/>
          <w:tab w:val="left" w:pos="-4962"/>
          <w:tab w:val="left" w:pos="-4820"/>
        </w:tabs>
        <w:spacing w:after="120"/>
        <w:jc w:val="right"/>
        <w:rPr>
          <w:rFonts w:ascii="Times New Roman" w:hAnsi="Times New Roman"/>
          <w:sz w:val="18"/>
          <w:szCs w:val="18"/>
        </w:rPr>
      </w:pPr>
      <w:proofErr w:type="spellStart"/>
      <w:r w:rsidRPr="00181464">
        <w:rPr>
          <w:rFonts w:ascii="Times New Roman" w:hAnsi="Times New Roman"/>
          <w:sz w:val="18"/>
          <w:szCs w:val="18"/>
        </w:rPr>
        <w:t>Zdroj</w:t>
      </w:r>
      <w:proofErr w:type="spellEnd"/>
      <w:r w:rsidRPr="00181464">
        <w:rPr>
          <w:rFonts w:ascii="Times New Roman" w:hAnsi="Times New Roman"/>
          <w:sz w:val="18"/>
          <w:szCs w:val="18"/>
        </w:rPr>
        <w:t>: MF SR</w:t>
      </w:r>
    </w:p>
    <w:p w14:paraId="49A6F436" w14:textId="7B01E2D9" w:rsidR="005042CC" w:rsidRPr="005042CC" w:rsidRDefault="005042CC" w:rsidP="005042CC">
      <w:pPr>
        <w:pStyle w:val="Zkladntext1"/>
        <w:tabs>
          <w:tab w:val="left" w:pos="-5103"/>
          <w:tab w:val="left" w:pos="-4962"/>
          <w:tab w:val="left" w:pos="-4820"/>
        </w:tabs>
        <w:spacing w:after="120"/>
        <w:jc w:val="both"/>
        <w:rPr>
          <w:rFonts w:ascii="Times New Roman" w:hAnsi="Times New Roman"/>
          <w:szCs w:val="24"/>
          <w:lang w:val="sk-SK"/>
        </w:rPr>
      </w:pPr>
      <w:r w:rsidRPr="005042CC">
        <w:rPr>
          <w:rFonts w:ascii="Times New Roman" w:hAnsi="Times New Roman"/>
          <w:szCs w:val="24"/>
          <w:lang w:val="sk-SK"/>
        </w:rPr>
        <w:lastRenderedPageBreak/>
        <w:t>Za obdobie od</w:t>
      </w:r>
      <w:r w:rsidRPr="005042CC">
        <w:rPr>
          <w:rFonts w:ascii="Times New Roman" w:hAnsi="Times New Roman"/>
          <w:b/>
          <w:szCs w:val="24"/>
          <w:lang w:val="sk-SK"/>
        </w:rPr>
        <w:t xml:space="preserve"> </w:t>
      </w:r>
      <w:r w:rsidRPr="005042CC">
        <w:rPr>
          <w:rFonts w:ascii="Times New Roman" w:hAnsi="Times New Roman"/>
          <w:szCs w:val="24"/>
          <w:lang w:val="sk-SK"/>
        </w:rPr>
        <w:t>vstupu Slovenskej republiky do EÚ</w:t>
      </w:r>
      <w:r w:rsidRPr="005042CC">
        <w:rPr>
          <w:rFonts w:ascii="Times New Roman" w:hAnsi="Times New Roman"/>
          <w:b/>
          <w:szCs w:val="24"/>
          <w:lang w:val="sk-SK"/>
        </w:rPr>
        <w:t xml:space="preserve"> </w:t>
      </w:r>
      <w:r w:rsidRPr="005042CC">
        <w:rPr>
          <w:rFonts w:ascii="Times New Roman" w:hAnsi="Times New Roman"/>
          <w:szCs w:val="24"/>
          <w:lang w:val="sk-SK"/>
        </w:rPr>
        <w:t>boli celkovo</w:t>
      </w:r>
      <w:r w:rsidRPr="005042CC">
        <w:rPr>
          <w:rFonts w:ascii="Times New Roman" w:hAnsi="Times New Roman"/>
          <w:b/>
          <w:szCs w:val="24"/>
          <w:lang w:val="sk-SK"/>
        </w:rPr>
        <w:t xml:space="preserve"> </w:t>
      </w:r>
      <w:r w:rsidRPr="005042CC">
        <w:rPr>
          <w:rFonts w:ascii="Times New Roman" w:hAnsi="Times New Roman"/>
          <w:szCs w:val="24"/>
          <w:lang w:val="sk-SK"/>
        </w:rPr>
        <w:t xml:space="preserve">do rozpočtu Slovenskej republiky prijaté príjmy z EÚ vo výške </w:t>
      </w:r>
      <w:r w:rsidRPr="005042CC">
        <w:rPr>
          <w:rFonts w:ascii="Times New Roman" w:hAnsi="Times New Roman"/>
          <w:b/>
          <w:bCs/>
          <w:szCs w:val="24"/>
          <w:lang w:val="sk-SK"/>
        </w:rPr>
        <w:t>37</w:t>
      </w:r>
      <w:r>
        <w:rPr>
          <w:rFonts w:ascii="Times New Roman" w:hAnsi="Times New Roman"/>
          <w:b/>
          <w:bCs/>
          <w:szCs w:val="24"/>
          <w:lang w:val="sk-SK"/>
        </w:rPr>
        <w:t> </w:t>
      </w:r>
      <w:r w:rsidRPr="005042CC">
        <w:rPr>
          <w:rFonts w:ascii="Times New Roman" w:hAnsi="Times New Roman"/>
          <w:b/>
          <w:bCs/>
          <w:szCs w:val="24"/>
          <w:lang w:val="sk-SK"/>
        </w:rPr>
        <w:t>609</w:t>
      </w:r>
      <w:r>
        <w:rPr>
          <w:rFonts w:ascii="Times New Roman" w:hAnsi="Times New Roman"/>
          <w:b/>
          <w:bCs/>
          <w:szCs w:val="24"/>
          <w:lang w:val="sk-SK"/>
        </w:rPr>
        <w:t> </w:t>
      </w:r>
      <w:r w:rsidRPr="0053755D">
        <w:rPr>
          <w:rFonts w:ascii="Times New Roman" w:hAnsi="Times New Roman"/>
          <w:b/>
          <w:bCs/>
          <w:szCs w:val="24"/>
          <w:lang w:val="sk-SK"/>
        </w:rPr>
        <w:t>401 </w:t>
      </w:r>
      <w:r w:rsidRPr="0053755D">
        <w:rPr>
          <w:rFonts w:ascii="Times New Roman" w:hAnsi="Times New Roman"/>
          <w:b/>
          <w:szCs w:val="24"/>
          <w:lang w:val="sk-SK"/>
        </w:rPr>
        <w:t>tis. eur</w:t>
      </w:r>
      <w:r w:rsidRPr="005042CC">
        <w:rPr>
          <w:rFonts w:ascii="Times New Roman" w:hAnsi="Times New Roman"/>
          <w:szCs w:val="24"/>
          <w:lang w:val="sk-SK"/>
        </w:rPr>
        <w:t xml:space="preserve"> a Slovenská republika odviedla do všeobecného rozpočtu EÚ sumu vo výške </w:t>
      </w:r>
      <w:r w:rsidRPr="005042CC">
        <w:rPr>
          <w:rFonts w:ascii="Times New Roman" w:hAnsi="Times New Roman"/>
          <w:b/>
          <w:bCs/>
          <w:szCs w:val="24"/>
          <w:lang w:val="sk-SK"/>
        </w:rPr>
        <w:t>15 227</w:t>
      </w:r>
      <w:r>
        <w:rPr>
          <w:rFonts w:ascii="Times New Roman" w:hAnsi="Times New Roman"/>
          <w:b/>
          <w:bCs/>
          <w:szCs w:val="24"/>
          <w:lang w:val="sk-SK"/>
        </w:rPr>
        <w:t> </w:t>
      </w:r>
      <w:r w:rsidRPr="0053755D">
        <w:rPr>
          <w:rFonts w:ascii="Times New Roman" w:hAnsi="Times New Roman"/>
          <w:b/>
          <w:bCs/>
          <w:szCs w:val="24"/>
          <w:lang w:val="sk-SK"/>
        </w:rPr>
        <w:t>338 </w:t>
      </w:r>
      <w:r w:rsidRPr="0053755D">
        <w:rPr>
          <w:rFonts w:ascii="Times New Roman" w:hAnsi="Times New Roman"/>
          <w:b/>
          <w:szCs w:val="24"/>
          <w:lang w:val="sk-SK"/>
        </w:rPr>
        <w:t>tis. eur</w:t>
      </w:r>
      <w:r w:rsidRPr="005042CC">
        <w:rPr>
          <w:rFonts w:ascii="Times New Roman" w:hAnsi="Times New Roman"/>
          <w:szCs w:val="24"/>
          <w:lang w:val="sk-SK"/>
        </w:rPr>
        <w:t xml:space="preserve">, na základe čoho </w:t>
      </w:r>
      <w:r w:rsidRPr="005042CC">
        <w:rPr>
          <w:rFonts w:ascii="Times New Roman" w:hAnsi="Times New Roman"/>
          <w:b/>
          <w:szCs w:val="24"/>
          <w:lang w:val="sk-SK"/>
        </w:rPr>
        <w:t>čistá finančná pozícia voči EÚ dosiahla 22</w:t>
      </w:r>
      <w:r>
        <w:rPr>
          <w:rFonts w:ascii="Times New Roman" w:hAnsi="Times New Roman"/>
          <w:b/>
          <w:szCs w:val="24"/>
          <w:lang w:val="sk-SK"/>
        </w:rPr>
        <w:t> </w:t>
      </w:r>
      <w:r w:rsidRPr="005042CC">
        <w:rPr>
          <w:rFonts w:ascii="Times New Roman" w:hAnsi="Times New Roman"/>
          <w:b/>
          <w:szCs w:val="24"/>
          <w:lang w:val="sk-SK"/>
        </w:rPr>
        <w:t>382</w:t>
      </w:r>
      <w:r>
        <w:rPr>
          <w:rFonts w:ascii="Times New Roman" w:hAnsi="Times New Roman"/>
          <w:b/>
          <w:szCs w:val="24"/>
          <w:lang w:val="sk-SK"/>
        </w:rPr>
        <w:t> </w:t>
      </w:r>
      <w:r w:rsidRPr="005042CC">
        <w:rPr>
          <w:rFonts w:ascii="Times New Roman" w:hAnsi="Times New Roman"/>
          <w:b/>
          <w:szCs w:val="24"/>
          <w:lang w:val="sk-SK"/>
        </w:rPr>
        <w:t>063</w:t>
      </w:r>
      <w:r>
        <w:rPr>
          <w:rFonts w:ascii="Times New Roman" w:hAnsi="Times New Roman"/>
          <w:b/>
          <w:szCs w:val="24"/>
          <w:lang w:val="sk-SK"/>
        </w:rPr>
        <w:t> tis. </w:t>
      </w:r>
      <w:r w:rsidRPr="005042CC">
        <w:rPr>
          <w:rFonts w:ascii="Times New Roman" w:hAnsi="Times New Roman"/>
          <w:b/>
          <w:szCs w:val="24"/>
          <w:lang w:val="sk-SK"/>
        </w:rPr>
        <w:t>eur</w:t>
      </w:r>
      <w:r w:rsidRPr="005042CC">
        <w:rPr>
          <w:rFonts w:ascii="Times New Roman" w:hAnsi="Times New Roman"/>
          <w:szCs w:val="24"/>
          <w:lang w:val="sk-SK"/>
        </w:rPr>
        <w:t>.</w:t>
      </w:r>
      <w:r w:rsidRPr="005042CC">
        <w:rPr>
          <w:rFonts w:ascii="Times New Roman" w:hAnsi="Times New Roman"/>
          <w:b/>
          <w:szCs w:val="24"/>
          <w:lang w:val="sk-SK"/>
        </w:rPr>
        <w:t xml:space="preserve"> </w:t>
      </w:r>
      <w:r w:rsidRPr="005042CC">
        <w:rPr>
          <w:rFonts w:ascii="Times New Roman" w:hAnsi="Times New Roman"/>
          <w:szCs w:val="24"/>
          <w:lang w:val="sk-SK"/>
        </w:rPr>
        <w:t>Od roku 2004 Slovenská republika prijala z rozpočtu EÚ 2,5 násobok prostriedkov, ktoré do rozpočtu odviedla.</w:t>
      </w:r>
    </w:p>
    <w:p w14:paraId="6A838574" w14:textId="08A2D970" w:rsidR="008254BE" w:rsidRDefault="008254BE" w:rsidP="00DB5CB6">
      <w:pPr>
        <w:pStyle w:val="Nadpis3"/>
      </w:pPr>
      <w:bookmarkStart w:id="65" w:name="_Toc6415653"/>
      <w:bookmarkStart w:id="66" w:name="_Toc164846953"/>
      <w:r w:rsidRPr="00B25023">
        <w:t>Príjmy z rozpočtu Európskej únie</w:t>
      </w:r>
      <w:bookmarkEnd w:id="65"/>
      <w:bookmarkEnd w:id="66"/>
    </w:p>
    <w:p w14:paraId="1B8F7BAD" w14:textId="209BD71F" w:rsidR="0053755D" w:rsidRPr="0053755D" w:rsidRDefault="0053755D" w:rsidP="0053755D">
      <w:pPr>
        <w:spacing w:line="240" w:lineRule="auto"/>
        <w:rPr>
          <w:sz w:val="24"/>
          <w:szCs w:val="24"/>
        </w:rPr>
      </w:pPr>
      <w:r w:rsidRPr="0053755D">
        <w:rPr>
          <w:sz w:val="24"/>
          <w:szCs w:val="24"/>
        </w:rPr>
        <w:t>Príjmy z rozpočtu EÚ sa rozpočtujú pod ekonomickou klasifikáciou zahraničné transfery – 341 Prostriedky z rozpočtu Európskej únie pre programy, ktoré sa v Slovenskej republike poskytujú prostredníctvom certifikačného orgánu (</w:t>
      </w:r>
      <w:r w:rsidRPr="005371DF">
        <w:rPr>
          <w:sz w:val="24"/>
          <w:szCs w:val="24"/>
        </w:rPr>
        <w:t>Ministerstva financií SR, Ministerstva práce, sociálnych vecí a rodiny SR a Pôdohospodárskej platobnej agentúry) a platobného orgánu</w:t>
      </w:r>
      <w:r>
        <w:rPr>
          <w:sz w:val="24"/>
          <w:szCs w:val="24"/>
        </w:rPr>
        <w:t xml:space="preserve"> (</w:t>
      </w:r>
      <w:r w:rsidRPr="005371DF">
        <w:rPr>
          <w:sz w:val="24"/>
          <w:szCs w:val="24"/>
        </w:rPr>
        <w:t>Ministerstva financií SR</w:t>
      </w:r>
      <w:r>
        <w:rPr>
          <w:sz w:val="24"/>
          <w:szCs w:val="24"/>
        </w:rPr>
        <w:t xml:space="preserve">, </w:t>
      </w:r>
      <w:r w:rsidRPr="005371DF">
        <w:rPr>
          <w:sz w:val="24"/>
          <w:szCs w:val="24"/>
        </w:rPr>
        <w:t>Ministerstva pôdohospodárstva a rozvoja vidieka S</w:t>
      </w:r>
      <w:r>
        <w:rPr>
          <w:sz w:val="24"/>
          <w:szCs w:val="24"/>
        </w:rPr>
        <w:t>R a Ministerstva vnútra SR)</w:t>
      </w:r>
      <w:r w:rsidRPr="005371DF">
        <w:rPr>
          <w:sz w:val="24"/>
          <w:szCs w:val="24"/>
        </w:rPr>
        <w:t>.</w:t>
      </w:r>
    </w:p>
    <w:p w14:paraId="6A884B5A" w14:textId="6E734403" w:rsidR="0053755D" w:rsidRPr="0053755D" w:rsidRDefault="0053755D" w:rsidP="0053755D">
      <w:pPr>
        <w:spacing w:line="240" w:lineRule="auto"/>
        <w:rPr>
          <w:sz w:val="24"/>
          <w:szCs w:val="24"/>
        </w:rPr>
      </w:pPr>
      <w:r w:rsidRPr="0053755D">
        <w:rPr>
          <w:b/>
          <w:sz w:val="24"/>
          <w:szCs w:val="24"/>
        </w:rPr>
        <w:t>Príjmy zo zahraničných transferov</w:t>
      </w:r>
      <w:r w:rsidRPr="0053755D">
        <w:rPr>
          <w:sz w:val="24"/>
          <w:szCs w:val="24"/>
        </w:rPr>
        <w:t xml:space="preserve"> sa rozpočtujú v rámci jednotlivých kapitol na úrovni platobných jednotiek, Pôdohospodárskej platobnej agentúry, </w:t>
      </w:r>
      <w:r w:rsidRPr="001006BF">
        <w:rPr>
          <w:rFonts w:eastAsia="Calibri" w:cs="Times New Roman"/>
          <w:sz w:val="24"/>
          <w:szCs w:val="24"/>
        </w:rPr>
        <w:t>Ministerstva práce</w:t>
      </w:r>
      <w:r w:rsidR="00C07E13">
        <w:rPr>
          <w:rFonts w:eastAsia="Calibri" w:cs="Times New Roman"/>
          <w:sz w:val="24"/>
          <w:szCs w:val="24"/>
        </w:rPr>
        <w:t>,</w:t>
      </w:r>
      <w:r w:rsidRPr="001006BF">
        <w:rPr>
          <w:rFonts w:eastAsia="Calibri" w:cs="Times New Roman"/>
          <w:sz w:val="24"/>
          <w:szCs w:val="24"/>
        </w:rPr>
        <w:t xml:space="preserve"> sociálnych vecí a rodiny</w:t>
      </w:r>
      <w:r w:rsidRPr="0053755D">
        <w:rPr>
          <w:sz w:val="24"/>
          <w:szCs w:val="24"/>
        </w:rPr>
        <w:t xml:space="preserve"> SR pre programy </w:t>
      </w:r>
      <w:r>
        <w:rPr>
          <w:sz w:val="24"/>
          <w:szCs w:val="24"/>
        </w:rPr>
        <w:t>3. </w:t>
      </w:r>
      <w:r w:rsidRPr="0053755D">
        <w:rPr>
          <w:sz w:val="24"/>
          <w:szCs w:val="24"/>
        </w:rPr>
        <w:t>programového obdobia 2014-2020</w:t>
      </w:r>
      <w:r>
        <w:rPr>
          <w:sz w:val="24"/>
          <w:szCs w:val="24"/>
        </w:rPr>
        <w:t xml:space="preserve"> a </w:t>
      </w:r>
      <w:r w:rsidRPr="0053755D">
        <w:rPr>
          <w:sz w:val="24"/>
          <w:szCs w:val="24"/>
        </w:rPr>
        <w:t xml:space="preserve">na úrovni riadiacich orgánov, resp. sprostredkovateľských orgánov s platobnou funkciou pre programy 4. programového obdobia 2021-2027. Príjmy za prostriedky EÚ na dočasné </w:t>
      </w:r>
      <w:proofErr w:type="spellStart"/>
      <w:r w:rsidRPr="0053755D">
        <w:rPr>
          <w:sz w:val="24"/>
          <w:szCs w:val="24"/>
        </w:rPr>
        <w:t>nadčerpanie</w:t>
      </w:r>
      <w:proofErr w:type="spellEnd"/>
      <w:r w:rsidRPr="0053755D">
        <w:rPr>
          <w:sz w:val="24"/>
          <w:szCs w:val="24"/>
        </w:rPr>
        <w:t xml:space="preserve"> za 3. programové obdobie boli v roku 2023 zabezpečené v kapitole VPS.</w:t>
      </w:r>
    </w:p>
    <w:p w14:paraId="6E1ADFE6" w14:textId="7D519797" w:rsidR="0053755D" w:rsidRPr="0053755D" w:rsidRDefault="0053755D" w:rsidP="0053755D">
      <w:pPr>
        <w:spacing w:line="240" w:lineRule="auto"/>
        <w:rPr>
          <w:sz w:val="24"/>
          <w:szCs w:val="24"/>
        </w:rPr>
      </w:pPr>
      <w:r w:rsidRPr="0053755D">
        <w:rPr>
          <w:b/>
          <w:sz w:val="24"/>
          <w:szCs w:val="24"/>
        </w:rPr>
        <w:t xml:space="preserve">Prostriedky za štrukturálne operácie </w:t>
      </w:r>
      <w:r w:rsidRPr="0053755D">
        <w:rPr>
          <w:sz w:val="24"/>
          <w:szCs w:val="24"/>
        </w:rPr>
        <w:t>boli v roku 2023 rozpočtované</w:t>
      </w:r>
      <w:r>
        <w:rPr>
          <w:sz w:val="24"/>
          <w:szCs w:val="24"/>
        </w:rPr>
        <w:t xml:space="preserve"> </w:t>
      </w:r>
      <w:r w:rsidRPr="0053755D">
        <w:rPr>
          <w:sz w:val="24"/>
          <w:szCs w:val="24"/>
        </w:rPr>
        <w:t>v rámci 3. programového obdobia 2014-2020 za prostriedky štrukturálnych fondov (Európsky fond regionálneho rozvoja, Európsky sociálny fond a Iniciatíva na podporu zamestnanosti mladých ľudí) vrátane programov európskej územnej spolupráce pre ktoré je MF SR certifikačným orgánom (</w:t>
      </w:r>
      <w:proofErr w:type="spellStart"/>
      <w:r w:rsidRPr="0053755D">
        <w:rPr>
          <w:sz w:val="24"/>
          <w:szCs w:val="24"/>
        </w:rPr>
        <w:t>Interreg</w:t>
      </w:r>
      <w:proofErr w:type="spellEnd"/>
      <w:r w:rsidRPr="0053755D">
        <w:rPr>
          <w:sz w:val="24"/>
          <w:szCs w:val="24"/>
        </w:rPr>
        <w:t xml:space="preserve"> V-A SK-AT 2014-2020, </w:t>
      </w:r>
      <w:proofErr w:type="spellStart"/>
      <w:r w:rsidRPr="0053755D">
        <w:rPr>
          <w:sz w:val="24"/>
          <w:szCs w:val="24"/>
        </w:rPr>
        <w:t>Interreg</w:t>
      </w:r>
      <w:proofErr w:type="spellEnd"/>
      <w:r w:rsidRPr="0053755D">
        <w:rPr>
          <w:sz w:val="24"/>
          <w:szCs w:val="24"/>
        </w:rPr>
        <w:t xml:space="preserve"> V-A SK-CZ 2014-2020), Kohézneho fondu, Európskeho námorného a rybárskeho fondu, poľnohospodárskych fondov, za program Sociálneho začlenenia najodkázanejších osôb. </w:t>
      </w:r>
      <w:r>
        <w:rPr>
          <w:sz w:val="24"/>
          <w:szCs w:val="24"/>
        </w:rPr>
        <w:t>V</w:t>
      </w:r>
      <w:r w:rsidRPr="0053755D">
        <w:rPr>
          <w:sz w:val="24"/>
          <w:szCs w:val="24"/>
        </w:rPr>
        <w:t xml:space="preserve"> rámci 4. programového obdobia 2021-2027 za Program Slovensko, za Program Rybné hospodárstvo, za Fondy pre oblasť vnútorných záležitostí (Fond pre azyl, migráciu a integráciu, Fond pre integrované riadenie hraníc, Fond pre vnútornú bezpečnosť) a poľnohospodárske fondy. </w:t>
      </w:r>
      <w:r>
        <w:rPr>
          <w:sz w:val="24"/>
          <w:szCs w:val="24"/>
        </w:rPr>
        <w:t>V</w:t>
      </w:r>
      <w:r w:rsidRPr="0053755D">
        <w:rPr>
          <w:sz w:val="24"/>
          <w:szCs w:val="24"/>
        </w:rPr>
        <w:t xml:space="preserve"> rámci dočasného </w:t>
      </w:r>
      <w:proofErr w:type="spellStart"/>
      <w:r w:rsidRPr="0053755D">
        <w:rPr>
          <w:sz w:val="24"/>
          <w:szCs w:val="24"/>
        </w:rPr>
        <w:t>nadčerpania</w:t>
      </w:r>
      <w:proofErr w:type="spellEnd"/>
      <w:r w:rsidRPr="0053755D">
        <w:rPr>
          <w:sz w:val="24"/>
          <w:szCs w:val="24"/>
        </w:rPr>
        <w:t xml:space="preserve"> 3. programového obdobia boli v roku 2023 rozpočtované za prostriedky štrukturálnych fondov.</w:t>
      </w:r>
    </w:p>
    <w:p w14:paraId="180C7EF5" w14:textId="4C947A82" w:rsidR="0053755D" w:rsidRPr="0053755D" w:rsidRDefault="0053755D" w:rsidP="0053755D">
      <w:pPr>
        <w:spacing w:line="240" w:lineRule="auto"/>
        <w:rPr>
          <w:sz w:val="24"/>
          <w:szCs w:val="24"/>
        </w:rPr>
      </w:pPr>
      <w:r w:rsidRPr="0053755D">
        <w:rPr>
          <w:b/>
          <w:sz w:val="24"/>
          <w:szCs w:val="24"/>
        </w:rPr>
        <w:t>Prostriedky za poľnohospodárske fondy</w:t>
      </w:r>
      <w:r w:rsidRPr="0053755D">
        <w:rPr>
          <w:sz w:val="24"/>
          <w:szCs w:val="24"/>
        </w:rPr>
        <w:t xml:space="preserve"> boli v roku 2023 rozpočtované za Európsky poľnohospodársky záručný fond (Priame platby a Trhovo orientované výdavky) a</w:t>
      </w:r>
      <w:r>
        <w:rPr>
          <w:sz w:val="24"/>
          <w:szCs w:val="24"/>
        </w:rPr>
        <w:t xml:space="preserve"> </w:t>
      </w:r>
      <w:r w:rsidRPr="0053755D">
        <w:rPr>
          <w:sz w:val="24"/>
          <w:szCs w:val="24"/>
        </w:rPr>
        <w:t xml:space="preserve">za Európsky poľnohospodársky fond pre rozvoj vidieka (Program rozvoja vidieka). </w:t>
      </w:r>
    </w:p>
    <w:p w14:paraId="326F2EFB" w14:textId="508DE864" w:rsidR="0053755D" w:rsidRPr="0053755D" w:rsidRDefault="0053755D" w:rsidP="0053755D">
      <w:pPr>
        <w:spacing w:line="240" w:lineRule="auto"/>
        <w:rPr>
          <w:sz w:val="24"/>
          <w:szCs w:val="24"/>
        </w:rPr>
      </w:pPr>
      <w:r w:rsidRPr="0053755D">
        <w:rPr>
          <w:sz w:val="24"/>
          <w:szCs w:val="24"/>
        </w:rPr>
        <w:t xml:space="preserve">Schválený rozpočet príjmov zo zahraničných transferov za prostriedky EÚ na rok 2023 bol vo výške </w:t>
      </w:r>
      <w:r>
        <w:rPr>
          <w:sz w:val="24"/>
          <w:szCs w:val="24"/>
        </w:rPr>
        <w:t>5 717 554</w:t>
      </w:r>
      <w:r w:rsidRPr="0053755D">
        <w:rPr>
          <w:sz w:val="24"/>
          <w:szCs w:val="24"/>
        </w:rPr>
        <w:t> tis. eur.</w:t>
      </w:r>
    </w:p>
    <w:p w14:paraId="6E6A32F0" w14:textId="40527358" w:rsidR="0053755D" w:rsidRPr="0053755D" w:rsidRDefault="0053755D" w:rsidP="0053755D">
      <w:pPr>
        <w:spacing w:line="240" w:lineRule="auto"/>
        <w:rPr>
          <w:sz w:val="24"/>
          <w:szCs w:val="24"/>
        </w:rPr>
      </w:pPr>
      <w:r w:rsidRPr="0053755D">
        <w:rPr>
          <w:sz w:val="24"/>
          <w:szCs w:val="24"/>
        </w:rPr>
        <w:t xml:space="preserve">Rozpočet príjmov za prostriedky EÚ bol v roku 2023 upravený na úroveň 4 141 996 tis. eur. K úpravám došlo v nadväznosti na vysporiadanie finančných prostriedkov za finančné opravy v zmysle § 15 zákona č. 523/2004 Z. z. o rozpočtových pravidlách verejnej správy, v nadväznosti na prijaté oznámenia o výške prostriedkov, ktoré budú použité v nasledujúcich rokoch v zmysle § 8 zákona č. 523/2004 Z. z. o rozpočtových pravidlách verejnej správy a v nadväznosti na ostatné viazania prostriedkov v zmysle § 18 zákona č. 523/2004 Z. z. o rozpočtových pravidlách verejnej správy. </w:t>
      </w:r>
    </w:p>
    <w:p w14:paraId="7B3126A2" w14:textId="5C21A41A" w:rsidR="0053755D" w:rsidRPr="0053755D" w:rsidRDefault="0053755D" w:rsidP="0053755D">
      <w:pPr>
        <w:spacing w:line="240" w:lineRule="auto"/>
        <w:rPr>
          <w:sz w:val="24"/>
          <w:szCs w:val="24"/>
        </w:rPr>
      </w:pPr>
      <w:r w:rsidRPr="0053755D">
        <w:rPr>
          <w:sz w:val="24"/>
          <w:szCs w:val="24"/>
        </w:rPr>
        <w:t>Skutočné plnenie príjmov za prostriedky EÚ vo výške 4 141 996 tis. eur predstavuje plnenie na úrovni 100 % z upraveného rozpočtu. Príjmy za štrukturálne operácie, pri ktorých plní úlohu certifikačného orgánu, resp. platobného orgánu MF SR sú vo výške 3</w:t>
      </w:r>
      <w:r>
        <w:rPr>
          <w:sz w:val="24"/>
          <w:szCs w:val="24"/>
        </w:rPr>
        <w:t> </w:t>
      </w:r>
      <w:r w:rsidRPr="0053755D">
        <w:rPr>
          <w:sz w:val="24"/>
          <w:szCs w:val="24"/>
        </w:rPr>
        <w:t>640</w:t>
      </w:r>
      <w:r>
        <w:rPr>
          <w:sz w:val="24"/>
          <w:szCs w:val="24"/>
        </w:rPr>
        <w:t> </w:t>
      </w:r>
      <w:r w:rsidRPr="0053755D">
        <w:rPr>
          <w:sz w:val="24"/>
          <w:szCs w:val="24"/>
        </w:rPr>
        <w:t>398 tis.</w:t>
      </w:r>
      <w:r>
        <w:rPr>
          <w:sz w:val="24"/>
          <w:szCs w:val="24"/>
        </w:rPr>
        <w:t> </w:t>
      </w:r>
      <w:r w:rsidRPr="0053755D">
        <w:rPr>
          <w:sz w:val="24"/>
          <w:szCs w:val="24"/>
        </w:rPr>
        <w:t>eur (z toho štrukturálne fondy 3. programového obdobia v sume 3</w:t>
      </w:r>
      <w:r>
        <w:rPr>
          <w:sz w:val="24"/>
          <w:szCs w:val="24"/>
        </w:rPr>
        <w:t> 152 </w:t>
      </w:r>
      <w:r w:rsidRPr="0053755D">
        <w:rPr>
          <w:sz w:val="24"/>
          <w:szCs w:val="24"/>
        </w:rPr>
        <w:t>736</w:t>
      </w:r>
      <w:r>
        <w:rPr>
          <w:sz w:val="24"/>
          <w:szCs w:val="24"/>
        </w:rPr>
        <w:t> tis. </w:t>
      </w:r>
      <w:r w:rsidRPr="0053755D">
        <w:rPr>
          <w:sz w:val="24"/>
          <w:szCs w:val="24"/>
        </w:rPr>
        <w:t>eur a Kohézny fond</w:t>
      </w:r>
      <w:r>
        <w:rPr>
          <w:sz w:val="24"/>
          <w:szCs w:val="24"/>
        </w:rPr>
        <w:t xml:space="preserve"> 3. programového obdobia v sume</w:t>
      </w:r>
      <w:r w:rsidRPr="0053755D">
        <w:rPr>
          <w:sz w:val="24"/>
          <w:szCs w:val="24"/>
        </w:rPr>
        <w:t xml:space="preserve"> 476</w:t>
      </w:r>
      <w:r>
        <w:rPr>
          <w:sz w:val="24"/>
          <w:szCs w:val="24"/>
        </w:rPr>
        <w:t> </w:t>
      </w:r>
      <w:r w:rsidRPr="0053755D">
        <w:rPr>
          <w:sz w:val="24"/>
          <w:szCs w:val="24"/>
        </w:rPr>
        <w:t>297</w:t>
      </w:r>
      <w:r>
        <w:rPr>
          <w:sz w:val="24"/>
          <w:szCs w:val="24"/>
        </w:rPr>
        <w:t> tis. </w:t>
      </w:r>
      <w:r w:rsidRPr="0053755D">
        <w:rPr>
          <w:sz w:val="24"/>
          <w:szCs w:val="24"/>
        </w:rPr>
        <w:t>eur, štrukturálne fondy 2. programového obdobia v sume 11</w:t>
      </w:r>
      <w:r>
        <w:rPr>
          <w:sz w:val="24"/>
          <w:szCs w:val="24"/>
        </w:rPr>
        <w:t> </w:t>
      </w:r>
      <w:r w:rsidRPr="0053755D">
        <w:rPr>
          <w:sz w:val="24"/>
          <w:szCs w:val="24"/>
        </w:rPr>
        <w:t>365</w:t>
      </w:r>
      <w:r>
        <w:rPr>
          <w:sz w:val="24"/>
          <w:szCs w:val="24"/>
        </w:rPr>
        <w:t> </w:t>
      </w:r>
      <w:r w:rsidRPr="0053755D">
        <w:rPr>
          <w:sz w:val="24"/>
          <w:szCs w:val="24"/>
        </w:rPr>
        <w:t>tis.</w:t>
      </w:r>
      <w:r>
        <w:rPr>
          <w:sz w:val="24"/>
          <w:szCs w:val="24"/>
        </w:rPr>
        <w:t> </w:t>
      </w:r>
      <w:r w:rsidRPr="0053755D">
        <w:rPr>
          <w:sz w:val="24"/>
          <w:szCs w:val="24"/>
        </w:rPr>
        <w:t>eur a štrukturálne operácie 4. pro</w:t>
      </w:r>
      <w:r>
        <w:rPr>
          <w:sz w:val="24"/>
          <w:szCs w:val="24"/>
        </w:rPr>
        <w:t>gramového obdobia v sume 0 tis. </w:t>
      </w:r>
      <w:r w:rsidRPr="0053755D">
        <w:rPr>
          <w:sz w:val="24"/>
          <w:szCs w:val="24"/>
        </w:rPr>
        <w:t xml:space="preserve">eur). V prípade </w:t>
      </w:r>
      <w:proofErr w:type="spellStart"/>
      <w:r w:rsidRPr="0053755D">
        <w:rPr>
          <w:sz w:val="24"/>
          <w:szCs w:val="24"/>
        </w:rPr>
        <w:t>nadčerpania</w:t>
      </w:r>
      <w:proofErr w:type="spellEnd"/>
      <w:r w:rsidRPr="0053755D">
        <w:rPr>
          <w:sz w:val="24"/>
          <w:szCs w:val="24"/>
        </w:rPr>
        <w:t xml:space="preserve"> za 3. programové obdobie boli rozpočtové prostriedky uvoľnené </w:t>
      </w:r>
      <w:r w:rsidRPr="0053755D">
        <w:rPr>
          <w:sz w:val="24"/>
          <w:szCs w:val="24"/>
        </w:rPr>
        <w:lastRenderedPageBreak/>
        <w:t xml:space="preserve">rozpočtovým opatrením v prospech MIRRI SR z dôvodu potreby </w:t>
      </w:r>
      <w:proofErr w:type="spellStart"/>
      <w:r w:rsidRPr="0053755D">
        <w:rPr>
          <w:sz w:val="24"/>
          <w:szCs w:val="24"/>
        </w:rPr>
        <w:t>nadčerpania</w:t>
      </w:r>
      <w:proofErr w:type="spellEnd"/>
      <w:r w:rsidRPr="0053755D">
        <w:rPr>
          <w:sz w:val="24"/>
          <w:szCs w:val="24"/>
        </w:rPr>
        <w:t xml:space="preserve"> prostriedkov pre Integrovaný regionálny operačný program v celkovej sume </w:t>
      </w:r>
      <w:r>
        <w:rPr>
          <w:sz w:val="24"/>
          <w:szCs w:val="24"/>
        </w:rPr>
        <w:t>225 475 </w:t>
      </w:r>
      <w:r w:rsidRPr="0053755D">
        <w:rPr>
          <w:sz w:val="24"/>
          <w:szCs w:val="24"/>
        </w:rPr>
        <w:t>tis.</w:t>
      </w:r>
      <w:r>
        <w:rPr>
          <w:sz w:val="24"/>
          <w:szCs w:val="24"/>
        </w:rPr>
        <w:t> </w:t>
      </w:r>
      <w:r w:rsidRPr="0053755D">
        <w:rPr>
          <w:sz w:val="24"/>
          <w:szCs w:val="24"/>
        </w:rPr>
        <w:t>eur. Z uvedenej sumy boli uvoľnené prostriedky v rámci rozpočtového opatrenia č. 440/2023 v</w:t>
      </w:r>
      <w:r>
        <w:rPr>
          <w:sz w:val="24"/>
          <w:szCs w:val="24"/>
        </w:rPr>
        <w:t>o výške</w:t>
      </w:r>
      <w:r w:rsidRPr="0053755D">
        <w:rPr>
          <w:sz w:val="24"/>
          <w:szCs w:val="24"/>
        </w:rPr>
        <w:t xml:space="preserve"> schválené</w:t>
      </w:r>
      <w:r>
        <w:rPr>
          <w:sz w:val="24"/>
          <w:szCs w:val="24"/>
        </w:rPr>
        <w:t xml:space="preserve">ho dočasného </w:t>
      </w:r>
      <w:proofErr w:type="spellStart"/>
      <w:r>
        <w:rPr>
          <w:sz w:val="24"/>
          <w:szCs w:val="24"/>
        </w:rPr>
        <w:t>nadčerpania</w:t>
      </w:r>
      <w:proofErr w:type="spellEnd"/>
      <w:r>
        <w:rPr>
          <w:sz w:val="24"/>
          <w:szCs w:val="24"/>
        </w:rPr>
        <w:t xml:space="preserve"> 35 475 </w:t>
      </w:r>
      <w:r w:rsidRPr="0053755D">
        <w:rPr>
          <w:sz w:val="24"/>
          <w:szCs w:val="24"/>
        </w:rPr>
        <w:t>tis.</w:t>
      </w:r>
      <w:r>
        <w:rPr>
          <w:sz w:val="24"/>
          <w:szCs w:val="24"/>
        </w:rPr>
        <w:t> </w:t>
      </w:r>
      <w:r w:rsidRPr="0053755D">
        <w:rPr>
          <w:sz w:val="24"/>
          <w:szCs w:val="24"/>
        </w:rPr>
        <w:t>eur na základe listu ministra financií zo dňa 30.11.2023 v súvislosti s I. fázou a v rámci rozpočtového opatrenia č. 448/2023 vo výške 190</w:t>
      </w:r>
      <w:r>
        <w:rPr>
          <w:sz w:val="24"/>
          <w:szCs w:val="24"/>
        </w:rPr>
        <w:t> </w:t>
      </w:r>
      <w:r w:rsidRPr="0053755D">
        <w:rPr>
          <w:sz w:val="24"/>
          <w:szCs w:val="24"/>
        </w:rPr>
        <w:t>000</w:t>
      </w:r>
      <w:r>
        <w:rPr>
          <w:sz w:val="24"/>
          <w:szCs w:val="24"/>
        </w:rPr>
        <w:t> tis. </w:t>
      </w:r>
      <w:r w:rsidRPr="0053755D">
        <w:rPr>
          <w:sz w:val="24"/>
          <w:szCs w:val="24"/>
        </w:rPr>
        <w:t xml:space="preserve">eur na základe rozhodnutia ministra financií v súvislosti s III. fázou riešenia rizika </w:t>
      </w:r>
      <w:proofErr w:type="spellStart"/>
      <w:r w:rsidRPr="0053755D">
        <w:rPr>
          <w:sz w:val="24"/>
          <w:szCs w:val="24"/>
        </w:rPr>
        <w:t>nadčerpania</w:t>
      </w:r>
      <w:proofErr w:type="spellEnd"/>
      <w:r w:rsidRPr="0053755D">
        <w:rPr>
          <w:sz w:val="24"/>
          <w:szCs w:val="24"/>
        </w:rPr>
        <w:t>/</w:t>
      </w:r>
      <w:proofErr w:type="spellStart"/>
      <w:r w:rsidRPr="0053755D">
        <w:rPr>
          <w:sz w:val="24"/>
          <w:szCs w:val="24"/>
        </w:rPr>
        <w:t>nadkontrahovania</w:t>
      </w:r>
      <w:proofErr w:type="spellEnd"/>
      <w:r w:rsidRPr="0053755D">
        <w:rPr>
          <w:sz w:val="24"/>
          <w:szCs w:val="24"/>
        </w:rPr>
        <w:t xml:space="preserve"> programu. Uvedená úprava v priebehu roka 2023 mala vplyv n</w:t>
      </w:r>
      <w:r>
        <w:rPr>
          <w:sz w:val="24"/>
          <w:szCs w:val="24"/>
        </w:rPr>
        <w:t xml:space="preserve">a hodnotu upraveného rozpočtu a </w:t>
      </w:r>
      <w:r w:rsidRPr="0053755D">
        <w:rPr>
          <w:sz w:val="24"/>
          <w:szCs w:val="24"/>
        </w:rPr>
        <w:t xml:space="preserve">nie na skutočnosť. Vzhľadom na to, že prostriedky poskytnuté platobnej </w:t>
      </w:r>
      <w:r>
        <w:rPr>
          <w:sz w:val="24"/>
          <w:szCs w:val="24"/>
        </w:rPr>
        <w:t>jednotke MIRRI SR nad rámec 100 </w:t>
      </w:r>
      <w:r w:rsidRPr="0053755D">
        <w:rPr>
          <w:sz w:val="24"/>
          <w:szCs w:val="24"/>
        </w:rPr>
        <w:t xml:space="preserve">% alokácie daného programu EK nepreplatí z dôvodu prekročenia alokácie a nebudú naplnené príjmy do rozpočtu platobnej jednotky </w:t>
      </w:r>
      <w:r>
        <w:rPr>
          <w:sz w:val="24"/>
          <w:szCs w:val="24"/>
        </w:rPr>
        <w:t>Ministerstva investícií, regionálneho rozvoja a informatizácie SR</w:t>
      </w:r>
      <w:r w:rsidRPr="0053755D">
        <w:rPr>
          <w:sz w:val="24"/>
          <w:szCs w:val="24"/>
        </w:rPr>
        <w:t xml:space="preserve">, medziročná zmena stavu pohľadávky EÚ za rozpočtový rok 2023 bola znížená o výšku poskytnutého </w:t>
      </w:r>
      <w:proofErr w:type="spellStart"/>
      <w:r w:rsidRPr="0053755D">
        <w:rPr>
          <w:sz w:val="24"/>
          <w:szCs w:val="24"/>
        </w:rPr>
        <w:t>nadčerpania</w:t>
      </w:r>
      <w:proofErr w:type="spellEnd"/>
      <w:r>
        <w:rPr>
          <w:sz w:val="24"/>
          <w:szCs w:val="24"/>
        </w:rPr>
        <w:t>,</w:t>
      </w:r>
      <w:r w:rsidRPr="0053755D">
        <w:rPr>
          <w:sz w:val="24"/>
          <w:szCs w:val="24"/>
        </w:rPr>
        <w:t xml:space="preserve"> a</w:t>
      </w:r>
      <w:r>
        <w:rPr>
          <w:sz w:val="24"/>
          <w:szCs w:val="24"/>
        </w:rPr>
        <w:t xml:space="preserve"> to v sume 190 000 tis. eur</w:t>
      </w:r>
      <w:r w:rsidRPr="0053755D">
        <w:rPr>
          <w:sz w:val="24"/>
          <w:szCs w:val="24"/>
        </w:rPr>
        <w:t>. V prípade, ak následne v rámci ukončovania programu z EK vzniknú nezrovnalosti a výdavkami z </w:t>
      </w:r>
      <w:proofErr w:type="spellStart"/>
      <w:r w:rsidRPr="0053755D">
        <w:rPr>
          <w:sz w:val="24"/>
          <w:szCs w:val="24"/>
        </w:rPr>
        <w:t>nadčerpania</w:t>
      </w:r>
      <w:proofErr w:type="spellEnd"/>
      <w:r w:rsidRPr="0053755D">
        <w:rPr>
          <w:sz w:val="24"/>
          <w:szCs w:val="24"/>
        </w:rPr>
        <w:t xml:space="preserve"> bude možné ti</w:t>
      </w:r>
      <w:r>
        <w:rPr>
          <w:sz w:val="24"/>
          <w:szCs w:val="24"/>
        </w:rPr>
        <w:t xml:space="preserve">eto výdavky uznať za oprávnené a </w:t>
      </w:r>
      <w:r w:rsidRPr="0053755D">
        <w:rPr>
          <w:sz w:val="24"/>
          <w:szCs w:val="24"/>
        </w:rPr>
        <w:t xml:space="preserve">uhradiť do príjmov platobnej jednotky </w:t>
      </w:r>
      <w:r>
        <w:rPr>
          <w:sz w:val="24"/>
          <w:szCs w:val="24"/>
        </w:rPr>
        <w:t>Ministerstva investícií, regionálneho rozvoja a informatizácie SR</w:t>
      </w:r>
      <w:r w:rsidRPr="0053755D">
        <w:rPr>
          <w:sz w:val="24"/>
          <w:szCs w:val="24"/>
        </w:rPr>
        <w:t xml:space="preserve">, išlo by o duplicitné zaznamenanie zníženia pohľadávky EÚ. Z tohto dôvodu sa duplicitný negatívny vplyv na schodok eliminuje zavedením vyrovnávacej položky vo výške uhradených „oprávnených“ výdavkov na príjmový účet platobnej jednotky </w:t>
      </w:r>
      <w:r>
        <w:rPr>
          <w:sz w:val="24"/>
          <w:szCs w:val="24"/>
        </w:rPr>
        <w:t>ministerstva</w:t>
      </w:r>
      <w:r w:rsidRPr="0053755D">
        <w:rPr>
          <w:sz w:val="24"/>
          <w:szCs w:val="24"/>
        </w:rPr>
        <w:t xml:space="preserve"> pod kódom zdroja EÚ. Uvedené zohľadní upravujúca položka očistenie vplyvu príjmov za prostriedky EÚ z dôvodu zníženia </w:t>
      </w:r>
      <w:proofErr w:type="spellStart"/>
      <w:r w:rsidRPr="0053755D">
        <w:rPr>
          <w:sz w:val="24"/>
          <w:szCs w:val="24"/>
        </w:rPr>
        <w:t>nadčerpania</w:t>
      </w:r>
      <w:proofErr w:type="spellEnd"/>
      <w:r w:rsidRPr="0053755D">
        <w:rPr>
          <w:sz w:val="24"/>
          <w:szCs w:val="24"/>
        </w:rPr>
        <w:t xml:space="preserve"> (z dôvodu nahradenia korekcií oprávnenými výdavkami z </w:t>
      </w:r>
      <w:proofErr w:type="spellStart"/>
      <w:r w:rsidRPr="0053755D">
        <w:rPr>
          <w:sz w:val="24"/>
          <w:szCs w:val="24"/>
        </w:rPr>
        <w:t>nadčerpania</w:t>
      </w:r>
      <w:proofErr w:type="spellEnd"/>
      <w:r w:rsidRPr="0053755D">
        <w:rPr>
          <w:sz w:val="24"/>
          <w:szCs w:val="24"/>
        </w:rPr>
        <w:t>).</w:t>
      </w:r>
    </w:p>
    <w:p w14:paraId="27A40206" w14:textId="37A1107E" w:rsidR="0053755D" w:rsidRPr="0053755D" w:rsidRDefault="0053755D" w:rsidP="0053755D">
      <w:pPr>
        <w:spacing w:line="240" w:lineRule="auto"/>
        <w:rPr>
          <w:sz w:val="24"/>
          <w:szCs w:val="24"/>
        </w:rPr>
      </w:pPr>
      <w:r w:rsidRPr="0053755D">
        <w:rPr>
          <w:sz w:val="24"/>
          <w:szCs w:val="24"/>
        </w:rPr>
        <w:t xml:space="preserve">Príjmy za štrukturálne operácie, pri ktorých plní úlohu certifikačného orgánu </w:t>
      </w:r>
      <w:r>
        <w:rPr>
          <w:sz w:val="24"/>
          <w:szCs w:val="24"/>
        </w:rPr>
        <w:t>Ministerstva práce, sociálnych vecí a rodiny SR</w:t>
      </w:r>
      <w:r w:rsidRPr="0053755D">
        <w:rPr>
          <w:sz w:val="24"/>
          <w:szCs w:val="24"/>
        </w:rPr>
        <w:t xml:space="preserve"> sú v sume 7</w:t>
      </w:r>
      <w:r>
        <w:rPr>
          <w:sz w:val="24"/>
          <w:szCs w:val="24"/>
        </w:rPr>
        <w:t> </w:t>
      </w:r>
      <w:r w:rsidRPr="0053755D">
        <w:rPr>
          <w:sz w:val="24"/>
          <w:szCs w:val="24"/>
        </w:rPr>
        <w:t>333</w:t>
      </w:r>
      <w:r>
        <w:rPr>
          <w:sz w:val="24"/>
          <w:szCs w:val="24"/>
        </w:rPr>
        <w:t> tis. </w:t>
      </w:r>
      <w:r w:rsidRPr="0053755D">
        <w:rPr>
          <w:sz w:val="24"/>
          <w:szCs w:val="24"/>
        </w:rPr>
        <w:t xml:space="preserve">eur. Príjmy za štrukturálne operácie, pri ktorých plní úlohu certifikačného orgánu </w:t>
      </w:r>
      <w:r>
        <w:rPr>
          <w:sz w:val="24"/>
          <w:szCs w:val="24"/>
        </w:rPr>
        <w:t>Ministerstvo vnútra SR</w:t>
      </w:r>
      <w:r w:rsidRPr="0053755D">
        <w:rPr>
          <w:sz w:val="24"/>
          <w:szCs w:val="24"/>
        </w:rPr>
        <w:t xml:space="preserve"> sú v sume 0</w:t>
      </w:r>
      <w:r>
        <w:rPr>
          <w:sz w:val="24"/>
          <w:szCs w:val="24"/>
        </w:rPr>
        <w:t xml:space="preserve"> tis. </w:t>
      </w:r>
      <w:r w:rsidRPr="0053755D">
        <w:rPr>
          <w:sz w:val="24"/>
          <w:szCs w:val="24"/>
        </w:rPr>
        <w:t>eur. Príjmy za poľnohospodárske fondy boli vo výške 494</w:t>
      </w:r>
      <w:r>
        <w:rPr>
          <w:sz w:val="24"/>
          <w:szCs w:val="24"/>
        </w:rPr>
        <w:t> </w:t>
      </w:r>
      <w:r w:rsidRPr="0053755D">
        <w:rPr>
          <w:sz w:val="24"/>
          <w:szCs w:val="24"/>
        </w:rPr>
        <w:t>265</w:t>
      </w:r>
      <w:r>
        <w:rPr>
          <w:sz w:val="24"/>
          <w:szCs w:val="24"/>
        </w:rPr>
        <w:t> </w:t>
      </w:r>
      <w:r w:rsidRPr="0053755D">
        <w:rPr>
          <w:sz w:val="24"/>
          <w:szCs w:val="24"/>
        </w:rPr>
        <w:t>tis.</w:t>
      </w:r>
      <w:r>
        <w:rPr>
          <w:sz w:val="24"/>
          <w:szCs w:val="24"/>
        </w:rPr>
        <w:t> </w:t>
      </w:r>
      <w:r w:rsidRPr="0053755D">
        <w:rPr>
          <w:sz w:val="24"/>
          <w:szCs w:val="24"/>
        </w:rPr>
        <w:t>eur (z toho za Európsky poľnohospodársky fond rozvoja vidieka v sume 164</w:t>
      </w:r>
      <w:r w:rsidR="00E33F17">
        <w:rPr>
          <w:sz w:val="24"/>
          <w:szCs w:val="24"/>
        </w:rPr>
        <w:t> </w:t>
      </w:r>
      <w:r w:rsidRPr="0053755D">
        <w:rPr>
          <w:sz w:val="24"/>
          <w:szCs w:val="24"/>
        </w:rPr>
        <w:t>434</w:t>
      </w:r>
      <w:r w:rsidR="00E33F17">
        <w:rPr>
          <w:sz w:val="24"/>
          <w:szCs w:val="24"/>
        </w:rPr>
        <w:t> </w:t>
      </w:r>
      <w:r w:rsidRPr="0053755D">
        <w:rPr>
          <w:sz w:val="24"/>
          <w:szCs w:val="24"/>
        </w:rPr>
        <w:t>tis.</w:t>
      </w:r>
      <w:r w:rsidR="00E33F17">
        <w:rPr>
          <w:sz w:val="24"/>
          <w:szCs w:val="24"/>
        </w:rPr>
        <w:t xml:space="preserve"> eur a </w:t>
      </w:r>
      <w:r w:rsidRPr="0053755D">
        <w:rPr>
          <w:sz w:val="24"/>
          <w:szCs w:val="24"/>
        </w:rPr>
        <w:t xml:space="preserve">za Európsky poľnohospodársky záručný fond v sume </w:t>
      </w:r>
      <w:r w:rsidR="00E33F17">
        <w:rPr>
          <w:sz w:val="24"/>
          <w:szCs w:val="24"/>
        </w:rPr>
        <w:t>329 </w:t>
      </w:r>
      <w:r w:rsidRPr="0053755D">
        <w:rPr>
          <w:sz w:val="24"/>
          <w:szCs w:val="24"/>
        </w:rPr>
        <w:t>832</w:t>
      </w:r>
      <w:r w:rsidR="00E33F17">
        <w:rPr>
          <w:sz w:val="24"/>
          <w:szCs w:val="24"/>
        </w:rPr>
        <w:t> tis. </w:t>
      </w:r>
      <w:r w:rsidRPr="0053755D">
        <w:rPr>
          <w:sz w:val="24"/>
          <w:szCs w:val="24"/>
        </w:rPr>
        <w:t xml:space="preserve">eur). </w:t>
      </w:r>
    </w:p>
    <w:p w14:paraId="59EE6CAE" w14:textId="1D97D305" w:rsidR="0053755D" w:rsidRPr="0053755D" w:rsidRDefault="0053755D" w:rsidP="0053755D">
      <w:pPr>
        <w:spacing w:line="240" w:lineRule="auto"/>
        <w:rPr>
          <w:sz w:val="24"/>
          <w:szCs w:val="24"/>
        </w:rPr>
      </w:pPr>
      <w:r w:rsidRPr="0053755D">
        <w:rPr>
          <w:sz w:val="24"/>
          <w:szCs w:val="24"/>
        </w:rPr>
        <w:t xml:space="preserve">Do skutočnosti príjmov z rozpočtu EÚ vstupujú aj </w:t>
      </w:r>
      <w:r w:rsidRPr="0053755D">
        <w:rPr>
          <w:b/>
          <w:sz w:val="24"/>
          <w:szCs w:val="24"/>
        </w:rPr>
        <w:t xml:space="preserve">príjmy zo zahraničných grantov poskytnutých z rozpočtu EÚ, </w:t>
      </w:r>
      <w:r w:rsidRPr="0053755D">
        <w:rPr>
          <w:sz w:val="24"/>
          <w:szCs w:val="24"/>
        </w:rPr>
        <w:t>ktoré boli zapojené cez príjmy ŠR v roku 2023 vo výške 0</w:t>
      </w:r>
      <w:r w:rsidR="00E33F17">
        <w:rPr>
          <w:sz w:val="24"/>
          <w:szCs w:val="24"/>
        </w:rPr>
        <w:t xml:space="preserve"> tis. </w:t>
      </w:r>
      <w:r w:rsidRPr="0053755D">
        <w:rPr>
          <w:sz w:val="24"/>
          <w:szCs w:val="24"/>
        </w:rPr>
        <w:t xml:space="preserve">eur. V rámci zahraničných grantov sú uvedené výlučne zahraničné granty poskytnuté z rozpočtu EÚ, ktorých poskytovanie riadi EÚ centralizovaným spôsobom. </w:t>
      </w:r>
    </w:p>
    <w:p w14:paraId="2ACC3A83" w14:textId="0CA16CA4" w:rsidR="0053755D" w:rsidRPr="0053755D" w:rsidRDefault="0053755D" w:rsidP="0053755D">
      <w:pPr>
        <w:spacing w:line="240" w:lineRule="auto"/>
        <w:rPr>
          <w:sz w:val="24"/>
          <w:szCs w:val="24"/>
        </w:rPr>
      </w:pPr>
      <w:r w:rsidRPr="0053755D">
        <w:rPr>
          <w:sz w:val="24"/>
          <w:szCs w:val="24"/>
        </w:rPr>
        <w:t>Skutočné plnenie príjmov SR z rozpočtu EÚ za prostriedky EÚ a zahraničné granty je vo výške 4</w:t>
      </w:r>
      <w:r w:rsidR="00E33F17">
        <w:rPr>
          <w:sz w:val="24"/>
          <w:szCs w:val="24"/>
        </w:rPr>
        <w:t> </w:t>
      </w:r>
      <w:r w:rsidRPr="0053755D">
        <w:rPr>
          <w:sz w:val="24"/>
          <w:szCs w:val="24"/>
        </w:rPr>
        <w:t>141</w:t>
      </w:r>
      <w:r w:rsidR="00E33F17">
        <w:rPr>
          <w:sz w:val="24"/>
          <w:szCs w:val="24"/>
        </w:rPr>
        <w:t> </w:t>
      </w:r>
      <w:r w:rsidRPr="0053755D">
        <w:rPr>
          <w:sz w:val="24"/>
          <w:szCs w:val="24"/>
        </w:rPr>
        <w:t xml:space="preserve">966 </w:t>
      </w:r>
      <w:r w:rsidR="00E33F17">
        <w:rPr>
          <w:sz w:val="24"/>
          <w:szCs w:val="24"/>
        </w:rPr>
        <w:t>tis. </w:t>
      </w:r>
      <w:r w:rsidRPr="0053755D">
        <w:rPr>
          <w:sz w:val="24"/>
          <w:szCs w:val="24"/>
        </w:rPr>
        <w:t>eur, z toho príjmy zo zahraničných transferov za prostriedky EÚ sú vo výške 4 141 966 tis. eur a príjmy zo zahraničných grantov sú vo výške 0</w:t>
      </w:r>
      <w:r w:rsidR="00E33F17">
        <w:rPr>
          <w:sz w:val="24"/>
          <w:szCs w:val="24"/>
        </w:rPr>
        <w:t xml:space="preserve"> tis. </w:t>
      </w:r>
      <w:r w:rsidRPr="0053755D">
        <w:rPr>
          <w:sz w:val="24"/>
          <w:szCs w:val="24"/>
        </w:rPr>
        <w:t>eur.</w:t>
      </w:r>
    </w:p>
    <w:p w14:paraId="5E8351D5" w14:textId="77777777" w:rsidR="00E33F17" w:rsidRPr="00E33F17" w:rsidRDefault="00E33F17" w:rsidP="00E33F17">
      <w:pPr>
        <w:spacing w:line="240" w:lineRule="auto"/>
        <w:rPr>
          <w:sz w:val="24"/>
          <w:szCs w:val="24"/>
        </w:rPr>
      </w:pPr>
      <w:r w:rsidRPr="00E33F17">
        <w:rPr>
          <w:sz w:val="24"/>
          <w:szCs w:val="24"/>
        </w:rPr>
        <w:t>Prehľad je uvedený v nasledovnej tabuľke:</w:t>
      </w:r>
    </w:p>
    <w:tbl>
      <w:tblPr>
        <w:tblW w:w="5077" w:type="pct"/>
        <w:tblCellMar>
          <w:left w:w="70" w:type="dxa"/>
          <w:right w:w="70" w:type="dxa"/>
        </w:tblCellMar>
        <w:tblLook w:val="04A0" w:firstRow="1" w:lastRow="0" w:firstColumn="1" w:lastColumn="0" w:noHBand="0" w:noVBand="1"/>
      </w:tblPr>
      <w:tblGrid>
        <w:gridCol w:w="3815"/>
        <w:gridCol w:w="84"/>
        <w:gridCol w:w="941"/>
        <w:gridCol w:w="906"/>
        <w:gridCol w:w="36"/>
        <w:gridCol w:w="939"/>
        <w:gridCol w:w="73"/>
        <w:gridCol w:w="866"/>
        <w:gridCol w:w="41"/>
        <w:gridCol w:w="838"/>
        <w:gridCol w:w="21"/>
        <w:gridCol w:w="123"/>
        <w:gridCol w:w="535"/>
        <w:gridCol w:w="138"/>
      </w:tblGrid>
      <w:tr w:rsidR="00E33F17" w:rsidRPr="00E33F17" w14:paraId="6041B896" w14:textId="77777777" w:rsidTr="0028448B">
        <w:trPr>
          <w:trHeight w:val="330"/>
        </w:trPr>
        <w:tc>
          <w:tcPr>
            <w:tcW w:w="3088" w:type="pct"/>
            <w:gridSpan w:val="5"/>
            <w:tcBorders>
              <w:top w:val="nil"/>
              <w:left w:val="nil"/>
              <w:bottom w:val="single" w:sz="4" w:space="0" w:color="auto"/>
              <w:right w:val="nil"/>
            </w:tcBorders>
            <w:shd w:val="clear" w:color="auto" w:fill="auto"/>
            <w:noWrap/>
            <w:vAlign w:val="bottom"/>
            <w:hideMark/>
          </w:tcPr>
          <w:p w14:paraId="24BC19D7" w14:textId="4419B7DE" w:rsidR="00E33F17" w:rsidRPr="00E33F17" w:rsidRDefault="00E33F17" w:rsidP="00153978">
            <w:pPr>
              <w:spacing w:line="240" w:lineRule="auto"/>
              <w:jc w:val="left"/>
              <w:rPr>
                <w:rFonts w:eastAsia="Times New Roman" w:cs="Times New Roman"/>
                <w:b/>
                <w:bCs/>
                <w:color w:val="5B9BD5" w:themeColor="accent1"/>
                <w:sz w:val="20"/>
                <w:szCs w:val="20"/>
                <w:lang w:eastAsia="sk-SK"/>
              </w:rPr>
            </w:pPr>
            <w:r w:rsidRPr="00E33F17">
              <w:rPr>
                <w:rFonts w:eastAsia="Times New Roman" w:cs="Times New Roman"/>
                <w:b/>
                <w:bCs/>
                <w:color w:val="5B9BD5" w:themeColor="accent1"/>
                <w:sz w:val="20"/>
                <w:szCs w:val="20"/>
                <w:lang w:eastAsia="sk-SK"/>
              </w:rPr>
              <w:t>Tabuľka 6</w:t>
            </w:r>
            <w:r w:rsidR="00153978">
              <w:rPr>
                <w:rFonts w:eastAsia="Times New Roman" w:cs="Times New Roman"/>
                <w:b/>
                <w:bCs/>
                <w:color w:val="5B9BD5" w:themeColor="accent1"/>
                <w:sz w:val="20"/>
                <w:szCs w:val="20"/>
                <w:lang w:eastAsia="sk-SK"/>
              </w:rPr>
              <w:t>5</w:t>
            </w:r>
            <w:r w:rsidRPr="00E33F17">
              <w:rPr>
                <w:rFonts w:eastAsia="Times New Roman" w:cs="Times New Roman"/>
                <w:b/>
                <w:bCs/>
                <w:color w:val="5B9BD5" w:themeColor="accent1"/>
                <w:sz w:val="20"/>
                <w:szCs w:val="20"/>
                <w:lang w:eastAsia="sk-SK"/>
              </w:rPr>
              <w:t xml:space="preserve"> - Plnenie príjmov z rozpočtu EÚ </w:t>
            </w:r>
          </w:p>
        </w:tc>
        <w:tc>
          <w:tcPr>
            <w:tcW w:w="502" w:type="pct"/>
            <w:tcBorders>
              <w:top w:val="nil"/>
              <w:left w:val="nil"/>
              <w:bottom w:val="single" w:sz="4" w:space="0" w:color="auto"/>
              <w:right w:val="nil"/>
            </w:tcBorders>
            <w:shd w:val="clear" w:color="auto" w:fill="auto"/>
            <w:noWrap/>
            <w:vAlign w:val="bottom"/>
            <w:hideMark/>
          </w:tcPr>
          <w:p w14:paraId="5F38199B" w14:textId="77777777" w:rsidR="00E33F17" w:rsidRPr="00E33F17" w:rsidRDefault="00E33F17" w:rsidP="00E33F17">
            <w:pPr>
              <w:spacing w:after="0" w:line="240" w:lineRule="auto"/>
              <w:jc w:val="left"/>
              <w:rPr>
                <w:rFonts w:ascii="Arial Narrow" w:eastAsia="Times New Roman" w:hAnsi="Arial Narrow" w:cs="Times New Roman"/>
                <w:color w:val="5B9BD5" w:themeColor="accent1"/>
                <w:sz w:val="20"/>
                <w:szCs w:val="20"/>
                <w:lang w:eastAsia="sk-SK"/>
              </w:rPr>
            </w:pPr>
            <w:r w:rsidRPr="00E33F17">
              <w:rPr>
                <w:rFonts w:ascii="Arial Narrow" w:eastAsia="Times New Roman" w:hAnsi="Arial Narrow" w:cs="Times New Roman"/>
                <w:color w:val="5B9BD5" w:themeColor="accent1"/>
                <w:sz w:val="20"/>
                <w:szCs w:val="20"/>
                <w:lang w:eastAsia="sk-SK"/>
              </w:rPr>
              <w:t> </w:t>
            </w:r>
          </w:p>
        </w:tc>
        <w:tc>
          <w:tcPr>
            <w:tcW w:w="502" w:type="pct"/>
            <w:gridSpan w:val="2"/>
            <w:tcBorders>
              <w:top w:val="nil"/>
              <w:left w:val="nil"/>
              <w:bottom w:val="single" w:sz="4" w:space="0" w:color="auto"/>
              <w:right w:val="nil"/>
            </w:tcBorders>
            <w:shd w:val="clear" w:color="auto" w:fill="auto"/>
            <w:noWrap/>
            <w:vAlign w:val="bottom"/>
            <w:hideMark/>
          </w:tcPr>
          <w:p w14:paraId="063B3A9C" w14:textId="77777777" w:rsidR="00E33F17" w:rsidRPr="00E33F17" w:rsidRDefault="00E33F17" w:rsidP="00E33F17">
            <w:pPr>
              <w:spacing w:after="0" w:line="240" w:lineRule="auto"/>
              <w:jc w:val="left"/>
              <w:rPr>
                <w:rFonts w:ascii="Arial Narrow" w:eastAsia="Times New Roman" w:hAnsi="Arial Narrow" w:cs="Times New Roman"/>
                <w:color w:val="5B9BD5" w:themeColor="accent1"/>
                <w:sz w:val="20"/>
                <w:szCs w:val="20"/>
                <w:lang w:eastAsia="sk-SK"/>
              </w:rPr>
            </w:pPr>
            <w:r w:rsidRPr="00E33F17">
              <w:rPr>
                <w:rFonts w:ascii="Arial Narrow" w:eastAsia="Times New Roman" w:hAnsi="Arial Narrow" w:cs="Times New Roman"/>
                <w:color w:val="5B9BD5" w:themeColor="accent1"/>
                <w:sz w:val="20"/>
                <w:szCs w:val="20"/>
                <w:lang w:eastAsia="sk-SK"/>
              </w:rPr>
              <w:t> </w:t>
            </w:r>
          </w:p>
        </w:tc>
        <w:tc>
          <w:tcPr>
            <w:tcW w:w="547" w:type="pct"/>
            <w:gridSpan w:val="4"/>
            <w:tcBorders>
              <w:top w:val="nil"/>
              <w:left w:val="nil"/>
              <w:bottom w:val="single" w:sz="4" w:space="0" w:color="auto"/>
              <w:right w:val="nil"/>
            </w:tcBorders>
            <w:shd w:val="clear" w:color="auto" w:fill="auto"/>
            <w:noWrap/>
            <w:vAlign w:val="bottom"/>
            <w:hideMark/>
          </w:tcPr>
          <w:p w14:paraId="29442A58" w14:textId="77777777" w:rsidR="00E33F17" w:rsidRPr="00E33F17" w:rsidRDefault="00E33F17" w:rsidP="00E33F17">
            <w:pPr>
              <w:spacing w:after="0" w:line="240" w:lineRule="auto"/>
              <w:jc w:val="left"/>
              <w:rPr>
                <w:rFonts w:ascii="Arial Narrow" w:eastAsia="Times New Roman" w:hAnsi="Arial Narrow" w:cs="Times New Roman"/>
                <w:color w:val="5B9BD5" w:themeColor="accent1"/>
                <w:sz w:val="20"/>
                <w:szCs w:val="20"/>
                <w:lang w:eastAsia="sk-SK"/>
              </w:rPr>
            </w:pPr>
            <w:r w:rsidRPr="00E33F17">
              <w:rPr>
                <w:rFonts w:ascii="Arial Narrow" w:eastAsia="Times New Roman" w:hAnsi="Arial Narrow" w:cs="Times New Roman"/>
                <w:color w:val="5B9BD5" w:themeColor="accent1"/>
                <w:sz w:val="20"/>
                <w:szCs w:val="20"/>
                <w:lang w:eastAsia="sk-SK"/>
              </w:rPr>
              <w:t> </w:t>
            </w:r>
          </w:p>
        </w:tc>
        <w:tc>
          <w:tcPr>
            <w:tcW w:w="360" w:type="pct"/>
            <w:gridSpan w:val="2"/>
            <w:tcBorders>
              <w:top w:val="nil"/>
              <w:left w:val="nil"/>
              <w:bottom w:val="single" w:sz="4" w:space="0" w:color="auto"/>
              <w:right w:val="nil"/>
            </w:tcBorders>
            <w:shd w:val="clear" w:color="auto" w:fill="auto"/>
            <w:noWrap/>
            <w:vAlign w:val="bottom"/>
          </w:tcPr>
          <w:p w14:paraId="37194A3C" w14:textId="77777777" w:rsidR="00E33F17" w:rsidRPr="00E33F17" w:rsidRDefault="00E33F17" w:rsidP="00E33F17">
            <w:pPr>
              <w:spacing w:after="0" w:line="240" w:lineRule="auto"/>
              <w:jc w:val="left"/>
              <w:rPr>
                <w:rFonts w:eastAsia="Times New Roman" w:cs="Times New Roman"/>
                <w:b/>
                <w:bCs/>
                <w:color w:val="5B9BD5" w:themeColor="accent1"/>
                <w:sz w:val="20"/>
                <w:szCs w:val="20"/>
                <w:lang w:eastAsia="sk-SK"/>
              </w:rPr>
            </w:pPr>
          </w:p>
        </w:tc>
      </w:tr>
      <w:tr w:rsidR="00E33F17" w:rsidRPr="00181464" w14:paraId="5D987AC4" w14:textId="77777777" w:rsidTr="0028448B">
        <w:trPr>
          <w:trHeight w:val="330"/>
        </w:trPr>
        <w:tc>
          <w:tcPr>
            <w:tcW w:w="2083" w:type="pct"/>
            <w:gridSpan w:val="2"/>
            <w:vMerge w:val="restart"/>
            <w:tcBorders>
              <w:top w:val="nil"/>
              <w:left w:val="nil"/>
              <w:right w:val="nil"/>
            </w:tcBorders>
            <w:shd w:val="clear" w:color="auto" w:fill="auto"/>
            <w:vAlign w:val="center"/>
            <w:hideMark/>
          </w:tcPr>
          <w:p w14:paraId="545335B2" w14:textId="77777777" w:rsidR="00E33F17" w:rsidRPr="00181464" w:rsidRDefault="00E33F17" w:rsidP="00E33F17">
            <w:pPr>
              <w:spacing w:after="0" w:line="240" w:lineRule="auto"/>
              <w:jc w:val="left"/>
              <w:rPr>
                <w:rFonts w:eastAsia="Times New Roman" w:cs="Times New Roman"/>
                <w:b/>
                <w:bCs/>
                <w:sz w:val="18"/>
                <w:szCs w:val="18"/>
                <w:lang w:eastAsia="sk-SK"/>
              </w:rPr>
            </w:pPr>
            <w:r w:rsidRPr="00181464">
              <w:rPr>
                <w:rFonts w:eastAsia="Times New Roman" w:cs="Times New Roman"/>
                <w:b/>
                <w:bCs/>
                <w:sz w:val="18"/>
                <w:szCs w:val="18"/>
                <w:lang w:eastAsia="sk-SK"/>
              </w:rPr>
              <w:t>v tis. eur</w:t>
            </w:r>
            <w:r w:rsidRPr="00181464">
              <w:rPr>
                <w:rFonts w:eastAsia="Times New Roman" w:cs="Times New Roman"/>
                <w:b/>
                <w:bCs/>
                <w:color w:val="FFFFFF"/>
                <w:sz w:val="18"/>
                <w:szCs w:val="18"/>
                <w:lang w:eastAsia="sk-SK"/>
              </w:rPr>
              <w:t> </w:t>
            </w:r>
          </w:p>
        </w:tc>
        <w:tc>
          <w:tcPr>
            <w:tcW w:w="502" w:type="pct"/>
            <w:tcBorders>
              <w:top w:val="nil"/>
              <w:left w:val="nil"/>
              <w:bottom w:val="nil"/>
              <w:right w:val="nil"/>
            </w:tcBorders>
            <w:shd w:val="clear" w:color="auto" w:fill="auto"/>
            <w:vAlign w:val="center"/>
            <w:hideMark/>
          </w:tcPr>
          <w:p w14:paraId="173FDA63" w14:textId="4FC47DD8" w:rsidR="00E33F17" w:rsidRPr="00181464" w:rsidRDefault="00E33F17" w:rsidP="008447E2">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202</w:t>
            </w:r>
            <w:r w:rsidR="008447E2" w:rsidRPr="00181464">
              <w:rPr>
                <w:rFonts w:eastAsia="Times New Roman" w:cs="Times New Roman"/>
                <w:b/>
                <w:bCs/>
                <w:color w:val="000000"/>
                <w:sz w:val="18"/>
                <w:szCs w:val="18"/>
                <w:lang w:eastAsia="sk-SK"/>
              </w:rPr>
              <w:t>1</w:t>
            </w:r>
            <w:r w:rsidRPr="00181464">
              <w:rPr>
                <w:rFonts w:eastAsia="Times New Roman" w:cs="Times New Roman"/>
                <w:b/>
                <w:bCs/>
                <w:color w:val="000000"/>
                <w:sz w:val="18"/>
                <w:szCs w:val="18"/>
                <w:lang w:eastAsia="sk-SK"/>
              </w:rPr>
              <w:t xml:space="preserve"> S</w:t>
            </w:r>
          </w:p>
        </w:tc>
        <w:tc>
          <w:tcPr>
            <w:tcW w:w="503" w:type="pct"/>
            <w:gridSpan w:val="2"/>
            <w:tcBorders>
              <w:top w:val="nil"/>
              <w:left w:val="nil"/>
              <w:bottom w:val="nil"/>
              <w:right w:val="nil"/>
            </w:tcBorders>
            <w:shd w:val="clear" w:color="auto" w:fill="auto"/>
            <w:vAlign w:val="center"/>
            <w:hideMark/>
          </w:tcPr>
          <w:p w14:paraId="07A9D0F3" w14:textId="2F574B67" w:rsidR="00E33F17" w:rsidRPr="00181464" w:rsidRDefault="00E33F17" w:rsidP="008447E2">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202</w:t>
            </w:r>
            <w:r w:rsidR="008447E2" w:rsidRPr="00181464">
              <w:rPr>
                <w:rFonts w:eastAsia="Times New Roman" w:cs="Times New Roman"/>
                <w:b/>
                <w:bCs/>
                <w:color w:val="000000"/>
                <w:sz w:val="18"/>
                <w:szCs w:val="18"/>
                <w:lang w:eastAsia="sk-SK"/>
              </w:rPr>
              <w:t>2</w:t>
            </w:r>
            <w:r w:rsidRPr="00181464">
              <w:rPr>
                <w:rFonts w:eastAsia="Times New Roman" w:cs="Times New Roman"/>
                <w:b/>
                <w:bCs/>
                <w:color w:val="000000"/>
                <w:sz w:val="18"/>
                <w:szCs w:val="18"/>
                <w:lang w:eastAsia="sk-SK"/>
              </w:rPr>
              <w:t xml:space="preserve"> S</w:t>
            </w:r>
          </w:p>
        </w:tc>
        <w:tc>
          <w:tcPr>
            <w:tcW w:w="502" w:type="pct"/>
            <w:tcBorders>
              <w:top w:val="nil"/>
              <w:left w:val="nil"/>
              <w:bottom w:val="nil"/>
              <w:right w:val="nil"/>
            </w:tcBorders>
            <w:shd w:val="clear" w:color="auto" w:fill="auto"/>
            <w:vAlign w:val="center"/>
            <w:hideMark/>
          </w:tcPr>
          <w:p w14:paraId="18C1AA9C" w14:textId="1DBC1407" w:rsidR="00E33F17" w:rsidRPr="00181464" w:rsidRDefault="00E33F17" w:rsidP="008447E2">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202</w:t>
            </w:r>
            <w:r w:rsidR="008447E2" w:rsidRPr="00181464">
              <w:rPr>
                <w:rFonts w:eastAsia="Times New Roman" w:cs="Times New Roman"/>
                <w:b/>
                <w:bCs/>
                <w:color w:val="000000"/>
                <w:sz w:val="18"/>
                <w:szCs w:val="18"/>
                <w:lang w:eastAsia="sk-SK"/>
              </w:rPr>
              <w:t>3</w:t>
            </w:r>
            <w:r w:rsidRPr="00181464">
              <w:rPr>
                <w:rFonts w:eastAsia="Times New Roman" w:cs="Times New Roman"/>
                <w:b/>
                <w:bCs/>
                <w:color w:val="000000"/>
                <w:sz w:val="18"/>
                <w:szCs w:val="18"/>
                <w:lang w:eastAsia="sk-SK"/>
              </w:rPr>
              <w:t xml:space="preserve"> R</w:t>
            </w:r>
          </w:p>
        </w:tc>
        <w:tc>
          <w:tcPr>
            <w:tcW w:w="502" w:type="pct"/>
            <w:gridSpan w:val="2"/>
            <w:tcBorders>
              <w:top w:val="nil"/>
              <w:left w:val="nil"/>
              <w:bottom w:val="nil"/>
              <w:right w:val="nil"/>
            </w:tcBorders>
            <w:shd w:val="clear" w:color="auto" w:fill="auto"/>
            <w:vAlign w:val="center"/>
            <w:hideMark/>
          </w:tcPr>
          <w:p w14:paraId="58BADC37" w14:textId="3A941F07" w:rsidR="00E33F17" w:rsidRPr="00181464" w:rsidRDefault="00E33F17" w:rsidP="008447E2">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202</w:t>
            </w:r>
            <w:r w:rsidR="008447E2" w:rsidRPr="00181464">
              <w:rPr>
                <w:rFonts w:eastAsia="Times New Roman" w:cs="Times New Roman"/>
                <w:b/>
                <w:bCs/>
                <w:color w:val="000000"/>
                <w:sz w:val="18"/>
                <w:szCs w:val="18"/>
                <w:lang w:eastAsia="sk-SK"/>
              </w:rPr>
              <w:t>3</w:t>
            </w:r>
            <w:r w:rsidRPr="00181464">
              <w:rPr>
                <w:rFonts w:eastAsia="Times New Roman" w:cs="Times New Roman"/>
                <w:b/>
                <w:bCs/>
                <w:color w:val="000000"/>
                <w:sz w:val="18"/>
                <w:szCs w:val="18"/>
                <w:lang w:eastAsia="sk-SK"/>
              </w:rPr>
              <w:t xml:space="preserve"> S</w:t>
            </w:r>
          </w:p>
        </w:tc>
        <w:tc>
          <w:tcPr>
            <w:tcW w:w="470" w:type="pct"/>
            <w:gridSpan w:val="2"/>
            <w:tcBorders>
              <w:top w:val="nil"/>
              <w:left w:val="nil"/>
              <w:bottom w:val="nil"/>
              <w:right w:val="nil"/>
            </w:tcBorders>
            <w:shd w:val="clear" w:color="auto" w:fill="auto"/>
            <w:vAlign w:val="center"/>
            <w:hideMark/>
          </w:tcPr>
          <w:p w14:paraId="139F1701" w14:textId="77777777" w:rsidR="00E33F17" w:rsidRPr="00181464" w:rsidRDefault="00E33F17" w:rsidP="00E33F17">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Rozdiel</w:t>
            </w:r>
          </w:p>
        </w:tc>
        <w:tc>
          <w:tcPr>
            <w:tcW w:w="437" w:type="pct"/>
            <w:gridSpan w:val="4"/>
            <w:tcBorders>
              <w:top w:val="nil"/>
              <w:left w:val="nil"/>
              <w:bottom w:val="nil"/>
              <w:right w:val="nil"/>
            </w:tcBorders>
            <w:shd w:val="clear" w:color="auto" w:fill="auto"/>
            <w:vAlign w:val="center"/>
          </w:tcPr>
          <w:p w14:paraId="59423FDA" w14:textId="77777777" w:rsidR="00E33F17" w:rsidRPr="00181464" w:rsidRDefault="00E33F17" w:rsidP="00E33F17">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v %</w:t>
            </w:r>
          </w:p>
        </w:tc>
      </w:tr>
      <w:tr w:rsidR="00E33F17" w:rsidRPr="00181464" w14:paraId="6F85338A" w14:textId="77777777" w:rsidTr="0028448B">
        <w:trPr>
          <w:trHeight w:val="174"/>
        </w:trPr>
        <w:tc>
          <w:tcPr>
            <w:tcW w:w="2083" w:type="pct"/>
            <w:gridSpan w:val="2"/>
            <w:vMerge/>
            <w:tcBorders>
              <w:left w:val="nil"/>
              <w:bottom w:val="single" w:sz="8" w:space="0" w:color="auto"/>
              <w:right w:val="nil"/>
            </w:tcBorders>
            <w:shd w:val="clear" w:color="auto" w:fill="auto"/>
            <w:vAlign w:val="center"/>
            <w:hideMark/>
          </w:tcPr>
          <w:p w14:paraId="3DAA929C" w14:textId="77777777" w:rsidR="00E33F17" w:rsidRPr="00181464" w:rsidRDefault="00E33F17" w:rsidP="00E33F17">
            <w:pPr>
              <w:spacing w:after="0" w:line="240" w:lineRule="auto"/>
              <w:jc w:val="left"/>
              <w:rPr>
                <w:rFonts w:eastAsia="Times New Roman" w:cs="Times New Roman"/>
                <w:b/>
                <w:bCs/>
                <w:color w:val="FFFFFF"/>
                <w:sz w:val="18"/>
                <w:szCs w:val="18"/>
                <w:lang w:eastAsia="sk-SK"/>
              </w:rPr>
            </w:pPr>
          </w:p>
        </w:tc>
        <w:tc>
          <w:tcPr>
            <w:tcW w:w="502" w:type="pct"/>
            <w:tcBorders>
              <w:top w:val="nil"/>
              <w:left w:val="nil"/>
              <w:bottom w:val="single" w:sz="8" w:space="0" w:color="auto"/>
              <w:right w:val="nil"/>
            </w:tcBorders>
            <w:shd w:val="clear" w:color="auto" w:fill="auto"/>
            <w:vAlign w:val="center"/>
            <w:hideMark/>
          </w:tcPr>
          <w:p w14:paraId="53C7499B" w14:textId="77777777" w:rsidR="00E33F17" w:rsidRPr="00181464" w:rsidRDefault="00E33F17" w:rsidP="00E33F17">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1</w:t>
            </w:r>
          </w:p>
        </w:tc>
        <w:tc>
          <w:tcPr>
            <w:tcW w:w="503" w:type="pct"/>
            <w:gridSpan w:val="2"/>
            <w:tcBorders>
              <w:top w:val="nil"/>
              <w:left w:val="nil"/>
              <w:bottom w:val="single" w:sz="8" w:space="0" w:color="auto"/>
              <w:right w:val="nil"/>
            </w:tcBorders>
            <w:shd w:val="clear" w:color="auto" w:fill="auto"/>
            <w:vAlign w:val="center"/>
            <w:hideMark/>
          </w:tcPr>
          <w:p w14:paraId="1F5F9E78" w14:textId="77777777" w:rsidR="00E33F17" w:rsidRPr="00181464" w:rsidRDefault="00E33F17" w:rsidP="00E33F17">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2</w:t>
            </w:r>
          </w:p>
        </w:tc>
        <w:tc>
          <w:tcPr>
            <w:tcW w:w="502" w:type="pct"/>
            <w:tcBorders>
              <w:top w:val="nil"/>
              <w:left w:val="nil"/>
              <w:bottom w:val="single" w:sz="8" w:space="0" w:color="auto"/>
              <w:right w:val="nil"/>
            </w:tcBorders>
            <w:shd w:val="clear" w:color="auto" w:fill="auto"/>
            <w:vAlign w:val="center"/>
            <w:hideMark/>
          </w:tcPr>
          <w:p w14:paraId="324F2F4C" w14:textId="77777777" w:rsidR="00E33F17" w:rsidRPr="00181464" w:rsidRDefault="00E33F17" w:rsidP="00E33F17">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3</w:t>
            </w:r>
          </w:p>
        </w:tc>
        <w:tc>
          <w:tcPr>
            <w:tcW w:w="502" w:type="pct"/>
            <w:gridSpan w:val="2"/>
            <w:tcBorders>
              <w:top w:val="nil"/>
              <w:left w:val="nil"/>
              <w:bottom w:val="single" w:sz="8" w:space="0" w:color="auto"/>
              <w:right w:val="nil"/>
            </w:tcBorders>
            <w:shd w:val="clear" w:color="auto" w:fill="auto"/>
            <w:vAlign w:val="center"/>
            <w:hideMark/>
          </w:tcPr>
          <w:p w14:paraId="22D637F3" w14:textId="77777777" w:rsidR="00E33F17" w:rsidRPr="00181464" w:rsidRDefault="00E33F17" w:rsidP="00E33F17">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4</w:t>
            </w:r>
          </w:p>
        </w:tc>
        <w:tc>
          <w:tcPr>
            <w:tcW w:w="547" w:type="pct"/>
            <w:gridSpan w:val="4"/>
            <w:tcBorders>
              <w:top w:val="nil"/>
              <w:left w:val="nil"/>
              <w:bottom w:val="single" w:sz="8" w:space="0" w:color="auto"/>
              <w:right w:val="nil"/>
            </w:tcBorders>
            <w:shd w:val="clear" w:color="auto" w:fill="auto"/>
            <w:vAlign w:val="center"/>
            <w:hideMark/>
          </w:tcPr>
          <w:p w14:paraId="0F2D27BE" w14:textId="77777777" w:rsidR="00E33F17" w:rsidRPr="00181464" w:rsidRDefault="00E33F17" w:rsidP="00E33F17">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5=4-3</w:t>
            </w:r>
          </w:p>
        </w:tc>
        <w:tc>
          <w:tcPr>
            <w:tcW w:w="360" w:type="pct"/>
            <w:gridSpan w:val="2"/>
            <w:tcBorders>
              <w:top w:val="nil"/>
              <w:left w:val="nil"/>
              <w:bottom w:val="single" w:sz="8" w:space="0" w:color="auto"/>
              <w:right w:val="nil"/>
            </w:tcBorders>
            <w:shd w:val="clear" w:color="auto" w:fill="auto"/>
            <w:vAlign w:val="center"/>
            <w:hideMark/>
          </w:tcPr>
          <w:p w14:paraId="525A5BEB" w14:textId="77777777" w:rsidR="00E33F17" w:rsidRPr="00181464" w:rsidRDefault="00E33F17" w:rsidP="00E33F17">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6=4-3</w:t>
            </w:r>
          </w:p>
        </w:tc>
      </w:tr>
      <w:tr w:rsidR="0028448B" w:rsidRPr="00181464" w14:paraId="31A37E6E" w14:textId="77777777" w:rsidTr="0028448B">
        <w:trPr>
          <w:trHeight w:val="330"/>
        </w:trPr>
        <w:tc>
          <w:tcPr>
            <w:tcW w:w="2083" w:type="pct"/>
            <w:gridSpan w:val="2"/>
            <w:tcBorders>
              <w:top w:val="nil"/>
              <w:left w:val="nil"/>
              <w:bottom w:val="nil"/>
              <w:right w:val="nil"/>
            </w:tcBorders>
            <w:shd w:val="clear" w:color="000000" w:fill="FFFFFF"/>
            <w:vAlign w:val="center"/>
            <w:hideMark/>
          </w:tcPr>
          <w:p w14:paraId="641727EC" w14:textId="77777777" w:rsidR="00E33F17" w:rsidRPr="00181464" w:rsidRDefault="00E33F17" w:rsidP="00E33F17">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Poľnohospodárske fondy 3. programové obdobie</w:t>
            </w:r>
          </w:p>
        </w:tc>
        <w:tc>
          <w:tcPr>
            <w:tcW w:w="502" w:type="pct"/>
            <w:tcBorders>
              <w:top w:val="nil"/>
              <w:left w:val="nil"/>
              <w:bottom w:val="nil"/>
              <w:right w:val="nil"/>
            </w:tcBorders>
            <w:shd w:val="clear" w:color="000000" w:fill="FFFFFF"/>
            <w:noWrap/>
            <w:vAlign w:val="center"/>
            <w:hideMark/>
          </w:tcPr>
          <w:p w14:paraId="67636D10" w14:textId="3DF45ED8" w:rsidR="00E33F17" w:rsidRPr="00181464" w:rsidRDefault="00E33F17" w:rsidP="00E33F17">
            <w:pPr>
              <w:spacing w:after="0" w:line="240" w:lineRule="auto"/>
              <w:jc w:val="right"/>
              <w:rPr>
                <w:rFonts w:eastAsia="Times New Roman" w:cs="Times New Roman"/>
                <w:color w:val="000000"/>
                <w:sz w:val="18"/>
                <w:szCs w:val="18"/>
                <w:lang w:eastAsia="sk-SK"/>
              </w:rPr>
            </w:pPr>
            <w:r w:rsidRPr="00181464">
              <w:rPr>
                <w:color w:val="000000"/>
                <w:sz w:val="18"/>
                <w:szCs w:val="18"/>
              </w:rPr>
              <w:t>496 098</w:t>
            </w:r>
          </w:p>
        </w:tc>
        <w:tc>
          <w:tcPr>
            <w:tcW w:w="503" w:type="pct"/>
            <w:gridSpan w:val="2"/>
            <w:tcBorders>
              <w:top w:val="nil"/>
              <w:left w:val="nil"/>
              <w:bottom w:val="nil"/>
              <w:right w:val="nil"/>
            </w:tcBorders>
            <w:shd w:val="clear" w:color="000000" w:fill="FFFFFF"/>
            <w:noWrap/>
            <w:vAlign w:val="center"/>
            <w:hideMark/>
          </w:tcPr>
          <w:p w14:paraId="6C5BE0F7" w14:textId="60F4700D" w:rsidR="00E33F17" w:rsidRPr="00181464" w:rsidRDefault="00E33F17" w:rsidP="00E33F17">
            <w:pPr>
              <w:spacing w:after="0" w:line="240" w:lineRule="auto"/>
              <w:jc w:val="right"/>
              <w:rPr>
                <w:rFonts w:eastAsia="Times New Roman" w:cs="Times New Roman"/>
                <w:color w:val="000000"/>
                <w:sz w:val="18"/>
                <w:szCs w:val="18"/>
                <w:lang w:eastAsia="sk-SK"/>
              </w:rPr>
            </w:pPr>
            <w:r w:rsidRPr="00181464">
              <w:rPr>
                <w:color w:val="000000"/>
                <w:sz w:val="18"/>
                <w:szCs w:val="18"/>
              </w:rPr>
              <w:t>371 783</w:t>
            </w:r>
          </w:p>
        </w:tc>
        <w:tc>
          <w:tcPr>
            <w:tcW w:w="502" w:type="pct"/>
            <w:tcBorders>
              <w:top w:val="nil"/>
              <w:left w:val="nil"/>
              <w:bottom w:val="nil"/>
              <w:right w:val="nil"/>
            </w:tcBorders>
            <w:shd w:val="clear" w:color="000000" w:fill="FFFFFF"/>
            <w:noWrap/>
            <w:vAlign w:val="center"/>
            <w:hideMark/>
          </w:tcPr>
          <w:p w14:paraId="1BD261FD" w14:textId="4A9CB882" w:rsidR="00E33F17" w:rsidRPr="00181464" w:rsidRDefault="00E33F17" w:rsidP="00E33F17">
            <w:pPr>
              <w:spacing w:after="0" w:line="240" w:lineRule="auto"/>
              <w:jc w:val="right"/>
              <w:rPr>
                <w:rFonts w:eastAsia="Times New Roman" w:cs="Times New Roman"/>
                <w:color w:val="000000"/>
                <w:sz w:val="18"/>
                <w:szCs w:val="18"/>
                <w:lang w:eastAsia="sk-SK"/>
              </w:rPr>
            </w:pPr>
            <w:r w:rsidRPr="00181464">
              <w:rPr>
                <w:color w:val="000000"/>
                <w:sz w:val="18"/>
                <w:szCs w:val="18"/>
              </w:rPr>
              <w:t>74 217</w:t>
            </w:r>
          </w:p>
        </w:tc>
        <w:tc>
          <w:tcPr>
            <w:tcW w:w="502" w:type="pct"/>
            <w:gridSpan w:val="2"/>
            <w:tcBorders>
              <w:top w:val="nil"/>
              <w:left w:val="nil"/>
              <w:bottom w:val="nil"/>
              <w:right w:val="nil"/>
            </w:tcBorders>
            <w:shd w:val="clear" w:color="auto" w:fill="auto"/>
            <w:noWrap/>
            <w:vAlign w:val="center"/>
            <w:hideMark/>
          </w:tcPr>
          <w:p w14:paraId="7105DCEE" w14:textId="5250E25B" w:rsidR="00E33F17" w:rsidRPr="00181464" w:rsidRDefault="00E33F17" w:rsidP="00E33F17">
            <w:pPr>
              <w:spacing w:after="0" w:line="240" w:lineRule="auto"/>
              <w:jc w:val="right"/>
              <w:rPr>
                <w:rFonts w:eastAsia="Times New Roman" w:cs="Times New Roman"/>
                <w:color w:val="000000"/>
                <w:sz w:val="18"/>
                <w:szCs w:val="18"/>
                <w:lang w:eastAsia="sk-SK"/>
              </w:rPr>
            </w:pPr>
            <w:r w:rsidRPr="00181464">
              <w:rPr>
                <w:color w:val="000000"/>
                <w:sz w:val="18"/>
                <w:szCs w:val="18"/>
              </w:rPr>
              <w:t>369 382</w:t>
            </w:r>
          </w:p>
        </w:tc>
        <w:tc>
          <w:tcPr>
            <w:tcW w:w="547" w:type="pct"/>
            <w:gridSpan w:val="4"/>
            <w:tcBorders>
              <w:top w:val="nil"/>
              <w:left w:val="nil"/>
              <w:bottom w:val="nil"/>
              <w:right w:val="nil"/>
            </w:tcBorders>
            <w:shd w:val="clear" w:color="000000" w:fill="FFFFFF"/>
            <w:noWrap/>
            <w:vAlign w:val="center"/>
            <w:hideMark/>
          </w:tcPr>
          <w:p w14:paraId="08F9953E" w14:textId="5BBC62C1" w:rsidR="00E33F17" w:rsidRPr="00181464" w:rsidRDefault="00E33F17" w:rsidP="00E33F17">
            <w:pPr>
              <w:spacing w:after="0" w:line="240" w:lineRule="auto"/>
              <w:jc w:val="right"/>
              <w:rPr>
                <w:rFonts w:eastAsia="Times New Roman" w:cs="Times New Roman"/>
                <w:color w:val="000000"/>
                <w:sz w:val="18"/>
                <w:szCs w:val="18"/>
                <w:lang w:eastAsia="sk-SK"/>
              </w:rPr>
            </w:pPr>
            <w:r w:rsidRPr="00181464">
              <w:rPr>
                <w:color w:val="000000"/>
                <w:sz w:val="18"/>
                <w:szCs w:val="18"/>
              </w:rPr>
              <w:t>295 165</w:t>
            </w:r>
          </w:p>
        </w:tc>
        <w:tc>
          <w:tcPr>
            <w:tcW w:w="360" w:type="pct"/>
            <w:gridSpan w:val="2"/>
            <w:tcBorders>
              <w:top w:val="nil"/>
              <w:left w:val="nil"/>
              <w:bottom w:val="nil"/>
              <w:right w:val="nil"/>
            </w:tcBorders>
            <w:shd w:val="clear" w:color="000000" w:fill="FFFFFF"/>
            <w:noWrap/>
            <w:vAlign w:val="center"/>
            <w:hideMark/>
          </w:tcPr>
          <w:p w14:paraId="69DF2BE2" w14:textId="69DE3745" w:rsidR="00E33F17" w:rsidRPr="00181464" w:rsidRDefault="00E33F17" w:rsidP="00E33F17">
            <w:pPr>
              <w:spacing w:after="0" w:line="240" w:lineRule="auto"/>
              <w:jc w:val="right"/>
              <w:rPr>
                <w:rFonts w:eastAsia="Times New Roman" w:cs="Times New Roman"/>
                <w:color w:val="000000"/>
                <w:sz w:val="18"/>
                <w:szCs w:val="18"/>
                <w:lang w:eastAsia="sk-SK"/>
              </w:rPr>
            </w:pPr>
            <w:r w:rsidRPr="00181464">
              <w:rPr>
                <w:color w:val="000000"/>
                <w:sz w:val="18"/>
                <w:szCs w:val="18"/>
              </w:rPr>
              <w:t>397,7</w:t>
            </w:r>
          </w:p>
        </w:tc>
      </w:tr>
      <w:tr w:rsidR="0028448B" w:rsidRPr="00181464" w14:paraId="6A538498" w14:textId="77777777" w:rsidTr="0028448B">
        <w:trPr>
          <w:trHeight w:val="330"/>
        </w:trPr>
        <w:tc>
          <w:tcPr>
            <w:tcW w:w="2083" w:type="pct"/>
            <w:gridSpan w:val="2"/>
            <w:tcBorders>
              <w:top w:val="nil"/>
              <w:left w:val="nil"/>
              <w:bottom w:val="nil"/>
              <w:right w:val="nil"/>
            </w:tcBorders>
            <w:shd w:val="clear" w:color="000000" w:fill="FFFFFF"/>
            <w:vAlign w:val="center"/>
          </w:tcPr>
          <w:p w14:paraId="68360911" w14:textId="77777777" w:rsidR="00E33F17" w:rsidRPr="00181464" w:rsidRDefault="00E33F17" w:rsidP="00E33F17">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Poľnohospodárske fondy 4. programové obdobie</w:t>
            </w:r>
          </w:p>
        </w:tc>
        <w:tc>
          <w:tcPr>
            <w:tcW w:w="502" w:type="pct"/>
            <w:tcBorders>
              <w:top w:val="nil"/>
              <w:left w:val="nil"/>
              <w:bottom w:val="nil"/>
              <w:right w:val="nil"/>
            </w:tcBorders>
            <w:shd w:val="clear" w:color="000000" w:fill="FFFFFF"/>
            <w:noWrap/>
            <w:vAlign w:val="center"/>
          </w:tcPr>
          <w:p w14:paraId="7C06B979" w14:textId="1F1A438E" w:rsidR="00E33F17" w:rsidRPr="00181464" w:rsidRDefault="00E33F17" w:rsidP="00E33F17">
            <w:pPr>
              <w:spacing w:after="0" w:line="240" w:lineRule="auto"/>
              <w:jc w:val="right"/>
              <w:rPr>
                <w:rFonts w:eastAsia="Times New Roman" w:cs="Times New Roman"/>
                <w:color w:val="000000"/>
                <w:sz w:val="18"/>
                <w:szCs w:val="18"/>
                <w:lang w:eastAsia="sk-SK"/>
              </w:rPr>
            </w:pPr>
            <w:r w:rsidRPr="00181464">
              <w:rPr>
                <w:color w:val="000000"/>
                <w:sz w:val="18"/>
                <w:szCs w:val="18"/>
              </w:rPr>
              <w:t>0</w:t>
            </w:r>
          </w:p>
        </w:tc>
        <w:tc>
          <w:tcPr>
            <w:tcW w:w="503" w:type="pct"/>
            <w:gridSpan w:val="2"/>
            <w:tcBorders>
              <w:top w:val="nil"/>
              <w:left w:val="nil"/>
              <w:bottom w:val="nil"/>
              <w:right w:val="nil"/>
            </w:tcBorders>
            <w:shd w:val="clear" w:color="000000" w:fill="FFFFFF"/>
            <w:noWrap/>
            <w:vAlign w:val="center"/>
          </w:tcPr>
          <w:p w14:paraId="2906512B" w14:textId="4D7A0496" w:rsidR="00E33F17" w:rsidRPr="00181464" w:rsidRDefault="00E33F17" w:rsidP="00E33F17">
            <w:pPr>
              <w:spacing w:after="0" w:line="240" w:lineRule="auto"/>
              <w:jc w:val="right"/>
              <w:rPr>
                <w:rFonts w:eastAsia="Times New Roman" w:cs="Times New Roman"/>
                <w:color w:val="000000"/>
                <w:sz w:val="18"/>
                <w:szCs w:val="18"/>
                <w:lang w:eastAsia="sk-SK"/>
              </w:rPr>
            </w:pPr>
            <w:r w:rsidRPr="00181464">
              <w:rPr>
                <w:color w:val="000000"/>
                <w:sz w:val="18"/>
                <w:szCs w:val="18"/>
              </w:rPr>
              <w:t>0</w:t>
            </w:r>
          </w:p>
        </w:tc>
        <w:tc>
          <w:tcPr>
            <w:tcW w:w="502" w:type="pct"/>
            <w:tcBorders>
              <w:top w:val="nil"/>
              <w:left w:val="nil"/>
              <w:bottom w:val="nil"/>
              <w:right w:val="nil"/>
            </w:tcBorders>
            <w:shd w:val="clear" w:color="000000" w:fill="FFFFFF"/>
            <w:noWrap/>
            <w:vAlign w:val="center"/>
          </w:tcPr>
          <w:p w14:paraId="72649BFC" w14:textId="1E69D10C" w:rsidR="00E33F17" w:rsidRPr="00181464" w:rsidRDefault="00E33F17" w:rsidP="00E33F17">
            <w:pPr>
              <w:spacing w:after="0" w:line="240" w:lineRule="auto"/>
              <w:jc w:val="right"/>
              <w:rPr>
                <w:rFonts w:eastAsia="Times New Roman" w:cs="Times New Roman"/>
                <w:color w:val="000000"/>
                <w:sz w:val="18"/>
                <w:szCs w:val="18"/>
                <w:lang w:eastAsia="sk-SK"/>
              </w:rPr>
            </w:pPr>
            <w:r w:rsidRPr="00181464">
              <w:rPr>
                <w:color w:val="000000"/>
                <w:sz w:val="18"/>
                <w:szCs w:val="18"/>
              </w:rPr>
              <w:t>559 067</w:t>
            </w:r>
          </w:p>
        </w:tc>
        <w:tc>
          <w:tcPr>
            <w:tcW w:w="502" w:type="pct"/>
            <w:gridSpan w:val="2"/>
            <w:tcBorders>
              <w:top w:val="nil"/>
              <w:left w:val="nil"/>
              <w:bottom w:val="nil"/>
              <w:right w:val="nil"/>
            </w:tcBorders>
            <w:shd w:val="clear" w:color="auto" w:fill="auto"/>
            <w:noWrap/>
            <w:vAlign w:val="center"/>
          </w:tcPr>
          <w:p w14:paraId="18C109B0" w14:textId="0A7B6811" w:rsidR="00E33F17" w:rsidRPr="00181464" w:rsidRDefault="00E33F17" w:rsidP="00E33F17">
            <w:pPr>
              <w:spacing w:after="0" w:line="240" w:lineRule="auto"/>
              <w:jc w:val="right"/>
              <w:rPr>
                <w:rFonts w:eastAsia="Times New Roman" w:cs="Times New Roman"/>
                <w:color w:val="000000"/>
                <w:sz w:val="18"/>
                <w:szCs w:val="18"/>
                <w:lang w:eastAsia="sk-SK"/>
              </w:rPr>
            </w:pPr>
            <w:r w:rsidRPr="00181464">
              <w:rPr>
                <w:color w:val="000000"/>
                <w:sz w:val="18"/>
                <w:szCs w:val="18"/>
              </w:rPr>
              <w:t>124 883</w:t>
            </w:r>
          </w:p>
        </w:tc>
        <w:tc>
          <w:tcPr>
            <w:tcW w:w="547" w:type="pct"/>
            <w:gridSpan w:val="4"/>
            <w:tcBorders>
              <w:top w:val="nil"/>
              <w:left w:val="nil"/>
              <w:bottom w:val="nil"/>
              <w:right w:val="nil"/>
            </w:tcBorders>
            <w:shd w:val="clear" w:color="000000" w:fill="FFFFFF"/>
            <w:noWrap/>
            <w:vAlign w:val="center"/>
          </w:tcPr>
          <w:p w14:paraId="409D5138" w14:textId="21C7A291" w:rsidR="00E33F17" w:rsidRPr="00181464" w:rsidRDefault="00E33F17" w:rsidP="00E33F17">
            <w:pPr>
              <w:spacing w:after="0" w:line="240" w:lineRule="auto"/>
              <w:jc w:val="right"/>
              <w:rPr>
                <w:rFonts w:eastAsia="Times New Roman" w:cs="Times New Roman"/>
                <w:color w:val="000000"/>
                <w:sz w:val="18"/>
                <w:szCs w:val="18"/>
                <w:lang w:eastAsia="sk-SK"/>
              </w:rPr>
            </w:pPr>
            <w:r w:rsidRPr="00181464">
              <w:rPr>
                <w:color w:val="000000"/>
                <w:sz w:val="18"/>
                <w:szCs w:val="18"/>
              </w:rPr>
              <w:t>-434 184</w:t>
            </w:r>
          </w:p>
        </w:tc>
        <w:tc>
          <w:tcPr>
            <w:tcW w:w="360" w:type="pct"/>
            <w:gridSpan w:val="2"/>
            <w:tcBorders>
              <w:top w:val="nil"/>
              <w:left w:val="nil"/>
              <w:bottom w:val="nil"/>
              <w:right w:val="nil"/>
            </w:tcBorders>
            <w:shd w:val="clear" w:color="000000" w:fill="FFFFFF"/>
            <w:noWrap/>
            <w:vAlign w:val="center"/>
          </w:tcPr>
          <w:p w14:paraId="6E41B898" w14:textId="5B3ABB14" w:rsidR="00E33F17" w:rsidRPr="00181464" w:rsidRDefault="00E33F17" w:rsidP="00E33F17">
            <w:pPr>
              <w:spacing w:after="0" w:line="240" w:lineRule="auto"/>
              <w:jc w:val="right"/>
              <w:rPr>
                <w:rFonts w:eastAsia="Times New Roman" w:cs="Times New Roman"/>
                <w:color w:val="000000"/>
                <w:sz w:val="18"/>
                <w:szCs w:val="18"/>
                <w:lang w:eastAsia="sk-SK"/>
              </w:rPr>
            </w:pPr>
            <w:r w:rsidRPr="00181464">
              <w:rPr>
                <w:color w:val="000000"/>
                <w:sz w:val="18"/>
                <w:szCs w:val="18"/>
              </w:rPr>
              <w:t>-77,7</w:t>
            </w:r>
          </w:p>
        </w:tc>
      </w:tr>
      <w:tr w:rsidR="0028448B" w:rsidRPr="00181464" w14:paraId="14D778A6" w14:textId="77777777" w:rsidTr="0028448B">
        <w:trPr>
          <w:trHeight w:val="330"/>
        </w:trPr>
        <w:tc>
          <w:tcPr>
            <w:tcW w:w="2083" w:type="pct"/>
            <w:gridSpan w:val="2"/>
            <w:tcBorders>
              <w:top w:val="nil"/>
              <w:left w:val="nil"/>
              <w:bottom w:val="nil"/>
              <w:right w:val="nil"/>
            </w:tcBorders>
            <w:shd w:val="clear" w:color="000000" w:fill="FFFFFF"/>
            <w:vAlign w:val="center"/>
            <w:hideMark/>
          </w:tcPr>
          <w:p w14:paraId="2112B248" w14:textId="77777777" w:rsidR="00E33F17" w:rsidRPr="00181464" w:rsidRDefault="00E33F17" w:rsidP="00E33F17">
            <w:pPr>
              <w:spacing w:after="0" w:line="240" w:lineRule="auto"/>
              <w:jc w:val="lef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Poľnohospodárske fondy spolu - MPRV SR</w:t>
            </w:r>
          </w:p>
        </w:tc>
        <w:tc>
          <w:tcPr>
            <w:tcW w:w="502" w:type="pct"/>
            <w:tcBorders>
              <w:top w:val="nil"/>
              <w:left w:val="nil"/>
              <w:bottom w:val="nil"/>
              <w:right w:val="nil"/>
            </w:tcBorders>
            <w:shd w:val="clear" w:color="000000" w:fill="FFFFFF"/>
            <w:noWrap/>
            <w:vAlign w:val="center"/>
            <w:hideMark/>
          </w:tcPr>
          <w:p w14:paraId="654E3FAF" w14:textId="4CAD570D" w:rsidR="00E33F17" w:rsidRPr="00181464" w:rsidRDefault="00E33F17" w:rsidP="00E33F17">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496 098</w:t>
            </w:r>
          </w:p>
        </w:tc>
        <w:tc>
          <w:tcPr>
            <w:tcW w:w="503" w:type="pct"/>
            <w:gridSpan w:val="2"/>
            <w:tcBorders>
              <w:top w:val="nil"/>
              <w:left w:val="nil"/>
              <w:bottom w:val="nil"/>
              <w:right w:val="nil"/>
            </w:tcBorders>
            <w:shd w:val="clear" w:color="000000" w:fill="FFFFFF"/>
            <w:noWrap/>
            <w:vAlign w:val="center"/>
            <w:hideMark/>
          </w:tcPr>
          <w:p w14:paraId="05EDFA03" w14:textId="398340F3" w:rsidR="00E33F17" w:rsidRPr="00181464" w:rsidRDefault="00E33F17" w:rsidP="00E33F17">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371 783</w:t>
            </w:r>
          </w:p>
        </w:tc>
        <w:tc>
          <w:tcPr>
            <w:tcW w:w="502" w:type="pct"/>
            <w:tcBorders>
              <w:top w:val="nil"/>
              <w:left w:val="nil"/>
              <w:bottom w:val="nil"/>
              <w:right w:val="nil"/>
            </w:tcBorders>
            <w:shd w:val="clear" w:color="000000" w:fill="FFFFFF"/>
            <w:noWrap/>
            <w:vAlign w:val="center"/>
            <w:hideMark/>
          </w:tcPr>
          <w:p w14:paraId="159D0BFA" w14:textId="18739A8F" w:rsidR="00E33F17" w:rsidRPr="00181464" w:rsidRDefault="00E33F17" w:rsidP="00E33F17">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633 284</w:t>
            </w:r>
          </w:p>
        </w:tc>
        <w:tc>
          <w:tcPr>
            <w:tcW w:w="502" w:type="pct"/>
            <w:gridSpan w:val="2"/>
            <w:tcBorders>
              <w:top w:val="nil"/>
              <w:left w:val="nil"/>
              <w:bottom w:val="nil"/>
              <w:right w:val="nil"/>
            </w:tcBorders>
            <w:shd w:val="clear" w:color="000000" w:fill="FFFFFF"/>
            <w:noWrap/>
            <w:vAlign w:val="center"/>
            <w:hideMark/>
          </w:tcPr>
          <w:p w14:paraId="44E122DA" w14:textId="7A4EFDB6" w:rsidR="00E33F17" w:rsidRPr="00181464" w:rsidRDefault="00E33F17" w:rsidP="00E33F17">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494 265</w:t>
            </w:r>
          </w:p>
        </w:tc>
        <w:tc>
          <w:tcPr>
            <w:tcW w:w="547" w:type="pct"/>
            <w:gridSpan w:val="4"/>
            <w:tcBorders>
              <w:top w:val="nil"/>
              <w:left w:val="nil"/>
              <w:bottom w:val="nil"/>
              <w:right w:val="nil"/>
            </w:tcBorders>
            <w:shd w:val="clear" w:color="000000" w:fill="FFFFFF"/>
            <w:noWrap/>
            <w:vAlign w:val="center"/>
            <w:hideMark/>
          </w:tcPr>
          <w:p w14:paraId="0C02E568" w14:textId="104ADEC3" w:rsidR="00E33F17" w:rsidRPr="00181464" w:rsidRDefault="00E33F17" w:rsidP="00E33F17">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-139 019</w:t>
            </w:r>
          </w:p>
        </w:tc>
        <w:tc>
          <w:tcPr>
            <w:tcW w:w="360" w:type="pct"/>
            <w:gridSpan w:val="2"/>
            <w:tcBorders>
              <w:top w:val="nil"/>
              <w:left w:val="nil"/>
              <w:bottom w:val="nil"/>
              <w:right w:val="nil"/>
            </w:tcBorders>
            <w:shd w:val="clear" w:color="000000" w:fill="FFFFFF"/>
            <w:noWrap/>
            <w:vAlign w:val="center"/>
            <w:hideMark/>
          </w:tcPr>
          <w:p w14:paraId="662782F2" w14:textId="6568DAD4" w:rsidR="00E33F17" w:rsidRPr="00181464" w:rsidRDefault="00E33F17" w:rsidP="00E33F17">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-22,0</w:t>
            </w:r>
          </w:p>
        </w:tc>
      </w:tr>
      <w:tr w:rsidR="00E33F17" w:rsidRPr="00181464" w14:paraId="225BDA7C" w14:textId="77777777" w:rsidTr="0028448B">
        <w:trPr>
          <w:trHeight w:val="510"/>
        </w:trPr>
        <w:tc>
          <w:tcPr>
            <w:tcW w:w="2083" w:type="pct"/>
            <w:gridSpan w:val="2"/>
            <w:tcBorders>
              <w:top w:val="nil"/>
              <w:left w:val="nil"/>
              <w:bottom w:val="nil"/>
              <w:right w:val="nil"/>
            </w:tcBorders>
            <w:shd w:val="clear" w:color="000000" w:fill="FFFFFF"/>
            <w:vAlign w:val="center"/>
            <w:hideMark/>
          </w:tcPr>
          <w:p w14:paraId="293C4003" w14:textId="77777777" w:rsidR="00E33F17" w:rsidRPr="00181464" w:rsidRDefault="00E33F17" w:rsidP="00E33F17">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 xml:space="preserve">Štrukturálne fondy, Kohézny fond, Európsky fond pre rybné hospodárstvo 2. programové obdobie </w:t>
            </w:r>
          </w:p>
        </w:tc>
        <w:tc>
          <w:tcPr>
            <w:tcW w:w="502" w:type="pct"/>
            <w:tcBorders>
              <w:top w:val="nil"/>
              <w:left w:val="nil"/>
              <w:bottom w:val="nil"/>
              <w:right w:val="nil"/>
            </w:tcBorders>
            <w:shd w:val="clear" w:color="auto" w:fill="auto"/>
            <w:noWrap/>
            <w:vAlign w:val="center"/>
            <w:hideMark/>
          </w:tcPr>
          <w:p w14:paraId="0770866A" w14:textId="060CF614"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0</w:t>
            </w:r>
          </w:p>
        </w:tc>
        <w:tc>
          <w:tcPr>
            <w:tcW w:w="503" w:type="pct"/>
            <w:gridSpan w:val="2"/>
            <w:tcBorders>
              <w:top w:val="nil"/>
              <w:left w:val="nil"/>
              <w:bottom w:val="nil"/>
              <w:right w:val="nil"/>
            </w:tcBorders>
            <w:shd w:val="clear" w:color="000000" w:fill="FFFFFF"/>
            <w:noWrap/>
            <w:vAlign w:val="center"/>
            <w:hideMark/>
          </w:tcPr>
          <w:p w14:paraId="02E14363" w14:textId="227B3F06"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2 786</w:t>
            </w:r>
          </w:p>
        </w:tc>
        <w:tc>
          <w:tcPr>
            <w:tcW w:w="502" w:type="pct"/>
            <w:tcBorders>
              <w:top w:val="nil"/>
              <w:left w:val="nil"/>
              <w:bottom w:val="nil"/>
              <w:right w:val="nil"/>
            </w:tcBorders>
            <w:shd w:val="clear" w:color="000000" w:fill="FFFFFF"/>
            <w:noWrap/>
            <w:vAlign w:val="center"/>
            <w:hideMark/>
          </w:tcPr>
          <w:p w14:paraId="16E2ED42" w14:textId="05140AB5"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0</w:t>
            </w:r>
          </w:p>
        </w:tc>
        <w:tc>
          <w:tcPr>
            <w:tcW w:w="502" w:type="pct"/>
            <w:gridSpan w:val="2"/>
            <w:tcBorders>
              <w:top w:val="nil"/>
              <w:left w:val="nil"/>
              <w:bottom w:val="nil"/>
              <w:right w:val="nil"/>
            </w:tcBorders>
            <w:shd w:val="clear" w:color="000000" w:fill="FFFFFF"/>
            <w:noWrap/>
            <w:vAlign w:val="center"/>
            <w:hideMark/>
          </w:tcPr>
          <w:p w14:paraId="1AB4AA9D" w14:textId="1FF1AAA0"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11 365</w:t>
            </w:r>
          </w:p>
        </w:tc>
        <w:tc>
          <w:tcPr>
            <w:tcW w:w="547" w:type="pct"/>
            <w:gridSpan w:val="4"/>
            <w:tcBorders>
              <w:top w:val="nil"/>
              <w:left w:val="nil"/>
              <w:bottom w:val="nil"/>
              <w:right w:val="nil"/>
            </w:tcBorders>
            <w:shd w:val="clear" w:color="000000" w:fill="FFFFFF"/>
            <w:noWrap/>
            <w:vAlign w:val="center"/>
            <w:hideMark/>
          </w:tcPr>
          <w:p w14:paraId="200204E8" w14:textId="40D21CAF"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11 365</w:t>
            </w:r>
          </w:p>
        </w:tc>
        <w:tc>
          <w:tcPr>
            <w:tcW w:w="360" w:type="pct"/>
            <w:gridSpan w:val="2"/>
            <w:tcBorders>
              <w:top w:val="nil"/>
              <w:left w:val="nil"/>
              <w:bottom w:val="nil"/>
              <w:right w:val="nil"/>
            </w:tcBorders>
            <w:shd w:val="clear" w:color="000000" w:fill="FFFFFF"/>
            <w:noWrap/>
            <w:vAlign w:val="center"/>
            <w:hideMark/>
          </w:tcPr>
          <w:p w14:paraId="0882F0C8" w14:textId="2B886568"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b/>
                <w:bCs/>
                <w:color w:val="000000"/>
                <w:sz w:val="18"/>
                <w:szCs w:val="18"/>
              </w:rPr>
              <w:t>-</w:t>
            </w:r>
          </w:p>
        </w:tc>
      </w:tr>
      <w:tr w:rsidR="0028448B" w:rsidRPr="00181464" w14:paraId="19632642" w14:textId="77777777" w:rsidTr="0028448B">
        <w:trPr>
          <w:trHeight w:val="510"/>
        </w:trPr>
        <w:tc>
          <w:tcPr>
            <w:tcW w:w="2083" w:type="pct"/>
            <w:gridSpan w:val="2"/>
            <w:tcBorders>
              <w:top w:val="nil"/>
              <w:left w:val="nil"/>
              <w:bottom w:val="nil"/>
              <w:right w:val="nil"/>
            </w:tcBorders>
            <w:shd w:val="clear" w:color="000000" w:fill="FFFFFF"/>
            <w:vAlign w:val="center"/>
            <w:hideMark/>
          </w:tcPr>
          <w:p w14:paraId="38D998DF" w14:textId="77777777" w:rsidR="00E33F17" w:rsidRPr="00181464" w:rsidRDefault="00E33F17" w:rsidP="00E33F17">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 xml:space="preserve">Štrukturálne fondy, Kohézny fond, Európsky námorný a rybársky fond 3. programové obdobie </w:t>
            </w:r>
          </w:p>
        </w:tc>
        <w:tc>
          <w:tcPr>
            <w:tcW w:w="502" w:type="pct"/>
            <w:tcBorders>
              <w:top w:val="nil"/>
              <w:left w:val="nil"/>
              <w:bottom w:val="nil"/>
              <w:right w:val="nil"/>
            </w:tcBorders>
            <w:shd w:val="clear" w:color="000000" w:fill="FFFFFF"/>
            <w:noWrap/>
            <w:vAlign w:val="center"/>
            <w:hideMark/>
          </w:tcPr>
          <w:p w14:paraId="0ECA63FA" w14:textId="79DA367F"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1 734 344</w:t>
            </w:r>
          </w:p>
        </w:tc>
        <w:tc>
          <w:tcPr>
            <w:tcW w:w="503" w:type="pct"/>
            <w:gridSpan w:val="2"/>
            <w:tcBorders>
              <w:top w:val="nil"/>
              <w:left w:val="nil"/>
              <w:bottom w:val="nil"/>
              <w:right w:val="nil"/>
            </w:tcBorders>
            <w:shd w:val="clear" w:color="000000" w:fill="FFFFFF"/>
            <w:noWrap/>
            <w:vAlign w:val="center"/>
            <w:hideMark/>
          </w:tcPr>
          <w:p w14:paraId="056A33CF" w14:textId="477E0502"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1 743 444</w:t>
            </w:r>
          </w:p>
        </w:tc>
        <w:tc>
          <w:tcPr>
            <w:tcW w:w="502" w:type="pct"/>
            <w:tcBorders>
              <w:top w:val="nil"/>
              <w:left w:val="nil"/>
              <w:bottom w:val="nil"/>
              <w:right w:val="nil"/>
            </w:tcBorders>
            <w:shd w:val="clear" w:color="000000" w:fill="FFFFFF"/>
            <w:noWrap/>
            <w:vAlign w:val="center"/>
            <w:hideMark/>
          </w:tcPr>
          <w:p w14:paraId="56523256" w14:textId="4BBCC9FE"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3 102 158</w:t>
            </w:r>
          </w:p>
        </w:tc>
        <w:tc>
          <w:tcPr>
            <w:tcW w:w="502" w:type="pct"/>
            <w:gridSpan w:val="2"/>
            <w:tcBorders>
              <w:top w:val="nil"/>
              <w:left w:val="nil"/>
              <w:bottom w:val="nil"/>
              <w:right w:val="nil"/>
            </w:tcBorders>
            <w:shd w:val="clear" w:color="000000" w:fill="FFFFFF"/>
            <w:noWrap/>
            <w:vAlign w:val="center"/>
            <w:hideMark/>
          </w:tcPr>
          <w:p w14:paraId="2A61F88B" w14:textId="57A37776"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3 597 597</w:t>
            </w:r>
          </w:p>
        </w:tc>
        <w:tc>
          <w:tcPr>
            <w:tcW w:w="547" w:type="pct"/>
            <w:gridSpan w:val="4"/>
            <w:tcBorders>
              <w:top w:val="nil"/>
              <w:left w:val="nil"/>
              <w:bottom w:val="nil"/>
              <w:right w:val="nil"/>
            </w:tcBorders>
            <w:shd w:val="clear" w:color="000000" w:fill="FFFFFF"/>
            <w:noWrap/>
            <w:vAlign w:val="center"/>
            <w:hideMark/>
          </w:tcPr>
          <w:p w14:paraId="0B88A42C" w14:textId="4374F601"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495 439</w:t>
            </w:r>
          </w:p>
        </w:tc>
        <w:tc>
          <w:tcPr>
            <w:tcW w:w="360" w:type="pct"/>
            <w:gridSpan w:val="2"/>
            <w:tcBorders>
              <w:top w:val="nil"/>
              <w:left w:val="nil"/>
              <w:bottom w:val="nil"/>
              <w:right w:val="nil"/>
            </w:tcBorders>
            <w:shd w:val="clear" w:color="000000" w:fill="FFFFFF"/>
            <w:noWrap/>
            <w:vAlign w:val="center"/>
            <w:hideMark/>
          </w:tcPr>
          <w:p w14:paraId="140EDDE4" w14:textId="38CA90D8"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16,0</w:t>
            </w:r>
          </w:p>
        </w:tc>
      </w:tr>
      <w:tr w:rsidR="00E33F17" w:rsidRPr="00181464" w14:paraId="5599BB4F" w14:textId="77777777" w:rsidTr="0028448B">
        <w:trPr>
          <w:trHeight w:val="510"/>
        </w:trPr>
        <w:tc>
          <w:tcPr>
            <w:tcW w:w="2083" w:type="pct"/>
            <w:gridSpan w:val="2"/>
            <w:tcBorders>
              <w:top w:val="nil"/>
              <w:left w:val="nil"/>
              <w:bottom w:val="nil"/>
              <w:right w:val="nil"/>
            </w:tcBorders>
            <w:shd w:val="clear" w:color="000000" w:fill="FFFFFF"/>
            <w:vAlign w:val="center"/>
          </w:tcPr>
          <w:p w14:paraId="0BBF6ED2" w14:textId="77777777" w:rsidR="00E33F17" w:rsidRPr="00181464" w:rsidRDefault="00E33F17" w:rsidP="00E33F17">
            <w:pPr>
              <w:spacing w:after="0" w:line="240" w:lineRule="auto"/>
              <w:jc w:val="left"/>
              <w:rPr>
                <w:rFonts w:eastAsia="Times New Roman" w:cs="Times New Roman"/>
                <w:color w:val="000000"/>
                <w:sz w:val="18"/>
                <w:szCs w:val="18"/>
                <w:lang w:eastAsia="sk-SK"/>
              </w:rPr>
            </w:pPr>
            <w:r w:rsidRPr="00181464">
              <w:rPr>
                <w:color w:val="000000"/>
                <w:sz w:val="18"/>
                <w:szCs w:val="18"/>
              </w:rPr>
              <w:t>Program Slovensko a Program Rybné hospodárstvo 4. programové obdobie</w:t>
            </w:r>
          </w:p>
        </w:tc>
        <w:tc>
          <w:tcPr>
            <w:tcW w:w="502" w:type="pct"/>
            <w:tcBorders>
              <w:top w:val="nil"/>
              <w:left w:val="nil"/>
              <w:bottom w:val="nil"/>
              <w:right w:val="nil"/>
            </w:tcBorders>
            <w:shd w:val="clear" w:color="auto" w:fill="auto"/>
            <w:noWrap/>
            <w:vAlign w:val="center"/>
          </w:tcPr>
          <w:p w14:paraId="4A0B34A5" w14:textId="63EE5CDF" w:rsidR="00E33F17" w:rsidRPr="00181464" w:rsidRDefault="00E33F17" w:rsidP="00E33F17">
            <w:pPr>
              <w:spacing w:after="0" w:line="240" w:lineRule="auto"/>
              <w:jc w:val="right"/>
              <w:rPr>
                <w:color w:val="000000"/>
                <w:sz w:val="18"/>
                <w:szCs w:val="18"/>
              </w:rPr>
            </w:pPr>
            <w:r w:rsidRPr="00181464">
              <w:rPr>
                <w:color w:val="000000"/>
                <w:sz w:val="18"/>
                <w:szCs w:val="18"/>
              </w:rPr>
              <w:t>0</w:t>
            </w:r>
          </w:p>
        </w:tc>
        <w:tc>
          <w:tcPr>
            <w:tcW w:w="503" w:type="pct"/>
            <w:gridSpan w:val="2"/>
            <w:tcBorders>
              <w:top w:val="nil"/>
              <w:left w:val="nil"/>
              <w:bottom w:val="nil"/>
              <w:right w:val="nil"/>
            </w:tcBorders>
            <w:shd w:val="clear" w:color="000000" w:fill="FFFFFF"/>
            <w:noWrap/>
            <w:vAlign w:val="center"/>
          </w:tcPr>
          <w:p w14:paraId="2AEF8D49" w14:textId="70EC4169" w:rsidR="00E33F17" w:rsidRPr="00181464" w:rsidRDefault="00E33F17" w:rsidP="00E33F17">
            <w:pPr>
              <w:spacing w:after="0" w:line="240" w:lineRule="auto"/>
              <w:jc w:val="right"/>
              <w:rPr>
                <w:color w:val="000000"/>
                <w:sz w:val="18"/>
                <w:szCs w:val="18"/>
              </w:rPr>
            </w:pPr>
            <w:r w:rsidRPr="00181464">
              <w:rPr>
                <w:color w:val="000000"/>
                <w:sz w:val="18"/>
                <w:szCs w:val="18"/>
              </w:rPr>
              <w:t>0</w:t>
            </w:r>
          </w:p>
        </w:tc>
        <w:tc>
          <w:tcPr>
            <w:tcW w:w="502" w:type="pct"/>
            <w:tcBorders>
              <w:top w:val="nil"/>
              <w:left w:val="nil"/>
              <w:bottom w:val="nil"/>
              <w:right w:val="nil"/>
            </w:tcBorders>
            <w:shd w:val="clear" w:color="000000" w:fill="FFFFFF"/>
            <w:noWrap/>
            <w:vAlign w:val="center"/>
          </w:tcPr>
          <w:p w14:paraId="430C0036" w14:textId="4C534410" w:rsidR="00E33F17" w:rsidRPr="00181464" w:rsidRDefault="00E33F17" w:rsidP="00E33F17">
            <w:pPr>
              <w:spacing w:after="0" w:line="240" w:lineRule="auto"/>
              <w:jc w:val="right"/>
              <w:rPr>
                <w:color w:val="000000"/>
                <w:sz w:val="18"/>
                <w:szCs w:val="18"/>
              </w:rPr>
            </w:pPr>
            <w:r w:rsidRPr="00181464">
              <w:rPr>
                <w:color w:val="000000"/>
                <w:sz w:val="18"/>
                <w:szCs w:val="18"/>
              </w:rPr>
              <w:t>1 491 468</w:t>
            </w:r>
          </w:p>
        </w:tc>
        <w:tc>
          <w:tcPr>
            <w:tcW w:w="502" w:type="pct"/>
            <w:gridSpan w:val="2"/>
            <w:tcBorders>
              <w:top w:val="nil"/>
              <w:left w:val="nil"/>
              <w:bottom w:val="nil"/>
              <w:right w:val="nil"/>
            </w:tcBorders>
            <w:shd w:val="clear" w:color="000000" w:fill="FFFFFF"/>
            <w:noWrap/>
            <w:vAlign w:val="center"/>
          </w:tcPr>
          <w:p w14:paraId="3E70F787" w14:textId="55730147" w:rsidR="00E33F17" w:rsidRPr="00181464" w:rsidRDefault="00E33F17" w:rsidP="00E33F17">
            <w:pPr>
              <w:spacing w:after="0" w:line="240" w:lineRule="auto"/>
              <w:jc w:val="right"/>
              <w:rPr>
                <w:color w:val="000000"/>
                <w:sz w:val="18"/>
                <w:szCs w:val="18"/>
              </w:rPr>
            </w:pPr>
            <w:r w:rsidRPr="00181464">
              <w:rPr>
                <w:color w:val="000000"/>
                <w:sz w:val="18"/>
                <w:szCs w:val="18"/>
              </w:rPr>
              <w:t>0</w:t>
            </w:r>
          </w:p>
        </w:tc>
        <w:tc>
          <w:tcPr>
            <w:tcW w:w="547" w:type="pct"/>
            <w:gridSpan w:val="4"/>
            <w:tcBorders>
              <w:top w:val="nil"/>
              <w:left w:val="nil"/>
              <w:bottom w:val="nil"/>
              <w:right w:val="nil"/>
            </w:tcBorders>
            <w:shd w:val="clear" w:color="000000" w:fill="FFFFFF"/>
            <w:noWrap/>
            <w:vAlign w:val="center"/>
          </w:tcPr>
          <w:p w14:paraId="0ED4BCB4" w14:textId="30B6C2D2" w:rsidR="00E33F17" w:rsidRPr="00181464" w:rsidRDefault="00E33F17" w:rsidP="00E33F17">
            <w:pPr>
              <w:spacing w:after="0" w:line="240" w:lineRule="auto"/>
              <w:jc w:val="right"/>
              <w:rPr>
                <w:color w:val="000000"/>
                <w:sz w:val="18"/>
                <w:szCs w:val="18"/>
              </w:rPr>
            </w:pPr>
            <w:r w:rsidRPr="00181464">
              <w:rPr>
                <w:color w:val="000000"/>
                <w:sz w:val="18"/>
                <w:szCs w:val="18"/>
              </w:rPr>
              <w:t>-1 491 468</w:t>
            </w:r>
          </w:p>
        </w:tc>
        <w:tc>
          <w:tcPr>
            <w:tcW w:w="360" w:type="pct"/>
            <w:gridSpan w:val="2"/>
            <w:tcBorders>
              <w:top w:val="nil"/>
              <w:left w:val="nil"/>
              <w:bottom w:val="nil"/>
              <w:right w:val="nil"/>
            </w:tcBorders>
            <w:shd w:val="clear" w:color="000000" w:fill="FFFFFF"/>
            <w:noWrap/>
            <w:vAlign w:val="center"/>
          </w:tcPr>
          <w:p w14:paraId="125803E2" w14:textId="791E3F03" w:rsidR="00E33F17" w:rsidRPr="00181464" w:rsidRDefault="00E33F17" w:rsidP="00E33F17">
            <w:pPr>
              <w:spacing w:after="0" w:line="240" w:lineRule="auto"/>
              <w:jc w:val="right"/>
              <w:rPr>
                <w:color w:val="000000"/>
                <w:sz w:val="18"/>
                <w:szCs w:val="18"/>
              </w:rPr>
            </w:pPr>
            <w:r w:rsidRPr="00181464">
              <w:rPr>
                <w:color w:val="000000"/>
                <w:sz w:val="18"/>
                <w:szCs w:val="18"/>
              </w:rPr>
              <w:t>-100,0</w:t>
            </w:r>
          </w:p>
        </w:tc>
      </w:tr>
      <w:tr w:rsidR="0028448B" w:rsidRPr="00181464" w14:paraId="3C1712F6" w14:textId="77777777" w:rsidTr="0028448B">
        <w:trPr>
          <w:trHeight w:val="330"/>
        </w:trPr>
        <w:tc>
          <w:tcPr>
            <w:tcW w:w="2083" w:type="pct"/>
            <w:gridSpan w:val="2"/>
            <w:tcBorders>
              <w:top w:val="nil"/>
              <w:left w:val="nil"/>
              <w:bottom w:val="nil"/>
              <w:right w:val="nil"/>
            </w:tcBorders>
            <w:shd w:val="clear" w:color="000000" w:fill="FFFFFF"/>
            <w:vAlign w:val="center"/>
            <w:hideMark/>
          </w:tcPr>
          <w:p w14:paraId="05B3A71C" w14:textId="50EFE3F9" w:rsidR="00E33F17" w:rsidRPr="00181464" w:rsidRDefault="00E33F17" w:rsidP="00E33F17">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lastRenderedPageBreak/>
              <w:t>Programy EÚS 3. programové obdobie (CO MF SR)</w:t>
            </w:r>
            <w:r w:rsidR="0028448B" w:rsidRPr="00181464">
              <w:rPr>
                <w:color w:val="000000"/>
                <w:sz w:val="18"/>
                <w:szCs w:val="18"/>
              </w:rPr>
              <w:t xml:space="preserve"> *</w:t>
            </w:r>
          </w:p>
        </w:tc>
        <w:tc>
          <w:tcPr>
            <w:tcW w:w="502" w:type="pct"/>
            <w:tcBorders>
              <w:top w:val="nil"/>
              <w:left w:val="nil"/>
              <w:bottom w:val="nil"/>
              <w:right w:val="nil"/>
            </w:tcBorders>
            <w:shd w:val="clear" w:color="000000" w:fill="FFFFFF"/>
            <w:noWrap/>
            <w:vAlign w:val="center"/>
            <w:hideMark/>
          </w:tcPr>
          <w:p w14:paraId="581E95BE" w14:textId="4769AEF2"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28 711</w:t>
            </w:r>
          </w:p>
        </w:tc>
        <w:tc>
          <w:tcPr>
            <w:tcW w:w="503" w:type="pct"/>
            <w:gridSpan w:val="2"/>
            <w:tcBorders>
              <w:top w:val="nil"/>
              <w:left w:val="nil"/>
              <w:bottom w:val="nil"/>
              <w:right w:val="nil"/>
            </w:tcBorders>
            <w:shd w:val="clear" w:color="000000" w:fill="FFFFFF"/>
            <w:noWrap/>
            <w:vAlign w:val="center"/>
            <w:hideMark/>
          </w:tcPr>
          <w:p w14:paraId="2863792F" w14:textId="2F79E7E4"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26 442</w:t>
            </w:r>
          </w:p>
        </w:tc>
        <w:tc>
          <w:tcPr>
            <w:tcW w:w="502" w:type="pct"/>
            <w:tcBorders>
              <w:top w:val="nil"/>
              <w:left w:val="nil"/>
              <w:bottom w:val="nil"/>
              <w:right w:val="nil"/>
            </w:tcBorders>
            <w:shd w:val="clear" w:color="000000" w:fill="FFFFFF"/>
            <w:noWrap/>
            <w:vAlign w:val="center"/>
            <w:hideMark/>
          </w:tcPr>
          <w:p w14:paraId="0B2CCDC7" w14:textId="12962182"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44 150</w:t>
            </w:r>
          </w:p>
        </w:tc>
        <w:tc>
          <w:tcPr>
            <w:tcW w:w="502" w:type="pct"/>
            <w:gridSpan w:val="2"/>
            <w:tcBorders>
              <w:top w:val="nil"/>
              <w:left w:val="nil"/>
              <w:bottom w:val="nil"/>
              <w:right w:val="nil"/>
            </w:tcBorders>
            <w:shd w:val="clear" w:color="000000" w:fill="FFFFFF"/>
            <w:noWrap/>
            <w:vAlign w:val="center"/>
            <w:hideMark/>
          </w:tcPr>
          <w:p w14:paraId="50DF0CA1" w14:textId="48F7F4ED"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31 436</w:t>
            </w:r>
          </w:p>
        </w:tc>
        <w:tc>
          <w:tcPr>
            <w:tcW w:w="547" w:type="pct"/>
            <w:gridSpan w:val="4"/>
            <w:tcBorders>
              <w:top w:val="nil"/>
              <w:left w:val="nil"/>
              <w:bottom w:val="nil"/>
              <w:right w:val="nil"/>
            </w:tcBorders>
            <w:shd w:val="clear" w:color="000000" w:fill="FFFFFF"/>
            <w:noWrap/>
            <w:vAlign w:val="center"/>
            <w:hideMark/>
          </w:tcPr>
          <w:p w14:paraId="17F46551" w14:textId="0F746516"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-12 714</w:t>
            </w:r>
          </w:p>
        </w:tc>
        <w:tc>
          <w:tcPr>
            <w:tcW w:w="360" w:type="pct"/>
            <w:gridSpan w:val="2"/>
            <w:tcBorders>
              <w:top w:val="nil"/>
              <w:left w:val="nil"/>
              <w:bottom w:val="nil"/>
              <w:right w:val="nil"/>
            </w:tcBorders>
            <w:shd w:val="clear" w:color="000000" w:fill="FFFFFF"/>
            <w:noWrap/>
            <w:vAlign w:val="center"/>
            <w:hideMark/>
          </w:tcPr>
          <w:p w14:paraId="15DF8C53" w14:textId="3DB6A681"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-28,8</w:t>
            </w:r>
          </w:p>
        </w:tc>
      </w:tr>
      <w:tr w:rsidR="0028448B" w:rsidRPr="00181464" w14:paraId="759B5AE8" w14:textId="77777777" w:rsidTr="0028448B">
        <w:trPr>
          <w:trHeight w:val="330"/>
        </w:trPr>
        <w:tc>
          <w:tcPr>
            <w:tcW w:w="2083" w:type="pct"/>
            <w:gridSpan w:val="2"/>
            <w:tcBorders>
              <w:top w:val="nil"/>
              <w:left w:val="nil"/>
              <w:bottom w:val="nil"/>
              <w:right w:val="nil"/>
            </w:tcBorders>
            <w:shd w:val="clear" w:color="000000" w:fill="FFFFFF"/>
            <w:vAlign w:val="center"/>
          </w:tcPr>
          <w:p w14:paraId="5C3F33CB" w14:textId="77777777" w:rsidR="00E33F17" w:rsidRPr="00181464" w:rsidRDefault="00E33F17" w:rsidP="00E33F17">
            <w:pPr>
              <w:spacing w:after="0" w:line="240" w:lineRule="auto"/>
              <w:jc w:val="left"/>
              <w:rPr>
                <w:rFonts w:eastAsia="Times New Roman" w:cs="Times New Roman"/>
                <w:color w:val="000000"/>
                <w:sz w:val="18"/>
                <w:szCs w:val="18"/>
                <w:lang w:eastAsia="sk-SK"/>
              </w:rPr>
            </w:pPr>
            <w:r w:rsidRPr="00181464">
              <w:rPr>
                <w:color w:val="000000"/>
                <w:sz w:val="18"/>
                <w:szCs w:val="18"/>
              </w:rPr>
              <w:t>Programy EÚS 4. programové obdobie (PO MF SR) **</w:t>
            </w:r>
          </w:p>
        </w:tc>
        <w:tc>
          <w:tcPr>
            <w:tcW w:w="502" w:type="pct"/>
            <w:tcBorders>
              <w:top w:val="nil"/>
              <w:left w:val="nil"/>
              <w:bottom w:val="nil"/>
              <w:right w:val="nil"/>
            </w:tcBorders>
            <w:shd w:val="clear" w:color="000000" w:fill="FFFFFF"/>
            <w:noWrap/>
            <w:vAlign w:val="center"/>
          </w:tcPr>
          <w:p w14:paraId="7FB2D712" w14:textId="10C8E7D0" w:rsidR="00E33F17" w:rsidRPr="00181464" w:rsidRDefault="00E33F17" w:rsidP="00E33F17">
            <w:pPr>
              <w:spacing w:after="0" w:line="240" w:lineRule="auto"/>
              <w:jc w:val="right"/>
              <w:rPr>
                <w:color w:val="000000"/>
                <w:sz w:val="18"/>
                <w:szCs w:val="18"/>
              </w:rPr>
            </w:pPr>
            <w:r w:rsidRPr="00181464">
              <w:rPr>
                <w:color w:val="000000"/>
                <w:sz w:val="18"/>
                <w:szCs w:val="18"/>
              </w:rPr>
              <w:t>0</w:t>
            </w:r>
          </w:p>
        </w:tc>
        <w:tc>
          <w:tcPr>
            <w:tcW w:w="503" w:type="pct"/>
            <w:gridSpan w:val="2"/>
            <w:tcBorders>
              <w:top w:val="nil"/>
              <w:left w:val="nil"/>
              <w:bottom w:val="nil"/>
              <w:right w:val="nil"/>
            </w:tcBorders>
            <w:shd w:val="clear" w:color="000000" w:fill="FFFFFF"/>
            <w:noWrap/>
            <w:vAlign w:val="center"/>
          </w:tcPr>
          <w:p w14:paraId="0AF1D610" w14:textId="56A89012" w:rsidR="00E33F17" w:rsidRPr="00181464" w:rsidRDefault="00E33F17" w:rsidP="00E33F17">
            <w:pPr>
              <w:spacing w:after="0" w:line="240" w:lineRule="auto"/>
              <w:jc w:val="right"/>
              <w:rPr>
                <w:color w:val="000000"/>
                <w:sz w:val="18"/>
                <w:szCs w:val="18"/>
              </w:rPr>
            </w:pPr>
            <w:r w:rsidRPr="00181464">
              <w:rPr>
                <w:color w:val="000000"/>
                <w:sz w:val="18"/>
                <w:szCs w:val="18"/>
              </w:rPr>
              <w:t>0</w:t>
            </w:r>
          </w:p>
        </w:tc>
        <w:tc>
          <w:tcPr>
            <w:tcW w:w="502" w:type="pct"/>
            <w:tcBorders>
              <w:top w:val="nil"/>
              <w:left w:val="nil"/>
              <w:bottom w:val="nil"/>
              <w:right w:val="nil"/>
            </w:tcBorders>
            <w:shd w:val="clear" w:color="000000" w:fill="FFFFFF"/>
            <w:noWrap/>
            <w:vAlign w:val="center"/>
          </w:tcPr>
          <w:p w14:paraId="7AADD57D" w14:textId="2CEFD2DE" w:rsidR="00E33F17" w:rsidRPr="00181464" w:rsidRDefault="00E33F17" w:rsidP="00E33F17">
            <w:pPr>
              <w:spacing w:after="0" w:line="240" w:lineRule="auto"/>
              <w:jc w:val="right"/>
              <w:rPr>
                <w:color w:val="000000"/>
                <w:sz w:val="18"/>
                <w:szCs w:val="18"/>
              </w:rPr>
            </w:pPr>
            <w:r w:rsidRPr="00181464">
              <w:rPr>
                <w:color w:val="000000"/>
                <w:sz w:val="18"/>
                <w:szCs w:val="18"/>
              </w:rPr>
              <w:t>25 000</w:t>
            </w:r>
          </w:p>
        </w:tc>
        <w:tc>
          <w:tcPr>
            <w:tcW w:w="502" w:type="pct"/>
            <w:gridSpan w:val="2"/>
            <w:tcBorders>
              <w:top w:val="nil"/>
              <w:left w:val="nil"/>
              <w:bottom w:val="nil"/>
              <w:right w:val="nil"/>
            </w:tcBorders>
            <w:shd w:val="clear" w:color="000000" w:fill="FFFFFF"/>
            <w:noWrap/>
            <w:vAlign w:val="center"/>
          </w:tcPr>
          <w:p w14:paraId="79E406A8" w14:textId="53DBE0EC" w:rsidR="00E33F17" w:rsidRPr="00181464" w:rsidRDefault="00E33F17" w:rsidP="00E33F17">
            <w:pPr>
              <w:spacing w:after="0" w:line="240" w:lineRule="auto"/>
              <w:jc w:val="right"/>
              <w:rPr>
                <w:color w:val="000000"/>
                <w:sz w:val="18"/>
                <w:szCs w:val="18"/>
              </w:rPr>
            </w:pPr>
            <w:r w:rsidRPr="00181464">
              <w:rPr>
                <w:color w:val="000000"/>
                <w:sz w:val="18"/>
                <w:szCs w:val="18"/>
              </w:rPr>
              <w:t>0</w:t>
            </w:r>
          </w:p>
        </w:tc>
        <w:tc>
          <w:tcPr>
            <w:tcW w:w="547" w:type="pct"/>
            <w:gridSpan w:val="4"/>
            <w:tcBorders>
              <w:top w:val="nil"/>
              <w:left w:val="nil"/>
              <w:bottom w:val="nil"/>
              <w:right w:val="nil"/>
            </w:tcBorders>
            <w:shd w:val="clear" w:color="000000" w:fill="FFFFFF"/>
            <w:noWrap/>
            <w:vAlign w:val="center"/>
          </w:tcPr>
          <w:p w14:paraId="3BE04AC0" w14:textId="7226B94D" w:rsidR="00E33F17" w:rsidRPr="00181464" w:rsidRDefault="00E33F17" w:rsidP="00E33F17">
            <w:pPr>
              <w:spacing w:after="0" w:line="240" w:lineRule="auto"/>
              <w:jc w:val="right"/>
              <w:rPr>
                <w:color w:val="000000"/>
                <w:sz w:val="18"/>
                <w:szCs w:val="18"/>
              </w:rPr>
            </w:pPr>
            <w:r w:rsidRPr="00181464">
              <w:rPr>
                <w:color w:val="000000"/>
                <w:sz w:val="18"/>
                <w:szCs w:val="18"/>
              </w:rPr>
              <w:t>-25 000</w:t>
            </w:r>
          </w:p>
        </w:tc>
        <w:tc>
          <w:tcPr>
            <w:tcW w:w="360" w:type="pct"/>
            <w:gridSpan w:val="2"/>
            <w:tcBorders>
              <w:top w:val="nil"/>
              <w:left w:val="nil"/>
              <w:bottom w:val="nil"/>
              <w:right w:val="nil"/>
            </w:tcBorders>
            <w:shd w:val="clear" w:color="000000" w:fill="FFFFFF"/>
            <w:noWrap/>
            <w:vAlign w:val="center"/>
          </w:tcPr>
          <w:p w14:paraId="26A07AFF" w14:textId="5408E371" w:rsidR="00E33F17" w:rsidRPr="00181464" w:rsidRDefault="00E33F17" w:rsidP="00E33F17">
            <w:pPr>
              <w:spacing w:after="0" w:line="240" w:lineRule="auto"/>
              <w:jc w:val="right"/>
              <w:rPr>
                <w:color w:val="000000"/>
                <w:sz w:val="18"/>
                <w:szCs w:val="18"/>
              </w:rPr>
            </w:pPr>
            <w:r w:rsidRPr="00181464">
              <w:rPr>
                <w:color w:val="000000"/>
                <w:sz w:val="18"/>
                <w:szCs w:val="18"/>
              </w:rPr>
              <w:t>-100,0</w:t>
            </w:r>
          </w:p>
        </w:tc>
      </w:tr>
      <w:tr w:rsidR="00E33F17" w:rsidRPr="00181464" w14:paraId="3D3F8D82" w14:textId="77777777" w:rsidTr="0028448B">
        <w:trPr>
          <w:trHeight w:val="330"/>
        </w:trPr>
        <w:tc>
          <w:tcPr>
            <w:tcW w:w="2083" w:type="pct"/>
            <w:gridSpan w:val="2"/>
            <w:tcBorders>
              <w:top w:val="nil"/>
              <w:left w:val="nil"/>
              <w:bottom w:val="nil"/>
              <w:right w:val="nil"/>
            </w:tcBorders>
            <w:shd w:val="clear" w:color="000000" w:fill="FFFFFF"/>
            <w:vAlign w:val="center"/>
            <w:hideMark/>
          </w:tcPr>
          <w:p w14:paraId="63FB610D" w14:textId="77777777" w:rsidR="00E33F17" w:rsidRPr="00181464" w:rsidRDefault="00E33F17" w:rsidP="00E33F17">
            <w:pPr>
              <w:spacing w:after="0" w:line="240" w:lineRule="auto"/>
              <w:jc w:val="lef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Štrukturálne operácie - MF SR</w:t>
            </w:r>
          </w:p>
        </w:tc>
        <w:tc>
          <w:tcPr>
            <w:tcW w:w="502" w:type="pct"/>
            <w:tcBorders>
              <w:top w:val="nil"/>
              <w:left w:val="nil"/>
              <w:bottom w:val="nil"/>
              <w:right w:val="nil"/>
            </w:tcBorders>
            <w:shd w:val="clear" w:color="000000" w:fill="FFFFFF"/>
            <w:noWrap/>
            <w:vAlign w:val="center"/>
            <w:hideMark/>
          </w:tcPr>
          <w:p w14:paraId="3DC729C8" w14:textId="332CCF40" w:rsidR="00E33F17" w:rsidRPr="00181464" w:rsidRDefault="00E33F17" w:rsidP="00E33F17">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1 763 055</w:t>
            </w:r>
          </w:p>
        </w:tc>
        <w:tc>
          <w:tcPr>
            <w:tcW w:w="503" w:type="pct"/>
            <w:gridSpan w:val="2"/>
            <w:tcBorders>
              <w:top w:val="nil"/>
              <w:left w:val="nil"/>
              <w:bottom w:val="nil"/>
              <w:right w:val="nil"/>
            </w:tcBorders>
            <w:shd w:val="clear" w:color="000000" w:fill="FFFFFF"/>
            <w:noWrap/>
            <w:vAlign w:val="center"/>
            <w:hideMark/>
          </w:tcPr>
          <w:p w14:paraId="1C9AB360" w14:textId="7B243658" w:rsidR="00E33F17" w:rsidRPr="00181464" w:rsidRDefault="00E33F17" w:rsidP="00E33F17">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1 772 672</w:t>
            </w:r>
          </w:p>
        </w:tc>
        <w:tc>
          <w:tcPr>
            <w:tcW w:w="502" w:type="pct"/>
            <w:tcBorders>
              <w:top w:val="nil"/>
              <w:left w:val="nil"/>
              <w:bottom w:val="nil"/>
              <w:right w:val="nil"/>
            </w:tcBorders>
            <w:shd w:val="clear" w:color="auto" w:fill="auto"/>
            <w:noWrap/>
            <w:vAlign w:val="center"/>
            <w:hideMark/>
          </w:tcPr>
          <w:p w14:paraId="75E03BEB" w14:textId="09AA7AD7" w:rsidR="00E33F17" w:rsidRPr="00181464" w:rsidRDefault="00E33F17" w:rsidP="00E33F17">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4 662 776</w:t>
            </w:r>
          </w:p>
        </w:tc>
        <w:tc>
          <w:tcPr>
            <w:tcW w:w="502" w:type="pct"/>
            <w:gridSpan w:val="2"/>
            <w:tcBorders>
              <w:top w:val="nil"/>
              <w:left w:val="nil"/>
              <w:bottom w:val="nil"/>
              <w:right w:val="nil"/>
            </w:tcBorders>
            <w:shd w:val="clear" w:color="000000" w:fill="FFFFFF"/>
            <w:noWrap/>
            <w:vAlign w:val="center"/>
            <w:hideMark/>
          </w:tcPr>
          <w:p w14:paraId="3667A29A" w14:textId="1D1FFBDD" w:rsidR="00E33F17" w:rsidRPr="00181464" w:rsidRDefault="00E33F17" w:rsidP="00E33F17">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3 640 398</w:t>
            </w:r>
          </w:p>
        </w:tc>
        <w:tc>
          <w:tcPr>
            <w:tcW w:w="547" w:type="pct"/>
            <w:gridSpan w:val="4"/>
            <w:tcBorders>
              <w:top w:val="nil"/>
              <w:left w:val="nil"/>
              <w:bottom w:val="nil"/>
              <w:right w:val="nil"/>
            </w:tcBorders>
            <w:shd w:val="clear" w:color="000000" w:fill="FFFFFF"/>
            <w:noWrap/>
            <w:vAlign w:val="center"/>
            <w:hideMark/>
          </w:tcPr>
          <w:p w14:paraId="40D5CE14" w14:textId="0C1412E8" w:rsidR="00E33F17" w:rsidRPr="00181464" w:rsidRDefault="00E33F17" w:rsidP="00E33F17">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-1 022 378</w:t>
            </w:r>
          </w:p>
        </w:tc>
        <w:tc>
          <w:tcPr>
            <w:tcW w:w="360" w:type="pct"/>
            <w:gridSpan w:val="2"/>
            <w:tcBorders>
              <w:top w:val="nil"/>
              <w:left w:val="nil"/>
              <w:bottom w:val="nil"/>
              <w:right w:val="nil"/>
            </w:tcBorders>
            <w:shd w:val="clear" w:color="000000" w:fill="FFFFFF"/>
            <w:noWrap/>
            <w:vAlign w:val="center"/>
            <w:hideMark/>
          </w:tcPr>
          <w:p w14:paraId="654FB0D3" w14:textId="40F34E99" w:rsidR="00E33F17" w:rsidRPr="00181464" w:rsidRDefault="00E33F17" w:rsidP="00E33F17">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-21,9</w:t>
            </w:r>
          </w:p>
        </w:tc>
      </w:tr>
      <w:tr w:rsidR="00E33F17" w:rsidRPr="00181464" w14:paraId="1CB53ABD" w14:textId="77777777" w:rsidTr="0028448B">
        <w:trPr>
          <w:trHeight w:val="480"/>
        </w:trPr>
        <w:tc>
          <w:tcPr>
            <w:tcW w:w="2083" w:type="pct"/>
            <w:gridSpan w:val="2"/>
            <w:tcBorders>
              <w:top w:val="nil"/>
              <w:left w:val="nil"/>
              <w:bottom w:val="nil"/>
              <w:right w:val="nil"/>
            </w:tcBorders>
            <w:shd w:val="clear" w:color="000000" w:fill="FFFFFF"/>
            <w:vAlign w:val="center"/>
            <w:hideMark/>
          </w:tcPr>
          <w:p w14:paraId="4A247B8F" w14:textId="77777777" w:rsidR="00E33F17" w:rsidRPr="00181464" w:rsidRDefault="00E33F17" w:rsidP="00E33F17">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OP Sociálneho začlenenia najodkázanejších osôb</w:t>
            </w:r>
          </w:p>
        </w:tc>
        <w:tc>
          <w:tcPr>
            <w:tcW w:w="502" w:type="pct"/>
            <w:tcBorders>
              <w:top w:val="nil"/>
              <w:left w:val="nil"/>
              <w:bottom w:val="nil"/>
              <w:right w:val="nil"/>
            </w:tcBorders>
            <w:shd w:val="clear" w:color="000000" w:fill="FFFFFF"/>
            <w:noWrap/>
            <w:vAlign w:val="center"/>
            <w:hideMark/>
          </w:tcPr>
          <w:p w14:paraId="74A4F3CA" w14:textId="05750398"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10 554</w:t>
            </w:r>
          </w:p>
        </w:tc>
        <w:tc>
          <w:tcPr>
            <w:tcW w:w="503" w:type="pct"/>
            <w:gridSpan w:val="2"/>
            <w:tcBorders>
              <w:top w:val="nil"/>
              <w:left w:val="nil"/>
              <w:bottom w:val="nil"/>
              <w:right w:val="nil"/>
            </w:tcBorders>
            <w:shd w:val="clear" w:color="000000" w:fill="FFFFFF"/>
            <w:noWrap/>
            <w:vAlign w:val="center"/>
            <w:hideMark/>
          </w:tcPr>
          <w:p w14:paraId="77297A3A" w14:textId="2215442B"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2 186</w:t>
            </w:r>
          </w:p>
        </w:tc>
        <w:tc>
          <w:tcPr>
            <w:tcW w:w="502" w:type="pct"/>
            <w:tcBorders>
              <w:top w:val="nil"/>
              <w:left w:val="nil"/>
              <w:bottom w:val="nil"/>
              <w:right w:val="nil"/>
            </w:tcBorders>
            <w:shd w:val="clear" w:color="000000" w:fill="FFFFFF"/>
            <w:noWrap/>
            <w:vAlign w:val="center"/>
            <w:hideMark/>
          </w:tcPr>
          <w:p w14:paraId="0D42E801" w14:textId="7DF5BCE2"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10 626</w:t>
            </w:r>
          </w:p>
        </w:tc>
        <w:tc>
          <w:tcPr>
            <w:tcW w:w="502" w:type="pct"/>
            <w:gridSpan w:val="2"/>
            <w:tcBorders>
              <w:top w:val="nil"/>
              <w:left w:val="nil"/>
              <w:bottom w:val="nil"/>
              <w:right w:val="nil"/>
            </w:tcBorders>
            <w:shd w:val="clear" w:color="auto" w:fill="auto"/>
            <w:noWrap/>
            <w:vAlign w:val="center"/>
            <w:hideMark/>
          </w:tcPr>
          <w:p w14:paraId="5ACB1540" w14:textId="060F013E"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7 333</w:t>
            </w:r>
          </w:p>
        </w:tc>
        <w:tc>
          <w:tcPr>
            <w:tcW w:w="547" w:type="pct"/>
            <w:gridSpan w:val="4"/>
            <w:tcBorders>
              <w:top w:val="nil"/>
              <w:left w:val="nil"/>
              <w:bottom w:val="nil"/>
              <w:right w:val="nil"/>
            </w:tcBorders>
            <w:shd w:val="clear" w:color="000000" w:fill="FFFFFF"/>
            <w:noWrap/>
            <w:vAlign w:val="center"/>
            <w:hideMark/>
          </w:tcPr>
          <w:p w14:paraId="3BFB1C81" w14:textId="49264D7A"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-3 293</w:t>
            </w:r>
          </w:p>
        </w:tc>
        <w:tc>
          <w:tcPr>
            <w:tcW w:w="360" w:type="pct"/>
            <w:gridSpan w:val="2"/>
            <w:tcBorders>
              <w:top w:val="nil"/>
              <w:left w:val="nil"/>
              <w:bottom w:val="nil"/>
              <w:right w:val="nil"/>
            </w:tcBorders>
            <w:shd w:val="clear" w:color="000000" w:fill="FFFFFF"/>
            <w:noWrap/>
            <w:vAlign w:val="center"/>
            <w:hideMark/>
          </w:tcPr>
          <w:p w14:paraId="2B815C0D" w14:textId="3B2EFE87" w:rsidR="00E33F17" w:rsidRPr="00181464" w:rsidRDefault="00E33F17" w:rsidP="00E33F17">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-31,0</w:t>
            </w:r>
          </w:p>
        </w:tc>
      </w:tr>
      <w:tr w:rsidR="0028448B" w:rsidRPr="00181464" w14:paraId="511F64F0" w14:textId="77777777" w:rsidTr="0028448B">
        <w:trPr>
          <w:trHeight w:val="330"/>
        </w:trPr>
        <w:tc>
          <w:tcPr>
            <w:tcW w:w="2083" w:type="pct"/>
            <w:gridSpan w:val="2"/>
            <w:tcBorders>
              <w:top w:val="nil"/>
              <w:left w:val="nil"/>
              <w:right w:val="nil"/>
            </w:tcBorders>
            <w:shd w:val="clear" w:color="000000" w:fill="FFFFFF"/>
            <w:vAlign w:val="center"/>
            <w:hideMark/>
          </w:tcPr>
          <w:p w14:paraId="6F9B1A3B" w14:textId="77777777" w:rsidR="00E33F17" w:rsidRPr="00181464" w:rsidRDefault="00E33F17" w:rsidP="00E33F17">
            <w:pPr>
              <w:spacing w:after="0" w:line="240" w:lineRule="auto"/>
              <w:jc w:val="lef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Štrukturálne operácie - MPSVR SR</w:t>
            </w:r>
          </w:p>
        </w:tc>
        <w:tc>
          <w:tcPr>
            <w:tcW w:w="502" w:type="pct"/>
            <w:tcBorders>
              <w:top w:val="nil"/>
              <w:left w:val="nil"/>
              <w:right w:val="nil"/>
            </w:tcBorders>
            <w:shd w:val="clear" w:color="000000" w:fill="FFFFFF"/>
            <w:noWrap/>
            <w:vAlign w:val="center"/>
            <w:hideMark/>
          </w:tcPr>
          <w:p w14:paraId="2C4A44C4" w14:textId="08FB5445" w:rsidR="00E33F17" w:rsidRPr="00181464" w:rsidRDefault="00E33F17" w:rsidP="00E33F17">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10 554</w:t>
            </w:r>
          </w:p>
        </w:tc>
        <w:tc>
          <w:tcPr>
            <w:tcW w:w="503" w:type="pct"/>
            <w:gridSpan w:val="2"/>
            <w:tcBorders>
              <w:top w:val="nil"/>
              <w:left w:val="nil"/>
              <w:right w:val="nil"/>
            </w:tcBorders>
            <w:shd w:val="clear" w:color="000000" w:fill="FFFFFF"/>
            <w:noWrap/>
            <w:vAlign w:val="center"/>
            <w:hideMark/>
          </w:tcPr>
          <w:p w14:paraId="383CEC72" w14:textId="2657C505" w:rsidR="00E33F17" w:rsidRPr="00181464" w:rsidRDefault="00E33F17" w:rsidP="00E33F17">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2 186</w:t>
            </w:r>
          </w:p>
        </w:tc>
        <w:tc>
          <w:tcPr>
            <w:tcW w:w="502" w:type="pct"/>
            <w:tcBorders>
              <w:top w:val="nil"/>
              <w:left w:val="nil"/>
              <w:right w:val="nil"/>
            </w:tcBorders>
            <w:shd w:val="clear" w:color="auto" w:fill="auto"/>
            <w:noWrap/>
            <w:vAlign w:val="center"/>
            <w:hideMark/>
          </w:tcPr>
          <w:p w14:paraId="144791B5" w14:textId="54C5B09C" w:rsidR="00E33F17" w:rsidRPr="00181464" w:rsidRDefault="00E33F17" w:rsidP="00E33F17">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10 626</w:t>
            </w:r>
          </w:p>
        </w:tc>
        <w:tc>
          <w:tcPr>
            <w:tcW w:w="502" w:type="pct"/>
            <w:gridSpan w:val="2"/>
            <w:tcBorders>
              <w:top w:val="nil"/>
              <w:left w:val="nil"/>
              <w:right w:val="nil"/>
            </w:tcBorders>
            <w:shd w:val="clear" w:color="000000" w:fill="FFFFFF"/>
            <w:noWrap/>
            <w:vAlign w:val="center"/>
            <w:hideMark/>
          </w:tcPr>
          <w:p w14:paraId="18AD7A63" w14:textId="2B34C7F1" w:rsidR="00E33F17" w:rsidRPr="00181464" w:rsidRDefault="00E33F17" w:rsidP="00E33F17">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7 333</w:t>
            </w:r>
          </w:p>
        </w:tc>
        <w:tc>
          <w:tcPr>
            <w:tcW w:w="547" w:type="pct"/>
            <w:gridSpan w:val="4"/>
            <w:tcBorders>
              <w:top w:val="nil"/>
              <w:left w:val="nil"/>
              <w:right w:val="nil"/>
            </w:tcBorders>
            <w:shd w:val="clear" w:color="000000" w:fill="FFFFFF"/>
            <w:noWrap/>
            <w:vAlign w:val="center"/>
            <w:hideMark/>
          </w:tcPr>
          <w:p w14:paraId="523CF331" w14:textId="1C7AAD0C" w:rsidR="00E33F17" w:rsidRPr="00181464" w:rsidRDefault="00E33F17" w:rsidP="00E33F17">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-3 293</w:t>
            </w:r>
          </w:p>
        </w:tc>
        <w:tc>
          <w:tcPr>
            <w:tcW w:w="360" w:type="pct"/>
            <w:gridSpan w:val="2"/>
            <w:tcBorders>
              <w:top w:val="nil"/>
              <w:left w:val="nil"/>
              <w:right w:val="nil"/>
            </w:tcBorders>
            <w:shd w:val="clear" w:color="000000" w:fill="FFFFFF"/>
            <w:noWrap/>
            <w:vAlign w:val="center"/>
            <w:hideMark/>
          </w:tcPr>
          <w:p w14:paraId="074A86BB" w14:textId="185B6FA6" w:rsidR="00E33F17" w:rsidRPr="00181464" w:rsidRDefault="00E33F17" w:rsidP="00E33F17">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-31,0</w:t>
            </w:r>
          </w:p>
        </w:tc>
      </w:tr>
      <w:tr w:rsidR="0028448B" w:rsidRPr="00181464" w14:paraId="7892C621" w14:textId="77777777" w:rsidTr="0028448B">
        <w:trPr>
          <w:trHeight w:val="330"/>
        </w:trPr>
        <w:tc>
          <w:tcPr>
            <w:tcW w:w="2083" w:type="pct"/>
            <w:gridSpan w:val="2"/>
            <w:tcBorders>
              <w:top w:val="nil"/>
              <w:left w:val="nil"/>
              <w:right w:val="nil"/>
            </w:tcBorders>
            <w:shd w:val="clear" w:color="000000" w:fill="FFFFFF"/>
            <w:vAlign w:val="center"/>
            <w:hideMark/>
          </w:tcPr>
          <w:p w14:paraId="3C701D16" w14:textId="77777777" w:rsidR="0028448B" w:rsidRPr="00181464" w:rsidRDefault="0028448B" w:rsidP="0028448B">
            <w:pPr>
              <w:spacing w:after="0" w:line="240" w:lineRule="auto"/>
              <w:jc w:val="left"/>
              <w:rPr>
                <w:rFonts w:eastAsia="Times New Roman" w:cs="Times New Roman"/>
                <w:color w:val="000000"/>
                <w:sz w:val="18"/>
                <w:szCs w:val="18"/>
                <w:lang w:eastAsia="sk-SK"/>
              </w:rPr>
            </w:pPr>
            <w:r w:rsidRPr="00181464">
              <w:rPr>
                <w:color w:val="000000"/>
                <w:sz w:val="18"/>
                <w:szCs w:val="18"/>
              </w:rPr>
              <w:t>Fondy pre oblasť vnútorných záležitostí 2021 - 2027</w:t>
            </w:r>
          </w:p>
        </w:tc>
        <w:tc>
          <w:tcPr>
            <w:tcW w:w="502" w:type="pct"/>
            <w:tcBorders>
              <w:top w:val="nil"/>
              <w:left w:val="nil"/>
              <w:right w:val="nil"/>
            </w:tcBorders>
            <w:shd w:val="clear" w:color="000000" w:fill="FFFFFF"/>
            <w:noWrap/>
            <w:vAlign w:val="center"/>
            <w:hideMark/>
          </w:tcPr>
          <w:p w14:paraId="34189CED" w14:textId="6F63DEE4" w:rsidR="0028448B" w:rsidRPr="00181464" w:rsidRDefault="0028448B" w:rsidP="0028448B">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0</w:t>
            </w:r>
          </w:p>
        </w:tc>
        <w:tc>
          <w:tcPr>
            <w:tcW w:w="503" w:type="pct"/>
            <w:gridSpan w:val="2"/>
            <w:tcBorders>
              <w:top w:val="nil"/>
              <w:left w:val="nil"/>
              <w:right w:val="nil"/>
            </w:tcBorders>
            <w:shd w:val="clear" w:color="000000" w:fill="FFFFFF"/>
            <w:noWrap/>
            <w:vAlign w:val="center"/>
            <w:hideMark/>
          </w:tcPr>
          <w:p w14:paraId="2F48F1F6" w14:textId="4A279C97" w:rsidR="0028448B" w:rsidRPr="00181464" w:rsidRDefault="0028448B" w:rsidP="0028448B">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0</w:t>
            </w:r>
          </w:p>
        </w:tc>
        <w:tc>
          <w:tcPr>
            <w:tcW w:w="502" w:type="pct"/>
            <w:tcBorders>
              <w:top w:val="nil"/>
              <w:left w:val="nil"/>
              <w:right w:val="nil"/>
            </w:tcBorders>
            <w:shd w:val="clear" w:color="000000" w:fill="FFFFFF"/>
            <w:noWrap/>
            <w:vAlign w:val="center"/>
            <w:hideMark/>
          </w:tcPr>
          <w:p w14:paraId="1C77373F" w14:textId="1577F755" w:rsidR="0028448B" w:rsidRPr="00181464" w:rsidRDefault="0028448B" w:rsidP="0028448B">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557</w:t>
            </w:r>
          </w:p>
        </w:tc>
        <w:tc>
          <w:tcPr>
            <w:tcW w:w="502" w:type="pct"/>
            <w:gridSpan w:val="2"/>
            <w:tcBorders>
              <w:top w:val="nil"/>
              <w:left w:val="nil"/>
              <w:right w:val="nil"/>
            </w:tcBorders>
            <w:shd w:val="clear" w:color="000000" w:fill="FFFFFF"/>
            <w:noWrap/>
            <w:vAlign w:val="center"/>
            <w:hideMark/>
          </w:tcPr>
          <w:p w14:paraId="248F2D4D" w14:textId="70364BB6" w:rsidR="0028448B" w:rsidRPr="00181464" w:rsidRDefault="0028448B" w:rsidP="0028448B">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0</w:t>
            </w:r>
          </w:p>
        </w:tc>
        <w:tc>
          <w:tcPr>
            <w:tcW w:w="547" w:type="pct"/>
            <w:gridSpan w:val="4"/>
            <w:tcBorders>
              <w:top w:val="nil"/>
              <w:left w:val="nil"/>
              <w:right w:val="nil"/>
            </w:tcBorders>
            <w:shd w:val="clear" w:color="000000" w:fill="FFFFFF"/>
            <w:noWrap/>
            <w:vAlign w:val="center"/>
            <w:hideMark/>
          </w:tcPr>
          <w:p w14:paraId="23C9AC68" w14:textId="14419907" w:rsidR="0028448B" w:rsidRPr="00181464" w:rsidRDefault="0028448B" w:rsidP="0028448B">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-557</w:t>
            </w:r>
          </w:p>
        </w:tc>
        <w:tc>
          <w:tcPr>
            <w:tcW w:w="360" w:type="pct"/>
            <w:gridSpan w:val="2"/>
            <w:tcBorders>
              <w:top w:val="nil"/>
              <w:left w:val="nil"/>
              <w:right w:val="nil"/>
            </w:tcBorders>
            <w:shd w:val="clear" w:color="000000" w:fill="FFFFFF"/>
            <w:noWrap/>
            <w:vAlign w:val="center"/>
            <w:hideMark/>
          </w:tcPr>
          <w:p w14:paraId="0AE7C58F" w14:textId="76BA6A35" w:rsidR="0028448B" w:rsidRPr="00181464" w:rsidRDefault="0028448B" w:rsidP="0028448B">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-100,0</w:t>
            </w:r>
          </w:p>
        </w:tc>
      </w:tr>
      <w:tr w:rsidR="0028448B" w:rsidRPr="00181464" w14:paraId="6B6DB7D6" w14:textId="77777777" w:rsidTr="0028448B">
        <w:trPr>
          <w:trHeight w:val="330"/>
        </w:trPr>
        <w:tc>
          <w:tcPr>
            <w:tcW w:w="2083" w:type="pct"/>
            <w:gridSpan w:val="2"/>
            <w:tcBorders>
              <w:left w:val="nil"/>
              <w:bottom w:val="nil"/>
              <w:right w:val="nil"/>
            </w:tcBorders>
            <w:shd w:val="clear" w:color="000000" w:fill="FFFFFF"/>
            <w:vAlign w:val="center"/>
            <w:hideMark/>
          </w:tcPr>
          <w:p w14:paraId="6B242376" w14:textId="77777777" w:rsidR="0028448B" w:rsidRPr="00181464" w:rsidRDefault="0028448B" w:rsidP="0028448B">
            <w:pPr>
              <w:spacing w:after="0" w:line="240" w:lineRule="auto"/>
              <w:jc w:val="left"/>
              <w:rPr>
                <w:rFonts w:eastAsia="Times New Roman" w:cs="Times New Roman"/>
                <w:color w:val="000000"/>
                <w:sz w:val="18"/>
                <w:szCs w:val="18"/>
                <w:lang w:eastAsia="sk-SK"/>
              </w:rPr>
            </w:pPr>
            <w:r w:rsidRPr="00181464">
              <w:rPr>
                <w:b/>
                <w:color w:val="000000"/>
                <w:sz w:val="18"/>
                <w:szCs w:val="18"/>
              </w:rPr>
              <w:t>Štrukturálne operácie – MV SR</w:t>
            </w:r>
          </w:p>
        </w:tc>
        <w:tc>
          <w:tcPr>
            <w:tcW w:w="502" w:type="pct"/>
            <w:tcBorders>
              <w:left w:val="nil"/>
              <w:bottom w:val="nil"/>
              <w:right w:val="nil"/>
            </w:tcBorders>
            <w:shd w:val="clear" w:color="000000" w:fill="FFFFFF"/>
            <w:noWrap/>
            <w:vAlign w:val="center"/>
            <w:hideMark/>
          </w:tcPr>
          <w:p w14:paraId="64714A32" w14:textId="7CC5D9BF" w:rsidR="0028448B" w:rsidRPr="00181464" w:rsidRDefault="0028448B" w:rsidP="0028448B">
            <w:pPr>
              <w:spacing w:after="0" w:line="240" w:lineRule="auto"/>
              <w:jc w:val="right"/>
              <w:rPr>
                <w:rFonts w:eastAsia="Times New Roman" w:cs="Times New Roman"/>
                <w:color w:val="000000"/>
                <w:sz w:val="18"/>
                <w:szCs w:val="18"/>
                <w:highlight w:val="yellow"/>
                <w:lang w:eastAsia="sk-SK"/>
              </w:rPr>
            </w:pPr>
            <w:r w:rsidRPr="00181464">
              <w:rPr>
                <w:b/>
                <w:bCs/>
                <w:color w:val="000000"/>
                <w:sz w:val="18"/>
                <w:szCs w:val="18"/>
              </w:rPr>
              <w:t>0</w:t>
            </w:r>
          </w:p>
        </w:tc>
        <w:tc>
          <w:tcPr>
            <w:tcW w:w="503" w:type="pct"/>
            <w:gridSpan w:val="2"/>
            <w:tcBorders>
              <w:left w:val="nil"/>
              <w:bottom w:val="nil"/>
              <w:right w:val="nil"/>
            </w:tcBorders>
            <w:shd w:val="clear" w:color="000000" w:fill="FFFFFF"/>
            <w:noWrap/>
            <w:vAlign w:val="center"/>
            <w:hideMark/>
          </w:tcPr>
          <w:p w14:paraId="69384265" w14:textId="160F7A8A" w:rsidR="0028448B" w:rsidRPr="00181464" w:rsidRDefault="0028448B" w:rsidP="0028448B">
            <w:pPr>
              <w:spacing w:after="0" w:line="240" w:lineRule="auto"/>
              <w:jc w:val="right"/>
              <w:rPr>
                <w:rFonts w:eastAsia="Times New Roman" w:cs="Times New Roman"/>
                <w:color w:val="000000"/>
                <w:sz w:val="18"/>
                <w:szCs w:val="18"/>
                <w:highlight w:val="yellow"/>
                <w:lang w:eastAsia="sk-SK"/>
              </w:rPr>
            </w:pPr>
            <w:r w:rsidRPr="00181464">
              <w:rPr>
                <w:b/>
                <w:bCs/>
                <w:color w:val="000000"/>
                <w:sz w:val="18"/>
                <w:szCs w:val="18"/>
              </w:rPr>
              <w:t>0</w:t>
            </w:r>
          </w:p>
        </w:tc>
        <w:tc>
          <w:tcPr>
            <w:tcW w:w="502" w:type="pct"/>
            <w:tcBorders>
              <w:left w:val="nil"/>
              <w:bottom w:val="nil"/>
              <w:right w:val="nil"/>
            </w:tcBorders>
            <w:shd w:val="clear" w:color="000000" w:fill="FFFFFF"/>
            <w:noWrap/>
            <w:vAlign w:val="center"/>
            <w:hideMark/>
          </w:tcPr>
          <w:p w14:paraId="2E57FB8D" w14:textId="31B7C444" w:rsidR="0028448B" w:rsidRPr="00181464" w:rsidRDefault="0028448B" w:rsidP="0028448B">
            <w:pPr>
              <w:spacing w:after="0" w:line="240" w:lineRule="auto"/>
              <w:jc w:val="right"/>
              <w:rPr>
                <w:rFonts w:eastAsia="Times New Roman" w:cs="Times New Roman"/>
                <w:color w:val="000000"/>
                <w:sz w:val="18"/>
                <w:szCs w:val="18"/>
                <w:highlight w:val="yellow"/>
                <w:lang w:eastAsia="sk-SK"/>
              </w:rPr>
            </w:pPr>
            <w:r w:rsidRPr="00181464">
              <w:rPr>
                <w:b/>
                <w:bCs/>
                <w:color w:val="000000"/>
                <w:sz w:val="18"/>
                <w:szCs w:val="18"/>
              </w:rPr>
              <w:t>557</w:t>
            </w:r>
          </w:p>
        </w:tc>
        <w:tc>
          <w:tcPr>
            <w:tcW w:w="502" w:type="pct"/>
            <w:gridSpan w:val="2"/>
            <w:tcBorders>
              <w:left w:val="nil"/>
              <w:bottom w:val="nil"/>
              <w:right w:val="nil"/>
            </w:tcBorders>
            <w:shd w:val="clear" w:color="auto" w:fill="auto"/>
            <w:noWrap/>
            <w:vAlign w:val="center"/>
            <w:hideMark/>
          </w:tcPr>
          <w:p w14:paraId="005A286B" w14:textId="4BFC8E91" w:rsidR="0028448B" w:rsidRPr="00181464" w:rsidRDefault="0028448B" w:rsidP="0028448B">
            <w:pPr>
              <w:spacing w:after="0" w:line="240" w:lineRule="auto"/>
              <w:jc w:val="right"/>
              <w:rPr>
                <w:rFonts w:eastAsia="Times New Roman" w:cs="Times New Roman"/>
                <w:color w:val="000000"/>
                <w:sz w:val="18"/>
                <w:szCs w:val="18"/>
                <w:highlight w:val="yellow"/>
                <w:lang w:eastAsia="sk-SK"/>
              </w:rPr>
            </w:pPr>
            <w:r w:rsidRPr="00181464">
              <w:rPr>
                <w:b/>
                <w:bCs/>
                <w:color w:val="000000"/>
                <w:sz w:val="18"/>
                <w:szCs w:val="18"/>
              </w:rPr>
              <w:t>0</w:t>
            </w:r>
          </w:p>
        </w:tc>
        <w:tc>
          <w:tcPr>
            <w:tcW w:w="547" w:type="pct"/>
            <w:gridSpan w:val="4"/>
            <w:tcBorders>
              <w:left w:val="nil"/>
              <w:bottom w:val="nil"/>
              <w:right w:val="nil"/>
            </w:tcBorders>
            <w:shd w:val="clear" w:color="000000" w:fill="FFFFFF"/>
            <w:noWrap/>
            <w:vAlign w:val="center"/>
            <w:hideMark/>
          </w:tcPr>
          <w:p w14:paraId="1DCD3C55" w14:textId="2C05B661" w:rsidR="0028448B" w:rsidRPr="00181464" w:rsidRDefault="0028448B" w:rsidP="0028448B">
            <w:pPr>
              <w:spacing w:after="0" w:line="240" w:lineRule="auto"/>
              <w:jc w:val="right"/>
              <w:rPr>
                <w:rFonts w:eastAsia="Times New Roman" w:cs="Times New Roman"/>
                <w:color w:val="000000"/>
                <w:sz w:val="18"/>
                <w:szCs w:val="18"/>
                <w:highlight w:val="yellow"/>
                <w:lang w:eastAsia="sk-SK"/>
              </w:rPr>
            </w:pPr>
            <w:r w:rsidRPr="00181464">
              <w:rPr>
                <w:b/>
                <w:bCs/>
                <w:color w:val="000000"/>
                <w:sz w:val="18"/>
                <w:szCs w:val="18"/>
              </w:rPr>
              <w:t>-557</w:t>
            </w:r>
          </w:p>
        </w:tc>
        <w:tc>
          <w:tcPr>
            <w:tcW w:w="360" w:type="pct"/>
            <w:gridSpan w:val="2"/>
            <w:tcBorders>
              <w:left w:val="nil"/>
              <w:bottom w:val="nil"/>
              <w:right w:val="nil"/>
            </w:tcBorders>
            <w:shd w:val="clear" w:color="000000" w:fill="FFFFFF"/>
            <w:noWrap/>
            <w:vAlign w:val="center"/>
            <w:hideMark/>
          </w:tcPr>
          <w:p w14:paraId="659049D7" w14:textId="16D96A94" w:rsidR="0028448B" w:rsidRPr="00181464" w:rsidRDefault="0028448B" w:rsidP="0028448B">
            <w:pPr>
              <w:spacing w:after="0" w:line="240" w:lineRule="auto"/>
              <w:jc w:val="right"/>
              <w:rPr>
                <w:rFonts w:eastAsia="Times New Roman" w:cs="Times New Roman"/>
                <w:color w:val="000000"/>
                <w:sz w:val="18"/>
                <w:szCs w:val="18"/>
                <w:highlight w:val="yellow"/>
                <w:lang w:eastAsia="sk-SK"/>
              </w:rPr>
            </w:pPr>
            <w:r w:rsidRPr="00181464">
              <w:rPr>
                <w:b/>
                <w:bCs/>
                <w:color w:val="000000"/>
                <w:sz w:val="18"/>
                <w:szCs w:val="18"/>
              </w:rPr>
              <w:t>-100,0</w:t>
            </w:r>
          </w:p>
        </w:tc>
      </w:tr>
      <w:tr w:rsidR="0028448B" w:rsidRPr="00181464" w14:paraId="56818220" w14:textId="77777777" w:rsidTr="0028448B">
        <w:trPr>
          <w:gridAfter w:val="1"/>
          <w:wAfter w:w="75" w:type="pct"/>
          <w:trHeight w:val="330"/>
        </w:trPr>
        <w:tc>
          <w:tcPr>
            <w:tcW w:w="2038" w:type="pct"/>
            <w:tcBorders>
              <w:top w:val="nil"/>
              <w:left w:val="nil"/>
              <w:right w:val="nil"/>
            </w:tcBorders>
            <w:shd w:val="clear" w:color="000000" w:fill="FFFFFF"/>
            <w:vAlign w:val="center"/>
          </w:tcPr>
          <w:p w14:paraId="7660B557" w14:textId="77777777" w:rsidR="0028448B" w:rsidRPr="00181464" w:rsidRDefault="0028448B" w:rsidP="00120E01">
            <w:pPr>
              <w:rPr>
                <w:color w:val="000000"/>
                <w:sz w:val="18"/>
                <w:szCs w:val="18"/>
              </w:rPr>
            </w:pPr>
            <w:r w:rsidRPr="00181464">
              <w:rPr>
                <w:color w:val="000000"/>
                <w:sz w:val="18"/>
                <w:szCs w:val="18"/>
              </w:rPr>
              <w:t xml:space="preserve">VPS - </w:t>
            </w:r>
            <w:proofErr w:type="spellStart"/>
            <w:r w:rsidRPr="00181464">
              <w:rPr>
                <w:color w:val="000000"/>
                <w:sz w:val="18"/>
                <w:szCs w:val="18"/>
              </w:rPr>
              <w:t>nadčerpanie</w:t>
            </w:r>
            <w:proofErr w:type="spellEnd"/>
            <w:r w:rsidRPr="00181464">
              <w:rPr>
                <w:color w:val="000000"/>
                <w:sz w:val="18"/>
                <w:szCs w:val="18"/>
              </w:rPr>
              <w:t xml:space="preserve"> 3. programového obdobia</w:t>
            </w:r>
          </w:p>
        </w:tc>
        <w:tc>
          <w:tcPr>
            <w:tcW w:w="548" w:type="pct"/>
            <w:gridSpan w:val="2"/>
            <w:tcBorders>
              <w:top w:val="nil"/>
              <w:left w:val="nil"/>
              <w:right w:val="nil"/>
            </w:tcBorders>
            <w:shd w:val="clear" w:color="000000" w:fill="FFFFFF"/>
            <w:noWrap/>
            <w:vAlign w:val="center"/>
          </w:tcPr>
          <w:p w14:paraId="7719BA8C" w14:textId="77777777" w:rsidR="0028448B" w:rsidRPr="00181464" w:rsidRDefault="0028448B" w:rsidP="00120E01">
            <w:pPr>
              <w:jc w:val="right"/>
              <w:rPr>
                <w:bCs/>
                <w:color w:val="000000"/>
                <w:sz w:val="18"/>
                <w:szCs w:val="18"/>
              </w:rPr>
            </w:pPr>
            <w:r w:rsidRPr="00181464">
              <w:rPr>
                <w:bCs/>
                <w:color w:val="000000"/>
                <w:sz w:val="18"/>
                <w:szCs w:val="18"/>
              </w:rPr>
              <w:t>0</w:t>
            </w:r>
          </w:p>
        </w:tc>
        <w:tc>
          <w:tcPr>
            <w:tcW w:w="484" w:type="pct"/>
            <w:tcBorders>
              <w:top w:val="nil"/>
              <w:left w:val="nil"/>
              <w:right w:val="nil"/>
            </w:tcBorders>
            <w:shd w:val="clear" w:color="000000" w:fill="FFFFFF"/>
            <w:noWrap/>
            <w:vAlign w:val="center"/>
          </w:tcPr>
          <w:p w14:paraId="31167516" w14:textId="77777777" w:rsidR="0028448B" w:rsidRPr="00181464" w:rsidRDefault="0028448B" w:rsidP="00120E01">
            <w:pPr>
              <w:jc w:val="right"/>
              <w:rPr>
                <w:bCs/>
                <w:color w:val="000000"/>
                <w:sz w:val="18"/>
                <w:szCs w:val="18"/>
              </w:rPr>
            </w:pPr>
            <w:r w:rsidRPr="00181464">
              <w:rPr>
                <w:bCs/>
                <w:color w:val="000000"/>
                <w:sz w:val="18"/>
                <w:szCs w:val="18"/>
              </w:rPr>
              <w:t>0</w:t>
            </w:r>
          </w:p>
        </w:tc>
        <w:tc>
          <w:tcPr>
            <w:tcW w:w="560" w:type="pct"/>
            <w:gridSpan w:val="3"/>
            <w:tcBorders>
              <w:top w:val="nil"/>
              <w:left w:val="nil"/>
              <w:right w:val="nil"/>
            </w:tcBorders>
            <w:shd w:val="clear" w:color="auto" w:fill="auto"/>
            <w:noWrap/>
            <w:vAlign w:val="center"/>
          </w:tcPr>
          <w:p w14:paraId="459699F2" w14:textId="77777777" w:rsidR="0028448B" w:rsidRPr="00181464" w:rsidRDefault="0028448B" w:rsidP="00120E01">
            <w:pPr>
              <w:jc w:val="right"/>
              <w:rPr>
                <w:bCs/>
                <w:color w:val="000000"/>
                <w:sz w:val="18"/>
                <w:szCs w:val="18"/>
              </w:rPr>
            </w:pPr>
            <w:r w:rsidRPr="00181464">
              <w:rPr>
                <w:bCs/>
                <w:color w:val="000000"/>
                <w:sz w:val="18"/>
                <w:szCs w:val="18"/>
              </w:rPr>
              <w:t>410 311</w:t>
            </w:r>
          </w:p>
        </w:tc>
        <w:tc>
          <w:tcPr>
            <w:tcW w:w="485" w:type="pct"/>
            <w:gridSpan w:val="2"/>
            <w:tcBorders>
              <w:top w:val="nil"/>
              <w:left w:val="nil"/>
              <w:right w:val="nil"/>
            </w:tcBorders>
            <w:shd w:val="clear" w:color="000000" w:fill="FFFFFF"/>
            <w:noWrap/>
            <w:vAlign w:val="center"/>
          </w:tcPr>
          <w:p w14:paraId="3D9CA14C" w14:textId="77777777" w:rsidR="0028448B" w:rsidRPr="00181464" w:rsidRDefault="0028448B" w:rsidP="00120E01">
            <w:pPr>
              <w:jc w:val="right"/>
              <w:rPr>
                <w:bCs/>
                <w:color w:val="000000"/>
                <w:sz w:val="18"/>
                <w:szCs w:val="18"/>
              </w:rPr>
            </w:pPr>
            <w:r w:rsidRPr="00181464">
              <w:rPr>
                <w:bCs/>
                <w:color w:val="000000"/>
                <w:sz w:val="18"/>
                <w:szCs w:val="18"/>
              </w:rPr>
              <w:t>0</w:t>
            </w:r>
          </w:p>
        </w:tc>
        <w:tc>
          <w:tcPr>
            <w:tcW w:w="459" w:type="pct"/>
            <w:gridSpan w:val="2"/>
            <w:tcBorders>
              <w:top w:val="nil"/>
              <w:left w:val="nil"/>
              <w:right w:val="nil"/>
            </w:tcBorders>
            <w:shd w:val="clear" w:color="000000" w:fill="FFFFFF"/>
            <w:noWrap/>
          </w:tcPr>
          <w:p w14:paraId="3CE4A5EB" w14:textId="77777777" w:rsidR="0028448B" w:rsidRPr="00181464" w:rsidRDefault="0028448B" w:rsidP="00120E01">
            <w:pPr>
              <w:jc w:val="right"/>
              <w:rPr>
                <w:bCs/>
                <w:color w:val="000000"/>
                <w:sz w:val="18"/>
                <w:szCs w:val="18"/>
              </w:rPr>
            </w:pPr>
            <w:r w:rsidRPr="00181464">
              <w:rPr>
                <w:sz w:val="18"/>
                <w:szCs w:val="18"/>
              </w:rPr>
              <w:t>-410 311</w:t>
            </w:r>
          </w:p>
        </w:tc>
        <w:tc>
          <w:tcPr>
            <w:tcW w:w="352" w:type="pct"/>
            <w:gridSpan w:val="2"/>
            <w:tcBorders>
              <w:top w:val="nil"/>
              <w:left w:val="nil"/>
              <w:right w:val="nil"/>
            </w:tcBorders>
            <w:shd w:val="clear" w:color="000000" w:fill="FFFFFF"/>
            <w:noWrap/>
          </w:tcPr>
          <w:p w14:paraId="2ABE02E3" w14:textId="77777777" w:rsidR="0028448B" w:rsidRPr="00181464" w:rsidRDefault="0028448B" w:rsidP="00120E01">
            <w:pPr>
              <w:jc w:val="right"/>
              <w:rPr>
                <w:bCs/>
                <w:color w:val="000000"/>
                <w:sz w:val="18"/>
                <w:szCs w:val="18"/>
              </w:rPr>
            </w:pPr>
            <w:r w:rsidRPr="00181464">
              <w:rPr>
                <w:sz w:val="18"/>
                <w:szCs w:val="18"/>
              </w:rPr>
              <w:t>-100,0</w:t>
            </w:r>
          </w:p>
        </w:tc>
      </w:tr>
      <w:tr w:rsidR="0028448B" w:rsidRPr="00181464" w14:paraId="4843B6AB" w14:textId="77777777" w:rsidTr="0028448B">
        <w:trPr>
          <w:trHeight w:val="330"/>
        </w:trPr>
        <w:tc>
          <w:tcPr>
            <w:tcW w:w="2083" w:type="pct"/>
            <w:gridSpan w:val="2"/>
            <w:tcBorders>
              <w:top w:val="nil"/>
              <w:left w:val="nil"/>
              <w:bottom w:val="nil"/>
              <w:right w:val="nil"/>
            </w:tcBorders>
            <w:shd w:val="clear" w:color="000000" w:fill="FFFFFF"/>
            <w:vAlign w:val="center"/>
          </w:tcPr>
          <w:p w14:paraId="6B327ACF" w14:textId="77777777" w:rsidR="0028448B" w:rsidRPr="00181464" w:rsidRDefault="0028448B" w:rsidP="0028448B">
            <w:pPr>
              <w:spacing w:after="0" w:line="240" w:lineRule="auto"/>
              <w:jc w:val="left"/>
              <w:rPr>
                <w:b/>
                <w:color w:val="000000"/>
                <w:sz w:val="18"/>
                <w:szCs w:val="18"/>
              </w:rPr>
            </w:pPr>
            <w:r w:rsidRPr="00181464">
              <w:rPr>
                <w:b/>
                <w:color w:val="000000"/>
                <w:sz w:val="18"/>
                <w:szCs w:val="18"/>
              </w:rPr>
              <w:t>Spolu zahraničné transfery – prostriedky EÚ</w:t>
            </w:r>
          </w:p>
        </w:tc>
        <w:tc>
          <w:tcPr>
            <w:tcW w:w="502" w:type="pct"/>
            <w:tcBorders>
              <w:top w:val="nil"/>
              <w:left w:val="nil"/>
              <w:bottom w:val="nil"/>
              <w:right w:val="nil"/>
            </w:tcBorders>
            <w:shd w:val="clear" w:color="000000" w:fill="FFFFFF"/>
            <w:noWrap/>
            <w:vAlign w:val="center"/>
          </w:tcPr>
          <w:p w14:paraId="0A9E50F6" w14:textId="2F898DB2" w:rsidR="0028448B" w:rsidRPr="00181464" w:rsidRDefault="0028448B" w:rsidP="0028448B">
            <w:pPr>
              <w:spacing w:after="0" w:line="240" w:lineRule="auto"/>
              <w:jc w:val="right"/>
              <w:rPr>
                <w:b/>
                <w:color w:val="000000"/>
                <w:sz w:val="18"/>
                <w:szCs w:val="18"/>
              </w:rPr>
            </w:pPr>
            <w:r w:rsidRPr="00181464">
              <w:rPr>
                <w:b/>
                <w:bCs/>
                <w:color w:val="000000"/>
                <w:sz w:val="18"/>
                <w:szCs w:val="18"/>
              </w:rPr>
              <w:t>2 269 707</w:t>
            </w:r>
          </w:p>
        </w:tc>
        <w:tc>
          <w:tcPr>
            <w:tcW w:w="503" w:type="pct"/>
            <w:gridSpan w:val="2"/>
            <w:tcBorders>
              <w:top w:val="nil"/>
              <w:left w:val="nil"/>
              <w:bottom w:val="nil"/>
              <w:right w:val="nil"/>
            </w:tcBorders>
            <w:shd w:val="clear" w:color="000000" w:fill="FFFFFF"/>
            <w:noWrap/>
            <w:vAlign w:val="center"/>
          </w:tcPr>
          <w:p w14:paraId="7694A749" w14:textId="67BDDD73" w:rsidR="0028448B" w:rsidRPr="00181464" w:rsidRDefault="0028448B" w:rsidP="0028448B">
            <w:pPr>
              <w:spacing w:after="0" w:line="240" w:lineRule="auto"/>
              <w:jc w:val="right"/>
              <w:rPr>
                <w:b/>
                <w:color w:val="000000"/>
                <w:sz w:val="18"/>
                <w:szCs w:val="18"/>
              </w:rPr>
            </w:pPr>
            <w:r w:rsidRPr="00181464">
              <w:rPr>
                <w:b/>
                <w:bCs/>
                <w:color w:val="000000"/>
                <w:sz w:val="18"/>
                <w:szCs w:val="18"/>
              </w:rPr>
              <w:t>2 146 641</w:t>
            </w:r>
          </w:p>
        </w:tc>
        <w:tc>
          <w:tcPr>
            <w:tcW w:w="502" w:type="pct"/>
            <w:tcBorders>
              <w:top w:val="nil"/>
              <w:left w:val="nil"/>
              <w:bottom w:val="nil"/>
              <w:right w:val="nil"/>
            </w:tcBorders>
            <w:shd w:val="clear" w:color="000000" w:fill="FFFFFF"/>
            <w:noWrap/>
            <w:vAlign w:val="center"/>
          </w:tcPr>
          <w:p w14:paraId="3FE28505" w14:textId="727981E4" w:rsidR="0028448B" w:rsidRPr="00181464" w:rsidRDefault="0028448B" w:rsidP="0028448B">
            <w:pPr>
              <w:spacing w:after="0" w:line="240" w:lineRule="auto"/>
              <w:jc w:val="right"/>
              <w:rPr>
                <w:b/>
                <w:color w:val="000000"/>
                <w:sz w:val="18"/>
                <w:szCs w:val="18"/>
              </w:rPr>
            </w:pPr>
            <w:r w:rsidRPr="00181464">
              <w:rPr>
                <w:b/>
                <w:bCs/>
                <w:color w:val="000000"/>
                <w:sz w:val="18"/>
                <w:szCs w:val="18"/>
              </w:rPr>
              <w:t>5 717 554</w:t>
            </w:r>
          </w:p>
        </w:tc>
        <w:tc>
          <w:tcPr>
            <w:tcW w:w="502" w:type="pct"/>
            <w:gridSpan w:val="2"/>
            <w:tcBorders>
              <w:top w:val="nil"/>
              <w:left w:val="nil"/>
              <w:bottom w:val="nil"/>
              <w:right w:val="nil"/>
            </w:tcBorders>
            <w:shd w:val="clear" w:color="auto" w:fill="auto"/>
            <w:noWrap/>
            <w:vAlign w:val="center"/>
          </w:tcPr>
          <w:p w14:paraId="7015E110" w14:textId="4EE87BA7" w:rsidR="0028448B" w:rsidRPr="00181464" w:rsidRDefault="0028448B" w:rsidP="0028448B">
            <w:pPr>
              <w:spacing w:after="0" w:line="240" w:lineRule="auto"/>
              <w:jc w:val="right"/>
              <w:rPr>
                <w:b/>
                <w:color w:val="000000"/>
                <w:sz w:val="18"/>
                <w:szCs w:val="18"/>
              </w:rPr>
            </w:pPr>
            <w:r w:rsidRPr="00181464">
              <w:rPr>
                <w:b/>
                <w:bCs/>
                <w:color w:val="000000"/>
                <w:sz w:val="18"/>
                <w:szCs w:val="18"/>
              </w:rPr>
              <w:t>4 141 996</w:t>
            </w:r>
          </w:p>
        </w:tc>
        <w:tc>
          <w:tcPr>
            <w:tcW w:w="547" w:type="pct"/>
            <w:gridSpan w:val="4"/>
            <w:tcBorders>
              <w:top w:val="nil"/>
              <w:left w:val="nil"/>
              <w:bottom w:val="nil"/>
              <w:right w:val="nil"/>
            </w:tcBorders>
            <w:shd w:val="clear" w:color="000000" w:fill="FFFFFF"/>
            <w:noWrap/>
            <w:vAlign w:val="center"/>
          </w:tcPr>
          <w:p w14:paraId="12681143" w14:textId="771AB620" w:rsidR="0028448B" w:rsidRPr="00181464" w:rsidRDefault="0028448B" w:rsidP="0028448B">
            <w:pPr>
              <w:spacing w:after="0" w:line="240" w:lineRule="auto"/>
              <w:jc w:val="right"/>
              <w:rPr>
                <w:b/>
                <w:color w:val="000000"/>
                <w:sz w:val="18"/>
                <w:szCs w:val="18"/>
              </w:rPr>
            </w:pPr>
            <w:r w:rsidRPr="00181464">
              <w:rPr>
                <w:b/>
                <w:bCs/>
                <w:color w:val="000000"/>
                <w:sz w:val="18"/>
                <w:szCs w:val="18"/>
              </w:rPr>
              <w:t>-1 575 558</w:t>
            </w:r>
          </w:p>
        </w:tc>
        <w:tc>
          <w:tcPr>
            <w:tcW w:w="360" w:type="pct"/>
            <w:gridSpan w:val="2"/>
            <w:tcBorders>
              <w:top w:val="nil"/>
              <w:left w:val="nil"/>
              <w:bottom w:val="nil"/>
              <w:right w:val="nil"/>
            </w:tcBorders>
            <w:shd w:val="clear" w:color="000000" w:fill="FFFFFF"/>
            <w:noWrap/>
            <w:vAlign w:val="center"/>
          </w:tcPr>
          <w:p w14:paraId="3D6AE0ED" w14:textId="1708CAA3" w:rsidR="0028448B" w:rsidRPr="00181464" w:rsidRDefault="0028448B" w:rsidP="0028448B">
            <w:pPr>
              <w:spacing w:after="0" w:line="240" w:lineRule="auto"/>
              <w:jc w:val="right"/>
              <w:rPr>
                <w:b/>
                <w:color w:val="000000"/>
                <w:sz w:val="18"/>
                <w:szCs w:val="18"/>
              </w:rPr>
            </w:pPr>
            <w:r w:rsidRPr="00181464">
              <w:rPr>
                <w:b/>
                <w:bCs/>
                <w:color w:val="000000"/>
                <w:sz w:val="18"/>
                <w:szCs w:val="18"/>
              </w:rPr>
              <w:t>-27,6</w:t>
            </w:r>
          </w:p>
        </w:tc>
      </w:tr>
      <w:tr w:rsidR="0028448B" w:rsidRPr="00181464" w14:paraId="6624A5F8" w14:textId="77777777" w:rsidTr="0028448B">
        <w:trPr>
          <w:trHeight w:val="330"/>
        </w:trPr>
        <w:tc>
          <w:tcPr>
            <w:tcW w:w="2083" w:type="pct"/>
            <w:gridSpan w:val="2"/>
            <w:tcBorders>
              <w:top w:val="nil"/>
              <w:left w:val="nil"/>
              <w:bottom w:val="nil"/>
              <w:right w:val="nil"/>
            </w:tcBorders>
            <w:shd w:val="clear" w:color="000000" w:fill="FFFFFF"/>
            <w:vAlign w:val="center"/>
          </w:tcPr>
          <w:p w14:paraId="68C39E67" w14:textId="77777777" w:rsidR="0028448B" w:rsidRPr="00181464" w:rsidRDefault="0028448B" w:rsidP="0028448B">
            <w:pPr>
              <w:spacing w:after="0" w:line="240" w:lineRule="auto"/>
              <w:jc w:val="left"/>
              <w:rPr>
                <w:color w:val="000000"/>
                <w:sz w:val="18"/>
                <w:szCs w:val="18"/>
              </w:rPr>
            </w:pPr>
            <w:r w:rsidRPr="00181464">
              <w:rPr>
                <w:color w:val="000000"/>
                <w:sz w:val="18"/>
                <w:szCs w:val="18"/>
              </w:rPr>
              <w:t>Zahraničné granty z rozpočtu EÚ</w:t>
            </w:r>
          </w:p>
        </w:tc>
        <w:tc>
          <w:tcPr>
            <w:tcW w:w="502" w:type="pct"/>
            <w:tcBorders>
              <w:top w:val="nil"/>
              <w:left w:val="nil"/>
              <w:bottom w:val="nil"/>
              <w:right w:val="nil"/>
            </w:tcBorders>
            <w:shd w:val="clear" w:color="000000" w:fill="FFFFFF"/>
            <w:noWrap/>
            <w:vAlign w:val="center"/>
          </w:tcPr>
          <w:p w14:paraId="33A0BEEB" w14:textId="209091BC" w:rsidR="0028448B" w:rsidRPr="00181464" w:rsidRDefault="0028448B" w:rsidP="0028448B">
            <w:pPr>
              <w:spacing w:after="0" w:line="240" w:lineRule="auto"/>
              <w:jc w:val="right"/>
              <w:rPr>
                <w:b/>
                <w:color w:val="000000"/>
                <w:sz w:val="18"/>
                <w:szCs w:val="18"/>
              </w:rPr>
            </w:pPr>
            <w:r w:rsidRPr="00181464">
              <w:rPr>
                <w:color w:val="000000"/>
                <w:sz w:val="18"/>
                <w:szCs w:val="18"/>
              </w:rPr>
              <w:t>0</w:t>
            </w:r>
          </w:p>
        </w:tc>
        <w:tc>
          <w:tcPr>
            <w:tcW w:w="503" w:type="pct"/>
            <w:gridSpan w:val="2"/>
            <w:tcBorders>
              <w:top w:val="nil"/>
              <w:left w:val="nil"/>
              <w:bottom w:val="nil"/>
              <w:right w:val="nil"/>
            </w:tcBorders>
            <w:shd w:val="clear" w:color="000000" w:fill="FFFFFF"/>
            <w:noWrap/>
            <w:vAlign w:val="center"/>
          </w:tcPr>
          <w:p w14:paraId="38C90D9F" w14:textId="0ADF3DBA" w:rsidR="0028448B" w:rsidRPr="00181464" w:rsidRDefault="0028448B" w:rsidP="0028448B">
            <w:pPr>
              <w:spacing w:after="0" w:line="240" w:lineRule="auto"/>
              <w:jc w:val="right"/>
              <w:rPr>
                <w:b/>
                <w:color w:val="000000"/>
                <w:sz w:val="18"/>
                <w:szCs w:val="18"/>
              </w:rPr>
            </w:pPr>
            <w:r w:rsidRPr="00181464">
              <w:rPr>
                <w:color w:val="000000"/>
                <w:sz w:val="18"/>
                <w:szCs w:val="18"/>
              </w:rPr>
              <w:t>0</w:t>
            </w:r>
          </w:p>
        </w:tc>
        <w:tc>
          <w:tcPr>
            <w:tcW w:w="502" w:type="pct"/>
            <w:tcBorders>
              <w:top w:val="nil"/>
              <w:left w:val="nil"/>
              <w:bottom w:val="nil"/>
              <w:right w:val="nil"/>
            </w:tcBorders>
            <w:shd w:val="clear" w:color="000000" w:fill="FFFFFF"/>
            <w:noWrap/>
            <w:vAlign w:val="center"/>
          </w:tcPr>
          <w:p w14:paraId="141C54D9" w14:textId="5C60B959" w:rsidR="0028448B" w:rsidRPr="00181464" w:rsidRDefault="0028448B" w:rsidP="0028448B">
            <w:pPr>
              <w:spacing w:after="0" w:line="240" w:lineRule="auto"/>
              <w:jc w:val="right"/>
              <w:rPr>
                <w:b/>
                <w:color w:val="000000"/>
                <w:sz w:val="18"/>
                <w:szCs w:val="18"/>
              </w:rPr>
            </w:pPr>
            <w:r w:rsidRPr="00181464">
              <w:rPr>
                <w:color w:val="000000"/>
                <w:sz w:val="18"/>
                <w:szCs w:val="18"/>
              </w:rPr>
              <w:t>0</w:t>
            </w:r>
          </w:p>
        </w:tc>
        <w:tc>
          <w:tcPr>
            <w:tcW w:w="502" w:type="pct"/>
            <w:gridSpan w:val="2"/>
            <w:tcBorders>
              <w:top w:val="nil"/>
              <w:left w:val="nil"/>
              <w:bottom w:val="nil"/>
              <w:right w:val="nil"/>
            </w:tcBorders>
            <w:shd w:val="clear" w:color="auto" w:fill="auto"/>
            <w:noWrap/>
            <w:vAlign w:val="center"/>
          </w:tcPr>
          <w:p w14:paraId="1DEFB245" w14:textId="4EFDB1FE" w:rsidR="0028448B" w:rsidRPr="00181464" w:rsidRDefault="0028448B" w:rsidP="0028448B">
            <w:pPr>
              <w:spacing w:after="0" w:line="240" w:lineRule="auto"/>
              <w:jc w:val="right"/>
              <w:rPr>
                <w:b/>
                <w:color w:val="000000"/>
                <w:sz w:val="18"/>
                <w:szCs w:val="18"/>
              </w:rPr>
            </w:pPr>
            <w:r w:rsidRPr="00181464">
              <w:rPr>
                <w:color w:val="000000"/>
                <w:sz w:val="18"/>
                <w:szCs w:val="18"/>
              </w:rPr>
              <w:t>0</w:t>
            </w:r>
          </w:p>
        </w:tc>
        <w:tc>
          <w:tcPr>
            <w:tcW w:w="547" w:type="pct"/>
            <w:gridSpan w:val="4"/>
            <w:tcBorders>
              <w:top w:val="nil"/>
              <w:left w:val="nil"/>
              <w:bottom w:val="nil"/>
              <w:right w:val="nil"/>
            </w:tcBorders>
            <w:shd w:val="clear" w:color="000000" w:fill="FFFFFF"/>
            <w:noWrap/>
            <w:vAlign w:val="center"/>
          </w:tcPr>
          <w:p w14:paraId="0F96C5B4" w14:textId="69F5930B" w:rsidR="0028448B" w:rsidRPr="00181464" w:rsidRDefault="0028448B" w:rsidP="0028448B">
            <w:pPr>
              <w:spacing w:after="0" w:line="240" w:lineRule="auto"/>
              <w:jc w:val="right"/>
              <w:rPr>
                <w:b/>
                <w:color w:val="000000"/>
                <w:sz w:val="18"/>
                <w:szCs w:val="18"/>
              </w:rPr>
            </w:pPr>
            <w:r w:rsidRPr="00181464">
              <w:rPr>
                <w:color w:val="000000"/>
                <w:sz w:val="18"/>
                <w:szCs w:val="18"/>
              </w:rPr>
              <w:t>0</w:t>
            </w:r>
          </w:p>
        </w:tc>
        <w:tc>
          <w:tcPr>
            <w:tcW w:w="360" w:type="pct"/>
            <w:gridSpan w:val="2"/>
            <w:tcBorders>
              <w:top w:val="nil"/>
              <w:left w:val="nil"/>
              <w:bottom w:val="nil"/>
              <w:right w:val="nil"/>
            </w:tcBorders>
            <w:shd w:val="clear" w:color="000000" w:fill="FFFFFF"/>
            <w:noWrap/>
            <w:vAlign w:val="center"/>
          </w:tcPr>
          <w:p w14:paraId="262B4C8E" w14:textId="456B5157" w:rsidR="0028448B" w:rsidRPr="00181464" w:rsidRDefault="0028448B" w:rsidP="0028448B">
            <w:pPr>
              <w:spacing w:after="0" w:line="240" w:lineRule="auto"/>
              <w:jc w:val="right"/>
              <w:rPr>
                <w:b/>
                <w:color w:val="000000"/>
                <w:sz w:val="18"/>
                <w:szCs w:val="18"/>
              </w:rPr>
            </w:pPr>
            <w:r w:rsidRPr="00181464">
              <w:rPr>
                <w:color w:val="000000"/>
                <w:sz w:val="18"/>
                <w:szCs w:val="18"/>
              </w:rPr>
              <w:t>-</w:t>
            </w:r>
          </w:p>
        </w:tc>
      </w:tr>
      <w:tr w:rsidR="0028448B" w:rsidRPr="00181464" w14:paraId="6F49E741" w14:textId="77777777" w:rsidTr="0028448B">
        <w:trPr>
          <w:trHeight w:val="345"/>
        </w:trPr>
        <w:tc>
          <w:tcPr>
            <w:tcW w:w="2083" w:type="pct"/>
            <w:gridSpan w:val="2"/>
            <w:tcBorders>
              <w:top w:val="single" w:sz="4" w:space="0" w:color="auto"/>
              <w:left w:val="nil"/>
              <w:bottom w:val="single" w:sz="8" w:space="0" w:color="auto"/>
              <w:right w:val="nil"/>
            </w:tcBorders>
            <w:shd w:val="clear" w:color="000000" w:fill="FFFFFF"/>
            <w:vAlign w:val="center"/>
            <w:hideMark/>
          </w:tcPr>
          <w:p w14:paraId="270018C0" w14:textId="77777777" w:rsidR="0028448B" w:rsidRPr="00181464" w:rsidRDefault="0028448B" w:rsidP="0028448B">
            <w:pPr>
              <w:spacing w:after="0" w:line="240" w:lineRule="auto"/>
              <w:jc w:val="lef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Spolu príjmy z rozpočtu EÚ</w:t>
            </w:r>
          </w:p>
        </w:tc>
        <w:tc>
          <w:tcPr>
            <w:tcW w:w="502" w:type="pct"/>
            <w:tcBorders>
              <w:top w:val="single" w:sz="4" w:space="0" w:color="auto"/>
              <w:left w:val="nil"/>
              <w:bottom w:val="single" w:sz="8" w:space="0" w:color="auto"/>
              <w:right w:val="nil"/>
            </w:tcBorders>
            <w:shd w:val="clear" w:color="000000" w:fill="FFFFFF"/>
            <w:noWrap/>
            <w:vAlign w:val="center"/>
            <w:hideMark/>
          </w:tcPr>
          <w:p w14:paraId="49C248AE" w14:textId="5E47C22F" w:rsidR="0028448B" w:rsidRPr="00181464" w:rsidRDefault="0028448B" w:rsidP="0028448B">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2 269 707</w:t>
            </w:r>
          </w:p>
        </w:tc>
        <w:tc>
          <w:tcPr>
            <w:tcW w:w="503" w:type="pct"/>
            <w:gridSpan w:val="2"/>
            <w:tcBorders>
              <w:top w:val="single" w:sz="4" w:space="0" w:color="auto"/>
              <w:left w:val="nil"/>
              <w:bottom w:val="single" w:sz="8" w:space="0" w:color="auto"/>
              <w:right w:val="nil"/>
            </w:tcBorders>
            <w:shd w:val="clear" w:color="000000" w:fill="FFFFFF"/>
            <w:noWrap/>
            <w:vAlign w:val="center"/>
            <w:hideMark/>
          </w:tcPr>
          <w:p w14:paraId="3D6B0743" w14:textId="24B61E77" w:rsidR="0028448B" w:rsidRPr="00181464" w:rsidRDefault="0028448B" w:rsidP="0028448B">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2 146 641</w:t>
            </w:r>
          </w:p>
        </w:tc>
        <w:tc>
          <w:tcPr>
            <w:tcW w:w="502" w:type="pct"/>
            <w:tcBorders>
              <w:top w:val="single" w:sz="4" w:space="0" w:color="auto"/>
              <w:left w:val="nil"/>
              <w:bottom w:val="single" w:sz="8" w:space="0" w:color="auto"/>
              <w:right w:val="nil"/>
            </w:tcBorders>
            <w:shd w:val="clear" w:color="000000" w:fill="FFFFFF"/>
            <w:noWrap/>
            <w:vAlign w:val="center"/>
            <w:hideMark/>
          </w:tcPr>
          <w:p w14:paraId="4E027D31" w14:textId="2975BD32" w:rsidR="0028448B" w:rsidRPr="00181464" w:rsidRDefault="0028448B" w:rsidP="0028448B">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5 717 554</w:t>
            </w:r>
          </w:p>
        </w:tc>
        <w:tc>
          <w:tcPr>
            <w:tcW w:w="502" w:type="pct"/>
            <w:gridSpan w:val="2"/>
            <w:tcBorders>
              <w:top w:val="single" w:sz="4" w:space="0" w:color="auto"/>
              <w:left w:val="nil"/>
              <w:bottom w:val="single" w:sz="8" w:space="0" w:color="auto"/>
              <w:right w:val="nil"/>
            </w:tcBorders>
            <w:shd w:val="clear" w:color="000000" w:fill="FFFFFF"/>
            <w:noWrap/>
            <w:vAlign w:val="center"/>
            <w:hideMark/>
          </w:tcPr>
          <w:p w14:paraId="50899133" w14:textId="6E960D6B" w:rsidR="0028448B" w:rsidRPr="00181464" w:rsidRDefault="0028448B" w:rsidP="0028448B">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4 141 996</w:t>
            </w:r>
          </w:p>
        </w:tc>
        <w:tc>
          <w:tcPr>
            <w:tcW w:w="547" w:type="pct"/>
            <w:gridSpan w:val="4"/>
            <w:tcBorders>
              <w:top w:val="single" w:sz="4" w:space="0" w:color="auto"/>
              <w:left w:val="nil"/>
              <w:bottom w:val="single" w:sz="8" w:space="0" w:color="auto"/>
              <w:right w:val="nil"/>
            </w:tcBorders>
            <w:shd w:val="clear" w:color="000000" w:fill="FFFFFF"/>
            <w:noWrap/>
            <w:vAlign w:val="center"/>
            <w:hideMark/>
          </w:tcPr>
          <w:p w14:paraId="4894278B" w14:textId="1158704B" w:rsidR="0028448B" w:rsidRPr="00181464" w:rsidRDefault="0028448B" w:rsidP="0028448B">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-1 575 558</w:t>
            </w:r>
          </w:p>
        </w:tc>
        <w:tc>
          <w:tcPr>
            <w:tcW w:w="360" w:type="pct"/>
            <w:gridSpan w:val="2"/>
            <w:tcBorders>
              <w:top w:val="single" w:sz="4" w:space="0" w:color="auto"/>
              <w:left w:val="nil"/>
              <w:bottom w:val="single" w:sz="8" w:space="0" w:color="auto"/>
              <w:right w:val="nil"/>
            </w:tcBorders>
            <w:shd w:val="clear" w:color="000000" w:fill="FFFFFF"/>
            <w:noWrap/>
            <w:vAlign w:val="center"/>
            <w:hideMark/>
          </w:tcPr>
          <w:p w14:paraId="76BDED6A" w14:textId="78AC159C" w:rsidR="0028448B" w:rsidRPr="00181464" w:rsidRDefault="0028448B" w:rsidP="0028448B">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-27,6</w:t>
            </w:r>
          </w:p>
        </w:tc>
      </w:tr>
    </w:tbl>
    <w:p w14:paraId="47FCAEA5" w14:textId="77777777" w:rsidR="0028448B" w:rsidRPr="00181464" w:rsidRDefault="0028448B" w:rsidP="0028448B">
      <w:pPr>
        <w:spacing w:after="0" w:line="240" w:lineRule="auto"/>
        <w:rPr>
          <w:sz w:val="18"/>
          <w:szCs w:val="18"/>
        </w:rPr>
      </w:pPr>
      <w:r w:rsidRPr="00181464">
        <w:rPr>
          <w:sz w:val="18"/>
          <w:szCs w:val="18"/>
        </w:rPr>
        <w:t xml:space="preserve">*Do kategórie programov Európskej územnej spolupráce, </w:t>
      </w:r>
      <w:proofErr w:type="spellStart"/>
      <w:r w:rsidRPr="00181464">
        <w:rPr>
          <w:sz w:val="18"/>
          <w:szCs w:val="18"/>
        </w:rPr>
        <w:t>t.j</w:t>
      </w:r>
      <w:proofErr w:type="spellEnd"/>
      <w:r w:rsidRPr="00181464">
        <w:rPr>
          <w:sz w:val="18"/>
          <w:szCs w:val="18"/>
        </w:rPr>
        <w:t xml:space="preserve">. EÚS (CO MF SR) sú zaradené programy </w:t>
      </w:r>
      <w:proofErr w:type="spellStart"/>
      <w:r w:rsidRPr="00181464">
        <w:rPr>
          <w:sz w:val="18"/>
          <w:szCs w:val="18"/>
        </w:rPr>
        <w:t>Interreg</w:t>
      </w:r>
      <w:proofErr w:type="spellEnd"/>
      <w:r w:rsidRPr="00181464">
        <w:rPr>
          <w:sz w:val="18"/>
          <w:szCs w:val="18"/>
        </w:rPr>
        <w:t xml:space="preserve"> V-A SK-AT 2014-2020 a </w:t>
      </w:r>
      <w:proofErr w:type="spellStart"/>
      <w:r w:rsidRPr="00181464">
        <w:rPr>
          <w:sz w:val="18"/>
          <w:szCs w:val="18"/>
        </w:rPr>
        <w:t>Interreg</w:t>
      </w:r>
      <w:proofErr w:type="spellEnd"/>
      <w:r w:rsidRPr="00181464">
        <w:rPr>
          <w:sz w:val="18"/>
          <w:szCs w:val="18"/>
        </w:rPr>
        <w:t xml:space="preserve"> V-A SK-CZ 2014-2020.</w:t>
      </w:r>
    </w:p>
    <w:p w14:paraId="43C4DD1D" w14:textId="77777777" w:rsidR="0028448B" w:rsidRPr="00181464" w:rsidRDefault="0028448B" w:rsidP="00BD4088">
      <w:pPr>
        <w:spacing w:after="0" w:line="240" w:lineRule="auto"/>
        <w:rPr>
          <w:sz w:val="18"/>
          <w:szCs w:val="18"/>
        </w:rPr>
      </w:pPr>
      <w:r w:rsidRPr="00181464">
        <w:rPr>
          <w:sz w:val="18"/>
          <w:szCs w:val="18"/>
        </w:rPr>
        <w:t>** programy cieľa Európska územná spolupráca, pre ktoré je MF SR platobným orgánom (</w:t>
      </w:r>
      <w:proofErr w:type="spellStart"/>
      <w:r w:rsidRPr="00181464">
        <w:rPr>
          <w:sz w:val="18"/>
          <w:szCs w:val="18"/>
        </w:rPr>
        <w:t>Interreg</w:t>
      </w:r>
      <w:proofErr w:type="spellEnd"/>
      <w:r w:rsidRPr="00181464">
        <w:rPr>
          <w:sz w:val="18"/>
          <w:szCs w:val="18"/>
        </w:rPr>
        <w:t xml:space="preserve"> VI-A SK-AT 2021-2027, </w:t>
      </w:r>
      <w:proofErr w:type="spellStart"/>
      <w:r w:rsidRPr="00181464">
        <w:rPr>
          <w:sz w:val="18"/>
          <w:szCs w:val="18"/>
        </w:rPr>
        <w:t>Interreg</w:t>
      </w:r>
      <w:proofErr w:type="spellEnd"/>
      <w:r w:rsidRPr="00181464">
        <w:rPr>
          <w:sz w:val="18"/>
          <w:szCs w:val="18"/>
        </w:rPr>
        <w:t xml:space="preserve"> VI-A SK-CZ 2021-2027)</w:t>
      </w:r>
    </w:p>
    <w:p w14:paraId="72636DF6" w14:textId="067E7CB0" w:rsidR="0028448B" w:rsidRPr="00181464" w:rsidRDefault="0028448B" w:rsidP="00BD4088">
      <w:pPr>
        <w:spacing w:line="240" w:lineRule="auto"/>
        <w:rPr>
          <w:sz w:val="18"/>
          <w:szCs w:val="18"/>
        </w:rPr>
      </w:pPr>
      <w:r w:rsidRPr="00181464">
        <w:rPr>
          <w:sz w:val="18"/>
          <w:szCs w:val="18"/>
        </w:rPr>
        <w:tab/>
      </w:r>
      <w:r w:rsidRPr="00181464">
        <w:rPr>
          <w:sz w:val="18"/>
          <w:szCs w:val="18"/>
        </w:rPr>
        <w:tab/>
      </w:r>
      <w:r w:rsidRPr="00181464">
        <w:rPr>
          <w:sz w:val="18"/>
          <w:szCs w:val="18"/>
        </w:rPr>
        <w:tab/>
      </w:r>
      <w:r w:rsidRPr="00181464">
        <w:rPr>
          <w:sz w:val="18"/>
          <w:szCs w:val="18"/>
        </w:rPr>
        <w:tab/>
      </w:r>
      <w:r w:rsidRPr="00181464">
        <w:rPr>
          <w:sz w:val="18"/>
          <w:szCs w:val="18"/>
        </w:rPr>
        <w:tab/>
      </w:r>
      <w:r w:rsidRPr="00181464">
        <w:rPr>
          <w:sz w:val="18"/>
          <w:szCs w:val="18"/>
        </w:rPr>
        <w:tab/>
      </w:r>
      <w:r w:rsidRPr="00181464">
        <w:rPr>
          <w:sz w:val="18"/>
          <w:szCs w:val="18"/>
        </w:rPr>
        <w:tab/>
      </w:r>
      <w:r w:rsidRPr="00181464">
        <w:rPr>
          <w:sz w:val="18"/>
          <w:szCs w:val="18"/>
        </w:rPr>
        <w:tab/>
      </w:r>
      <w:r w:rsidRPr="00181464">
        <w:rPr>
          <w:sz w:val="18"/>
          <w:szCs w:val="18"/>
        </w:rPr>
        <w:tab/>
      </w:r>
      <w:r w:rsidRPr="00181464">
        <w:rPr>
          <w:sz w:val="18"/>
          <w:szCs w:val="18"/>
        </w:rPr>
        <w:tab/>
      </w:r>
      <w:r w:rsidRPr="00181464">
        <w:rPr>
          <w:sz w:val="18"/>
          <w:szCs w:val="18"/>
        </w:rPr>
        <w:tab/>
      </w:r>
      <w:r w:rsidRPr="00181464">
        <w:rPr>
          <w:sz w:val="18"/>
          <w:szCs w:val="18"/>
        </w:rPr>
        <w:tab/>
      </w:r>
      <w:r w:rsidRPr="00181464">
        <w:rPr>
          <w:sz w:val="18"/>
          <w:szCs w:val="18"/>
        </w:rPr>
        <w:tab/>
      </w:r>
      <w:r w:rsidRPr="00181464">
        <w:rPr>
          <w:sz w:val="18"/>
          <w:szCs w:val="18"/>
        </w:rPr>
        <w:tab/>
      </w:r>
      <w:r w:rsidRPr="00181464">
        <w:rPr>
          <w:sz w:val="18"/>
          <w:szCs w:val="18"/>
        </w:rPr>
        <w:tab/>
      </w:r>
      <w:r w:rsidR="00BD4088" w:rsidRPr="00181464">
        <w:rPr>
          <w:sz w:val="18"/>
          <w:szCs w:val="18"/>
        </w:rPr>
        <w:t xml:space="preserve">         </w:t>
      </w:r>
      <w:r w:rsidRPr="00181464">
        <w:rPr>
          <w:sz w:val="18"/>
          <w:szCs w:val="18"/>
        </w:rPr>
        <w:t>Zdroj: MF SR</w:t>
      </w:r>
    </w:p>
    <w:p w14:paraId="022C9398" w14:textId="111F00F1" w:rsidR="008254BE" w:rsidRDefault="008254BE" w:rsidP="00642B82">
      <w:pPr>
        <w:pStyle w:val="Nadpis3"/>
      </w:pPr>
      <w:bookmarkStart w:id="67" w:name="_Toc6415654"/>
      <w:bookmarkStart w:id="68" w:name="_Toc164846954"/>
      <w:r w:rsidRPr="007D5989">
        <w:t xml:space="preserve">Výdavky štátneho rozpočtu </w:t>
      </w:r>
      <w:r w:rsidRPr="00642B82">
        <w:t>rozpočtované</w:t>
      </w:r>
      <w:r w:rsidRPr="007D5989">
        <w:t xml:space="preserve"> vo väzbe na príjmy z</w:t>
      </w:r>
      <w:r w:rsidR="0028448B">
        <w:t> </w:t>
      </w:r>
      <w:bookmarkEnd w:id="67"/>
      <w:r w:rsidR="00E936AB">
        <w:t>EÚ</w:t>
      </w:r>
      <w:bookmarkEnd w:id="68"/>
    </w:p>
    <w:p w14:paraId="62009D20" w14:textId="1D25D29D" w:rsidR="0028448B" w:rsidRPr="0028448B" w:rsidRDefault="0028448B" w:rsidP="0028448B">
      <w:pPr>
        <w:spacing w:line="240" w:lineRule="auto"/>
        <w:rPr>
          <w:sz w:val="24"/>
          <w:szCs w:val="24"/>
        </w:rPr>
      </w:pPr>
      <w:r w:rsidRPr="0028448B">
        <w:rPr>
          <w:sz w:val="24"/>
          <w:szCs w:val="24"/>
        </w:rPr>
        <w:t xml:space="preserve">Vo väzbe na príjmy z prostriedkov EÚ sa v štátnom rozpočte rozpočtujú výdavky za prostriedky EÚ a k nim zodpovedajúce výdavky na spolufinancovanie zo štátneho rozpočtu. </w:t>
      </w:r>
    </w:p>
    <w:p w14:paraId="38AB88B4" w14:textId="77777777" w:rsidR="0028448B" w:rsidRPr="0028448B" w:rsidRDefault="0028448B" w:rsidP="0028448B">
      <w:pPr>
        <w:spacing w:line="240" w:lineRule="auto"/>
        <w:rPr>
          <w:b/>
          <w:sz w:val="24"/>
          <w:szCs w:val="24"/>
        </w:rPr>
      </w:pPr>
      <w:r w:rsidRPr="0028448B">
        <w:rPr>
          <w:b/>
          <w:sz w:val="24"/>
          <w:szCs w:val="24"/>
        </w:rPr>
        <w:t xml:space="preserve">Výdavky za prostriedky EÚ </w:t>
      </w:r>
    </w:p>
    <w:p w14:paraId="27A84559" w14:textId="34B30D32" w:rsidR="0028448B" w:rsidRPr="0028448B" w:rsidRDefault="0028448B" w:rsidP="0028448B">
      <w:pPr>
        <w:spacing w:line="240" w:lineRule="auto"/>
        <w:rPr>
          <w:sz w:val="24"/>
          <w:szCs w:val="24"/>
        </w:rPr>
      </w:pPr>
      <w:r w:rsidRPr="0028448B">
        <w:rPr>
          <w:sz w:val="24"/>
          <w:szCs w:val="24"/>
        </w:rPr>
        <w:t>Výdavky za prostriedky EÚ boli na rok 2023 rozpočtované vo výške 5 717</w:t>
      </w:r>
      <w:r>
        <w:rPr>
          <w:sz w:val="24"/>
          <w:szCs w:val="24"/>
        </w:rPr>
        <w:t> </w:t>
      </w:r>
      <w:r w:rsidRPr="0028448B">
        <w:rPr>
          <w:sz w:val="24"/>
          <w:szCs w:val="24"/>
        </w:rPr>
        <w:t>554</w:t>
      </w:r>
      <w:r>
        <w:rPr>
          <w:sz w:val="24"/>
          <w:szCs w:val="24"/>
        </w:rPr>
        <w:t> </w:t>
      </w:r>
      <w:r w:rsidRPr="0028448B">
        <w:rPr>
          <w:sz w:val="24"/>
          <w:szCs w:val="24"/>
        </w:rPr>
        <w:t xml:space="preserve">tis. eur, teda v rovnakej výške ako príjmy z rozpočtu EÚ. Skutočné plnenie výdavkov EÚ je vo výške </w:t>
      </w:r>
      <w:r>
        <w:rPr>
          <w:sz w:val="24"/>
          <w:szCs w:val="24"/>
        </w:rPr>
        <w:t>4 906 </w:t>
      </w:r>
      <w:r w:rsidRPr="0028448B">
        <w:rPr>
          <w:sz w:val="24"/>
          <w:szCs w:val="24"/>
        </w:rPr>
        <w:t>961</w:t>
      </w:r>
      <w:r>
        <w:rPr>
          <w:sz w:val="24"/>
          <w:szCs w:val="24"/>
        </w:rPr>
        <w:t> </w:t>
      </w:r>
      <w:r w:rsidRPr="0028448B">
        <w:rPr>
          <w:sz w:val="24"/>
          <w:szCs w:val="24"/>
        </w:rPr>
        <w:t>tis.</w:t>
      </w:r>
      <w:r>
        <w:rPr>
          <w:sz w:val="24"/>
          <w:szCs w:val="24"/>
        </w:rPr>
        <w:t> </w:t>
      </w:r>
      <w:r w:rsidRPr="0028448B">
        <w:rPr>
          <w:sz w:val="24"/>
          <w:szCs w:val="24"/>
        </w:rPr>
        <w:t>eur.</w:t>
      </w:r>
    </w:p>
    <w:p w14:paraId="7D7926A5" w14:textId="7E7A9A6E" w:rsidR="0028448B" w:rsidRPr="0028448B" w:rsidRDefault="0028448B" w:rsidP="0028448B">
      <w:pPr>
        <w:spacing w:line="240" w:lineRule="auto"/>
        <w:rPr>
          <w:sz w:val="24"/>
          <w:szCs w:val="24"/>
        </w:rPr>
      </w:pPr>
      <w:r w:rsidRPr="0028448B">
        <w:rPr>
          <w:sz w:val="24"/>
          <w:szCs w:val="24"/>
        </w:rPr>
        <w:t xml:space="preserve">Na rozdiel od schváleného rozpočtu výdavkov za prostriedky EÚ, ktoré boli zákonom o štátnom rozpočte na rok 2023 vyčlenené pre kapitoly, v ktorých sa nachádzajú platobné jednotky, resp. ktoré sú riadiacim orgánom/sprostredkovateľským orgánom s platobnou funkciou, Pôdohospodárska platobná agentúra, </w:t>
      </w:r>
      <w:r>
        <w:rPr>
          <w:sz w:val="24"/>
          <w:szCs w:val="24"/>
        </w:rPr>
        <w:t>Ministerstvo práce, sociálnych vecí a rodiny SR</w:t>
      </w:r>
      <w:r w:rsidRPr="0028448B">
        <w:rPr>
          <w:sz w:val="24"/>
          <w:szCs w:val="24"/>
        </w:rPr>
        <w:t xml:space="preserve"> za Fond pre najodkázanejšie osoby, </w:t>
      </w:r>
      <w:r>
        <w:rPr>
          <w:sz w:val="24"/>
          <w:szCs w:val="24"/>
        </w:rPr>
        <w:t>Ministerstvo vnútra SR</w:t>
      </w:r>
      <w:r w:rsidRPr="0028448B">
        <w:rPr>
          <w:sz w:val="24"/>
          <w:szCs w:val="24"/>
        </w:rPr>
        <w:t xml:space="preserve"> za Fondy pre oblasť vnútorných záležitostí a</w:t>
      </w:r>
      <w:r>
        <w:rPr>
          <w:sz w:val="24"/>
          <w:szCs w:val="24"/>
        </w:rPr>
        <w:t xml:space="preserve"> </w:t>
      </w:r>
      <w:r w:rsidRPr="0028448B">
        <w:rPr>
          <w:sz w:val="24"/>
          <w:szCs w:val="24"/>
        </w:rPr>
        <w:t xml:space="preserve">VPS za prostriedky na dočasné </w:t>
      </w:r>
      <w:proofErr w:type="spellStart"/>
      <w:r w:rsidRPr="0028448B">
        <w:rPr>
          <w:sz w:val="24"/>
          <w:szCs w:val="24"/>
        </w:rPr>
        <w:t>nadčerpanie</w:t>
      </w:r>
      <w:proofErr w:type="spellEnd"/>
      <w:r w:rsidRPr="0028448B">
        <w:rPr>
          <w:sz w:val="24"/>
          <w:szCs w:val="24"/>
        </w:rPr>
        <w:t xml:space="preserve"> 3. programového obdobia, skutočné čerpanie výdavkov sa prejavuje tiež v rozpočtových kapitolách, v ktorých sa realizujú projekty na úrovni konečných prijímateľov. Na základe uvedeného sa v niektorých kapitolách prejavuje negatívne saldo príjmov a výdavkov za prostriedky EÚ. </w:t>
      </w:r>
    </w:p>
    <w:p w14:paraId="2BCC7470" w14:textId="77777777" w:rsidR="0028448B" w:rsidRPr="0028448B" w:rsidRDefault="0028448B" w:rsidP="0028448B">
      <w:pPr>
        <w:spacing w:line="240" w:lineRule="auto"/>
        <w:rPr>
          <w:sz w:val="24"/>
          <w:szCs w:val="24"/>
        </w:rPr>
      </w:pPr>
      <w:r w:rsidRPr="0028448B">
        <w:rPr>
          <w:sz w:val="24"/>
          <w:szCs w:val="24"/>
        </w:rPr>
        <w:t xml:space="preserve">Rozpočet výdavkov za prostriedky EÚ bol v roku 2023 upravený v nadväznosti na vysporiadanie finančných prostriedkov za finančné opravy v zmysle § 15 zákona č. 523/2004 Z. z. o rozpočtových pravidlách verejnej správy, v nadväznosti na prijaté oznámenia o výške prostriedkov, ktoré budú použité v nasledujúcich rokoch v zmysle § 8 zákona č. 523/2004 Z. z. o rozpočtových pravidlách verejnej správy a v nadväznosti na ostatné viazania prostriedkov v zmysle § 18 zákona č. 523/2004 Z. z. o rozpočtových pravidlách verejnej správy. </w:t>
      </w:r>
    </w:p>
    <w:p w14:paraId="5D9BC720" w14:textId="41F649F8" w:rsidR="0028448B" w:rsidRPr="0028448B" w:rsidRDefault="0028448B" w:rsidP="0028448B">
      <w:pPr>
        <w:spacing w:line="240" w:lineRule="auto"/>
        <w:rPr>
          <w:sz w:val="24"/>
          <w:szCs w:val="24"/>
        </w:rPr>
      </w:pPr>
      <w:r w:rsidRPr="0028448B">
        <w:rPr>
          <w:sz w:val="24"/>
          <w:szCs w:val="24"/>
        </w:rPr>
        <w:t xml:space="preserve">Po úpravách dosiahol rozpočet úroveň </w:t>
      </w:r>
      <w:r>
        <w:rPr>
          <w:sz w:val="24"/>
          <w:szCs w:val="24"/>
        </w:rPr>
        <w:t>4 906 </w:t>
      </w:r>
      <w:r w:rsidRPr="0028448B">
        <w:rPr>
          <w:sz w:val="24"/>
          <w:szCs w:val="24"/>
        </w:rPr>
        <w:t>660 tis. eur, pričom celkové čerpanie výdavkov za prostriedky EÚ v roku 2023 je mierne vyššie</w:t>
      </w:r>
      <w:r>
        <w:rPr>
          <w:sz w:val="24"/>
          <w:szCs w:val="24"/>
        </w:rPr>
        <w:t>,</w:t>
      </w:r>
      <w:r w:rsidRPr="0028448B">
        <w:rPr>
          <w:sz w:val="24"/>
          <w:szCs w:val="24"/>
        </w:rPr>
        <w:t xml:space="preserve"> a to vo výške </w:t>
      </w:r>
      <w:r>
        <w:rPr>
          <w:sz w:val="24"/>
          <w:szCs w:val="24"/>
        </w:rPr>
        <w:t>4 906 </w:t>
      </w:r>
      <w:r w:rsidRPr="0028448B">
        <w:rPr>
          <w:sz w:val="24"/>
          <w:szCs w:val="24"/>
        </w:rPr>
        <w:t>961</w:t>
      </w:r>
      <w:r>
        <w:rPr>
          <w:sz w:val="24"/>
          <w:szCs w:val="24"/>
        </w:rPr>
        <w:t> tis. </w:t>
      </w:r>
      <w:r w:rsidRPr="0028448B">
        <w:rPr>
          <w:sz w:val="24"/>
          <w:szCs w:val="24"/>
        </w:rPr>
        <w:t>eur. Rozdiel predstavuje sumu 301</w:t>
      </w:r>
      <w:r>
        <w:rPr>
          <w:sz w:val="24"/>
          <w:szCs w:val="24"/>
        </w:rPr>
        <w:t> tis. </w:t>
      </w:r>
      <w:r w:rsidRPr="0028448B">
        <w:rPr>
          <w:sz w:val="24"/>
          <w:szCs w:val="24"/>
        </w:rPr>
        <w:t xml:space="preserve">eur. Vyššie čerpanie oproti upravenému rozpočtu sa prejavilo v kapitole </w:t>
      </w:r>
      <w:r>
        <w:rPr>
          <w:sz w:val="24"/>
          <w:szCs w:val="24"/>
        </w:rPr>
        <w:t xml:space="preserve">Ministerstvo investícií, regionálneho rozvoja a informatizácie </w:t>
      </w:r>
      <w:r w:rsidRPr="0028448B">
        <w:rPr>
          <w:sz w:val="24"/>
          <w:szCs w:val="24"/>
        </w:rPr>
        <w:t xml:space="preserve">SR, ÚPRSO a ÚV SR vzhľadom k tomu, že jednotlivé rozpočtové organizácie prijali finančné prostriedky od hlavných partnerov projektov na mimorozpočtový účet v zmysle § 23 ods.1 písm. c) zákona č. 523/2004 </w:t>
      </w:r>
      <w:r w:rsidRPr="0028448B">
        <w:rPr>
          <w:sz w:val="24"/>
          <w:szCs w:val="24"/>
        </w:rPr>
        <w:lastRenderedPageBreak/>
        <w:t xml:space="preserve">Z. z. o rozpočtových pravidlách verejnej správy a o zmene a doplnení niektorých zákonov v znení neskorších predpisov. </w:t>
      </w:r>
    </w:p>
    <w:p w14:paraId="3C32F9AE" w14:textId="0BCB7481" w:rsidR="0028448B" w:rsidRPr="0028448B" w:rsidRDefault="0028448B" w:rsidP="0028448B">
      <w:pPr>
        <w:spacing w:line="240" w:lineRule="auto"/>
        <w:rPr>
          <w:sz w:val="24"/>
          <w:szCs w:val="24"/>
        </w:rPr>
      </w:pPr>
      <w:r w:rsidRPr="0028448B">
        <w:rPr>
          <w:sz w:val="24"/>
          <w:szCs w:val="24"/>
        </w:rPr>
        <w:t>Skutočné plnenie výdavkov za prostriedky EÚ vo výške 4 906</w:t>
      </w:r>
      <w:r>
        <w:rPr>
          <w:sz w:val="24"/>
          <w:szCs w:val="24"/>
        </w:rPr>
        <w:t> </w:t>
      </w:r>
      <w:r w:rsidRPr="0028448B">
        <w:rPr>
          <w:sz w:val="24"/>
          <w:szCs w:val="24"/>
        </w:rPr>
        <w:t>961</w:t>
      </w:r>
      <w:r>
        <w:rPr>
          <w:sz w:val="24"/>
          <w:szCs w:val="24"/>
        </w:rPr>
        <w:t> tis. </w:t>
      </w:r>
      <w:r w:rsidRPr="0028448B">
        <w:rPr>
          <w:sz w:val="24"/>
          <w:szCs w:val="24"/>
        </w:rPr>
        <w:t>eur predstavuje plnenie takmer na úrovni 100</w:t>
      </w:r>
      <w:r>
        <w:rPr>
          <w:sz w:val="24"/>
          <w:szCs w:val="24"/>
        </w:rPr>
        <w:t> </w:t>
      </w:r>
      <w:r w:rsidRPr="0028448B">
        <w:rPr>
          <w:sz w:val="24"/>
          <w:szCs w:val="24"/>
        </w:rPr>
        <w:t>% z upraveného rozpočtu. Výdavky za štrukturálne operácie, pri ktorých plní úlohu certifikačného orgánu, resp. platobného orgánu MF SR, sú vo výške 4 375</w:t>
      </w:r>
      <w:r w:rsidR="008447E2">
        <w:rPr>
          <w:sz w:val="24"/>
          <w:szCs w:val="24"/>
        </w:rPr>
        <w:t> </w:t>
      </w:r>
      <w:r w:rsidRPr="0028448B">
        <w:rPr>
          <w:sz w:val="24"/>
          <w:szCs w:val="24"/>
        </w:rPr>
        <w:t>771</w:t>
      </w:r>
      <w:r w:rsidR="008447E2">
        <w:rPr>
          <w:sz w:val="24"/>
          <w:szCs w:val="24"/>
        </w:rPr>
        <w:t> tis. </w:t>
      </w:r>
      <w:r w:rsidRPr="0028448B">
        <w:rPr>
          <w:sz w:val="24"/>
          <w:szCs w:val="24"/>
        </w:rPr>
        <w:t xml:space="preserve">eur (z toho štrukturálne fondy 3. programového obdobia v sume </w:t>
      </w:r>
      <w:r w:rsidR="008447E2">
        <w:rPr>
          <w:sz w:val="24"/>
          <w:szCs w:val="24"/>
        </w:rPr>
        <w:t>3 559 </w:t>
      </w:r>
      <w:r w:rsidRPr="0028448B">
        <w:rPr>
          <w:sz w:val="24"/>
          <w:szCs w:val="24"/>
        </w:rPr>
        <w:t>735</w:t>
      </w:r>
      <w:r w:rsidR="008447E2">
        <w:rPr>
          <w:sz w:val="24"/>
          <w:szCs w:val="24"/>
        </w:rPr>
        <w:t> tis. </w:t>
      </w:r>
      <w:r w:rsidRPr="0028448B">
        <w:rPr>
          <w:sz w:val="24"/>
          <w:szCs w:val="24"/>
        </w:rPr>
        <w:t>eur a Kohézny fond 3. programového obdobia v sume 773</w:t>
      </w:r>
      <w:r w:rsidR="008447E2">
        <w:rPr>
          <w:sz w:val="24"/>
          <w:szCs w:val="24"/>
        </w:rPr>
        <w:t> </w:t>
      </w:r>
      <w:r w:rsidRPr="0028448B">
        <w:rPr>
          <w:sz w:val="24"/>
          <w:szCs w:val="24"/>
        </w:rPr>
        <w:t>845</w:t>
      </w:r>
      <w:r w:rsidR="008447E2">
        <w:rPr>
          <w:sz w:val="24"/>
          <w:szCs w:val="24"/>
        </w:rPr>
        <w:t> tis. </w:t>
      </w:r>
      <w:r w:rsidRPr="0028448B">
        <w:rPr>
          <w:sz w:val="24"/>
          <w:szCs w:val="24"/>
        </w:rPr>
        <w:t>eur a štrukturálne operácie 4. programo</w:t>
      </w:r>
      <w:r w:rsidR="008447E2">
        <w:rPr>
          <w:sz w:val="24"/>
          <w:szCs w:val="24"/>
        </w:rPr>
        <w:t>vého obdobia v sume 42 191 tis. </w:t>
      </w:r>
      <w:r w:rsidRPr="0028448B">
        <w:rPr>
          <w:sz w:val="24"/>
          <w:szCs w:val="24"/>
        </w:rPr>
        <w:t xml:space="preserve">eur). V prípade </w:t>
      </w:r>
      <w:proofErr w:type="spellStart"/>
      <w:r w:rsidRPr="0028448B">
        <w:rPr>
          <w:sz w:val="24"/>
          <w:szCs w:val="24"/>
        </w:rPr>
        <w:t>nadčerpania</w:t>
      </w:r>
      <w:proofErr w:type="spellEnd"/>
      <w:r w:rsidRPr="0028448B">
        <w:rPr>
          <w:sz w:val="24"/>
          <w:szCs w:val="24"/>
        </w:rPr>
        <w:t xml:space="preserve"> za 3. programové obdobie boli rozpočtové prostriedky uvoľnené rozpočtovým opatrením v prospech MIRRI SR z dôvodu potreby </w:t>
      </w:r>
      <w:proofErr w:type="spellStart"/>
      <w:r w:rsidRPr="0028448B">
        <w:rPr>
          <w:sz w:val="24"/>
          <w:szCs w:val="24"/>
        </w:rPr>
        <w:t>nadčerpania</w:t>
      </w:r>
      <w:proofErr w:type="spellEnd"/>
      <w:r w:rsidRPr="0028448B">
        <w:rPr>
          <w:sz w:val="24"/>
          <w:szCs w:val="24"/>
        </w:rPr>
        <w:t xml:space="preserve"> prostriedkov pre Integrovaný regionálny operačný program v celkovej sume 225 475 tis. eur. Z uvedenej sumy boli uvoľnené prostriedky v rámci rozpočtového opatrenia č. 440/2023 vo výške schváleného dočasného </w:t>
      </w:r>
      <w:proofErr w:type="spellStart"/>
      <w:r w:rsidRPr="0028448B">
        <w:rPr>
          <w:sz w:val="24"/>
          <w:szCs w:val="24"/>
        </w:rPr>
        <w:t>nadčerpania</w:t>
      </w:r>
      <w:proofErr w:type="spellEnd"/>
      <w:r w:rsidR="008447E2">
        <w:rPr>
          <w:sz w:val="24"/>
          <w:szCs w:val="24"/>
        </w:rPr>
        <w:t xml:space="preserve"> 35 475 tis. </w:t>
      </w:r>
      <w:r w:rsidRPr="0028448B">
        <w:rPr>
          <w:sz w:val="24"/>
          <w:szCs w:val="24"/>
        </w:rPr>
        <w:t>eur na základe listu ministra financií zo dňa 30.11.2023 v súvislosti s I. fázou a v rámci rozpočtového opatrenia č.</w:t>
      </w:r>
      <w:r w:rsidR="008447E2">
        <w:rPr>
          <w:sz w:val="24"/>
          <w:szCs w:val="24"/>
        </w:rPr>
        <w:t xml:space="preserve"> 448/2023 vo výške 190 000 tis. </w:t>
      </w:r>
      <w:r w:rsidRPr="0028448B">
        <w:rPr>
          <w:sz w:val="24"/>
          <w:szCs w:val="24"/>
        </w:rPr>
        <w:t xml:space="preserve">eur na základe rozhodnutia ministra financií v súvislosti s III. fázou riešenia rizika </w:t>
      </w:r>
      <w:proofErr w:type="spellStart"/>
      <w:r w:rsidRPr="0028448B">
        <w:rPr>
          <w:sz w:val="24"/>
          <w:szCs w:val="24"/>
        </w:rPr>
        <w:t>nadčerpania</w:t>
      </w:r>
      <w:proofErr w:type="spellEnd"/>
      <w:r w:rsidRPr="0028448B">
        <w:rPr>
          <w:sz w:val="24"/>
          <w:szCs w:val="24"/>
        </w:rPr>
        <w:t>/</w:t>
      </w:r>
      <w:proofErr w:type="spellStart"/>
      <w:r w:rsidRPr="0028448B">
        <w:rPr>
          <w:sz w:val="24"/>
          <w:szCs w:val="24"/>
        </w:rPr>
        <w:t>nadkontrahovania</w:t>
      </w:r>
      <w:proofErr w:type="spellEnd"/>
      <w:r w:rsidRPr="0028448B">
        <w:rPr>
          <w:sz w:val="24"/>
          <w:szCs w:val="24"/>
        </w:rPr>
        <w:t xml:space="preserve"> programu. Uvedená úprava v priebehu roka 2023 mala vplyv na hodnotu upraveného rozpočtu a nie na skutočnosť. Výdavky za štrukturálne operácie, pri ktorých plní úlohu certifikačného orgánu MPSVR SR, sú v sume 25</w:t>
      </w:r>
      <w:r w:rsidR="008447E2">
        <w:rPr>
          <w:sz w:val="24"/>
          <w:szCs w:val="24"/>
        </w:rPr>
        <w:t> </w:t>
      </w:r>
      <w:r w:rsidRPr="0028448B">
        <w:rPr>
          <w:sz w:val="24"/>
          <w:szCs w:val="24"/>
        </w:rPr>
        <w:t>075</w:t>
      </w:r>
      <w:r w:rsidR="008447E2">
        <w:rPr>
          <w:sz w:val="24"/>
          <w:szCs w:val="24"/>
        </w:rPr>
        <w:t> tis. </w:t>
      </w:r>
      <w:r w:rsidRPr="0028448B">
        <w:rPr>
          <w:sz w:val="24"/>
          <w:szCs w:val="24"/>
        </w:rPr>
        <w:t>eur. Výdavky za štrukturálne operácie, pri ktorých plní úlohu certifikačného orgánu MV SR, sú v sume 0</w:t>
      </w:r>
      <w:r w:rsidR="008447E2">
        <w:rPr>
          <w:sz w:val="24"/>
          <w:szCs w:val="24"/>
        </w:rPr>
        <w:t xml:space="preserve"> tis. </w:t>
      </w:r>
      <w:r w:rsidRPr="0028448B">
        <w:rPr>
          <w:sz w:val="24"/>
          <w:szCs w:val="24"/>
        </w:rPr>
        <w:t>eur. Výdavky za poľnohospodárske fondy sú vo výške 506</w:t>
      </w:r>
      <w:r w:rsidR="008447E2">
        <w:rPr>
          <w:sz w:val="24"/>
          <w:szCs w:val="24"/>
        </w:rPr>
        <w:t> </w:t>
      </w:r>
      <w:r w:rsidRPr="0028448B">
        <w:rPr>
          <w:sz w:val="24"/>
          <w:szCs w:val="24"/>
        </w:rPr>
        <w:t>115</w:t>
      </w:r>
      <w:r w:rsidR="008447E2">
        <w:rPr>
          <w:sz w:val="24"/>
          <w:szCs w:val="24"/>
        </w:rPr>
        <w:t> tis. </w:t>
      </w:r>
      <w:r w:rsidRPr="0028448B">
        <w:rPr>
          <w:sz w:val="24"/>
          <w:szCs w:val="24"/>
        </w:rPr>
        <w:t>eur (z toho za Európsky poľnohospodársky fond rozvoja vidieka v sume 167</w:t>
      </w:r>
      <w:r w:rsidR="008447E2">
        <w:rPr>
          <w:sz w:val="24"/>
          <w:szCs w:val="24"/>
        </w:rPr>
        <w:t> </w:t>
      </w:r>
      <w:r w:rsidRPr="0028448B">
        <w:rPr>
          <w:sz w:val="24"/>
          <w:szCs w:val="24"/>
        </w:rPr>
        <w:t>187</w:t>
      </w:r>
      <w:r w:rsidR="008447E2">
        <w:rPr>
          <w:sz w:val="24"/>
          <w:szCs w:val="24"/>
        </w:rPr>
        <w:t xml:space="preserve"> tis. eur a </w:t>
      </w:r>
      <w:r w:rsidRPr="0028448B">
        <w:rPr>
          <w:sz w:val="24"/>
          <w:szCs w:val="24"/>
        </w:rPr>
        <w:t>za Európsky poľnohospodársky záručný fond v sume 338</w:t>
      </w:r>
      <w:r w:rsidR="008447E2">
        <w:rPr>
          <w:sz w:val="24"/>
          <w:szCs w:val="24"/>
        </w:rPr>
        <w:t> </w:t>
      </w:r>
      <w:r w:rsidRPr="0028448B">
        <w:rPr>
          <w:sz w:val="24"/>
          <w:szCs w:val="24"/>
        </w:rPr>
        <w:t>928</w:t>
      </w:r>
      <w:r w:rsidR="008447E2">
        <w:rPr>
          <w:sz w:val="24"/>
          <w:szCs w:val="24"/>
        </w:rPr>
        <w:t> </w:t>
      </w:r>
      <w:r w:rsidRPr="0028448B">
        <w:rPr>
          <w:sz w:val="24"/>
          <w:szCs w:val="24"/>
        </w:rPr>
        <w:t>tis.</w:t>
      </w:r>
      <w:r w:rsidR="008447E2">
        <w:rPr>
          <w:sz w:val="24"/>
          <w:szCs w:val="24"/>
        </w:rPr>
        <w:t> </w:t>
      </w:r>
      <w:r w:rsidRPr="0028448B">
        <w:rPr>
          <w:sz w:val="24"/>
          <w:szCs w:val="24"/>
        </w:rPr>
        <w:t>eur).</w:t>
      </w:r>
    </w:p>
    <w:tbl>
      <w:tblPr>
        <w:tblW w:w="5077" w:type="pct"/>
        <w:tblCellMar>
          <w:left w:w="70" w:type="dxa"/>
          <w:right w:w="70" w:type="dxa"/>
        </w:tblCellMar>
        <w:tblLook w:val="04A0" w:firstRow="1" w:lastRow="0" w:firstColumn="1" w:lastColumn="0" w:noHBand="0" w:noVBand="1"/>
      </w:tblPr>
      <w:tblGrid>
        <w:gridCol w:w="3753"/>
        <w:gridCol w:w="940"/>
        <w:gridCol w:w="939"/>
        <w:gridCol w:w="939"/>
        <w:gridCol w:w="1055"/>
        <w:gridCol w:w="881"/>
        <w:gridCol w:w="172"/>
        <w:gridCol w:w="677"/>
      </w:tblGrid>
      <w:tr w:rsidR="008447E2" w:rsidRPr="008447E2" w14:paraId="5A33AC71" w14:textId="77777777" w:rsidTr="00147FE6">
        <w:trPr>
          <w:trHeight w:val="330"/>
        </w:trPr>
        <w:tc>
          <w:tcPr>
            <w:tcW w:w="2005" w:type="pct"/>
            <w:tcBorders>
              <w:top w:val="nil"/>
              <w:left w:val="nil"/>
              <w:bottom w:val="single" w:sz="4" w:space="0" w:color="auto"/>
              <w:right w:val="nil"/>
            </w:tcBorders>
            <w:shd w:val="clear" w:color="auto" w:fill="auto"/>
            <w:noWrap/>
            <w:vAlign w:val="bottom"/>
            <w:hideMark/>
          </w:tcPr>
          <w:p w14:paraId="0CB62101" w14:textId="577FF7C4" w:rsidR="008447E2" w:rsidRPr="008447E2" w:rsidRDefault="008447E2" w:rsidP="00153978">
            <w:pPr>
              <w:spacing w:line="240" w:lineRule="auto"/>
              <w:jc w:val="left"/>
              <w:rPr>
                <w:rFonts w:eastAsia="Times New Roman" w:cs="Times New Roman"/>
                <w:b/>
                <w:bCs/>
                <w:color w:val="5B9BD5" w:themeColor="accent1"/>
                <w:sz w:val="20"/>
                <w:szCs w:val="20"/>
                <w:lang w:eastAsia="sk-SK"/>
              </w:rPr>
            </w:pPr>
            <w:r w:rsidRPr="008447E2">
              <w:rPr>
                <w:rFonts w:eastAsia="Times New Roman" w:cs="Times New Roman"/>
                <w:b/>
                <w:bCs/>
                <w:color w:val="5B9BD5" w:themeColor="accent1"/>
                <w:sz w:val="20"/>
                <w:szCs w:val="20"/>
                <w:lang w:eastAsia="sk-SK"/>
              </w:rPr>
              <w:t>Tabuľka 6</w:t>
            </w:r>
            <w:r w:rsidR="00153978">
              <w:rPr>
                <w:rFonts w:eastAsia="Times New Roman" w:cs="Times New Roman"/>
                <w:b/>
                <w:bCs/>
                <w:color w:val="5B9BD5" w:themeColor="accent1"/>
                <w:sz w:val="20"/>
                <w:szCs w:val="20"/>
                <w:lang w:eastAsia="sk-SK"/>
              </w:rPr>
              <w:t>6</w:t>
            </w:r>
            <w:r w:rsidRPr="008447E2">
              <w:rPr>
                <w:rFonts w:eastAsia="Times New Roman" w:cs="Times New Roman"/>
                <w:b/>
                <w:bCs/>
                <w:color w:val="5B9BD5" w:themeColor="accent1"/>
                <w:sz w:val="20"/>
                <w:szCs w:val="20"/>
                <w:lang w:eastAsia="sk-SK"/>
              </w:rPr>
              <w:t xml:space="preserve"> - Výdavky za prostriedky EÚ</w:t>
            </w:r>
          </w:p>
        </w:tc>
        <w:tc>
          <w:tcPr>
            <w:tcW w:w="502" w:type="pct"/>
            <w:tcBorders>
              <w:top w:val="nil"/>
              <w:left w:val="nil"/>
              <w:bottom w:val="single" w:sz="4" w:space="0" w:color="auto"/>
              <w:right w:val="nil"/>
            </w:tcBorders>
            <w:shd w:val="clear" w:color="auto" w:fill="auto"/>
            <w:noWrap/>
            <w:vAlign w:val="bottom"/>
          </w:tcPr>
          <w:p w14:paraId="421CE321" w14:textId="4A263C86" w:rsidR="008447E2" w:rsidRPr="008447E2" w:rsidRDefault="008447E2" w:rsidP="008447E2">
            <w:pPr>
              <w:spacing w:after="0" w:line="240" w:lineRule="auto"/>
              <w:jc w:val="left"/>
              <w:rPr>
                <w:rFonts w:eastAsia="Times New Roman" w:cs="Times New Roman"/>
                <w:b/>
                <w:bCs/>
                <w:color w:val="5B9BD5" w:themeColor="accent1"/>
                <w:sz w:val="20"/>
                <w:szCs w:val="20"/>
                <w:lang w:eastAsia="sk-SK"/>
              </w:rPr>
            </w:pPr>
          </w:p>
        </w:tc>
        <w:tc>
          <w:tcPr>
            <w:tcW w:w="502" w:type="pct"/>
            <w:tcBorders>
              <w:top w:val="nil"/>
              <w:left w:val="nil"/>
              <w:bottom w:val="single" w:sz="4" w:space="0" w:color="auto"/>
              <w:right w:val="nil"/>
            </w:tcBorders>
            <w:shd w:val="clear" w:color="auto" w:fill="auto"/>
            <w:noWrap/>
            <w:vAlign w:val="bottom"/>
          </w:tcPr>
          <w:p w14:paraId="69423291" w14:textId="0F56553B" w:rsidR="008447E2" w:rsidRPr="008447E2" w:rsidRDefault="008447E2" w:rsidP="008447E2">
            <w:pPr>
              <w:spacing w:after="0" w:line="240" w:lineRule="auto"/>
              <w:jc w:val="left"/>
              <w:rPr>
                <w:rFonts w:ascii="Arial Narrow" w:eastAsia="Times New Roman" w:hAnsi="Arial Narrow" w:cs="Times New Roman"/>
                <w:color w:val="5B9BD5" w:themeColor="accent1"/>
                <w:sz w:val="20"/>
                <w:szCs w:val="20"/>
                <w:lang w:eastAsia="sk-SK"/>
              </w:rPr>
            </w:pPr>
          </w:p>
        </w:tc>
        <w:tc>
          <w:tcPr>
            <w:tcW w:w="502" w:type="pct"/>
            <w:tcBorders>
              <w:top w:val="nil"/>
              <w:left w:val="nil"/>
              <w:bottom w:val="single" w:sz="4" w:space="0" w:color="auto"/>
              <w:right w:val="nil"/>
            </w:tcBorders>
            <w:shd w:val="clear" w:color="auto" w:fill="auto"/>
            <w:noWrap/>
            <w:vAlign w:val="bottom"/>
          </w:tcPr>
          <w:p w14:paraId="2B9ACCC1" w14:textId="1C26D866" w:rsidR="008447E2" w:rsidRPr="008447E2" w:rsidRDefault="008447E2" w:rsidP="008447E2">
            <w:pPr>
              <w:spacing w:after="0" w:line="240" w:lineRule="auto"/>
              <w:jc w:val="left"/>
              <w:rPr>
                <w:rFonts w:ascii="Arial Narrow" w:eastAsia="Times New Roman" w:hAnsi="Arial Narrow" w:cs="Times New Roman"/>
                <w:color w:val="5B9BD5" w:themeColor="accent1"/>
                <w:sz w:val="20"/>
                <w:szCs w:val="20"/>
                <w:lang w:eastAsia="sk-SK"/>
              </w:rPr>
            </w:pPr>
          </w:p>
        </w:tc>
        <w:tc>
          <w:tcPr>
            <w:tcW w:w="564" w:type="pct"/>
            <w:tcBorders>
              <w:top w:val="nil"/>
              <w:left w:val="nil"/>
              <w:bottom w:val="single" w:sz="4" w:space="0" w:color="auto"/>
              <w:right w:val="nil"/>
            </w:tcBorders>
            <w:shd w:val="clear" w:color="auto" w:fill="auto"/>
            <w:noWrap/>
            <w:vAlign w:val="bottom"/>
          </w:tcPr>
          <w:p w14:paraId="6CADC70D" w14:textId="0B712D57" w:rsidR="008447E2" w:rsidRPr="008447E2" w:rsidRDefault="008447E2" w:rsidP="008447E2">
            <w:pPr>
              <w:spacing w:after="0" w:line="240" w:lineRule="auto"/>
              <w:jc w:val="left"/>
              <w:rPr>
                <w:rFonts w:ascii="Arial Narrow" w:eastAsia="Times New Roman" w:hAnsi="Arial Narrow" w:cs="Times New Roman"/>
                <w:color w:val="5B9BD5" w:themeColor="accent1"/>
                <w:sz w:val="20"/>
                <w:szCs w:val="20"/>
                <w:lang w:eastAsia="sk-SK"/>
              </w:rPr>
            </w:pPr>
          </w:p>
        </w:tc>
        <w:tc>
          <w:tcPr>
            <w:tcW w:w="563" w:type="pct"/>
            <w:gridSpan w:val="2"/>
            <w:tcBorders>
              <w:top w:val="nil"/>
              <w:left w:val="nil"/>
              <w:bottom w:val="single" w:sz="4" w:space="0" w:color="auto"/>
              <w:right w:val="nil"/>
            </w:tcBorders>
            <w:shd w:val="clear" w:color="auto" w:fill="auto"/>
            <w:noWrap/>
            <w:vAlign w:val="bottom"/>
            <w:hideMark/>
          </w:tcPr>
          <w:p w14:paraId="61BA2DBD" w14:textId="16EFAA3B" w:rsidR="008447E2" w:rsidRPr="008447E2" w:rsidRDefault="008447E2" w:rsidP="008447E2">
            <w:pPr>
              <w:spacing w:after="0" w:line="240" w:lineRule="auto"/>
              <w:jc w:val="left"/>
              <w:rPr>
                <w:rFonts w:ascii="Arial Narrow" w:eastAsia="Times New Roman" w:hAnsi="Arial Narrow" w:cs="Times New Roman"/>
                <w:color w:val="5B9BD5" w:themeColor="accent1"/>
                <w:sz w:val="20"/>
                <w:szCs w:val="20"/>
                <w:lang w:eastAsia="sk-SK"/>
              </w:rPr>
            </w:pPr>
          </w:p>
        </w:tc>
        <w:tc>
          <w:tcPr>
            <w:tcW w:w="362" w:type="pct"/>
            <w:tcBorders>
              <w:top w:val="nil"/>
              <w:left w:val="nil"/>
              <w:bottom w:val="single" w:sz="4" w:space="0" w:color="auto"/>
              <w:right w:val="nil"/>
            </w:tcBorders>
            <w:shd w:val="clear" w:color="auto" w:fill="auto"/>
            <w:noWrap/>
            <w:vAlign w:val="bottom"/>
          </w:tcPr>
          <w:p w14:paraId="3E799AC7" w14:textId="77777777" w:rsidR="008447E2" w:rsidRPr="008447E2" w:rsidRDefault="008447E2" w:rsidP="008447E2">
            <w:pPr>
              <w:spacing w:after="0" w:line="240" w:lineRule="auto"/>
              <w:jc w:val="left"/>
              <w:rPr>
                <w:rFonts w:eastAsia="Times New Roman" w:cs="Times New Roman"/>
                <w:b/>
                <w:bCs/>
                <w:color w:val="5B9BD5" w:themeColor="accent1"/>
                <w:sz w:val="20"/>
                <w:szCs w:val="20"/>
                <w:lang w:eastAsia="sk-SK"/>
              </w:rPr>
            </w:pPr>
          </w:p>
        </w:tc>
      </w:tr>
      <w:tr w:rsidR="008447E2" w:rsidRPr="00181464" w14:paraId="7D37426F" w14:textId="77777777" w:rsidTr="00120E01">
        <w:trPr>
          <w:trHeight w:val="330"/>
        </w:trPr>
        <w:tc>
          <w:tcPr>
            <w:tcW w:w="2005" w:type="pct"/>
            <w:tcBorders>
              <w:top w:val="single" w:sz="4" w:space="0" w:color="auto"/>
              <w:left w:val="nil"/>
              <w:bottom w:val="nil"/>
              <w:right w:val="nil"/>
            </w:tcBorders>
            <w:shd w:val="clear" w:color="auto" w:fill="auto"/>
            <w:vAlign w:val="bottom"/>
            <w:hideMark/>
          </w:tcPr>
          <w:p w14:paraId="0B6B5753" w14:textId="77777777" w:rsidR="008447E2" w:rsidRPr="00181464" w:rsidRDefault="008447E2" w:rsidP="008447E2">
            <w:pPr>
              <w:spacing w:after="0" w:line="240" w:lineRule="auto"/>
              <w:jc w:val="left"/>
              <w:rPr>
                <w:rFonts w:eastAsia="Times New Roman" w:cs="Times New Roman"/>
                <w:b/>
                <w:bCs/>
                <w:sz w:val="18"/>
                <w:szCs w:val="18"/>
                <w:lang w:eastAsia="sk-SK"/>
              </w:rPr>
            </w:pPr>
            <w:r w:rsidRPr="00181464">
              <w:rPr>
                <w:rFonts w:eastAsia="Times New Roman" w:cs="Times New Roman"/>
                <w:b/>
                <w:bCs/>
                <w:sz w:val="18"/>
                <w:szCs w:val="18"/>
                <w:lang w:eastAsia="sk-SK"/>
              </w:rPr>
              <w:t>v tis. eur</w:t>
            </w:r>
          </w:p>
        </w:tc>
        <w:tc>
          <w:tcPr>
            <w:tcW w:w="502" w:type="pct"/>
            <w:tcBorders>
              <w:top w:val="single" w:sz="4" w:space="0" w:color="auto"/>
              <w:left w:val="nil"/>
              <w:bottom w:val="nil"/>
              <w:right w:val="nil"/>
            </w:tcBorders>
            <w:shd w:val="clear" w:color="auto" w:fill="auto"/>
            <w:vAlign w:val="center"/>
            <w:hideMark/>
          </w:tcPr>
          <w:p w14:paraId="3001D0B0" w14:textId="55594595" w:rsidR="008447E2" w:rsidRPr="00181464" w:rsidRDefault="008447E2" w:rsidP="00120E01">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202</w:t>
            </w:r>
            <w:r w:rsidR="00120E01" w:rsidRPr="00181464">
              <w:rPr>
                <w:rFonts w:eastAsia="Times New Roman" w:cs="Times New Roman"/>
                <w:b/>
                <w:bCs/>
                <w:sz w:val="18"/>
                <w:szCs w:val="18"/>
                <w:lang w:eastAsia="sk-SK"/>
              </w:rPr>
              <w:t>1</w:t>
            </w:r>
            <w:r w:rsidRPr="00181464">
              <w:rPr>
                <w:rFonts w:eastAsia="Times New Roman" w:cs="Times New Roman"/>
                <w:b/>
                <w:bCs/>
                <w:sz w:val="18"/>
                <w:szCs w:val="18"/>
                <w:lang w:eastAsia="sk-SK"/>
              </w:rPr>
              <w:t xml:space="preserve"> S</w:t>
            </w:r>
          </w:p>
        </w:tc>
        <w:tc>
          <w:tcPr>
            <w:tcW w:w="502" w:type="pct"/>
            <w:tcBorders>
              <w:top w:val="single" w:sz="4" w:space="0" w:color="auto"/>
              <w:left w:val="nil"/>
              <w:bottom w:val="nil"/>
              <w:right w:val="nil"/>
            </w:tcBorders>
            <w:shd w:val="clear" w:color="auto" w:fill="auto"/>
            <w:vAlign w:val="center"/>
            <w:hideMark/>
          </w:tcPr>
          <w:p w14:paraId="50AFB8FE" w14:textId="0AB45B38" w:rsidR="008447E2" w:rsidRPr="00181464" w:rsidRDefault="008447E2" w:rsidP="00120E01">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202</w:t>
            </w:r>
            <w:r w:rsidR="00120E01" w:rsidRPr="00181464">
              <w:rPr>
                <w:rFonts w:eastAsia="Times New Roman" w:cs="Times New Roman"/>
                <w:b/>
                <w:bCs/>
                <w:sz w:val="18"/>
                <w:szCs w:val="18"/>
                <w:lang w:eastAsia="sk-SK"/>
              </w:rPr>
              <w:t>2</w:t>
            </w:r>
            <w:r w:rsidRPr="00181464">
              <w:rPr>
                <w:rFonts w:eastAsia="Times New Roman" w:cs="Times New Roman"/>
                <w:b/>
                <w:bCs/>
                <w:sz w:val="18"/>
                <w:szCs w:val="18"/>
                <w:lang w:eastAsia="sk-SK"/>
              </w:rPr>
              <w:t xml:space="preserve"> S</w:t>
            </w:r>
          </w:p>
        </w:tc>
        <w:tc>
          <w:tcPr>
            <w:tcW w:w="502" w:type="pct"/>
            <w:tcBorders>
              <w:top w:val="single" w:sz="4" w:space="0" w:color="auto"/>
              <w:left w:val="nil"/>
              <w:bottom w:val="nil"/>
              <w:right w:val="nil"/>
            </w:tcBorders>
            <w:shd w:val="clear" w:color="auto" w:fill="auto"/>
            <w:vAlign w:val="center"/>
            <w:hideMark/>
          </w:tcPr>
          <w:p w14:paraId="0058C5F0" w14:textId="16E7A389" w:rsidR="008447E2" w:rsidRPr="00181464" w:rsidRDefault="008447E2" w:rsidP="00120E01">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202</w:t>
            </w:r>
            <w:r w:rsidR="00120E01" w:rsidRPr="00181464">
              <w:rPr>
                <w:rFonts w:eastAsia="Times New Roman" w:cs="Times New Roman"/>
                <w:b/>
                <w:bCs/>
                <w:sz w:val="18"/>
                <w:szCs w:val="18"/>
                <w:lang w:eastAsia="sk-SK"/>
              </w:rPr>
              <w:t>3</w:t>
            </w:r>
            <w:r w:rsidRPr="00181464">
              <w:rPr>
                <w:rFonts w:eastAsia="Times New Roman" w:cs="Times New Roman"/>
                <w:b/>
                <w:bCs/>
                <w:sz w:val="18"/>
                <w:szCs w:val="18"/>
                <w:lang w:eastAsia="sk-SK"/>
              </w:rPr>
              <w:t xml:space="preserve"> R</w:t>
            </w:r>
          </w:p>
        </w:tc>
        <w:tc>
          <w:tcPr>
            <w:tcW w:w="564" w:type="pct"/>
            <w:tcBorders>
              <w:top w:val="single" w:sz="4" w:space="0" w:color="auto"/>
              <w:left w:val="nil"/>
              <w:bottom w:val="nil"/>
              <w:right w:val="nil"/>
            </w:tcBorders>
            <w:shd w:val="clear" w:color="auto" w:fill="auto"/>
            <w:vAlign w:val="center"/>
            <w:hideMark/>
          </w:tcPr>
          <w:p w14:paraId="68AE3D9C" w14:textId="59698C29" w:rsidR="008447E2" w:rsidRPr="00181464" w:rsidRDefault="008447E2" w:rsidP="00120E01">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202</w:t>
            </w:r>
            <w:r w:rsidR="00120E01" w:rsidRPr="00181464">
              <w:rPr>
                <w:rFonts w:eastAsia="Times New Roman" w:cs="Times New Roman"/>
                <w:b/>
                <w:bCs/>
                <w:sz w:val="18"/>
                <w:szCs w:val="18"/>
                <w:lang w:eastAsia="sk-SK"/>
              </w:rPr>
              <w:t>3</w:t>
            </w:r>
            <w:r w:rsidRPr="00181464">
              <w:rPr>
                <w:rFonts w:eastAsia="Times New Roman" w:cs="Times New Roman"/>
                <w:b/>
                <w:bCs/>
                <w:sz w:val="18"/>
                <w:szCs w:val="18"/>
                <w:lang w:eastAsia="sk-SK"/>
              </w:rPr>
              <w:t xml:space="preserve"> S</w:t>
            </w:r>
          </w:p>
        </w:tc>
        <w:tc>
          <w:tcPr>
            <w:tcW w:w="471" w:type="pct"/>
            <w:tcBorders>
              <w:top w:val="single" w:sz="4" w:space="0" w:color="auto"/>
              <w:left w:val="nil"/>
              <w:bottom w:val="nil"/>
              <w:right w:val="nil"/>
            </w:tcBorders>
            <w:shd w:val="clear" w:color="auto" w:fill="auto"/>
            <w:vAlign w:val="center"/>
            <w:hideMark/>
          </w:tcPr>
          <w:p w14:paraId="7F7E7711" w14:textId="77777777" w:rsidR="008447E2" w:rsidRPr="00181464" w:rsidRDefault="008447E2" w:rsidP="008447E2">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Rozdiel</w:t>
            </w:r>
          </w:p>
        </w:tc>
        <w:tc>
          <w:tcPr>
            <w:tcW w:w="454" w:type="pct"/>
            <w:gridSpan w:val="2"/>
            <w:tcBorders>
              <w:top w:val="single" w:sz="4" w:space="0" w:color="auto"/>
              <w:left w:val="nil"/>
              <w:bottom w:val="nil"/>
              <w:right w:val="nil"/>
            </w:tcBorders>
            <w:shd w:val="clear" w:color="auto" w:fill="auto"/>
            <w:vAlign w:val="center"/>
          </w:tcPr>
          <w:p w14:paraId="31AAB6E5" w14:textId="77777777" w:rsidR="008447E2" w:rsidRPr="00181464" w:rsidRDefault="008447E2" w:rsidP="008447E2">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v %</w:t>
            </w:r>
          </w:p>
        </w:tc>
      </w:tr>
      <w:tr w:rsidR="008447E2" w:rsidRPr="00181464" w14:paraId="4570F48E" w14:textId="77777777" w:rsidTr="00120E01">
        <w:trPr>
          <w:trHeight w:val="163"/>
        </w:trPr>
        <w:tc>
          <w:tcPr>
            <w:tcW w:w="2005" w:type="pct"/>
            <w:tcBorders>
              <w:top w:val="nil"/>
              <w:left w:val="nil"/>
              <w:bottom w:val="single" w:sz="8" w:space="0" w:color="auto"/>
              <w:right w:val="nil"/>
            </w:tcBorders>
            <w:shd w:val="clear" w:color="auto" w:fill="auto"/>
            <w:vAlign w:val="center"/>
            <w:hideMark/>
          </w:tcPr>
          <w:p w14:paraId="4BFC94F5" w14:textId="32BD83F5" w:rsidR="008447E2" w:rsidRPr="00181464" w:rsidRDefault="008447E2" w:rsidP="008447E2">
            <w:pPr>
              <w:spacing w:after="0" w:line="240" w:lineRule="auto"/>
              <w:jc w:val="left"/>
              <w:rPr>
                <w:rFonts w:eastAsia="Times New Roman" w:cs="Times New Roman"/>
                <w:b/>
                <w:bCs/>
                <w:sz w:val="18"/>
                <w:szCs w:val="18"/>
                <w:lang w:eastAsia="sk-SK"/>
              </w:rPr>
            </w:pPr>
          </w:p>
        </w:tc>
        <w:tc>
          <w:tcPr>
            <w:tcW w:w="502" w:type="pct"/>
            <w:tcBorders>
              <w:top w:val="nil"/>
              <w:left w:val="nil"/>
              <w:bottom w:val="single" w:sz="8" w:space="0" w:color="auto"/>
              <w:right w:val="nil"/>
            </w:tcBorders>
            <w:shd w:val="clear" w:color="auto" w:fill="auto"/>
            <w:vAlign w:val="center"/>
            <w:hideMark/>
          </w:tcPr>
          <w:p w14:paraId="33EB65ED" w14:textId="77777777" w:rsidR="008447E2" w:rsidRPr="00181464" w:rsidRDefault="008447E2" w:rsidP="008447E2">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1</w:t>
            </w:r>
          </w:p>
        </w:tc>
        <w:tc>
          <w:tcPr>
            <w:tcW w:w="502" w:type="pct"/>
            <w:tcBorders>
              <w:top w:val="nil"/>
              <w:left w:val="nil"/>
              <w:bottom w:val="single" w:sz="8" w:space="0" w:color="auto"/>
              <w:right w:val="nil"/>
            </w:tcBorders>
            <w:shd w:val="clear" w:color="auto" w:fill="auto"/>
            <w:vAlign w:val="center"/>
            <w:hideMark/>
          </w:tcPr>
          <w:p w14:paraId="68B216A7" w14:textId="77777777" w:rsidR="008447E2" w:rsidRPr="00181464" w:rsidRDefault="008447E2" w:rsidP="008447E2">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2</w:t>
            </w:r>
          </w:p>
        </w:tc>
        <w:tc>
          <w:tcPr>
            <w:tcW w:w="502" w:type="pct"/>
            <w:tcBorders>
              <w:top w:val="nil"/>
              <w:left w:val="nil"/>
              <w:bottom w:val="single" w:sz="8" w:space="0" w:color="auto"/>
              <w:right w:val="nil"/>
            </w:tcBorders>
            <w:shd w:val="clear" w:color="auto" w:fill="auto"/>
            <w:vAlign w:val="center"/>
            <w:hideMark/>
          </w:tcPr>
          <w:p w14:paraId="131BF18B" w14:textId="77777777" w:rsidR="008447E2" w:rsidRPr="00181464" w:rsidRDefault="008447E2" w:rsidP="008447E2">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3</w:t>
            </w:r>
          </w:p>
        </w:tc>
        <w:tc>
          <w:tcPr>
            <w:tcW w:w="564" w:type="pct"/>
            <w:tcBorders>
              <w:top w:val="nil"/>
              <w:left w:val="nil"/>
              <w:bottom w:val="single" w:sz="8" w:space="0" w:color="auto"/>
              <w:right w:val="nil"/>
            </w:tcBorders>
            <w:shd w:val="clear" w:color="auto" w:fill="auto"/>
            <w:vAlign w:val="center"/>
            <w:hideMark/>
          </w:tcPr>
          <w:p w14:paraId="320E120D" w14:textId="77777777" w:rsidR="008447E2" w:rsidRPr="00181464" w:rsidRDefault="008447E2" w:rsidP="008447E2">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4</w:t>
            </w:r>
          </w:p>
        </w:tc>
        <w:tc>
          <w:tcPr>
            <w:tcW w:w="563" w:type="pct"/>
            <w:gridSpan w:val="2"/>
            <w:tcBorders>
              <w:top w:val="nil"/>
              <w:left w:val="nil"/>
              <w:bottom w:val="single" w:sz="8" w:space="0" w:color="auto"/>
              <w:right w:val="nil"/>
            </w:tcBorders>
            <w:shd w:val="clear" w:color="auto" w:fill="auto"/>
            <w:vAlign w:val="center"/>
            <w:hideMark/>
          </w:tcPr>
          <w:p w14:paraId="60D74B2C" w14:textId="77777777" w:rsidR="008447E2" w:rsidRPr="00181464" w:rsidRDefault="008447E2" w:rsidP="008447E2">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5=4-3</w:t>
            </w:r>
          </w:p>
        </w:tc>
        <w:tc>
          <w:tcPr>
            <w:tcW w:w="362" w:type="pct"/>
            <w:tcBorders>
              <w:top w:val="nil"/>
              <w:left w:val="nil"/>
              <w:bottom w:val="single" w:sz="8" w:space="0" w:color="auto"/>
              <w:right w:val="nil"/>
            </w:tcBorders>
            <w:shd w:val="clear" w:color="auto" w:fill="auto"/>
            <w:vAlign w:val="center"/>
            <w:hideMark/>
          </w:tcPr>
          <w:p w14:paraId="3E6BB7A4" w14:textId="77777777" w:rsidR="008447E2" w:rsidRPr="00181464" w:rsidRDefault="008447E2" w:rsidP="008447E2">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6=4-3</w:t>
            </w:r>
          </w:p>
        </w:tc>
      </w:tr>
      <w:tr w:rsidR="00120E01" w:rsidRPr="00181464" w14:paraId="186551B5" w14:textId="77777777" w:rsidTr="00120E01">
        <w:trPr>
          <w:trHeight w:val="330"/>
        </w:trPr>
        <w:tc>
          <w:tcPr>
            <w:tcW w:w="2005" w:type="pct"/>
            <w:tcBorders>
              <w:top w:val="nil"/>
              <w:left w:val="nil"/>
              <w:bottom w:val="nil"/>
              <w:right w:val="nil"/>
            </w:tcBorders>
            <w:shd w:val="clear" w:color="000000" w:fill="FFFFFF"/>
            <w:vAlign w:val="center"/>
            <w:hideMark/>
          </w:tcPr>
          <w:p w14:paraId="1962CD98" w14:textId="77777777" w:rsidR="00120E01" w:rsidRPr="00181464" w:rsidRDefault="00120E01" w:rsidP="00120E01">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Poľnohospodárske fondy 3. programové obdobie</w:t>
            </w:r>
          </w:p>
        </w:tc>
        <w:tc>
          <w:tcPr>
            <w:tcW w:w="502" w:type="pct"/>
            <w:tcBorders>
              <w:top w:val="nil"/>
              <w:left w:val="nil"/>
              <w:bottom w:val="nil"/>
              <w:right w:val="nil"/>
            </w:tcBorders>
            <w:shd w:val="clear" w:color="000000" w:fill="FFFFFF"/>
            <w:noWrap/>
            <w:vAlign w:val="center"/>
            <w:hideMark/>
          </w:tcPr>
          <w:p w14:paraId="7E760A2B" w14:textId="5C49E0F1"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519 521</w:t>
            </w:r>
          </w:p>
        </w:tc>
        <w:tc>
          <w:tcPr>
            <w:tcW w:w="502" w:type="pct"/>
            <w:tcBorders>
              <w:top w:val="nil"/>
              <w:left w:val="nil"/>
              <w:bottom w:val="nil"/>
              <w:right w:val="nil"/>
            </w:tcBorders>
            <w:shd w:val="clear" w:color="000000" w:fill="FFFFFF"/>
            <w:noWrap/>
            <w:vAlign w:val="center"/>
            <w:hideMark/>
          </w:tcPr>
          <w:p w14:paraId="11711E8B" w14:textId="6071EEB0"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429 555</w:t>
            </w:r>
          </w:p>
        </w:tc>
        <w:tc>
          <w:tcPr>
            <w:tcW w:w="502" w:type="pct"/>
            <w:tcBorders>
              <w:top w:val="nil"/>
              <w:left w:val="nil"/>
              <w:bottom w:val="nil"/>
              <w:right w:val="nil"/>
            </w:tcBorders>
            <w:shd w:val="clear" w:color="000000" w:fill="FFFFFF"/>
            <w:noWrap/>
            <w:vAlign w:val="center"/>
            <w:hideMark/>
          </w:tcPr>
          <w:p w14:paraId="3BAD64FB" w14:textId="372647A2"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74 217</w:t>
            </w:r>
          </w:p>
        </w:tc>
        <w:tc>
          <w:tcPr>
            <w:tcW w:w="564" w:type="pct"/>
            <w:tcBorders>
              <w:top w:val="nil"/>
              <w:left w:val="nil"/>
              <w:bottom w:val="nil"/>
              <w:right w:val="nil"/>
            </w:tcBorders>
            <w:shd w:val="clear" w:color="000000" w:fill="FFFFFF"/>
            <w:noWrap/>
            <w:vAlign w:val="center"/>
            <w:hideMark/>
          </w:tcPr>
          <w:p w14:paraId="0607CAA7" w14:textId="00F9CCB4"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381 232</w:t>
            </w:r>
          </w:p>
        </w:tc>
        <w:tc>
          <w:tcPr>
            <w:tcW w:w="563" w:type="pct"/>
            <w:gridSpan w:val="2"/>
            <w:tcBorders>
              <w:top w:val="nil"/>
              <w:left w:val="nil"/>
              <w:bottom w:val="nil"/>
              <w:right w:val="nil"/>
            </w:tcBorders>
            <w:shd w:val="clear" w:color="000000" w:fill="FFFFFF"/>
            <w:noWrap/>
            <w:vAlign w:val="center"/>
            <w:hideMark/>
          </w:tcPr>
          <w:p w14:paraId="73F6177F" w14:textId="40107BFE"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307 015</w:t>
            </w:r>
          </w:p>
        </w:tc>
        <w:tc>
          <w:tcPr>
            <w:tcW w:w="362" w:type="pct"/>
            <w:tcBorders>
              <w:top w:val="nil"/>
              <w:left w:val="nil"/>
              <w:bottom w:val="nil"/>
              <w:right w:val="nil"/>
            </w:tcBorders>
            <w:shd w:val="clear" w:color="000000" w:fill="FFFFFF"/>
            <w:noWrap/>
            <w:vAlign w:val="center"/>
            <w:hideMark/>
          </w:tcPr>
          <w:p w14:paraId="42F05122" w14:textId="4A1577C6"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413,7</w:t>
            </w:r>
          </w:p>
        </w:tc>
      </w:tr>
      <w:tr w:rsidR="00120E01" w:rsidRPr="00181464" w14:paraId="2D4F4D52" w14:textId="77777777" w:rsidTr="00120E01">
        <w:trPr>
          <w:trHeight w:val="330"/>
        </w:trPr>
        <w:tc>
          <w:tcPr>
            <w:tcW w:w="2005" w:type="pct"/>
            <w:tcBorders>
              <w:top w:val="nil"/>
              <w:left w:val="nil"/>
              <w:bottom w:val="nil"/>
              <w:right w:val="nil"/>
            </w:tcBorders>
            <w:shd w:val="clear" w:color="000000" w:fill="FFFFFF"/>
            <w:vAlign w:val="center"/>
          </w:tcPr>
          <w:p w14:paraId="01FC43C1" w14:textId="77777777" w:rsidR="00120E01" w:rsidRPr="00181464" w:rsidRDefault="00120E01" w:rsidP="00120E01">
            <w:pPr>
              <w:spacing w:after="0" w:line="240" w:lineRule="auto"/>
              <w:jc w:val="left"/>
              <w:rPr>
                <w:rFonts w:eastAsia="Times New Roman" w:cs="Times New Roman"/>
                <w:color w:val="000000"/>
                <w:sz w:val="18"/>
                <w:szCs w:val="18"/>
                <w:lang w:eastAsia="sk-SK"/>
              </w:rPr>
            </w:pPr>
            <w:r w:rsidRPr="00181464">
              <w:rPr>
                <w:rFonts w:cs="Times New Roman"/>
                <w:sz w:val="18"/>
                <w:szCs w:val="18"/>
              </w:rPr>
              <w:t>Poľnohospodárske fondy 4. programové obdobie</w:t>
            </w:r>
          </w:p>
        </w:tc>
        <w:tc>
          <w:tcPr>
            <w:tcW w:w="502" w:type="pct"/>
            <w:tcBorders>
              <w:top w:val="nil"/>
              <w:left w:val="nil"/>
              <w:bottom w:val="nil"/>
              <w:right w:val="nil"/>
            </w:tcBorders>
            <w:shd w:val="clear" w:color="000000" w:fill="FFFFFF"/>
            <w:noWrap/>
            <w:vAlign w:val="center"/>
          </w:tcPr>
          <w:p w14:paraId="45C00307" w14:textId="13A8F2EB" w:rsidR="00120E01" w:rsidRPr="00181464" w:rsidRDefault="00120E01" w:rsidP="00120E01">
            <w:pPr>
              <w:spacing w:after="0" w:line="240" w:lineRule="auto"/>
              <w:jc w:val="right"/>
              <w:rPr>
                <w:rFonts w:eastAsia="Times New Roman" w:cs="Times New Roman"/>
                <w:color w:val="000000"/>
                <w:sz w:val="18"/>
                <w:szCs w:val="18"/>
                <w:lang w:eastAsia="sk-SK"/>
              </w:rPr>
            </w:pPr>
            <w:r w:rsidRPr="00181464">
              <w:rPr>
                <w:color w:val="000000"/>
                <w:sz w:val="18"/>
                <w:szCs w:val="18"/>
              </w:rPr>
              <w:t>0</w:t>
            </w:r>
          </w:p>
        </w:tc>
        <w:tc>
          <w:tcPr>
            <w:tcW w:w="502" w:type="pct"/>
            <w:tcBorders>
              <w:top w:val="nil"/>
              <w:left w:val="nil"/>
              <w:bottom w:val="nil"/>
              <w:right w:val="nil"/>
            </w:tcBorders>
            <w:shd w:val="clear" w:color="000000" w:fill="FFFFFF"/>
            <w:noWrap/>
            <w:vAlign w:val="center"/>
          </w:tcPr>
          <w:p w14:paraId="7240FB0F" w14:textId="507EDC0E" w:rsidR="00120E01" w:rsidRPr="00181464" w:rsidRDefault="00120E01" w:rsidP="00120E01">
            <w:pPr>
              <w:spacing w:after="0" w:line="240" w:lineRule="auto"/>
              <w:jc w:val="right"/>
              <w:rPr>
                <w:rFonts w:eastAsia="Times New Roman" w:cs="Times New Roman"/>
                <w:color w:val="000000"/>
                <w:sz w:val="18"/>
                <w:szCs w:val="18"/>
                <w:lang w:eastAsia="sk-SK"/>
              </w:rPr>
            </w:pPr>
            <w:r w:rsidRPr="00181464">
              <w:rPr>
                <w:color w:val="000000"/>
                <w:sz w:val="18"/>
                <w:szCs w:val="18"/>
              </w:rPr>
              <w:t>0</w:t>
            </w:r>
          </w:p>
        </w:tc>
        <w:tc>
          <w:tcPr>
            <w:tcW w:w="502" w:type="pct"/>
            <w:tcBorders>
              <w:top w:val="nil"/>
              <w:left w:val="nil"/>
              <w:bottom w:val="nil"/>
              <w:right w:val="nil"/>
            </w:tcBorders>
            <w:shd w:val="clear" w:color="000000" w:fill="FFFFFF"/>
            <w:noWrap/>
            <w:vAlign w:val="center"/>
          </w:tcPr>
          <w:p w14:paraId="41EC6549" w14:textId="29292968" w:rsidR="00120E01" w:rsidRPr="00181464" w:rsidRDefault="00120E01" w:rsidP="00120E01">
            <w:pPr>
              <w:spacing w:after="0" w:line="240" w:lineRule="auto"/>
              <w:jc w:val="right"/>
              <w:rPr>
                <w:rFonts w:eastAsia="Times New Roman" w:cs="Times New Roman"/>
                <w:color w:val="000000"/>
                <w:sz w:val="18"/>
                <w:szCs w:val="18"/>
                <w:lang w:eastAsia="sk-SK"/>
              </w:rPr>
            </w:pPr>
            <w:r w:rsidRPr="00181464">
              <w:rPr>
                <w:color w:val="000000"/>
                <w:sz w:val="18"/>
                <w:szCs w:val="18"/>
              </w:rPr>
              <w:t>559 067</w:t>
            </w:r>
          </w:p>
        </w:tc>
        <w:tc>
          <w:tcPr>
            <w:tcW w:w="564" w:type="pct"/>
            <w:tcBorders>
              <w:top w:val="nil"/>
              <w:left w:val="nil"/>
              <w:bottom w:val="nil"/>
              <w:right w:val="nil"/>
            </w:tcBorders>
            <w:shd w:val="clear" w:color="000000" w:fill="FFFFFF"/>
            <w:noWrap/>
            <w:vAlign w:val="center"/>
          </w:tcPr>
          <w:p w14:paraId="24F67EA8" w14:textId="77023B05" w:rsidR="00120E01" w:rsidRPr="00181464" w:rsidRDefault="00120E01" w:rsidP="00120E01">
            <w:pPr>
              <w:spacing w:after="0" w:line="240" w:lineRule="auto"/>
              <w:jc w:val="right"/>
              <w:rPr>
                <w:rFonts w:eastAsia="Times New Roman" w:cs="Times New Roman"/>
                <w:color w:val="000000"/>
                <w:sz w:val="18"/>
                <w:szCs w:val="18"/>
                <w:lang w:eastAsia="sk-SK"/>
              </w:rPr>
            </w:pPr>
            <w:r w:rsidRPr="00181464">
              <w:rPr>
                <w:color w:val="000000"/>
                <w:sz w:val="18"/>
                <w:szCs w:val="18"/>
              </w:rPr>
              <w:t>124 883</w:t>
            </w:r>
          </w:p>
        </w:tc>
        <w:tc>
          <w:tcPr>
            <w:tcW w:w="563" w:type="pct"/>
            <w:gridSpan w:val="2"/>
            <w:tcBorders>
              <w:top w:val="nil"/>
              <w:left w:val="nil"/>
              <w:bottom w:val="nil"/>
              <w:right w:val="nil"/>
            </w:tcBorders>
            <w:shd w:val="clear" w:color="000000" w:fill="FFFFFF"/>
            <w:noWrap/>
            <w:vAlign w:val="center"/>
          </w:tcPr>
          <w:p w14:paraId="1F65C468" w14:textId="128B7F35" w:rsidR="00120E01" w:rsidRPr="00181464" w:rsidRDefault="00120E01" w:rsidP="00120E01">
            <w:pPr>
              <w:spacing w:after="0" w:line="240" w:lineRule="auto"/>
              <w:jc w:val="right"/>
              <w:rPr>
                <w:rFonts w:eastAsia="Times New Roman" w:cs="Times New Roman"/>
                <w:color w:val="000000"/>
                <w:sz w:val="18"/>
                <w:szCs w:val="18"/>
                <w:lang w:eastAsia="sk-SK"/>
              </w:rPr>
            </w:pPr>
            <w:r w:rsidRPr="00181464">
              <w:rPr>
                <w:color w:val="000000"/>
                <w:sz w:val="18"/>
                <w:szCs w:val="18"/>
              </w:rPr>
              <w:t>-434 184</w:t>
            </w:r>
          </w:p>
        </w:tc>
        <w:tc>
          <w:tcPr>
            <w:tcW w:w="362" w:type="pct"/>
            <w:tcBorders>
              <w:top w:val="nil"/>
              <w:left w:val="nil"/>
              <w:bottom w:val="nil"/>
              <w:right w:val="nil"/>
            </w:tcBorders>
            <w:shd w:val="clear" w:color="000000" w:fill="FFFFFF"/>
            <w:noWrap/>
            <w:vAlign w:val="center"/>
          </w:tcPr>
          <w:p w14:paraId="1E2C874D" w14:textId="5101EED1" w:rsidR="00120E01" w:rsidRPr="00181464" w:rsidRDefault="00120E01" w:rsidP="00120E01">
            <w:pPr>
              <w:spacing w:after="0" w:line="240" w:lineRule="auto"/>
              <w:jc w:val="right"/>
              <w:rPr>
                <w:rFonts w:eastAsia="Times New Roman" w:cs="Times New Roman"/>
                <w:color w:val="000000"/>
                <w:sz w:val="18"/>
                <w:szCs w:val="18"/>
                <w:lang w:eastAsia="sk-SK"/>
              </w:rPr>
            </w:pPr>
            <w:r w:rsidRPr="00181464">
              <w:rPr>
                <w:color w:val="000000"/>
                <w:sz w:val="18"/>
                <w:szCs w:val="18"/>
              </w:rPr>
              <w:t>-77,7</w:t>
            </w:r>
          </w:p>
        </w:tc>
      </w:tr>
      <w:tr w:rsidR="00120E01" w:rsidRPr="00181464" w14:paraId="1E99B59C" w14:textId="77777777" w:rsidTr="00120E01">
        <w:trPr>
          <w:trHeight w:val="330"/>
        </w:trPr>
        <w:tc>
          <w:tcPr>
            <w:tcW w:w="2005" w:type="pct"/>
            <w:tcBorders>
              <w:top w:val="nil"/>
              <w:left w:val="nil"/>
              <w:bottom w:val="nil"/>
              <w:right w:val="nil"/>
            </w:tcBorders>
            <w:shd w:val="clear" w:color="000000" w:fill="FFFFFF"/>
            <w:vAlign w:val="center"/>
            <w:hideMark/>
          </w:tcPr>
          <w:p w14:paraId="56560D0B" w14:textId="77777777" w:rsidR="00120E01" w:rsidRPr="00181464" w:rsidRDefault="00120E01" w:rsidP="00120E01">
            <w:pPr>
              <w:spacing w:after="0" w:line="240" w:lineRule="auto"/>
              <w:jc w:val="lef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Poľnohospodárske fondy spolu - MPRV SR</w:t>
            </w:r>
          </w:p>
        </w:tc>
        <w:tc>
          <w:tcPr>
            <w:tcW w:w="502" w:type="pct"/>
            <w:tcBorders>
              <w:top w:val="nil"/>
              <w:left w:val="nil"/>
              <w:bottom w:val="nil"/>
              <w:right w:val="nil"/>
            </w:tcBorders>
            <w:shd w:val="clear" w:color="000000" w:fill="FFFFFF"/>
            <w:noWrap/>
            <w:vAlign w:val="center"/>
            <w:hideMark/>
          </w:tcPr>
          <w:p w14:paraId="3E3F390F" w14:textId="24FF2947"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519 521</w:t>
            </w:r>
          </w:p>
        </w:tc>
        <w:tc>
          <w:tcPr>
            <w:tcW w:w="502" w:type="pct"/>
            <w:tcBorders>
              <w:top w:val="nil"/>
              <w:left w:val="nil"/>
              <w:bottom w:val="nil"/>
              <w:right w:val="nil"/>
            </w:tcBorders>
            <w:shd w:val="clear" w:color="000000" w:fill="FFFFFF"/>
            <w:noWrap/>
            <w:vAlign w:val="center"/>
            <w:hideMark/>
          </w:tcPr>
          <w:p w14:paraId="1A7CDB07" w14:textId="71792DCF"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429 555</w:t>
            </w:r>
          </w:p>
        </w:tc>
        <w:tc>
          <w:tcPr>
            <w:tcW w:w="502" w:type="pct"/>
            <w:tcBorders>
              <w:top w:val="nil"/>
              <w:left w:val="nil"/>
              <w:bottom w:val="nil"/>
              <w:right w:val="nil"/>
            </w:tcBorders>
            <w:shd w:val="clear" w:color="000000" w:fill="FFFFFF"/>
            <w:noWrap/>
            <w:vAlign w:val="center"/>
            <w:hideMark/>
          </w:tcPr>
          <w:p w14:paraId="42EB6892" w14:textId="223B7DEE"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633 284</w:t>
            </w:r>
          </w:p>
        </w:tc>
        <w:tc>
          <w:tcPr>
            <w:tcW w:w="564" w:type="pct"/>
            <w:tcBorders>
              <w:top w:val="nil"/>
              <w:left w:val="nil"/>
              <w:bottom w:val="nil"/>
              <w:right w:val="nil"/>
            </w:tcBorders>
            <w:shd w:val="clear" w:color="000000" w:fill="FFFFFF"/>
            <w:noWrap/>
            <w:vAlign w:val="center"/>
            <w:hideMark/>
          </w:tcPr>
          <w:p w14:paraId="5C177863" w14:textId="38FED1D1"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506 115</w:t>
            </w:r>
          </w:p>
        </w:tc>
        <w:tc>
          <w:tcPr>
            <w:tcW w:w="563" w:type="pct"/>
            <w:gridSpan w:val="2"/>
            <w:tcBorders>
              <w:top w:val="nil"/>
              <w:left w:val="nil"/>
              <w:bottom w:val="nil"/>
              <w:right w:val="nil"/>
            </w:tcBorders>
            <w:shd w:val="clear" w:color="000000" w:fill="FFFFFF"/>
            <w:noWrap/>
            <w:vAlign w:val="center"/>
            <w:hideMark/>
          </w:tcPr>
          <w:p w14:paraId="0B725585" w14:textId="56CED632"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-127 169</w:t>
            </w:r>
          </w:p>
        </w:tc>
        <w:tc>
          <w:tcPr>
            <w:tcW w:w="362" w:type="pct"/>
            <w:tcBorders>
              <w:top w:val="nil"/>
              <w:left w:val="nil"/>
              <w:bottom w:val="nil"/>
              <w:right w:val="nil"/>
            </w:tcBorders>
            <w:shd w:val="clear" w:color="000000" w:fill="FFFFFF"/>
            <w:noWrap/>
            <w:vAlign w:val="center"/>
            <w:hideMark/>
          </w:tcPr>
          <w:p w14:paraId="3C4783D7" w14:textId="7D32928A"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-20,1</w:t>
            </w:r>
          </w:p>
        </w:tc>
      </w:tr>
      <w:tr w:rsidR="00120E01" w:rsidRPr="00181464" w14:paraId="72AFE873" w14:textId="77777777" w:rsidTr="00120E01">
        <w:trPr>
          <w:trHeight w:val="510"/>
        </w:trPr>
        <w:tc>
          <w:tcPr>
            <w:tcW w:w="2005" w:type="pct"/>
            <w:tcBorders>
              <w:top w:val="nil"/>
              <w:left w:val="nil"/>
              <w:bottom w:val="nil"/>
              <w:right w:val="nil"/>
            </w:tcBorders>
            <w:shd w:val="clear" w:color="000000" w:fill="FFFFFF"/>
            <w:vAlign w:val="center"/>
            <w:hideMark/>
          </w:tcPr>
          <w:p w14:paraId="09D8E7BC" w14:textId="77777777" w:rsidR="00120E01" w:rsidRPr="00181464" w:rsidRDefault="00120E01" w:rsidP="00120E01">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 xml:space="preserve">Štrukturálne fondy, Kohézny fond, Európsky fond pre rybné hospodárstvo 2. programové obdobie </w:t>
            </w:r>
          </w:p>
        </w:tc>
        <w:tc>
          <w:tcPr>
            <w:tcW w:w="502" w:type="pct"/>
            <w:tcBorders>
              <w:top w:val="nil"/>
              <w:left w:val="nil"/>
              <w:bottom w:val="nil"/>
              <w:right w:val="nil"/>
            </w:tcBorders>
            <w:shd w:val="clear" w:color="000000" w:fill="FFFFFF"/>
            <w:noWrap/>
            <w:vAlign w:val="center"/>
            <w:hideMark/>
          </w:tcPr>
          <w:p w14:paraId="613EC467" w14:textId="72323DB3"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0</w:t>
            </w:r>
          </w:p>
        </w:tc>
        <w:tc>
          <w:tcPr>
            <w:tcW w:w="502" w:type="pct"/>
            <w:tcBorders>
              <w:top w:val="nil"/>
              <w:left w:val="nil"/>
              <w:bottom w:val="nil"/>
              <w:right w:val="nil"/>
            </w:tcBorders>
            <w:shd w:val="clear" w:color="000000" w:fill="FFFFFF"/>
            <w:noWrap/>
            <w:vAlign w:val="center"/>
            <w:hideMark/>
          </w:tcPr>
          <w:p w14:paraId="40018A98" w14:textId="20CB29B0"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0</w:t>
            </w:r>
          </w:p>
        </w:tc>
        <w:tc>
          <w:tcPr>
            <w:tcW w:w="502" w:type="pct"/>
            <w:tcBorders>
              <w:top w:val="nil"/>
              <w:left w:val="nil"/>
              <w:bottom w:val="nil"/>
              <w:right w:val="nil"/>
            </w:tcBorders>
            <w:shd w:val="clear" w:color="000000" w:fill="FFFFFF"/>
            <w:noWrap/>
            <w:vAlign w:val="center"/>
            <w:hideMark/>
          </w:tcPr>
          <w:p w14:paraId="162EC7A2" w14:textId="1D697853"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0</w:t>
            </w:r>
          </w:p>
        </w:tc>
        <w:tc>
          <w:tcPr>
            <w:tcW w:w="564" w:type="pct"/>
            <w:tcBorders>
              <w:top w:val="nil"/>
              <w:left w:val="nil"/>
              <w:bottom w:val="nil"/>
              <w:right w:val="nil"/>
            </w:tcBorders>
            <w:shd w:val="clear" w:color="000000" w:fill="FFFFFF"/>
            <w:noWrap/>
            <w:vAlign w:val="center"/>
            <w:hideMark/>
          </w:tcPr>
          <w:p w14:paraId="1BAD403C" w14:textId="2B5E86FB"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0</w:t>
            </w:r>
          </w:p>
        </w:tc>
        <w:tc>
          <w:tcPr>
            <w:tcW w:w="563" w:type="pct"/>
            <w:gridSpan w:val="2"/>
            <w:tcBorders>
              <w:top w:val="nil"/>
              <w:left w:val="nil"/>
              <w:bottom w:val="nil"/>
              <w:right w:val="nil"/>
            </w:tcBorders>
            <w:shd w:val="clear" w:color="000000" w:fill="FFFFFF"/>
            <w:noWrap/>
            <w:vAlign w:val="center"/>
            <w:hideMark/>
          </w:tcPr>
          <w:p w14:paraId="608601FB" w14:textId="492F747E"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0</w:t>
            </w:r>
          </w:p>
        </w:tc>
        <w:tc>
          <w:tcPr>
            <w:tcW w:w="362" w:type="pct"/>
            <w:tcBorders>
              <w:top w:val="nil"/>
              <w:left w:val="nil"/>
              <w:bottom w:val="nil"/>
              <w:right w:val="nil"/>
            </w:tcBorders>
            <w:shd w:val="clear" w:color="000000" w:fill="FFFFFF"/>
            <w:noWrap/>
            <w:vAlign w:val="center"/>
            <w:hideMark/>
          </w:tcPr>
          <w:p w14:paraId="1006DF44" w14:textId="34597278"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w:t>
            </w:r>
          </w:p>
        </w:tc>
      </w:tr>
      <w:tr w:rsidR="00120E01" w:rsidRPr="00181464" w14:paraId="1485FA04" w14:textId="77777777" w:rsidTr="00120E01">
        <w:trPr>
          <w:trHeight w:val="615"/>
        </w:trPr>
        <w:tc>
          <w:tcPr>
            <w:tcW w:w="2005" w:type="pct"/>
            <w:tcBorders>
              <w:top w:val="nil"/>
              <w:left w:val="nil"/>
              <w:bottom w:val="nil"/>
              <w:right w:val="nil"/>
            </w:tcBorders>
            <w:shd w:val="clear" w:color="000000" w:fill="FFFFFF"/>
            <w:vAlign w:val="center"/>
            <w:hideMark/>
          </w:tcPr>
          <w:p w14:paraId="61757F2F" w14:textId="77777777" w:rsidR="00120E01" w:rsidRPr="00181464" w:rsidRDefault="00120E01" w:rsidP="00120E01">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 xml:space="preserve">Štrukturálne fondy, Kohézny fond, Európsky námorný a rybársky fond 3. programové obdobie </w:t>
            </w:r>
          </w:p>
        </w:tc>
        <w:tc>
          <w:tcPr>
            <w:tcW w:w="502" w:type="pct"/>
            <w:tcBorders>
              <w:top w:val="nil"/>
              <w:left w:val="nil"/>
              <w:bottom w:val="nil"/>
              <w:right w:val="nil"/>
            </w:tcBorders>
            <w:shd w:val="clear" w:color="000000" w:fill="FFFFFF"/>
            <w:noWrap/>
            <w:vAlign w:val="center"/>
            <w:hideMark/>
          </w:tcPr>
          <w:p w14:paraId="739D0E34" w14:textId="39B81DFB"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1 809 832</w:t>
            </w:r>
          </w:p>
        </w:tc>
        <w:tc>
          <w:tcPr>
            <w:tcW w:w="502" w:type="pct"/>
            <w:tcBorders>
              <w:top w:val="nil"/>
              <w:left w:val="nil"/>
              <w:bottom w:val="nil"/>
              <w:right w:val="nil"/>
            </w:tcBorders>
            <w:shd w:val="clear" w:color="000000" w:fill="FFFFFF"/>
            <w:noWrap/>
            <w:vAlign w:val="center"/>
            <w:hideMark/>
          </w:tcPr>
          <w:p w14:paraId="6B36E2D0" w14:textId="5ACE45D1"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1 746 097</w:t>
            </w:r>
          </w:p>
        </w:tc>
        <w:tc>
          <w:tcPr>
            <w:tcW w:w="502" w:type="pct"/>
            <w:tcBorders>
              <w:top w:val="nil"/>
              <w:left w:val="nil"/>
              <w:bottom w:val="nil"/>
              <w:right w:val="nil"/>
            </w:tcBorders>
            <w:shd w:val="clear" w:color="000000" w:fill="FFFFFF"/>
            <w:noWrap/>
            <w:vAlign w:val="center"/>
            <w:hideMark/>
          </w:tcPr>
          <w:p w14:paraId="33A84491" w14:textId="1BE115D2"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3 102 158</w:t>
            </w:r>
          </w:p>
        </w:tc>
        <w:tc>
          <w:tcPr>
            <w:tcW w:w="564" w:type="pct"/>
            <w:tcBorders>
              <w:top w:val="nil"/>
              <w:left w:val="nil"/>
              <w:bottom w:val="nil"/>
              <w:right w:val="nil"/>
            </w:tcBorders>
            <w:shd w:val="clear" w:color="000000" w:fill="FFFFFF"/>
            <w:noWrap/>
            <w:vAlign w:val="center"/>
            <w:hideMark/>
          </w:tcPr>
          <w:p w14:paraId="595B4405" w14:textId="46F728AA"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4 302 980</w:t>
            </w:r>
          </w:p>
        </w:tc>
        <w:tc>
          <w:tcPr>
            <w:tcW w:w="563" w:type="pct"/>
            <w:gridSpan w:val="2"/>
            <w:tcBorders>
              <w:top w:val="nil"/>
              <w:left w:val="nil"/>
              <w:bottom w:val="nil"/>
              <w:right w:val="nil"/>
            </w:tcBorders>
            <w:shd w:val="clear" w:color="000000" w:fill="FFFFFF"/>
            <w:noWrap/>
            <w:vAlign w:val="center"/>
            <w:hideMark/>
          </w:tcPr>
          <w:p w14:paraId="1D4D4963" w14:textId="30741434"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1 200 822</w:t>
            </w:r>
          </w:p>
        </w:tc>
        <w:tc>
          <w:tcPr>
            <w:tcW w:w="362" w:type="pct"/>
            <w:tcBorders>
              <w:top w:val="nil"/>
              <w:left w:val="nil"/>
              <w:bottom w:val="nil"/>
              <w:right w:val="nil"/>
            </w:tcBorders>
            <w:shd w:val="clear" w:color="000000" w:fill="FFFFFF"/>
            <w:noWrap/>
            <w:vAlign w:val="center"/>
            <w:hideMark/>
          </w:tcPr>
          <w:p w14:paraId="39051F13" w14:textId="2B80A443"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38,7</w:t>
            </w:r>
          </w:p>
        </w:tc>
      </w:tr>
      <w:tr w:rsidR="00120E01" w:rsidRPr="00181464" w14:paraId="52D00885" w14:textId="77777777" w:rsidTr="00120E01">
        <w:trPr>
          <w:trHeight w:val="615"/>
        </w:trPr>
        <w:tc>
          <w:tcPr>
            <w:tcW w:w="2005" w:type="pct"/>
            <w:tcBorders>
              <w:top w:val="nil"/>
              <w:left w:val="nil"/>
              <w:bottom w:val="nil"/>
              <w:right w:val="nil"/>
            </w:tcBorders>
            <w:shd w:val="clear" w:color="000000" w:fill="FFFFFF"/>
            <w:vAlign w:val="center"/>
          </w:tcPr>
          <w:p w14:paraId="72D52452" w14:textId="77777777" w:rsidR="00120E01" w:rsidRPr="00181464" w:rsidRDefault="00120E01" w:rsidP="00120E01">
            <w:pPr>
              <w:spacing w:after="0" w:line="240" w:lineRule="auto"/>
              <w:jc w:val="left"/>
              <w:rPr>
                <w:rFonts w:eastAsia="Times New Roman" w:cs="Times New Roman"/>
                <w:color w:val="000000"/>
                <w:sz w:val="18"/>
                <w:szCs w:val="18"/>
                <w:lang w:eastAsia="sk-SK"/>
              </w:rPr>
            </w:pPr>
            <w:r w:rsidRPr="00181464">
              <w:rPr>
                <w:rFonts w:cs="Times New Roman"/>
                <w:sz w:val="18"/>
                <w:szCs w:val="18"/>
              </w:rPr>
              <w:t>Program Slovensko a Európsky námorný, rybolovný a </w:t>
            </w:r>
            <w:proofErr w:type="spellStart"/>
            <w:r w:rsidRPr="00181464">
              <w:rPr>
                <w:rFonts w:cs="Times New Roman"/>
                <w:sz w:val="18"/>
                <w:szCs w:val="18"/>
              </w:rPr>
              <w:t>akvakultúrny</w:t>
            </w:r>
            <w:proofErr w:type="spellEnd"/>
            <w:r w:rsidRPr="00181464">
              <w:rPr>
                <w:rFonts w:cs="Times New Roman"/>
                <w:sz w:val="18"/>
                <w:szCs w:val="18"/>
              </w:rPr>
              <w:t xml:space="preserve"> fond 4. programové obdobie</w:t>
            </w:r>
          </w:p>
        </w:tc>
        <w:tc>
          <w:tcPr>
            <w:tcW w:w="502" w:type="pct"/>
            <w:tcBorders>
              <w:top w:val="nil"/>
              <w:left w:val="nil"/>
              <w:bottom w:val="nil"/>
              <w:right w:val="nil"/>
            </w:tcBorders>
            <w:shd w:val="clear" w:color="000000" w:fill="FFFFFF"/>
            <w:noWrap/>
            <w:vAlign w:val="center"/>
          </w:tcPr>
          <w:p w14:paraId="75DF58D2" w14:textId="548257B1" w:rsidR="00120E01" w:rsidRPr="00181464" w:rsidRDefault="00120E01" w:rsidP="00120E01">
            <w:pPr>
              <w:spacing w:after="0" w:line="240" w:lineRule="auto"/>
              <w:jc w:val="right"/>
              <w:rPr>
                <w:rFonts w:cs="Times New Roman"/>
                <w:sz w:val="18"/>
                <w:szCs w:val="18"/>
              </w:rPr>
            </w:pPr>
            <w:r w:rsidRPr="00181464">
              <w:rPr>
                <w:color w:val="000000"/>
                <w:sz w:val="18"/>
                <w:szCs w:val="18"/>
              </w:rPr>
              <w:t>0</w:t>
            </w:r>
          </w:p>
        </w:tc>
        <w:tc>
          <w:tcPr>
            <w:tcW w:w="502" w:type="pct"/>
            <w:tcBorders>
              <w:top w:val="nil"/>
              <w:left w:val="nil"/>
              <w:bottom w:val="nil"/>
              <w:right w:val="nil"/>
            </w:tcBorders>
            <w:shd w:val="clear" w:color="000000" w:fill="FFFFFF"/>
            <w:noWrap/>
            <w:vAlign w:val="center"/>
          </w:tcPr>
          <w:p w14:paraId="145F5406" w14:textId="5259015D" w:rsidR="00120E01" w:rsidRPr="00181464" w:rsidRDefault="00120E01" w:rsidP="00120E01">
            <w:pPr>
              <w:spacing w:after="0" w:line="240" w:lineRule="auto"/>
              <w:jc w:val="right"/>
              <w:rPr>
                <w:rFonts w:cs="Times New Roman"/>
                <w:sz w:val="18"/>
                <w:szCs w:val="18"/>
              </w:rPr>
            </w:pPr>
            <w:r w:rsidRPr="00181464">
              <w:rPr>
                <w:color w:val="000000"/>
                <w:sz w:val="18"/>
                <w:szCs w:val="18"/>
              </w:rPr>
              <w:t>0</w:t>
            </w:r>
          </w:p>
        </w:tc>
        <w:tc>
          <w:tcPr>
            <w:tcW w:w="502" w:type="pct"/>
            <w:tcBorders>
              <w:top w:val="nil"/>
              <w:left w:val="nil"/>
              <w:bottom w:val="nil"/>
              <w:right w:val="nil"/>
            </w:tcBorders>
            <w:shd w:val="clear" w:color="000000" w:fill="FFFFFF"/>
            <w:noWrap/>
            <w:vAlign w:val="center"/>
          </w:tcPr>
          <w:p w14:paraId="282714AA" w14:textId="0A85779A" w:rsidR="00120E01" w:rsidRPr="00181464" w:rsidRDefault="00120E01" w:rsidP="00120E01">
            <w:pPr>
              <w:spacing w:after="0" w:line="240" w:lineRule="auto"/>
              <w:jc w:val="right"/>
              <w:rPr>
                <w:rFonts w:cs="Times New Roman"/>
                <w:sz w:val="18"/>
                <w:szCs w:val="18"/>
              </w:rPr>
            </w:pPr>
            <w:r w:rsidRPr="00181464">
              <w:rPr>
                <w:color w:val="000000"/>
                <w:sz w:val="18"/>
                <w:szCs w:val="18"/>
              </w:rPr>
              <w:t>1 491 468</w:t>
            </w:r>
          </w:p>
        </w:tc>
        <w:tc>
          <w:tcPr>
            <w:tcW w:w="564" w:type="pct"/>
            <w:tcBorders>
              <w:top w:val="nil"/>
              <w:left w:val="nil"/>
              <w:bottom w:val="nil"/>
              <w:right w:val="nil"/>
            </w:tcBorders>
            <w:shd w:val="clear" w:color="000000" w:fill="FFFFFF"/>
            <w:noWrap/>
            <w:vAlign w:val="center"/>
          </w:tcPr>
          <w:p w14:paraId="7E509738" w14:textId="5C3A502C" w:rsidR="00120E01" w:rsidRPr="00181464" w:rsidRDefault="00120E01" w:rsidP="00120E01">
            <w:pPr>
              <w:spacing w:after="0" w:line="240" w:lineRule="auto"/>
              <w:jc w:val="right"/>
              <w:rPr>
                <w:rFonts w:cs="Times New Roman"/>
                <w:sz w:val="18"/>
                <w:szCs w:val="18"/>
              </w:rPr>
            </w:pPr>
            <w:r w:rsidRPr="00181464">
              <w:rPr>
                <w:color w:val="000000"/>
                <w:sz w:val="18"/>
                <w:szCs w:val="18"/>
              </w:rPr>
              <w:t>42 191</w:t>
            </w:r>
          </w:p>
        </w:tc>
        <w:tc>
          <w:tcPr>
            <w:tcW w:w="563" w:type="pct"/>
            <w:gridSpan w:val="2"/>
            <w:tcBorders>
              <w:top w:val="nil"/>
              <w:left w:val="nil"/>
              <w:bottom w:val="nil"/>
              <w:right w:val="nil"/>
            </w:tcBorders>
            <w:shd w:val="clear" w:color="000000" w:fill="FFFFFF"/>
            <w:noWrap/>
            <w:vAlign w:val="center"/>
          </w:tcPr>
          <w:p w14:paraId="74C63AE6" w14:textId="7B45A889" w:rsidR="00120E01" w:rsidRPr="00181464" w:rsidRDefault="00120E01" w:rsidP="00120E01">
            <w:pPr>
              <w:spacing w:after="0" w:line="240" w:lineRule="auto"/>
              <w:jc w:val="right"/>
              <w:rPr>
                <w:rFonts w:cs="Times New Roman"/>
                <w:sz w:val="18"/>
                <w:szCs w:val="18"/>
              </w:rPr>
            </w:pPr>
            <w:r w:rsidRPr="00181464">
              <w:rPr>
                <w:color w:val="000000"/>
                <w:sz w:val="18"/>
                <w:szCs w:val="18"/>
              </w:rPr>
              <w:t>-1 449 277</w:t>
            </w:r>
          </w:p>
        </w:tc>
        <w:tc>
          <w:tcPr>
            <w:tcW w:w="362" w:type="pct"/>
            <w:tcBorders>
              <w:top w:val="nil"/>
              <w:left w:val="nil"/>
              <w:bottom w:val="nil"/>
              <w:right w:val="nil"/>
            </w:tcBorders>
            <w:shd w:val="clear" w:color="000000" w:fill="FFFFFF"/>
            <w:noWrap/>
            <w:vAlign w:val="center"/>
          </w:tcPr>
          <w:p w14:paraId="73CE779F" w14:textId="7F37345F" w:rsidR="00120E01" w:rsidRPr="00181464" w:rsidRDefault="00120E01" w:rsidP="00120E01">
            <w:pPr>
              <w:spacing w:after="0" w:line="240" w:lineRule="auto"/>
              <w:jc w:val="right"/>
              <w:rPr>
                <w:rFonts w:cs="Times New Roman"/>
                <w:sz w:val="18"/>
                <w:szCs w:val="18"/>
              </w:rPr>
            </w:pPr>
            <w:r w:rsidRPr="00181464">
              <w:rPr>
                <w:color w:val="000000"/>
                <w:sz w:val="18"/>
                <w:szCs w:val="18"/>
              </w:rPr>
              <w:t>-97,2</w:t>
            </w:r>
          </w:p>
        </w:tc>
      </w:tr>
      <w:tr w:rsidR="00120E01" w:rsidRPr="00181464" w14:paraId="483E1013" w14:textId="77777777" w:rsidTr="00120E01">
        <w:trPr>
          <w:trHeight w:val="330"/>
        </w:trPr>
        <w:tc>
          <w:tcPr>
            <w:tcW w:w="2005" w:type="pct"/>
            <w:tcBorders>
              <w:top w:val="nil"/>
              <w:left w:val="nil"/>
              <w:bottom w:val="nil"/>
              <w:right w:val="nil"/>
            </w:tcBorders>
            <w:shd w:val="clear" w:color="000000" w:fill="FFFFFF"/>
            <w:vAlign w:val="center"/>
            <w:hideMark/>
          </w:tcPr>
          <w:p w14:paraId="11E3B69A" w14:textId="77777777" w:rsidR="00120E01" w:rsidRPr="00181464" w:rsidRDefault="00120E01" w:rsidP="00120E01">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Programy EÚS 3. programové obdobie (CO MF SR)</w:t>
            </w:r>
          </w:p>
        </w:tc>
        <w:tc>
          <w:tcPr>
            <w:tcW w:w="502" w:type="pct"/>
            <w:tcBorders>
              <w:top w:val="nil"/>
              <w:left w:val="nil"/>
              <w:bottom w:val="nil"/>
              <w:right w:val="nil"/>
            </w:tcBorders>
            <w:shd w:val="clear" w:color="000000" w:fill="FFFFFF"/>
            <w:noWrap/>
            <w:vAlign w:val="center"/>
            <w:hideMark/>
          </w:tcPr>
          <w:p w14:paraId="67E0F514" w14:textId="6C6398D0"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28 405</w:t>
            </w:r>
          </w:p>
        </w:tc>
        <w:tc>
          <w:tcPr>
            <w:tcW w:w="502" w:type="pct"/>
            <w:tcBorders>
              <w:top w:val="nil"/>
              <w:left w:val="nil"/>
              <w:bottom w:val="nil"/>
              <w:right w:val="nil"/>
            </w:tcBorders>
            <w:shd w:val="clear" w:color="000000" w:fill="FFFFFF"/>
            <w:noWrap/>
            <w:vAlign w:val="center"/>
            <w:hideMark/>
          </w:tcPr>
          <w:p w14:paraId="3C26F6E1" w14:textId="0E67718B"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26 475</w:t>
            </w:r>
          </w:p>
        </w:tc>
        <w:tc>
          <w:tcPr>
            <w:tcW w:w="502" w:type="pct"/>
            <w:tcBorders>
              <w:top w:val="nil"/>
              <w:left w:val="nil"/>
              <w:bottom w:val="nil"/>
              <w:right w:val="nil"/>
            </w:tcBorders>
            <w:shd w:val="clear" w:color="000000" w:fill="FFFFFF"/>
            <w:noWrap/>
            <w:vAlign w:val="center"/>
            <w:hideMark/>
          </w:tcPr>
          <w:p w14:paraId="3DD9DDD2" w14:textId="6C1A911F"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44 150</w:t>
            </w:r>
          </w:p>
        </w:tc>
        <w:tc>
          <w:tcPr>
            <w:tcW w:w="564" w:type="pct"/>
            <w:tcBorders>
              <w:top w:val="nil"/>
              <w:left w:val="nil"/>
              <w:bottom w:val="nil"/>
              <w:right w:val="nil"/>
            </w:tcBorders>
            <w:shd w:val="clear" w:color="000000" w:fill="FFFFFF"/>
            <w:noWrap/>
            <w:vAlign w:val="center"/>
            <w:hideMark/>
          </w:tcPr>
          <w:p w14:paraId="6A1F9116" w14:textId="36DE0B3B"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30 600</w:t>
            </w:r>
          </w:p>
        </w:tc>
        <w:tc>
          <w:tcPr>
            <w:tcW w:w="563" w:type="pct"/>
            <w:gridSpan w:val="2"/>
            <w:tcBorders>
              <w:top w:val="nil"/>
              <w:left w:val="nil"/>
              <w:bottom w:val="nil"/>
              <w:right w:val="nil"/>
            </w:tcBorders>
            <w:shd w:val="clear" w:color="000000" w:fill="FFFFFF"/>
            <w:noWrap/>
            <w:vAlign w:val="center"/>
            <w:hideMark/>
          </w:tcPr>
          <w:p w14:paraId="580DE3FD" w14:textId="5E75847A"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-13 550</w:t>
            </w:r>
          </w:p>
        </w:tc>
        <w:tc>
          <w:tcPr>
            <w:tcW w:w="362" w:type="pct"/>
            <w:tcBorders>
              <w:top w:val="nil"/>
              <w:left w:val="nil"/>
              <w:bottom w:val="nil"/>
              <w:right w:val="nil"/>
            </w:tcBorders>
            <w:shd w:val="clear" w:color="000000" w:fill="FFFFFF"/>
            <w:noWrap/>
            <w:vAlign w:val="center"/>
            <w:hideMark/>
          </w:tcPr>
          <w:p w14:paraId="27F04970" w14:textId="7D5AB23C"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-30,7</w:t>
            </w:r>
          </w:p>
        </w:tc>
      </w:tr>
      <w:tr w:rsidR="00120E01" w:rsidRPr="00181464" w14:paraId="1BD5919C" w14:textId="77777777" w:rsidTr="00120E01">
        <w:trPr>
          <w:trHeight w:val="330"/>
        </w:trPr>
        <w:tc>
          <w:tcPr>
            <w:tcW w:w="2005" w:type="pct"/>
            <w:tcBorders>
              <w:top w:val="nil"/>
              <w:left w:val="nil"/>
              <w:bottom w:val="nil"/>
              <w:right w:val="nil"/>
            </w:tcBorders>
            <w:shd w:val="clear" w:color="000000" w:fill="FFFFFF"/>
            <w:vAlign w:val="center"/>
          </w:tcPr>
          <w:p w14:paraId="0FFB8032" w14:textId="77777777" w:rsidR="00120E01" w:rsidRPr="00181464" w:rsidRDefault="00120E01" w:rsidP="00120E01">
            <w:pPr>
              <w:spacing w:after="0" w:line="240" w:lineRule="auto"/>
              <w:jc w:val="left"/>
              <w:rPr>
                <w:rFonts w:eastAsia="Times New Roman" w:cs="Times New Roman"/>
                <w:color w:val="000000"/>
                <w:sz w:val="18"/>
                <w:szCs w:val="18"/>
                <w:lang w:eastAsia="sk-SK"/>
              </w:rPr>
            </w:pPr>
            <w:r w:rsidRPr="00181464">
              <w:rPr>
                <w:rFonts w:cs="Times New Roman"/>
                <w:sz w:val="18"/>
                <w:szCs w:val="18"/>
              </w:rPr>
              <w:t>Programy EÚS 4. programové obdobie (PO MF SR)</w:t>
            </w:r>
          </w:p>
        </w:tc>
        <w:tc>
          <w:tcPr>
            <w:tcW w:w="502" w:type="pct"/>
            <w:tcBorders>
              <w:top w:val="nil"/>
              <w:left w:val="nil"/>
              <w:bottom w:val="nil"/>
              <w:right w:val="nil"/>
            </w:tcBorders>
            <w:shd w:val="clear" w:color="000000" w:fill="FFFFFF"/>
            <w:noWrap/>
            <w:vAlign w:val="center"/>
          </w:tcPr>
          <w:p w14:paraId="3E71C918" w14:textId="65AE5620" w:rsidR="00120E01" w:rsidRPr="00181464" w:rsidRDefault="00120E01" w:rsidP="00120E01">
            <w:pPr>
              <w:spacing w:after="0" w:line="240" w:lineRule="auto"/>
              <w:jc w:val="right"/>
              <w:rPr>
                <w:rFonts w:cs="Times New Roman"/>
                <w:sz w:val="18"/>
                <w:szCs w:val="18"/>
              </w:rPr>
            </w:pPr>
            <w:r w:rsidRPr="00181464">
              <w:rPr>
                <w:color w:val="000000"/>
                <w:sz w:val="18"/>
                <w:szCs w:val="18"/>
              </w:rPr>
              <w:t>0</w:t>
            </w:r>
          </w:p>
        </w:tc>
        <w:tc>
          <w:tcPr>
            <w:tcW w:w="502" w:type="pct"/>
            <w:tcBorders>
              <w:top w:val="nil"/>
              <w:left w:val="nil"/>
              <w:bottom w:val="nil"/>
              <w:right w:val="nil"/>
            </w:tcBorders>
            <w:shd w:val="clear" w:color="000000" w:fill="FFFFFF"/>
            <w:noWrap/>
            <w:vAlign w:val="center"/>
          </w:tcPr>
          <w:p w14:paraId="2E3C69C6" w14:textId="4553B32B" w:rsidR="00120E01" w:rsidRPr="00181464" w:rsidRDefault="00120E01" w:rsidP="00120E01">
            <w:pPr>
              <w:spacing w:after="0" w:line="240" w:lineRule="auto"/>
              <w:jc w:val="right"/>
              <w:rPr>
                <w:rFonts w:cs="Times New Roman"/>
                <w:sz w:val="18"/>
                <w:szCs w:val="18"/>
              </w:rPr>
            </w:pPr>
            <w:r w:rsidRPr="00181464">
              <w:rPr>
                <w:color w:val="000000"/>
                <w:sz w:val="18"/>
                <w:szCs w:val="18"/>
              </w:rPr>
              <w:t>0</w:t>
            </w:r>
          </w:p>
        </w:tc>
        <w:tc>
          <w:tcPr>
            <w:tcW w:w="502" w:type="pct"/>
            <w:tcBorders>
              <w:top w:val="nil"/>
              <w:left w:val="nil"/>
              <w:bottom w:val="nil"/>
              <w:right w:val="nil"/>
            </w:tcBorders>
            <w:shd w:val="clear" w:color="000000" w:fill="FFFFFF"/>
            <w:noWrap/>
            <w:vAlign w:val="center"/>
          </w:tcPr>
          <w:p w14:paraId="5EB2926A" w14:textId="158E85A1" w:rsidR="00120E01" w:rsidRPr="00181464" w:rsidRDefault="00120E01" w:rsidP="00120E01">
            <w:pPr>
              <w:spacing w:after="0" w:line="240" w:lineRule="auto"/>
              <w:jc w:val="right"/>
              <w:rPr>
                <w:rFonts w:cs="Times New Roman"/>
                <w:sz w:val="18"/>
                <w:szCs w:val="18"/>
              </w:rPr>
            </w:pPr>
            <w:r w:rsidRPr="00181464">
              <w:rPr>
                <w:color w:val="000000"/>
                <w:sz w:val="18"/>
                <w:szCs w:val="18"/>
              </w:rPr>
              <w:t>25 000</w:t>
            </w:r>
          </w:p>
        </w:tc>
        <w:tc>
          <w:tcPr>
            <w:tcW w:w="564" w:type="pct"/>
            <w:tcBorders>
              <w:top w:val="nil"/>
              <w:left w:val="nil"/>
              <w:bottom w:val="nil"/>
              <w:right w:val="nil"/>
            </w:tcBorders>
            <w:shd w:val="clear" w:color="000000" w:fill="FFFFFF"/>
            <w:noWrap/>
            <w:vAlign w:val="center"/>
          </w:tcPr>
          <w:p w14:paraId="03A7E346" w14:textId="4E71EF9C" w:rsidR="00120E01" w:rsidRPr="00181464" w:rsidRDefault="00120E01" w:rsidP="00120E01">
            <w:pPr>
              <w:spacing w:after="0" w:line="240" w:lineRule="auto"/>
              <w:jc w:val="right"/>
              <w:rPr>
                <w:rFonts w:cs="Times New Roman"/>
                <w:sz w:val="18"/>
                <w:szCs w:val="18"/>
              </w:rPr>
            </w:pPr>
            <w:r w:rsidRPr="00181464">
              <w:rPr>
                <w:color w:val="000000"/>
                <w:sz w:val="18"/>
                <w:szCs w:val="18"/>
              </w:rPr>
              <w:t>0</w:t>
            </w:r>
          </w:p>
        </w:tc>
        <w:tc>
          <w:tcPr>
            <w:tcW w:w="563" w:type="pct"/>
            <w:gridSpan w:val="2"/>
            <w:tcBorders>
              <w:top w:val="nil"/>
              <w:left w:val="nil"/>
              <w:bottom w:val="nil"/>
              <w:right w:val="nil"/>
            </w:tcBorders>
            <w:shd w:val="clear" w:color="000000" w:fill="FFFFFF"/>
            <w:noWrap/>
            <w:vAlign w:val="center"/>
          </w:tcPr>
          <w:p w14:paraId="5AC6A415" w14:textId="5EA1E2B1" w:rsidR="00120E01" w:rsidRPr="00181464" w:rsidRDefault="00120E01" w:rsidP="00120E01">
            <w:pPr>
              <w:spacing w:after="0" w:line="240" w:lineRule="auto"/>
              <w:jc w:val="right"/>
              <w:rPr>
                <w:rFonts w:cs="Times New Roman"/>
                <w:sz w:val="18"/>
                <w:szCs w:val="18"/>
              </w:rPr>
            </w:pPr>
            <w:r w:rsidRPr="00181464">
              <w:rPr>
                <w:color w:val="000000"/>
                <w:sz w:val="18"/>
                <w:szCs w:val="18"/>
              </w:rPr>
              <w:t>-25 000</w:t>
            </w:r>
          </w:p>
        </w:tc>
        <w:tc>
          <w:tcPr>
            <w:tcW w:w="362" w:type="pct"/>
            <w:tcBorders>
              <w:top w:val="nil"/>
              <w:left w:val="nil"/>
              <w:bottom w:val="nil"/>
              <w:right w:val="nil"/>
            </w:tcBorders>
            <w:shd w:val="clear" w:color="000000" w:fill="FFFFFF"/>
            <w:noWrap/>
            <w:vAlign w:val="center"/>
          </w:tcPr>
          <w:p w14:paraId="1191A78D" w14:textId="3FCE062A" w:rsidR="00120E01" w:rsidRPr="00181464" w:rsidRDefault="00120E01" w:rsidP="00120E01">
            <w:pPr>
              <w:spacing w:after="0" w:line="240" w:lineRule="auto"/>
              <w:jc w:val="right"/>
              <w:rPr>
                <w:rFonts w:cs="Times New Roman"/>
                <w:sz w:val="18"/>
                <w:szCs w:val="18"/>
              </w:rPr>
            </w:pPr>
            <w:r w:rsidRPr="00181464">
              <w:rPr>
                <w:color w:val="000000"/>
                <w:sz w:val="18"/>
                <w:szCs w:val="18"/>
              </w:rPr>
              <w:t>-100,0</w:t>
            </w:r>
          </w:p>
        </w:tc>
      </w:tr>
      <w:tr w:rsidR="00120E01" w:rsidRPr="00181464" w14:paraId="6404A5AD" w14:textId="77777777" w:rsidTr="00120E01">
        <w:trPr>
          <w:trHeight w:val="330"/>
        </w:trPr>
        <w:tc>
          <w:tcPr>
            <w:tcW w:w="2005" w:type="pct"/>
            <w:tcBorders>
              <w:top w:val="nil"/>
              <w:left w:val="nil"/>
              <w:bottom w:val="nil"/>
              <w:right w:val="nil"/>
            </w:tcBorders>
            <w:shd w:val="clear" w:color="000000" w:fill="FFFFFF"/>
            <w:vAlign w:val="center"/>
            <w:hideMark/>
          </w:tcPr>
          <w:p w14:paraId="6B3FC8CA" w14:textId="77777777" w:rsidR="00120E01" w:rsidRPr="00181464" w:rsidRDefault="00120E01" w:rsidP="00120E01">
            <w:pPr>
              <w:spacing w:after="0" w:line="240" w:lineRule="auto"/>
              <w:jc w:val="lef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Štrukturálne operácie - MF SR</w:t>
            </w:r>
          </w:p>
        </w:tc>
        <w:tc>
          <w:tcPr>
            <w:tcW w:w="502" w:type="pct"/>
            <w:tcBorders>
              <w:top w:val="nil"/>
              <w:left w:val="nil"/>
              <w:bottom w:val="nil"/>
              <w:right w:val="nil"/>
            </w:tcBorders>
            <w:shd w:val="clear" w:color="000000" w:fill="FFFFFF"/>
            <w:noWrap/>
            <w:vAlign w:val="center"/>
            <w:hideMark/>
          </w:tcPr>
          <w:p w14:paraId="0906D34A" w14:textId="74C8025B"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1 838 237</w:t>
            </w:r>
          </w:p>
        </w:tc>
        <w:tc>
          <w:tcPr>
            <w:tcW w:w="502" w:type="pct"/>
            <w:tcBorders>
              <w:top w:val="nil"/>
              <w:left w:val="nil"/>
              <w:bottom w:val="nil"/>
              <w:right w:val="nil"/>
            </w:tcBorders>
            <w:shd w:val="clear" w:color="000000" w:fill="FFFFFF"/>
            <w:noWrap/>
            <w:vAlign w:val="center"/>
            <w:hideMark/>
          </w:tcPr>
          <w:p w14:paraId="65E4728E" w14:textId="3F4EB289"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1 772 572</w:t>
            </w:r>
          </w:p>
        </w:tc>
        <w:tc>
          <w:tcPr>
            <w:tcW w:w="502" w:type="pct"/>
            <w:tcBorders>
              <w:top w:val="nil"/>
              <w:left w:val="nil"/>
              <w:bottom w:val="nil"/>
              <w:right w:val="nil"/>
            </w:tcBorders>
            <w:shd w:val="clear" w:color="000000" w:fill="FFFFFF"/>
            <w:noWrap/>
            <w:vAlign w:val="center"/>
            <w:hideMark/>
          </w:tcPr>
          <w:p w14:paraId="080BA607" w14:textId="08D53AB7"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4 662 776</w:t>
            </w:r>
          </w:p>
        </w:tc>
        <w:tc>
          <w:tcPr>
            <w:tcW w:w="564" w:type="pct"/>
            <w:tcBorders>
              <w:top w:val="nil"/>
              <w:left w:val="nil"/>
              <w:bottom w:val="nil"/>
              <w:right w:val="nil"/>
            </w:tcBorders>
            <w:shd w:val="clear" w:color="000000" w:fill="FFFFFF"/>
            <w:noWrap/>
            <w:vAlign w:val="center"/>
            <w:hideMark/>
          </w:tcPr>
          <w:p w14:paraId="41ED185C" w14:textId="0FB22922"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4 375 771</w:t>
            </w:r>
          </w:p>
        </w:tc>
        <w:tc>
          <w:tcPr>
            <w:tcW w:w="563" w:type="pct"/>
            <w:gridSpan w:val="2"/>
            <w:tcBorders>
              <w:top w:val="nil"/>
              <w:left w:val="nil"/>
              <w:bottom w:val="nil"/>
              <w:right w:val="nil"/>
            </w:tcBorders>
            <w:shd w:val="clear" w:color="000000" w:fill="FFFFFF"/>
            <w:noWrap/>
            <w:vAlign w:val="center"/>
            <w:hideMark/>
          </w:tcPr>
          <w:p w14:paraId="3FCC55A4" w14:textId="0A33E0EE"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-287 005</w:t>
            </w:r>
          </w:p>
        </w:tc>
        <w:tc>
          <w:tcPr>
            <w:tcW w:w="362" w:type="pct"/>
            <w:tcBorders>
              <w:top w:val="nil"/>
              <w:left w:val="nil"/>
              <w:bottom w:val="nil"/>
              <w:right w:val="nil"/>
            </w:tcBorders>
            <w:shd w:val="clear" w:color="000000" w:fill="FFFFFF"/>
            <w:noWrap/>
            <w:vAlign w:val="center"/>
            <w:hideMark/>
          </w:tcPr>
          <w:p w14:paraId="1CFE54B7" w14:textId="167DCAF4"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-6,2</w:t>
            </w:r>
          </w:p>
        </w:tc>
      </w:tr>
      <w:tr w:rsidR="00120E01" w:rsidRPr="00181464" w14:paraId="1AD23EDC" w14:textId="77777777" w:rsidTr="00120E01">
        <w:trPr>
          <w:trHeight w:val="330"/>
        </w:trPr>
        <w:tc>
          <w:tcPr>
            <w:tcW w:w="2005" w:type="pct"/>
            <w:tcBorders>
              <w:top w:val="nil"/>
              <w:left w:val="nil"/>
              <w:bottom w:val="nil"/>
              <w:right w:val="nil"/>
            </w:tcBorders>
            <w:shd w:val="clear" w:color="000000" w:fill="FFFFFF"/>
            <w:vAlign w:val="center"/>
            <w:hideMark/>
          </w:tcPr>
          <w:p w14:paraId="2154DCB4" w14:textId="77777777" w:rsidR="00120E01" w:rsidRPr="00181464" w:rsidRDefault="00120E01" w:rsidP="00120E01">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OP Sociálneho začlenenia najodkázanejších osôb</w:t>
            </w:r>
          </w:p>
        </w:tc>
        <w:tc>
          <w:tcPr>
            <w:tcW w:w="502" w:type="pct"/>
            <w:tcBorders>
              <w:top w:val="nil"/>
              <w:left w:val="nil"/>
              <w:bottom w:val="nil"/>
              <w:right w:val="nil"/>
            </w:tcBorders>
            <w:shd w:val="clear" w:color="000000" w:fill="FFFFFF"/>
            <w:noWrap/>
            <w:vAlign w:val="center"/>
            <w:hideMark/>
          </w:tcPr>
          <w:p w14:paraId="4FA3ACB9" w14:textId="6BD11F28"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438</w:t>
            </w:r>
          </w:p>
        </w:tc>
        <w:tc>
          <w:tcPr>
            <w:tcW w:w="502" w:type="pct"/>
            <w:tcBorders>
              <w:top w:val="nil"/>
              <w:left w:val="nil"/>
              <w:bottom w:val="nil"/>
              <w:right w:val="nil"/>
            </w:tcBorders>
            <w:shd w:val="clear" w:color="000000" w:fill="FFFFFF"/>
            <w:noWrap/>
            <w:vAlign w:val="center"/>
            <w:hideMark/>
          </w:tcPr>
          <w:p w14:paraId="55260C0C" w14:textId="6EBADC56"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1 188</w:t>
            </w:r>
          </w:p>
        </w:tc>
        <w:tc>
          <w:tcPr>
            <w:tcW w:w="502" w:type="pct"/>
            <w:tcBorders>
              <w:top w:val="nil"/>
              <w:left w:val="nil"/>
              <w:bottom w:val="nil"/>
              <w:right w:val="nil"/>
            </w:tcBorders>
            <w:shd w:val="clear" w:color="000000" w:fill="FFFFFF"/>
            <w:noWrap/>
            <w:vAlign w:val="center"/>
            <w:hideMark/>
          </w:tcPr>
          <w:p w14:paraId="2FA91635" w14:textId="5001AC22"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10 626</w:t>
            </w:r>
          </w:p>
        </w:tc>
        <w:tc>
          <w:tcPr>
            <w:tcW w:w="564" w:type="pct"/>
            <w:tcBorders>
              <w:top w:val="nil"/>
              <w:left w:val="nil"/>
              <w:bottom w:val="nil"/>
              <w:right w:val="nil"/>
            </w:tcBorders>
            <w:shd w:val="clear" w:color="000000" w:fill="FFFFFF"/>
            <w:noWrap/>
            <w:vAlign w:val="center"/>
            <w:hideMark/>
          </w:tcPr>
          <w:p w14:paraId="04C5ADAC" w14:textId="7F0A1A5A"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25 075</w:t>
            </w:r>
          </w:p>
        </w:tc>
        <w:tc>
          <w:tcPr>
            <w:tcW w:w="563" w:type="pct"/>
            <w:gridSpan w:val="2"/>
            <w:tcBorders>
              <w:top w:val="nil"/>
              <w:left w:val="nil"/>
              <w:bottom w:val="nil"/>
              <w:right w:val="nil"/>
            </w:tcBorders>
            <w:shd w:val="clear" w:color="000000" w:fill="FFFFFF"/>
            <w:noWrap/>
            <w:vAlign w:val="center"/>
            <w:hideMark/>
          </w:tcPr>
          <w:p w14:paraId="2EA45EBA" w14:textId="7D4274B1"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14 449</w:t>
            </w:r>
          </w:p>
        </w:tc>
        <w:tc>
          <w:tcPr>
            <w:tcW w:w="362" w:type="pct"/>
            <w:tcBorders>
              <w:top w:val="nil"/>
              <w:left w:val="nil"/>
              <w:bottom w:val="nil"/>
              <w:right w:val="nil"/>
            </w:tcBorders>
            <w:shd w:val="clear" w:color="000000" w:fill="FFFFFF"/>
            <w:noWrap/>
            <w:vAlign w:val="center"/>
            <w:hideMark/>
          </w:tcPr>
          <w:p w14:paraId="72D2C4BB" w14:textId="4D44B09C" w:rsidR="00120E01" w:rsidRPr="00181464" w:rsidRDefault="00120E01" w:rsidP="00120E01">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136,0</w:t>
            </w:r>
          </w:p>
        </w:tc>
      </w:tr>
      <w:tr w:rsidR="00120E01" w:rsidRPr="00181464" w14:paraId="3575C38C" w14:textId="77777777" w:rsidTr="00120E01">
        <w:trPr>
          <w:trHeight w:val="330"/>
        </w:trPr>
        <w:tc>
          <w:tcPr>
            <w:tcW w:w="2005" w:type="pct"/>
            <w:tcBorders>
              <w:top w:val="nil"/>
              <w:left w:val="nil"/>
              <w:bottom w:val="nil"/>
              <w:right w:val="nil"/>
            </w:tcBorders>
            <w:shd w:val="clear" w:color="000000" w:fill="FFFFFF"/>
            <w:vAlign w:val="center"/>
            <w:hideMark/>
          </w:tcPr>
          <w:p w14:paraId="0EC23A64" w14:textId="77777777" w:rsidR="00120E01" w:rsidRPr="00181464" w:rsidRDefault="00120E01" w:rsidP="00120E01">
            <w:pPr>
              <w:spacing w:after="0" w:line="240" w:lineRule="auto"/>
              <w:jc w:val="lef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Štrukturálne operácie - MPSVR SR</w:t>
            </w:r>
          </w:p>
        </w:tc>
        <w:tc>
          <w:tcPr>
            <w:tcW w:w="502" w:type="pct"/>
            <w:tcBorders>
              <w:top w:val="nil"/>
              <w:left w:val="nil"/>
              <w:bottom w:val="nil"/>
              <w:right w:val="nil"/>
            </w:tcBorders>
            <w:shd w:val="clear" w:color="000000" w:fill="FFFFFF"/>
            <w:noWrap/>
            <w:vAlign w:val="center"/>
            <w:hideMark/>
          </w:tcPr>
          <w:p w14:paraId="4C46D835" w14:textId="09702D81"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438</w:t>
            </w:r>
          </w:p>
        </w:tc>
        <w:tc>
          <w:tcPr>
            <w:tcW w:w="502" w:type="pct"/>
            <w:tcBorders>
              <w:top w:val="nil"/>
              <w:left w:val="nil"/>
              <w:bottom w:val="nil"/>
              <w:right w:val="nil"/>
            </w:tcBorders>
            <w:shd w:val="clear" w:color="000000" w:fill="FFFFFF"/>
            <w:noWrap/>
            <w:vAlign w:val="center"/>
            <w:hideMark/>
          </w:tcPr>
          <w:p w14:paraId="54E146D7" w14:textId="07583454"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1 188</w:t>
            </w:r>
          </w:p>
        </w:tc>
        <w:tc>
          <w:tcPr>
            <w:tcW w:w="502" w:type="pct"/>
            <w:tcBorders>
              <w:top w:val="nil"/>
              <w:left w:val="nil"/>
              <w:bottom w:val="nil"/>
              <w:right w:val="nil"/>
            </w:tcBorders>
            <w:shd w:val="clear" w:color="000000" w:fill="FFFFFF"/>
            <w:noWrap/>
            <w:vAlign w:val="center"/>
            <w:hideMark/>
          </w:tcPr>
          <w:p w14:paraId="61677AEC" w14:textId="639532AB"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10 626</w:t>
            </w:r>
          </w:p>
        </w:tc>
        <w:tc>
          <w:tcPr>
            <w:tcW w:w="564" w:type="pct"/>
            <w:tcBorders>
              <w:top w:val="nil"/>
              <w:left w:val="nil"/>
              <w:bottom w:val="nil"/>
              <w:right w:val="nil"/>
            </w:tcBorders>
            <w:shd w:val="clear" w:color="auto" w:fill="auto"/>
            <w:noWrap/>
            <w:vAlign w:val="center"/>
            <w:hideMark/>
          </w:tcPr>
          <w:p w14:paraId="59E3A140" w14:textId="52D69E8A"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25 075</w:t>
            </w:r>
          </w:p>
        </w:tc>
        <w:tc>
          <w:tcPr>
            <w:tcW w:w="563" w:type="pct"/>
            <w:gridSpan w:val="2"/>
            <w:tcBorders>
              <w:top w:val="nil"/>
              <w:left w:val="nil"/>
              <w:bottom w:val="nil"/>
              <w:right w:val="nil"/>
            </w:tcBorders>
            <w:shd w:val="clear" w:color="000000" w:fill="FFFFFF"/>
            <w:noWrap/>
            <w:vAlign w:val="center"/>
            <w:hideMark/>
          </w:tcPr>
          <w:p w14:paraId="0CADF536" w14:textId="4E2DCB2A"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14 449</w:t>
            </w:r>
          </w:p>
        </w:tc>
        <w:tc>
          <w:tcPr>
            <w:tcW w:w="362" w:type="pct"/>
            <w:tcBorders>
              <w:top w:val="nil"/>
              <w:left w:val="nil"/>
              <w:bottom w:val="nil"/>
              <w:right w:val="nil"/>
            </w:tcBorders>
            <w:shd w:val="clear" w:color="000000" w:fill="FFFFFF"/>
            <w:noWrap/>
            <w:vAlign w:val="center"/>
            <w:hideMark/>
          </w:tcPr>
          <w:p w14:paraId="08A4CDBF" w14:textId="701C9051"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136,0</w:t>
            </w:r>
          </w:p>
        </w:tc>
      </w:tr>
      <w:tr w:rsidR="00120E01" w:rsidRPr="00181464" w14:paraId="531EE8EB" w14:textId="77777777" w:rsidTr="00120E01">
        <w:trPr>
          <w:trHeight w:val="330"/>
        </w:trPr>
        <w:tc>
          <w:tcPr>
            <w:tcW w:w="2005" w:type="pct"/>
            <w:tcBorders>
              <w:top w:val="nil"/>
              <w:left w:val="nil"/>
              <w:bottom w:val="nil"/>
              <w:right w:val="nil"/>
            </w:tcBorders>
            <w:shd w:val="clear" w:color="000000" w:fill="FFFFFF"/>
            <w:vAlign w:val="center"/>
          </w:tcPr>
          <w:p w14:paraId="01DB9D51" w14:textId="77777777" w:rsidR="00120E01" w:rsidRPr="00181464" w:rsidRDefault="00120E01" w:rsidP="00120E01">
            <w:pPr>
              <w:spacing w:after="0" w:line="240" w:lineRule="auto"/>
              <w:jc w:val="left"/>
              <w:rPr>
                <w:rFonts w:eastAsia="Times New Roman" w:cs="Times New Roman"/>
                <w:b/>
                <w:bCs/>
                <w:color w:val="000000"/>
                <w:sz w:val="18"/>
                <w:szCs w:val="18"/>
                <w:lang w:eastAsia="sk-SK"/>
              </w:rPr>
            </w:pPr>
            <w:r w:rsidRPr="00181464">
              <w:rPr>
                <w:rFonts w:cs="Times New Roman"/>
                <w:sz w:val="18"/>
                <w:szCs w:val="18"/>
              </w:rPr>
              <w:t>Fondy pre oblasť vnútorných záležitostí 2021 - 2027</w:t>
            </w:r>
          </w:p>
        </w:tc>
        <w:tc>
          <w:tcPr>
            <w:tcW w:w="502" w:type="pct"/>
            <w:tcBorders>
              <w:top w:val="nil"/>
              <w:left w:val="nil"/>
              <w:bottom w:val="nil"/>
              <w:right w:val="nil"/>
            </w:tcBorders>
            <w:shd w:val="clear" w:color="000000" w:fill="FFFFFF"/>
            <w:noWrap/>
            <w:vAlign w:val="center"/>
          </w:tcPr>
          <w:p w14:paraId="612EDC87" w14:textId="3B4CB833" w:rsidR="00120E01" w:rsidRPr="00181464" w:rsidRDefault="00120E01" w:rsidP="00120E01">
            <w:pPr>
              <w:spacing w:after="0" w:line="240" w:lineRule="auto"/>
              <w:jc w:val="right"/>
              <w:rPr>
                <w:rFonts w:cs="Times New Roman"/>
                <w:b/>
                <w:sz w:val="18"/>
                <w:szCs w:val="18"/>
              </w:rPr>
            </w:pPr>
            <w:r w:rsidRPr="00181464">
              <w:rPr>
                <w:color w:val="000000"/>
                <w:sz w:val="18"/>
                <w:szCs w:val="18"/>
              </w:rPr>
              <w:t>0</w:t>
            </w:r>
          </w:p>
        </w:tc>
        <w:tc>
          <w:tcPr>
            <w:tcW w:w="502" w:type="pct"/>
            <w:tcBorders>
              <w:top w:val="nil"/>
              <w:left w:val="nil"/>
              <w:bottom w:val="nil"/>
              <w:right w:val="nil"/>
            </w:tcBorders>
            <w:shd w:val="clear" w:color="000000" w:fill="FFFFFF"/>
            <w:noWrap/>
            <w:vAlign w:val="center"/>
          </w:tcPr>
          <w:p w14:paraId="5DCF1869" w14:textId="791E3141" w:rsidR="00120E01" w:rsidRPr="00181464" w:rsidRDefault="00120E01" w:rsidP="00120E01">
            <w:pPr>
              <w:spacing w:after="0" w:line="240" w:lineRule="auto"/>
              <w:jc w:val="right"/>
              <w:rPr>
                <w:rFonts w:cs="Times New Roman"/>
                <w:b/>
                <w:sz w:val="18"/>
                <w:szCs w:val="18"/>
              </w:rPr>
            </w:pPr>
            <w:r w:rsidRPr="00181464">
              <w:rPr>
                <w:color w:val="000000"/>
                <w:sz w:val="18"/>
                <w:szCs w:val="18"/>
              </w:rPr>
              <w:t>0</w:t>
            </w:r>
          </w:p>
        </w:tc>
        <w:tc>
          <w:tcPr>
            <w:tcW w:w="502" w:type="pct"/>
            <w:tcBorders>
              <w:top w:val="nil"/>
              <w:left w:val="nil"/>
              <w:bottom w:val="nil"/>
              <w:right w:val="nil"/>
            </w:tcBorders>
            <w:shd w:val="clear" w:color="000000" w:fill="FFFFFF"/>
            <w:noWrap/>
            <w:vAlign w:val="center"/>
          </w:tcPr>
          <w:p w14:paraId="6CE85E2A" w14:textId="43D72BAD" w:rsidR="00120E01" w:rsidRPr="00181464" w:rsidRDefault="00120E01" w:rsidP="00120E01">
            <w:pPr>
              <w:spacing w:after="0" w:line="240" w:lineRule="auto"/>
              <w:jc w:val="right"/>
              <w:rPr>
                <w:rFonts w:cs="Times New Roman"/>
                <w:b/>
                <w:sz w:val="18"/>
                <w:szCs w:val="18"/>
              </w:rPr>
            </w:pPr>
            <w:r w:rsidRPr="00181464">
              <w:rPr>
                <w:color w:val="000000"/>
                <w:sz w:val="18"/>
                <w:szCs w:val="18"/>
              </w:rPr>
              <w:t>557</w:t>
            </w:r>
          </w:p>
        </w:tc>
        <w:tc>
          <w:tcPr>
            <w:tcW w:w="564" w:type="pct"/>
            <w:tcBorders>
              <w:top w:val="nil"/>
              <w:left w:val="nil"/>
              <w:bottom w:val="nil"/>
              <w:right w:val="nil"/>
            </w:tcBorders>
            <w:shd w:val="clear" w:color="auto" w:fill="auto"/>
            <w:noWrap/>
            <w:vAlign w:val="center"/>
          </w:tcPr>
          <w:p w14:paraId="29717249" w14:textId="6D878026" w:rsidR="00120E01" w:rsidRPr="00181464" w:rsidRDefault="00120E01" w:rsidP="00120E01">
            <w:pPr>
              <w:spacing w:after="0" w:line="240" w:lineRule="auto"/>
              <w:jc w:val="right"/>
              <w:rPr>
                <w:rFonts w:cs="Times New Roman"/>
                <w:b/>
                <w:sz w:val="18"/>
                <w:szCs w:val="18"/>
              </w:rPr>
            </w:pPr>
            <w:r w:rsidRPr="00181464">
              <w:rPr>
                <w:color w:val="000000"/>
                <w:sz w:val="18"/>
                <w:szCs w:val="18"/>
              </w:rPr>
              <w:t>0</w:t>
            </w:r>
          </w:p>
        </w:tc>
        <w:tc>
          <w:tcPr>
            <w:tcW w:w="563" w:type="pct"/>
            <w:gridSpan w:val="2"/>
            <w:tcBorders>
              <w:top w:val="nil"/>
              <w:left w:val="nil"/>
              <w:bottom w:val="nil"/>
              <w:right w:val="nil"/>
            </w:tcBorders>
            <w:shd w:val="clear" w:color="000000" w:fill="FFFFFF"/>
            <w:noWrap/>
            <w:vAlign w:val="center"/>
          </w:tcPr>
          <w:p w14:paraId="003A2C45" w14:textId="3FD9ABE4" w:rsidR="00120E01" w:rsidRPr="00181464" w:rsidRDefault="00120E01" w:rsidP="00120E01">
            <w:pPr>
              <w:spacing w:after="0" w:line="240" w:lineRule="auto"/>
              <w:jc w:val="right"/>
              <w:rPr>
                <w:rFonts w:cs="Times New Roman"/>
                <w:b/>
                <w:sz w:val="18"/>
                <w:szCs w:val="18"/>
              </w:rPr>
            </w:pPr>
            <w:r w:rsidRPr="00181464">
              <w:rPr>
                <w:color w:val="000000"/>
                <w:sz w:val="18"/>
                <w:szCs w:val="18"/>
              </w:rPr>
              <w:t>-557</w:t>
            </w:r>
          </w:p>
        </w:tc>
        <w:tc>
          <w:tcPr>
            <w:tcW w:w="362" w:type="pct"/>
            <w:tcBorders>
              <w:top w:val="nil"/>
              <w:left w:val="nil"/>
              <w:bottom w:val="nil"/>
              <w:right w:val="nil"/>
            </w:tcBorders>
            <w:shd w:val="clear" w:color="000000" w:fill="FFFFFF"/>
            <w:noWrap/>
            <w:vAlign w:val="center"/>
          </w:tcPr>
          <w:p w14:paraId="52C10D0F" w14:textId="5F55672A" w:rsidR="00120E01" w:rsidRPr="00181464" w:rsidRDefault="00120E01" w:rsidP="00120E01">
            <w:pPr>
              <w:spacing w:after="0" w:line="240" w:lineRule="auto"/>
              <w:jc w:val="right"/>
              <w:rPr>
                <w:rFonts w:cs="Times New Roman"/>
                <w:b/>
                <w:sz w:val="18"/>
                <w:szCs w:val="18"/>
              </w:rPr>
            </w:pPr>
            <w:r w:rsidRPr="00181464">
              <w:rPr>
                <w:color w:val="000000"/>
                <w:sz w:val="18"/>
                <w:szCs w:val="18"/>
              </w:rPr>
              <w:t>-100,0</w:t>
            </w:r>
          </w:p>
        </w:tc>
      </w:tr>
      <w:tr w:rsidR="00120E01" w:rsidRPr="00181464" w14:paraId="543A8D58" w14:textId="77777777" w:rsidTr="00120E01">
        <w:trPr>
          <w:trHeight w:val="330"/>
        </w:trPr>
        <w:tc>
          <w:tcPr>
            <w:tcW w:w="2005" w:type="pct"/>
            <w:tcBorders>
              <w:top w:val="nil"/>
              <w:left w:val="nil"/>
              <w:bottom w:val="nil"/>
              <w:right w:val="nil"/>
            </w:tcBorders>
            <w:shd w:val="clear" w:color="000000" w:fill="FFFFFF"/>
            <w:vAlign w:val="center"/>
          </w:tcPr>
          <w:p w14:paraId="63DA59E2" w14:textId="77777777" w:rsidR="00120E01" w:rsidRPr="00181464" w:rsidRDefault="00120E01" w:rsidP="00120E01">
            <w:pPr>
              <w:spacing w:after="0" w:line="240" w:lineRule="auto"/>
              <w:jc w:val="left"/>
              <w:rPr>
                <w:rFonts w:eastAsia="Times New Roman" w:cs="Times New Roman"/>
                <w:b/>
                <w:bCs/>
                <w:color w:val="000000"/>
                <w:sz w:val="18"/>
                <w:szCs w:val="18"/>
                <w:lang w:eastAsia="sk-SK"/>
              </w:rPr>
            </w:pPr>
            <w:r w:rsidRPr="00181464">
              <w:rPr>
                <w:rFonts w:cs="Times New Roman"/>
                <w:b/>
                <w:sz w:val="18"/>
                <w:szCs w:val="18"/>
              </w:rPr>
              <w:t>Štrukturálne operácie – MV SR</w:t>
            </w:r>
          </w:p>
        </w:tc>
        <w:tc>
          <w:tcPr>
            <w:tcW w:w="502" w:type="pct"/>
            <w:tcBorders>
              <w:top w:val="nil"/>
              <w:left w:val="nil"/>
              <w:bottom w:val="nil"/>
              <w:right w:val="nil"/>
            </w:tcBorders>
            <w:shd w:val="clear" w:color="000000" w:fill="FFFFFF"/>
            <w:noWrap/>
            <w:vAlign w:val="center"/>
          </w:tcPr>
          <w:p w14:paraId="4AB71D20" w14:textId="0DA3A6D2" w:rsidR="00120E01" w:rsidRPr="00181464" w:rsidRDefault="00120E01" w:rsidP="00120E01">
            <w:pPr>
              <w:spacing w:after="0" w:line="240" w:lineRule="auto"/>
              <w:jc w:val="right"/>
              <w:rPr>
                <w:rFonts w:cs="Times New Roman"/>
                <w:b/>
                <w:sz w:val="18"/>
                <w:szCs w:val="18"/>
              </w:rPr>
            </w:pPr>
            <w:r w:rsidRPr="00181464">
              <w:rPr>
                <w:b/>
                <w:bCs/>
                <w:color w:val="000000"/>
                <w:sz w:val="18"/>
                <w:szCs w:val="18"/>
              </w:rPr>
              <w:t>0</w:t>
            </w:r>
          </w:p>
        </w:tc>
        <w:tc>
          <w:tcPr>
            <w:tcW w:w="502" w:type="pct"/>
            <w:tcBorders>
              <w:top w:val="nil"/>
              <w:left w:val="nil"/>
              <w:bottom w:val="nil"/>
              <w:right w:val="nil"/>
            </w:tcBorders>
            <w:shd w:val="clear" w:color="000000" w:fill="FFFFFF"/>
            <w:noWrap/>
            <w:vAlign w:val="center"/>
          </w:tcPr>
          <w:p w14:paraId="6DE52F49" w14:textId="68D9EEED" w:rsidR="00120E01" w:rsidRPr="00181464" w:rsidRDefault="00120E01" w:rsidP="00120E01">
            <w:pPr>
              <w:spacing w:after="0" w:line="240" w:lineRule="auto"/>
              <w:jc w:val="right"/>
              <w:rPr>
                <w:rFonts w:cs="Times New Roman"/>
                <w:b/>
                <w:sz w:val="18"/>
                <w:szCs w:val="18"/>
              </w:rPr>
            </w:pPr>
            <w:r w:rsidRPr="00181464">
              <w:rPr>
                <w:b/>
                <w:bCs/>
                <w:color w:val="000000"/>
                <w:sz w:val="18"/>
                <w:szCs w:val="18"/>
              </w:rPr>
              <w:t>0</w:t>
            </w:r>
          </w:p>
        </w:tc>
        <w:tc>
          <w:tcPr>
            <w:tcW w:w="502" w:type="pct"/>
            <w:tcBorders>
              <w:top w:val="nil"/>
              <w:left w:val="nil"/>
              <w:bottom w:val="nil"/>
              <w:right w:val="nil"/>
            </w:tcBorders>
            <w:shd w:val="clear" w:color="000000" w:fill="FFFFFF"/>
            <w:noWrap/>
            <w:vAlign w:val="center"/>
          </w:tcPr>
          <w:p w14:paraId="0C53FB7C" w14:textId="764DCE3B" w:rsidR="00120E01" w:rsidRPr="00181464" w:rsidRDefault="00120E01" w:rsidP="00120E01">
            <w:pPr>
              <w:spacing w:after="0" w:line="240" w:lineRule="auto"/>
              <w:jc w:val="right"/>
              <w:rPr>
                <w:rFonts w:cs="Times New Roman"/>
                <w:b/>
                <w:sz w:val="18"/>
                <w:szCs w:val="18"/>
              </w:rPr>
            </w:pPr>
            <w:r w:rsidRPr="00181464">
              <w:rPr>
                <w:b/>
                <w:bCs/>
                <w:color w:val="000000"/>
                <w:sz w:val="18"/>
                <w:szCs w:val="18"/>
              </w:rPr>
              <w:t>557</w:t>
            </w:r>
          </w:p>
        </w:tc>
        <w:tc>
          <w:tcPr>
            <w:tcW w:w="564" w:type="pct"/>
            <w:tcBorders>
              <w:top w:val="nil"/>
              <w:left w:val="nil"/>
              <w:bottom w:val="nil"/>
              <w:right w:val="nil"/>
            </w:tcBorders>
            <w:shd w:val="clear" w:color="auto" w:fill="auto"/>
            <w:noWrap/>
            <w:vAlign w:val="center"/>
          </w:tcPr>
          <w:p w14:paraId="0CE3702F" w14:textId="36815415" w:rsidR="00120E01" w:rsidRPr="00181464" w:rsidRDefault="00120E01" w:rsidP="00120E01">
            <w:pPr>
              <w:spacing w:after="0" w:line="240" w:lineRule="auto"/>
              <w:jc w:val="right"/>
              <w:rPr>
                <w:rFonts w:cs="Times New Roman"/>
                <w:b/>
                <w:sz w:val="18"/>
                <w:szCs w:val="18"/>
              </w:rPr>
            </w:pPr>
            <w:r w:rsidRPr="00181464">
              <w:rPr>
                <w:b/>
                <w:bCs/>
                <w:color w:val="000000"/>
                <w:sz w:val="18"/>
                <w:szCs w:val="18"/>
              </w:rPr>
              <w:t>0</w:t>
            </w:r>
          </w:p>
        </w:tc>
        <w:tc>
          <w:tcPr>
            <w:tcW w:w="563" w:type="pct"/>
            <w:gridSpan w:val="2"/>
            <w:tcBorders>
              <w:top w:val="nil"/>
              <w:left w:val="nil"/>
              <w:bottom w:val="nil"/>
              <w:right w:val="nil"/>
            </w:tcBorders>
            <w:shd w:val="clear" w:color="000000" w:fill="FFFFFF"/>
            <w:noWrap/>
            <w:vAlign w:val="center"/>
          </w:tcPr>
          <w:p w14:paraId="0C536E07" w14:textId="4209C7C2" w:rsidR="00120E01" w:rsidRPr="00181464" w:rsidRDefault="00120E01" w:rsidP="00120E01">
            <w:pPr>
              <w:spacing w:after="0" w:line="240" w:lineRule="auto"/>
              <w:jc w:val="right"/>
              <w:rPr>
                <w:rFonts w:cs="Times New Roman"/>
                <w:b/>
                <w:sz w:val="18"/>
                <w:szCs w:val="18"/>
              </w:rPr>
            </w:pPr>
            <w:r w:rsidRPr="00181464">
              <w:rPr>
                <w:b/>
                <w:bCs/>
                <w:color w:val="000000"/>
                <w:sz w:val="18"/>
                <w:szCs w:val="18"/>
              </w:rPr>
              <w:t>-557</w:t>
            </w:r>
          </w:p>
        </w:tc>
        <w:tc>
          <w:tcPr>
            <w:tcW w:w="362" w:type="pct"/>
            <w:tcBorders>
              <w:top w:val="nil"/>
              <w:left w:val="nil"/>
              <w:bottom w:val="nil"/>
              <w:right w:val="nil"/>
            </w:tcBorders>
            <w:shd w:val="clear" w:color="000000" w:fill="FFFFFF"/>
            <w:noWrap/>
            <w:vAlign w:val="center"/>
          </w:tcPr>
          <w:p w14:paraId="77B0C9CC" w14:textId="3C501778" w:rsidR="00120E01" w:rsidRPr="00181464" w:rsidRDefault="00120E01" w:rsidP="00120E01">
            <w:pPr>
              <w:spacing w:after="0" w:line="240" w:lineRule="auto"/>
              <w:jc w:val="right"/>
              <w:rPr>
                <w:rFonts w:cs="Times New Roman"/>
                <w:b/>
                <w:sz w:val="18"/>
                <w:szCs w:val="18"/>
              </w:rPr>
            </w:pPr>
            <w:r w:rsidRPr="00181464">
              <w:rPr>
                <w:b/>
                <w:bCs/>
                <w:color w:val="000000"/>
                <w:sz w:val="18"/>
                <w:szCs w:val="18"/>
              </w:rPr>
              <w:t>-100,0</w:t>
            </w:r>
          </w:p>
        </w:tc>
      </w:tr>
      <w:tr w:rsidR="00120E01" w:rsidRPr="00181464" w14:paraId="42746032" w14:textId="77777777" w:rsidTr="00120E01">
        <w:trPr>
          <w:trHeight w:val="330"/>
        </w:trPr>
        <w:tc>
          <w:tcPr>
            <w:tcW w:w="2005" w:type="pct"/>
            <w:tcBorders>
              <w:top w:val="nil"/>
              <w:left w:val="nil"/>
              <w:bottom w:val="nil"/>
              <w:right w:val="nil"/>
            </w:tcBorders>
            <w:shd w:val="clear" w:color="000000" w:fill="FFFFFF"/>
            <w:vAlign w:val="center"/>
          </w:tcPr>
          <w:p w14:paraId="05B7E33A" w14:textId="38775726" w:rsidR="00120E01" w:rsidRPr="00181464" w:rsidRDefault="00120E01" w:rsidP="00120E01">
            <w:pPr>
              <w:spacing w:after="0" w:line="240" w:lineRule="auto"/>
              <w:jc w:val="left"/>
              <w:rPr>
                <w:rFonts w:cs="Times New Roman"/>
                <w:b/>
                <w:sz w:val="18"/>
                <w:szCs w:val="18"/>
              </w:rPr>
            </w:pPr>
            <w:r w:rsidRPr="00181464">
              <w:rPr>
                <w:color w:val="000000"/>
                <w:sz w:val="18"/>
                <w:szCs w:val="18"/>
              </w:rPr>
              <w:t xml:space="preserve">VPS - </w:t>
            </w:r>
            <w:proofErr w:type="spellStart"/>
            <w:r w:rsidRPr="00181464">
              <w:rPr>
                <w:color w:val="000000"/>
                <w:sz w:val="18"/>
                <w:szCs w:val="18"/>
              </w:rPr>
              <w:t>nadčerpanie</w:t>
            </w:r>
            <w:proofErr w:type="spellEnd"/>
            <w:r w:rsidRPr="00181464">
              <w:rPr>
                <w:color w:val="000000"/>
                <w:sz w:val="18"/>
                <w:szCs w:val="18"/>
              </w:rPr>
              <w:t xml:space="preserve"> 3. programového obdobia</w:t>
            </w:r>
          </w:p>
        </w:tc>
        <w:tc>
          <w:tcPr>
            <w:tcW w:w="502" w:type="pct"/>
            <w:tcBorders>
              <w:top w:val="nil"/>
              <w:left w:val="nil"/>
              <w:bottom w:val="nil"/>
              <w:right w:val="nil"/>
            </w:tcBorders>
            <w:shd w:val="clear" w:color="000000" w:fill="FFFFFF"/>
            <w:noWrap/>
            <w:vAlign w:val="center"/>
          </w:tcPr>
          <w:p w14:paraId="7A94E343" w14:textId="55572153" w:rsidR="00120E01" w:rsidRPr="00181464" w:rsidRDefault="00120E01" w:rsidP="00120E01">
            <w:pPr>
              <w:spacing w:after="0" w:line="240" w:lineRule="auto"/>
              <w:jc w:val="right"/>
              <w:rPr>
                <w:b/>
                <w:bCs/>
                <w:color w:val="000000"/>
                <w:sz w:val="18"/>
                <w:szCs w:val="18"/>
              </w:rPr>
            </w:pPr>
            <w:r w:rsidRPr="00181464">
              <w:rPr>
                <w:color w:val="000000"/>
                <w:sz w:val="18"/>
                <w:szCs w:val="18"/>
              </w:rPr>
              <w:t>0</w:t>
            </w:r>
          </w:p>
        </w:tc>
        <w:tc>
          <w:tcPr>
            <w:tcW w:w="502" w:type="pct"/>
            <w:tcBorders>
              <w:top w:val="nil"/>
              <w:left w:val="nil"/>
              <w:bottom w:val="nil"/>
              <w:right w:val="nil"/>
            </w:tcBorders>
            <w:shd w:val="clear" w:color="000000" w:fill="FFFFFF"/>
            <w:noWrap/>
            <w:vAlign w:val="center"/>
          </w:tcPr>
          <w:p w14:paraId="3CDF6E36" w14:textId="0AA642CD" w:rsidR="00120E01" w:rsidRPr="00181464" w:rsidRDefault="00120E01" w:rsidP="00120E01">
            <w:pPr>
              <w:spacing w:after="0" w:line="240" w:lineRule="auto"/>
              <w:jc w:val="right"/>
              <w:rPr>
                <w:b/>
                <w:bCs/>
                <w:color w:val="000000"/>
                <w:sz w:val="18"/>
                <w:szCs w:val="18"/>
              </w:rPr>
            </w:pPr>
            <w:r w:rsidRPr="00181464">
              <w:rPr>
                <w:color w:val="000000"/>
                <w:sz w:val="18"/>
                <w:szCs w:val="18"/>
              </w:rPr>
              <w:t>0</w:t>
            </w:r>
          </w:p>
        </w:tc>
        <w:tc>
          <w:tcPr>
            <w:tcW w:w="502" w:type="pct"/>
            <w:tcBorders>
              <w:top w:val="nil"/>
              <w:left w:val="nil"/>
              <w:bottom w:val="nil"/>
              <w:right w:val="nil"/>
            </w:tcBorders>
            <w:shd w:val="clear" w:color="000000" w:fill="FFFFFF"/>
            <w:noWrap/>
            <w:vAlign w:val="center"/>
          </w:tcPr>
          <w:p w14:paraId="6293E49B" w14:textId="275D5730" w:rsidR="00120E01" w:rsidRPr="00181464" w:rsidRDefault="00120E01" w:rsidP="00120E01">
            <w:pPr>
              <w:spacing w:after="0" w:line="240" w:lineRule="auto"/>
              <w:jc w:val="right"/>
              <w:rPr>
                <w:b/>
                <w:bCs/>
                <w:color w:val="000000"/>
                <w:sz w:val="18"/>
                <w:szCs w:val="18"/>
              </w:rPr>
            </w:pPr>
            <w:r w:rsidRPr="00181464">
              <w:rPr>
                <w:color w:val="000000"/>
                <w:sz w:val="18"/>
                <w:szCs w:val="18"/>
              </w:rPr>
              <w:t>410 311</w:t>
            </w:r>
          </w:p>
        </w:tc>
        <w:tc>
          <w:tcPr>
            <w:tcW w:w="564" w:type="pct"/>
            <w:tcBorders>
              <w:top w:val="nil"/>
              <w:left w:val="nil"/>
              <w:bottom w:val="nil"/>
              <w:right w:val="nil"/>
            </w:tcBorders>
            <w:shd w:val="clear" w:color="auto" w:fill="auto"/>
            <w:noWrap/>
            <w:vAlign w:val="center"/>
          </w:tcPr>
          <w:p w14:paraId="5EB60A17" w14:textId="42E6A66D" w:rsidR="00120E01" w:rsidRPr="00181464" w:rsidRDefault="00120E01" w:rsidP="00120E01">
            <w:pPr>
              <w:spacing w:after="0" w:line="240" w:lineRule="auto"/>
              <w:jc w:val="right"/>
              <w:rPr>
                <w:b/>
                <w:bCs/>
                <w:color w:val="000000"/>
                <w:sz w:val="18"/>
                <w:szCs w:val="18"/>
              </w:rPr>
            </w:pPr>
            <w:r w:rsidRPr="00181464">
              <w:rPr>
                <w:color w:val="000000"/>
                <w:sz w:val="18"/>
                <w:szCs w:val="18"/>
              </w:rPr>
              <w:t>0</w:t>
            </w:r>
          </w:p>
        </w:tc>
        <w:tc>
          <w:tcPr>
            <w:tcW w:w="563" w:type="pct"/>
            <w:gridSpan w:val="2"/>
            <w:tcBorders>
              <w:top w:val="nil"/>
              <w:left w:val="nil"/>
              <w:bottom w:val="nil"/>
              <w:right w:val="nil"/>
            </w:tcBorders>
            <w:shd w:val="clear" w:color="000000" w:fill="FFFFFF"/>
            <w:noWrap/>
            <w:vAlign w:val="center"/>
          </w:tcPr>
          <w:p w14:paraId="08ADF0E5" w14:textId="258B8335" w:rsidR="00120E01" w:rsidRPr="00181464" w:rsidRDefault="00120E01" w:rsidP="00120E01">
            <w:pPr>
              <w:spacing w:after="0" w:line="240" w:lineRule="auto"/>
              <w:jc w:val="right"/>
              <w:rPr>
                <w:b/>
                <w:bCs/>
                <w:color w:val="000000"/>
                <w:sz w:val="18"/>
                <w:szCs w:val="18"/>
              </w:rPr>
            </w:pPr>
            <w:r w:rsidRPr="00181464">
              <w:rPr>
                <w:color w:val="000000"/>
                <w:sz w:val="18"/>
                <w:szCs w:val="18"/>
              </w:rPr>
              <w:t>-410 311</w:t>
            </w:r>
          </w:p>
        </w:tc>
        <w:tc>
          <w:tcPr>
            <w:tcW w:w="362" w:type="pct"/>
            <w:tcBorders>
              <w:top w:val="nil"/>
              <w:left w:val="nil"/>
              <w:bottom w:val="nil"/>
              <w:right w:val="nil"/>
            </w:tcBorders>
            <w:shd w:val="clear" w:color="000000" w:fill="FFFFFF"/>
            <w:noWrap/>
            <w:vAlign w:val="center"/>
          </w:tcPr>
          <w:p w14:paraId="13FF412F" w14:textId="74355966" w:rsidR="00120E01" w:rsidRPr="00181464" w:rsidRDefault="00120E01" w:rsidP="00120E01">
            <w:pPr>
              <w:spacing w:after="0" w:line="240" w:lineRule="auto"/>
              <w:jc w:val="right"/>
              <w:rPr>
                <w:b/>
                <w:bCs/>
                <w:color w:val="000000"/>
                <w:sz w:val="18"/>
                <w:szCs w:val="18"/>
              </w:rPr>
            </w:pPr>
            <w:r w:rsidRPr="00181464">
              <w:rPr>
                <w:color w:val="000000"/>
                <w:sz w:val="18"/>
                <w:szCs w:val="18"/>
              </w:rPr>
              <w:t>-100,0</w:t>
            </w:r>
          </w:p>
        </w:tc>
      </w:tr>
      <w:tr w:rsidR="00120E01" w:rsidRPr="00181464" w14:paraId="0F41244B" w14:textId="77777777" w:rsidTr="00120E01">
        <w:trPr>
          <w:trHeight w:val="345"/>
        </w:trPr>
        <w:tc>
          <w:tcPr>
            <w:tcW w:w="2005" w:type="pct"/>
            <w:tcBorders>
              <w:top w:val="single" w:sz="4" w:space="0" w:color="auto"/>
              <w:left w:val="nil"/>
              <w:bottom w:val="single" w:sz="8" w:space="0" w:color="auto"/>
              <w:right w:val="nil"/>
            </w:tcBorders>
            <w:shd w:val="clear" w:color="000000" w:fill="FFFFFF"/>
            <w:vAlign w:val="center"/>
            <w:hideMark/>
          </w:tcPr>
          <w:p w14:paraId="654D5B15" w14:textId="77777777" w:rsidR="00120E01" w:rsidRPr="00181464" w:rsidRDefault="00120E01" w:rsidP="00120E01">
            <w:pPr>
              <w:spacing w:after="0" w:line="240" w:lineRule="auto"/>
              <w:jc w:val="lef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Spolu výdavky za prostriedky EÚ</w:t>
            </w:r>
          </w:p>
        </w:tc>
        <w:tc>
          <w:tcPr>
            <w:tcW w:w="502" w:type="pct"/>
            <w:tcBorders>
              <w:top w:val="single" w:sz="4" w:space="0" w:color="auto"/>
              <w:left w:val="nil"/>
              <w:bottom w:val="single" w:sz="8" w:space="0" w:color="auto"/>
              <w:right w:val="nil"/>
            </w:tcBorders>
            <w:shd w:val="clear" w:color="000000" w:fill="FFFFFF"/>
            <w:noWrap/>
            <w:vAlign w:val="center"/>
            <w:hideMark/>
          </w:tcPr>
          <w:p w14:paraId="63AC26F8" w14:textId="3BD8F6C3"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2 358 196</w:t>
            </w:r>
          </w:p>
        </w:tc>
        <w:tc>
          <w:tcPr>
            <w:tcW w:w="502" w:type="pct"/>
            <w:tcBorders>
              <w:top w:val="single" w:sz="4" w:space="0" w:color="auto"/>
              <w:left w:val="nil"/>
              <w:bottom w:val="single" w:sz="8" w:space="0" w:color="auto"/>
              <w:right w:val="nil"/>
            </w:tcBorders>
            <w:shd w:val="clear" w:color="000000" w:fill="FFFFFF"/>
            <w:noWrap/>
            <w:vAlign w:val="center"/>
            <w:hideMark/>
          </w:tcPr>
          <w:p w14:paraId="5E5FD8F9" w14:textId="6C7D1B9B"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2 203 315</w:t>
            </w:r>
          </w:p>
        </w:tc>
        <w:tc>
          <w:tcPr>
            <w:tcW w:w="502" w:type="pct"/>
            <w:tcBorders>
              <w:top w:val="single" w:sz="4" w:space="0" w:color="auto"/>
              <w:left w:val="nil"/>
              <w:bottom w:val="single" w:sz="8" w:space="0" w:color="auto"/>
              <w:right w:val="nil"/>
            </w:tcBorders>
            <w:shd w:val="clear" w:color="auto" w:fill="auto"/>
            <w:noWrap/>
            <w:vAlign w:val="center"/>
            <w:hideMark/>
          </w:tcPr>
          <w:p w14:paraId="1E13C358" w14:textId="059C1489"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5 717 554</w:t>
            </w:r>
          </w:p>
        </w:tc>
        <w:tc>
          <w:tcPr>
            <w:tcW w:w="564" w:type="pct"/>
            <w:tcBorders>
              <w:top w:val="single" w:sz="4" w:space="0" w:color="auto"/>
              <w:left w:val="nil"/>
              <w:bottom w:val="single" w:sz="8" w:space="0" w:color="auto"/>
              <w:right w:val="nil"/>
            </w:tcBorders>
            <w:shd w:val="clear" w:color="000000" w:fill="FFFFFF"/>
            <w:noWrap/>
            <w:vAlign w:val="center"/>
            <w:hideMark/>
          </w:tcPr>
          <w:p w14:paraId="7739B63F" w14:textId="70DBE0D8"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4 906 961</w:t>
            </w:r>
          </w:p>
        </w:tc>
        <w:tc>
          <w:tcPr>
            <w:tcW w:w="563" w:type="pct"/>
            <w:gridSpan w:val="2"/>
            <w:tcBorders>
              <w:top w:val="single" w:sz="4" w:space="0" w:color="auto"/>
              <w:left w:val="nil"/>
              <w:bottom w:val="single" w:sz="8" w:space="0" w:color="auto"/>
              <w:right w:val="nil"/>
            </w:tcBorders>
            <w:shd w:val="clear" w:color="000000" w:fill="FFFFFF"/>
            <w:noWrap/>
            <w:vAlign w:val="center"/>
            <w:hideMark/>
          </w:tcPr>
          <w:p w14:paraId="7C118053" w14:textId="459BD532"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-810 593</w:t>
            </w:r>
          </w:p>
        </w:tc>
        <w:tc>
          <w:tcPr>
            <w:tcW w:w="362" w:type="pct"/>
            <w:tcBorders>
              <w:top w:val="single" w:sz="4" w:space="0" w:color="auto"/>
              <w:left w:val="nil"/>
              <w:bottom w:val="single" w:sz="8" w:space="0" w:color="auto"/>
              <w:right w:val="nil"/>
            </w:tcBorders>
            <w:shd w:val="clear" w:color="000000" w:fill="FFFFFF"/>
            <w:noWrap/>
            <w:vAlign w:val="center"/>
            <w:hideMark/>
          </w:tcPr>
          <w:p w14:paraId="4674F0A8" w14:textId="1735B4DB" w:rsidR="00120E01" w:rsidRPr="00181464" w:rsidRDefault="00120E01" w:rsidP="00120E01">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-14,2</w:t>
            </w:r>
          </w:p>
        </w:tc>
      </w:tr>
    </w:tbl>
    <w:p w14:paraId="4FDFCF0C" w14:textId="35775CE3" w:rsidR="00120E01" w:rsidRPr="00181464" w:rsidRDefault="00120E01" w:rsidP="00120E01">
      <w:pPr>
        <w:jc w:val="right"/>
        <w:rPr>
          <w:b/>
          <w:sz w:val="18"/>
          <w:szCs w:val="18"/>
        </w:rPr>
      </w:pPr>
      <w:bookmarkStart w:id="69" w:name="_Toc6415655"/>
      <w:r w:rsidRPr="00181464">
        <w:rPr>
          <w:sz w:val="18"/>
          <w:szCs w:val="18"/>
        </w:rPr>
        <w:t>Zdroj: MF SR</w:t>
      </w:r>
      <w:r w:rsidRPr="00181464">
        <w:rPr>
          <w:b/>
          <w:sz w:val="18"/>
          <w:szCs w:val="18"/>
        </w:rPr>
        <w:t xml:space="preserve"> </w:t>
      </w:r>
    </w:p>
    <w:p w14:paraId="0DCAF469" w14:textId="77777777" w:rsidR="008172CD" w:rsidRDefault="008172CD">
      <w:pPr>
        <w:spacing w:after="160" w:line="259" w:lineRule="auto"/>
        <w:jc w:val="left"/>
        <w:rPr>
          <w:b/>
          <w:sz w:val="24"/>
          <w:szCs w:val="24"/>
        </w:rPr>
      </w:pPr>
      <w:r>
        <w:rPr>
          <w:b/>
          <w:sz w:val="24"/>
          <w:szCs w:val="24"/>
        </w:rPr>
        <w:br w:type="page"/>
      </w:r>
    </w:p>
    <w:p w14:paraId="1611A47C" w14:textId="0DEB0FD4" w:rsidR="00120E01" w:rsidRPr="00120E01" w:rsidRDefault="00120E01" w:rsidP="00120E01">
      <w:pPr>
        <w:spacing w:line="240" w:lineRule="auto"/>
        <w:rPr>
          <w:b/>
          <w:sz w:val="24"/>
          <w:szCs w:val="24"/>
        </w:rPr>
      </w:pPr>
      <w:r w:rsidRPr="00120E01">
        <w:rPr>
          <w:b/>
          <w:sz w:val="24"/>
          <w:szCs w:val="24"/>
        </w:rPr>
        <w:lastRenderedPageBreak/>
        <w:t xml:space="preserve">Výdavky na spolufinancovanie zo ŠR </w:t>
      </w:r>
    </w:p>
    <w:p w14:paraId="3DDFE105" w14:textId="04C38674" w:rsidR="00120E01" w:rsidRPr="00120E01" w:rsidRDefault="00120E01" w:rsidP="00120E01">
      <w:pPr>
        <w:spacing w:line="240" w:lineRule="auto"/>
        <w:rPr>
          <w:sz w:val="24"/>
          <w:szCs w:val="24"/>
        </w:rPr>
      </w:pPr>
      <w:r w:rsidRPr="00120E01">
        <w:rPr>
          <w:sz w:val="24"/>
          <w:szCs w:val="24"/>
        </w:rPr>
        <w:t>Výdavky na spolufinancovanie zo ŠR boli na rok 2023 roz</w:t>
      </w:r>
      <w:r>
        <w:rPr>
          <w:sz w:val="24"/>
          <w:szCs w:val="24"/>
        </w:rPr>
        <w:t>počtované vo výške 970 791 tis. </w:t>
      </w:r>
      <w:r w:rsidRPr="00120E01">
        <w:rPr>
          <w:sz w:val="24"/>
          <w:szCs w:val="24"/>
        </w:rPr>
        <w:t>eur, z toho prostriedky na spolufinancovanie zo ŠR k prostr</w:t>
      </w:r>
      <w:r>
        <w:rPr>
          <w:sz w:val="24"/>
          <w:szCs w:val="24"/>
        </w:rPr>
        <w:t>iedkom EÚ vo výške 954 298 tis. </w:t>
      </w:r>
      <w:r w:rsidRPr="00120E01">
        <w:rPr>
          <w:sz w:val="24"/>
          <w:szCs w:val="24"/>
        </w:rPr>
        <w:t xml:space="preserve">eur (vrátane prostriedkov na </w:t>
      </w:r>
      <w:proofErr w:type="spellStart"/>
      <w:r w:rsidRPr="00120E01">
        <w:rPr>
          <w:sz w:val="24"/>
          <w:szCs w:val="24"/>
        </w:rPr>
        <w:t>nadčerpanie</w:t>
      </w:r>
      <w:proofErr w:type="spellEnd"/>
      <w:r w:rsidRPr="00120E01">
        <w:rPr>
          <w:sz w:val="24"/>
          <w:szCs w:val="24"/>
        </w:rPr>
        <w:t xml:space="preserve"> 3. programového obdobia rozpočtovaných v kapitole VPS v sume </w:t>
      </w:r>
      <w:r>
        <w:rPr>
          <w:sz w:val="24"/>
          <w:szCs w:val="24"/>
        </w:rPr>
        <w:t>85 294 tis. </w:t>
      </w:r>
      <w:r w:rsidRPr="00120E01">
        <w:rPr>
          <w:sz w:val="24"/>
          <w:szCs w:val="24"/>
        </w:rPr>
        <w:t>eur), prostriedky na spolufinancovanie k zahraničným grantom z prostriedkov EÚ a zahraničným grantom poskytnutým na základe medzinárodných zmlúv vo v</w:t>
      </w:r>
      <w:r>
        <w:rPr>
          <w:sz w:val="24"/>
          <w:szCs w:val="24"/>
        </w:rPr>
        <w:t xml:space="preserve">ýške 16 143 tis. eur a </w:t>
      </w:r>
      <w:r w:rsidRPr="00120E01">
        <w:rPr>
          <w:sz w:val="24"/>
          <w:szCs w:val="24"/>
        </w:rPr>
        <w:t>prostriedky na spolufinancovanie vnú</w:t>
      </w:r>
      <w:r>
        <w:rPr>
          <w:sz w:val="24"/>
          <w:szCs w:val="24"/>
        </w:rPr>
        <w:t>torných politík v sume 350 tis. </w:t>
      </w:r>
      <w:r w:rsidRPr="00120E01">
        <w:rPr>
          <w:sz w:val="24"/>
          <w:szCs w:val="24"/>
        </w:rPr>
        <w:t>eur. Skutočné plnenie výdavkov na spolufinancovanie zo ŠR je vo výške 7</w:t>
      </w:r>
      <w:r>
        <w:rPr>
          <w:sz w:val="24"/>
          <w:szCs w:val="24"/>
        </w:rPr>
        <w:t>31 </w:t>
      </w:r>
      <w:r w:rsidRPr="00120E01">
        <w:rPr>
          <w:sz w:val="24"/>
          <w:szCs w:val="24"/>
        </w:rPr>
        <w:t>5</w:t>
      </w:r>
      <w:r>
        <w:rPr>
          <w:sz w:val="24"/>
          <w:szCs w:val="24"/>
        </w:rPr>
        <w:t>89 tis. </w:t>
      </w:r>
      <w:r w:rsidRPr="00120E01">
        <w:rPr>
          <w:sz w:val="24"/>
          <w:szCs w:val="24"/>
        </w:rPr>
        <w:t>eur, z toho prostriedky na spolufinancovanie zo ŠR k prostriedkom EÚ vo výške 724</w:t>
      </w:r>
      <w:r>
        <w:rPr>
          <w:sz w:val="24"/>
          <w:szCs w:val="24"/>
        </w:rPr>
        <w:t> </w:t>
      </w:r>
      <w:r w:rsidRPr="00120E01">
        <w:rPr>
          <w:sz w:val="24"/>
          <w:szCs w:val="24"/>
        </w:rPr>
        <w:t>2</w:t>
      </w:r>
      <w:r>
        <w:rPr>
          <w:sz w:val="24"/>
          <w:szCs w:val="24"/>
        </w:rPr>
        <w:t xml:space="preserve">10 tis. eur, </w:t>
      </w:r>
      <w:r w:rsidRPr="00120E01">
        <w:rPr>
          <w:sz w:val="24"/>
          <w:szCs w:val="24"/>
        </w:rPr>
        <w:t xml:space="preserve">prostriedky na spolufinancovanie k zahraničným grantom z prostriedkov EÚ a zahraničným grantom poskytnutým </w:t>
      </w:r>
      <w:r>
        <w:rPr>
          <w:sz w:val="24"/>
          <w:szCs w:val="24"/>
        </w:rPr>
        <w:t>na základe medzinárodných zmlúv</w:t>
      </w:r>
      <w:r w:rsidRPr="00120E01">
        <w:rPr>
          <w:sz w:val="24"/>
          <w:szCs w:val="24"/>
        </w:rPr>
        <w:t xml:space="preserve"> </w:t>
      </w:r>
      <w:r>
        <w:rPr>
          <w:sz w:val="24"/>
          <w:szCs w:val="24"/>
        </w:rPr>
        <w:t xml:space="preserve">vo výške 7 054 tis. eur a </w:t>
      </w:r>
      <w:r w:rsidRPr="00120E01">
        <w:rPr>
          <w:sz w:val="24"/>
          <w:szCs w:val="24"/>
        </w:rPr>
        <w:t>prostriedky na spolufinancovanie vnútorných politík v sume 325</w:t>
      </w:r>
      <w:r>
        <w:rPr>
          <w:sz w:val="24"/>
          <w:szCs w:val="24"/>
        </w:rPr>
        <w:t> </w:t>
      </w:r>
      <w:r w:rsidRPr="00120E01">
        <w:rPr>
          <w:sz w:val="24"/>
          <w:szCs w:val="24"/>
        </w:rPr>
        <w:t>tis.</w:t>
      </w:r>
      <w:r>
        <w:rPr>
          <w:sz w:val="24"/>
          <w:szCs w:val="24"/>
        </w:rPr>
        <w:t> </w:t>
      </w:r>
      <w:r w:rsidRPr="00120E01">
        <w:rPr>
          <w:sz w:val="24"/>
          <w:szCs w:val="24"/>
        </w:rPr>
        <w:t>eur.</w:t>
      </w:r>
    </w:p>
    <w:p w14:paraId="50C84A97" w14:textId="77777777" w:rsidR="00120E01" w:rsidRPr="00120E01" w:rsidRDefault="00120E01" w:rsidP="00120E01">
      <w:pPr>
        <w:spacing w:line="240" w:lineRule="auto"/>
        <w:rPr>
          <w:b/>
          <w:sz w:val="24"/>
          <w:szCs w:val="24"/>
        </w:rPr>
      </w:pPr>
      <w:r w:rsidRPr="00120E01">
        <w:rPr>
          <w:b/>
          <w:sz w:val="24"/>
          <w:szCs w:val="24"/>
        </w:rPr>
        <w:t>Spolufinancovanie zo štátneho rozpočtu k prostriedkom EÚ</w:t>
      </w:r>
    </w:p>
    <w:p w14:paraId="2EE27187" w14:textId="2E9C8A27" w:rsidR="00120E01" w:rsidRPr="00120E01" w:rsidRDefault="00120E01" w:rsidP="00120E01">
      <w:pPr>
        <w:spacing w:line="240" w:lineRule="auto"/>
        <w:rPr>
          <w:sz w:val="24"/>
          <w:szCs w:val="24"/>
        </w:rPr>
      </w:pPr>
      <w:r w:rsidRPr="00120E01">
        <w:rPr>
          <w:sz w:val="24"/>
          <w:szCs w:val="24"/>
        </w:rPr>
        <w:t xml:space="preserve">Z rovnakého dôvodu ako pri úprave výdavkov za prostriedky EÚ došlo k úprave rozpočtu na spolufinancovanie zo štátneho rozpočtu k prostriedkom EÚ. </w:t>
      </w:r>
    </w:p>
    <w:p w14:paraId="402A0662" w14:textId="3973C908" w:rsidR="00120E01" w:rsidRPr="00120E01" w:rsidRDefault="00120E01" w:rsidP="00120E01">
      <w:pPr>
        <w:spacing w:line="240" w:lineRule="auto"/>
        <w:rPr>
          <w:sz w:val="24"/>
          <w:szCs w:val="24"/>
        </w:rPr>
      </w:pPr>
      <w:r w:rsidRPr="00120E01">
        <w:rPr>
          <w:sz w:val="24"/>
          <w:szCs w:val="24"/>
        </w:rPr>
        <w:t>Čerpanie výdavkov na spolufinancovanie zo ŠR k prostriedkom EÚ v roku 2023 za štrukturálne operácie je mierne vyššie ako upravený rozpočet a predstavuje sumu 629</w:t>
      </w:r>
      <w:r>
        <w:rPr>
          <w:sz w:val="24"/>
          <w:szCs w:val="24"/>
        </w:rPr>
        <w:t> </w:t>
      </w:r>
      <w:r w:rsidRPr="00120E01">
        <w:rPr>
          <w:sz w:val="24"/>
          <w:szCs w:val="24"/>
        </w:rPr>
        <w:t>854</w:t>
      </w:r>
      <w:r>
        <w:rPr>
          <w:sz w:val="24"/>
          <w:szCs w:val="24"/>
        </w:rPr>
        <w:t> tis. </w:t>
      </w:r>
      <w:r w:rsidRPr="00120E01">
        <w:rPr>
          <w:sz w:val="24"/>
          <w:szCs w:val="24"/>
        </w:rPr>
        <w:t>eur. Vyššie čerpanie oproti upravenému rozpočtu sa prejavilo v kapitole ÚV SR, MH SR a ÚPRSO SR z rovnakého dôvodu, ako pri výdavkoch za prostriedky EÚ.</w:t>
      </w:r>
    </w:p>
    <w:p w14:paraId="2743BC3D" w14:textId="42A7F40D" w:rsidR="00120E01" w:rsidRPr="00120E01" w:rsidRDefault="00120E01" w:rsidP="00120E01">
      <w:pPr>
        <w:spacing w:line="240" w:lineRule="auto"/>
        <w:rPr>
          <w:sz w:val="24"/>
          <w:szCs w:val="24"/>
        </w:rPr>
      </w:pPr>
      <w:r w:rsidRPr="00120E01">
        <w:rPr>
          <w:sz w:val="24"/>
          <w:szCs w:val="24"/>
        </w:rPr>
        <w:t>Skutočné plnenie výdavkov na spolufinancovanie zo ŠR k prostriedkom EÚ vo výške 724</w:t>
      </w:r>
      <w:r>
        <w:rPr>
          <w:sz w:val="24"/>
          <w:szCs w:val="24"/>
        </w:rPr>
        <w:t> </w:t>
      </w:r>
      <w:r w:rsidRPr="00120E01">
        <w:rPr>
          <w:sz w:val="24"/>
          <w:szCs w:val="24"/>
        </w:rPr>
        <w:t>2</w:t>
      </w:r>
      <w:r>
        <w:rPr>
          <w:sz w:val="24"/>
          <w:szCs w:val="24"/>
        </w:rPr>
        <w:t>10 tis. </w:t>
      </w:r>
      <w:r w:rsidRPr="00120E01">
        <w:rPr>
          <w:sz w:val="24"/>
          <w:szCs w:val="24"/>
        </w:rPr>
        <w:t>eur predstavuje plnenie takmer na úrovni 100 % z upraveného rozpočtu. Výdavky za štrukturálne operácie, pri ktorých plní úlohu certifikačného orgánu resp. platobného orgánu MF SR, sú vo výške 629</w:t>
      </w:r>
      <w:r>
        <w:rPr>
          <w:sz w:val="24"/>
          <w:szCs w:val="24"/>
        </w:rPr>
        <w:t> </w:t>
      </w:r>
      <w:r w:rsidRPr="00120E01">
        <w:rPr>
          <w:sz w:val="24"/>
          <w:szCs w:val="24"/>
        </w:rPr>
        <w:t>387</w:t>
      </w:r>
      <w:r>
        <w:rPr>
          <w:sz w:val="24"/>
          <w:szCs w:val="24"/>
        </w:rPr>
        <w:t> </w:t>
      </w:r>
      <w:r w:rsidRPr="00120E01">
        <w:rPr>
          <w:sz w:val="24"/>
          <w:szCs w:val="24"/>
        </w:rPr>
        <w:t>tis. eur (z toho štrukturálne fondy 3. programového obdobia v sume 513</w:t>
      </w:r>
      <w:r>
        <w:rPr>
          <w:sz w:val="24"/>
          <w:szCs w:val="24"/>
        </w:rPr>
        <w:t> </w:t>
      </w:r>
      <w:r w:rsidRPr="00120E01">
        <w:rPr>
          <w:sz w:val="24"/>
          <w:szCs w:val="24"/>
        </w:rPr>
        <w:t>907</w:t>
      </w:r>
      <w:r>
        <w:rPr>
          <w:sz w:val="24"/>
          <w:szCs w:val="24"/>
        </w:rPr>
        <w:t> tis. </w:t>
      </w:r>
      <w:r w:rsidRPr="00120E01">
        <w:rPr>
          <w:sz w:val="24"/>
          <w:szCs w:val="24"/>
        </w:rPr>
        <w:t>eur a Kohézny fond 3. programového</w:t>
      </w:r>
      <w:r>
        <w:rPr>
          <w:sz w:val="24"/>
          <w:szCs w:val="24"/>
        </w:rPr>
        <w:t xml:space="preserve"> obdobia v sume 108 022 tis. </w:t>
      </w:r>
      <w:r w:rsidRPr="00120E01">
        <w:rPr>
          <w:sz w:val="24"/>
          <w:szCs w:val="24"/>
        </w:rPr>
        <w:t>eur</w:t>
      </w:r>
      <w:r>
        <w:rPr>
          <w:sz w:val="24"/>
          <w:szCs w:val="24"/>
        </w:rPr>
        <w:t xml:space="preserve"> a </w:t>
      </w:r>
      <w:r w:rsidRPr="00120E01">
        <w:rPr>
          <w:sz w:val="24"/>
          <w:szCs w:val="24"/>
        </w:rPr>
        <w:t>štrukturálne operácie 4. program</w:t>
      </w:r>
      <w:r w:rsidR="00C30981">
        <w:rPr>
          <w:sz w:val="24"/>
          <w:szCs w:val="24"/>
        </w:rPr>
        <w:t>ového obdobia v sume 7 458 tis. </w:t>
      </w:r>
      <w:r w:rsidRPr="00120E01">
        <w:rPr>
          <w:sz w:val="24"/>
          <w:szCs w:val="24"/>
        </w:rPr>
        <w:t xml:space="preserve">eur). V prípade </w:t>
      </w:r>
      <w:proofErr w:type="spellStart"/>
      <w:r w:rsidRPr="00120E01">
        <w:rPr>
          <w:sz w:val="24"/>
          <w:szCs w:val="24"/>
        </w:rPr>
        <w:t>nadčerpania</w:t>
      </w:r>
      <w:proofErr w:type="spellEnd"/>
      <w:r w:rsidRPr="00120E01">
        <w:rPr>
          <w:sz w:val="24"/>
          <w:szCs w:val="24"/>
        </w:rPr>
        <w:t xml:space="preserve"> za 3. programové obdobie boli rozpočtové prostriedky uvoľnené rozpočtovým opatrením v prospech MIRRI SR z dôvodu potreby </w:t>
      </w:r>
      <w:proofErr w:type="spellStart"/>
      <w:r w:rsidRPr="00120E01">
        <w:rPr>
          <w:sz w:val="24"/>
          <w:szCs w:val="24"/>
        </w:rPr>
        <w:t>nadčerpania</w:t>
      </w:r>
      <w:proofErr w:type="spellEnd"/>
      <w:r w:rsidRPr="00120E01">
        <w:rPr>
          <w:sz w:val="24"/>
          <w:szCs w:val="24"/>
        </w:rPr>
        <w:t xml:space="preserve"> prostriedkov pre Integrovaný regionálny operačný program v rámci rozpočtového opatrenia č. 440/2023 vo výške schváleného d</w:t>
      </w:r>
      <w:r w:rsidR="00CA6CE3">
        <w:rPr>
          <w:sz w:val="24"/>
          <w:szCs w:val="24"/>
        </w:rPr>
        <w:t xml:space="preserve">očasného </w:t>
      </w:r>
      <w:proofErr w:type="spellStart"/>
      <w:r w:rsidR="00CA6CE3">
        <w:rPr>
          <w:sz w:val="24"/>
          <w:szCs w:val="24"/>
        </w:rPr>
        <w:t>nadčerpania</w:t>
      </w:r>
      <w:proofErr w:type="spellEnd"/>
      <w:r w:rsidR="00CA6CE3">
        <w:rPr>
          <w:sz w:val="24"/>
          <w:szCs w:val="24"/>
        </w:rPr>
        <w:t xml:space="preserve"> 6 044 tis. </w:t>
      </w:r>
      <w:r w:rsidRPr="00120E01">
        <w:rPr>
          <w:sz w:val="24"/>
          <w:szCs w:val="24"/>
        </w:rPr>
        <w:t xml:space="preserve">eur na základe listu ministra financií zo dňa 30.11.2023 v súvislosti s I. fázou riešenia rizika </w:t>
      </w:r>
      <w:proofErr w:type="spellStart"/>
      <w:r w:rsidRPr="00120E01">
        <w:rPr>
          <w:sz w:val="24"/>
          <w:szCs w:val="24"/>
        </w:rPr>
        <w:t>nadčerpania</w:t>
      </w:r>
      <w:proofErr w:type="spellEnd"/>
      <w:r w:rsidRPr="00120E01">
        <w:rPr>
          <w:sz w:val="24"/>
          <w:szCs w:val="24"/>
        </w:rPr>
        <w:t>/</w:t>
      </w:r>
      <w:proofErr w:type="spellStart"/>
      <w:r w:rsidRPr="00120E01">
        <w:rPr>
          <w:sz w:val="24"/>
          <w:szCs w:val="24"/>
        </w:rPr>
        <w:t>nadkontrahovania</w:t>
      </w:r>
      <w:proofErr w:type="spellEnd"/>
      <w:r w:rsidRPr="00120E01">
        <w:rPr>
          <w:sz w:val="24"/>
          <w:szCs w:val="24"/>
        </w:rPr>
        <w:t xml:space="preserve"> programu. Uvedená úprava v priebehu roka 2023 mala vplyv na hodnotu upraveného rozpočtu a nie na skutočnosť. Výdavky za štrukturálne operácie, pri ktorých plní úlohu certifikačného org</w:t>
      </w:r>
      <w:r w:rsidR="00C30981">
        <w:rPr>
          <w:sz w:val="24"/>
          <w:szCs w:val="24"/>
        </w:rPr>
        <w:t>ánu MPSVR SR sú v sume 467 tis. </w:t>
      </w:r>
      <w:r w:rsidRPr="00120E01">
        <w:rPr>
          <w:sz w:val="24"/>
          <w:szCs w:val="24"/>
        </w:rPr>
        <w:t>eur. Výdavky za štrukturálne operácie, pri ktorých plní úlohu certifikačného</w:t>
      </w:r>
      <w:r w:rsidR="00C30981">
        <w:rPr>
          <w:sz w:val="24"/>
          <w:szCs w:val="24"/>
        </w:rPr>
        <w:t xml:space="preserve"> orgánu MV SR, sú v sume 0 tis. </w:t>
      </w:r>
      <w:r w:rsidRPr="00120E01">
        <w:rPr>
          <w:sz w:val="24"/>
          <w:szCs w:val="24"/>
        </w:rPr>
        <w:t xml:space="preserve">eur. Výdavky za poľnohospodárske </w:t>
      </w:r>
      <w:r w:rsidR="00C30981">
        <w:rPr>
          <w:sz w:val="24"/>
          <w:szCs w:val="24"/>
        </w:rPr>
        <w:t>fondy boli vo výške 94 356 tis. </w:t>
      </w:r>
      <w:r w:rsidRPr="00120E01">
        <w:rPr>
          <w:sz w:val="24"/>
          <w:szCs w:val="24"/>
        </w:rPr>
        <w:t>eur (z toho za Európsky poľnohospodársky fon</w:t>
      </w:r>
      <w:r w:rsidR="00C30981">
        <w:rPr>
          <w:sz w:val="24"/>
          <w:szCs w:val="24"/>
        </w:rPr>
        <w:t>d rozvoja vidieka v sume 57 413 tis. </w:t>
      </w:r>
      <w:r w:rsidRPr="00120E01">
        <w:rPr>
          <w:sz w:val="24"/>
          <w:szCs w:val="24"/>
        </w:rPr>
        <w:t>eur a</w:t>
      </w:r>
      <w:r w:rsidR="00C30981">
        <w:rPr>
          <w:sz w:val="24"/>
          <w:szCs w:val="24"/>
        </w:rPr>
        <w:t xml:space="preserve"> </w:t>
      </w:r>
      <w:r w:rsidRPr="00120E01">
        <w:rPr>
          <w:sz w:val="24"/>
          <w:szCs w:val="24"/>
        </w:rPr>
        <w:t>za Európsky poľno</w:t>
      </w:r>
      <w:r w:rsidR="00C30981">
        <w:rPr>
          <w:sz w:val="24"/>
          <w:szCs w:val="24"/>
        </w:rPr>
        <w:t>hospodársky záručný fond v sume</w:t>
      </w:r>
      <w:r w:rsidRPr="00120E01">
        <w:rPr>
          <w:sz w:val="24"/>
          <w:szCs w:val="24"/>
        </w:rPr>
        <w:t xml:space="preserve"> 36</w:t>
      </w:r>
      <w:r w:rsidR="00C30981">
        <w:rPr>
          <w:sz w:val="24"/>
          <w:szCs w:val="24"/>
        </w:rPr>
        <w:t> </w:t>
      </w:r>
      <w:r w:rsidRPr="00120E01">
        <w:rPr>
          <w:sz w:val="24"/>
          <w:szCs w:val="24"/>
        </w:rPr>
        <w:t>943</w:t>
      </w:r>
      <w:r w:rsidR="00C30981">
        <w:rPr>
          <w:sz w:val="24"/>
          <w:szCs w:val="24"/>
        </w:rPr>
        <w:t> </w:t>
      </w:r>
      <w:r w:rsidRPr="00120E01">
        <w:rPr>
          <w:sz w:val="24"/>
          <w:szCs w:val="24"/>
        </w:rPr>
        <w:t>ti</w:t>
      </w:r>
      <w:r w:rsidR="00C30981">
        <w:rPr>
          <w:sz w:val="24"/>
          <w:szCs w:val="24"/>
        </w:rPr>
        <w:t>s. </w:t>
      </w:r>
      <w:r w:rsidRPr="00120E01">
        <w:rPr>
          <w:sz w:val="24"/>
          <w:szCs w:val="24"/>
        </w:rPr>
        <w:t>eur).</w:t>
      </w:r>
    </w:p>
    <w:tbl>
      <w:tblPr>
        <w:tblW w:w="5072" w:type="pct"/>
        <w:tblLayout w:type="fixed"/>
        <w:tblCellMar>
          <w:left w:w="70" w:type="dxa"/>
          <w:right w:w="70" w:type="dxa"/>
        </w:tblCellMar>
        <w:tblLook w:val="04A0" w:firstRow="1" w:lastRow="0" w:firstColumn="1" w:lastColumn="0" w:noHBand="0" w:noVBand="1"/>
      </w:tblPr>
      <w:tblGrid>
        <w:gridCol w:w="3589"/>
        <w:gridCol w:w="862"/>
        <w:gridCol w:w="862"/>
        <w:gridCol w:w="1004"/>
        <w:gridCol w:w="1148"/>
        <w:gridCol w:w="860"/>
        <w:gridCol w:w="108"/>
        <w:gridCol w:w="753"/>
        <w:gridCol w:w="161"/>
      </w:tblGrid>
      <w:tr w:rsidR="00E82D89" w:rsidRPr="00A2483A" w14:paraId="4538F65C" w14:textId="77777777" w:rsidTr="00E82D89">
        <w:trPr>
          <w:trHeight w:val="236"/>
        </w:trPr>
        <w:tc>
          <w:tcPr>
            <w:tcW w:w="3379" w:type="pct"/>
            <w:gridSpan w:val="4"/>
            <w:tcBorders>
              <w:top w:val="nil"/>
              <w:left w:val="nil"/>
              <w:bottom w:val="single" w:sz="4" w:space="0" w:color="auto"/>
              <w:right w:val="nil"/>
            </w:tcBorders>
            <w:shd w:val="clear" w:color="auto" w:fill="auto"/>
            <w:noWrap/>
            <w:vAlign w:val="bottom"/>
            <w:hideMark/>
          </w:tcPr>
          <w:p w14:paraId="4ADDCC0E" w14:textId="36B2391F" w:rsidR="00E82D89" w:rsidRPr="00A2483A" w:rsidRDefault="00E82D89" w:rsidP="00153978">
            <w:pPr>
              <w:spacing w:line="240" w:lineRule="auto"/>
              <w:jc w:val="left"/>
              <w:rPr>
                <w:rFonts w:ascii="Arial Narrow" w:eastAsia="Times New Roman" w:hAnsi="Arial Narrow" w:cs="Times New Roman"/>
                <w:color w:val="5B9BD5" w:themeColor="accent1"/>
                <w:sz w:val="20"/>
                <w:szCs w:val="20"/>
                <w:lang w:eastAsia="sk-SK"/>
              </w:rPr>
            </w:pPr>
            <w:r>
              <w:br w:type="page"/>
            </w:r>
            <w:r w:rsidRPr="00745CCE">
              <w:rPr>
                <w:rFonts w:eastAsia="Times New Roman" w:cs="Times New Roman"/>
                <w:b/>
                <w:bCs/>
                <w:color w:val="5B9BD5" w:themeColor="accent1"/>
                <w:sz w:val="20"/>
                <w:szCs w:val="20"/>
                <w:lang w:eastAsia="sk-SK"/>
              </w:rPr>
              <w:t xml:space="preserve">Tabuľka </w:t>
            </w:r>
            <w:r>
              <w:rPr>
                <w:rFonts w:eastAsia="Times New Roman" w:cs="Times New Roman"/>
                <w:b/>
                <w:bCs/>
                <w:color w:val="5B9BD5" w:themeColor="accent1"/>
                <w:sz w:val="20"/>
                <w:szCs w:val="20"/>
                <w:lang w:eastAsia="sk-SK"/>
              </w:rPr>
              <w:t>6</w:t>
            </w:r>
            <w:r w:rsidR="00153978">
              <w:rPr>
                <w:rFonts w:eastAsia="Times New Roman" w:cs="Times New Roman"/>
                <w:b/>
                <w:bCs/>
                <w:color w:val="5B9BD5" w:themeColor="accent1"/>
                <w:sz w:val="20"/>
                <w:szCs w:val="20"/>
                <w:lang w:eastAsia="sk-SK"/>
              </w:rPr>
              <w:t>7</w:t>
            </w:r>
            <w:r>
              <w:rPr>
                <w:rFonts w:eastAsia="Times New Roman" w:cs="Times New Roman"/>
                <w:b/>
                <w:bCs/>
                <w:color w:val="5B9BD5" w:themeColor="accent1"/>
                <w:sz w:val="20"/>
                <w:szCs w:val="20"/>
                <w:lang w:eastAsia="sk-SK"/>
              </w:rPr>
              <w:t xml:space="preserve"> - </w:t>
            </w:r>
            <w:r w:rsidRPr="00A2483A">
              <w:rPr>
                <w:rFonts w:eastAsia="Times New Roman" w:cs="Times New Roman"/>
                <w:b/>
                <w:bCs/>
                <w:color w:val="5B9BD5" w:themeColor="accent1"/>
                <w:sz w:val="20"/>
                <w:szCs w:val="20"/>
                <w:lang w:eastAsia="sk-SK"/>
              </w:rPr>
              <w:t>Výdavky spolufinancovania zo ŠR k prostriedkom EÚ</w:t>
            </w:r>
          </w:p>
        </w:tc>
        <w:tc>
          <w:tcPr>
            <w:tcW w:w="614" w:type="pct"/>
            <w:tcBorders>
              <w:top w:val="nil"/>
              <w:left w:val="nil"/>
              <w:bottom w:val="single" w:sz="4" w:space="0" w:color="auto"/>
              <w:right w:val="nil"/>
            </w:tcBorders>
            <w:shd w:val="clear" w:color="auto" w:fill="auto"/>
            <w:noWrap/>
            <w:vAlign w:val="bottom"/>
            <w:hideMark/>
          </w:tcPr>
          <w:p w14:paraId="39EA17D8" w14:textId="77777777" w:rsidR="00E82D89" w:rsidRPr="00A2483A" w:rsidRDefault="00E82D89" w:rsidP="00E82D89">
            <w:pPr>
              <w:spacing w:after="0" w:line="240" w:lineRule="auto"/>
              <w:jc w:val="left"/>
              <w:rPr>
                <w:rFonts w:ascii="Arial Narrow" w:eastAsia="Times New Roman" w:hAnsi="Arial Narrow" w:cs="Times New Roman"/>
                <w:color w:val="5B9BD5" w:themeColor="accent1"/>
                <w:sz w:val="20"/>
                <w:szCs w:val="20"/>
                <w:lang w:eastAsia="sk-SK"/>
              </w:rPr>
            </w:pPr>
          </w:p>
        </w:tc>
        <w:tc>
          <w:tcPr>
            <w:tcW w:w="921" w:type="pct"/>
            <w:gridSpan w:val="3"/>
            <w:tcBorders>
              <w:top w:val="nil"/>
              <w:left w:val="nil"/>
              <w:bottom w:val="single" w:sz="4" w:space="0" w:color="auto"/>
              <w:right w:val="nil"/>
            </w:tcBorders>
            <w:shd w:val="clear" w:color="auto" w:fill="auto"/>
            <w:noWrap/>
            <w:vAlign w:val="bottom"/>
            <w:hideMark/>
          </w:tcPr>
          <w:p w14:paraId="64A17C61" w14:textId="77777777" w:rsidR="00E82D89" w:rsidRPr="00A2483A" w:rsidRDefault="00E82D89" w:rsidP="00E82D89">
            <w:pPr>
              <w:spacing w:after="0" w:line="240" w:lineRule="auto"/>
              <w:jc w:val="left"/>
              <w:rPr>
                <w:rFonts w:eastAsia="Times New Roman" w:cs="Times New Roman"/>
                <w:b/>
                <w:bCs/>
                <w:color w:val="5B9BD5" w:themeColor="accent1"/>
                <w:sz w:val="20"/>
                <w:szCs w:val="20"/>
                <w:lang w:eastAsia="sk-SK"/>
              </w:rPr>
            </w:pPr>
          </w:p>
        </w:tc>
        <w:tc>
          <w:tcPr>
            <w:tcW w:w="86" w:type="pct"/>
            <w:tcBorders>
              <w:top w:val="nil"/>
              <w:left w:val="nil"/>
              <w:bottom w:val="single" w:sz="4" w:space="0" w:color="auto"/>
              <w:right w:val="nil"/>
            </w:tcBorders>
            <w:shd w:val="clear" w:color="auto" w:fill="auto"/>
            <w:noWrap/>
            <w:vAlign w:val="bottom"/>
            <w:hideMark/>
          </w:tcPr>
          <w:p w14:paraId="222D76F2" w14:textId="77777777" w:rsidR="00E82D89" w:rsidRPr="00A2483A" w:rsidRDefault="00E82D89" w:rsidP="00E82D89">
            <w:pPr>
              <w:spacing w:after="0" w:line="240" w:lineRule="auto"/>
              <w:jc w:val="left"/>
              <w:rPr>
                <w:rFonts w:eastAsia="Times New Roman" w:cs="Times New Roman"/>
                <w:b/>
                <w:bCs/>
                <w:color w:val="5B9BD5" w:themeColor="accent1"/>
                <w:sz w:val="20"/>
                <w:szCs w:val="20"/>
                <w:lang w:eastAsia="sk-SK"/>
              </w:rPr>
            </w:pPr>
          </w:p>
        </w:tc>
      </w:tr>
      <w:tr w:rsidR="00E82D89" w:rsidRPr="00181464" w14:paraId="55A557AF" w14:textId="77777777" w:rsidTr="00E82D89">
        <w:trPr>
          <w:trHeight w:val="236"/>
        </w:trPr>
        <w:tc>
          <w:tcPr>
            <w:tcW w:w="1920" w:type="pct"/>
            <w:vMerge w:val="restart"/>
            <w:tcBorders>
              <w:top w:val="nil"/>
              <w:left w:val="nil"/>
              <w:right w:val="nil"/>
            </w:tcBorders>
            <w:shd w:val="clear" w:color="auto" w:fill="auto"/>
            <w:vAlign w:val="center"/>
            <w:hideMark/>
          </w:tcPr>
          <w:p w14:paraId="354FF619" w14:textId="77777777" w:rsidR="00E82D89" w:rsidRPr="00181464" w:rsidRDefault="00E82D89" w:rsidP="00E82D89">
            <w:pPr>
              <w:spacing w:after="0" w:line="240" w:lineRule="auto"/>
              <w:jc w:val="left"/>
              <w:rPr>
                <w:rFonts w:eastAsia="Times New Roman" w:cs="Times New Roman"/>
                <w:b/>
                <w:bCs/>
                <w:sz w:val="18"/>
                <w:szCs w:val="18"/>
                <w:lang w:eastAsia="sk-SK"/>
              </w:rPr>
            </w:pPr>
            <w:r w:rsidRPr="00181464">
              <w:rPr>
                <w:rFonts w:eastAsia="Times New Roman" w:cs="Times New Roman"/>
                <w:b/>
                <w:bCs/>
                <w:sz w:val="18"/>
                <w:szCs w:val="18"/>
                <w:lang w:eastAsia="sk-SK"/>
              </w:rPr>
              <w:t>v tis. eur</w:t>
            </w:r>
          </w:p>
        </w:tc>
        <w:tc>
          <w:tcPr>
            <w:tcW w:w="461" w:type="pct"/>
            <w:tcBorders>
              <w:top w:val="nil"/>
              <w:left w:val="nil"/>
              <w:right w:val="nil"/>
            </w:tcBorders>
            <w:shd w:val="clear" w:color="auto" w:fill="auto"/>
            <w:vAlign w:val="center"/>
            <w:hideMark/>
          </w:tcPr>
          <w:p w14:paraId="57A0EC48" w14:textId="4A4D00C8" w:rsidR="00E82D89" w:rsidRPr="00181464" w:rsidRDefault="00E82D89" w:rsidP="00E82D89">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2021 S</w:t>
            </w:r>
          </w:p>
        </w:tc>
        <w:tc>
          <w:tcPr>
            <w:tcW w:w="461" w:type="pct"/>
            <w:tcBorders>
              <w:top w:val="nil"/>
              <w:left w:val="nil"/>
              <w:right w:val="nil"/>
            </w:tcBorders>
            <w:shd w:val="clear" w:color="auto" w:fill="auto"/>
            <w:vAlign w:val="center"/>
            <w:hideMark/>
          </w:tcPr>
          <w:p w14:paraId="53955FC5" w14:textId="79BBFF9D" w:rsidR="00E82D89" w:rsidRPr="00181464" w:rsidRDefault="00E82D89" w:rsidP="00E82D89">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2022 S</w:t>
            </w:r>
          </w:p>
        </w:tc>
        <w:tc>
          <w:tcPr>
            <w:tcW w:w="537" w:type="pct"/>
            <w:tcBorders>
              <w:top w:val="nil"/>
              <w:left w:val="nil"/>
              <w:right w:val="nil"/>
            </w:tcBorders>
            <w:shd w:val="clear" w:color="auto" w:fill="auto"/>
            <w:vAlign w:val="center"/>
            <w:hideMark/>
          </w:tcPr>
          <w:p w14:paraId="2487EBB3" w14:textId="4CDDEEB9" w:rsidR="00E82D89" w:rsidRPr="00181464" w:rsidRDefault="00E82D89" w:rsidP="00E82D89">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2023 R</w:t>
            </w:r>
          </w:p>
        </w:tc>
        <w:tc>
          <w:tcPr>
            <w:tcW w:w="614" w:type="pct"/>
            <w:tcBorders>
              <w:top w:val="nil"/>
              <w:left w:val="nil"/>
              <w:right w:val="nil"/>
            </w:tcBorders>
            <w:shd w:val="clear" w:color="auto" w:fill="auto"/>
            <w:vAlign w:val="center"/>
            <w:hideMark/>
          </w:tcPr>
          <w:p w14:paraId="0D69F16C" w14:textId="03BFC8A1" w:rsidR="00E82D89" w:rsidRPr="00181464" w:rsidRDefault="00E82D89" w:rsidP="00E82D89">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2023 S</w:t>
            </w:r>
          </w:p>
        </w:tc>
        <w:tc>
          <w:tcPr>
            <w:tcW w:w="460" w:type="pct"/>
            <w:tcBorders>
              <w:top w:val="nil"/>
              <w:left w:val="nil"/>
              <w:right w:val="nil"/>
            </w:tcBorders>
            <w:shd w:val="clear" w:color="auto" w:fill="auto"/>
            <w:vAlign w:val="center"/>
            <w:hideMark/>
          </w:tcPr>
          <w:p w14:paraId="345F62F9" w14:textId="77777777" w:rsidR="00E82D89" w:rsidRPr="00181464" w:rsidRDefault="00E82D89" w:rsidP="00E82D89">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Rozdiel</w:t>
            </w:r>
          </w:p>
        </w:tc>
        <w:tc>
          <w:tcPr>
            <w:tcW w:w="461" w:type="pct"/>
            <w:gridSpan w:val="2"/>
            <w:tcBorders>
              <w:top w:val="nil"/>
              <w:left w:val="nil"/>
              <w:right w:val="nil"/>
            </w:tcBorders>
            <w:shd w:val="clear" w:color="auto" w:fill="auto"/>
            <w:vAlign w:val="center"/>
          </w:tcPr>
          <w:p w14:paraId="4A64C0C6" w14:textId="77777777" w:rsidR="00E82D89" w:rsidRPr="00181464" w:rsidRDefault="00E82D89" w:rsidP="00E82D89">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v %</w:t>
            </w:r>
          </w:p>
        </w:tc>
        <w:tc>
          <w:tcPr>
            <w:tcW w:w="86" w:type="pct"/>
            <w:tcBorders>
              <w:top w:val="nil"/>
              <w:left w:val="nil"/>
              <w:right w:val="nil"/>
            </w:tcBorders>
            <w:shd w:val="clear" w:color="auto" w:fill="auto"/>
            <w:noWrap/>
            <w:vAlign w:val="bottom"/>
            <w:hideMark/>
          </w:tcPr>
          <w:p w14:paraId="16444F5D" w14:textId="77777777" w:rsidR="00E82D89" w:rsidRPr="00181464" w:rsidRDefault="00E82D89" w:rsidP="00E82D89">
            <w:pPr>
              <w:spacing w:after="0" w:line="240" w:lineRule="auto"/>
              <w:jc w:val="center"/>
              <w:rPr>
                <w:rFonts w:eastAsia="Times New Roman" w:cs="Times New Roman"/>
                <w:b/>
                <w:bCs/>
                <w:color w:val="000000"/>
                <w:sz w:val="18"/>
                <w:szCs w:val="18"/>
                <w:lang w:eastAsia="sk-SK"/>
              </w:rPr>
            </w:pPr>
          </w:p>
        </w:tc>
      </w:tr>
      <w:tr w:rsidR="00E82D89" w:rsidRPr="00181464" w14:paraId="6EE8AB54" w14:textId="77777777" w:rsidTr="00E82D89">
        <w:trPr>
          <w:trHeight w:val="247"/>
        </w:trPr>
        <w:tc>
          <w:tcPr>
            <w:tcW w:w="1920" w:type="pct"/>
            <w:vMerge/>
            <w:tcBorders>
              <w:left w:val="nil"/>
              <w:bottom w:val="single" w:sz="4" w:space="0" w:color="auto"/>
              <w:right w:val="nil"/>
            </w:tcBorders>
            <w:shd w:val="clear" w:color="auto" w:fill="auto"/>
            <w:vAlign w:val="center"/>
            <w:hideMark/>
          </w:tcPr>
          <w:p w14:paraId="4321B78E" w14:textId="77777777" w:rsidR="00E82D89" w:rsidRPr="00181464" w:rsidRDefault="00E82D89" w:rsidP="00E82D89">
            <w:pPr>
              <w:spacing w:after="0" w:line="240" w:lineRule="auto"/>
              <w:jc w:val="left"/>
              <w:rPr>
                <w:rFonts w:eastAsia="Times New Roman" w:cs="Times New Roman"/>
                <w:b/>
                <w:bCs/>
                <w:color w:val="FFFFFF"/>
                <w:sz w:val="18"/>
                <w:szCs w:val="18"/>
                <w:lang w:eastAsia="sk-SK"/>
              </w:rPr>
            </w:pPr>
          </w:p>
        </w:tc>
        <w:tc>
          <w:tcPr>
            <w:tcW w:w="461" w:type="pct"/>
            <w:tcBorders>
              <w:top w:val="nil"/>
              <w:left w:val="nil"/>
              <w:bottom w:val="single" w:sz="4" w:space="0" w:color="auto"/>
              <w:right w:val="nil"/>
            </w:tcBorders>
            <w:shd w:val="clear" w:color="auto" w:fill="auto"/>
            <w:vAlign w:val="center"/>
            <w:hideMark/>
          </w:tcPr>
          <w:p w14:paraId="7F8B9A66" w14:textId="77777777" w:rsidR="00E82D89" w:rsidRPr="00181464" w:rsidRDefault="00E82D89" w:rsidP="00E82D89">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1</w:t>
            </w:r>
          </w:p>
        </w:tc>
        <w:tc>
          <w:tcPr>
            <w:tcW w:w="461" w:type="pct"/>
            <w:tcBorders>
              <w:top w:val="nil"/>
              <w:left w:val="nil"/>
              <w:bottom w:val="single" w:sz="4" w:space="0" w:color="auto"/>
              <w:right w:val="nil"/>
            </w:tcBorders>
            <w:shd w:val="clear" w:color="auto" w:fill="auto"/>
            <w:vAlign w:val="center"/>
            <w:hideMark/>
          </w:tcPr>
          <w:p w14:paraId="29AF36C3" w14:textId="77777777" w:rsidR="00E82D89" w:rsidRPr="00181464" w:rsidRDefault="00E82D89" w:rsidP="00E82D89">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2</w:t>
            </w:r>
          </w:p>
        </w:tc>
        <w:tc>
          <w:tcPr>
            <w:tcW w:w="537" w:type="pct"/>
            <w:tcBorders>
              <w:top w:val="nil"/>
              <w:left w:val="nil"/>
              <w:bottom w:val="single" w:sz="4" w:space="0" w:color="auto"/>
              <w:right w:val="nil"/>
            </w:tcBorders>
            <w:shd w:val="clear" w:color="auto" w:fill="auto"/>
            <w:vAlign w:val="center"/>
            <w:hideMark/>
          </w:tcPr>
          <w:p w14:paraId="41D4AC7C" w14:textId="77777777" w:rsidR="00E82D89" w:rsidRPr="00181464" w:rsidRDefault="00E82D89" w:rsidP="00E82D89">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3</w:t>
            </w:r>
          </w:p>
        </w:tc>
        <w:tc>
          <w:tcPr>
            <w:tcW w:w="614" w:type="pct"/>
            <w:tcBorders>
              <w:top w:val="nil"/>
              <w:left w:val="nil"/>
              <w:bottom w:val="single" w:sz="4" w:space="0" w:color="auto"/>
              <w:right w:val="nil"/>
            </w:tcBorders>
            <w:shd w:val="clear" w:color="auto" w:fill="auto"/>
            <w:vAlign w:val="center"/>
            <w:hideMark/>
          </w:tcPr>
          <w:p w14:paraId="16E9DC21" w14:textId="77777777" w:rsidR="00E82D89" w:rsidRPr="00181464" w:rsidRDefault="00E82D89" w:rsidP="00E82D89">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4</w:t>
            </w:r>
          </w:p>
        </w:tc>
        <w:tc>
          <w:tcPr>
            <w:tcW w:w="518" w:type="pct"/>
            <w:gridSpan w:val="2"/>
            <w:tcBorders>
              <w:top w:val="nil"/>
              <w:left w:val="nil"/>
              <w:bottom w:val="single" w:sz="4" w:space="0" w:color="auto"/>
              <w:right w:val="nil"/>
            </w:tcBorders>
            <w:shd w:val="clear" w:color="auto" w:fill="auto"/>
            <w:vAlign w:val="center"/>
            <w:hideMark/>
          </w:tcPr>
          <w:p w14:paraId="24AE919E" w14:textId="77777777" w:rsidR="00E82D89" w:rsidRPr="00181464" w:rsidRDefault="00E82D89" w:rsidP="00E82D89">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5=4-3</w:t>
            </w:r>
          </w:p>
        </w:tc>
        <w:tc>
          <w:tcPr>
            <w:tcW w:w="403" w:type="pct"/>
            <w:tcBorders>
              <w:top w:val="nil"/>
              <w:left w:val="nil"/>
              <w:bottom w:val="single" w:sz="4" w:space="0" w:color="auto"/>
              <w:right w:val="nil"/>
            </w:tcBorders>
            <w:shd w:val="clear" w:color="auto" w:fill="auto"/>
            <w:vAlign w:val="center"/>
            <w:hideMark/>
          </w:tcPr>
          <w:p w14:paraId="581513A4" w14:textId="77777777" w:rsidR="00E82D89" w:rsidRPr="00181464" w:rsidRDefault="00E82D89" w:rsidP="00E82D89">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6=4-3</w:t>
            </w:r>
          </w:p>
        </w:tc>
        <w:tc>
          <w:tcPr>
            <w:tcW w:w="86" w:type="pct"/>
            <w:tcBorders>
              <w:top w:val="nil"/>
              <w:left w:val="nil"/>
              <w:bottom w:val="single" w:sz="4" w:space="0" w:color="auto"/>
              <w:right w:val="nil"/>
            </w:tcBorders>
            <w:shd w:val="clear" w:color="auto" w:fill="auto"/>
            <w:noWrap/>
            <w:vAlign w:val="bottom"/>
            <w:hideMark/>
          </w:tcPr>
          <w:p w14:paraId="3B9F7217" w14:textId="77777777" w:rsidR="00E82D89" w:rsidRPr="00181464" w:rsidRDefault="00E82D89" w:rsidP="00E82D89">
            <w:pPr>
              <w:spacing w:after="0" w:line="240" w:lineRule="auto"/>
              <w:jc w:val="center"/>
              <w:rPr>
                <w:rFonts w:eastAsia="Times New Roman" w:cs="Times New Roman"/>
                <w:b/>
                <w:bCs/>
                <w:sz w:val="18"/>
                <w:szCs w:val="18"/>
                <w:lang w:eastAsia="sk-SK"/>
              </w:rPr>
            </w:pPr>
          </w:p>
        </w:tc>
      </w:tr>
      <w:tr w:rsidR="00E82D89" w:rsidRPr="00181464" w14:paraId="1438973C" w14:textId="77777777" w:rsidTr="00E82D89">
        <w:trPr>
          <w:trHeight w:val="236"/>
        </w:trPr>
        <w:tc>
          <w:tcPr>
            <w:tcW w:w="1920" w:type="pct"/>
            <w:tcBorders>
              <w:top w:val="single" w:sz="4" w:space="0" w:color="auto"/>
              <w:left w:val="nil"/>
              <w:right w:val="nil"/>
            </w:tcBorders>
            <w:shd w:val="clear" w:color="000000" w:fill="FFFFFF"/>
            <w:vAlign w:val="center"/>
            <w:hideMark/>
          </w:tcPr>
          <w:p w14:paraId="6F01A096" w14:textId="77777777" w:rsidR="00E82D89" w:rsidRPr="00181464" w:rsidRDefault="00E82D89" w:rsidP="00E82D89">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Poľnohospodárske fondy 3. programové obdobie</w:t>
            </w:r>
          </w:p>
        </w:tc>
        <w:tc>
          <w:tcPr>
            <w:tcW w:w="461" w:type="pct"/>
            <w:tcBorders>
              <w:top w:val="single" w:sz="4" w:space="0" w:color="auto"/>
              <w:left w:val="nil"/>
              <w:right w:val="nil"/>
            </w:tcBorders>
            <w:shd w:val="clear" w:color="000000" w:fill="FFFFFF"/>
            <w:noWrap/>
            <w:vAlign w:val="center"/>
            <w:hideMark/>
          </w:tcPr>
          <w:p w14:paraId="2C7A8A10" w14:textId="63649E5E"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sz w:val="18"/>
                <w:szCs w:val="18"/>
              </w:rPr>
              <w:t>52 029</w:t>
            </w:r>
          </w:p>
        </w:tc>
        <w:tc>
          <w:tcPr>
            <w:tcW w:w="461" w:type="pct"/>
            <w:tcBorders>
              <w:top w:val="single" w:sz="4" w:space="0" w:color="auto"/>
              <w:left w:val="nil"/>
              <w:right w:val="nil"/>
            </w:tcBorders>
            <w:shd w:val="clear" w:color="000000" w:fill="FFFFFF"/>
            <w:noWrap/>
            <w:vAlign w:val="center"/>
            <w:hideMark/>
          </w:tcPr>
          <w:p w14:paraId="740F4D1E" w14:textId="2CC766C9"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sz w:val="18"/>
                <w:szCs w:val="18"/>
              </w:rPr>
              <w:t>68 342</w:t>
            </w:r>
          </w:p>
        </w:tc>
        <w:tc>
          <w:tcPr>
            <w:tcW w:w="537" w:type="pct"/>
            <w:tcBorders>
              <w:top w:val="single" w:sz="4" w:space="0" w:color="auto"/>
              <w:left w:val="nil"/>
              <w:right w:val="nil"/>
            </w:tcBorders>
            <w:shd w:val="clear" w:color="000000" w:fill="FFFFFF"/>
            <w:noWrap/>
            <w:vAlign w:val="center"/>
            <w:hideMark/>
          </w:tcPr>
          <w:p w14:paraId="0A0E78C7" w14:textId="4F71E5E4"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sz w:val="18"/>
                <w:szCs w:val="18"/>
              </w:rPr>
              <w:t>0</w:t>
            </w:r>
          </w:p>
        </w:tc>
        <w:tc>
          <w:tcPr>
            <w:tcW w:w="614" w:type="pct"/>
            <w:tcBorders>
              <w:top w:val="single" w:sz="4" w:space="0" w:color="auto"/>
              <w:left w:val="nil"/>
              <w:right w:val="nil"/>
            </w:tcBorders>
            <w:shd w:val="clear" w:color="000000" w:fill="FFFFFF"/>
            <w:noWrap/>
            <w:vAlign w:val="center"/>
            <w:hideMark/>
          </w:tcPr>
          <w:p w14:paraId="683C2DF3" w14:textId="49E0154E"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sz w:val="18"/>
                <w:szCs w:val="18"/>
              </w:rPr>
              <w:t>55 608</w:t>
            </w:r>
          </w:p>
        </w:tc>
        <w:tc>
          <w:tcPr>
            <w:tcW w:w="518" w:type="pct"/>
            <w:gridSpan w:val="2"/>
            <w:tcBorders>
              <w:top w:val="single" w:sz="4" w:space="0" w:color="auto"/>
              <w:left w:val="nil"/>
              <w:right w:val="nil"/>
            </w:tcBorders>
            <w:shd w:val="clear" w:color="000000" w:fill="FFFFFF"/>
            <w:noWrap/>
            <w:vAlign w:val="center"/>
            <w:hideMark/>
          </w:tcPr>
          <w:p w14:paraId="67BBC44D" w14:textId="35C54E2C"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sz w:val="18"/>
                <w:szCs w:val="18"/>
              </w:rPr>
              <w:t>55 608</w:t>
            </w:r>
          </w:p>
        </w:tc>
        <w:tc>
          <w:tcPr>
            <w:tcW w:w="403" w:type="pct"/>
            <w:tcBorders>
              <w:top w:val="single" w:sz="4" w:space="0" w:color="auto"/>
              <w:left w:val="nil"/>
              <w:right w:val="nil"/>
            </w:tcBorders>
            <w:shd w:val="clear" w:color="000000" w:fill="FFFFFF"/>
            <w:noWrap/>
            <w:vAlign w:val="center"/>
            <w:hideMark/>
          </w:tcPr>
          <w:p w14:paraId="2966B5EF" w14:textId="66CDCEFB"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sz w:val="18"/>
                <w:szCs w:val="18"/>
              </w:rPr>
              <w:t>-</w:t>
            </w:r>
          </w:p>
        </w:tc>
        <w:tc>
          <w:tcPr>
            <w:tcW w:w="86" w:type="pct"/>
            <w:tcBorders>
              <w:top w:val="single" w:sz="4" w:space="0" w:color="auto"/>
              <w:left w:val="nil"/>
              <w:right w:val="nil"/>
            </w:tcBorders>
            <w:shd w:val="clear" w:color="auto" w:fill="auto"/>
            <w:noWrap/>
            <w:vAlign w:val="bottom"/>
            <w:hideMark/>
          </w:tcPr>
          <w:p w14:paraId="645E643E" w14:textId="77777777" w:rsidR="00E82D89" w:rsidRPr="00181464" w:rsidRDefault="00E82D89" w:rsidP="00E82D89">
            <w:pPr>
              <w:spacing w:after="0" w:line="240" w:lineRule="auto"/>
              <w:jc w:val="right"/>
              <w:rPr>
                <w:rFonts w:eastAsia="Times New Roman" w:cs="Times New Roman"/>
                <w:color w:val="000000"/>
                <w:sz w:val="18"/>
                <w:szCs w:val="18"/>
                <w:lang w:eastAsia="sk-SK"/>
              </w:rPr>
            </w:pPr>
          </w:p>
        </w:tc>
      </w:tr>
      <w:tr w:rsidR="00E82D89" w:rsidRPr="00181464" w14:paraId="66837040" w14:textId="77777777" w:rsidTr="00E82D89">
        <w:trPr>
          <w:trHeight w:val="236"/>
        </w:trPr>
        <w:tc>
          <w:tcPr>
            <w:tcW w:w="1920" w:type="pct"/>
            <w:tcBorders>
              <w:left w:val="nil"/>
              <w:bottom w:val="nil"/>
              <w:right w:val="nil"/>
            </w:tcBorders>
            <w:shd w:val="clear" w:color="000000" w:fill="FFFFFF"/>
            <w:vAlign w:val="center"/>
          </w:tcPr>
          <w:p w14:paraId="5A0EA42C" w14:textId="77777777" w:rsidR="00E82D89" w:rsidRPr="00181464" w:rsidRDefault="00E82D89" w:rsidP="00E82D89">
            <w:pPr>
              <w:spacing w:after="0" w:line="240" w:lineRule="auto"/>
              <w:jc w:val="left"/>
              <w:rPr>
                <w:rFonts w:eastAsia="Times New Roman" w:cs="Times New Roman"/>
                <w:color w:val="000000"/>
                <w:sz w:val="18"/>
                <w:szCs w:val="18"/>
                <w:lang w:eastAsia="sk-SK"/>
              </w:rPr>
            </w:pPr>
            <w:r w:rsidRPr="00181464">
              <w:rPr>
                <w:rFonts w:cs="Times New Roman"/>
                <w:sz w:val="18"/>
                <w:szCs w:val="18"/>
              </w:rPr>
              <w:t>Poľnohospodárske fondy 4. programové obdobie</w:t>
            </w:r>
          </w:p>
        </w:tc>
        <w:tc>
          <w:tcPr>
            <w:tcW w:w="461" w:type="pct"/>
            <w:tcBorders>
              <w:left w:val="nil"/>
              <w:bottom w:val="nil"/>
              <w:right w:val="nil"/>
            </w:tcBorders>
            <w:shd w:val="clear" w:color="000000" w:fill="FFFFFF"/>
            <w:noWrap/>
            <w:vAlign w:val="center"/>
          </w:tcPr>
          <w:p w14:paraId="7EBD21D8" w14:textId="56911BA4" w:rsidR="00E82D89" w:rsidRPr="00181464" w:rsidRDefault="00E82D89" w:rsidP="00E82D89">
            <w:pPr>
              <w:spacing w:after="0" w:line="240" w:lineRule="auto"/>
              <w:jc w:val="right"/>
              <w:rPr>
                <w:rFonts w:cs="Times New Roman"/>
                <w:sz w:val="18"/>
                <w:szCs w:val="18"/>
              </w:rPr>
            </w:pPr>
            <w:r w:rsidRPr="00181464">
              <w:rPr>
                <w:color w:val="000000"/>
                <w:sz w:val="18"/>
                <w:szCs w:val="18"/>
              </w:rPr>
              <w:t>0</w:t>
            </w:r>
          </w:p>
        </w:tc>
        <w:tc>
          <w:tcPr>
            <w:tcW w:w="461" w:type="pct"/>
            <w:tcBorders>
              <w:left w:val="nil"/>
              <w:bottom w:val="nil"/>
              <w:right w:val="nil"/>
            </w:tcBorders>
            <w:shd w:val="clear" w:color="000000" w:fill="FFFFFF"/>
            <w:noWrap/>
            <w:vAlign w:val="center"/>
          </w:tcPr>
          <w:p w14:paraId="38C850F5" w14:textId="45E2D96F" w:rsidR="00E82D89" w:rsidRPr="00181464" w:rsidRDefault="00E82D89" w:rsidP="00E82D89">
            <w:pPr>
              <w:spacing w:after="0" w:line="240" w:lineRule="auto"/>
              <w:jc w:val="right"/>
              <w:rPr>
                <w:rFonts w:cs="Times New Roman"/>
                <w:sz w:val="18"/>
                <w:szCs w:val="18"/>
              </w:rPr>
            </w:pPr>
            <w:r w:rsidRPr="00181464">
              <w:rPr>
                <w:color w:val="000000"/>
                <w:sz w:val="18"/>
                <w:szCs w:val="18"/>
              </w:rPr>
              <w:t>0</w:t>
            </w:r>
          </w:p>
        </w:tc>
        <w:tc>
          <w:tcPr>
            <w:tcW w:w="537" w:type="pct"/>
            <w:tcBorders>
              <w:left w:val="nil"/>
              <w:bottom w:val="nil"/>
              <w:right w:val="nil"/>
            </w:tcBorders>
            <w:shd w:val="clear" w:color="000000" w:fill="FFFFFF"/>
            <w:noWrap/>
            <w:vAlign w:val="center"/>
          </w:tcPr>
          <w:p w14:paraId="77D699A6" w14:textId="17A1D17D" w:rsidR="00E82D89" w:rsidRPr="00181464" w:rsidRDefault="00E82D89" w:rsidP="00E82D89">
            <w:pPr>
              <w:spacing w:after="0" w:line="240" w:lineRule="auto"/>
              <w:jc w:val="right"/>
              <w:rPr>
                <w:rFonts w:cs="Times New Roman"/>
                <w:sz w:val="18"/>
                <w:szCs w:val="18"/>
              </w:rPr>
            </w:pPr>
            <w:r w:rsidRPr="00181464">
              <w:rPr>
                <w:color w:val="000000"/>
                <w:sz w:val="18"/>
                <w:szCs w:val="18"/>
              </w:rPr>
              <w:t>122 799</w:t>
            </w:r>
          </w:p>
        </w:tc>
        <w:tc>
          <w:tcPr>
            <w:tcW w:w="614" w:type="pct"/>
            <w:tcBorders>
              <w:left w:val="nil"/>
              <w:bottom w:val="nil"/>
              <w:right w:val="nil"/>
            </w:tcBorders>
            <w:shd w:val="clear" w:color="000000" w:fill="FFFFFF"/>
            <w:noWrap/>
            <w:vAlign w:val="center"/>
          </w:tcPr>
          <w:p w14:paraId="7ED15C8D" w14:textId="1838D7BF" w:rsidR="00E82D89" w:rsidRPr="00181464" w:rsidRDefault="00E82D89" w:rsidP="00E82D89">
            <w:pPr>
              <w:spacing w:after="0" w:line="240" w:lineRule="auto"/>
              <w:jc w:val="right"/>
              <w:rPr>
                <w:rFonts w:cs="Times New Roman"/>
                <w:sz w:val="18"/>
                <w:szCs w:val="18"/>
              </w:rPr>
            </w:pPr>
            <w:r w:rsidRPr="00181464">
              <w:rPr>
                <w:color w:val="000000"/>
                <w:sz w:val="18"/>
                <w:szCs w:val="18"/>
              </w:rPr>
              <w:t>38 748</w:t>
            </w:r>
          </w:p>
        </w:tc>
        <w:tc>
          <w:tcPr>
            <w:tcW w:w="518" w:type="pct"/>
            <w:gridSpan w:val="2"/>
            <w:tcBorders>
              <w:left w:val="nil"/>
              <w:bottom w:val="nil"/>
              <w:right w:val="nil"/>
            </w:tcBorders>
            <w:shd w:val="clear" w:color="000000" w:fill="FFFFFF"/>
            <w:noWrap/>
            <w:vAlign w:val="center"/>
          </w:tcPr>
          <w:p w14:paraId="40D8991D" w14:textId="01595635" w:rsidR="00E82D89" w:rsidRPr="00181464" w:rsidRDefault="00E82D89" w:rsidP="00E82D89">
            <w:pPr>
              <w:spacing w:after="0" w:line="240" w:lineRule="auto"/>
              <w:jc w:val="right"/>
              <w:rPr>
                <w:rFonts w:cs="Times New Roman"/>
                <w:sz w:val="18"/>
                <w:szCs w:val="18"/>
              </w:rPr>
            </w:pPr>
            <w:r w:rsidRPr="00181464">
              <w:rPr>
                <w:color w:val="000000"/>
                <w:sz w:val="18"/>
                <w:szCs w:val="18"/>
              </w:rPr>
              <w:t>-84 051</w:t>
            </w:r>
          </w:p>
        </w:tc>
        <w:tc>
          <w:tcPr>
            <w:tcW w:w="403" w:type="pct"/>
            <w:tcBorders>
              <w:left w:val="nil"/>
              <w:bottom w:val="nil"/>
              <w:right w:val="nil"/>
            </w:tcBorders>
            <w:shd w:val="clear" w:color="000000" w:fill="FFFFFF"/>
            <w:noWrap/>
            <w:vAlign w:val="center"/>
          </w:tcPr>
          <w:p w14:paraId="5076CC2B" w14:textId="32017652" w:rsidR="00E82D89" w:rsidRPr="00181464" w:rsidRDefault="00E82D89" w:rsidP="00E82D89">
            <w:pPr>
              <w:spacing w:after="0" w:line="240" w:lineRule="auto"/>
              <w:jc w:val="right"/>
              <w:rPr>
                <w:rFonts w:cs="Times New Roman"/>
                <w:sz w:val="18"/>
                <w:szCs w:val="18"/>
              </w:rPr>
            </w:pPr>
            <w:r w:rsidRPr="00181464">
              <w:rPr>
                <w:color w:val="000000"/>
                <w:sz w:val="18"/>
                <w:szCs w:val="18"/>
              </w:rPr>
              <w:t>-68,4</w:t>
            </w:r>
          </w:p>
        </w:tc>
        <w:tc>
          <w:tcPr>
            <w:tcW w:w="86" w:type="pct"/>
            <w:tcBorders>
              <w:left w:val="nil"/>
              <w:bottom w:val="nil"/>
              <w:right w:val="nil"/>
            </w:tcBorders>
            <w:shd w:val="clear" w:color="auto" w:fill="auto"/>
            <w:noWrap/>
            <w:vAlign w:val="bottom"/>
          </w:tcPr>
          <w:p w14:paraId="78837744" w14:textId="77777777" w:rsidR="00E82D89" w:rsidRPr="00181464" w:rsidRDefault="00E82D89" w:rsidP="00E82D89">
            <w:pPr>
              <w:spacing w:after="0" w:line="240" w:lineRule="auto"/>
              <w:jc w:val="right"/>
              <w:rPr>
                <w:rFonts w:eastAsia="Times New Roman" w:cs="Times New Roman"/>
                <w:color w:val="000000"/>
                <w:sz w:val="18"/>
                <w:szCs w:val="18"/>
                <w:lang w:eastAsia="sk-SK"/>
              </w:rPr>
            </w:pPr>
          </w:p>
        </w:tc>
      </w:tr>
      <w:tr w:rsidR="00E82D89" w:rsidRPr="00181464" w14:paraId="1C5F573F" w14:textId="77777777" w:rsidTr="00E82D89">
        <w:trPr>
          <w:trHeight w:val="236"/>
        </w:trPr>
        <w:tc>
          <w:tcPr>
            <w:tcW w:w="1920" w:type="pct"/>
            <w:tcBorders>
              <w:top w:val="nil"/>
              <w:left w:val="nil"/>
              <w:bottom w:val="nil"/>
              <w:right w:val="nil"/>
            </w:tcBorders>
            <w:shd w:val="clear" w:color="000000" w:fill="FFFFFF"/>
            <w:vAlign w:val="center"/>
            <w:hideMark/>
          </w:tcPr>
          <w:p w14:paraId="5B762D87" w14:textId="77777777" w:rsidR="00E82D89" w:rsidRPr="00181464" w:rsidRDefault="00E82D89" w:rsidP="00E82D89">
            <w:pPr>
              <w:spacing w:after="0" w:line="240" w:lineRule="auto"/>
              <w:jc w:val="lef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Poľnohospodárske fondy spolu - MPRV SR</w:t>
            </w:r>
          </w:p>
        </w:tc>
        <w:tc>
          <w:tcPr>
            <w:tcW w:w="461" w:type="pct"/>
            <w:tcBorders>
              <w:top w:val="nil"/>
              <w:left w:val="nil"/>
              <w:bottom w:val="nil"/>
              <w:right w:val="nil"/>
            </w:tcBorders>
            <w:shd w:val="clear" w:color="000000" w:fill="FFFFFF"/>
            <w:noWrap/>
            <w:vAlign w:val="center"/>
            <w:hideMark/>
          </w:tcPr>
          <w:p w14:paraId="5FBD6B8F" w14:textId="0D8EA841"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52 029</w:t>
            </w:r>
          </w:p>
        </w:tc>
        <w:tc>
          <w:tcPr>
            <w:tcW w:w="461" w:type="pct"/>
            <w:tcBorders>
              <w:top w:val="nil"/>
              <w:left w:val="nil"/>
              <w:bottom w:val="nil"/>
              <w:right w:val="nil"/>
            </w:tcBorders>
            <w:shd w:val="clear" w:color="000000" w:fill="FFFFFF"/>
            <w:noWrap/>
            <w:vAlign w:val="center"/>
            <w:hideMark/>
          </w:tcPr>
          <w:p w14:paraId="00D42CC9" w14:textId="150A4469"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68 342</w:t>
            </w:r>
          </w:p>
        </w:tc>
        <w:tc>
          <w:tcPr>
            <w:tcW w:w="537" w:type="pct"/>
            <w:tcBorders>
              <w:top w:val="nil"/>
              <w:left w:val="nil"/>
              <w:bottom w:val="nil"/>
              <w:right w:val="nil"/>
            </w:tcBorders>
            <w:shd w:val="clear" w:color="000000" w:fill="FFFFFF"/>
            <w:noWrap/>
            <w:vAlign w:val="center"/>
            <w:hideMark/>
          </w:tcPr>
          <w:p w14:paraId="66C6DAB5" w14:textId="04BFFF36"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122 799</w:t>
            </w:r>
          </w:p>
        </w:tc>
        <w:tc>
          <w:tcPr>
            <w:tcW w:w="614" w:type="pct"/>
            <w:tcBorders>
              <w:top w:val="nil"/>
              <w:left w:val="nil"/>
              <w:bottom w:val="nil"/>
              <w:right w:val="nil"/>
            </w:tcBorders>
            <w:shd w:val="clear" w:color="000000" w:fill="FFFFFF"/>
            <w:noWrap/>
            <w:vAlign w:val="center"/>
            <w:hideMark/>
          </w:tcPr>
          <w:p w14:paraId="75C13ABA" w14:textId="4118F388"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94 356</w:t>
            </w:r>
          </w:p>
        </w:tc>
        <w:tc>
          <w:tcPr>
            <w:tcW w:w="518" w:type="pct"/>
            <w:gridSpan w:val="2"/>
            <w:tcBorders>
              <w:top w:val="nil"/>
              <w:left w:val="nil"/>
              <w:bottom w:val="nil"/>
              <w:right w:val="nil"/>
            </w:tcBorders>
            <w:shd w:val="clear" w:color="000000" w:fill="FFFFFF"/>
            <w:noWrap/>
            <w:vAlign w:val="center"/>
            <w:hideMark/>
          </w:tcPr>
          <w:p w14:paraId="10F6E93C" w14:textId="3941C40F"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-28 443</w:t>
            </w:r>
          </w:p>
        </w:tc>
        <w:tc>
          <w:tcPr>
            <w:tcW w:w="403" w:type="pct"/>
            <w:tcBorders>
              <w:top w:val="nil"/>
              <w:left w:val="nil"/>
              <w:bottom w:val="nil"/>
              <w:right w:val="nil"/>
            </w:tcBorders>
            <w:shd w:val="clear" w:color="000000" w:fill="FFFFFF"/>
            <w:noWrap/>
            <w:vAlign w:val="center"/>
            <w:hideMark/>
          </w:tcPr>
          <w:p w14:paraId="6B5E596B" w14:textId="6CE2D311"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-23,2</w:t>
            </w:r>
          </w:p>
        </w:tc>
        <w:tc>
          <w:tcPr>
            <w:tcW w:w="86" w:type="pct"/>
            <w:tcBorders>
              <w:top w:val="nil"/>
              <w:left w:val="nil"/>
              <w:bottom w:val="nil"/>
              <w:right w:val="nil"/>
            </w:tcBorders>
            <w:shd w:val="clear" w:color="auto" w:fill="auto"/>
            <w:noWrap/>
            <w:vAlign w:val="bottom"/>
            <w:hideMark/>
          </w:tcPr>
          <w:p w14:paraId="1D9947AC" w14:textId="77777777" w:rsidR="00E82D89" w:rsidRPr="00181464" w:rsidRDefault="00E82D89" w:rsidP="00E82D89">
            <w:pPr>
              <w:spacing w:after="0" w:line="240" w:lineRule="auto"/>
              <w:jc w:val="right"/>
              <w:rPr>
                <w:rFonts w:eastAsia="Times New Roman" w:cs="Times New Roman"/>
                <w:b/>
                <w:bCs/>
                <w:color w:val="000000"/>
                <w:sz w:val="18"/>
                <w:szCs w:val="18"/>
                <w:lang w:eastAsia="sk-SK"/>
              </w:rPr>
            </w:pPr>
          </w:p>
        </w:tc>
      </w:tr>
      <w:tr w:rsidR="00E82D89" w:rsidRPr="00181464" w14:paraId="2A6C5EAF" w14:textId="77777777" w:rsidTr="00E82D89">
        <w:trPr>
          <w:trHeight w:val="366"/>
        </w:trPr>
        <w:tc>
          <w:tcPr>
            <w:tcW w:w="1920" w:type="pct"/>
            <w:tcBorders>
              <w:top w:val="nil"/>
              <w:left w:val="nil"/>
              <w:bottom w:val="nil"/>
              <w:right w:val="nil"/>
            </w:tcBorders>
            <w:shd w:val="clear" w:color="000000" w:fill="FFFFFF"/>
            <w:vAlign w:val="center"/>
            <w:hideMark/>
          </w:tcPr>
          <w:p w14:paraId="10A2C37D" w14:textId="77777777" w:rsidR="00E82D89" w:rsidRPr="00181464" w:rsidRDefault="00E82D89" w:rsidP="00E82D89">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 xml:space="preserve">Štrukturálne fondy, Kohézny fond, Európsky fond pre rybné hospodárstvo 2. programové obdobie </w:t>
            </w:r>
          </w:p>
        </w:tc>
        <w:tc>
          <w:tcPr>
            <w:tcW w:w="461" w:type="pct"/>
            <w:tcBorders>
              <w:top w:val="nil"/>
              <w:left w:val="nil"/>
              <w:bottom w:val="nil"/>
              <w:right w:val="nil"/>
            </w:tcBorders>
            <w:shd w:val="clear" w:color="000000" w:fill="FFFFFF"/>
            <w:noWrap/>
            <w:vAlign w:val="center"/>
            <w:hideMark/>
          </w:tcPr>
          <w:p w14:paraId="4F323D58" w14:textId="2EA012D6"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0</w:t>
            </w:r>
          </w:p>
        </w:tc>
        <w:tc>
          <w:tcPr>
            <w:tcW w:w="461" w:type="pct"/>
            <w:tcBorders>
              <w:top w:val="nil"/>
              <w:left w:val="nil"/>
              <w:bottom w:val="nil"/>
              <w:right w:val="nil"/>
            </w:tcBorders>
            <w:shd w:val="clear" w:color="000000" w:fill="FFFFFF"/>
            <w:noWrap/>
            <w:vAlign w:val="center"/>
            <w:hideMark/>
          </w:tcPr>
          <w:p w14:paraId="556835E1" w14:textId="57947D3F"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0</w:t>
            </w:r>
          </w:p>
        </w:tc>
        <w:tc>
          <w:tcPr>
            <w:tcW w:w="537" w:type="pct"/>
            <w:tcBorders>
              <w:top w:val="nil"/>
              <w:left w:val="nil"/>
              <w:bottom w:val="nil"/>
              <w:right w:val="nil"/>
            </w:tcBorders>
            <w:shd w:val="clear" w:color="000000" w:fill="FFFFFF"/>
            <w:noWrap/>
            <w:vAlign w:val="center"/>
            <w:hideMark/>
          </w:tcPr>
          <w:p w14:paraId="19E7DB92" w14:textId="69560A25"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0</w:t>
            </w:r>
          </w:p>
        </w:tc>
        <w:tc>
          <w:tcPr>
            <w:tcW w:w="614" w:type="pct"/>
            <w:tcBorders>
              <w:top w:val="nil"/>
              <w:left w:val="nil"/>
              <w:bottom w:val="nil"/>
              <w:right w:val="nil"/>
            </w:tcBorders>
            <w:shd w:val="clear" w:color="auto" w:fill="auto"/>
            <w:noWrap/>
            <w:vAlign w:val="center"/>
            <w:hideMark/>
          </w:tcPr>
          <w:p w14:paraId="6EDF39EA" w14:textId="5D521434"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0</w:t>
            </w:r>
          </w:p>
        </w:tc>
        <w:tc>
          <w:tcPr>
            <w:tcW w:w="518" w:type="pct"/>
            <w:gridSpan w:val="2"/>
            <w:tcBorders>
              <w:top w:val="nil"/>
              <w:left w:val="nil"/>
              <w:bottom w:val="nil"/>
              <w:right w:val="nil"/>
            </w:tcBorders>
            <w:shd w:val="clear" w:color="000000" w:fill="FFFFFF"/>
            <w:noWrap/>
            <w:vAlign w:val="center"/>
            <w:hideMark/>
          </w:tcPr>
          <w:p w14:paraId="04BDC9F6" w14:textId="4F32BD34"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0</w:t>
            </w:r>
          </w:p>
        </w:tc>
        <w:tc>
          <w:tcPr>
            <w:tcW w:w="403" w:type="pct"/>
            <w:tcBorders>
              <w:top w:val="nil"/>
              <w:left w:val="nil"/>
              <w:bottom w:val="nil"/>
              <w:right w:val="nil"/>
            </w:tcBorders>
            <w:shd w:val="clear" w:color="000000" w:fill="FFFFFF"/>
            <w:noWrap/>
            <w:vAlign w:val="center"/>
            <w:hideMark/>
          </w:tcPr>
          <w:p w14:paraId="7FF990E5" w14:textId="2BC13531"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w:t>
            </w:r>
          </w:p>
        </w:tc>
        <w:tc>
          <w:tcPr>
            <w:tcW w:w="86" w:type="pct"/>
            <w:tcBorders>
              <w:top w:val="nil"/>
              <w:left w:val="nil"/>
              <w:bottom w:val="nil"/>
              <w:right w:val="nil"/>
            </w:tcBorders>
            <w:shd w:val="clear" w:color="auto" w:fill="auto"/>
            <w:noWrap/>
            <w:vAlign w:val="bottom"/>
            <w:hideMark/>
          </w:tcPr>
          <w:p w14:paraId="243899AE" w14:textId="77777777" w:rsidR="00E82D89" w:rsidRPr="00181464" w:rsidRDefault="00E82D89" w:rsidP="00E82D89">
            <w:pPr>
              <w:spacing w:after="0" w:line="240" w:lineRule="auto"/>
              <w:jc w:val="right"/>
              <w:rPr>
                <w:rFonts w:eastAsia="Times New Roman" w:cs="Times New Roman"/>
                <w:color w:val="000000"/>
                <w:sz w:val="18"/>
                <w:szCs w:val="18"/>
                <w:lang w:eastAsia="sk-SK"/>
              </w:rPr>
            </w:pPr>
          </w:p>
        </w:tc>
      </w:tr>
      <w:tr w:rsidR="00E82D89" w:rsidRPr="00181464" w14:paraId="3A5F8CA1" w14:textId="77777777" w:rsidTr="00E82D89">
        <w:trPr>
          <w:trHeight w:val="366"/>
        </w:trPr>
        <w:tc>
          <w:tcPr>
            <w:tcW w:w="1920" w:type="pct"/>
            <w:tcBorders>
              <w:top w:val="nil"/>
              <w:left w:val="nil"/>
              <w:bottom w:val="nil"/>
              <w:right w:val="nil"/>
            </w:tcBorders>
            <w:shd w:val="clear" w:color="000000" w:fill="FFFFFF"/>
            <w:vAlign w:val="center"/>
            <w:hideMark/>
          </w:tcPr>
          <w:p w14:paraId="1A793B70" w14:textId="77777777" w:rsidR="00E82D89" w:rsidRPr="00181464" w:rsidRDefault="00E82D89" w:rsidP="00E82D89">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 xml:space="preserve">Štrukturálne fondy, Kohézny fond, Európsky námorný a rybársky fond 3. programové obdobie </w:t>
            </w:r>
          </w:p>
        </w:tc>
        <w:tc>
          <w:tcPr>
            <w:tcW w:w="461" w:type="pct"/>
            <w:tcBorders>
              <w:top w:val="nil"/>
              <w:left w:val="nil"/>
              <w:bottom w:val="nil"/>
              <w:right w:val="nil"/>
            </w:tcBorders>
            <w:shd w:val="clear" w:color="000000" w:fill="FFFFFF"/>
            <w:noWrap/>
            <w:vAlign w:val="center"/>
            <w:hideMark/>
          </w:tcPr>
          <w:p w14:paraId="37EA05B0" w14:textId="7611433C"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317 755</w:t>
            </w:r>
          </w:p>
        </w:tc>
        <w:tc>
          <w:tcPr>
            <w:tcW w:w="461" w:type="pct"/>
            <w:tcBorders>
              <w:top w:val="nil"/>
              <w:left w:val="nil"/>
              <w:bottom w:val="nil"/>
              <w:right w:val="nil"/>
            </w:tcBorders>
            <w:shd w:val="clear" w:color="000000" w:fill="FFFFFF"/>
            <w:noWrap/>
            <w:vAlign w:val="center"/>
            <w:hideMark/>
          </w:tcPr>
          <w:p w14:paraId="27E90E26" w14:textId="25BFA75E"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326 225</w:t>
            </w:r>
          </w:p>
        </w:tc>
        <w:tc>
          <w:tcPr>
            <w:tcW w:w="537" w:type="pct"/>
            <w:tcBorders>
              <w:top w:val="nil"/>
              <w:left w:val="nil"/>
              <w:bottom w:val="nil"/>
              <w:right w:val="nil"/>
            </w:tcBorders>
            <w:shd w:val="clear" w:color="000000" w:fill="FFFFFF"/>
            <w:noWrap/>
            <w:vAlign w:val="center"/>
            <w:hideMark/>
          </w:tcPr>
          <w:p w14:paraId="32D0A025" w14:textId="2C99E056"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483 689</w:t>
            </w:r>
          </w:p>
        </w:tc>
        <w:tc>
          <w:tcPr>
            <w:tcW w:w="614" w:type="pct"/>
            <w:tcBorders>
              <w:top w:val="nil"/>
              <w:left w:val="nil"/>
              <w:bottom w:val="nil"/>
              <w:right w:val="nil"/>
            </w:tcBorders>
            <w:shd w:val="clear" w:color="000000" w:fill="FFFFFF"/>
            <w:noWrap/>
            <w:vAlign w:val="center"/>
            <w:hideMark/>
          </w:tcPr>
          <w:p w14:paraId="089C8B34" w14:textId="02277D25"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620 107</w:t>
            </w:r>
          </w:p>
        </w:tc>
        <w:tc>
          <w:tcPr>
            <w:tcW w:w="518" w:type="pct"/>
            <w:gridSpan w:val="2"/>
            <w:tcBorders>
              <w:top w:val="nil"/>
              <w:left w:val="nil"/>
              <w:bottom w:val="nil"/>
              <w:right w:val="nil"/>
            </w:tcBorders>
            <w:shd w:val="clear" w:color="000000" w:fill="FFFFFF"/>
            <w:noWrap/>
            <w:vAlign w:val="center"/>
            <w:hideMark/>
          </w:tcPr>
          <w:p w14:paraId="7895029C" w14:textId="40FB57CC"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136 418</w:t>
            </w:r>
          </w:p>
        </w:tc>
        <w:tc>
          <w:tcPr>
            <w:tcW w:w="403" w:type="pct"/>
            <w:tcBorders>
              <w:top w:val="nil"/>
              <w:left w:val="nil"/>
              <w:bottom w:val="nil"/>
              <w:right w:val="nil"/>
            </w:tcBorders>
            <w:shd w:val="clear" w:color="000000" w:fill="FFFFFF"/>
            <w:noWrap/>
            <w:vAlign w:val="center"/>
            <w:hideMark/>
          </w:tcPr>
          <w:p w14:paraId="079207C5" w14:textId="67B67D9B"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28,2</w:t>
            </w:r>
          </w:p>
        </w:tc>
        <w:tc>
          <w:tcPr>
            <w:tcW w:w="86" w:type="pct"/>
            <w:tcBorders>
              <w:top w:val="nil"/>
              <w:left w:val="nil"/>
              <w:bottom w:val="nil"/>
              <w:right w:val="nil"/>
            </w:tcBorders>
            <w:shd w:val="clear" w:color="auto" w:fill="auto"/>
            <w:noWrap/>
            <w:vAlign w:val="bottom"/>
            <w:hideMark/>
          </w:tcPr>
          <w:p w14:paraId="0840D607" w14:textId="77777777" w:rsidR="00E82D89" w:rsidRPr="00181464" w:rsidRDefault="00E82D89" w:rsidP="00E82D89">
            <w:pPr>
              <w:spacing w:after="0" w:line="240" w:lineRule="auto"/>
              <w:jc w:val="right"/>
              <w:rPr>
                <w:rFonts w:eastAsia="Times New Roman" w:cs="Times New Roman"/>
                <w:color w:val="000000"/>
                <w:sz w:val="18"/>
                <w:szCs w:val="18"/>
                <w:lang w:eastAsia="sk-SK"/>
              </w:rPr>
            </w:pPr>
          </w:p>
        </w:tc>
      </w:tr>
      <w:tr w:rsidR="00E82D89" w:rsidRPr="00181464" w14:paraId="4041E606" w14:textId="77777777" w:rsidTr="00E82D89">
        <w:trPr>
          <w:trHeight w:val="366"/>
        </w:trPr>
        <w:tc>
          <w:tcPr>
            <w:tcW w:w="1920" w:type="pct"/>
            <w:tcBorders>
              <w:top w:val="nil"/>
              <w:left w:val="nil"/>
              <w:bottom w:val="nil"/>
              <w:right w:val="nil"/>
            </w:tcBorders>
            <w:shd w:val="clear" w:color="000000" w:fill="FFFFFF"/>
            <w:vAlign w:val="center"/>
          </w:tcPr>
          <w:p w14:paraId="7EA2DE44" w14:textId="77777777" w:rsidR="00E82D89" w:rsidRPr="00181464" w:rsidRDefault="00E82D89" w:rsidP="00E82D89">
            <w:pPr>
              <w:spacing w:after="0" w:line="240" w:lineRule="auto"/>
              <w:jc w:val="left"/>
              <w:rPr>
                <w:rFonts w:eastAsia="Times New Roman" w:cs="Times New Roman"/>
                <w:color w:val="000000"/>
                <w:sz w:val="18"/>
                <w:szCs w:val="18"/>
                <w:lang w:eastAsia="sk-SK"/>
              </w:rPr>
            </w:pPr>
            <w:r w:rsidRPr="00181464">
              <w:rPr>
                <w:rFonts w:cs="Times New Roman"/>
                <w:sz w:val="18"/>
                <w:szCs w:val="18"/>
              </w:rPr>
              <w:lastRenderedPageBreak/>
              <w:t>Program Slovensko a Európsky námorný, rybolovný a </w:t>
            </w:r>
            <w:proofErr w:type="spellStart"/>
            <w:r w:rsidRPr="00181464">
              <w:rPr>
                <w:rFonts w:cs="Times New Roman"/>
                <w:sz w:val="18"/>
                <w:szCs w:val="18"/>
              </w:rPr>
              <w:t>akvakultúrny</w:t>
            </w:r>
            <w:proofErr w:type="spellEnd"/>
            <w:r w:rsidRPr="00181464">
              <w:rPr>
                <w:rFonts w:cs="Times New Roman"/>
                <w:sz w:val="18"/>
                <w:szCs w:val="18"/>
              </w:rPr>
              <w:t xml:space="preserve"> fond 4. programové obdobie</w:t>
            </w:r>
          </w:p>
        </w:tc>
        <w:tc>
          <w:tcPr>
            <w:tcW w:w="461" w:type="pct"/>
            <w:tcBorders>
              <w:top w:val="nil"/>
              <w:left w:val="nil"/>
              <w:bottom w:val="nil"/>
              <w:right w:val="nil"/>
            </w:tcBorders>
            <w:shd w:val="clear" w:color="000000" w:fill="FFFFFF"/>
            <w:noWrap/>
            <w:vAlign w:val="center"/>
          </w:tcPr>
          <w:p w14:paraId="4935D87B" w14:textId="3F889787" w:rsidR="00E82D89" w:rsidRPr="00181464" w:rsidRDefault="00E82D89" w:rsidP="00E82D89">
            <w:pPr>
              <w:spacing w:after="0" w:line="240" w:lineRule="auto"/>
              <w:jc w:val="right"/>
              <w:rPr>
                <w:rFonts w:cs="Times New Roman"/>
                <w:sz w:val="18"/>
                <w:szCs w:val="18"/>
              </w:rPr>
            </w:pPr>
            <w:r w:rsidRPr="00181464">
              <w:rPr>
                <w:color w:val="000000"/>
                <w:sz w:val="18"/>
                <w:szCs w:val="18"/>
              </w:rPr>
              <w:t>0</w:t>
            </w:r>
          </w:p>
        </w:tc>
        <w:tc>
          <w:tcPr>
            <w:tcW w:w="461" w:type="pct"/>
            <w:tcBorders>
              <w:top w:val="nil"/>
              <w:left w:val="nil"/>
              <w:bottom w:val="nil"/>
              <w:right w:val="nil"/>
            </w:tcBorders>
            <w:shd w:val="clear" w:color="000000" w:fill="FFFFFF"/>
            <w:noWrap/>
            <w:vAlign w:val="center"/>
          </w:tcPr>
          <w:p w14:paraId="31BEB13D" w14:textId="3F831E31" w:rsidR="00E82D89" w:rsidRPr="00181464" w:rsidRDefault="00E82D89" w:rsidP="00E82D89">
            <w:pPr>
              <w:spacing w:after="0" w:line="240" w:lineRule="auto"/>
              <w:jc w:val="right"/>
              <w:rPr>
                <w:rFonts w:cs="Times New Roman"/>
                <w:sz w:val="18"/>
                <w:szCs w:val="18"/>
              </w:rPr>
            </w:pPr>
            <w:r w:rsidRPr="00181464">
              <w:rPr>
                <w:color w:val="000000"/>
                <w:sz w:val="18"/>
                <w:szCs w:val="18"/>
              </w:rPr>
              <w:t>0</w:t>
            </w:r>
          </w:p>
        </w:tc>
        <w:tc>
          <w:tcPr>
            <w:tcW w:w="537" w:type="pct"/>
            <w:tcBorders>
              <w:top w:val="nil"/>
              <w:left w:val="nil"/>
              <w:bottom w:val="nil"/>
              <w:right w:val="nil"/>
            </w:tcBorders>
            <w:shd w:val="clear" w:color="000000" w:fill="FFFFFF"/>
            <w:noWrap/>
            <w:vAlign w:val="center"/>
          </w:tcPr>
          <w:p w14:paraId="7BA240BB" w14:textId="7C80CFC4" w:rsidR="00E82D89" w:rsidRPr="00181464" w:rsidRDefault="00E82D89" w:rsidP="00E82D89">
            <w:pPr>
              <w:spacing w:after="0" w:line="240" w:lineRule="auto"/>
              <w:jc w:val="right"/>
              <w:rPr>
                <w:rFonts w:cs="Times New Roman"/>
                <w:sz w:val="18"/>
                <w:szCs w:val="18"/>
              </w:rPr>
            </w:pPr>
            <w:r w:rsidRPr="00181464">
              <w:rPr>
                <w:color w:val="000000"/>
                <w:sz w:val="18"/>
                <w:szCs w:val="18"/>
              </w:rPr>
              <w:t>257 096</w:t>
            </w:r>
          </w:p>
        </w:tc>
        <w:tc>
          <w:tcPr>
            <w:tcW w:w="614" w:type="pct"/>
            <w:tcBorders>
              <w:top w:val="nil"/>
              <w:left w:val="nil"/>
              <w:bottom w:val="nil"/>
              <w:right w:val="nil"/>
            </w:tcBorders>
            <w:shd w:val="clear" w:color="000000" w:fill="FFFFFF"/>
            <w:noWrap/>
            <w:vAlign w:val="center"/>
          </w:tcPr>
          <w:p w14:paraId="1A9A4264" w14:textId="0DDE398D" w:rsidR="00E82D89" w:rsidRPr="00181464" w:rsidRDefault="00E82D89" w:rsidP="00E82D89">
            <w:pPr>
              <w:spacing w:after="0" w:line="240" w:lineRule="auto"/>
              <w:jc w:val="right"/>
              <w:rPr>
                <w:rFonts w:cs="Times New Roman"/>
                <w:sz w:val="18"/>
                <w:szCs w:val="18"/>
              </w:rPr>
            </w:pPr>
            <w:r w:rsidRPr="00181464">
              <w:rPr>
                <w:color w:val="000000"/>
                <w:sz w:val="18"/>
                <w:szCs w:val="18"/>
              </w:rPr>
              <w:t>7 458</w:t>
            </w:r>
          </w:p>
        </w:tc>
        <w:tc>
          <w:tcPr>
            <w:tcW w:w="518" w:type="pct"/>
            <w:gridSpan w:val="2"/>
            <w:tcBorders>
              <w:top w:val="nil"/>
              <w:left w:val="nil"/>
              <w:bottom w:val="nil"/>
              <w:right w:val="nil"/>
            </w:tcBorders>
            <w:shd w:val="clear" w:color="000000" w:fill="FFFFFF"/>
            <w:noWrap/>
            <w:vAlign w:val="center"/>
          </w:tcPr>
          <w:p w14:paraId="2AF1C4EE" w14:textId="758234D1" w:rsidR="00E82D89" w:rsidRPr="00181464" w:rsidRDefault="00E82D89" w:rsidP="00E82D89">
            <w:pPr>
              <w:spacing w:after="0" w:line="240" w:lineRule="auto"/>
              <w:jc w:val="right"/>
              <w:rPr>
                <w:rFonts w:cs="Times New Roman"/>
                <w:sz w:val="18"/>
                <w:szCs w:val="18"/>
              </w:rPr>
            </w:pPr>
            <w:r w:rsidRPr="00181464">
              <w:rPr>
                <w:color w:val="000000"/>
                <w:sz w:val="18"/>
                <w:szCs w:val="18"/>
              </w:rPr>
              <w:t>-249 638</w:t>
            </w:r>
          </w:p>
        </w:tc>
        <w:tc>
          <w:tcPr>
            <w:tcW w:w="403" w:type="pct"/>
            <w:tcBorders>
              <w:top w:val="nil"/>
              <w:left w:val="nil"/>
              <w:bottom w:val="nil"/>
              <w:right w:val="nil"/>
            </w:tcBorders>
            <w:shd w:val="clear" w:color="000000" w:fill="FFFFFF"/>
            <w:noWrap/>
            <w:vAlign w:val="center"/>
          </w:tcPr>
          <w:p w14:paraId="181CA6B2" w14:textId="3F43D2BC" w:rsidR="00E82D89" w:rsidRPr="00181464" w:rsidRDefault="00E82D89" w:rsidP="00E82D89">
            <w:pPr>
              <w:spacing w:after="0" w:line="240" w:lineRule="auto"/>
              <w:jc w:val="right"/>
              <w:rPr>
                <w:rFonts w:cs="Times New Roman"/>
                <w:sz w:val="18"/>
                <w:szCs w:val="18"/>
              </w:rPr>
            </w:pPr>
            <w:r w:rsidRPr="00181464">
              <w:rPr>
                <w:color w:val="000000"/>
                <w:sz w:val="18"/>
                <w:szCs w:val="18"/>
              </w:rPr>
              <w:t>-97,1</w:t>
            </w:r>
          </w:p>
        </w:tc>
        <w:tc>
          <w:tcPr>
            <w:tcW w:w="86" w:type="pct"/>
            <w:tcBorders>
              <w:top w:val="nil"/>
              <w:left w:val="nil"/>
              <w:bottom w:val="nil"/>
              <w:right w:val="nil"/>
            </w:tcBorders>
            <w:shd w:val="clear" w:color="auto" w:fill="auto"/>
            <w:noWrap/>
            <w:vAlign w:val="bottom"/>
          </w:tcPr>
          <w:p w14:paraId="1E33B20A" w14:textId="77777777" w:rsidR="00E82D89" w:rsidRPr="00181464" w:rsidRDefault="00E82D89" w:rsidP="00E82D89">
            <w:pPr>
              <w:spacing w:after="0" w:line="240" w:lineRule="auto"/>
              <w:jc w:val="right"/>
              <w:rPr>
                <w:rFonts w:eastAsia="Times New Roman" w:cs="Times New Roman"/>
                <w:color w:val="000000"/>
                <w:sz w:val="18"/>
                <w:szCs w:val="18"/>
                <w:lang w:eastAsia="sk-SK"/>
              </w:rPr>
            </w:pPr>
          </w:p>
        </w:tc>
      </w:tr>
      <w:tr w:rsidR="00E82D89" w:rsidRPr="00181464" w14:paraId="693C481F" w14:textId="77777777" w:rsidTr="00E82D89">
        <w:trPr>
          <w:trHeight w:val="236"/>
        </w:trPr>
        <w:tc>
          <w:tcPr>
            <w:tcW w:w="1920" w:type="pct"/>
            <w:tcBorders>
              <w:top w:val="nil"/>
              <w:left w:val="nil"/>
              <w:bottom w:val="nil"/>
              <w:right w:val="nil"/>
            </w:tcBorders>
            <w:shd w:val="clear" w:color="000000" w:fill="FFFFFF"/>
            <w:vAlign w:val="center"/>
            <w:hideMark/>
          </w:tcPr>
          <w:p w14:paraId="3B225D74" w14:textId="77777777" w:rsidR="00E82D89" w:rsidRPr="00181464" w:rsidRDefault="00E82D89" w:rsidP="00E82D89">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Programy EÚS 3. programové obdobie (CO MF SR)</w:t>
            </w:r>
          </w:p>
        </w:tc>
        <w:tc>
          <w:tcPr>
            <w:tcW w:w="461" w:type="pct"/>
            <w:tcBorders>
              <w:top w:val="nil"/>
              <w:left w:val="nil"/>
              <w:bottom w:val="nil"/>
              <w:right w:val="nil"/>
            </w:tcBorders>
            <w:shd w:val="clear" w:color="000000" w:fill="FFFFFF"/>
            <w:noWrap/>
            <w:vAlign w:val="center"/>
            <w:hideMark/>
          </w:tcPr>
          <w:p w14:paraId="30680CD9" w14:textId="7A7AD3A7"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1 523</w:t>
            </w:r>
          </w:p>
        </w:tc>
        <w:tc>
          <w:tcPr>
            <w:tcW w:w="461" w:type="pct"/>
            <w:tcBorders>
              <w:top w:val="nil"/>
              <w:left w:val="nil"/>
              <w:bottom w:val="nil"/>
              <w:right w:val="nil"/>
            </w:tcBorders>
            <w:shd w:val="clear" w:color="000000" w:fill="FFFFFF"/>
            <w:noWrap/>
            <w:vAlign w:val="center"/>
            <w:hideMark/>
          </w:tcPr>
          <w:p w14:paraId="22C1B547" w14:textId="62107612"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1 650</w:t>
            </w:r>
          </w:p>
        </w:tc>
        <w:tc>
          <w:tcPr>
            <w:tcW w:w="537" w:type="pct"/>
            <w:tcBorders>
              <w:top w:val="nil"/>
              <w:left w:val="nil"/>
              <w:bottom w:val="nil"/>
              <w:right w:val="nil"/>
            </w:tcBorders>
            <w:shd w:val="clear" w:color="000000" w:fill="FFFFFF"/>
            <w:noWrap/>
            <w:vAlign w:val="center"/>
            <w:hideMark/>
          </w:tcPr>
          <w:p w14:paraId="7C543377" w14:textId="705CE858"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1 781</w:t>
            </w:r>
          </w:p>
        </w:tc>
        <w:tc>
          <w:tcPr>
            <w:tcW w:w="614" w:type="pct"/>
            <w:tcBorders>
              <w:top w:val="nil"/>
              <w:left w:val="nil"/>
              <w:bottom w:val="nil"/>
              <w:right w:val="nil"/>
            </w:tcBorders>
            <w:shd w:val="clear" w:color="000000" w:fill="FFFFFF"/>
            <w:noWrap/>
            <w:vAlign w:val="center"/>
            <w:hideMark/>
          </w:tcPr>
          <w:p w14:paraId="454751CB" w14:textId="3E69E7BC"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1 822</w:t>
            </w:r>
          </w:p>
        </w:tc>
        <w:tc>
          <w:tcPr>
            <w:tcW w:w="518" w:type="pct"/>
            <w:gridSpan w:val="2"/>
            <w:tcBorders>
              <w:top w:val="nil"/>
              <w:left w:val="nil"/>
              <w:bottom w:val="nil"/>
              <w:right w:val="nil"/>
            </w:tcBorders>
            <w:shd w:val="clear" w:color="000000" w:fill="FFFFFF"/>
            <w:noWrap/>
            <w:vAlign w:val="center"/>
            <w:hideMark/>
          </w:tcPr>
          <w:p w14:paraId="5C19B26F" w14:textId="19C53AEF"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41</w:t>
            </w:r>
          </w:p>
        </w:tc>
        <w:tc>
          <w:tcPr>
            <w:tcW w:w="403" w:type="pct"/>
            <w:tcBorders>
              <w:top w:val="nil"/>
              <w:left w:val="nil"/>
              <w:bottom w:val="nil"/>
              <w:right w:val="nil"/>
            </w:tcBorders>
            <w:shd w:val="clear" w:color="000000" w:fill="FFFFFF"/>
            <w:noWrap/>
            <w:vAlign w:val="center"/>
            <w:hideMark/>
          </w:tcPr>
          <w:p w14:paraId="60DF366C" w14:textId="4CB21D02"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2,3</w:t>
            </w:r>
          </w:p>
        </w:tc>
        <w:tc>
          <w:tcPr>
            <w:tcW w:w="86" w:type="pct"/>
            <w:tcBorders>
              <w:top w:val="nil"/>
              <w:left w:val="nil"/>
              <w:bottom w:val="nil"/>
              <w:right w:val="nil"/>
            </w:tcBorders>
            <w:shd w:val="clear" w:color="auto" w:fill="auto"/>
            <w:noWrap/>
            <w:vAlign w:val="bottom"/>
            <w:hideMark/>
          </w:tcPr>
          <w:p w14:paraId="6E37AEDD" w14:textId="77777777" w:rsidR="00E82D89" w:rsidRPr="00181464" w:rsidRDefault="00E82D89" w:rsidP="00E82D89">
            <w:pPr>
              <w:spacing w:after="0" w:line="240" w:lineRule="auto"/>
              <w:jc w:val="right"/>
              <w:rPr>
                <w:rFonts w:eastAsia="Times New Roman" w:cs="Times New Roman"/>
                <w:color w:val="000000"/>
                <w:sz w:val="18"/>
                <w:szCs w:val="18"/>
                <w:lang w:eastAsia="sk-SK"/>
              </w:rPr>
            </w:pPr>
          </w:p>
        </w:tc>
      </w:tr>
      <w:tr w:rsidR="00E82D89" w:rsidRPr="00181464" w14:paraId="4AEBCEDD" w14:textId="77777777" w:rsidTr="00E82D89">
        <w:trPr>
          <w:trHeight w:val="236"/>
        </w:trPr>
        <w:tc>
          <w:tcPr>
            <w:tcW w:w="1920" w:type="pct"/>
            <w:tcBorders>
              <w:top w:val="nil"/>
              <w:left w:val="nil"/>
              <w:bottom w:val="nil"/>
              <w:right w:val="nil"/>
            </w:tcBorders>
            <w:shd w:val="clear" w:color="000000" w:fill="FFFFFF"/>
            <w:vAlign w:val="center"/>
          </w:tcPr>
          <w:p w14:paraId="48A7C692" w14:textId="77777777" w:rsidR="00E82D89" w:rsidRPr="00181464" w:rsidRDefault="00E82D89" w:rsidP="00E82D89">
            <w:pPr>
              <w:spacing w:after="0" w:line="240" w:lineRule="auto"/>
              <w:jc w:val="left"/>
              <w:rPr>
                <w:rFonts w:eastAsia="Times New Roman" w:cs="Times New Roman"/>
                <w:color w:val="000000"/>
                <w:sz w:val="18"/>
                <w:szCs w:val="18"/>
                <w:lang w:eastAsia="sk-SK"/>
              </w:rPr>
            </w:pPr>
            <w:r w:rsidRPr="00181464">
              <w:rPr>
                <w:rFonts w:cs="Times New Roman"/>
                <w:sz w:val="18"/>
                <w:szCs w:val="18"/>
              </w:rPr>
              <w:t>Programy EÚS 4. programové obdobie (PO MF SR)</w:t>
            </w:r>
          </w:p>
        </w:tc>
        <w:tc>
          <w:tcPr>
            <w:tcW w:w="461" w:type="pct"/>
            <w:tcBorders>
              <w:top w:val="nil"/>
              <w:left w:val="nil"/>
              <w:bottom w:val="nil"/>
              <w:right w:val="nil"/>
            </w:tcBorders>
            <w:shd w:val="clear" w:color="000000" w:fill="FFFFFF"/>
            <w:noWrap/>
            <w:vAlign w:val="center"/>
          </w:tcPr>
          <w:p w14:paraId="6779ABCC" w14:textId="3B8D2DD5" w:rsidR="00E82D89" w:rsidRPr="00181464" w:rsidRDefault="00E82D89" w:rsidP="00E82D89">
            <w:pPr>
              <w:spacing w:after="0" w:line="240" w:lineRule="auto"/>
              <w:jc w:val="right"/>
              <w:rPr>
                <w:rFonts w:cs="Times New Roman"/>
                <w:sz w:val="18"/>
                <w:szCs w:val="18"/>
              </w:rPr>
            </w:pPr>
            <w:r w:rsidRPr="00181464">
              <w:rPr>
                <w:color w:val="000000"/>
                <w:sz w:val="18"/>
                <w:szCs w:val="18"/>
              </w:rPr>
              <w:t>0</w:t>
            </w:r>
          </w:p>
        </w:tc>
        <w:tc>
          <w:tcPr>
            <w:tcW w:w="461" w:type="pct"/>
            <w:tcBorders>
              <w:top w:val="nil"/>
              <w:left w:val="nil"/>
              <w:bottom w:val="nil"/>
              <w:right w:val="nil"/>
            </w:tcBorders>
            <w:shd w:val="clear" w:color="000000" w:fill="FFFFFF"/>
            <w:noWrap/>
            <w:vAlign w:val="center"/>
          </w:tcPr>
          <w:p w14:paraId="41C0AC5E" w14:textId="2EC4DAB9" w:rsidR="00E82D89" w:rsidRPr="00181464" w:rsidRDefault="00E82D89" w:rsidP="00E82D89">
            <w:pPr>
              <w:spacing w:after="0" w:line="240" w:lineRule="auto"/>
              <w:jc w:val="right"/>
              <w:rPr>
                <w:rFonts w:cs="Times New Roman"/>
                <w:sz w:val="18"/>
                <w:szCs w:val="18"/>
              </w:rPr>
            </w:pPr>
            <w:r w:rsidRPr="00181464">
              <w:rPr>
                <w:color w:val="000000"/>
                <w:sz w:val="18"/>
                <w:szCs w:val="18"/>
              </w:rPr>
              <w:t>0</w:t>
            </w:r>
          </w:p>
        </w:tc>
        <w:tc>
          <w:tcPr>
            <w:tcW w:w="537" w:type="pct"/>
            <w:tcBorders>
              <w:top w:val="nil"/>
              <w:left w:val="nil"/>
              <w:bottom w:val="nil"/>
              <w:right w:val="nil"/>
            </w:tcBorders>
            <w:shd w:val="clear" w:color="000000" w:fill="FFFFFF"/>
            <w:noWrap/>
            <w:vAlign w:val="center"/>
          </w:tcPr>
          <w:p w14:paraId="17A16446" w14:textId="31A0B4B9" w:rsidR="00E82D89" w:rsidRPr="00181464" w:rsidRDefault="00E82D89" w:rsidP="00E82D89">
            <w:pPr>
              <w:spacing w:after="0" w:line="240" w:lineRule="auto"/>
              <w:jc w:val="right"/>
              <w:rPr>
                <w:rFonts w:cs="Times New Roman"/>
                <w:sz w:val="18"/>
                <w:szCs w:val="18"/>
              </w:rPr>
            </w:pPr>
            <w:r w:rsidRPr="00181464">
              <w:rPr>
                <w:color w:val="000000"/>
                <w:sz w:val="18"/>
                <w:szCs w:val="18"/>
              </w:rPr>
              <w:t>3 125</w:t>
            </w:r>
          </w:p>
        </w:tc>
        <w:tc>
          <w:tcPr>
            <w:tcW w:w="614" w:type="pct"/>
            <w:tcBorders>
              <w:top w:val="nil"/>
              <w:left w:val="nil"/>
              <w:bottom w:val="nil"/>
              <w:right w:val="nil"/>
            </w:tcBorders>
            <w:shd w:val="clear" w:color="000000" w:fill="FFFFFF"/>
            <w:noWrap/>
            <w:vAlign w:val="center"/>
          </w:tcPr>
          <w:p w14:paraId="259087E8" w14:textId="650BABE9" w:rsidR="00E82D89" w:rsidRPr="00181464" w:rsidRDefault="00E82D89" w:rsidP="00E82D89">
            <w:pPr>
              <w:spacing w:after="0" w:line="240" w:lineRule="auto"/>
              <w:jc w:val="right"/>
              <w:rPr>
                <w:rFonts w:cs="Times New Roman"/>
                <w:sz w:val="18"/>
                <w:szCs w:val="18"/>
              </w:rPr>
            </w:pPr>
            <w:r w:rsidRPr="00181464">
              <w:rPr>
                <w:color w:val="000000"/>
                <w:sz w:val="18"/>
                <w:szCs w:val="18"/>
              </w:rPr>
              <w:t>0</w:t>
            </w:r>
          </w:p>
        </w:tc>
        <w:tc>
          <w:tcPr>
            <w:tcW w:w="518" w:type="pct"/>
            <w:gridSpan w:val="2"/>
            <w:tcBorders>
              <w:top w:val="nil"/>
              <w:left w:val="nil"/>
              <w:bottom w:val="nil"/>
              <w:right w:val="nil"/>
            </w:tcBorders>
            <w:shd w:val="clear" w:color="000000" w:fill="FFFFFF"/>
            <w:noWrap/>
            <w:vAlign w:val="center"/>
          </w:tcPr>
          <w:p w14:paraId="34BA84C8" w14:textId="1ED6B13C" w:rsidR="00E82D89" w:rsidRPr="00181464" w:rsidRDefault="00E82D89" w:rsidP="00E82D89">
            <w:pPr>
              <w:spacing w:after="0" w:line="240" w:lineRule="auto"/>
              <w:jc w:val="right"/>
              <w:rPr>
                <w:rFonts w:cs="Times New Roman"/>
                <w:sz w:val="18"/>
                <w:szCs w:val="18"/>
              </w:rPr>
            </w:pPr>
            <w:r w:rsidRPr="00181464">
              <w:rPr>
                <w:color w:val="000000"/>
                <w:sz w:val="18"/>
                <w:szCs w:val="18"/>
              </w:rPr>
              <w:t>-3 125</w:t>
            </w:r>
          </w:p>
        </w:tc>
        <w:tc>
          <w:tcPr>
            <w:tcW w:w="403" w:type="pct"/>
            <w:tcBorders>
              <w:top w:val="nil"/>
              <w:left w:val="nil"/>
              <w:bottom w:val="nil"/>
              <w:right w:val="nil"/>
            </w:tcBorders>
            <w:shd w:val="clear" w:color="000000" w:fill="FFFFFF"/>
            <w:noWrap/>
            <w:vAlign w:val="center"/>
          </w:tcPr>
          <w:p w14:paraId="7284BAA7" w14:textId="70B052C5" w:rsidR="00E82D89" w:rsidRPr="00181464" w:rsidRDefault="00E82D89" w:rsidP="00E82D89">
            <w:pPr>
              <w:spacing w:after="0" w:line="240" w:lineRule="auto"/>
              <w:jc w:val="right"/>
              <w:rPr>
                <w:rFonts w:cs="Times New Roman"/>
                <w:sz w:val="18"/>
                <w:szCs w:val="18"/>
              </w:rPr>
            </w:pPr>
            <w:r w:rsidRPr="00181464">
              <w:rPr>
                <w:color w:val="000000"/>
                <w:sz w:val="18"/>
                <w:szCs w:val="18"/>
              </w:rPr>
              <w:t>-100,0</w:t>
            </w:r>
          </w:p>
        </w:tc>
        <w:tc>
          <w:tcPr>
            <w:tcW w:w="86" w:type="pct"/>
            <w:tcBorders>
              <w:top w:val="nil"/>
              <w:left w:val="nil"/>
              <w:bottom w:val="nil"/>
              <w:right w:val="nil"/>
            </w:tcBorders>
            <w:shd w:val="clear" w:color="auto" w:fill="auto"/>
            <w:noWrap/>
            <w:vAlign w:val="bottom"/>
          </w:tcPr>
          <w:p w14:paraId="68F99C3D" w14:textId="77777777" w:rsidR="00E82D89" w:rsidRPr="00181464" w:rsidRDefault="00E82D89" w:rsidP="00E82D89">
            <w:pPr>
              <w:spacing w:after="0" w:line="240" w:lineRule="auto"/>
              <w:jc w:val="right"/>
              <w:rPr>
                <w:rFonts w:eastAsia="Times New Roman" w:cs="Times New Roman"/>
                <w:color w:val="000000"/>
                <w:sz w:val="18"/>
                <w:szCs w:val="18"/>
                <w:lang w:eastAsia="sk-SK"/>
              </w:rPr>
            </w:pPr>
          </w:p>
        </w:tc>
      </w:tr>
      <w:tr w:rsidR="00E82D89" w:rsidRPr="00181464" w14:paraId="56D3BA78" w14:textId="77777777" w:rsidTr="00E82D89">
        <w:trPr>
          <w:trHeight w:val="236"/>
        </w:trPr>
        <w:tc>
          <w:tcPr>
            <w:tcW w:w="1920" w:type="pct"/>
            <w:tcBorders>
              <w:top w:val="nil"/>
              <w:left w:val="nil"/>
              <w:bottom w:val="nil"/>
              <w:right w:val="nil"/>
            </w:tcBorders>
            <w:shd w:val="clear" w:color="000000" w:fill="FFFFFF"/>
            <w:vAlign w:val="center"/>
            <w:hideMark/>
          </w:tcPr>
          <w:p w14:paraId="536BD40B" w14:textId="77777777" w:rsidR="00E82D89" w:rsidRPr="00181464" w:rsidRDefault="00E82D89" w:rsidP="00E82D89">
            <w:pPr>
              <w:spacing w:after="0" w:line="240" w:lineRule="auto"/>
              <w:jc w:val="lef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Štrukturálne operácie - MF SR</w:t>
            </w:r>
          </w:p>
        </w:tc>
        <w:tc>
          <w:tcPr>
            <w:tcW w:w="461" w:type="pct"/>
            <w:tcBorders>
              <w:top w:val="nil"/>
              <w:left w:val="nil"/>
              <w:bottom w:val="nil"/>
              <w:right w:val="nil"/>
            </w:tcBorders>
            <w:shd w:val="clear" w:color="000000" w:fill="FFFFFF"/>
            <w:noWrap/>
            <w:vAlign w:val="center"/>
            <w:hideMark/>
          </w:tcPr>
          <w:p w14:paraId="6AB28914" w14:textId="1EA586B2"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319 278</w:t>
            </w:r>
          </w:p>
        </w:tc>
        <w:tc>
          <w:tcPr>
            <w:tcW w:w="461" w:type="pct"/>
            <w:tcBorders>
              <w:top w:val="nil"/>
              <w:left w:val="nil"/>
              <w:bottom w:val="nil"/>
              <w:right w:val="nil"/>
            </w:tcBorders>
            <w:shd w:val="clear" w:color="000000" w:fill="FFFFFF"/>
            <w:noWrap/>
            <w:vAlign w:val="center"/>
            <w:hideMark/>
          </w:tcPr>
          <w:p w14:paraId="5E41B15C" w14:textId="0F72E205"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327 875</w:t>
            </w:r>
          </w:p>
        </w:tc>
        <w:tc>
          <w:tcPr>
            <w:tcW w:w="537" w:type="pct"/>
            <w:tcBorders>
              <w:top w:val="nil"/>
              <w:left w:val="nil"/>
              <w:bottom w:val="nil"/>
              <w:right w:val="nil"/>
            </w:tcBorders>
            <w:shd w:val="clear" w:color="000000" w:fill="FFFFFF"/>
            <w:noWrap/>
            <w:vAlign w:val="center"/>
            <w:hideMark/>
          </w:tcPr>
          <w:p w14:paraId="193E023F" w14:textId="7E84A321"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745 691</w:t>
            </w:r>
          </w:p>
        </w:tc>
        <w:tc>
          <w:tcPr>
            <w:tcW w:w="614" w:type="pct"/>
            <w:tcBorders>
              <w:top w:val="nil"/>
              <w:left w:val="nil"/>
              <w:bottom w:val="nil"/>
              <w:right w:val="nil"/>
            </w:tcBorders>
            <w:shd w:val="clear" w:color="000000" w:fill="FFFFFF"/>
            <w:noWrap/>
            <w:vAlign w:val="center"/>
            <w:hideMark/>
          </w:tcPr>
          <w:p w14:paraId="7AE8ECF8" w14:textId="7A142DB7"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629 387</w:t>
            </w:r>
          </w:p>
        </w:tc>
        <w:tc>
          <w:tcPr>
            <w:tcW w:w="518" w:type="pct"/>
            <w:gridSpan w:val="2"/>
            <w:tcBorders>
              <w:top w:val="nil"/>
              <w:left w:val="nil"/>
              <w:bottom w:val="nil"/>
              <w:right w:val="nil"/>
            </w:tcBorders>
            <w:shd w:val="clear" w:color="000000" w:fill="FFFFFF"/>
            <w:noWrap/>
            <w:vAlign w:val="center"/>
            <w:hideMark/>
          </w:tcPr>
          <w:p w14:paraId="54D7EE3D" w14:textId="48A156E8"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-116 304</w:t>
            </w:r>
          </w:p>
        </w:tc>
        <w:tc>
          <w:tcPr>
            <w:tcW w:w="403" w:type="pct"/>
            <w:tcBorders>
              <w:top w:val="nil"/>
              <w:left w:val="nil"/>
              <w:bottom w:val="nil"/>
              <w:right w:val="nil"/>
            </w:tcBorders>
            <w:shd w:val="clear" w:color="000000" w:fill="FFFFFF"/>
            <w:noWrap/>
            <w:vAlign w:val="center"/>
            <w:hideMark/>
          </w:tcPr>
          <w:p w14:paraId="7ADB75A5" w14:textId="5C244A1A"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-15,6</w:t>
            </w:r>
          </w:p>
        </w:tc>
        <w:tc>
          <w:tcPr>
            <w:tcW w:w="86" w:type="pct"/>
            <w:tcBorders>
              <w:top w:val="nil"/>
              <w:left w:val="nil"/>
              <w:bottom w:val="nil"/>
              <w:right w:val="nil"/>
            </w:tcBorders>
            <w:shd w:val="clear" w:color="auto" w:fill="auto"/>
            <w:noWrap/>
            <w:vAlign w:val="bottom"/>
            <w:hideMark/>
          </w:tcPr>
          <w:p w14:paraId="503D32D3" w14:textId="77777777" w:rsidR="00E82D89" w:rsidRPr="00181464" w:rsidRDefault="00E82D89" w:rsidP="00E82D89">
            <w:pPr>
              <w:spacing w:after="0" w:line="240" w:lineRule="auto"/>
              <w:jc w:val="right"/>
              <w:rPr>
                <w:rFonts w:eastAsia="Times New Roman" w:cs="Times New Roman"/>
                <w:b/>
                <w:bCs/>
                <w:color w:val="000000"/>
                <w:sz w:val="18"/>
                <w:szCs w:val="18"/>
                <w:lang w:eastAsia="sk-SK"/>
              </w:rPr>
            </w:pPr>
          </w:p>
        </w:tc>
      </w:tr>
      <w:tr w:rsidR="00E82D89" w:rsidRPr="00181464" w14:paraId="76991454" w14:textId="77777777" w:rsidTr="00E82D89">
        <w:trPr>
          <w:trHeight w:val="236"/>
        </w:trPr>
        <w:tc>
          <w:tcPr>
            <w:tcW w:w="1920" w:type="pct"/>
            <w:tcBorders>
              <w:top w:val="nil"/>
              <w:left w:val="nil"/>
              <w:bottom w:val="nil"/>
              <w:right w:val="nil"/>
            </w:tcBorders>
            <w:shd w:val="clear" w:color="000000" w:fill="FFFFFF"/>
            <w:vAlign w:val="center"/>
            <w:hideMark/>
          </w:tcPr>
          <w:p w14:paraId="13A56410" w14:textId="77777777" w:rsidR="00E82D89" w:rsidRPr="00181464" w:rsidRDefault="00E82D89" w:rsidP="00E82D89">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OP Sociálneho začlenenia najodkázanejších osôb</w:t>
            </w:r>
          </w:p>
        </w:tc>
        <w:tc>
          <w:tcPr>
            <w:tcW w:w="461" w:type="pct"/>
            <w:tcBorders>
              <w:top w:val="nil"/>
              <w:left w:val="nil"/>
              <w:bottom w:val="nil"/>
              <w:right w:val="nil"/>
            </w:tcBorders>
            <w:shd w:val="clear" w:color="000000" w:fill="FFFFFF"/>
            <w:noWrap/>
            <w:vAlign w:val="center"/>
            <w:hideMark/>
          </w:tcPr>
          <w:p w14:paraId="4AFC84D1" w14:textId="3825E9A4"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77</w:t>
            </w:r>
          </w:p>
        </w:tc>
        <w:tc>
          <w:tcPr>
            <w:tcW w:w="461" w:type="pct"/>
            <w:tcBorders>
              <w:top w:val="nil"/>
              <w:left w:val="nil"/>
              <w:bottom w:val="nil"/>
              <w:right w:val="nil"/>
            </w:tcBorders>
            <w:shd w:val="clear" w:color="000000" w:fill="FFFFFF"/>
            <w:noWrap/>
            <w:vAlign w:val="center"/>
            <w:hideMark/>
          </w:tcPr>
          <w:p w14:paraId="548018F2" w14:textId="6C792966"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210</w:t>
            </w:r>
          </w:p>
        </w:tc>
        <w:tc>
          <w:tcPr>
            <w:tcW w:w="537" w:type="pct"/>
            <w:tcBorders>
              <w:top w:val="nil"/>
              <w:left w:val="nil"/>
              <w:bottom w:val="nil"/>
              <w:right w:val="nil"/>
            </w:tcBorders>
            <w:shd w:val="clear" w:color="000000" w:fill="FFFFFF"/>
            <w:noWrap/>
            <w:vAlign w:val="center"/>
            <w:hideMark/>
          </w:tcPr>
          <w:p w14:paraId="5149DFA5" w14:textId="5A51E5E6"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335</w:t>
            </w:r>
          </w:p>
        </w:tc>
        <w:tc>
          <w:tcPr>
            <w:tcW w:w="614" w:type="pct"/>
            <w:tcBorders>
              <w:top w:val="nil"/>
              <w:left w:val="nil"/>
              <w:bottom w:val="nil"/>
              <w:right w:val="nil"/>
            </w:tcBorders>
            <w:shd w:val="clear" w:color="000000" w:fill="FFFFFF"/>
            <w:noWrap/>
            <w:vAlign w:val="center"/>
            <w:hideMark/>
          </w:tcPr>
          <w:p w14:paraId="1A158DB7" w14:textId="4144F999"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467</w:t>
            </w:r>
          </w:p>
        </w:tc>
        <w:tc>
          <w:tcPr>
            <w:tcW w:w="518" w:type="pct"/>
            <w:gridSpan w:val="2"/>
            <w:tcBorders>
              <w:top w:val="nil"/>
              <w:left w:val="nil"/>
              <w:bottom w:val="nil"/>
              <w:right w:val="nil"/>
            </w:tcBorders>
            <w:shd w:val="clear" w:color="000000" w:fill="FFFFFF"/>
            <w:noWrap/>
            <w:vAlign w:val="center"/>
            <w:hideMark/>
          </w:tcPr>
          <w:p w14:paraId="47EA77FA" w14:textId="398E824D"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132</w:t>
            </w:r>
          </w:p>
        </w:tc>
        <w:tc>
          <w:tcPr>
            <w:tcW w:w="403" w:type="pct"/>
            <w:tcBorders>
              <w:top w:val="nil"/>
              <w:left w:val="nil"/>
              <w:bottom w:val="nil"/>
              <w:right w:val="nil"/>
            </w:tcBorders>
            <w:shd w:val="clear" w:color="000000" w:fill="FFFFFF"/>
            <w:noWrap/>
            <w:vAlign w:val="center"/>
            <w:hideMark/>
          </w:tcPr>
          <w:p w14:paraId="09098B23" w14:textId="77A07A55" w:rsidR="00E82D89" w:rsidRPr="00181464" w:rsidRDefault="00E82D89" w:rsidP="00E82D89">
            <w:pPr>
              <w:spacing w:after="0" w:line="240" w:lineRule="auto"/>
              <w:jc w:val="right"/>
              <w:rPr>
                <w:rFonts w:eastAsia="Times New Roman" w:cs="Times New Roman"/>
                <w:color w:val="000000"/>
                <w:sz w:val="18"/>
                <w:szCs w:val="18"/>
                <w:lang w:eastAsia="sk-SK"/>
              </w:rPr>
            </w:pPr>
            <w:r w:rsidRPr="00181464">
              <w:rPr>
                <w:color w:val="000000"/>
                <w:sz w:val="18"/>
                <w:szCs w:val="18"/>
              </w:rPr>
              <w:t>39,4</w:t>
            </w:r>
          </w:p>
        </w:tc>
        <w:tc>
          <w:tcPr>
            <w:tcW w:w="86" w:type="pct"/>
            <w:tcBorders>
              <w:top w:val="nil"/>
              <w:left w:val="nil"/>
              <w:bottom w:val="nil"/>
              <w:right w:val="nil"/>
            </w:tcBorders>
            <w:shd w:val="clear" w:color="auto" w:fill="auto"/>
            <w:noWrap/>
            <w:vAlign w:val="bottom"/>
            <w:hideMark/>
          </w:tcPr>
          <w:p w14:paraId="4E2B84F9" w14:textId="77777777" w:rsidR="00E82D89" w:rsidRPr="00181464" w:rsidRDefault="00E82D89" w:rsidP="00E82D89">
            <w:pPr>
              <w:spacing w:after="0" w:line="240" w:lineRule="auto"/>
              <w:jc w:val="right"/>
              <w:rPr>
                <w:rFonts w:eastAsia="Times New Roman" w:cs="Times New Roman"/>
                <w:color w:val="000000"/>
                <w:sz w:val="18"/>
                <w:szCs w:val="18"/>
                <w:lang w:eastAsia="sk-SK"/>
              </w:rPr>
            </w:pPr>
          </w:p>
        </w:tc>
      </w:tr>
      <w:tr w:rsidR="00E82D89" w:rsidRPr="00181464" w14:paraId="1D01B18E" w14:textId="77777777" w:rsidTr="00E82D89">
        <w:trPr>
          <w:trHeight w:val="236"/>
        </w:trPr>
        <w:tc>
          <w:tcPr>
            <w:tcW w:w="1920" w:type="pct"/>
            <w:tcBorders>
              <w:top w:val="nil"/>
              <w:left w:val="nil"/>
              <w:bottom w:val="nil"/>
              <w:right w:val="nil"/>
            </w:tcBorders>
            <w:shd w:val="clear" w:color="000000" w:fill="FFFFFF"/>
            <w:vAlign w:val="center"/>
            <w:hideMark/>
          </w:tcPr>
          <w:p w14:paraId="69ADCC7B" w14:textId="77777777" w:rsidR="00E82D89" w:rsidRPr="00181464" w:rsidRDefault="00E82D89" w:rsidP="00E82D89">
            <w:pPr>
              <w:spacing w:after="0" w:line="240" w:lineRule="auto"/>
              <w:jc w:val="lef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Štrukturálne operácie - MPSVR SR</w:t>
            </w:r>
          </w:p>
        </w:tc>
        <w:tc>
          <w:tcPr>
            <w:tcW w:w="461" w:type="pct"/>
            <w:tcBorders>
              <w:top w:val="nil"/>
              <w:left w:val="nil"/>
              <w:bottom w:val="nil"/>
              <w:right w:val="nil"/>
            </w:tcBorders>
            <w:shd w:val="clear" w:color="000000" w:fill="FFFFFF"/>
            <w:noWrap/>
            <w:vAlign w:val="center"/>
            <w:hideMark/>
          </w:tcPr>
          <w:p w14:paraId="4B8A6F29" w14:textId="3324A365"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77</w:t>
            </w:r>
          </w:p>
        </w:tc>
        <w:tc>
          <w:tcPr>
            <w:tcW w:w="461" w:type="pct"/>
            <w:tcBorders>
              <w:top w:val="nil"/>
              <w:left w:val="nil"/>
              <w:bottom w:val="nil"/>
              <w:right w:val="nil"/>
            </w:tcBorders>
            <w:shd w:val="clear" w:color="000000" w:fill="FFFFFF"/>
            <w:noWrap/>
            <w:vAlign w:val="center"/>
            <w:hideMark/>
          </w:tcPr>
          <w:p w14:paraId="18D767FD" w14:textId="692E43D9"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210</w:t>
            </w:r>
          </w:p>
        </w:tc>
        <w:tc>
          <w:tcPr>
            <w:tcW w:w="537" w:type="pct"/>
            <w:tcBorders>
              <w:top w:val="nil"/>
              <w:left w:val="nil"/>
              <w:bottom w:val="nil"/>
              <w:right w:val="nil"/>
            </w:tcBorders>
            <w:shd w:val="clear" w:color="000000" w:fill="FFFFFF"/>
            <w:noWrap/>
            <w:vAlign w:val="center"/>
            <w:hideMark/>
          </w:tcPr>
          <w:p w14:paraId="1ABD2490" w14:textId="74504BC3"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335</w:t>
            </w:r>
          </w:p>
        </w:tc>
        <w:tc>
          <w:tcPr>
            <w:tcW w:w="614" w:type="pct"/>
            <w:tcBorders>
              <w:top w:val="nil"/>
              <w:left w:val="nil"/>
              <w:bottom w:val="nil"/>
              <w:right w:val="nil"/>
            </w:tcBorders>
            <w:shd w:val="clear" w:color="auto" w:fill="auto"/>
            <w:noWrap/>
            <w:vAlign w:val="center"/>
            <w:hideMark/>
          </w:tcPr>
          <w:p w14:paraId="65305F02" w14:textId="49261F21"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467</w:t>
            </w:r>
          </w:p>
        </w:tc>
        <w:tc>
          <w:tcPr>
            <w:tcW w:w="518" w:type="pct"/>
            <w:gridSpan w:val="2"/>
            <w:tcBorders>
              <w:top w:val="nil"/>
              <w:left w:val="nil"/>
              <w:bottom w:val="nil"/>
              <w:right w:val="nil"/>
            </w:tcBorders>
            <w:shd w:val="clear" w:color="000000" w:fill="FFFFFF"/>
            <w:noWrap/>
            <w:vAlign w:val="center"/>
            <w:hideMark/>
          </w:tcPr>
          <w:p w14:paraId="0BB9C07F" w14:textId="4BF53166"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132</w:t>
            </w:r>
          </w:p>
        </w:tc>
        <w:tc>
          <w:tcPr>
            <w:tcW w:w="403" w:type="pct"/>
            <w:tcBorders>
              <w:top w:val="nil"/>
              <w:left w:val="nil"/>
              <w:bottom w:val="nil"/>
              <w:right w:val="nil"/>
            </w:tcBorders>
            <w:shd w:val="clear" w:color="000000" w:fill="FFFFFF"/>
            <w:noWrap/>
            <w:vAlign w:val="center"/>
            <w:hideMark/>
          </w:tcPr>
          <w:p w14:paraId="701A89C5" w14:textId="5AFE4086"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39,4</w:t>
            </w:r>
          </w:p>
        </w:tc>
        <w:tc>
          <w:tcPr>
            <w:tcW w:w="86" w:type="pct"/>
            <w:tcBorders>
              <w:top w:val="nil"/>
              <w:left w:val="nil"/>
              <w:bottom w:val="nil"/>
              <w:right w:val="nil"/>
            </w:tcBorders>
            <w:shd w:val="clear" w:color="auto" w:fill="auto"/>
            <w:noWrap/>
            <w:vAlign w:val="bottom"/>
            <w:hideMark/>
          </w:tcPr>
          <w:p w14:paraId="45244F44" w14:textId="77777777" w:rsidR="00E82D89" w:rsidRPr="00181464" w:rsidRDefault="00E82D89" w:rsidP="00E82D89">
            <w:pPr>
              <w:spacing w:after="0" w:line="240" w:lineRule="auto"/>
              <w:jc w:val="right"/>
              <w:rPr>
                <w:rFonts w:eastAsia="Times New Roman" w:cs="Times New Roman"/>
                <w:b/>
                <w:bCs/>
                <w:color w:val="000000"/>
                <w:sz w:val="18"/>
                <w:szCs w:val="18"/>
                <w:lang w:eastAsia="sk-SK"/>
              </w:rPr>
            </w:pPr>
          </w:p>
        </w:tc>
      </w:tr>
      <w:tr w:rsidR="00E82D89" w:rsidRPr="00181464" w14:paraId="3DFC74DA" w14:textId="77777777" w:rsidTr="00E82D89">
        <w:trPr>
          <w:trHeight w:val="236"/>
        </w:trPr>
        <w:tc>
          <w:tcPr>
            <w:tcW w:w="1920" w:type="pct"/>
            <w:tcBorders>
              <w:top w:val="nil"/>
              <w:left w:val="nil"/>
              <w:bottom w:val="nil"/>
              <w:right w:val="nil"/>
            </w:tcBorders>
            <w:shd w:val="clear" w:color="000000" w:fill="FFFFFF"/>
            <w:vAlign w:val="center"/>
          </w:tcPr>
          <w:p w14:paraId="650563DC" w14:textId="77777777" w:rsidR="00E82D89" w:rsidRPr="00181464" w:rsidRDefault="00E82D89" w:rsidP="00E82D89">
            <w:pPr>
              <w:spacing w:after="0" w:line="240" w:lineRule="auto"/>
              <w:jc w:val="left"/>
              <w:rPr>
                <w:rFonts w:eastAsia="Times New Roman" w:cs="Times New Roman"/>
                <w:b/>
                <w:bCs/>
                <w:color w:val="000000"/>
                <w:sz w:val="18"/>
                <w:szCs w:val="18"/>
                <w:lang w:eastAsia="sk-SK"/>
              </w:rPr>
            </w:pPr>
            <w:r w:rsidRPr="00181464">
              <w:rPr>
                <w:rFonts w:cs="Times New Roman"/>
                <w:sz w:val="18"/>
                <w:szCs w:val="18"/>
              </w:rPr>
              <w:t>Fondy pre oblasť vnútorných záležitostí 2021 - 2027</w:t>
            </w:r>
          </w:p>
        </w:tc>
        <w:tc>
          <w:tcPr>
            <w:tcW w:w="461" w:type="pct"/>
            <w:tcBorders>
              <w:top w:val="nil"/>
              <w:left w:val="nil"/>
              <w:bottom w:val="nil"/>
              <w:right w:val="nil"/>
            </w:tcBorders>
            <w:shd w:val="clear" w:color="000000" w:fill="FFFFFF"/>
            <w:noWrap/>
            <w:vAlign w:val="center"/>
          </w:tcPr>
          <w:p w14:paraId="1AD4CF82" w14:textId="022F40FE" w:rsidR="00E82D89" w:rsidRPr="00181464" w:rsidRDefault="00E82D89" w:rsidP="00E82D89">
            <w:pPr>
              <w:spacing w:after="0" w:line="240" w:lineRule="auto"/>
              <w:jc w:val="right"/>
              <w:rPr>
                <w:rFonts w:cs="Times New Roman"/>
                <w:b/>
                <w:sz w:val="18"/>
                <w:szCs w:val="18"/>
              </w:rPr>
            </w:pPr>
            <w:r w:rsidRPr="00181464">
              <w:rPr>
                <w:color w:val="000000"/>
                <w:sz w:val="18"/>
                <w:szCs w:val="18"/>
              </w:rPr>
              <w:t>0</w:t>
            </w:r>
          </w:p>
        </w:tc>
        <w:tc>
          <w:tcPr>
            <w:tcW w:w="461" w:type="pct"/>
            <w:tcBorders>
              <w:top w:val="nil"/>
              <w:left w:val="nil"/>
              <w:bottom w:val="nil"/>
              <w:right w:val="nil"/>
            </w:tcBorders>
            <w:shd w:val="clear" w:color="000000" w:fill="FFFFFF"/>
            <w:noWrap/>
            <w:vAlign w:val="center"/>
          </w:tcPr>
          <w:p w14:paraId="712966DF" w14:textId="617510F0" w:rsidR="00E82D89" w:rsidRPr="00181464" w:rsidRDefault="00E82D89" w:rsidP="00E82D89">
            <w:pPr>
              <w:spacing w:after="0" w:line="240" w:lineRule="auto"/>
              <w:jc w:val="right"/>
              <w:rPr>
                <w:rFonts w:cs="Times New Roman"/>
                <w:b/>
                <w:sz w:val="18"/>
                <w:szCs w:val="18"/>
              </w:rPr>
            </w:pPr>
            <w:r w:rsidRPr="00181464">
              <w:rPr>
                <w:color w:val="000000"/>
                <w:sz w:val="18"/>
                <w:szCs w:val="18"/>
              </w:rPr>
              <w:t>0</w:t>
            </w:r>
          </w:p>
        </w:tc>
        <w:tc>
          <w:tcPr>
            <w:tcW w:w="537" w:type="pct"/>
            <w:tcBorders>
              <w:top w:val="nil"/>
              <w:left w:val="nil"/>
              <w:bottom w:val="nil"/>
              <w:right w:val="nil"/>
            </w:tcBorders>
            <w:shd w:val="clear" w:color="000000" w:fill="FFFFFF"/>
            <w:noWrap/>
            <w:vAlign w:val="center"/>
          </w:tcPr>
          <w:p w14:paraId="5C5C5F23" w14:textId="1D1634E1" w:rsidR="00E82D89" w:rsidRPr="00181464" w:rsidRDefault="00E82D89" w:rsidP="00E82D89">
            <w:pPr>
              <w:spacing w:after="0" w:line="240" w:lineRule="auto"/>
              <w:jc w:val="right"/>
              <w:rPr>
                <w:rFonts w:cs="Times New Roman"/>
                <w:b/>
                <w:sz w:val="18"/>
                <w:szCs w:val="18"/>
              </w:rPr>
            </w:pPr>
            <w:r w:rsidRPr="00181464">
              <w:rPr>
                <w:color w:val="000000"/>
                <w:sz w:val="18"/>
                <w:szCs w:val="18"/>
              </w:rPr>
              <w:t>179</w:t>
            </w:r>
          </w:p>
        </w:tc>
        <w:tc>
          <w:tcPr>
            <w:tcW w:w="614" w:type="pct"/>
            <w:tcBorders>
              <w:top w:val="nil"/>
              <w:left w:val="nil"/>
              <w:bottom w:val="nil"/>
              <w:right w:val="nil"/>
            </w:tcBorders>
            <w:shd w:val="clear" w:color="auto" w:fill="auto"/>
            <w:noWrap/>
            <w:vAlign w:val="center"/>
          </w:tcPr>
          <w:p w14:paraId="5EBAB1BB" w14:textId="69D132AC" w:rsidR="00E82D89" w:rsidRPr="00181464" w:rsidRDefault="00E82D89" w:rsidP="00E82D89">
            <w:pPr>
              <w:spacing w:after="0" w:line="240" w:lineRule="auto"/>
              <w:jc w:val="right"/>
              <w:rPr>
                <w:rFonts w:cs="Times New Roman"/>
                <w:b/>
                <w:sz w:val="18"/>
                <w:szCs w:val="18"/>
              </w:rPr>
            </w:pPr>
            <w:r w:rsidRPr="00181464">
              <w:rPr>
                <w:color w:val="000000"/>
                <w:sz w:val="18"/>
                <w:szCs w:val="18"/>
              </w:rPr>
              <w:t>0</w:t>
            </w:r>
          </w:p>
        </w:tc>
        <w:tc>
          <w:tcPr>
            <w:tcW w:w="518" w:type="pct"/>
            <w:gridSpan w:val="2"/>
            <w:tcBorders>
              <w:top w:val="nil"/>
              <w:left w:val="nil"/>
              <w:bottom w:val="nil"/>
              <w:right w:val="nil"/>
            </w:tcBorders>
            <w:shd w:val="clear" w:color="000000" w:fill="FFFFFF"/>
            <w:noWrap/>
            <w:vAlign w:val="center"/>
          </w:tcPr>
          <w:p w14:paraId="3B4141FA" w14:textId="09D4DAC6" w:rsidR="00E82D89" w:rsidRPr="00181464" w:rsidRDefault="00E82D89" w:rsidP="00E82D89">
            <w:pPr>
              <w:spacing w:after="0" w:line="240" w:lineRule="auto"/>
              <w:jc w:val="right"/>
              <w:rPr>
                <w:rFonts w:cs="Times New Roman"/>
                <w:b/>
                <w:sz w:val="18"/>
                <w:szCs w:val="18"/>
              </w:rPr>
            </w:pPr>
            <w:r w:rsidRPr="00181464">
              <w:rPr>
                <w:color w:val="000000"/>
                <w:sz w:val="18"/>
                <w:szCs w:val="18"/>
              </w:rPr>
              <w:t>-179</w:t>
            </w:r>
          </w:p>
        </w:tc>
        <w:tc>
          <w:tcPr>
            <w:tcW w:w="403" w:type="pct"/>
            <w:tcBorders>
              <w:top w:val="nil"/>
              <w:left w:val="nil"/>
              <w:bottom w:val="nil"/>
              <w:right w:val="nil"/>
            </w:tcBorders>
            <w:shd w:val="clear" w:color="000000" w:fill="FFFFFF"/>
            <w:noWrap/>
            <w:vAlign w:val="center"/>
          </w:tcPr>
          <w:p w14:paraId="518CF500" w14:textId="495DF56A" w:rsidR="00E82D89" w:rsidRPr="00181464" w:rsidRDefault="00E82D89" w:rsidP="00E82D89">
            <w:pPr>
              <w:spacing w:after="0" w:line="240" w:lineRule="auto"/>
              <w:jc w:val="right"/>
              <w:rPr>
                <w:rFonts w:cs="Times New Roman"/>
                <w:b/>
                <w:sz w:val="18"/>
                <w:szCs w:val="18"/>
              </w:rPr>
            </w:pPr>
            <w:r w:rsidRPr="00181464">
              <w:rPr>
                <w:color w:val="000000"/>
                <w:sz w:val="18"/>
                <w:szCs w:val="18"/>
              </w:rPr>
              <w:t>-100,0</w:t>
            </w:r>
          </w:p>
        </w:tc>
        <w:tc>
          <w:tcPr>
            <w:tcW w:w="86" w:type="pct"/>
            <w:tcBorders>
              <w:top w:val="nil"/>
              <w:left w:val="nil"/>
              <w:bottom w:val="nil"/>
              <w:right w:val="nil"/>
            </w:tcBorders>
            <w:shd w:val="clear" w:color="auto" w:fill="auto"/>
            <w:noWrap/>
            <w:vAlign w:val="bottom"/>
          </w:tcPr>
          <w:p w14:paraId="279FF165" w14:textId="77777777" w:rsidR="00E82D89" w:rsidRPr="00181464" w:rsidRDefault="00E82D89" w:rsidP="00E82D89">
            <w:pPr>
              <w:spacing w:after="0" w:line="240" w:lineRule="auto"/>
              <w:jc w:val="right"/>
              <w:rPr>
                <w:rFonts w:eastAsia="Times New Roman" w:cs="Times New Roman"/>
                <w:b/>
                <w:bCs/>
                <w:color w:val="000000"/>
                <w:sz w:val="18"/>
                <w:szCs w:val="18"/>
                <w:lang w:eastAsia="sk-SK"/>
              </w:rPr>
            </w:pPr>
          </w:p>
        </w:tc>
      </w:tr>
      <w:tr w:rsidR="00E82D89" w:rsidRPr="00181464" w14:paraId="11F5C8F2" w14:textId="77777777" w:rsidTr="00E82D89">
        <w:trPr>
          <w:trHeight w:val="236"/>
        </w:trPr>
        <w:tc>
          <w:tcPr>
            <w:tcW w:w="1920" w:type="pct"/>
            <w:tcBorders>
              <w:top w:val="nil"/>
              <w:left w:val="nil"/>
              <w:bottom w:val="nil"/>
              <w:right w:val="nil"/>
            </w:tcBorders>
            <w:shd w:val="clear" w:color="000000" w:fill="FFFFFF"/>
            <w:vAlign w:val="center"/>
          </w:tcPr>
          <w:p w14:paraId="191B9BC6" w14:textId="77777777" w:rsidR="00E82D89" w:rsidRPr="00181464" w:rsidRDefault="00E82D89" w:rsidP="00E82D89">
            <w:pPr>
              <w:spacing w:after="0" w:line="240" w:lineRule="auto"/>
              <w:jc w:val="left"/>
              <w:rPr>
                <w:rFonts w:eastAsia="Times New Roman" w:cs="Times New Roman"/>
                <w:b/>
                <w:bCs/>
                <w:color w:val="000000"/>
                <w:sz w:val="18"/>
                <w:szCs w:val="18"/>
                <w:lang w:eastAsia="sk-SK"/>
              </w:rPr>
            </w:pPr>
            <w:r w:rsidRPr="00181464">
              <w:rPr>
                <w:rFonts w:cs="Times New Roman"/>
                <w:b/>
                <w:sz w:val="18"/>
                <w:szCs w:val="18"/>
              </w:rPr>
              <w:t>Štrukturálne operácie – MV SR</w:t>
            </w:r>
          </w:p>
        </w:tc>
        <w:tc>
          <w:tcPr>
            <w:tcW w:w="461" w:type="pct"/>
            <w:tcBorders>
              <w:top w:val="nil"/>
              <w:left w:val="nil"/>
              <w:bottom w:val="nil"/>
              <w:right w:val="nil"/>
            </w:tcBorders>
            <w:shd w:val="clear" w:color="000000" w:fill="FFFFFF"/>
            <w:noWrap/>
            <w:vAlign w:val="center"/>
          </w:tcPr>
          <w:p w14:paraId="5333C6D5" w14:textId="7D49834B" w:rsidR="00E82D89" w:rsidRPr="00181464" w:rsidRDefault="00E82D89" w:rsidP="00E82D89">
            <w:pPr>
              <w:spacing w:after="0" w:line="240" w:lineRule="auto"/>
              <w:jc w:val="right"/>
              <w:rPr>
                <w:rFonts w:cs="Times New Roman"/>
                <w:b/>
                <w:sz w:val="18"/>
                <w:szCs w:val="18"/>
              </w:rPr>
            </w:pPr>
            <w:r w:rsidRPr="00181464">
              <w:rPr>
                <w:b/>
                <w:bCs/>
                <w:color w:val="000000"/>
                <w:sz w:val="18"/>
                <w:szCs w:val="18"/>
              </w:rPr>
              <w:t>0</w:t>
            </w:r>
          </w:p>
        </w:tc>
        <w:tc>
          <w:tcPr>
            <w:tcW w:w="461" w:type="pct"/>
            <w:tcBorders>
              <w:top w:val="nil"/>
              <w:left w:val="nil"/>
              <w:bottom w:val="nil"/>
              <w:right w:val="nil"/>
            </w:tcBorders>
            <w:shd w:val="clear" w:color="000000" w:fill="FFFFFF"/>
            <w:noWrap/>
            <w:vAlign w:val="center"/>
          </w:tcPr>
          <w:p w14:paraId="045FB34C" w14:textId="6B1EABE7" w:rsidR="00E82D89" w:rsidRPr="00181464" w:rsidRDefault="00E82D89" w:rsidP="00E82D89">
            <w:pPr>
              <w:spacing w:after="0" w:line="240" w:lineRule="auto"/>
              <w:jc w:val="right"/>
              <w:rPr>
                <w:rFonts w:cs="Times New Roman"/>
                <w:b/>
                <w:sz w:val="18"/>
                <w:szCs w:val="18"/>
              </w:rPr>
            </w:pPr>
            <w:r w:rsidRPr="00181464">
              <w:rPr>
                <w:b/>
                <w:bCs/>
                <w:color w:val="000000"/>
                <w:sz w:val="18"/>
                <w:szCs w:val="18"/>
              </w:rPr>
              <w:t>0</w:t>
            </w:r>
          </w:p>
        </w:tc>
        <w:tc>
          <w:tcPr>
            <w:tcW w:w="537" w:type="pct"/>
            <w:tcBorders>
              <w:top w:val="nil"/>
              <w:left w:val="nil"/>
              <w:bottom w:val="nil"/>
              <w:right w:val="nil"/>
            </w:tcBorders>
            <w:shd w:val="clear" w:color="000000" w:fill="FFFFFF"/>
            <w:noWrap/>
            <w:vAlign w:val="center"/>
          </w:tcPr>
          <w:p w14:paraId="666E1CE2" w14:textId="61A0BA85" w:rsidR="00E82D89" w:rsidRPr="00181464" w:rsidRDefault="00E82D89" w:rsidP="00E82D89">
            <w:pPr>
              <w:spacing w:after="0" w:line="240" w:lineRule="auto"/>
              <w:jc w:val="right"/>
              <w:rPr>
                <w:rFonts w:cs="Times New Roman"/>
                <w:b/>
                <w:sz w:val="18"/>
                <w:szCs w:val="18"/>
              </w:rPr>
            </w:pPr>
            <w:r w:rsidRPr="00181464">
              <w:rPr>
                <w:b/>
                <w:bCs/>
                <w:color w:val="000000"/>
                <w:sz w:val="18"/>
                <w:szCs w:val="18"/>
              </w:rPr>
              <w:t>179</w:t>
            </w:r>
          </w:p>
        </w:tc>
        <w:tc>
          <w:tcPr>
            <w:tcW w:w="614" w:type="pct"/>
            <w:tcBorders>
              <w:top w:val="nil"/>
              <w:left w:val="nil"/>
              <w:bottom w:val="nil"/>
              <w:right w:val="nil"/>
            </w:tcBorders>
            <w:shd w:val="clear" w:color="auto" w:fill="auto"/>
            <w:noWrap/>
            <w:vAlign w:val="center"/>
          </w:tcPr>
          <w:p w14:paraId="295705BC" w14:textId="6E6571B4" w:rsidR="00E82D89" w:rsidRPr="00181464" w:rsidRDefault="00E82D89" w:rsidP="00E82D89">
            <w:pPr>
              <w:spacing w:after="0" w:line="240" w:lineRule="auto"/>
              <w:jc w:val="right"/>
              <w:rPr>
                <w:rFonts w:cs="Times New Roman"/>
                <w:b/>
                <w:sz w:val="18"/>
                <w:szCs w:val="18"/>
              </w:rPr>
            </w:pPr>
            <w:r w:rsidRPr="00181464">
              <w:rPr>
                <w:b/>
                <w:bCs/>
                <w:color w:val="000000"/>
                <w:sz w:val="18"/>
                <w:szCs w:val="18"/>
              </w:rPr>
              <w:t>0</w:t>
            </w:r>
          </w:p>
        </w:tc>
        <w:tc>
          <w:tcPr>
            <w:tcW w:w="518" w:type="pct"/>
            <w:gridSpan w:val="2"/>
            <w:tcBorders>
              <w:top w:val="nil"/>
              <w:left w:val="nil"/>
              <w:bottom w:val="nil"/>
              <w:right w:val="nil"/>
            </w:tcBorders>
            <w:shd w:val="clear" w:color="000000" w:fill="FFFFFF"/>
            <w:noWrap/>
            <w:vAlign w:val="center"/>
          </w:tcPr>
          <w:p w14:paraId="0A83CBE6" w14:textId="47029A5D" w:rsidR="00E82D89" w:rsidRPr="00181464" w:rsidRDefault="00E82D89" w:rsidP="00E82D89">
            <w:pPr>
              <w:spacing w:after="0" w:line="240" w:lineRule="auto"/>
              <w:jc w:val="right"/>
              <w:rPr>
                <w:rFonts w:cs="Times New Roman"/>
                <w:b/>
                <w:sz w:val="18"/>
                <w:szCs w:val="18"/>
              </w:rPr>
            </w:pPr>
            <w:r w:rsidRPr="00181464">
              <w:rPr>
                <w:b/>
                <w:bCs/>
                <w:color w:val="000000"/>
                <w:sz w:val="18"/>
                <w:szCs w:val="18"/>
              </w:rPr>
              <w:t>-179</w:t>
            </w:r>
          </w:p>
        </w:tc>
        <w:tc>
          <w:tcPr>
            <w:tcW w:w="403" w:type="pct"/>
            <w:tcBorders>
              <w:top w:val="nil"/>
              <w:left w:val="nil"/>
              <w:bottom w:val="nil"/>
              <w:right w:val="nil"/>
            </w:tcBorders>
            <w:shd w:val="clear" w:color="000000" w:fill="FFFFFF"/>
            <w:noWrap/>
            <w:vAlign w:val="center"/>
          </w:tcPr>
          <w:p w14:paraId="7D31FEC8" w14:textId="0213880C" w:rsidR="00E82D89" w:rsidRPr="00181464" w:rsidRDefault="00E82D89" w:rsidP="00E82D89">
            <w:pPr>
              <w:spacing w:after="0" w:line="240" w:lineRule="auto"/>
              <w:jc w:val="right"/>
              <w:rPr>
                <w:rFonts w:cs="Times New Roman"/>
                <w:b/>
                <w:sz w:val="18"/>
                <w:szCs w:val="18"/>
              </w:rPr>
            </w:pPr>
            <w:r w:rsidRPr="00181464">
              <w:rPr>
                <w:b/>
                <w:bCs/>
                <w:color w:val="000000"/>
                <w:sz w:val="18"/>
                <w:szCs w:val="18"/>
              </w:rPr>
              <w:t>-100,0</w:t>
            </w:r>
          </w:p>
        </w:tc>
        <w:tc>
          <w:tcPr>
            <w:tcW w:w="86" w:type="pct"/>
            <w:tcBorders>
              <w:top w:val="nil"/>
              <w:left w:val="nil"/>
              <w:bottom w:val="nil"/>
              <w:right w:val="nil"/>
            </w:tcBorders>
            <w:shd w:val="clear" w:color="auto" w:fill="auto"/>
            <w:noWrap/>
            <w:vAlign w:val="bottom"/>
          </w:tcPr>
          <w:p w14:paraId="020842C2" w14:textId="77777777" w:rsidR="00E82D89" w:rsidRPr="00181464" w:rsidRDefault="00E82D89" w:rsidP="00E82D89">
            <w:pPr>
              <w:spacing w:after="0" w:line="240" w:lineRule="auto"/>
              <w:jc w:val="right"/>
              <w:rPr>
                <w:rFonts w:eastAsia="Times New Roman" w:cs="Times New Roman"/>
                <w:b/>
                <w:bCs/>
                <w:color w:val="000000"/>
                <w:sz w:val="18"/>
                <w:szCs w:val="18"/>
                <w:lang w:eastAsia="sk-SK"/>
              </w:rPr>
            </w:pPr>
          </w:p>
        </w:tc>
      </w:tr>
      <w:tr w:rsidR="00E82D89" w:rsidRPr="00181464" w14:paraId="6C3266FE" w14:textId="77777777" w:rsidTr="00E82D89">
        <w:trPr>
          <w:trHeight w:val="236"/>
        </w:trPr>
        <w:tc>
          <w:tcPr>
            <w:tcW w:w="1920" w:type="pct"/>
            <w:tcBorders>
              <w:top w:val="nil"/>
              <w:left w:val="nil"/>
              <w:bottom w:val="nil"/>
              <w:right w:val="nil"/>
            </w:tcBorders>
            <w:shd w:val="clear" w:color="000000" w:fill="FFFFFF"/>
            <w:vAlign w:val="center"/>
          </w:tcPr>
          <w:p w14:paraId="264FA101" w14:textId="7B684F8D" w:rsidR="00E82D89" w:rsidRPr="00181464" w:rsidRDefault="00E82D89" w:rsidP="00E82D89">
            <w:pPr>
              <w:spacing w:after="0" w:line="240" w:lineRule="auto"/>
              <w:jc w:val="left"/>
              <w:rPr>
                <w:rFonts w:cs="Times New Roman"/>
                <w:b/>
                <w:sz w:val="18"/>
                <w:szCs w:val="18"/>
              </w:rPr>
            </w:pPr>
            <w:r w:rsidRPr="00181464">
              <w:rPr>
                <w:sz w:val="18"/>
                <w:szCs w:val="18"/>
              </w:rPr>
              <w:t xml:space="preserve">VPS - </w:t>
            </w:r>
            <w:proofErr w:type="spellStart"/>
            <w:r w:rsidRPr="00181464">
              <w:rPr>
                <w:sz w:val="18"/>
                <w:szCs w:val="18"/>
              </w:rPr>
              <w:t>nadčerpanie</w:t>
            </w:r>
            <w:proofErr w:type="spellEnd"/>
            <w:r w:rsidRPr="00181464">
              <w:rPr>
                <w:sz w:val="18"/>
                <w:szCs w:val="18"/>
              </w:rPr>
              <w:t xml:space="preserve"> 3. programového obdobia</w:t>
            </w:r>
          </w:p>
        </w:tc>
        <w:tc>
          <w:tcPr>
            <w:tcW w:w="461" w:type="pct"/>
            <w:tcBorders>
              <w:top w:val="nil"/>
              <w:left w:val="nil"/>
              <w:bottom w:val="nil"/>
              <w:right w:val="nil"/>
            </w:tcBorders>
            <w:shd w:val="clear" w:color="000000" w:fill="FFFFFF"/>
            <w:noWrap/>
            <w:vAlign w:val="center"/>
          </w:tcPr>
          <w:p w14:paraId="57E07512" w14:textId="6BC0CFB4" w:rsidR="00E82D89" w:rsidRPr="00181464" w:rsidRDefault="00E82D89" w:rsidP="00E82D89">
            <w:pPr>
              <w:spacing w:after="0" w:line="240" w:lineRule="auto"/>
              <w:jc w:val="right"/>
              <w:rPr>
                <w:b/>
                <w:bCs/>
                <w:color w:val="000000"/>
                <w:sz w:val="18"/>
                <w:szCs w:val="18"/>
              </w:rPr>
            </w:pPr>
            <w:r w:rsidRPr="00181464">
              <w:rPr>
                <w:color w:val="000000"/>
                <w:sz w:val="18"/>
                <w:szCs w:val="18"/>
              </w:rPr>
              <w:t>0</w:t>
            </w:r>
          </w:p>
        </w:tc>
        <w:tc>
          <w:tcPr>
            <w:tcW w:w="461" w:type="pct"/>
            <w:tcBorders>
              <w:top w:val="nil"/>
              <w:left w:val="nil"/>
              <w:bottom w:val="nil"/>
              <w:right w:val="nil"/>
            </w:tcBorders>
            <w:shd w:val="clear" w:color="000000" w:fill="FFFFFF"/>
            <w:noWrap/>
            <w:vAlign w:val="center"/>
          </w:tcPr>
          <w:p w14:paraId="58F82398" w14:textId="5EED136A" w:rsidR="00E82D89" w:rsidRPr="00181464" w:rsidRDefault="00E82D89" w:rsidP="00E82D89">
            <w:pPr>
              <w:spacing w:after="0" w:line="240" w:lineRule="auto"/>
              <w:jc w:val="right"/>
              <w:rPr>
                <w:b/>
                <w:bCs/>
                <w:color w:val="000000"/>
                <w:sz w:val="18"/>
                <w:szCs w:val="18"/>
              </w:rPr>
            </w:pPr>
            <w:r w:rsidRPr="00181464">
              <w:rPr>
                <w:color w:val="000000"/>
                <w:sz w:val="18"/>
                <w:szCs w:val="18"/>
              </w:rPr>
              <w:t>0</w:t>
            </w:r>
          </w:p>
        </w:tc>
        <w:tc>
          <w:tcPr>
            <w:tcW w:w="537" w:type="pct"/>
            <w:tcBorders>
              <w:top w:val="nil"/>
              <w:left w:val="nil"/>
              <w:bottom w:val="nil"/>
              <w:right w:val="nil"/>
            </w:tcBorders>
            <w:shd w:val="clear" w:color="000000" w:fill="FFFFFF"/>
            <w:noWrap/>
            <w:vAlign w:val="center"/>
          </w:tcPr>
          <w:p w14:paraId="427A5D87" w14:textId="480EC06B" w:rsidR="00E82D89" w:rsidRPr="00181464" w:rsidRDefault="00E82D89" w:rsidP="00E82D89">
            <w:pPr>
              <w:spacing w:after="0" w:line="240" w:lineRule="auto"/>
              <w:jc w:val="right"/>
              <w:rPr>
                <w:b/>
                <w:bCs/>
                <w:color w:val="000000"/>
                <w:sz w:val="18"/>
                <w:szCs w:val="18"/>
              </w:rPr>
            </w:pPr>
            <w:r w:rsidRPr="00181464">
              <w:rPr>
                <w:color w:val="000000"/>
                <w:sz w:val="18"/>
                <w:szCs w:val="18"/>
              </w:rPr>
              <w:t>85 294</w:t>
            </w:r>
          </w:p>
        </w:tc>
        <w:tc>
          <w:tcPr>
            <w:tcW w:w="614" w:type="pct"/>
            <w:tcBorders>
              <w:top w:val="nil"/>
              <w:left w:val="nil"/>
              <w:bottom w:val="nil"/>
              <w:right w:val="nil"/>
            </w:tcBorders>
            <w:shd w:val="clear" w:color="auto" w:fill="auto"/>
            <w:noWrap/>
            <w:vAlign w:val="center"/>
          </w:tcPr>
          <w:p w14:paraId="6B62DFAE" w14:textId="78F8ACD3" w:rsidR="00E82D89" w:rsidRPr="00181464" w:rsidRDefault="00E82D89" w:rsidP="00E82D89">
            <w:pPr>
              <w:spacing w:after="0" w:line="240" w:lineRule="auto"/>
              <w:jc w:val="right"/>
              <w:rPr>
                <w:b/>
                <w:bCs/>
                <w:color w:val="000000"/>
                <w:sz w:val="18"/>
                <w:szCs w:val="18"/>
              </w:rPr>
            </w:pPr>
            <w:r w:rsidRPr="00181464">
              <w:rPr>
                <w:color w:val="000000"/>
                <w:sz w:val="18"/>
                <w:szCs w:val="18"/>
              </w:rPr>
              <w:t>0</w:t>
            </w:r>
          </w:p>
        </w:tc>
        <w:tc>
          <w:tcPr>
            <w:tcW w:w="518" w:type="pct"/>
            <w:gridSpan w:val="2"/>
            <w:tcBorders>
              <w:top w:val="nil"/>
              <w:left w:val="nil"/>
              <w:bottom w:val="nil"/>
              <w:right w:val="nil"/>
            </w:tcBorders>
            <w:shd w:val="clear" w:color="000000" w:fill="FFFFFF"/>
            <w:noWrap/>
            <w:vAlign w:val="center"/>
          </w:tcPr>
          <w:p w14:paraId="4B2BF5AB" w14:textId="770B0054" w:rsidR="00E82D89" w:rsidRPr="00181464" w:rsidRDefault="00E82D89" w:rsidP="00E82D89">
            <w:pPr>
              <w:spacing w:after="0" w:line="240" w:lineRule="auto"/>
              <w:jc w:val="right"/>
              <w:rPr>
                <w:b/>
                <w:bCs/>
                <w:color w:val="000000"/>
                <w:sz w:val="18"/>
                <w:szCs w:val="18"/>
              </w:rPr>
            </w:pPr>
            <w:r w:rsidRPr="00181464">
              <w:rPr>
                <w:color w:val="000000"/>
                <w:sz w:val="18"/>
                <w:szCs w:val="18"/>
              </w:rPr>
              <w:t>-85 294</w:t>
            </w:r>
          </w:p>
        </w:tc>
        <w:tc>
          <w:tcPr>
            <w:tcW w:w="403" w:type="pct"/>
            <w:tcBorders>
              <w:top w:val="nil"/>
              <w:left w:val="nil"/>
              <w:bottom w:val="nil"/>
              <w:right w:val="nil"/>
            </w:tcBorders>
            <w:shd w:val="clear" w:color="000000" w:fill="FFFFFF"/>
            <w:noWrap/>
            <w:vAlign w:val="center"/>
          </w:tcPr>
          <w:p w14:paraId="707C8AD8" w14:textId="7C188315" w:rsidR="00E82D89" w:rsidRPr="00181464" w:rsidRDefault="00E82D89" w:rsidP="00E82D89">
            <w:pPr>
              <w:spacing w:after="0" w:line="240" w:lineRule="auto"/>
              <w:jc w:val="right"/>
              <w:rPr>
                <w:b/>
                <w:bCs/>
                <w:color w:val="000000"/>
                <w:sz w:val="18"/>
                <w:szCs w:val="18"/>
              </w:rPr>
            </w:pPr>
            <w:r w:rsidRPr="00181464">
              <w:rPr>
                <w:color w:val="000000"/>
                <w:sz w:val="18"/>
                <w:szCs w:val="18"/>
              </w:rPr>
              <w:t>-100</w:t>
            </w:r>
          </w:p>
        </w:tc>
        <w:tc>
          <w:tcPr>
            <w:tcW w:w="86" w:type="pct"/>
            <w:tcBorders>
              <w:top w:val="nil"/>
              <w:left w:val="nil"/>
              <w:bottom w:val="nil"/>
              <w:right w:val="nil"/>
            </w:tcBorders>
            <w:shd w:val="clear" w:color="auto" w:fill="auto"/>
            <w:noWrap/>
            <w:vAlign w:val="bottom"/>
          </w:tcPr>
          <w:p w14:paraId="74E7659E" w14:textId="77777777" w:rsidR="00E82D89" w:rsidRPr="00181464" w:rsidRDefault="00E82D89" w:rsidP="00E82D89">
            <w:pPr>
              <w:spacing w:after="0" w:line="240" w:lineRule="auto"/>
              <w:jc w:val="right"/>
              <w:rPr>
                <w:rFonts w:eastAsia="Times New Roman" w:cs="Times New Roman"/>
                <w:b/>
                <w:bCs/>
                <w:color w:val="000000"/>
                <w:sz w:val="18"/>
                <w:szCs w:val="18"/>
                <w:lang w:eastAsia="sk-SK"/>
              </w:rPr>
            </w:pPr>
          </w:p>
        </w:tc>
      </w:tr>
      <w:tr w:rsidR="00E82D89" w:rsidRPr="00181464" w14:paraId="3A662742" w14:textId="77777777" w:rsidTr="00E82D89">
        <w:trPr>
          <w:trHeight w:val="247"/>
        </w:trPr>
        <w:tc>
          <w:tcPr>
            <w:tcW w:w="1920" w:type="pct"/>
            <w:tcBorders>
              <w:top w:val="single" w:sz="4" w:space="0" w:color="auto"/>
              <w:left w:val="nil"/>
              <w:bottom w:val="single" w:sz="8" w:space="0" w:color="auto"/>
              <w:right w:val="nil"/>
            </w:tcBorders>
            <w:shd w:val="clear" w:color="000000" w:fill="FFFFFF"/>
            <w:vAlign w:val="center"/>
            <w:hideMark/>
          </w:tcPr>
          <w:p w14:paraId="1D2AB5CC" w14:textId="77777777" w:rsidR="00E82D89" w:rsidRPr="00181464" w:rsidRDefault="00E82D89" w:rsidP="00E82D89">
            <w:pPr>
              <w:spacing w:after="0" w:line="240" w:lineRule="auto"/>
              <w:jc w:val="lef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Spolu výdavky za prostriedky ŠR</w:t>
            </w:r>
          </w:p>
        </w:tc>
        <w:tc>
          <w:tcPr>
            <w:tcW w:w="461" w:type="pct"/>
            <w:tcBorders>
              <w:top w:val="single" w:sz="4" w:space="0" w:color="auto"/>
              <w:left w:val="nil"/>
              <w:bottom w:val="single" w:sz="8" w:space="0" w:color="auto"/>
              <w:right w:val="nil"/>
            </w:tcBorders>
            <w:shd w:val="clear" w:color="000000" w:fill="FFFFFF"/>
            <w:noWrap/>
            <w:vAlign w:val="center"/>
            <w:hideMark/>
          </w:tcPr>
          <w:p w14:paraId="0A8D2157" w14:textId="3B7B4D39"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371 384</w:t>
            </w:r>
          </w:p>
        </w:tc>
        <w:tc>
          <w:tcPr>
            <w:tcW w:w="461" w:type="pct"/>
            <w:tcBorders>
              <w:top w:val="single" w:sz="4" w:space="0" w:color="auto"/>
              <w:left w:val="nil"/>
              <w:bottom w:val="single" w:sz="8" w:space="0" w:color="auto"/>
              <w:right w:val="nil"/>
            </w:tcBorders>
            <w:shd w:val="clear" w:color="000000" w:fill="FFFFFF"/>
            <w:noWrap/>
            <w:vAlign w:val="center"/>
            <w:hideMark/>
          </w:tcPr>
          <w:p w14:paraId="6344ABFE" w14:textId="4D81745E"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396 427</w:t>
            </w:r>
          </w:p>
        </w:tc>
        <w:tc>
          <w:tcPr>
            <w:tcW w:w="537" w:type="pct"/>
            <w:tcBorders>
              <w:top w:val="single" w:sz="4" w:space="0" w:color="auto"/>
              <w:left w:val="nil"/>
              <w:bottom w:val="single" w:sz="8" w:space="0" w:color="auto"/>
              <w:right w:val="nil"/>
            </w:tcBorders>
            <w:shd w:val="clear" w:color="000000" w:fill="FFFFFF"/>
            <w:noWrap/>
            <w:vAlign w:val="center"/>
            <w:hideMark/>
          </w:tcPr>
          <w:p w14:paraId="5C87219D" w14:textId="6CDD4128"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954 298</w:t>
            </w:r>
          </w:p>
        </w:tc>
        <w:tc>
          <w:tcPr>
            <w:tcW w:w="614" w:type="pct"/>
            <w:tcBorders>
              <w:top w:val="single" w:sz="4" w:space="0" w:color="auto"/>
              <w:left w:val="nil"/>
              <w:bottom w:val="single" w:sz="8" w:space="0" w:color="auto"/>
              <w:right w:val="nil"/>
            </w:tcBorders>
            <w:shd w:val="clear" w:color="auto" w:fill="auto"/>
            <w:noWrap/>
            <w:vAlign w:val="center"/>
            <w:hideMark/>
          </w:tcPr>
          <w:p w14:paraId="472164EB" w14:textId="135E99B8"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724 210</w:t>
            </w:r>
          </w:p>
        </w:tc>
        <w:tc>
          <w:tcPr>
            <w:tcW w:w="518" w:type="pct"/>
            <w:gridSpan w:val="2"/>
            <w:tcBorders>
              <w:top w:val="single" w:sz="4" w:space="0" w:color="auto"/>
              <w:left w:val="nil"/>
              <w:bottom w:val="single" w:sz="8" w:space="0" w:color="auto"/>
              <w:right w:val="nil"/>
            </w:tcBorders>
            <w:shd w:val="clear" w:color="000000" w:fill="FFFFFF"/>
            <w:noWrap/>
            <w:vAlign w:val="center"/>
            <w:hideMark/>
          </w:tcPr>
          <w:p w14:paraId="67295FE3" w14:textId="2A5EBC2A"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-230 088</w:t>
            </w:r>
          </w:p>
        </w:tc>
        <w:tc>
          <w:tcPr>
            <w:tcW w:w="403" w:type="pct"/>
            <w:tcBorders>
              <w:top w:val="single" w:sz="4" w:space="0" w:color="auto"/>
              <w:left w:val="nil"/>
              <w:bottom w:val="single" w:sz="8" w:space="0" w:color="auto"/>
              <w:right w:val="nil"/>
            </w:tcBorders>
            <w:shd w:val="clear" w:color="000000" w:fill="FFFFFF"/>
            <w:noWrap/>
            <w:vAlign w:val="center"/>
            <w:hideMark/>
          </w:tcPr>
          <w:p w14:paraId="39508379" w14:textId="3EFEBCCB" w:rsidR="00E82D89" w:rsidRPr="00181464" w:rsidRDefault="00E82D89" w:rsidP="00E82D89">
            <w:pPr>
              <w:spacing w:after="0" w:line="240" w:lineRule="auto"/>
              <w:jc w:val="right"/>
              <w:rPr>
                <w:rFonts w:eastAsia="Times New Roman" w:cs="Times New Roman"/>
                <w:b/>
                <w:bCs/>
                <w:color w:val="000000"/>
                <w:sz w:val="18"/>
                <w:szCs w:val="18"/>
                <w:lang w:eastAsia="sk-SK"/>
              </w:rPr>
            </w:pPr>
            <w:r w:rsidRPr="00181464">
              <w:rPr>
                <w:b/>
                <w:bCs/>
                <w:color w:val="000000"/>
                <w:sz w:val="18"/>
                <w:szCs w:val="18"/>
              </w:rPr>
              <w:t>-24,1</w:t>
            </w:r>
          </w:p>
        </w:tc>
        <w:tc>
          <w:tcPr>
            <w:tcW w:w="86" w:type="pct"/>
            <w:tcBorders>
              <w:top w:val="nil"/>
              <w:left w:val="nil"/>
              <w:bottom w:val="nil"/>
              <w:right w:val="nil"/>
            </w:tcBorders>
            <w:shd w:val="clear" w:color="auto" w:fill="auto"/>
            <w:noWrap/>
            <w:vAlign w:val="bottom"/>
            <w:hideMark/>
          </w:tcPr>
          <w:p w14:paraId="60D08409" w14:textId="77777777" w:rsidR="00E82D89" w:rsidRPr="00181464" w:rsidRDefault="00E82D89" w:rsidP="00E82D89">
            <w:pPr>
              <w:spacing w:after="0" w:line="240" w:lineRule="auto"/>
              <w:jc w:val="right"/>
              <w:rPr>
                <w:rFonts w:eastAsia="Times New Roman" w:cs="Times New Roman"/>
                <w:b/>
                <w:bCs/>
                <w:color w:val="000000"/>
                <w:sz w:val="18"/>
                <w:szCs w:val="18"/>
                <w:lang w:eastAsia="sk-SK"/>
              </w:rPr>
            </w:pPr>
          </w:p>
        </w:tc>
      </w:tr>
    </w:tbl>
    <w:p w14:paraId="547CFD32" w14:textId="77777777" w:rsidR="00E82D89" w:rsidRPr="00E82D89" w:rsidRDefault="00E82D89" w:rsidP="00E82D89">
      <w:pPr>
        <w:jc w:val="right"/>
        <w:rPr>
          <w:sz w:val="20"/>
          <w:szCs w:val="20"/>
        </w:rPr>
      </w:pPr>
      <w:r w:rsidRPr="00181464">
        <w:rPr>
          <w:sz w:val="18"/>
          <w:szCs w:val="18"/>
        </w:rPr>
        <w:t>Zdroj: MF SR</w:t>
      </w:r>
    </w:p>
    <w:p w14:paraId="367B7925" w14:textId="77777777" w:rsidR="00E82D89" w:rsidRPr="00D715AF" w:rsidRDefault="00E82D89" w:rsidP="00E82D89">
      <w:pPr>
        <w:numPr>
          <w:ilvl w:val="0"/>
          <w:numId w:val="2"/>
        </w:numPr>
        <w:tabs>
          <w:tab w:val="left" w:pos="284"/>
        </w:tabs>
        <w:spacing w:line="240" w:lineRule="auto"/>
        <w:ind w:left="0" w:firstLine="0"/>
        <w:rPr>
          <w:b/>
          <w:sz w:val="24"/>
          <w:szCs w:val="24"/>
        </w:rPr>
      </w:pPr>
      <w:r w:rsidRPr="00D715AF">
        <w:rPr>
          <w:b/>
          <w:sz w:val="24"/>
          <w:szCs w:val="24"/>
        </w:rPr>
        <w:t>Spolufinancovanie zo štátneho rozpočtu k zahraničným grantom z EÚ a</w:t>
      </w:r>
      <w:r>
        <w:rPr>
          <w:b/>
          <w:sz w:val="24"/>
          <w:szCs w:val="24"/>
        </w:rPr>
        <w:t xml:space="preserve"> </w:t>
      </w:r>
      <w:r w:rsidRPr="00D715AF">
        <w:rPr>
          <w:b/>
          <w:sz w:val="24"/>
          <w:szCs w:val="24"/>
        </w:rPr>
        <w:t>k prostriedkom poskytnutým na základe medzinárodných zmlúv</w:t>
      </w:r>
    </w:p>
    <w:p w14:paraId="2EFB4CA0" w14:textId="5DDA65C2" w:rsidR="00E82D89" w:rsidRPr="00E82D89" w:rsidRDefault="00E82D89" w:rsidP="00E82D89">
      <w:pPr>
        <w:spacing w:line="240" w:lineRule="auto"/>
        <w:rPr>
          <w:sz w:val="24"/>
          <w:szCs w:val="24"/>
        </w:rPr>
      </w:pPr>
      <w:r w:rsidRPr="00E82D89">
        <w:rPr>
          <w:sz w:val="24"/>
          <w:szCs w:val="24"/>
        </w:rPr>
        <w:t>Okrem výdavkov na spolufinancovanie zo ŠR k prostriedkom EÚ sú rozpočtované aj výdavky na spolufinancovanie zo ŠR k zahraničným grantom poskytnutým z prostriedkov EÚ, ktoré sa rozpočtujú v kapitolách zodpovedných za ich riadenie, a to za programy európskej územnej spolupráce, pri ktorých MF SR nie je certifikačným ani platobným orgánom a program LIFE+. V rámci programov európskej územnej spolupráce sa rozpočtujú prostriedky na spolufinancovanie programov cezhraničnej spolupráce v kapitole MIRRI SR, programy medziregionálnej spolupráce v kapitole MH SR a za programy nadnárodnej spolupráce v kapitole MIRRI SR. Prostriedky za programy LIFE+ sa rozpočtujú v kapitole MŽ</w:t>
      </w:r>
      <w:r>
        <w:rPr>
          <w:sz w:val="24"/>
          <w:szCs w:val="24"/>
        </w:rPr>
        <w:t>P SR, k </w:t>
      </w:r>
      <w:r w:rsidRPr="00E82D89">
        <w:rPr>
          <w:sz w:val="24"/>
          <w:szCs w:val="24"/>
        </w:rPr>
        <w:t>zahraničným grantom poskytnutým na základe medzinárodných zmlúv za programy Finančného mechanizmu EHP, NFM a ŠFM, ktoré sú alokované v kapitole VPS na úč</w:t>
      </w:r>
      <w:r>
        <w:rPr>
          <w:sz w:val="24"/>
          <w:szCs w:val="24"/>
        </w:rPr>
        <w:t xml:space="preserve">ely spolufinancovania projektov a </w:t>
      </w:r>
      <w:r w:rsidRPr="00E82D89">
        <w:rPr>
          <w:sz w:val="24"/>
          <w:szCs w:val="24"/>
        </w:rPr>
        <w:t xml:space="preserve">k prostriedkom na spolufinancovanie </w:t>
      </w:r>
      <w:r w:rsidRPr="00E82D89">
        <w:rPr>
          <w:bCs/>
          <w:sz w:val="24"/>
          <w:szCs w:val="24"/>
        </w:rPr>
        <w:t xml:space="preserve">fondov pre oblasť vnútorných záležitostí na </w:t>
      </w:r>
      <w:r w:rsidRPr="00E82D89">
        <w:rPr>
          <w:sz w:val="24"/>
          <w:szCs w:val="24"/>
        </w:rPr>
        <w:t>roky 2014 - 2020.</w:t>
      </w:r>
    </w:p>
    <w:p w14:paraId="79B77103" w14:textId="72373D90" w:rsidR="00E82D89" w:rsidRPr="00E82D89" w:rsidRDefault="00E82D89" w:rsidP="00E82D89">
      <w:pPr>
        <w:spacing w:line="240" w:lineRule="auto"/>
        <w:rPr>
          <w:sz w:val="24"/>
          <w:szCs w:val="24"/>
        </w:rPr>
      </w:pPr>
      <w:r w:rsidRPr="00E82D89">
        <w:rPr>
          <w:sz w:val="24"/>
          <w:szCs w:val="24"/>
        </w:rPr>
        <w:t>Čerpanie výdavkov na spolufinancovanie k zahraničným grantom z prostriedkov EÚ v rok</w:t>
      </w:r>
      <w:r>
        <w:rPr>
          <w:sz w:val="24"/>
          <w:szCs w:val="24"/>
        </w:rPr>
        <w:t>u 2023 predstavovalo sumu 5 677 tis. e</w:t>
      </w:r>
      <w:r w:rsidRPr="00E82D89">
        <w:rPr>
          <w:sz w:val="24"/>
          <w:szCs w:val="24"/>
        </w:rPr>
        <w:t>ur. Čerpanie výdavkov k zahraničným grantom poskytnutým na základe medzinárodných zmlúv v roku 2023 predstavovalo sumu 1</w:t>
      </w:r>
      <w:r>
        <w:rPr>
          <w:sz w:val="24"/>
          <w:szCs w:val="24"/>
        </w:rPr>
        <w:t> </w:t>
      </w:r>
      <w:r w:rsidRPr="00E82D89">
        <w:rPr>
          <w:sz w:val="24"/>
          <w:szCs w:val="24"/>
        </w:rPr>
        <w:t>377</w:t>
      </w:r>
      <w:r>
        <w:rPr>
          <w:sz w:val="24"/>
          <w:szCs w:val="24"/>
        </w:rPr>
        <w:t> </w:t>
      </w:r>
      <w:r w:rsidRPr="00E82D89">
        <w:rPr>
          <w:sz w:val="24"/>
          <w:szCs w:val="24"/>
        </w:rPr>
        <w:t>tis.</w:t>
      </w:r>
      <w:r>
        <w:rPr>
          <w:sz w:val="24"/>
          <w:szCs w:val="24"/>
        </w:rPr>
        <w:t> </w:t>
      </w:r>
      <w:r w:rsidRPr="00E82D89">
        <w:rPr>
          <w:sz w:val="24"/>
          <w:szCs w:val="24"/>
        </w:rPr>
        <w:t>eur.</w:t>
      </w:r>
    </w:p>
    <w:p w14:paraId="0D776698" w14:textId="77777777" w:rsidR="00E82D89" w:rsidRPr="00E82D89" w:rsidRDefault="00E82D89" w:rsidP="00E82D89">
      <w:pPr>
        <w:spacing w:line="240" w:lineRule="auto"/>
        <w:rPr>
          <w:sz w:val="24"/>
          <w:szCs w:val="24"/>
        </w:rPr>
      </w:pPr>
      <w:r w:rsidRPr="00E82D89">
        <w:rPr>
          <w:sz w:val="24"/>
          <w:szCs w:val="24"/>
        </w:rPr>
        <w:t xml:space="preserve">Prehľad výdavkov na spolufinancovanie zo štátneho rozpočtu k zahraničným grantom z prostriedkov EÚ a k zahraničných grantov poskytnutým na základe medzinárodných zmlúv je uvedený v nasledovnej tabuľke: </w:t>
      </w:r>
    </w:p>
    <w:tbl>
      <w:tblPr>
        <w:tblW w:w="4985" w:type="pct"/>
        <w:tblLayout w:type="fixed"/>
        <w:tblCellMar>
          <w:left w:w="70" w:type="dxa"/>
          <w:right w:w="70" w:type="dxa"/>
        </w:tblCellMar>
        <w:tblLook w:val="04A0" w:firstRow="1" w:lastRow="0" w:firstColumn="1" w:lastColumn="0" w:noHBand="0" w:noVBand="1"/>
      </w:tblPr>
      <w:tblGrid>
        <w:gridCol w:w="3686"/>
        <w:gridCol w:w="992"/>
        <w:gridCol w:w="992"/>
        <w:gridCol w:w="852"/>
        <w:gridCol w:w="992"/>
        <w:gridCol w:w="792"/>
        <w:gridCol w:w="28"/>
        <w:gridCol w:w="852"/>
      </w:tblGrid>
      <w:tr w:rsidR="00E82D89" w:rsidRPr="00A2483A" w14:paraId="047ACCC0" w14:textId="77777777" w:rsidTr="00E82D89">
        <w:trPr>
          <w:trHeight w:val="263"/>
        </w:trPr>
        <w:tc>
          <w:tcPr>
            <w:tcW w:w="4536" w:type="pct"/>
            <w:gridSpan w:val="7"/>
            <w:tcBorders>
              <w:top w:val="nil"/>
              <w:left w:val="nil"/>
              <w:bottom w:val="single" w:sz="4" w:space="0" w:color="auto"/>
              <w:right w:val="nil"/>
            </w:tcBorders>
            <w:shd w:val="clear" w:color="auto" w:fill="auto"/>
            <w:noWrap/>
            <w:vAlign w:val="bottom"/>
            <w:hideMark/>
          </w:tcPr>
          <w:p w14:paraId="590C5A9B" w14:textId="6186035D" w:rsidR="00E82D89" w:rsidRPr="00A2483A" w:rsidRDefault="00E82D89" w:rsidP="00153978">
            <w:pPr>
              <w:spacing w:after="0" w:line="240" w:lineRule="auto"/>
              <w:jc w:val="left"/>
              <w:rPr>
                <w:rFonts w:eastAsia="Times New Roman" w:cs="Times New Roman"/>
                <w:b/>
                <w:bCs/>
                <w:color w:val="5B9BD5" w:themeColor="accent1"/>
                <w:sz w:val="20"/>
                <w:szCs w:val="20"/>
                <w:lang w:eastAsia="sk-SK"/>
              </w:rPr>
            </w:pPr>
            <w:r w:rsidRPr="00745CCE">
              <w:rPr>
                <w:rFonts w:eastAsia="Times New Roman" w:cs="Times New Roman"/>
                <w:b/>
                <w:bCs/>
                <w:color w:val="5B9BD5" w:themeColor="accent1"/>
                <w:sz w:val="20"/>
                <w:szCs w:val="20"/>
                <w:lang w:eastAsia="sk-SK"/>
              </w:rPr>
              <w:t xml:space="preserve">Tabuľka </w:t>
            </w:r>
            <w:r>
              <w:rPr>
                <w:rFonts w:eastAsia="Times New Roman" w:cs="Times New Roman"/>
                <w:b/>
                <w:bCs/>
                <w:color w:val="5B9BD5" w:themeColor="accent1"/>
                <w:sz w:val="20"/>
                <w:szCs w:val="20"/>
                <w:lang w:eastAsia="sk-SK"/>
              </w:rPr>
              <w:t>6</w:t>
            </w:r>
            <w:r w:rsidR="00153978">
              <w:rPr>
                <w:rFonts w:eastAsia="Times New Roman" w:cs="Times New Roman"/>
                <w:b/>
                <w:bCs/>
                <w:color w:val="5B9BD5" w:themeColor="accent1"/>
                <w:sz w:val="20"/>
                <w:szCs w:val="20"/>
                <w:lang w:eastAsia="sk-SK"/>
              </w:rPr>
              <w:t>8</w:t>
            </w:r>
            <w:r>
              <w:rPr>
                <w:rFonts w:eastAsia="Times New Roman" w:cs="Times New Roman"/>
                <w:b/>
                <w:bCs/>
                <w:color w:val="5B9BD5" w:themeColor="accent1"/>
                <w:sz w:val="20"/>
                <w:szCs w:val="20"/>
                <w:lang w:eastAsia="sk-SK"/>
              </w:rPr>
              <w:t xml:space="preserve"> -</w:t>
            </w:r>
            <w:r w:rsidRPr="00745CCE">
              <w:rPr>
                <w:rFonts w:eastAsia="Times New Roman" w:cs="Times New Roman"/>
                <w:b/>
                <w:bCs/>
                <w:color w:val="5B9BD5" w:themeColor="accent1"/>
                <w:sz w:val="20"/>
                <w:szCs w:val="20"/>
                <w:lang w:eastAsia="sk-SK"/>
              </w:rPr>
              <w:t xml:space="preserve"> </w:t>
            </w:r>
            <w:r w:rsidRPr="00A2483A">
              <w:rPr>
                <w:rFonts w:eastAsia="Times New Roman" w:cs="Times New Roman"/>
                <w:b/>
                <w:bCs/>
                <w:color w:val="5B9BD5" w:themeColor="accent1"/>
                <w:sz w:val="20"/>
                <w:szCs w:val="20"/>
                <w:lang w:eastAsia="sk-SK"/>
              </w:rPr>
              <w:t xml:space="preserve">Spolufinancovanie zo ŠR k zahraničným grantom/k prostriedkom poskytnutým na základe medzinárodných zmlúv </w:t>
            </w:r>
          </w:p>
        </w:tc>
        <w:tc>
          <w:tcPr>
            <w:tcW w:w="464" w:type="pct"/>
            <w:tcBorders>
              <w:top w:val="nil"/>
              <w:left w:val="nil"/>
              <w:bottom w:val="single" w:sz="4" w:space="0" w:color="auto"/>
              <w:right w:val="nil"/>
            </w:tcBorders>
            <w:shd w:val="clear" w:color="auto" w:fill="auto"/>
            <w:noWrap/>
            <w:vAlign w:val="bottom"/>
            <w:hideMark/>
          </w:tcPr>
          <w:p w14:paraId="49FCDB6D" w14:textId="77777777" w:rsidR="00E82D89" w:rsidRPr="00A2483A" w:rsidRDefault="00E82D89" w:rsidP="00E82D89">
            <w:pPr>
              <w:spacing w:after="0" w:line="240" w:lineRule="auto"/>
              <w:jc w:val="left"/>
              <w:rPr>
                <w:rFonts w:eastAsia="Times New Roman" w:cs="Times New Roman"/>
                <w:b/>
                <w:bCs/>
                <w:color w:val="5B9BD5" w:themeColor="accent1"/>
                <w:sz w:val="20"/>
                <w:szCs w:val="20"/>
                <w:lang w:eastAsia="sk-SK"/>
              </w:rPr>
            </w:pPr>
          </w:p>
        </w:tc>
      </w:tr>
      <w:tr w:rsidR="00E82D89" w:rsidRPr="00181464" w14:paraId="48C31CA7" w14:textId="77777777" w:rsidTr="00E82D89">
        <w:trPr>
          <w:trHeight w:val="263"/>
        </w:trPr>
        <w:tc>
          <w:tcPr>
            <w:tcW w:w="2006" w:type="pct"/>
            <w:vMerge w:val="restart"/>
            <w:tcBorders>
              <w:top w:val="nil"/>
              <w:left w:val="nil"/>
              <w:right w:val="nil"/>
            </w:tcBorders>
            <w:shd w:val="clear" w:color="auto" w:fill="auto"/>
            <w:vAlign w:val="center"/>
            <w:hideMark/>
          </w:tcPr>
          <w:p w14:paraId="760DA7A8" w14:textId="77777777" w:rsidR="00E82D89" w:rsidRPr="00181464" w:rsidRDefault="00E82D89" w:rsidP="00E82D89">
            <w:pPr>
              <w:spacing w:after="0" w:line="240" w:lineRule="auto"/>
              <w:jc w:val="left"/>
              <w:rPr>
                <w:rFonts w:eastAsia="Times New Roman" w:cs="Times New Roman"/>
                <w:b/>
                <w:bCs/>
                <w:sz w:val="18"/>
                <w:szCs w:val="18"/>
                <w:lang w:eastAsia="sk-SK"/>
              </w:rPr>
            </w:pPr>
            <w:r w:rsidRPr="00181464">
              <w:rPr>
                <w:rFonts w:eastAsia="Times New Roman" w:cs="Times New Roman"/>
                <w:b/>
                <w:bCs/>
                <w:sz w:val="18"/>
                <w:szCs w:val="18"/>
                <w:lang w:eastAsia="sk-SK"/>
              </w:rPr>
              <w:t>v tis. eur</w:t>
            </w:r>
            <w:r w:rsidRPr="00181464">
              <w:rPr>
                <w:rFonts w:eastAsia="Times New Roman" w:cs="Times New Roman"/>
                <w:b/>
                <w:bCs/>
                <w:color w:val="FFFFFF"/>
                <w:sz w:val="18"/>
                <w:szCs w:val="18"/>
                <w:lang w:eastAsia="sk-SK"/>
              </w:rPr>
              <w:t> </w:t>
            </w:r>
          </w:p>
        </w:tc>
        <w:tc>
          <w:tcPr>
            <w:tcW w:w="540" w:type="pct"/>
            <w:tcBorders>
              <w:top w:val="nil"/>
              <w:left w:val="nil"/>
              <w:bottom w:val="nil"/>
              <w:right w:val="nil"/>
            </w:tcBorders>
            <w:shd w:val="clear" w:color="auto" w:fill="auto"/>
            <w:vAlign w:val="center"/>
            <w:hideMark/>
          </w:tcPr>
          <w:p w14:paraId="04E5C3EF" w14:textId="5F0F2D91" w:rsidR="00E82D89" w:rsidRPr="00181464" w:rsidRDefault="00E82D89" w:rsidP="00E82D89">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2021 S</w:t>
            </w:r>
          </w:p>
        </w:tc>
        <w:tc>
          <w:tcPr>
            <w:tcW w:w="540" w:type="pct"/>
            <w:tcBorders>
              <w:top w:val="nil"/>
              <w:left w:val="nil"/>
              <w:bottom w:val="nil"/>
              <w:right w:val="nil"/>
            </w:tcBorders>
            <w:shd w:val="clear" w:color="auto" w:fill="auto"/>
            <w:vAlign w:val="center"/>
            <w:hideMark/>
          </w:tcPr>
          <w:p w14:paraId="7D9A4A83" w14:textId="395D248B" w:rsidR="00E82D89" w:rsidRPr="00181464" w:rsidRDefault="00E82D89" w:rsidP="00E82D89">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2022 S</w:t>
            </w:r>
          </w:p>
        </w:tc>
        <w:tc>
          <w:tcPr>
            <w:tcW w:w="464" w:type="pct"/>
            <w:tcBorders>
              <w:top w:val="nil"/>
              <w:left w:val="nil"/>
              <w:bottom w:val="nil"/>
              <w:right w:val="nil"/>
            </w:tcBorders>
            <w:shd w:val="clear" w:color="auto" w:fill="auto"/>
            <w:vAlign w:val="center"/>
            <w:hideMark/>
          </w:tcPr>
          <w:p w14:paraId="2329879E" w14:textId="16FDF5F8" w:rsidR="00E82D89" w:rsidRPr="00181464" w:rsidRDefault="00E82D89" w:rsidP="00E82D89">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2023R</w:t>
            </w:r>
          </w:p>
        </w:tc>
        <w:tc>
          <w:tcPr>
            <w:tcW w:w="540" w:type="pct"/>
            <w:tcBorders>
              <w:top w:val="nil"/>
              <w:left w:val="nil"/>
              <w:bottom w:val="nil"/>
              <w:right w:val="nil"/>
            </w:tcBorders>
            <w:shd w:val="clear" w:color="auto" w:fill="auto"/>
            <w:vAlign w:val="center"/>
            <w:hideMark/>
          </w:tcPr>
          <w:p w14:paraId="0B446DFA" w14:textId="387DE59F" w:rsidR="00E82D89" w:rsidRPr="00181464" w:rsidRDefault="00E82D89" w:rsidP="00E82D89">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2023 S</w:t>
            </w:r>
          </w:p>
        </w:tc>
        <w:tc>
          <w:tcPr>
            <w:tcW w:w="431" w:type="pct"/>
            <w:tcBorders>
              <w:top w:val="nil"/>
              <w:left w:val="nil"/>
              <w:bottom w:val="nil"/>
              <w:right w:val="nil"/>
            </w:tcBorders>
            <w:shd w:val="clear" w:color="auto" w:fill="auto"/>
            <w:vAlign w:val="center"/>
            <w:hideMark/>
          </w:tcPr>
          <w:p w14:paraId="5B3BBE6D" w14:textId="77777777" w:rsidR="00E82D89" w:rsidRPr="00181464" w:rsidRDefault="00E82D89" w:rsidP="00E82D89">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Rozdiel</w:t>
            </w:r>
          </w:p>
        </w:tc>
        <w:tc>
          <w:tcPr>
            <w:tcW w:w="479" w:type="pct"/>
            <w:gridSpan w:val="2"/>
            <w:tcBorders>
              <w:top w:val="nil"/>
              <w:left w:val="nil"/>
              <w:bottom w:val="nil"/>
              <w:right w:val="nil"/>
            </w:tcBorders>
            <w:shd w:val="clear" w:color="auto" w:fill="auto"/>
            <w:vAlign w:val="center"/>
          </w:tcPr>
          <w:p w14:paraId="1E0534B1" w14:textId="77777777" w:rsidR="00E82D89" w:rsidRPr="00181464" w:rsidRDefault="00E82D89" w:rsidP="00E82D89">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v %</w:t>
            </w:r>
          </w:p>
        </w:tc>
      </w:tr>
      <w:tr w:rsidR="00E82D89" w:rsidRPr="00181464" w14:paraId="503F7675" w14:textId="77777777" w:rsidTr="00E82D89">
        <w:trPr>
          <w:trHeight w:val="275"/>
        </w:trPr>
        <w:tc>
          <w:tcPr>
            <w:tcW w:w="2006" w:type="pct"/>
            <w:vMerge/>
            <w:tcBorders>
              <w:left w:val="nil"/>
              <w:bottom w:val="single" w:sz="8" w:space="0" w:color="auto"/>
              <w:right w:val="nil"/>
            </w:tcBorders>
            <w:shd w:val="clear" w:color="auto" w:fill="auto"/>
            <w:vAlign w:val="center"/>
            <w:hideMark/>
          </w:tcPr>
          <w:p w14:paraId="002F0EE9" w14:textId="77777777" w:rsidR="00E82D89" w:rsidRPr="00181464" w:rsidRDefault="00E82D89" w:rsidP="00E82D89">
            <w:pPr>
              <w:spacing w:after="0" w:line="240" w:lineRule="auto"/>
              <w:jc w:val="left"/>
              <w:rPr>
                <w:rFonts w:eastAsia="Times New Roman" w:cs="Times New Roman"/>
                <w:b/>
                <w:bCs/>
                <w:color w:val="FFFFFF"/>
                <w:sz w:val="18"/>
                <w:szCs w:val="18"/>
                <w:lang w:eastAsia="sk-SK"/>
              </w:rPr>
            </w:pPr>
          </w:p>
        </w:tc>
        <w:tc>
          <w:tcPr>
            <w:tcW w:w="540" w:type="pct"/>
            <w:tcBorders>
              <w:top w:val="nil"/>
              <w:left w:val="nil"/>
              <w:bottom w:val="single" w:sz="8" w:space="0" w:color="auto"/>
              <w:right w:val="nil"/>
            </w:tcBorders>
            <w:shd w:val="clear" w:color="auto" w:fill="auto"/>
            <w:vAlign w:val="center"/>
            <w:hideMark/>
          </w:tcPr>
          <w:p w14:paraId="285BA4C3" w14:textId="77777777" w:rsidR="00E82D89" w:rsidRPr="00181464" w:rsidRDefault="00E82D89" w:rsidP="00E82D89">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1</w:t>
            </w:r>
          </w:p>
        </w:tc>
        <w:tc>
          <w:tcPr>
            <w:tcW w:w="540" w:type="pct"/>
            <w:tcBorders>
              <w:top w:val="nil"/>
              <w:left w:val="nil"/>
              <w:bottom w:val="single" w:sz="8" w:space="0" w:color="auto"/>
              <w:right w:val="nil"/>
            </w:tcBorders>
            <w:shd w:val="clear" w:color="auto" w:fill="auto"/>
            <w:vAlign w:val="center"/>
            <w:hideMark/>
          </w:tcPr>
          <w:p w14:paraId="5ECC9572" w14:textId="77777777" w:rsidR="00E82D89" w:rsidRPr="00181464" w:rsidRDefault="00E82D89" w:rsidP="00E82D89">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2</w:t>
            </w:r>
          </w:p>
        </w:tc>
        <w:tc>
          <w:tcPr>
            <w:tcW w:w="464" w:type="pct"/>
            <w:tcBorders>
              <w:top w:val="nil"/>
              <w:left w:val="nil"/>
              <w:bottom w:val="single" w:sz="8" w:space="0" w:color="auto"/>
              <w:right w:val="nil"/>
            </w:tcBorders>
            <w:shd w:val="clear" w:color="auto" w:fill="auto"/>
            <w:vAlign w:val="center"/>
            <w:hideMark/>
          </w:tcPr>
          <w:p w14:paraId="698E1F03" w14:textId="77777777" w:rsidR="00E82D89" w:rsidRPr="00181464" w:rsidRDefault="00E82D89" w:rsidP="00E82D89">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3</w:t>
            </w:r>
          </w:p>
        </w:tc>
        <w:tc>
          <w:tcPr>
            <w:tcW w:w="540" w:type="pct"/>
            <w:tcBorders>
              <w:top w:val="nil"/>
              <w:left w:val="nil"/>
              <w:bottom w:val="single" w:sz="8" w:space="0" w:color="auto"/>
              <w:right w:val="nil"/>
            </w:tcBorders>
            <w:shd w:val="clear" w:color="auto" w:fill="auto"/>
            <w:vAlign w:val="center"/>
            <w:hideMark/>
          </w:tcPr>
          <w:p w14:paraId="0C48A5D0" w14:textId="77777777" w:rsidR="00E82D89" w:rsidRPr="00181464" w:rsidRDefault="00E82D89" w:rsidP="00E82D89">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4</w:t>
            </w:r>
          </w:p>
        </w:tc>
        <w:tc>
          <w:tcPr>
            <w:tcW w:w="446" w:type="pct"/>
            <w:gridSpan w:val="2"/>
            <w:tcBorders>
              <w:top w:val="nil"/>
              <w:left w:val="nil"/>
              <w:bottom w:val="single" w:sz="8" w:space="0" w:color="auto"/>
              <w:right w:val="nil"/>
            </w:tcBorders>
            <w:shd w:val="clear" w:color="auto" w:fill="auto"/>
            <w:vAlign w:val="center"/>
            <w:hideMark/>
          </w:tcPr>
          <w:p w14:paraId="5A0DC95E" w14:textId="77777777" w:rsidR="00E82D89" w:rsidRPr="00181464" w:rsidRDefault="00E82D89" w:rsidP="00E82D89">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5=4-3</w:t>
            </w:r>
          </w:p>
        </w:tc>
        <w:tc>
          <w:tcPr>
            <w:tcW w:w="464" w:type="pct"/>
            <w:tcBorders>
              <w:top w:val="nil"/>
              <w:left w:val="nil"/>
              <w:bottom w:val="single" w:sz="8" w:space="0" w:color="auto"/>
              <w:right w:val="nil"/>
            </w:tcBorders>
            <w:shd w:val="clear" w:color="auto" w:fill="auto"/>
            <w:vAlign w:val="center"/>
            <w:hideMark/>
          </w:tcPr>
          <w:p w14:paraId="5DF30CD0" w14:textId="77777777" w:rsidR="00E82D89" w:rsidRPr="00181464" w:rsidRDefault="00E82D89" w:rsidP="00E82D89">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6=4-3</w:t>
            </w:r>
          </w:p>
        </w:tc>
      </w:tr>
      <w:tr w:rsidR="00E82D89" w:rsidRPr="00181464" w14:paraId="62239548" w14:textId="77777777" w:rsidTr="00E82D89">
        <w:trPr>
          <w:trHeight w:val="406"/>
        </w:trPr>
        <w:tc>
          <w:tcPr>
            <w:tcW w:w="2006" w:type="pct"/>
            <w:tcBorders>
              <w:top w:val="nil"/>
              <w:left w:val="nil"/>
              <w:bottom w:val="nil"/>
              <w:right w:val="nil"/>
            </w:tcBorders>
            <w:shd w:val="clear" w:color="000000" w:fill="FFFFFF"/>
            <w:vAlign w:val="center"/>
            <w:hideMark/>
          </w:tcPr>
          <w:p w14:paraId="2DB039C0" w14:textId="77777777" w:rsidR="00E82D89" w:rsidRPr="00181464" w:rsidRDefault="00E82D89" w:rsidP="00E82D89">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 xml:space="preserve">Finančný nástroj pre životné prostredie </w:t>
            </w:r>
            <w:r w:rsidRPr="00181464">
              <w:rPr>
                <w:rFonts w:eastAsia="Times New Roman" w:cs="Times New Roman"/>
                <w:color w:val="000000"/>
                <w:sz w:val="18"/>
                <w:szCs w:val="18"/>
                <w:lang w:eastAsia="sk-SK"/>
              </w:rPr>
              <w:br/>
              <w:t>LIFE + (2. a 3. programové obdobie)</w:t>
            </w:r>
          </w:p>
        </w:tc>
        <w:tc>
          <w:tcPr>
            <w:tcW w:w="540" w:type="pct"/>
            <w:tcBorders>
              <w:top w:val="nil"/>
              <w:left w:val="nil"/>
              <w:bottom w:val="nil"/>
              <w:right w:val="nil"/>
            </w:tcBorders>
            <w:shd w:val="clear" w:color="000000" w:fill="FFFFFF"/>
            <w:noWrap/>
            <w:vAlign w:val="center"/>
            <w:hideMark/>
          </w:tcPr>
          <w:p w14:paraId="5CA44D05" w14:textId="5BBB845B"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2 400</w:t>
            </w:r>
          </w:p>
        </w:tc>
        <w:tc>
          <w:tcPr>
            <w:tcW w:w="540" w:type="pct"/>
            <w:tcBorders>
              <w:top w:val="nil"/>
              <w:left w:val="nil"/>
              <w:bottom w:val="nil"/>
              <w:right w:val="nil"/>
            </w:tcBorders>
            <w:shd w:val="clear" w:color="000000" w:fill="FFFFFF"/>
            <w:noWrap/>
            <w:vAlign w:val="center"/>
            <w:hideMark/>
          </w:tcPr>
          <w:p w14:paraId="262BA397" w14:textId="55B3EFEA"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3 118</w:t>
            </w:r>
          </w:p>
        </w:tc>
        <w:tc>
          <w:tcPr>
            <w:tcW w:w="464" w:type="pct"/>
            <w:tcBorders>
              <w:top w:val="nil"/>
              <w:left w:val="nil"/>
              <w:bottom w:val="nil"/>
              <w:right w:val="nil"/>
            </w:tcBorders>
            <w:shd w:val="clear" w:color="000000" w:fill="FFFFFF"/>
            <w:noWrap/>
            <w:vAlign w:val="center"/>
            <w:hideMark/>
          </w:tcPr>
          <w:p w14:paraId="732FAB79" w14:textId="0C80AEB2"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3 500</w:t>
            </w:r>
          </w:p>
        </w:tc>
        <w:tc>
          <w:tcPr>
            <w:tcW w:w="540" w:type="pct"/>
            <w:tcBorders>
              <w:top w:val="nil"/>
              <w:left w:val="nil"/>
              <w:bottom w:val="nil"/>
              <w:right w:val="nil"/>
            </w:tcBorders>
            <w:shd w:val="clear" w:color="000000" w:fill="FFFFFF"/>
            <w:noWrap/>
            <w:vAlign w:val="center"/>
            <w:hideMark/>
          </w:tcPr>
          <w:p w14:paraId="06D23613" w14:textId="74413332"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2 599</w:t>
            </w:r>
          </w:p>
        </w:tc>
        <w:tc>
          <w:tcPr>
            <w:tcW w:w="446" w:type="pct"/>
            <w:gridSpan w:val="2"/>
            <w:tcBorders>
              <w:top w:val="nil"/>
              <w:left w:val="nil"/>
              <w:bottom w:val="nil"/>
              <w:right w:val="nil"/>
            </w:tcBorders>
            <w:shd w:val="clear" w:color="000000" w:fill="FFFFFF"/>
            <w:noWrap/>
            <w:vAlign w:val="center"/>
            <w:hideMark/>
          </w:tcPr>
          <w:p w14:paraId="497126C8" w14:textId="715E0CCF"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-901</w:t>
            </w:r>
          </w:p>
        </w:tc>
        <w:tc>
          <w:tcPr>
            <w:tcW w:w="464" w:type="pct"/>
            <w:tcBorders>
              <w:top w:val="nil"/>
              <w:left w:val="nil"/>
              <w:bottom w:val="nil"/>
              <w:right w:val="nil"/>
            </w:tcBorders>
            <w:shd w:val="clear" w:color="000000" w:fill="FFFFFF"/>
            <w:noWrap/>
            <w:vAlign w:val="center"/>
            <w:hideMark/>
          </w:tcPr>
          <w:p w14:paraId="14E9A31F" w14:textId="66E4F119"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-25,7</w:t>
            </w:r>
          </w:p>
        </w:tc>
      </w:tr>
      <w:tr w:rsidR="00E82D89" w:rsidRPr="00181464" w14:paraId="1B839DF0" w14:textId="77777777" w:rsidTr="00E82D89">
        <w:trPr>
          <w:trHeight w:val="263"/>
        </w:trPr>
        <w:tc>
          <w:tcPr>
            <w:tcW w:w="2006" w:type="pct"/>
            <w:tcBorders>
              <w:top w:val="nil"/>
              <w:left w:val="nil"/>
              <w:bottom w:val="nil"/>
              <w:right w:val="nil"/>
            </w:tcBorders>
            <w:shd w:val="clear" w:color="000000" w:fill="FFFFFF"/>
            <w:vAlign w:val="center"/>
            <w:hideMark/>
          </w:tcPr>
          <w:p w14:paraId="0A22CDC4" w14:textId="77777777" w:rsidR="00E82D89" w:rsidRPr="00181464" w:rsidRDefault="00E82D89" w:rsidP="00E82D89">
            <w:pPr>
              <w:spacing w:after="0" w:line="240" w:lineRule="auto"/>
              <w:jc w:val="left"/>
              <w:rPr>
                <w:rFonts w:eastAsia="Times New Roman" w:cs="Times New Roman"/>
                <w:color w:val="000000"/>
                <w:sz w:val="18"/>
                <w:szCs w:val="18"/>
                <w:lang w:eastAsia="sk-SK"/>
              </w:rPr>
            </w:pPr>
            <w:r w:rsidRPr="00181464">
              <w:rPr>
                <w:sz w:val="18"/>
                <w:szCs w:val="18"/>
              </w:rPr>
              <w:t>Programy EÚS (3. a 4. programové obdobie)</w:t>
            </w:r>
          </w:p>
        </w:tc>
        <w:tc>
          <w:tcPr>
            <w:tcW w:w="540" w:type="pct"/>
            <w:tcBorders>
              <w:top w:val="nil"/>
              <w:left w:val="nil"/>
              <w:bottom w:val="nil"/>
              <w:right w:val="nil"/>
            </w:tcBorders>
            <w:shd w:val="clear" w:color="000000" w:fill="FFFFFF"/>
            <w:noWrap/>
            <w:vAlign w:val="center"/>
            <w:hideMark/>
          </w:tcPr>
          <w:p w14:paraId="743C8D2D" w14:textId="09F08CCF"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2 322</w:t>
            </w:r>
          </w:p>
        </w:tc>
        <w:tc>
          <w:tcPr>
            <w:tcW w:w="540" w:type="pct"/>
            <w:tcBorders>
              <w:top w:val="nil"/>
              <w:left w:val="nil"/>
              <w:bottom w:val="nil"/>
              <w:right w:val="nil"/>
            </w:tcBorders>
            <w:shd w:val="clear" w:color="000000" w:fill="FFFFFF"/>
            <w:noWrap/>
            <w:vAlign w:val="center"/>
            <w:hideMark/>
          </w:tcPr>
          <w:p w14:paraId="5200E14C" w14:textId="515039FC"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2 901</w:t>
            </w:r>
          </w:p>
        </w:tc>
        <w:tc>
          <w:tcPr>
            <w:tcW w:w="464" w:type="pct"/>
            <w:tcBorders>
              <w:top w:val="nil"/>
              <w:left w:val="nil"/>
              <w:bottom w:val="nil"/>
              <w:right w:val="nil"/>
            </w:tcBorders>
            <w:shd w:val="clear" w:color="000000" w:fill="FFFFFF"/>
            <w:noWrap/>
            <w:vAlign w:val="center"/>
            <w:hideMark/>
          </w:tcPr>
          <w:p w14:paraId="06CFF475" w14:textId="1848F85D"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10 314</w:t>
            </w:r>
          </w:p>
        </w:tc>
        <w:tc>
          <w:tcPr>
            <w:tcW w:w="540" w:type="pct"/>
            <w:tcBorders>
              <w:top w:val="nil"/>
              <w:left w:val="nil"/>
              <w:bottom w:val="nil"/>
              <w:right w:val="nil"/>
            </w:tcBorders>
            <w:shd w:val="clear" w:color="000000" w:fill="FFFFFF"/>
            <w:noWrap/>
            <w:vAlign w:val="center"/>
            <w:hideMark/>
          </w:tcPr>
          <w:p w14:paraId="72E1E9CB" w14:textId="63A5E4FD"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3 078</w:t>
            </w:r>
          </w:p>
        </w:tc>
        <w:tc>
          <w:tcPr>
            <w:tcW w:w="446" w:type="pct"/>
            <w:gridSpan w:val="2"/>
            <w:tcBorders>
              <w:top w:val="nil"/>
              <w:left w:val="nil"/>
              <w:bottom w:val="nil"/>
              <w:right w:val="nil"/>
            </w:tcBorders>
            <w:shd w:val="clear" w:color="000000" w:fill="FFFFFF"/>
            <w:noWrap/>
            <w:vAlign w:val="center"/>
            <w:hideMark/>
          </w:tcPr>
          <w:p w14:paraId="5FD300EA" w14:textId="5A765785"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-7 236</w:t>
            </w:r>
          </w:p>
        </w:tc>
        <w:tc>
          <w:tcPr>
            <w:tcW w:w="464" w:type="pct"/>
            <w:tcBorders>
              <w:top w:val="nil"/>
              <w:left w:val="nil"/>
              <w:bottom w:val="nil"/>
              <w:right w:val="nil"/>
            </w:tcBorders>
            <w:shd w:val="clear" w:color="000000" w:fill="FFFFFF"/>
            <w:noWrap/>
            <w:vAlign w:val="center"/>
            <w:hideMark/>
          </w:tcPr>
          <w:p w14:paraId="3CD6E7B3" w14:textId="258B1C45"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-70,2</w:t>
            </w:r>
          </w:p>
        </w:tc>
      </w:tr>
      <w:tr w:rsidR="00E82D89" w:rsidRPr="00181464" w14:paraId="27890C69" w14:textId="77777777" w:rsidTr="00E82D89">
        <w:trPr>
          <w:trHeight w:val="406"/>
        </w:trPr>
        <w:tc>
          <w:tcPr>
            <w:tcW w:w="2006" w:type="pct"/>
            <w:tcBorders>
              <w:top w:val="nil"/>
              <w:left w:val="nil"/>
              <w:bottom w:val="nil"/>
              <w:right w:val="nil"/>
            </w:tcBorders>
            <w:shd w:val="clear" w:color="000000" w:fill="FFFFFF"/>
            <w:vAlign w:val="center"/>
            <w:hideMark/>
          </w:tcPr>
          <w:p w14:paraId="234EC6D9" w14:textId="77777777" w:rsidR="00E82D89" w:rsidRPr="00181464" w:rsidRDefault="00E82D89" w:rsidP="00E82D89">
            <w:pPr>
              <w:spacing w:after="0" w:line="240" w:lineRule="auto"/>
              <w:jc w:val="lef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Spolu spolufinancovanie k zahraničným grantom z prostriedkov EÚ</w:t>
            </w:r>
          </w:p>
        </w:tc>
        <w:tc>
          <w:tcPr>
            <w:tcW w:w="540" w:type="pct"/>
            <w:tcBorders>
              <w:top w:val="nil"/>
              <w:left w:val="nil"/>
              <w:bottom w:val="nil"/>
              <w:right w:val="nil"/>
            </w:tcBorders>
            <w:shd w:val="clear" w:color="000000" w:fill="FFFFFF"/>
            <w:noWrap/>
            <w:vAlign w:val="center"/>
            <w:hideMark/>
          </w:tcPr>
          <w:p w14:paraId="202F3153" w14:textId="71BE6EB2" w:rsidR="00E82D89" w:rsidRPr="00181464" w:rsidRDefault="00E82D89" w:rsidP="00E82D89">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4 722</w:t>
            </w:r>
          </w:p>
        </w:tc>
        <w:tc>
          <w:tcPr>
            <w:tcW w:w="540" w:type="pct"/>
            <w:tcBorders>
              <w:top w:val="nil"/>
              <w:left w:val="nil"/>
              <w:bottom w:val="nil"/>
              <w:right w:val="nil"/>
            </w:tcBorders>
            <w:shd w:val="clear" w:color="000000" w:fill="FFFFFF"/>
            <w:noWrap/>
            <w:vAlign w:val="center"/>
            <w:hideMark/>
          </w:tcPr>
          <w:p w14:paraId="4D84035C" w14:textId="54BFE60C" w:rsidR="00E82D89" w:rsidRPr="00181464" w:rsidRDefault="00E82D89" w:rsidP="00E82D89">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6 019</w:t>
            </w:r>
          </w:p>
        </w:tc>
        <w:tc>
          <w:tcPr>
            <w:tcW w:w="464" w:type="pct"/>
            <w:tcBorders>
              <w:top w:val="nil"/>
              <w:left w:val="nil"/>
              <w:bottom w:val="nil"/>
              <w:right w:val="nil"/>
            </w:tcBorders>
            <w:shd w:val="clear" w:color="000000" w:fill="FFFFFF"/>
            <w:noWrap/>
            <w:vAlign w:val="center"/>
            <w:hideMark/>
          </w:tcPr>
          <w:p w14:paraId="5C81C1D4" w14:textId="70D4540C" w:rsidR="00E82D89" w:rsidRPr="00181464" w:rsidRDefault="00E82D89" w:rsidP="00E82D89">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13 814</w:t>
            </w:r>
          </w:p>
        </w:tc>
        <w:tc>
          <w:tcPr>
            <w:tcW w:w="540" w:type="pct"/>
            <w:tcBorders>
              <w:top w:val="nil"/>
              <w:left w:val="nil"/>
              <w:bottom w:val="nil"/>
              <w:right w:val="nil"/>
            </w:tcBorders>
            <w:shd w:val="clear" w:color="auto" w:fill="auto"/>
            <w:noWrap/>
            <w:vAlign w:val="center"/>
            <w:hideMark/>
          </w:tcPr>
          <w:p w14:paraId="78F5C0F2" w14:textId="227C846A" w:rsidR="00E82D89" w:rsidRPr="00181464" w:rsidRDefault="00E82D89" w:rsidP="00E82D89">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5 677</w:t>
            </w:r>
          </w:p>
        </w:tc>
        <w:tc>
          <w:tcPr>
            <w:tcW w:w="446" w:type="pct"/>
            <w:gridSpan w:val="2"/>
            <w:tcBorders>
              <w:top w:val="nil"/>
              <w:left w:val="nil"/>
              <w:bottom w:val="nil"/>
              <w:right w:val="nil"/>
            </w:tcBorders>
            <w:shd w:val="clear" w:color="000000" w:fill="FFFFFF"/>
            <w:noWrap/>
            <w:vAlign w:val="center"/>
            <w:hideMark/>
          </w:tcPr>
          <w:p w14:paraId="06F80971" w14:textId="3317D59F" w:rsidR="00E82D89" w:rsidRPr="00181464" w:rsidRDefault="00E82D89" w:rsidP="00E82D89">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-8 137</w:t>
            </w:r>
          </w:p>
        </w:tc>
        <w:tc>
          <w:tcPr>
            <w:tcW w:w="464" w:type="pct"/>
            <w:tcBorders>
              <w:top w:val="nil"/>
              <w:left w:val="nil"/>
              <w:bottom w:val="nil"/>
              <w:right w:val="nil"/>
            </w:tcBorders>
            <w:shd w:val="clear" w:color="000000" w:fill="FFFFFF"/>
            <w:noWrap/>
            <w:vAlign w:val="center"/>
            <w:hideMark/>
          </w:tcPr>
          <w:p w14:paraId="748EDB89" w14:textId="07BD76E9" w:rsidR="00E82D89" w:rsidRPr="00181464" w:rsidRDefault="00E82D89" w:rsidP="00E82D89">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-58,9</w:t>
            </w:r>
          </w:p>
        </w:tc>
      </w:tr>
      <w:tr w:rsidR="00E82D89" w:rsidRPr="00181464" w14:paraId="452A1760" w14:textId="77777777" w:rsidTr="00E82D89">
        <w:trPr>
          <w:trHeight w:val="263"/>
        </w:trPr>
        <w:tc>
          <w:tcPr>
            <w:tcW w:w="2006" w:type="pct"/>
            <w:tcBorders>
              <w:top w:val="nil"/>
              <w:left w:val="nil"/>
              <w:bottom w:val="nil"/>
              <w:right w:val="nil"/>
            </w:tcBorders>
            <w:shd w:val="clear" w:color="000000" w:fill="FFFFFF"/>
            <w:vAlign w:val="center"/>
            <w:hideMark/>
          </w:tcPr>
          <w:p w14:paraId="4FADD283" w14:textId="77777777" w:rsidR="00E82D89" w:rsidRPr="00181464" w:rsidRDefault="00E82D89" w:rsidP="00E82D89">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Finančný mechanizmus EHP</w:t>
            </w:r>
          </w:p>
        </w:tc>
        <w:tc>
          <w:tcPr>
            <w:tcW w:w="540" w:type="pct"/>
            <w:tcBorders>
              <w:top w:val="nil"/>
              <w:left w:val="nil"/>
              <w:bottom w:val="nil"/>
              <w:right w:val="nil"/>
            </w:tcBorders>
            <w:shd w:val="clear" w:color="000000" w:fill="FFFFFF"/>
            <w:noWrap/>
            <w:vAlign w:val="center"/>
            <w:hideMark/>
          </w:tcPr>
          <w:p w14:paraId="5A71D889" w14:textId="08B4B9D4"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995</w:t>
            </w:r>
          </w:p>
        </w:tc>
        <w:tc>
          <w:tcPr>
            <w:tcW w:w="540" w:type="pct"/>
            <w:tcBorders>
              <w:top w:val="nil"/>
              <w:left w:val="nil"/>
              <w:bottom w:val="nil"/>
              <w:right w:val="nil"/>
            </w:tcBorders>
            <w:shd w:val="clear" w:color="000000" w:fill="FFFFFF"/>
            <w:noWrap/>
            <w:vAlign w:val="center"/>
            <w:hideMark/>
          </w:tcPr>
          <w:p w14:paraId="5C8CDDA7" w14:textId="5D946C51"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761</w:t>
            </w:r>
          </w:p>
        </w:tc>
        <w:tc>
          <w:tcPr>
            <w:tcW w:w="464" w:type="pct"/>
            <w:tcBorders>
              <w:top w:val="nil"/>
              <w:left w:val="nil"/>
              <w:bottom w:val="nil"/>
              <w:right w:val="nil"/>
            </w:tcBorders>
            <w:shd w:val="clear" w:color="000000" w:fill="FFFFFF"/>
            <w:noWrap/>
            <w:vAlign w:val="center"/>
            <w:hideMark/>
          </w:tcPr>
          <w:p w14:paraId="2320405D" w14:textId="494E5F43"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1 051</w:t>
            </w:r>
          </w:p>
        </w:tc>
        <w:tc>
          <w:tcPr>
            <w:tcW w:w="540" w:type="pct"/>
            <w:tcBorders>
              <w:top w:val="nil"/>
              <w:left w:val="nil"/>
              <w:bottom w:val="nil"/>
              <w:right w:val="nil"/>
            </w:tcBorders>
            <w:shd w:val="clear" w:color="000000" w:fill="FFFFFF"/>
            <w:noWrap/>
            <w:vAlign w:val="center"/>
            <w:hideMark/>
          </w:tcPr>
          <w:p w14:paraId="2751EA75" w14:textId="27045D90"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931</w:t>
            </w:r>
          </w:p>
        </w:tc>
        <w:tc>
          <w:tcPr>
            <w:tcW w:w="446" w:type="pct"/>
            <w:gridSpan w:val="2"/>
            <w:tcBorders>
              <w:top w:val="nil"/>
              <w:left w:val="nil"/>
              <w:bottom w:val="nil"/>
              <w:right w:val="nil"/>
            </w:tcBorders>
            <w:shd w:val="clear" w:color="000000" w:fill="FFFFFF"/>
            <w:noWrap/>
            <w:vAlign w:val="center"/>
            <w:hideMark/>
          </w:tcPr>
          <w:p w14:paraId="0C9C469A" w14:textId="4C94F7AA"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-120</w:t>
            </w:r>
          </w:p>
        </w:tc>
        <w:tc>
          <w:tcPr>
            <w:tcW w:w="464" w:type="pct"/>
            <w:tcBorders>
              <w:top w:val="nil"/>
              <w:left w:val="nil"/>
              <w:bottom w:val="nil"/>
              <w:right w:val="nil"/>
            </w:tcBorders>
            <w:shd w:val="clear" w:color="000000" w:fill="FFFFFF"/>
            <w:noWrap/>
            <w:vAlign w:val="center"/>
            <w:hideMark/>
          </w:tcPr>
          <w:p w14:paraId="624D28FB" w14:textId="0DE3878C"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-11,4</w:t>
            </w:r>
          </w:p>
        </w:tc>
      </w:tr>
      <w:tr w:rsidR="00E82D89" w:rsidRPr="00181464" w14:paraId="3E73794E" w14:textId="77777777" w:rsidTr="00E82D89">
        <w:trPr>
          <w:trHeight w:val="263"/>
        </w:trPr>
        <w:tc>
          <w:tcPr>
            <w:tcW w:w="2006" w:type="pct"/>
            <w:tcBorders>
              <w:top w:val="nil"/>
              <w:left w:val="nil"/>
              <w:bottom w:val="nil"/>
              <w:right w:val="nil"/>
            </w:tcBorders>
            <w:shd w:val="clear" w:color="000000" w:fill="FFFFFF"/>
            <w:vAlign w:val="center"/>
            <w:hideMark/>
          </w:tcPr>
          <w:p w14:paraId="7ACF90D1" w14:textId="77777777" w:rsidR="00E82D89" w:rsidRPr="00181464" w:rsidRDefault="00E82D89" w:rsidP="00E82D89">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Nórsky finančný mechanizmus</w:t>
            </w:r>
          </w:p>
        </w:tc>
        <w:tc>
          <w:tcPr>
            <w:tcW w:w="540" w:type="pct"/>
            <w:tcBorders>
              <w:top w:val="nil"/>
              <w:left w:val="nil"/>
              <w:bottom w:val="nil"/>
              <w:right w:val="nil"/>
            </w:tcBorders>
            <w:shd w:val="clear" w:color="000000" w:fill="FFFFFF"/>
            <w:noWrap/>
            <w:vAlign w:val="center"/>
            <w:hideMark/>
          </w:tcPr>
          <w:p w14:paraId="07F3A50E" w14:textId="14EF4216"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1 218</w:t>
            </w:r>
          </w:p>
        </w:tc>
        <w:tc>
          <w:tcPr>
            <w:tcW w:w="540" w:type="pct"/>
            <w:tcBorders>
              <w:top w:val="nil"/>
              <w:left w:val="nil"/>
              <w:bottom w:val="nil"/>
              <w:right w:val="nil"/>
            </w:tcBorders>
            <w:shd w:val="clear" w:color="000000" w:fill="FFFFFF"/>
            <w:noWrap/>
            <w:vAlign w:val="center"/>
            <w:hideMark/>
          </w:tcPr>
          <w:p w14:paraId="290FB8C5" w14:textId="20D3487A"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1 612</w:t>
            </w:r>
          </w:p>
        </w:tc>
        <w:tc>
          <w:tcPr>
            <w:tcW w:w="464" w:type="pct"/>
            <w:tcBorders>
              <w:top w:val="nil"/>
              <w:left w:val="nil"/>
              <w:bottom w:val="nil"/>
              <w:right w:val="nil"/>
            </w:tcBorders>
            <w:shd w:val="clear" w:color="000000" w:fill="FFFFFF"/>
            <w:noWrap/>
            <w:vAlign w:val="center"/>
            <w:hideMark/>
          </w:tcPr>
          <w:p w14:paraId="5B301743" w14:textId="098ED137"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971</w:t>
            </w:r>
          </w:p>
        </w:tc>
        <w:tc>
          <w:tcPr>
            <w:tcW w:w="540" w:type="pct"/>
            <w:tcBorders>
              <w:top w:val="nil"/>
              <w:left w:val="nil"/>
              <w:bottom w:val="nil"/>
              <w:right w:val="nil"/>
            </w:tcBorders>
            <w:shd w:val="clear" w:color="000000" w:fill="FFFFFF"/>
            <w:noWrap/>
            <w:vAlign w:val="center"/>
            <w:hideMark/>
          </w:tcPr>
          <w:p w14:paraId="5EF939EF" w14:textId="6E287D96"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446</w:t>
            </w:r>
          </w:p>
        </w:tc>
        <w:tc>
          <w:tcPr>
            <w:tcW w:w="446" w:type="pct"/>
            <w:gridSpan w:val="2"/>
            <w:tcBorders>
              <w:top w:val="nil"/>
              <w:left w:val="nil"/>
              <w:bottom w:val="nil"/>
              <w:right w:val="nil"/>
            </w:tcBorders>
            <w:shd w:val="clear" w:color="000000" w:fill="FFFFFF"/>
            <w:noWrap/>
            <w:vAlign w:val="center"/>
            <w:hideMark/>
          </w:tcPr>
          <w:p w14:paraId="1A306270" w14:textId="5F4E4004"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-525</w:t>
            </w:r>
          </w:p>
        </w:tc>
        <w:tc>
          <w:tcPr>
            <w:tcW w:w="464" w:type="pct"/>
            <w:tcBorders>
              <w:top w:val="nil"/>
              <w:left w:val="nil"/>
              <w:bottom w:val="nil"/>
              <w:right w:val="nil"/>
            </w:tcBorders>
            <w:shd w:val="clear" w:color="000000" w:fill="FFFFFF"/>
            <w:noWrap/>
            <w:vAlign w:val="center"/>
            <w:hideMark/>
          </w:tcPr>
          <w:p w14:paraId="4D3D29A5" w14:textId="479D7757" w:rsidR="00E82D89" w:rsidRPr="00181464" w:rsidRDefault="00E82D89" w:rsidP="00E82D89">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-54,1</w:t>
            </w:r>
          </w:p>
        </w:tc>
      </w:tr>
      <w:tr w:rsidR="000E539A" w:rsidRPr="00181464" w14:paraId="726F9B60" w14:textId="77777777" w:rsidTr="00E82D89">
        <w:trPr>
          <w:trHeight w:val="263"/>
        </w:trPr>
        <w:tc>
          <w:tcPr>
            <w:tcW w:w="2006" w:type="pct"/>
            <w:tcBorders>
              <w:top w:val="nil"/>
              <w:left w:val="nil"/>
              <w:bottom w:val="nil"/>
              <w:right w:val="nil"/>
            </w:tcBorders>
            <w:shd w:val="clear" w:color="000000" w:fill="FFFFFF"/>
            <w:vAlign w:val="center"/>
          </w:tcPr>
          <w:p w14:paraId="786DD2DD" w14:textId="7BB2526F" w:rsidR="000E539A" w:rsidRPr="00181464" w:rsidRDefault="000E539A" w:rsidP="000E539A">
            <w:pPr>
              <w:spacing w:after="0" w:line="240" w:lineRule="auto"/>
              <w:jc w:val="left"/>
              <w:rPr>
                <w:rFonts w:eastAsia="Times New Roman" w:cs="Times New Roman"/>
                <w:color w:val="000000"/>
                <w:sz w:val="18"/>
                <w:szCs w:val="18"/>
                <w:lang w:eastAsia="sk-SK"/>
              </w:rPr>
            </w:pPr>
            <w:r w:rsidRPr="00181464">
              <w:rPr>
                <w:sz w:val="18"/>
                <w:szCs w:val="18"/>
              </w:rPr>
              <w:t>Švajčiarsky finančný mechanizmus</w:t>
            </w:r>
          </w:p>
        </w:tc>
        <w:tc>
          <w:tcPr>
            <w:tcW w:w="540" w:type="pct"/>
            <w:tcBorders>
              <w:top w:val="nil"/>
              <w:left w:val="nil"/>
              <w:bottom w:val="nil"/>
              <w:right w:val="nil"/>
            </w:tcBorders>
            <w:shd w:val="clear" w:color="000000" w:fill="FFFFFF"/>
            <w:noWrap/>
            <w:vAlign w:val="center"/>
          </w:tcPr>
          <w:p w14:paraId="283F6CE9" w14:textId="18292AE0" w:rsidR="000E539A" w:rsidRPr="00181464" w:rsidRDefault="000E539A" w:rsidP="000E539A">
            <w:pPr>
              <w:spacing w:after="0" w:line="240" w:lineRule="auto"/>
              <w:jc w:val="right"/>
              <w:rPr>
                <w:color w:val="000000"/>
                <w:sz w:val="18"/>
                <w:szCs w:val="18"/>
              </w:rPr>
            </w:pPr>
            <w:r w:rsidRPr="00181464">
              <w:rPr>
                <w:color w:val="000000"/>
                <w:sz w:val="18"/>
                <w:szCs w:val="18"/>
              </w:rPr>
              <w:t>0</w:t>
            </w:r>
          </w:p>
        </w:tc>
        <w:tc>
          <w:tcPr>
            <w:tcW w:w="540" w:type="pct"/>
            <w:tcBorders>
              <w:top w:val="nil"/>
              <w:left w:val="nil"/>
              <w:bottom w:val="nil"/>
              <w:right w:val="nil"/>
            </w:tcBorders>
            <w:shd w:val="clear" w:color="000000" w:fill="FFFFFF"/>
            <w:noWrap/>
            <w:vAlign w:val="center"/>
          </w:tcPr>
          <w:p w14:paraId="2441ED9B" w14:textId="7E5E91C9" w:rsidR="000E539A" w:rsidRPr="00181464" w:rsidRDefault="000E539A" w:rsidP="000E539A">
            <w:pPr>
              <w:spacing w:after="0" w:line="240" w:lineRule="auto"/>
              <w:jc w:val="right"/>
              <w:rPr>
                <w:color w:val="000000"/>
                <w:sz w:val="18"/>
                <w:szCs w:val="18"/>
              </w:rPr>
            </w:pPr>
            <w:r w:rsidRPr="00181464">
              <w:rPr>
                <w:color w:val="000000"/>
                <w:sz w:val="18"/>
                <w:szCs w:val="18"/>
              </w:rPr>
              <w:t>0</w:t>
            </w:r>
          </w:p>
        </w:tc>
        <w:tc>
          <w:tcPr>
            <w:tcW w:w="464" w:type="pct"/>
            <w:tcBorders>
              <w:top w:val="nil"/>
              <w:left w:val="nil"/>
              <w:bottom w:val="nil"/>
              <w:right w:val="nil"/>
            </w:tcBorders>
            <w:shd w:val="clear" w:color="000000" w:fill="FFFFFF"/>
            <w:noWrap/>
            <w:vAlign w:val="center"/>
          </w:tcPr>
          <w:p w14:paraId="10450750" w14:textId="0D0BD7FD" w:rsidR="000E539A" w:rsidRPr="00181464" w:rsidRDefault="000E539A" w:rsidP="000E539A">
            <w:pPr>
              <w:spacing w:after="0" w:line="240" w:lineRule="auto"/>
              <w:jc w:val="right"/>
              <w:rPr>
                <w:color w:val="000000"/>
                <w:sz w:val="18"/>
                <w:szCs w:val="18"/>
              </w:rPr>
            </w:pPr>
            <w:r w:rsidRPr="00181464">
              <w:rPr>
                <w:color w:val="000000"/>
                <w:sz w:val="18"/>
                <w:szCs w:val="18"/>
              </w:rPr>
              <w:t>307</w:t>
            </w:r>
          </w:p>
        </w:tc>
        <w:tc>
          <w:tcPr>
            <w:tcW w:w="540" w:type="pct"/>
            <w:tcBorders>
              <w:top w:val="nil"/>
              <w:left w:val="nil"/>
              <w:bottom w:val="nil"/>
              <w:right w:val="nil"/>
            </w:tcBorders>
            <w:shd w:val="clear" w:color="000000" w:fill="FFFFFF"/>
            <w:noWrap/>
            <w:vAlign w:val="center"/>
          </w:tcPr>
          <w:p w14:paraId="43363DC9" w14:textId="1A69C414" w:rsidR="000E539A" w:rsidRPr="00181464" w:rsidRDefault="000E539A" w:rsidP="000E539A">
            <w:pPr>
              <w:spacing w:after="0" w:line="240" w:lineRule="auto"/>
              <w:jc w:val="right"/>
              <w:rPr>
                <w:color w:val="000000"/>
                <w:sz w:val="18"/>
                <w:szCs w:val="18"/>
              </w:rPr>
            </w:pPr>
            <w:r w:rsidRPr="00181464">
              <w:rPr>
                <w:color w:val="000000"/>
                <w:sz w:val="18"/>
                <w:szCs w:val="18"/>
              </w:rPr>
              <w:t>0</w:t>
            </w:r>
          </w:p>
        </w:tc>
        <w:tc>
          <w:tcPr>
            <w:tcW w:w="446" w:type="pct"/>
            <w:gridSpan w:val="2"/>
            <w:tcBorders>
              <w:top w:val="nil"/>
              <w:left w:val="nil"/>
              <w:bottom w:val="nil"/>
              <w:right w:val="nil"/>
            </w:tcBorders>
            <w:shd w:val="clear" w:color="000000" w:fill="FFFFFF"/>
            <w:noWrap/>
            <w:vAlign w:val="center"/>
          </w:tcPr>
          <w:p w14:paraId="12ED2AEE" w14:textId="6693EB76" w:rsidR="000E539A" w:rsidRPr="00181464" w:rsidRDefault="000E539A" w:rsidP="000E539A">
            <w:pPr>
              <w:spacing w:after="0" w:line="240" w:lineRule="auto"/>
              <w:jc w:val="right"/>
              <w:rPr>
                <w:color w:val="000000"/>
                <w:sz w:val="18"/>
                <w:szCs w:val="18"/>
              </w:rPr>
            </w:pPr>
            <w:r w:rsidRPr="00181464">
              <w:rPr>
                <w:color w:val="000000"/>
                <w:sz w:val="18"/>
                <w:szCs w:val="18"/>
              </w:rPr>
              <w:t>-307</w:t>
            </w:r>
          </w:p>
        </w:tc>
        <w:tc>
          <w:tcPr>
            <w:tcW w:w="464" w:type="pct"/>
            <w:tcBorders>
              <w:top w:val="nil"/>
              <w:left w:val="nil"/>
              <w:bottom w:val="nil"/>
              <w:right w:val="nil"/>
            </w:tcBorders>
            <w:shd w:val="clear" w:color="000000" w:fill="FFFFFF"/>
            <w:noWrap/>
            <w:vAlign w:val="center"/>
          </w:tcPr>
          <w:p w14:paraId="2F9496F2" w14:textId="53BCF08C" w:rsidR="000E539A" w:rsidRPr="00181464" w:rsidRDefault="000E539A" w:rsidP="000E539A">
            <w:pPr>
              <w:spacing w:after="0" w:line="240" w:lineRule="auto"/>
              <w:jc w:val="right"/>
              <w:rPr>
                <w:color w:val="000000"/>
                <w:sz w:val="18"/>
                <w:szCs w:val="18"/>
              </w:rPr>
            </w:pPr>
            <w:r w:rsidRPr="00181464">
              <w:rPr>
                <w:color w:val="000000"/>
                <w:sz w:val="18"/>
                <w:szCs w:val="18"/>
              </w:rPr>
              <w:t>-100,0</w:t>
            </w:r>
          </w:p>
        </w:tc>
      </w:tr>
      <w:tr w:rsidR="000E539A" w:rsidRPr="00181464" w14:paraId="70EB2CAE" w14:textId="77777777" w:rsidTr="000E539A">
        <w:trPr>
          <w:trHeight w:val="609"/>
        </w:trPr>
        <w:tc>
          <w:tcPr>
            <w:tcW w:w="2006" w:type="pct"/>
            <w:tcBorders>
              <w:top w:val="nil"/>
              <w:left w:val="nil"/>
              <w:bottom w:val="nil"/>
              <w:right w:val="nil"/>
            </w:tcBorders>
            <w:shd w:val="clear" w:color="000000" w:fill="FFFFFF"/>
            <w:vAlign w:val="center"/>
            <w:hideMark/>
          </w:tcPr>
          <w:p w14:paraId="6F01816C" w14:textId="77777777" w:rsidR="000E539A" w:rsidRPr="00181464" w:rsidRDefault="000E539A" w:rsidP="000E539A">
            <w:pPr>
              <w:spacing w:after="0" w:line="240" w:lineRule="auto"/>
              <w:jc w:val="lef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Spolu spolufinancovanie k prostriedkom poskytnutým na základe medzinárodných zmlúv</w:t>
            </w:r>
          </w:p>
        </w:tc>
        <w:tc>
          <w:tcPr>
            <w:tcW w:w="540" w:type="pct"/>
            <w:tcBorders>
              <w:top w:val="nil"/>
              <w:left w:val="nil"/>
              <w:bottom w:val="nil"/>
              <w:right w:val="nil"/>
            </w:tcBorders>
            <w:shd w:val="clear" w:color="000000" w:fill="FFFFFF"/>
            <w:noWrap/>
            <w:vAlign w:val="center"/>
          </w:tcPr>
          <w:p w14:paraId="27CEEF24" w14:textId="12A47C91"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2 213</w:t>
            </w:r>
          </w:p>
        </w:tc>
        <w:tc>
          <w:tcPr>
            <w:tcW w:w="540" w:type="pct"/>
            <w:tcBorders>
              <w:top w:val="nil"/>
              <w:left w:val="nil"/>
              <w:bottom w:val="nil"/>
              <w:right w:val="nil"/>
            </w:tcBorders>
            <w:shd w:val="clear" w:color="000000" w:fill="FFFFFF"/>
            <w:noWrap/>
            <w:vAlign w:val="center"/>
          </w:tcPr>
          <w:p w14:paraId="48B908ED" w14:textId="4B4B7DD3"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2 373</w:t>
            </w:r>
          </w:p>
        </w:tc>
        <w:tc>
          <w:tcPr>
            <w:tcW w:w="464" w:type="pct"/>
            <w:tcBorders>
              <w:top w:val="nil"/>
              <w:left w:val="nil"/>
              <w:bottom w:val="nil"/>
              <w:right w:val="nil"/>
            </w:tcBorders>
            <w:shd w:val="clear" w:color="000000" w:fill="FFFFFF"/>
            <w:noWrap/>
            <w:vAlign w:val="center"/>
          </w:tcPr>
          <w:p w14:paraId="7D98458F" w14:textId="2A26D581"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2 329</w:t>
            </w:r>
          </w:p>
        </w:tc>
        <w:tc>
          <w:tcPr>
            <w:tcW w:w="540" w:type="pct"/>
            <w:tcBorders>
              <w:top w:val="nil"/>
              <w:left w:val="nil"/>
              <w:bottom w:val="nil"/>
              <w:right w:val="nil"/>
            </w:tcBorders>
            <w:shd w:val="clear" w:color="auto" w:fill="auto"/>
            <w:noWrap/>
            <w:vAlign w:val="center"/>
          </w:tcPr>
          <w:p w14:paraId="55B17A81" w14:textId="2ED98524"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1 377</w:t>
            </w:r>
          </w:p>
        </w:tc>
        <w:tc>
          <w:tcPr>
            <w:tcW w:w="446" w:type="pct"/>
            <w:gridSpan w:val="2"/>
            <w:tcBorders>
              <w:top w:val="nil"/>
              <w:left w:val="nil"/>
              <w:bottom w:val="nil"/>
              <w:right w:val="nil"/>
            </w:tcBorders>
            <w:shd w:val="clear" w:color="000000" w:fill="FFFFFF"/>
            <w:noWrap/>
            <w:vAlign w:val="center"/>
          </w:tcPr>
          <w:p w14:paraId="14B594F0" w14:textId="69D5704C"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-952</w:t>
            </w:r>
          </w:p>
        </w:tc>
        <w:tc>
          <w:tcPr>
            <w:tcW w:w="464" w:type="pct"/>
            <w:tcBorders>
              <w:top w:val="nil"/>
              <w:left w:val="nil"/>
              <w:bottom w:val="nil"/>
              <w:right w:val="nil"/>
            </w:tcBorders>
            <w:shd w:val="clear" w:color="000000" w:fill="FFFFFF"/>
            <w:noWrap/>
            <w:vAlign w:val="center"/>
          </w:tcPr>
          <w:p w14:paraId="151F6826" w14:textId="3C41F29E"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-40,9</w:t>
            </w:r>
          </w:p>
        </w:tc>
      </w:tr>
      <w:tr w:rsidR="000E539A" w:rsidRPr="00181464" w14:paraId="09743082" w14:textId="77777777" w:rsidTr="000E539A">
        <w:trPr>
          <w:trHeight w:val="275"/>
        </w:trPr>
        <w:tc>
          <w:tcPr>
            <w:tcW w:w="2006" w:type="pct"/>
            <w:tcBorders>
              <w:top w:val="single" w:sz="4" w:space="0" w:color="auto"/>
              <w:left w:val="nil"/>
              <w:bottom w:val="single" w:sz="8" w:space="0" w:color="auto"/>
              <w:right w:val="nil"/>
            </w:tcBorders>
            <w:shd w:val="clear" w:color="000000" w:fill="FFFFFF"/>
            <w:vAlign w:val="center"/>
            <w:hideMark/>
          </w:tcPr>
          <w:p w14:paraId="091DF5DE" w14:textId="77777777" w:rsidR="000E539A" w:rsidRPr="00181464" w:rsidRDefault="000E539A" w:rsidP="000E539A">
            <w:pPr>
              <w:spacing w:after="0" w:line="240" w:lineRule="auto"/>
              <w:jc w:val="lef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 xml:space="preserve">Spolu </w:t>
            </w:r>
          </w:p>
        </w:tc>
        <w:tc>
          <w:tcPr>
            <w:tcW w:w="540" w:type="pct"/>
            <w:tcBorders>
              <w:top w:val="single" w:sz="4" w:space="0" w:color="auto"/>
              <w:left w:val="nil"/>
              <w:bottom w:val="single" w:sz="8" w:space="0" w:color="auto"/>
              <w:right w:val="nil"/>
            </w:tcBorders>
            <w:shd w:val="clear" w:color="000000" w:fill="FFFFFF"/>
            <w:noWrap/>
            <w:vAlign w:val="center"/>
          </w:tcPr>
          <w:p w14:paraId="5D6DF36E" w14:textId="0B39AED8"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6 935</w:t>
            </w:r>
          </w:p>
        </w:tc>
        <w:tc>
          <w:tcPr>
            <w:tcW w:w="540" w:type="pct"/>
            <w:tcBorders>
              <w:top w:val="single" w:sz="4" w:space="0" w:color="auto"/>
              <w:left w:val="nil"/>
              <w:bottom w:val="single" w:sz="8" w:space="0" w:color="auto"/>
              <w:right w:val="nil"/>
            </w:tcBorders>
            <w:shd w:val="clear" w:color="000000" w:fill="FFFFFF"/>
            <w:noWrap/>
            <w:vAlign w:val="center"/>
          </w:tcPr>
          <w:p w14:paraId="5E209C20" w14:textId="3EF54612"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8 392</w:t>
            </w:r>
          </w:p>
        </w:tc>
        <w:tc>
          <w:tcPr>
            <w:tcW w:w="464" w:type="pct"/>
            <w:tcBorders>
              <w:top w:val="single" w:sz="4" w:space="0" w:color="auto"/>
              <w:left w:val="nil"/>
              <w:bottom w:val="single" w:sz="8" w:space="0" w:color="auto"/>
              <w:right w:val="nil"/>
            </w:tcBorders>
            <w:shd w:val="clear" w:color="000000" w:fill="FFFFFF"/>
            <w:noWrap/>
            <w:vAlign w:val="center"/>
          </w:tcPr>
          <w:p w14:paraId="2412574F" w14:textId="628E03D1"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16 143</w:t>
            </w:r>
          </w:p>
        </w:tc>
        <w:tc>
          <w:tcPr>
            <w:tcW w:w="540" w:type="pct"/>
            <w:tcBorders>
              <w:top w:val="single" w:sz="4" w:space="0" w:color="auto"/>
              <w:left w:val="nil"/>
              <w:bottom w:val="single" w:sz="8" w:space="0" w:color="auto"/>
              <w:right w:val="nil"/>
            </w:tcBorders>
            <w:shd w:val="clear" w:color="000000" w:fill="FFFFFF"/>
            <w:noWrap/>
            <w:vAlign w:val="center"/>
          </w:tcPr>
          <w:p w14:paraId="6EAC49D0" w14:textId="7D355C9D"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7 054</w:t>
            </w:r>
          </w:p>
        </w:tc>
        <w:tc>
          <w:tcPr>
            <w:tcW w:w="446" w:type="pct"/>
            <w:gridSpan w:val="2"/>
            <w:tcBorders>
              <w:top w:val="single" w:sz="4" w:space="0" w:color="auto"/>
              <w:left w:val="nil"/>
              <w:bottom w:val="single" w:sz="8" w:space="0" w:color="auto"/>
              <w:right w:val="nil"/>
            </w:tcBorders>
            <w:shd w:val="clear" w:color="000000" w:fill="FFFFFF"/>
            <w:noWrap/>
            <w:vAlign w:val="center"/>
          </w:tcPr>
          <w:p w14:paraId="6298A1C7" w14:textId="032EDE43"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-9 089</w:t>
            </w:r>
          </w:p>
        </w:tc>
        <w:tc>
          <w:tcPr>
            <w:tcW w:w="464" w:type="pct"/>
            <w:tcBorders>
              <w:top w:val="single" w:sz="4" w:space="0" w:color="auto"/>
              <w:left w:val="nil"/>
              <w:bottom w:val="single" w:sz="8" w:space="0" w:color="auto"/>
              <w:right w:val="nil"/>
            </w:tcBorders>
            <w:shd w:val="clear" w:color="000000" w:fill="FFFFFF"/>
            <w:noWrap/>
            <w:vAlign w:val="center"/>
          </w:tcPr>
          <w:p w14:paraId="14833AD1" w14:textId="3811611E"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-56,3</w:t>
            </w:r>
          </w:p>
        </w:tc>
      </w:tr>
    </w:tbl>
    <w:p w14:paraId="0BCB77CC" w14:textId="77777777" w:rsidR="000E539A" w:rsidRPr="00181464" w:rsidRDefault="000E539A" w:rsidP="000E539A">
      <w:pPr>
        <w:jc w:val="right"/>
        <w:rPr>
          <w:sz w:val="18"/>
          <w:szCs w:val="18"/>
        </w:rPr>
      </w:pPr>
      <w:r w:rsidRPr="00181464">
        <w:rPr>
          <w:sz w:val="18"/>
          <w:szCs w:val="18"/>
        </w:rPr>
        <w:t>Zdroj: MF SR</w:t>
      </w:r>
    </w:p>
    <w:p w14:paraId="60237837" w14:textId="5A6DD389" w:rsidR="000E539A" w:rsidRPr="000E539A" w:rsidRDefault="000E539A" w:rsidP="000E539A">
      <w:pPr>
        <w:spacing w:line="240" w:lineRule="auto"/>
        <w:rPr>
          <w:sz w:val="24"/>
          <w:szCs w:val="24"/>
        </w:rPr>
      </w:pPr>
      <w:r w:rsidRPr="000E539A">
        <w:rPr>
          <w:sz w:val="24"/>
          <w:szCs w:val="24"/>
        </w:rPr>
        <w:lastRenderedPageBreak/>
        <w:t xml:space="preserve">Celkový prehľad výdavkov na spolufinancovanie zo štátneho rozpočtu k prostriedkom EÚ, </w:t>
      </w:r>
      <w:r>
        <w:rPr>
          <w:sz w:val="24"/>
          <w:szCs w:val="24"/>
        </w:rPr>
        <w:t>k </w:t>
      </w:r>
      <w:r w:rsidRPr="000E539A">
        <w:rPr>
          <w:sz w:val="24"/>
          <w:szCs w:val="24"/>
        </w:rPr>
        <w:t>zahraničným grantom z prostriedkov EÚ a zahraničným grantom poskytnutým na základe medzinárodných zmlúv vrátane vnútorných politík EÚ je uvedený v nasledovnej tabuľke:</w:t>
      </w:r>
    </w:p>
    <w:tbl>
      <w:tblPr>
        <w:tblW w:w="9214" w:type="dxa"/>
        <w:tblLayout w:type="fixed"/>
        <w:tblCellMar>
          <w:left w:w="70" w:type="dxa"/>
          <w:right w:w="70" w:type="dxa"/>
        </w:tblCellMar>
        <w:tblLook w:val="04A0" w:firstRow="1" w:lastRow="0" w:firstColumn="1" w:lastColumn="0" w:noHBand="0" w:noVBand="1"/>
      </w:tblPr>
      <w:tblGrid>
        <w:gridCol w:w="3987"/>
        <w:gridCol w:w="960"/>
        <w:gridCol w:w="826"/>
        <w:gridCol w:w="826"/>
        <w:gridCol w:w="826"/>
        <w:gridCol w:w="962"/>
        <w:gridCol w:w="827"/>
      </w:tblGrid>
      <w:tr w:rsidR="000E539A" w:rsidRPr="00763A0B" w14:paraId="379FBAA7" w14:textId="77777777" w:rsidTr="0031658D">
        <w:trPr>
          <w:trHeight w:val="266"/>
        </w:trPr>
        <w:tc>
          <w:tcPr>
            <w:tcW w:w="5000" w:type="pct"/>
            <w:gridSpan w:val="7"/>
            <w:tcBorders>
              <w:top w:val="nil"/>
              <w:left w:val="nil"/>
              <w:bottom w:val="single" w:sz="4" w:space="0" w:color="auto"/>
              <w:right w:val="nil"/>
            </w:tcBorders>
            <w:shd w:val="clear" w:color="auto" w:fill="auto"/>
            <w:noWrap/>
            <w:vAlign w:val="bottom"/>
            <w:hideMark/>
          </w:tcPr>
          <w:p w14:paraId="59EB6C1F" w14:textId="34C0CEA1" w:rsidR="000E539A" w:rsidRPr="00763A0B" w:rsidRDefault="000E539A" w:rsidP="00153978">
            <w:pPr>
              <w:spacing w:line="240" w:lineRule="auto"/>
              <w:jc w:val="left"/>
              <w:rPr>
                <w:rFonts w:eastAsia="Times New Roman" w:cs="Times New Roman"/>
                <w:b/>
                <w:bCs/>
                <w:color w:val="5B9BD5" w:themeColor="accent1"/>
                <w:sz w:val="20"/>
                <w:szCs w:val="20"/>
                <w:lang w:eastAsia="sk-SK"/>
              </w:rPr>
            </w:pPr>
            <w:r w:rsidRPr="00745CCE">
              <w:rPr>
                <w:rFonts w:eastAsia="Times New Roman" w:cs="Times New Roman"/>
                <w:b/>
                <w:bCs/>
                <w:color w:val="5B9BD5" w:themeColor="accent1"/>
                <w:sz w:val="20"/>
                <w:szCs w:val="20"/>
                <w:lang w:eastAsia="sk-SK"/>
              </w:rPr>
              <w:t xml:space="preserve">Tabuľka </w:t>
            </w:r>
            <w:r>
              <w:rPr>
                <w:rFonts w:eastAsia="Times New Roman" w:cs="Times New Roman"/>
                <w:b/>
                <w:bCs/>
                <w:color w:val="5B9BD5" w:themeColor="accent1"/>
                <w:sz w:val="20"/>
                <w:szCs w:val="20"/>
                <w:lang w:eastAsia="sk-SK"/>
              </w:rPr>
              <w:t>6</w:t>
            </w:r>
            <w:r w:rsidR="00153978">
              <w:rPr>
                <w:rFonts w:eastAsia="Times New Roman" w:cs="Times New Roman"/>
                <w:b/>
                <w:bCs/>
                <w:color w:val="5B9BD5" w:themeColor="accent1"/>
                <w:sz w:val="20"/>
                <w:szCs w:val="20"/>
                <w:lang w:eastAsia="sk-SK"/>
              </w:rPr>
              <w:t>9</w:t>
            </w:r>
            <w:r>
              <w:rPr>
                <w:rFonts w:eastAsia="Times New Roman" w:cs="Times New Roman"/>
                <w:b/>
                <w:bCs/>
                <w:color w:val="5B9BD5" w:themeColor="accent1"/>
                <w:sz w:val="20"/>
                <w:szCs w:val="20"/>
                <w:lang w:eastAsia="sk-SK"/>
              </w:rPr>
              <w:t xml:space="preserve"> - </w:t>
            </w:r>
            <w:r w:rsidRPr="00763A0B">
              <w:rPr>
                <w:rFonts w:eastAsia="Times New Roman" w:cs="Times New Roman"/>
                <w:b/>
                <w:bCs/>
                <w:color w:val="5B9BD5" w:themeColor="accent1"/>
                <w:sz w:val="20"/>
                <w:szCs w:val="20"/>
                <w:lang w:eastAsia="sk-SK"/>
              </w:rPr>
              <w:t>Celkový prehľad spolufinancovania zo ŠR vrátane vnútorných politík EÚ</w:t>
            </w:r>
          </w:p>
        </w:tc>
      </w:tr>
      <w:tr w:rsidR="000E539A" w:rsidRPr="00181464" w14:paraId="5C7BABBA" w14:textId="77777777" w:rsidTr="000E539A">
        <w:trPr>
          <w:trHeight w:val="266"/>
        </w:trPr>
        <w:tc>
          <w:tcPr>
            <w:tcW w:w="2164" w:type="pct"/>
            <w:vMerge w:val="restart"/>
            <w:tcBorders>
              <w:top w:val="nil"/>
              <w:left w:val="nil"/>
              <w:right w:val="nil"/>
            </w:tcBorders>
            <w:shd w:val="clear" w:color="auto" w:fill="auto"/>
            <w:vAlign w:val="center"/>
            <w:hideMark/>
          </w:tcPr>
          <w:p w14:paraId="05C866E6" w14:textId="77777777" w:rsidR="000E539A" w:rsidRPr="00181464" w:rsidRDefault="000E539A" w:rsidP="0031658D">
            <w:pPr>
              <w:spacing w:after="0" w:line="240" w:lineRule="auto"/>
              <w:jc w:val="left"/>
              <w:rPr>
                <w:rFonts w:eastAsia="Times New Roman" w:cs="Times New Roman"/>
                <w:b/>
                <w:bCs/>
                <w:sz w:val="18"/>
                <w:szCs w:val="18"/>
                <w:lang w:eastAsia="sk-SK"/>
              </w:rPr>
            </w:pPr>
            <w:r w:rsidRPr="00181464">
              <w:rPr>
                <w:rFonts w:eastAsia="Times New Roman" w:cs="Times New Roman"/>
                <w:b/>
                <w:bCs/>
                <w:sz w:val="18"/>
                <w:szCs w:val="18"/>
                <w:lang w:eastAsia="sk-SK"/>
              </w:rPr>
              <w:t>v tis. eur</w:t>
            </w:r>
            <w:r w:rsidRPr="00181464">
              <w:rPr>
                <w:rFonts w:eastAsia="Times New Roman" w:cs="Times New Roman"/>
                <w:b/>
                <w:bCs/>
                <w:color w:val="FFFFFF"/>
                <w:sz w:val="18"/>
                <w:szCs w:val="18"/>
                <w:lang w:eastAsia="sk-SK"/>
              </w:rPr>
              <w:t> </w:t>
            </w:r>
          </w:p>
        </w:tc>
        <w:tc>
          <w:tcPr>
            <w:tcW w:w="521" w:type="pct"/>
            <w:tcBorders>
              <w:top w:val="nil"/>
              <w:left w:val="nil"/>
              <w:bottom w:val="nil"/>
              <w:right w:val="nil"/>
            </w:tcBorders>
            <w:shd w:val="clear" w:color="auto" w:fill="auto"/>
            <w:vAlign w:val="center"/>
            <w:hideMark/>
          </w:tcPr>
          <w:p w14:paraId="74202AF1" w14:textId="48487542" w:rsidR="000E539A" w:rsidRPr="00181464" w:rsidRDefault="000E539A" w:rsidP="000E539A">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2021 S</w:t>
            </w:r>
          </w:p>
        </w:tc>
        <w:tc>
          <w:tcPr>
            <w:tcW w:w="448" w:type="pct"/>
            <w:tcBorders>
              <w:top w:val="nil"/>
              <w:left w:val="nil"/>
              <w:bottom w:val="nil"/>
              <w:right w:val="nil"/>
            </w:tcBorders>
            <w:shd w:val="clear" w:color="auto" w:fill="auto"/>
            <w:vAlign w:val="center"/>
            <w:hideMark/>
          </w:tcPr>
          <w:p w14:paraId="111C51E5" w14:textId="7DD298D0" w:rsidR="000E539A" w:rsidRPr="00181464" w:rsidRDefault="000E539A" w:rsidP="000E539A">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2022 S</w:t>
            </w:r>
          </w:p>
        </w:tc>
        <w:tc>
          <w:tcPr>
            <w:tcW w:w="448" w:type="pct"/>
            <w:tcBorders>
              <w:top w:val="nil"/>
              <w:left w:val="nil"/>
              <w:bottom w:val="nil"/>
              <w:right w:val="nil"/>
            </w:tcBorders>
            <w:shd w:val="clear" w:color="auto" w:fill="auto"/>
            <w:vAlign w:val="center"/>
            <w:hideMark/>
          </w:tcPr>
          <w:p w14:paraId="067E78DD" w14:textId="233028D6" w:rsidR="000E539A" w:rsidRPr="00181464" w:rsidRDefault="000E539A" w:rsidP="000E539A">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2023 R</w:t>
            </w:r>
          </w:p>
        </w:tc>
        <w:tc>
          <w:tcPr>
            <w:tcW w:w="448" w:type="pct"/>
            <w:tcBorders>
              <w:top w:val="nil"/>
              <w:left w:val="nil"/>
              <w:bottom w:val="nil"/>
              <w:right w:val="nil"/>
            </w:tcBorders>
            <w:shd w:val="clear" w:color="auto" w:fill="auto"/>
            <w:vAlign w:val="center"/>
            <w:hideMark/>
          </w:tcPr>
          <w:p w14:paraId="3CEF7261" w14:textId="74BF5F83" w:rsidR="000E539A" w:rsidRPr="00181464" w:rsidRDefault="000E539A" w:rsidP="000E539A">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2023 S</w:t>
            </w:r>
          </w:p>
        </w:tc>
        <w:tc>
          <w:tcPr>
            <w:tcW w:w="522" w:type="pct"/>
            <w:tcBorders>
              <w:top w:val="nil"/>
              <w:left w:val="nil"/>
              <w:bottom w:val="nil"/>
              <w:right w:val="nil"/>
            </w:tcBorders>
            <w:shd w:val="clear" w:color="auto" w:fill="auto"/>
            <w:vAlign w:val="center"/>
            <w:hideMark/>
          </w:tcPr>
          <w:p w14:paraId="4903C0A4" w14:textId="77777777" w:rsidR="000E539A" w:rsidRPr="00181464" w:rsidRDefault="000E539A" w:rsidP="0031658D">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Rozdiel</w:t>
            </w:r>
          </w:p>
        </w:tc>
        <w:tc>
          <w:tcPr>
            <w:tcW w:w="449" w:type="pct"/>
            <w:tcBorders>
              <w:top w:val="nil"/>
              <w:left w:val="nil"/>
              <w:bottom w:val="nil"/>
              <w:right w:val="nil"/>
            </w:tcBorders>
            <w:shd w:val="clear" w:color="auto" w:fill="auto"/>
            <w:vAlign w:val="center"/>
          </w:tcPr>
          <w:p w14:paraId="30021F68" w14:textId="77777777" w:rsidR="000E539A" w:rsidRPr="00181464" w:rsidRDefault="000E539A" w:rsidP="0031658D">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v %</w:t>
            </w:r>
          </w:p>
        </w:tc>
      </w:tr>
      <w:tr w:rsidR="000E539A" w:rsidRPr="00181464" w14:paraId="0F70AD06" w14:textId="77777777" w:rsidTr="000E539A">
        <w:trPr>
          <w:trHeight w:val="155"/>
        </w:trPr>
        <w:tc>
          <w:tcPr>
            <w:tcW w:w="2164" w:type="pct"/>
            <w:vMerge/>
            <w:tcBorders>
              <w:left w:val="nil"/>
              <w:bottom w:val="single" w:sz="8" w:space="0" w:color="auto"/>
              <w:right w:val="nil"/>
            </w:tcBorders>
            <w:shd w:val="clear" w:color="auto" w:fill="auto"/>
            <w:vAlign w:val="center"/>
            <w:hideMark/>
          </w:tcPr>
          <w:p w14:paraId="0F77DB56" w14:textId="77777777" w:rsidR="000E539A" w:rsidRPr="00181464" w:rsidRDefault="000E539A" w:rsidP="0031658D">
            <w:pPr>
              <w:spacing w:after="0" w:line="240" w:lineRule="auto"/>
              <w:jc w:val="left"/>
              <w:rPr>
                <w:rFonts w:eastAsia="Times New Roman" w:cs="Times New Roman"/>
                <w:b/>
                <w:bCs/>
                <w:color w:val="FFFFFF"/>
                <w:sz w:val="18"/>
                <w:szCs w:val="18"/>
                <w:lang w:eastAsia="sk-SK"/>
              </w:rPr>
            </w:pPr>
          </w:p>
        </w:tc>
        <w:tc>
          <w:tcPr>
            <w:tcW w:w="521" w:type="pct"/>
            <w:tcBorders>
              <w:top w:val="nil"/>
              <w:left w:val="nil"/>
              <w:bottom w:val="single" w:sz="8" w:space="0" w:color="auto"/>
              <w:right w:val="nil"/>
            </w:tcBorders>
            <w:shd w:val="clear" w:color="auto" w:fill="auto"/>
            <w:vAlign w:val="center"/>
            <w:hideMark/>
          </w:tcPr>
          <w:p w14:paraId="042620C7" w14:textId="77777777" w:rsidR="000E539A" w:rsidRPr="00181464" w:rsidRDefault="000E539A" w:rsidP="0031658D">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1</w:t>
            </w:r>
          </w:p>
        </w:tc>
        <w:tc>
          <w:tcPr>
            <w:tcW w:w="448" w:type="pct"/>
            <w:tcBorders>
              <w:top w:val="nil"/>
              <w:left w:val="nil"/>
              <w:bottom w:val="single" w:sz="8" w:space="0" w:color="auto"/>
              <w:right w:val="nil"/>
            </w:tcBorders>
            <w:shd w:val="clear" w:color="auto" w:fill="auto"/>
            <w:vAlign w:val="center"/>
            <w:hideMark/>
          </w:tcPr>
          <w:p w14:paraId="45C41E0D" w14:textId="77777777" w:rsidR="000E539A" w:rsidRPr="00181464" w:rsidRDefault="000E539A" w:rsidP="0031658D">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2</w:t>
            </w:r>
          </w:p>
        </w:tc>
        <w:tc>
          <w:tcPr>
            <w:tcW w:w="448" w:type="pct"/>
            <w:tcBorders>
              <w:top w:val="nil"/>
              <w:left w:val="nil"/>
              <w:bottom w:val="single" w:sz="8" w:space="0" w:color="auto"/>
              <w:right w:val="nil"/>
            </w:tcBorders>
            <w:shd w:val="clear" w:color="auto" w:fill="auto"/>
            <w:vAlign w:val="center"/>
            <w:hideMark/>
          </w:tcPr>
          <w:p w14:paraId="0FC1B590" w14:textId="77777777" w:rsidR="000E539A" w:rsidRPr="00181464" w:rsidRDefault="000E539A" w:rsidP="0031658D">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3</w:t>
            </w:r>
          </w:p>
        </w:tc>
        <w:tc>
          <w:tcPr>
            <w:tcW w:w="448" w:type="pct"/>
            <w:tcBorders>
              <w:top w:val="nil"/>
              <w:left w:val="nil"/>
              <w:bottom w:val="single" w:sz="8" w:space="0" w:color="auto"/>
              <w:right w:val="nil"/>
            </w:tcBorders>
            <w:shd w:val="clear" w:color="auto" w:fill="auto"/>
            <w:vAlign w:val="center"/>
            <w:hideMark/>
          </w:tcPr>
          <w:p w14:paraId="155F0AD0" w14:textId="77777777" w:rsidR="000E539A" w:rsidRPr="00181464" w:rsidRDefault="000E539A" w:rsidP="0031658D">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4</w:t>
            </w:r>
          </w:p>
        </w:tc>
        <w:tc>
          <w:tcPr>
            <w:tcW w:w="522" w:type="pct"/>
            <w:tcBorders>
              <w:top w:val="nil"/>
              <w:left w:val="nil"/>
              <w:bottom w:val="single" w:sz="8" w:space="0" w:color="auto"/>
              <w:right w:val="nil"/>
            </w:tcBorders>
            <w:shd w:val="clear" w:color="auto" w:fill="auto"/>
            <w:vAlign w:val="center"/>
            <w:hideMark/>
          </w:tcPr>
          <w:p w14:paraId="7A2E9B8F" w14:textId="77777777" w:rsidR="000E539A" w:rsidRPr="00181464" w:rsidRDefault="000E539A" w:rsidP="0031658D">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5=4-3</w:t>
            </w:r>
          </w:p>
        </w:tc>
        <w:tc>
          <w:tcPr>
            <w:tcW w:w="449" w:type="pct"/>
            <w:tcBorders>
              <w:top w:val="nil"/>
              <w:left w:val="nil"/>
              <w:bottom w:val="single" w:sz="8" w:space="0" w:color="auto"/>
              <w:right w:val="nil"/>
            </w:tcBorders>
            <w:shd w:val="clear" w:color="auto" w:fill="auto"/>
            <w:vAlign w:val="center"/>
            <w:hideMark/>
          </w:tcPr>
          <w:p w14:paraId="6912C085" w14:textId="77777777" w:rsidR="000E539A" w:rsidRPr="00181464" w:rsidRDefault="000E539A" w:rsidP="0031658D">
            <w:pPr>
              <w:spacing w:after="0" w:line="240" w:lineRule="auto"/>
              <w:jc w:val="center"/>
              <w:rPr>
                <w:rFonts w:eastAsia="Times New Roman" w:cs="Times New Roman"/>
                <w:b/>
                <w:bCs/>
                <w:sz w:val="18"/>
                <w:szCs w:val="18"/>
                <w:lang w:eastAsia="sk-SK"/>
              </w:rPr>
            </w:pPr>
            <w:r w:rsidRPr="00181464">
              <w:rPr>
                <w:rFonts w:eastAsia="Times New Roman" w:cs="Times New Roman"/>
                <w:b/>
                <w:bCs/>
                <w:sz w:val="18"/>
                <w:szCs w:val="18"/>
                <w:lang w:eastAsia="sk-SK"/>
              </w:rPr>
              <w:t>6=4-3</w:t>
            </w:r>
          </w:p>
        </w:tc>
      </w:tr>
      <w:tr w:rsidR="000E539A" w:rsidRPr="00181464" w14:paraId="5F8A0D04" w14:textId="77777777" w:rsidTr="000E539A">
        <w:trPr>
          <w:trHeight w:val="596"/>
        </w:trPr>
        <w:tc>
          <w:tcPr>
            <w:tcW w:w="2164" w:type="pct"/>
            <w:tcBorders>
              <w:top w:val="single" w:sz="4" w:space="0" w:color="auto"/>
              <w:left w:val="nil"/>
              <w:bottom w:val="nil"/>
              <w:right w:val="nil"/>
            </w:tcBorders>
            <w:shd w:val="clear" w:color="auto" w:fill="auto"/>
            <w:vAlign w:val="center"/>
            <w:hideMark/>
          </w:tcPr>
          <w:p w14:paraId="70AA7892" w14:textId="77777777" w:rsidR="000E539A" w:rsidRPr="00181464" w:rsidRDefault="000E539A" w:rsidP="000E539A">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Spolufinancovanie k prostriedkom EÚ (štrukturálne operácie, poľnohospodárske fondy)</w:t>
            </w:r>
          </w:p>
        </w:tc>
        <w:tc>
          <w:tcPr>
            <w:tcW w:w="521" w:type="pct"/>
            <w:tcBorders>
              <w:top w:val="nil"/>
              <w:left w:val="nil"/>
              <w:bottom w:val="nil"/>
              <w:right w:val="nil"/>
            </w:tcBorders>
            <w:shd w:val="clear" w:color="auto" w:fill="auto"/>
            <w:noWrap/>
            <w:vAlign w:val="center"/>
            <w:hideMark/>
          </w:tcPr>
          <w:p w14:paraId="56E07E7C" w14:textId="22A78229" w:rsidR="000E539A" w:rsidRPr="00181464" w:rsidRDefault="000E539A" w:rsidP="000E539A">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371 384</w:t>
            </w:r>
          </w:p>
        </w:tc>
        <w:tc>
          <w:tcPr>
            <w:tcW w:w="448" w:type="pct"/>
            <w:tcBorders>
              <w:top w:val="nil"/>
              <w:left w:val="nil"/>
              <w:bottom w:val="nil"/>
              <w:right w:val="nil"/>
            </w:tcBorders>
            <w:shd w:val="clear" w:color="auto" w:fill="auto"/>
            <w:noWrap/>
            <w:vAlign w:val="center"/>
            <w:hideMark/>
          </w:tcPr>
          <w:p w14:paraId="7D614837" w14:textId="1E627714" w:rsidR="000E539A" w:rsidRPr="00181464" w:rsidRDefault="000E539A" w:rsidP="000E539A">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396 427</w:t>
            </w:r>
          </w:p>
        </w:tc>
        <w:tc>
          <w:tcPr>
            <w:tcW w:w="448" w:type="pct"/>
            <w:tcBorders>
              <w:top w:val="nil"/>
              <w:left w:val="nil"/>
              <w:bottom w:val="nil"/>
              <w:right w:val="nil"/>
            </w:tcBorders>
            <w:shd w:val="clear" w:color="auto" w:fill="auto"/>
            <w:noWrap/>
            <w:vAlign w:val="center"/>
            <w:hideMark/>
          </w:tcPr>
          <w:p w14:paraId="181C58C6" w14:textId="1D42035E" w:rsidR="000E539A" w:rsidRPr="00181464" w:rsidRDefault="000E539A" w:rsidP="000E539A">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954 298</w:t>
            </w:r>
          </w:p>
        </w:tc>
        <w:tc>
          <w:tcPr>
            <w:tcW w:w="448" w:type="pct"/>
            <w:tcBorders>
              <w:top w:val="nil"/>
              <w:left w:val="nil"/>
              <w:bottom w:val="nil"/>
              <w:right w:val="nil"/>
            </w:tcBorders>
            <w:shd w:val="clear" w:color="auto" w:fill="auto"/>
            <w:noWrap/>
            <w:vAlign w:val="center"/>
            <w:hideMark/>
          </w:tcPr>
          <w:p w14:paraId="128661E6" w14:textId="6084A300" w:rsidR="000E539A" w:rsidRPr="00181464" w:rsidRDefault="000E539A" w:rsidP="000E539A">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724 210</w:t>
            </w:r>
          </w:p>
        </w:tc>
        <w:tc>
          <w:tcPr>
            <w:tcW w:w="522" w:type="pct"/>
            <w:tcBorders>
              <w:top w:val="nil"/>
              <w:left w:val="nil"/>
              <w:bottom w:val="nil"/>
              <w:right w:val="nil"/>
            </w:tcBorders>
            <w:shd w:val="clear" w:color="auto" w:fill="auto"/>
            <w:noWrap/>
            <w:vAlign w:val="center"/>
            <w:hideMark/>
          </w:tcPr>
          <w:p w14:paraId="48667059" w14:textId="2C76EC84" w:rsidR="000E539A" w:rsidRPr="00181464" w:rsidRDefault="000E539A" w:rsidP="000E539A">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-230 088</w:t>
            </w:r>
          </w:p>
        </w:tc>
        <w:tc>
          <w:tcPr>
            <w:tcW w:w="449" w:type="pct"/>
            <w:tcBorders>
              <w:top w:val="single" w:sz="4" w:space="0" w:color="auto"/>
              <w:left w:val="nil"/>
              <w:bottom w:val="nil"/>
              <w:right w:val="nil"/>
            </w:tcBorders>
            <w:shd w:val="clear" w:color="auto" w:fill="auto"/>
            <w:noWrap/>
            <w:vAlign w:val="center"/>
            <w:hideMark/>
          </w:tcPr>
          <w:p w14:paraId="1CF0DE3A" w14:textId="14062EC5" w:rsidR="000E539A" w:rsidRPr="00181464" w:rsidRDefault="000E539A" w:rsidP="000E539A">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-24,1</w:t>
            </w:r>
          </w:p>
        </w:tc>
      </w:tr>
      <w:tr w:rsidR="000E539A" w:rsidRPr="00181464" w14:paraId="3F6725CD" w14:textId="77777777" w:rsidTr="000E539A">
        <w:trPr>
          <w:trHeight w:val="596"/>
        </w:trPr>
        <w:tc>
          <w:tcPr>
            <w:tcW w:w="2164" w:type="pct"/>
            <w:tcBorders>
              <w:top w:val="nil"/>
              <w:left w:val="nil"/>
              <w:bottom w:val="nil"/>
              <w:right w:val="nil"/>
            </w:tcBorders>
            <w:shd w:val="clear" w:color="auto" w:fill="auto"/>
            <w:vAlign w:val="center"/>
            <w:hideMark/>
          </w:tcPr>
          <w:p w14:paraId="4E224A43" w14:textId="77777777" w:rsidR="000E539A" w:rsidRPr="00181464" w:rsidRDefault="000E539A" w:rsidP="000E539A">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Spolufinancovanie k zahraničným grantom z prostriedkov EÚ (EÚS, LIFE +)</w:t>
            </w:r>
          </w:p>
        </w:tc>
        <w:tc>
          <w:tcPr>
            <w:tcW w:w="521" w:type="pct"/>
            <w:tcBorders>
              <w:top w:val="nil"/>
              <w:left w:val="nil"/>
              <w:bottom w:val="nil"/>
              <w:right w:val="nil"/>
            </w:tcBorders>
            <w:shd w:val="clear" w:color="auto" w:fill="auto"/>
            <w:noWrap/>
            <w:vAlign w:val="center"/>
            <w:hideMark/>
          </w:tcPr>
          <w:p w14:paraId="1487D731" w14:textId="5B90E94D" w:rsidR="000E539A" w:rsidRPr="00181464" w:rsidRDefault="000E539A" w:rsidP="000E539A">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4 722</w:t>
            </w:r>
          </w:p>
        </w:tc>
        <w:tc>
          <w:tcPr>
            <w:tcW w:w="448" w:type="pct"/>
            <w:tcBorders>
              <w:top w:val="nil"/>
              <w:left w:val="nil"/>
              <w:bottom w:val="nil"/>
              <w:right w:val="nil"/>
            </w:tcBorders>
            <w:shd w:val="clear" w:color="auto" w:fill="auto"/>
            <w:noWrap/>
            <w:vAlign w:val="center"/>
            <w:hideMark/>
          </w:tcPr>
          <w:p w14:paraId="3A572707" w14:textId="4B185321" w:rsidR="000E539A" w:rsidRPr="00181464" w:rsidRDefault="000E539A" w:rsidP="000E539A">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6 019</w:t>
            </w:r>
          </w:p>
        </w:tc>
        <w:tc>
          <w:tcPr>
            <w:tcW w:w="448" w:type="pct"/>
            <w:tcBorders>
              <w:top w:val="nil"/>
              <w:left w:val="nil"/>
              <w:bottom w:val="nil"/>
              <w:right w:val="nil"/>
            </w:tcBorders>
            <w:shd w:val="clear" w:color="auto" w:fill="auto"/>
            <w:noWrap/>
            <w:vAlign w:val="center"/>
            <w:hideMark/>
          </w:tcPr>
          <w:p w14:paraId="3C81022C" w14:textId="6CDAC40C" w:rsidR="000E539A" w:rsidRPr="00181464" w:rsidRDefault="000E539A" w:rsidP="000E539A">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13 814</w:t>
            </w:r>
          </w:p>
        </w:tc>
        <w:tc>
          <w:tcPr>
            <w:tcW w:w="448" w:type="pct"/>
            <w:tcBorders>
              <w:top w:val="nil"/>
              <w:left w:val="nil"/>
              <w:bottom w:val="nil"/>
              <w:right w:val="nil"/>
            </w:tcBorders>
            <w:shd w:val="clear" w:color="auto" w:fill="auto"/>
            <w:noWrap/>
            <w:vAlign w:val="center"/>
            <w:hideMark/>
          </w:tcPr>
          <w:p w14:paraId="3C3D2887" w14:textId="5700748B" w:rsidR="000E539A" w:rsidRPr="00181464" w:rsidRDefault="000E539A" w:rsidP="000E539A">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5 677</w:t>
            </w:r>
          </w:p>
        </w:tc>
        <w:tc>
          <w:tcPr>
            <w:tcW w:w="522" w:type="pct"/>
            <w:tcBorders>
              <w:top w:val="nil"/>
              <w:left w:val="nil"/>
              <w:bottom w:val="nil"/>
              <w:right w:val="nil"/>
            </w:tcBorders>
            <w:shd w:val="clear" w:color="auto" w:fill="auto"/>
            <w:noWrap/>
            <w:vAlign w:val="center"/>
            <w:hideMark/>
          </w:tcPr>
          <w:p w14:paraId="11489505" w14:textId="28511198" w:rsidR="000E539A" w:rsidRPr="00181464" w:rsidRDefault="000E539A" w:rsidP="000E539A">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-8 137</w:t>
            </w:r>
          </w:p>
        </w:tc>
        <w:tc>
          <w:tcPr>
            <w:tcW w:w="449" w:type="pct"/>
            <w:tcBorders>
              <w:top w:val="nil"/>
              <w:left w:val="nil"/>
              <w:bottom w:val="nil"/>
              <w:right w:val="nil"/>
            </w:tcBorders>
            <w:shd w:val="clear" w:color="auto" w:fill="auto"/>
            <w:noWrap/>
            <w:vAlign w:val="center"/>
            <w:hideMark/>
          </w:tcPr>
          <w:p w14:paraId="2889895B" w14:textId="70A9CC2A" w:rsidR="000E539A" w:rsidRPr="00181464" w:rsidRDefault="000E539A" w:rsidP="000E539A">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-58,9</w:t>
            </w:r>
          </w:p>
        </w:tc>
      </w:tr>
      <w:tr w:rsidR="000E539A" w:rsidRPr="00181464" w14:paraId="449B6B65" w14:textId="77777777" w:rsidTr="000E539A">
        <w:trPr>
          <w:trHeight w:val="596"/>
        </w:trPr>
        <w:tc>
          <w:tcPr>
            <w:tcW w:w="2164" w:type="pct"/>
            <w:tcBorders>
              <w:top w:val="nil"/>
              <w:left w:val="nil"/>
              <w:bottom w:val="nil"/>
              <w:right w:val="nil"/>
            </w:tcBorders>
            <w:shd w:val="clear" w:color="auto" w:fill="auto"/>
            <w:vAlign w:val="center"/>
            <w:hideMark/>
          </w:tcPr>
          <w:p w14:paraId="7321F6B9" w14:textId="77777777" w:rsidR="000E539A" w:rsidRPr="00181464" w:rsidRDefault="000E539A" w:rsidP="000E539A">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Spolufinancovanie k prostriedkom poskytnutým na základe medzinárodných zmlúv (EHP, NFM)</w:t>
            </w:r>
          </w:p>
        </w:tc>
        <w:tc>
          <w:tcPr>
            <w:tcW w:w="521" w:type="pct"/>
            <w:tcBorders>
              <w:top w:val="nil"/>
              <w:left w:val="nil"/>
              <w:bottom w:val="nil"/>
              <w:right w:val="nil"/>
            </w:tcBorders>
            <w:shd w:val="clear" w:color="auto" w:fill="auto"/>
            <w:noWrap/>
            <w:vAlign w:val="center"/>
            <w:hideMark/>
          </w:tcPr>
          <w:p w14:paraId="7902FB75" w14:textId="4E75C222" w:rsidR="000E539A" w:rsidRPr="00181464" w:rsidRDefault="000E539A" w:rsidP="000E539A">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2 213</w:t>
            </w:r>
          </w:p>
        </w:tc>
        <w:tc>
          <w:tcPr>
            <w:tcW w:w="448" w:type="pct"/>
            <w:tcBorders>
              <w:top w:val="nil"/>
              <w:left w:val="nil"/>
              <w:bottom w:val="nil"/>
              <w:right w:val="nil"/>
            </w:tcBorders>
            <w:shd w:val="clear" w:color="auto" w:fill="auto"/>
            <w:noWrap/>
            <w:vAlign w:val="center"/>
            <w:hideMark/>
          </w:tcPr>
          <w:p w14:paraId="0275B935" w14:textId="66845F52" w:rsidR="000E539A" w:rsidRPr="00181464" w:rsidRDefault="000E539A" w:rsidP="000E539A">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2 373</w:t>
            </w:r>
          </w:p>
        </w:tc>
        <w:tc>
          <w:tcPr>
            <w:tcW w:w="448" w:type="pct"/>
            <w:tcBorders>
              <w:top w:val="nil"/>
              <w:left w:val="nil"/>
              <w:bottom w:val="nil"/>
              <w:right w:val="nil"/>
            </w:tcBorders>
            <w:shd w:val="clear" w:color="auto" w:fill="auto"/>
            <w:noWrap/>
            <w:vAlign w:val="center"/>
            <w:hideMark/>
          </w:tcPr>
          <w:p w14:paraId="794EE9E9" w14:textId="49420C5F" w:rsidR="000E539A" w:rsidRPr="00181464" w:rsidRDefault="000E539A" w:rsidP="000E539A">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2 329</w:t>
            </w:r>
          </w:p>
        </w:tc>
        <w:tc>
          <w:tcPr>
            <w:tcW w:w="448" w:type="pct"/>
            <w:tcBorders>
              <w:top w:val="nil"/>
              <w:left w:val="nil"/>
              <w:bottom w:val="nil"/>
              <w:right w:val="nil"/>
            </w:tcBorders>
            <w:shd w:val="clear" w:color="auto" w:fill="auto"/>
            <w:noWrap/>
            <w:vAlign w:val="center"/>
            <w:hideMark/>
          </w:tcPr>
          <w:p w14:paraId="637090AC" w14:textId="381D13A4" w:rsidR="000E539A" w:rsidRPr="00181464" w:rsidRDefault="000E539A" w:rsidP="000E539A">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1 377</w:t>
            </w:r>
          </w:p>
        </w:tc>
        <w:tc>
          <w:tcPr>
            <w:tcW w:w="522" w:type="pct"/>
            <w:tcBorders>
              <w:top w:val="nil"/>
              <w:left w:val="nil"/>
              <w:bottom w:val="nil"/>
              <w:right w:val="nil"/>
            </w:tcBorders>
            <w:shd w:val="clear" w:color="auto" w:fill="auto"/>
            <w:noWrap/>
            <w:vAlign w:val="center"/>
            <w:hideMark/>
          </w:tcPr>
          <w:p w14:paraId="706AFF28" w14:textId="35C1C0F2" w:rsidR="000E539A" w:rsidRPr="00181464" w:rsidRDefault="000E539A" w:rsidP="000E539A">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-952</w:t>
            </w:r>
          </w:p>
        </w:tc>
        <w:tc>
          <w:tcPr>
            <w:tcW w:w="449" w:type="pct"/>
            <w:tcBorders>
              <w:top w:val="nil"/>
              <w:left w:val="nil"/>
              <w:bottom w:val="nil"/>
              <w:right w:val="nil"/>
            </w:tcBorders>
            <w:shd w:val="clear" w:color="auto" w:fill="auto"/>
            <w:noWrap/>
            <w:vAlign w:val="center"/>
            <w:hideMark/>
          </w:tcPr>
          <w:p w14:paraId="53CB9837" w14:textId="43AB23C1" w:rsidR="000E539A" w:rsidRPr="00181464" w:rsidRDefault="000E539A" w:rsidP="000E539A">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-40,9</w:t>
            </w:r>
          </w:p>
        </w:tc>
      </w:tr>
      <w:tr w:rsidR="000E539A" w:rsidRPr="00181464" w14:paraId="529D7D18" w14:textId="77777777" w:rsidTr="000E539A">
        <w:trPr>
          <w:trHeight w:val="266"/>
        </w:trPr>
        <w:tc>
          <w:tcPr>
            <w:tcW w:w="2164" w:type="pct"/>
            <w:tcBorders>
              <w:top w:val="nil"/>
              <w:left w:val="nil"/>
              <w:bottom w:val="nil"/>
              <w:right w:val="nil"/>
            </w:tcBorders>
            <w:shd w:val="clear" w:color="auto" w:fill="auto"/>
            <w:vAlign w:val="center"/>
            <w:hideMark/>
          </w:tcPr>
          <w:p w14:paraId="1973CD5F" w14:textId="77777777" w:rsidR="000E539A" w:rsidRPr="00181464" w:rsidRDefault="000E539A" w:rsidP="000E539A">
            <w:pPr>
              <w:spacing w:after="0" w:line="240" w:lineRule="auto"/>
              <w:jc w:val="lef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Spolu</w:t>
            </w:r>
          </w:p>
        </w:tc>
        <w:tc>
          <w:tcPr>
            <w:tcW w:w="521" w:type="pct"/>
            <w:tcBorders>
              <w:top w:val="nil"/>
              <w:left w:val="nil"/>
              <w:bottom w:val="nil"/>
              <w:right w:val="nil"/>
            </w:tcBorders>
            <w:shd w:val="clear" w:color="auto" w:fill="auto"/>
            <w:noWrap/>
            <w:vAlign w:val="center"/>
            <w:hideMark/>
          </w:tcPr>
          <w:p w14:paraId="0A9A7A86" w14:textId="441C2AF3"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378 319</w:t>
            </w:r>
          </w:p>
        </w:tc>
        <w:tc>
          <w:tcPr>
            <w:tcW w:w="448" w:type="pct"/>
            <w:tcBorders>
              <w:top w:val="nil"/>
              <w:left w:val="nil"/>
              <w:bottom w:val="nil"/>
              <w:right w:val="nil"/>
            </w:tcBorders>
            <w:shd w:val="clear" w:color="auto" w:fill="auto"/>
            <w:noWrap/>
            <w:vAlign w:val="center"/>
            <w:hideMark/>
          </w:tcPr>
          <w:p w14:paraId="635B2551" w14:textId="684D71A3"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404 819</w:t>
            </w:r>
          </w:p>
        </w:tc>
        <w:tc>
          <w:tcPr>
            <w:tcW w:w="448" w:type="pct"/>
            <w:tcBorders>
              <w:top w:val="nil"/>
              <w:left w:val="nil"/>
              <w:bottom w:val="nil"/>
              <w:right w:val="nil"/>
            </w:tcBorders>
            <w:shd w:val="clear" w:color="auto" w:fill="auto"/>
            <w:noWrap/>
            <w:vAlign w:val="center"/>
            <w:hideMark/>
          </w:tcPr>
          <w:p w14:paraId="3AB38EEF" w14:textId="61C89E76"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970 441</w:t>
            </w:r>
          </w:p>
        </w:tc>
        <w:tc>
          <w:tcPr>
            <w:tcW w:w="448" w:type="pct"/>
            <w:tcBorders>
              <w:top w:val="nil"/>
              <w:left w:val="nil"/>
              <w:bottom w:val="nil"/>
              <w:right w:val="nil"/>
            </w:tcBorders>
            <w:shd w:val="clear" w:color="auto" w:fill="auto"/>
            <w:noWrap/>
            <w:vAlign w:val="center"/>
            <w:hideMark/>
          </w:tcPr>
          <w:p w14:paraId="157F3FFE" w14:textId="4534496C"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731 264</w:t>
            </w:r>
          </w:p>
        </w:tc>
        <w:tc>
          <w:tcPr>
            <w:tcW w:w="522" w:type="pct"/>
            <w:tcBorders>
              <w:top w:val="nil"/>
              <w:left w:val="nil"/>
              <w:bottom w:val="nil"/>
              <w:right w:val="nil"/>
            </w:tcBorders>
            <w:shd w:val="clear" w:color="auto" w:fill="auto"/>
            <w:noWrap/>
            <w:vAlign w:val="center"/>
            <w:hideMark/>
          </w:tcPr>
          <w:p w14:paraId="4DC6AC98" w14:textId="2B45FC2E"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-239 177</w:t>
            </w:r>
          </w:p>
        </w:tc>
        <w:tc>
          <w:tcPr>
            <w:tcW w:w="449" w:type="pct"/>
            <w:tcBorders>
              <w:top w:val="nil"/>
              <w:left w:val="nil"/>
              <w:bottom w:val="nil"/>
              <w:right w:val="nil"/>
            </w:tcBorders>
            <w:shd w:val="clear" w:color="auto" w:fill="auto"/>
            <w:noWrap/>
            <w:vAlign w:val="center"/>
            <w:hideMark/>
          </w:tcPr>
          <w:p w14:paraId="59D81B55" w14:textId="04AF97DF"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-24,6</w:t>
            </w:r>
          </w:p>
        </w:tc>
      </w:tr>
      <w:tr w:rsidR="000E539A" w:rsidRPr="00181464" w14:paraId="4F7710B6" w14:textId="77777777" w:rsidTr="000E539A">
        <w:trPr>
          <w:trHeight w:val="266"/>
        </w:trPr>
        <w:tc>
          <w:tcPr>
            <w:tcW w:w="2164" w:type="pct"/>
            <w:tcBorders>
              <w:top w:val="nil"/>
              <w:left w:val="nil"/>
              <w:bottom w:val="nil"/>
              <w:right w:val="nil"/>
            </w:tcBorders>
            <w:shd w:val="clear" w:color="auto" w:fill="auto"/>
            <w:vAlign w:val="center"/>
            <w:hideMark/>
          </w:tcPr>
          <w:p w14:paraId="7ED4ED2A" w14:textId="77777777" w:rsidR="000E539A" w:rsidRPr="00181464" w:rsidRDefault="000E539A" w:rsidP="000E539A">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Vnútorné politiky EÚ</w:t>
            </w:r>
          </w:p>
        </w:tc>
        <w:tc>
          <w:tcPr>
            <w:tcW w:w="521" w:type="pct"/>
            <w:tcBorders>
              <w:top w:val="nil"/>
              <w:left w:val="nil"/>
              <w:bottom w:val="nil"/>
              <w:right w:val="nil"/>
            </w:tcBorders>
            <w:shd w:val="clear" w:color="auto" w:fill="auto"/>
            <w:noWrap/>
            <w:vAlign w:val="center"/>
            <w:hideMark/>
          </w:tcPr>
          <w:p w14:paraId="499B503B" w14:textId="4E424FD9" w:rsidR="000E539A" w:rsidRPr="00181464" w:rsidRDefault="000E539A" w:rsidP="000E539A">
            <w:pPr>
              <w:spacing w:after="0" w:line="240" w:lineRule="auto"/>
              <w:jc w:val="right"/>
              <w:rPr>
                <w:rFonts w:eastAsia="Times New Roman" w:cs="Times New Roman"/>
                <w:sz w:val="18"/>
                <w:szCs w:val="18"/>
                <w:highlight w:val="yellow"/>
                <w:lang w:eastAsia="sk-SK"/>
              </w:rPr>
            </w:pPr>
            <w:r w:rsidRPr="00181464">
              <w:rPr>
                <w:sz w:val="18"/>
                <w:szCs w:val="18"/>
              </w:rPr>
              <w:t>1 844</w:t>
            </w:r>
          </w:p>
        </w:tc>
        <w:tc>
          <w:tcPr>
            <w:tcW w:w="448" w:type="pct"/>
            <w:tcBorders>
              <w:top w:val="nil"/>
              <w:left w:val="nil"/>
              <w:bottom w:val="nil"/>
              <w:right w:val="nil"/>
            </w:tcBorders>
            <w:shd w:val="clear" w:color="auto" w:fill="auto"/>
            <w:noWrap/>
            <w:vAlign w:val="center"/>
            <w:hideMark/>
          </w:tcPr>
          <w:p w14:paraId="6661B788" w14:textId="0D0FEFA3" w:rsidR="000E539A" w:rsidRPr="00181464" w:rsidRDefault="000E539A" w:rsidP="000E539A">
            <w:pPr>
              <w:spacing w:after="0" w:line="240" w:lineRule="auto"/>
              <w:jc w:val="right"/>
              <w:rPr>
                <w:rFonts w:eastAsia="Times New Roman" w:cs="Times New Roman"/>
                <w:sz w:val="18"/>
                <w:szCs w:val="18"/>
                <w:highlight w:val="yellow"/>
                <w:lang w:eastAsia="sk-SK"/>
              </w:rPr>
            </w:pPr>
            <w:r w:rsidRPr="00181464">
              <w:rPr>
                <w:sz w:val="18"/>
                <w:szCs w:val="18"/>
              </w:rPr>
              <w:t>4 676</w:t>
            </w:r>
          </w:p>
        </w:tc>
        <w:tc>
          <w:tcPr>
            <w:tcW w:w="448" w:type="pct"/>
            <w:tcBorders>
              <w:top w:val="nil"/>
              <w:left w:val="nil"/>
              <w:bottom w:val="nil"/>
              <w:right w:val="nil"/>
            </w:tcBorders>
            <w:shd w:val="clear" w:color="auto" w:fill="auto"/>
            <w:noWrap/>
            <w:vAlign w:val="center"/>
            <w:hideMark/>
          </w:tcPr>
          <w:p w14:paraId="4DCABCEA" w14:textId="4E909389" w:rsidR="000E539A" w:rsidRPr="00181464" w:rsidRDefault="000E539A" w:rsidP="000E539A">
            <w:pPr>
              <w:spacing w:after="0" w:line="240" w:lineRule="auto"/>
              <w:jc w:val="right"/>
              <w:rPr>
                <w:rFonts w:eastAsia="Times New Roman" w:cs="Times New Roman"/>
                <w:sz w:val="18"/>
                <w:szCs w:val="18"/>
                <w:highlight w:val="yellow"/>
                <w:lang w:eastAsia="sk-SK"/>
              </w:rPr>
            </w:pPr>
            <w:r w:rsidRPr="00181464">
              <w:rPr>
                <w:sz w:val="18"/>
                <w:szCs w:val="18"/>
              </w:rPr>
              <w:t>350</w:t>
            </w:r>
          </w:p>
        </w:tc>
        <w:tc>
          <w:tcPr>
            <w:tcW w:w="448" w:type="pct"/>
            <w:tcBorders>
              <w:top w:val="nil"/>
              <w:left w:val="nil"/>
              <w:bottom w:val="nil"/>
              <w:right w:val="nil"/>
            </w:tcBorders>
            <w:shd w:val="clear" w:color="auto" w:fill="auto"/>
            <w:noWrap/>
            <w:vAlign w:val="center"/>
            <w:hideMark/>
          </w:tcPr>
          <w:p w14:paraId="75BE350C" w14:textId="041975D2" w:rsidR="000E539A" w:rsidRPr="00181464" w:rsidRDefault="000E539A" w:rsidP="000E539A">
            <w:pPr>
              <w:spacing w:after="0" w:line="240" w:lineRule="auto"/>
              <w:jc w:val="right"/>
              <w:rPr>
                <w:rFonts w:eastAsia="Times New Roman" w:cs="Times New Roman"/>
                <w:sz w:val="18"/>
                <w:szCs w:val="18"/>
                <w:highlight w:val="yellow"/>
                <w:lang w:eastAsia="sk-SK"/>
              </w:rPr>
            </w:pPr>
            <w:r w:rsidRPr="00181464">
              <w:rPr>
                <w:sz w:val="18"/>
                <w:szCs w:val="18"/>
              </w:rPr>
              <w:t>325</w:t>
            </w:r>
          </w:p>
        </w:tc>
        <w:tc>
          <w:tcPr>
            <w:tcW w:w="522" w:type="pct"/>
            <w:tcBorders>
              <w:top w:val="nil"/>
              <w:left w:val="nil"/>
              <w:bottom w:val="nil"/>
              <w:right w:val="nil"/>
            </w:tcBorders>
            <w:shd w:val="clear" w:color="auto" w:fill="auto"/>
            <w:noWrap/>
            <w:vAlign w:val="center"/>
            <w:hideMark/>
          </w:tcPr>
          <w:p w14:paraId="1D05F79C" w14:textId="5845FDBE" w:rsidR="000E539A" w:rsidRPr="00181464" w:rsidRDefault="000E539A" w:rsidP="000E539A">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-25</w:t>
            </w:r>
          </w:p>
        </w:tc>
        <w:tc>
          <w:tcPr>
            <w:tcW w:w="449" w:type="pct"/>
            <w:tcBorders>
              <w:top w:val="nil"/>
              <w:left w:val="nil"/>
              <w:bottom w:val="nil"/>
              <w:right w:val="nil"/>
            </w:tcBorders>
            <w:shd w:val="clear" w:color="auto" w:fill="auto"/>
            <w:noWrap/>
            <w:vAlign w:val="center"/>
            <w:hideMark/>
          </w:tcPr>
          <w:p w14:paraId="08F8E508" w14:textId="5B836327" w:rsidR="000E539A" w:rsidRPr="00181464" w:rsidRDefault="000E539A" w:rsidP="000E539A">
            <w:pPr>
              <w:spacing w:after="0" w:line="240" w:lineRule="auto"/>
              <w:jc w:val="right"/>
              <w:rPr>
                <w:rFonts w:eastAsia="Times New Roman" w:cs="Times New Roman"/>
                <w:color w:val="000000"/>
                <w:sz w:val="18"/>
                <w:szCs w:val="18"/>
                <w:highlight w:val="yellow"/>
                <w:lang w:eastAsia="sk-SK"/>
              </w:rPr>
            </w:pPr>
            <w:r w:rsidRPr="00181464">
              <w:rPr>
                <w:color w:val="000000"/>
                <w:sz w:val="18"/>
                <w:szCs w:val="18"/>
              </w:rPr>
              <w:t>-7,1</w:t>
            </w:r>
          </w:p>
        </w:tc>
      </w:tr>
      <w:tr w:rsidR="000E539A" w:rsidRPr="00181464" w14:paraId="6A71450C" w14:textId="77777777" w:rsidTr="000E539A">
        <w:trPr>
          <w:trHeight w:val="278"/>
        </w:trPr>
        <w:tc>
          <w:tcPr>
            <w:tcW w:w="2164" w:type="pct"/>
            <w:tcBorders>
              <w:top w:val="single" w:sz="4" w:space="0" w:color="auto"/>
              <w:left w:val="nil"/>
              <w:bottom w:val="single" w:sz="8" w:space="0" w:color="auto"/>
              <w:right w:val="nil"/>
            </w:tcBorders>
            <w:shd w:val="clear" w:color="000000" w:fill="FFFFFF"/>
            <w:vAlign w:val="center"/>
            <w:hideMark/>
          </w:tcPr>
          <w:p w14:paraId="25C907C9" w14:textId="77777777" w:rsidR="000E539A" w:rsidRPr="00181464" w:rsidRDefault="000E539A" w:rsidP="000E539A">
            <w:pPr>
              <w:spacing w:after="0" w:line="240" w:lineRule="auto"/>
              <w:jc w:val="lef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Spolu (vrátane vnútorných politík EÚ)</w:t>
            </w:r>
          </w:p>
        </w:tc>
        <w:tc>
          <w:tcPr>
            <w:tcW w:w="521" w:type="pct"/>
            <w:tcBorders>
              <w:top w:val="single" w:sz="4" w:space="0" w:color="auto"/>
              <w:left w:val="nil"/>
              <w:bottom w:val="single" w:sz="8" w:space="0" w:color="auto"/>
              <w:right w:val="nil"/>
            </w:tcBorders>
            <w:shd w:val="clear" w:color="000000" w:fill="FFFFFF"/>
            <w:noWrap/>
            <w:vAlign w:val="center"/>
            <w:hideMark/>
          </w:tcPr>
          <w:p w14:paraId="2C3C728D" w14:textId="6DE56A82"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380 163</w:t>
            </w:r>
          </w:p>
        </w:tc>
        <w:tc>
          <w:tcPr>
            <w:tcW w:w="448" w:type="pct"/>
            <w:tcBorders>
              <w:top w:val="single" w:sz="4" w:space="0" w:color="auto"/>
              <w:left w:val="nil"/>
              <w:bottom w:val="single" w:sz="8" w:space="0" w:color="auto"/>
              <w:right w:val="nil"/>
            </w:tcBorders>
            <w:shd w:val="clear" w:color="000000" w:fill="FFFFFF"/>
            <w:noWrap/>
            <w:vAlign w:val="center"/>
            <w:hideMark/>
          </w:tcPr>
          <w:p w14:paraId="26035E78" w14:textId="05F5DDA4"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409 495</w:t>
            </w:r>
          </w:p>
        </w:tc>
        <w:tc>
          <w:tcPr>
            <w:tcW w:w="448" w:type="pct"/>
            <w:tcBorders>
              <w:top w:val="single" w:sz="4" w:space="0" w:color="auto"/>
              <w:left w:val="nil"/>
              <w:bottom w:val="single" w:sz="8" w:space="0" w:color="auto"/>
              <w:right w:val="nil"/>
            </w:tcBorders>
            <w:shd w:val="clear" w:color="000000" w:fill="FFFFFF"/>
            <w:noWrap/>
            <w:vAlign w:val="center"/>
            <w:hideMark/>
          </w:tcPr>
          <w:p w14:paraId="6A4BF3DD" w14:textId="159957C9"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970 791</w:t>
            </w:r>
          </w:p>
        </w:tc>
        <w:tc>
          <w:tcPr>
            <w:tcW w:w="448" w:type="pct"/>
            <w:tcBorders>
              <w:top w:val="single" w:sz="4" w:space="0" w:color="auto"/>
              <w:left w:val="nil"/>
              <w:bottom w:val="single" w:sz="8" w:space="0" w:color="auto"/>
              <w:right w:val="nil"/>
            </w:tcBorders>
            <w:shd w:val="clear" w:color="000000" w:fill="FFFFFF"/>
            <w:noWrap/>
            <w:vAlign w:val="center"/>
            <w:hideMark/>
          </w:tcPr>
          <w:p w14:paraId="7ED7500E" w14:textId="6B743089"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731 589</w:t>
            </w:r>
          </w:p>
        </w:tc>
        <w:tc>
          <w:tcPr>
            <w:tcW w:w="522" w:type="pct"/>
            <w:tcBorders>
              <w:top w:val="single" w:sz="4" w:space="0" w:color="auto"/>
              <w:left w:val="nil"/>
              <w:bottom w:val="single" w:sz="8" w:space="0" w:color="auto"/>
              <w:right w:val="nil"/>
            </w:tcBorders>
            <w:shd w:val="clear" w:color="000000" w:fill="FFFFFF"/>
            <w:noWrap/>
            <w:vAlign w:val="center"/>
            <w:hideMark/>
          </w:tcPr>
          <w:p w14:paraId="25272312" w14:textId="63539CF6"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-239 202</w:t>
            </w:r>
          </w:p>
        </w:tc>
        <w:tc>
          <w:tcPr>
            <w:tcW w:w="449" w:type="pct"/>
            <w:tcBorders>
              <w:top w:val="single" w:sz="4" w:space="0" w:color="auto"/>
              <w:left w:val="nil"/>
              <w:bottom w:val="single" w:sz="8" w:space="0" w:color="auto"/>
              <w:right w:val="nil"/>
            </w:tcBorders>
            <w:shd w:val="clear" w:color="000000" w:fill="FFFFFF"/>
            <w:noWrap/>
            <w:vAlign w:val="center"/>
            <w:hideMark/>
          </w:tcPr>
          <w:p w14:paraId="69793849" w14:textId="7BF9AD90" w:rsidR="000E539A" w:rsidRPr="00181464" w:rsidRDefault="000E539A" w:rsidP="000E539A">
            <w:pPr>
              <w:spacing w:after="0" w:line="240" w:lineRule="auto"/>
              <w:jc w:val="right"/>
              <w:rPr>
                <w:rFonts w:eastAsia="Times New Roman" w:cs="Times New Roman"/>
                <w:b/>
                <w:bCs/>
                <w:color w:val="000000"/>
                <w:sz w:val="18"/>
                <w:szCs w:val="18"/>
                <w:highlight w:val="yellow"/>
                <w:lang w:eastAsia="sk-SK"/>
              </w:rPr>
            </w:pPr>
            <w:r w:rsidRPr="00181464">
              <w:rPr>
                <w:b/>
                <w:bCs/>
                <w:color w:val="000000"/>
                <w:sz w:val="18"/>
                <w:szCs w:val="18"/>
              </w:rPr>
              <w:t>-24,6</w:t>
            </w:r>
          </w:p>
        </w:tc>
      </w:tr>
    </w:tbl>
    <w:p w14:paraId="76089621" w14:textId="77777777" w:rsidR="000E539A" w:rsidRPr="00181464" w:rsidRDefault="000E539A" w:rsidP="000E539A">
      <w:pPr>
        <w:jc w:val="right"/>
        <w:rPr>
          <w:sz w:val="18"/>
          <w:szCs w:val="18"/>
        </w:rPr>
      </w:pPr>
      <w:r w:rsidRPr="00181464">
        <w:rPr>
          <w:sz w:val="18"/>
          <w:szCs w:val="18"/>
        </w:rPr>
        <w:t>Zdroj: MF SR</w:t>
      </w:r>
    </w:p>
    <w:p w14:paraId="4040C65E" w14:textId="280882D5" w:rsidR="008254BE" w:rsidRDefault="008254BE" w:rsidP="00EB4DCD">
      <w:pPr>
        <w:pStyle w:val="Nadpis3"/>
      </w:pPr>
      <w:bookmarkStart w:id="70" w:name="_Toc164846955"/>
      <w:r w:rsidRPr="007D5989">
        <w:t xml:space="preserve">Prostriedky poskytnuté SR používané prostredníctvom </w:t>
      </w:r>
      <w:r w:rsidR="006F14F4" w:rsidRPr="007D5989">
        <w:t>samostatných</w:t>
      </w:r>
      <w:r w:rsidRPr="007D5989">
        <w:t xml:space="preserve"> účtov</w:t>
      </w:r>
      <w:bookmarkEnd w:id="69"/>
      <w:bookmarkEnd w:id="70"/>
    </w:p>
    <w:p w14:paraId="66F475C3" w14:textId="09D64B95" w:rsidR="000E539A" w:rsidRPr="000E539A" w:rsidRDefault="000E539A" w:rsidP="000E539A">
      <w:pPr>
        <w:spacing w:line="240" w:lineRule="auto"/>
        <w:rPr>
          <w:sz w:val="24"/>
          <w:szCs w:val="24"/>
        </w:rPr>
      </w:pPr>
      <w:r w:rsidRPr="000E539A">
        <w:rPr>
          <w:sz w:val="24"/>
          <w:szCs w:val="24"/>
        </w:rPr>
        <w:t>Časť finančných prostriedkov z rozpočtu EÚ a</w:t>
      </w:r>
      <w:r>
        <w:rPr>
          <w:sz w:val="24"/>
          <w:szCs w:val="24"/>
        </w:rPr>
        <w:t xml:space="preserve"> </w:t>
      </w:r>
      <w:r w:rsidRPr="000E539A">
        <w:rPr>
          <w:sz w:val="24"/>
          <w:szCs w:val="24"/>
        </w:rPr>
        <w:t xml:space="preserve">prostriedkov poskytnutých Slovenskej republike na základe medzinárodných zmlúv, ktorými je Slovenská republika viazaná, používajú štátne rozpočtové organizácie </w:t>
      </w:r>
      <w:r w:rsidRPr="000E539A">
        <w:rPr>
          <w:b/>
          <w:sz w:val="24"/>
          <w:szCs w:val="24"/>
        </w:rPr>
        <w:t>prostredníctvom samostatných účtov:</w:t>
      </w:r>
    </w:p>
    <w:p w14:paraId="4B56A61C" w14:textId="201778D1" w:rsidR="000E539A" w:rsidRPr="000E539A" w:rsidRDefault="000E539A" w:rsidP="000E539A">
      <w:pPr>
        <w:spacing w:line="240" w:lineRule="auto"/>
        <w:rPr>
          <w:sz w:val="24"/>
          <w:szCs w:val="24"/>
        </w:rPr>
      </w:pPr>
      <w:r w:rsidRPr="000E539A">
        <w:rPr>
          <w:sz w:val="24"/>
          <w:szCs w:val="24"/>
        </w:rPr>
        <w:t xml:space="preserve">V rámci programov </w:t>
      </w:r>
      <w:r w:rsidRPr="000E539A">
        <w:rPr>
          <w:b/>
          <w:i/>
          <w:sz w:val="24"/>
          <w:szCs w:val="24"/>
        </w:rPr>
        <w:t>Európskej územnej spolupráce</w:t>
      </w:r>
      <w:r w:rsidRPr="000E539A">
        <w:rPr>
          <w:sz w:val="24"/>
          <w:szCs w:val="24"/>
        </w:rPr>
        <w:t xml:space="preserve"> prijala Slovenská republika prostredníctvom certifikačného orgánu MF SR príspevky EÚ vo výške 4</w:t>
      </w:r>
      <w:r>
        <w:rPr>
          <w:sz w:val="24"/>
          <w:szCs w:val="24"/>
        </w:rPr>
        <w:t> </w:t>
      </w:r>
      <w:r w:rsidRPr="000E539A">
        <w:rPr>
          <w:sz w:val="24"/>
          <w:szCs w:val="24"/>
        </w:rPr>
        <w:t>356</w:t>
      </w:r>
      <w:r>
        <w:rPr>
          <w:sz w:val="24"/>
          <w:szCs w:val="24"/>
        </w:rPr>
        <w:t> tis. </w:t>
      </w:r>
      <w:r w:rsidRPr="000E539A">
        <w:rPr>
          <w:sz w:val="24"/>
          <w:szCs w:val="24"/>
        </w:rPr>
        <w:t>eur (z toho 3</w:t>
      </w:r>
      <w:r>
        <w:rPr>
          <w:sz w:val="24"/>
          <w:szCs w:val="24"/>
        </w:rPr>
        <w:t> </w:t>
      </w:r>
      <w:r w:rsidRPr="000E539A">
        <w:rPr>
          <w:sz w:val="24"/>
          <w:szCs w:val="24"/>
        </w:rPr>
        <w:t>006</w:t>
      </w:r>
      <w:r>
        <w:rPr>
          <w:sz w:val="24"/>
          <w:szCs w:val="24"/>
        </w:rPr>
        <w:t> </w:t>
      </w:r>
      <w:r w:rsidRPr="000E539A">
        <w:rPr>
          <w:sz w:val="24"/>
          <w:szCs w:val="24"/>
        </w:rPr>
        <w:t>tis</w:t>
      </w:r>
      <w:r>
        <w:rPr>
          <w:sz w:val="24"/>
          <w:szCs w:val="24"/>
        </w:rPr>
        <w:t>. </w:t>
      </w:r>
      <w:r w:rsidRPr="000E539A">
        <w:rPr>
          <w:sz w:val="24"/>
          <w:szCs w:val="24"/>
        </w:rPr>
        <w:t>eur v rámci INTERACT III a</w:t>
      </w:r>
      <w:r>
        <w:rPr>
          <w:sz w:val="24"/>
          <w:szCs w:val="24"/>
        </w:rPr>
        <w:t> </w:t>
      </w:r>
      <w:r w:rsidRPr="000E539A">
        <w:rPr>
          <w:sz w:val="24"/>
          <w:szCs w:val="24"/>
        </w:rPr>
        <w:t>1</w:t>
      </w:r>
      <w:r>
        <w:rPr>
          <w:sz w:val="24"/>
          <w:szCs w:val="24"/>
        </w:rPr>
        <w:t> </w:t>
      </w:r>
      <w:r w:rsidRPr="000E539A">
        <w:rPr>
          <w:sz w:val="24"/>
          <w:szCs w:val="24"/>
        </w:rPr>
        <w:t>350</w:t>
      </w:r>
      <w:r>
        <w:rPr>
          <w:sz w:val="24"/>
          <w:szCs w:val="24"/>
        </w:rPr>
        <w:t> </w:t>
      </w:r>
      <w:r w:rsidRPr="000E539A">
        <w:rPr>
          <w:sz w:val="24"/>
          <w:szCs w:val="24"/>
        </w:rPr>
        <w:t>tis.</w:t>
      </w:r>
      <w:r>
        <w:rPr>
          <w:sz w:val="24"/>
          <w:szCs w:val="24"/>
        </w:rPr>
        <w:t xml:space="preserve"> eur v rámci INTERACT IV) a </w:t>
      </w:r>
      <w:proofErr w:type="spellStart"/>
      <w:r w:rsidRPr="000E539A">
        <w:rPr>
          <w:sz w:val="24"/>
          <w:szCs w:val="24"/>
        </w:rPr>
        <w:t>prispievajúcich</w:t>
      </w:r>
      <w:proofErr w:type="spellEnd"/>
      <w:r w:rsidRPr="000E539A">
        <w:rPr>
          <w:sz w:val="24"/>
          <w:szCs w:val="24"/>
        </w:rPr>
        <w:t xml:space="preserve"> členských štátov EÚ vo výške 2 030 tis. eur na financovanie OP INTERACT IV. Suma úrokov pripísaných na účty bola v sume </w:t>
      </w:r>
      <w:r>
        <w:rPr>
          <w:sz w:val="24"/>
          <w:szCs w:val="24"/>
        </w:rPr>
        <w:t>19 tis. eur (z toho 15 tis. </w:t>
      </w:r>
      <w:r w:rsidRPr="000E539A">
        <w:rPr>
          <w:sz w:val="24"/>
          <w:szCs w:val="24"/>
        </w:rPr>
        <w:t>eur</w:t>
      </w:r>
      <w:r>
        <w:rPr>
          <w:sz w:val="24"/>
          <w:szCs w:val="24"/>
        </w:rPr>
        <w:t xml:space="preserve"> účet INTERACT </w:t>
      </w:r>
      <w:proofErr w:type="spellStart"/>
      <w:r>
        <w:rPr>
          <w:sz w:val="24"/>
          <w:szCs w:val="24"/>
        </w:rPr>
        <w:t>contributions</w:t>
      </w:r>
      <w:proofErr w:type="spellEnd"/>
      <w:r>
        <w:rPr>
          <w:sz w:val="24"/>
          <w:szCs w:val="24"/>
        </w:rPr>
        <w:t>, 1 </w:t>
      </w:r>
      <w:r w:rsidRPr="000E539A">
        <w:rPr>
          <w:sz w:val="24"/>
          <w:szCs w:val="24"/>
        </w:rPr>
        <w:t>tis</w:t>
      </w:r>
      <w:r>
        <w:rPr>
          <w:sz w:val="24"/>
          <w:szCs w:val="24"/>
        </w:rPr>
        <w:t>. eur účet INTERACT III, 3 tis. </w:t>
      </w:r>
      <w:r w:rsidRPr="000E539A">
        <w:rPr>
          <w:sz w:val="24"/>
          <w:szCs w:val="24"/>
        </w:rPr>
        <w:t>eur účet INTERACT IV). Na financov</w:t>
      </w:r>
      <w:r>
        <w:rPr>
          <w:sz w:val="24"/>
          <w:szCs w:val="24"/>
        </w:rPr>
        <w:t>anie programov bolo použitých 3 470 </w:t>
      </w:r>
      <w:r w:rsidRPr="000E539A">
        <w:rPr>
          <w:sz w:val="24"/>
          <w:szCs w:val="24"/>
        </w:rPr>
        <w:t>tis. eur za prostriedky EÚ a</w:t>
      </w:r>
      <w:r>
        <w:rPr>
          <w:sz w:val="24"/>
          <w:szCs w:val="24"/>
        </w:rPr>
        <w:t xml:space="preserve"> </w:t>
      </w:r>
      <w:r w:rsidRPr="000E539A">
        <w:rPr>
          <w:sz w:val="24"/>
          <w:szCs w:val="24"/>
        </w:rPr>
        <w:t>742</w:t>
      </w:r>
      <w:r>
        <w:rPr>
          <w:sz w:val="24"/>
          <w:szCs w:val="24"/>
        </w:rPr>
        <w:t> </w:t>
      </w:r>
      <w:r w:rsidRPr="000E539A">
        <w:rPr>
          <w:sz w:val="24"/>
          <w:szCs w:val="24"/>
        </w:rPr>
        <w:t>tis. eur za spolufinancovanie z príspevkov členských štátov EÚ.</w:t>
      </w:r>
    </w:p>
    <w:p w14:paraId="562F6C11" w14:textId="57365D51" w:rsidR="000E539A" w:rsidRPr="000E539A" w:rsidRDefault="000E539A" w:rsidP="000E539A">
      <w:pPr>
        <w:spacing w:line="240" w:lineRule="auto"/>
        <w:rPr>
          <w:sz w:val="24"/>
          <w:szCs w:val="24"/>
        </w:rPr>
      </w:pPr>
      <w:r w:rsidRPr="000E539A">
        <w:rPr>
          <w:sz w:val="24"/>
          <w:szCs w:val="24"/>
        </w:rPr>
        <w:t xml:space="preserve">Z Úradu pre finančné mechanizmy v Bruseli boli Slovenskej republike v rámci programového obdobia 2014 – 2021 poukázané prostriedky z </w:t>
      </w:r>
      <w:r w:rsidRPr="000E539A">
        <w:rPr>
          <w:b/>
          <w:i/>
          <w:sz w:val="24"/>
          <w:szCs w:val="24"/>
        </w:rPr>
        <w:t>Finančného mechanizmu EHP a Nórskeho finančného mechanizmu</w:t>
      </w:r>
      <w:r w:rsidRPr="000E539A">
        <w:rPr>
          <w:sz w:val="24"/>
          <w:szCs w:val="24"/>
        </w:rPr>
        <w:t xml:space="preserve"> vo výške 28</w:t>
      </w:r>
      <w:r>
        <w:rPr>
          <w:sz w:val="24"/>
          <w:szCs w:val="24"/>
        </w:rPr>
        <w:t> </w:t>
      </w:r>
      <w:r w:rsidRPr="000E539A">
        <w:rPr>
          <w:sz w:val="24"/>
          <w:szCs w:val="24"/>
        </w:rPr>
        <w:t>671 tis. eur. Subjektom zapojeným do implementácie boli prevedené prostriedky vo výške 2</w:t>
      </w:r>
      <w:r>
        <w:rPr>
          <w:sz w:val="24"/>
          <w:szCs w:val="24"/>
        </w:rPr>
        <w:t>6 </w:t>
      </w:r>
      <w:r w:rsidRPr="000E539A">
        <w:rPr>
          <w:sz w:val="24"/>
          <w:szCs w:val="24"/>
        </w:rPr>
        <w:t xml:space="preserve">695 tis. eur. </w:t>
      </w:r>
    </w:p>
    <w:p w14:paraId="7451B797" w14:textId="6201163D" w:rsidR="000E539A" w:rsidRPr="000E539A" w:rsidRDefault="000E539A" w:rsidP="000E539A">
      <w:pPr>
        <w:spacing w:line="240" w:lineRule="auto"/>
        <w:rPr>
          <w:sz w:val="24"/>
          <w:szCs w:val="24"/>
        </w:rPr>
      </w:pPr>
      <w:r w:rsidRPr="000E539A">
        <w:rPr>
          <w:sz w:val="24"/>
          <w:szCs w:val="24"/>
        </w:rPr>
        <w:t xml:space="preserve">Slovenskej republike boli v roku 2023 v rámci </w:t>
      </w:r>
      <w:r w:rsidRPr="000E539A">
        <w:rPr>
          <w:b/>
          <w:i/>
          <w:sz w:val="24"/>
          <w:szCs w:val="24"/>
        </w:rPr>
        <w:t>finančnej obálky</w:t>
      </w:r>
      <w:r w:rsidRPr="000E539A">
        <w:rPr>
          <w:sz w:val="24"/>
          <w:szCs w:val="24"/>
        </w:rPr>
        <w:t xml:space="preserve"> poskytnuté prostriedky na úhradu cestovných výdavkov súvisiacich s účasťou zástupcov Slovenskej republiky na zasadaniach výborov a pracovných skupín Rady EÚ vo výške 428 tis. eur. Suma úrokov pripísaných na účet pre </w:t>
      </w:r>
      <w:r>
        <w:rPr>
          <w:sz w:val="24"/>
          <w:szCs w:val="24"/>
        </w:rPr>
        <w:t>finančnú obálku bola vo výške 2 </w:t>
      </w:r>
      <w:r w:rsidRPr="000E539A">
        <w:rPr>
          <w:sz w:val="24"/>
          <w:szCs w:val="24"/>
        </w:rPr>
        <w:t>tis. eur. V roku 2023 boli uhradené cestovné výdavky súvisiace s účasťou zástupcov SR na zasadnutiach výborov a pracovných skupín Rady EÚ v sume 659</w:t>
      </w:r>
      <w:r>
        <w:rPr>
          <w:sz w:val="24"/>
          <w:szCs w:val="24"/>
        </w:rPr>
        <w:t> </w:t>
      </w:r>
      <w:r w:rsidRPr="000E539A">
        <w:rPr>
          <w:sz w:val="24"/>
          <w:szCs w:val="24"/>
        </w:rPr>
        <w:t>tis.</w:t>
      </w:r>
      <w:r>
        <w:rPr>
          <w:sz w:val="24"/>
          <w:szCs w:val="24"/>
        </w:rPr>
        <w:t> </w:t>
      </w:r>
      <w:r w:rsidRPr="000E539A">
        <w:rPr>
          <w:sz w:val="24"/>
          <w:szCs w:val="24"/>
        </w:rPr>
        <w:t>eur.</w:t>
      </w:r>
    </w:p>
    <w:p w14:paraId="040A6B59" w14:textId="1DE0E334" w:rsidR="008254BE" w:rsidRPr="007D5989" w:rsidRDefault="008254BE" w:rsidP="008172CD">
      <w:pPr>
        <w:pStyle w:val="Nadpis3"/>
        <w:spacing w:line="336" w:lineRule="auto"/>
      </w:pPr>
      <w:bookmarkStart w:id="71" w:name="_Toc6415656"/>
      <w:bookmarkStart w:id="72" w:name="_Toc164846956"/>
      <w:r w:rsidRPr="007D5989">
        <w:t>Zhrnutie čerpania záväzkov programových období po vstupe SR do EÚ</w:t>
      </w:r>
      <w:bookmarkEnd w:id="71"/>
      <w:bookmarkEnd w:id="72"/>
    </w:p>
    <w:p w14:paraId="4BF194A8" w14:textId="77777777" w:rsidR="000E539A" w:rsidRPr="000E539A" w:rsidRDefault="000E539A" w:rsidP="000E539A">
      <w:pPr>
        <w:spacing w:line="240" w:lineRule="auto"/>
        <w:rPr>
          <w:sz w:val="24"/>
          <w:szCs w:val="24"/>
        </w:rPr>
      </w:pPr>
      <w:bookmarkStart w:id="73" w:name="_Toc6415657"/>
      <w:r w:rsidRPr="000E539A">
        <w:rPr>
          <w:sz w:val="24"/>
          <w:szCs w:val="24"/>
        </w:rPr>
        <w:t>Slovenská republika v roku 2023 realizovala výdavky v rámci programového obdobia 2014-2020. Zároveň vzhľadom na ukončovanie programového obdobia 2007-2013 došlo aj k naplneniu príjmov platobných jednotiek.</w:t>
      </w:r>
    </w:p>
    <w:p w14:paraId="3EF2C7EC" w14:textId="6D76EC35" w:rsidR="00164F67" w:rsidRDefault="000E539A" w:rsidP="000E539A">
      <w:pPr>
        <w:spacing w:line="240" w:lineRule="auto"/>
        <w:rPr>
          <w:sz w:val="24"/>
          <w:szCs w:val="24"/>
        </w:rPr>
      </w:pPr>
      <w:r w:rsidRPr="000E539A">
        <w:rPr>
          <w:b/>
          <w:sz w:val="24"/>
          <w:szCs w:val="24"/>
        </w:rPr>
        <w:t>V rámci 2. programového obdobia 2007 – 2013</w:t>
      </w:r>
      <w:r w:rsidRPr="000E539A">
        <w:rPr>
          <w:sz w:val="24"/>
          <w:szCs w:val="24"/>
        </w:rPr>
        <w:t xml:space="preserve"> stále pokračuje proces uzatvárania s EK. Ku koncu roka 2023 boli s EK uzatvorené štyri operačné programy PS INTERACT II, (čerpanie: 28 733 tis. eur, t. j. 95,29 %), OP Rybné hospodárstvo (čerpanie: 9 833 tis. eur, t. j. 71,83 %), </w:t>
      </w:r>
      <w:r w:rsidRPr="000E539A">
        <w:rPr>
          <w:sz w:val="24"/>
          <w:szCs w:val="24"/>
        </w:rPr>
        <w:lastRenderedPageBreak/>
        <w:t>OP Technická pomoc (čerpanie: 71 442 tis. eur, t. j. 73,20 %) a Program cezhraničnej spolupráce SR-ČR (čerpanie: 84 836 tis. eur, t. j. 91,48%). Pri všetkých operačných programoch boli doručené prípravné uzatváracie l</w:t>
      </w:r>
      <w:r w:rsidR="0013146B">
        <w:rPr>
          <w:sz w:val="24"/>
          <w:szCs w:val="24"/>
        </w:rPr>
        <w:t>isty tzv. pre-</w:t>
      </w:r>
      <w:proofErr w:type="spellStart"/>
      <w:r w:rsidR="0013146B">
        <w:rPr>
          <w:sz w:val="24"/>
          <w:szCs w:val="24"/>
        </w:rPr>
        <w:t>closure</w:t>
      </w:r>
      <w:proofErr w:type="spellEnd"/>
      <w:r w:rsidR="0013146B">
        <w:rPr>
          <w:sz w:val="24"/>
          <w:szCs w:val="24"/>
        </w:rPr>
        <w:t xml:space="preserve"> </w:t>
      </w:r>
      <w:proofErr w:type="spellStart"/>
      <w:r w:rsidR="0013146B">
        <w:rPr>
          <w:sz w:val="24"/>
          <w:szCs w:val="24"/>
        </w:rPr>
        <w:t>letters</w:t>
      </w:r>
      <w:proofErr w:type="spellEnd"/>
      <w:r w:rsidR="0013146B">
        <w:rPr>
          <w:sz w:val="24"/>
          <w:szCs w:val="24"/>
        </w:rPr>
        <w:t xml:space="preserve"> a </w:t>
      </w:r>
      <w:r w:rsidRPr="000E539A">
        <w:rPr>
          <w:sz w:val="24"/>
          <w:szCs w:val="24"/>
        </w:rPr>
        <w:t>MF SR v roku 2023 uhradilo EK ťarchopisy za nasledovné operačné programy:</w:t>
      </w:r>
    </w:p>
    <w:tbl>
      <w:tblPr>
        <w:tblW w:w="9060" w:type="dxa"/>
        <w:tblCellMar>
          <w:left w:w="70" w:type="dxa"/>
          <w:right w:w="70" w:type="dxa"/>
        </w:tblCellMar>
        <w:tblLook w:val="04A0" w:firstRow="1" w:lastRow="0" w:firstColumn="1" w:lastColumn="0" w:noHBand="0" w:noVBand="1"/>
      </w:tblPr>
      <w:tblGrid>
        <w:gridCol w:w="2552"/>
        <w:gridCol w:w="2977"/>
        <w:gridCol w:w="3531"/>
      </w:tblGrid>
      <w:tr w:rsidR="00A87509" w:rsidRPr="00A87509" w14:paraId="412EDC3A" w14:textId="77777777" w:rsidTr="00A87509">
        <w:trPr>
          <w:trHeight w:val="363"/>
        </w:trPr>
        <w:tc>
          <w:tcPr>
            <w:tcW w:w="9060" w:type="dxa"/>
            <w:gridSpan w:val="3"/>
            <w:tcBorders>
              <w:bottom w:val="single" w:sz="4" w:space="0" w:color="auto"/>
            </w:tcBorders>
            <w:shd w:val="clear" w:color="auto" w:fill="auto"/>
            <w:noWrap/>
            <w:vAlign w:val="bottom"/>
          </w:tcPr>
          <w:p w14:paraId="0C9EBFC0" w14:textId="359C20EB" w:rsidR="00A87509" w:rsidRPr="00A87509" w:rsidRDefault="00A87509" w:rsidP="00153978">
            <w:pPr>
              <w:spacing w:line="240" w:lineRule="auto"/>
              <w:jc w:val="left"/>
              <w:rPr>
                <w:rFonts w:eastAsia="Times New Roman" w:cs="Times New Roman"/>
                <w:b/>
                <w:bCs/>
                <w:color w:val="5B9BD5" w:themeColor="accent1"/>
                <w:sz w:val="20"/>
                <w:szCs w:val="20"/>
                <w:lang w:eastAsia="sk-SK"/>
              </w:rPr>
            </w:pPr>
            <w:r w:rsidRPr="00745CCE">
              <w:rPr>
                <w:rFonts w:eastAsia="Times New Roman" w:cs="Times New Roman"/>
                <w:b/>
                <w:bCs/>
                <w:color w:val="5B9BD5" w:themeColor="accent1"/>
                <w:sz w:val="20"/>
                <w:szCs w:val="20"/>
                <w:lang w:eastAsia="sk-SK"/>
              </w:rPr>
              <w:t xml:space="preserve">Tabuľka </w:t>
            </w:r>
            <w:r w:rsidR="00153978">
              <w:rPr>
                <w:rFonts w:eastAsia="Times New Roman" w:cs="Times New Roman"/>
                <w:b/>
                <w:bCs/>
                <w:color w:val="5B9BD5" w:themeColor="accent1"/>
                <w:sz w:val="20"/>
                <w:szCs w:val="20"/>
                <w:lang w:eastAsia="sk-SK"/>
              </w:rPr>
              <w:t>70</w:t>
            </w:r>
            <w:r>
              <w:rPr>
                <w:rFonts w:eastAsia="Times New Roman" w:cs="Times New Roman"/>
                <w:b/>
                <w:bCs/>
                <w:color w:val="5B9BD5" w:themeColor="accent1"/>
                <w:sz w:val="20"/>
                <w:szCs w:val="20"/>
                <w:lang w:eastAsia="sk-SK"/>
              </w:rPr>
              <w:t xml:space="preserve"> - P</w:t>
            </w:r>
            <w:r w:rsidRPr="00763A0B">
              <w:rPr>
                <w:rFonts w:eastAsia="Times New Roman" w:cs="Times New Roman"/>
                <w:b/>
                <w:bCs/>
                <w:color w:val="5B9BD5" w:themeColor="accent1"/>
                <w:sz w:val="20"/>
                <w:szCs w:val="20"/>
                <w:lang w:eastAsia="sk-SK"/>
              </w:rPr>
              <w:t xml:space="preserve">rehľad </w:t>
            </w:r>
            <w:r>
              <w:rPr>
                <w:rFonts w:eastAsia="Times New Roman" w:cs="Times New Roman"/>
                <w:b/>
                <w:bCs/>
                <w:color w:val="5B9BD5" w:themeColor="accent1"/>
                <w:sz w:val="20"/>
                <w:szCs w:val="20"/>
                <w:lang w:eastAsia="sk-SK"/>
              </w:rPr>
              <w:t>uhradených ťarchopisov programového obdobia 2007 – 2013 za rok 2023</w:t>
            </w:r>
          </w:p>
        </w:tc>
      </w:tr>
      <w:tr w:rsidR="00A87509" w:rsidRPr="00181464" w14:paraId="6FD03BB5" w14:textId="77777777" w:rsidTr="00A87509">
        <w:trPr>
          <w:trHeight w:val="363"/>
        </w:trPr>
        <w:tc>
          <w:tcPr>
            <w:tcW w:w="2552" w:type="dxa"/>
            <w:tcBorders>
              <w:top w:val="single" w:sz="4" w:space="0" w:color="auto"/>
              <w:bottom w:val="single" w:sz="4" w:space="0" w:color="auto"/>
            </w:tcBorders>
            <w:shd w:val="clear" w:color="auto" w:fill="auto"/>
            <w:vAlign w:val="center"/>
            <w:hideMark/>
          </w:tcPr>
          <w:p w14:paraId="05F4E419" w14:textId="735A2A78" w:rsidR="00A87509" w:rsidRPr="00181464" w:rsidRDefault="00A87509" w:rsidP="00A87509">
            <w:pPr>
              <w:spacing w:after="0" w:line="240" w:lineRule="auto"/>
              <w:jc w:val="left"/>
              <w:rPr>
                <w:rFonts w:eastAsia="Times New Roman" w:cs="Times New Roman"/>
                <w:b/>
                <w:bCs/>
                <w:sz w:val="18"/>
                <w:szCs w:val="18"/>
                <w:lang w:eastAsia="sk-SK"/>
              </w:rPr>
            </w:pPr>
            <w:r w:rsidRPr="00181464">
              <w:rPr>
                <w:rFonts w:eastAsia="Times New Roman" w:cs="Times New Roman"/>
                <w:b/>
                <w:bCs/>
                <w:sz w:val="18"/>
                <w:szCs w:val="18"/>
                <w:lang w:eastAsia="sk-SK"/>
              </w:rPr>
              <w:t>Operačný program</w:t>
            </w:r>
            <w:r w:rsidRPr="00181464">
              <w:rPr>
                <w:rFonts w:eastAsia="Times New Roman" w:cs="Times New Roman"/>
                <w:b/>
                <w:bCs/>
                <w:color w:val="FFFFFF"/>
                <w:sz w:val="18"/>
                <w:szCs w:val="18"/>
                <w:lang w:eastAsia="sk-SK"/>
              </w:rPr>
              <w:t> </w:t>
            </w:r>
          </w:p>
        </w:tc>
        <w:tc>
          <w:tcPr>
            <w:tcW w:w="2977" w:type="dxa"/>
            <w:tcBorders>
              <w:top w:val="single" w:sz="4" w:space="0" w:color="auto"/>
              <w:bottom w:val="single" w:sz="4" w:space="0" w:color="auto"/>
            </w:tcBorders>
            <w:shd w:val="clear" w:color="auto" w:fill="auto"/>
            <w:vAlign w:val="center"/>
            <w:hideMark/>
          </w:tcPr>
          <w:p w14:paraId="1EDF3D45" w14:textId="22BACC8D" w:rsidR="00A87509" w:rsidRPr="00181464" w:rsidRDefault="00A87509" w:rsidP="00A87509">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sz w:val="18"/>
                <w:szCs w:val="18"/>
                <w:lang w:eastAsia="sk-SK"/>
              </w:rPr>
              <w:t>Dátum úhrady ťarchopisu</w:t>
            </w:r>
            <w:r w:rsidRPr="00181464">
              <w:rPr>
                <w:rFonts w:eastAsia="Times New Roman" w:cs="Times New Roman"/>
                <w:b/>
                <w:bCs/>
                <w:color w:val="FFFFFF"/>
                <w:sz w:val="18"/>
                <w:szCs w:val="18"/>
                <w:lang w:eastAsia="sk-SK"/>
              </w:rPr>
              <w:t> </w:t>
            </w:r>
          </w:p>
        </w:tc>
        <w:tc>
          <w:tcPr>
            <w:tcW w:w="3531" w:type="dxa"/>
            <w:tcBorders>
              <w:top w:val="single" w:sz="4" w:space="0" w:color="auto"/>
              <w:bottom w:val="single" w:sz="4" w:space="0" w:color="auto"/>
            </w:tcBorders>
            <w:shd w:val="clear" w:color="auto" w:fill="auto"/>
            <w:vAlign w:val="center"/>
            <w:hideMark/>
          </w:tcPr>
          <w:p w14:paraId="753E3DA8" w14:textId="1C61287C" w:rsidR="00A87509" w:rsidRPr="00181464" w:rsidRDefault="00A87509" w:rsidP="00A87509">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sz w:val="18"/>
                <w:szCs w:val="18"/>
                <w:lang w:eastAsia="sk-SK"/>
              </w:rPr>
              <w:t>Suma v tis. eur</w:t>
            </w:r>
            <w:r w:rsidRPr="00181464">
              <w:rPr>
                <w:rFonts w:eastAsia="Times New Roman" w:cs="Times New Roman"/>
                <w:b/>
                <w:bCs/>
                <w:color w:val="FFFFFF"/>
                <w:sz w:val="18"/>
                <w:szCs w:val="18"/>
                <w:lang w:eastAsia="sk-SK"/>
              </w:rPr>
              <w:t> </w:t>
            </w:r>
          </w:p>
        </w:tc>
      </w:tr>
      <w:tr w:rsidR="00A87509" w:rsidRPr="00181464" w14:paraId="08C5C328" w14:textId="77777777" w:rsidTr="00A87509">
        <w:trPr>
          <w:trHeight w:val="363"/>
        </w:trPr>
        <w:tc>
          <w:tcPr>
            <w:tcW w:w="2552" w:type="dxa"/>
            <w:tcBorders>
              <w:top w:val="single" w:sz="4" w:space="0" w:color="auto"/>
            </w:tcBorders>
            <w:shd w:val="clear" w:color="auto" w:fill="auto"/>
            <w:noWrap/>
            <w:vAlign w:val="center"/>
            <w:hideMark/>
          </w:tcPr>
          <w:p w14:paraId="228F7B54" w14:textId="77777777" w:rsidR="00A87509" w:rsidRPr="00181464" w:rsidRDefault="00A87509" w:rsidP="00A87509">
            <w:pPr>
              <w:spacing w:after="0"/>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OP Doprava (KF)</w:t>
            </w:r>
          </w:p>
        </w:tc>
        <w:tc>
          <w:tcPr>
            <w:tcW w:w="2977" w:type="dxa"/>
            <w:tcBorders>
              <w:top w:val="single" w:sz="4" w:space="0" w:color="auto"/>
            </w:tcBorders>
            <w:shd w:val="clear" w:color="auto" w:fill="auto"/>
            <w:noWrap/>
            <w:vAlign w:val="center"/>
            <w:hideMark/>
          </w:tcPr>
          <w:p w14:paraId="757B00A2" w14:textId="77777777" w:rsidR="00A87509" w:rsidRPr="00181464" w:rsidRDefault="00A87509" w:rsidP="00A87509">
            <w:pPr>
              <w:spacing w:after="0"/>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14.4.2023</w:t>
            </w:r>
          </w:p>
        </w:tc>
        <w:tc>
          <w:tcPr>
            <w:tcW w:w="3531" w:type="dxa"/>
            <w:tcBorders>
              <w:top w:val="single" w:sz="4" w:space="0" w:color="auto"/>
            </w:tcBorders>
            <w:shd w:val="clear" w:color="auto" w:fill="auto"/>
            <w:vAlign w:val="center"/>
            <w:hideMark/>
          </w:tcPr>
          <w:p w14:paraId="0AD42CC2" w14:textId="77777777" w:rsidR="00A87509" w:rsidRPr="00181464" w:rsidRDefault="00A87509" w:rsidP="00A87509">
            <w:pPr>
              <w:spacing w:after="0"/>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23 718</w:t>
            </w:r>
          </w:p>
        </w:tc>
      </w:tr>
      <w:tr w:rsidR="00A87509" w:rsidRPr="00181464" w14:paraId="5D5E48CE" w14:textId="77777777" w:rsidTr="00A87509">
        <w:trPr>
          <w:trHeight w:val="363"/>
        </w:trPr>
        <w:tc>
          <w:tcPr>
            <w:tcW w:w="2552" w:type="dxa"/>
            <w:shd w:val="clear" w:color="auto" w:fill="auto"/>
            <w:vAlign w:val="center"/>
            <w:hideMark/>
          </w:tcPr>
          <w:p w14:paraId="25DC7D3F" w14:textId="77777777" w:rsidR="00A87509" w:rsidRPr="00181464" w:rsidRDefault="00A87509" w:rsidP="00A87509">
            <w:pPr>
              <w:spacing w:after="0"/>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OP Doprava (EFRR)</w:t>
            </w:r>
          </w:p>
        </w:tc>
        <w:tc>
          <w:tcPr>
            <w:tcW w:w="2977" w:type="dxa"/>
            <w:shd w:val="clear" w:color="auto" w:fill="auto"/>
            <w:noWrap/>
            <w:vAlign w:val="center"/>
            <w:hideMark/>
          </w:tcPr>
          <w:p w14:paraId="16BD97B5" w14:textId="77777777" w:rsidR="00A87509" w:rsidRPr="00181464" w:rsidRDefault="00A87509" w:rsidP="00A87509">
            <w:pPr>
              <w:spacing w:after="0"/>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13.7.2023</w:t>
            </w:r>
          </w:p>
        </w:tc>
        <w:tc>
          <w:tcPr>
            <w:tcW w:w="3531" w:type="dxa"/>
            <w:shd w:val="clear" w:color="auto" w:fill="auto"/>
            <w:vAlign w:val="center"/>
            <w:hideMark/>
          </w:tcPr>
          <w:p w14:paraId="0271A89D" w14:textId="77777777" w:rsidR="00A87509" w:rsidRPr="00181464" w:rsidRDefault="00A87509" w:rsidP="00A87509">
            <w:pPr>
              <w:spacing w:after="0"/>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16 807</w:t>
            </w:r>
          </w:p>
        </w:tc>
      </w:tr>
      <w:tr w:rsidR="00A87509" w:rsidRPr="00181464" w14:paraId="0C22F814" w14:textId="77777777" w:rsidTr="00A87509">
        <w:trPr>
          <w:trHeight w:val="363"/>
        </w:trPr>
        <w:tc>
          <w:tcPr>
            <w:tcW w:w="2552" w:type="dxa"/>
            <w:shd w:val="clear" w:color="auto" w:fill="auto"/>
            <w:vAlign w:val="center"/>
            <w:hideMark/>
          </w:tcPr>
          <w:p w14:paraId="051BE268" w14:textId="77777777" w:rsidR="00A87509" w:rsidRPr="00181464" w:rsidRDefault="00A87509" w:rsidP="00A87509">
            <w:pPr>
              <w:spacing w:after="0"/>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Regionálny OP</w:t>
            </w:r>
          </w:p>
        </w:tc>
        <w:tc>
          <w:tcPr>
            <w:tcW w:w="2977" w:type="dxa"/>
            <w:shd w:val="clear" w:color="auto" w:fill="auto"/>
            <w:noWrap/>
            <w:vAlign w:val="center"/>
            <w:hideMark/>
          </w:tcPr>
          <w:p w14:paraId="19C9528D" w14:textId="77777777" w:rsidR="00A87509" w:rsidRPr="00181464" w:rsidRDefault="00A87509" w:rsidP="00A87509">
            <w:pPr>
              <w:spacing w:after="0"/>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25.8.2023</w:t>
            </w:r>
          </w:p>
        </w:tc>
        <w:tc>
          <w:tcPr>
            <w:tcW w:w="3531" w:type="dxa"/>
            <w:shd w:val="clear" w:color="auto" w:fill="auto"/>
            <w:vAlign w:val="center"/>
            <w:hideMark/>
          </w:tcPr>
          <w:p w14:paraId="5B70A97D" w14:textId="77777777" w:rsidR="00A87509" w:rsidRPr="00181464" w:rsidRDefault="00A87509" w:rsidP="00A87509">
            <w:pPr>
              <w:spacing w:after="0"/>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1 760</w:t>
            </w:r>
          </w:p>
        </w:tc>
      </w:tr>
      <w:tr w:rsidR="00A87509" w:rsidRPr="00181464" w14:paraId="4359F73F" w14:textId="77777777" w:rsidTr="00A87509">
        <w:trPr>
          <w:trHeight w:val="363"/>
        </w:trPr>
        <w:tc>
          <w:tcPr>
            <w:tcW w:w="2552" w:type="dxa"/>
            <w:shd w:val="clear" w:color="auto" w:fill="auto"/>
            <w:vAlign w:val="center"/>
            <w:hideMark/>
          </w:tcPr>
          <w:p w14:paraId="3493DEAC" w14:textId="77777777" w:rsidR="00A87509" w:rsidRPr="00181464" w:rsidRDefault="00A87509" w:rsidP="00A87509">
            <w:pPr>
              <w:spacing w:after="0" w:line="240" w:lineRule="auto"/>
              <w:rPr>
                <w:rFonts w:eastAsia="Times New Roman" w:cs="Times New Roman"/>
                <w:color w:val="000000"/>
                <w:sz w:val="18"/>
                <w:szCs w:val="18"/>
                <w:lang w:eastAsia="sk-SK"/>
              </w:rPr>
            </w:pPr>
            <w:r w:rsidRPr="00181464">
              <w:rPr>
                <w:rFonts w:eastAsia="Times New Roman" w:cs="Times New Roman"/>
                <w:color w:val="000000"/>
                <w:sz w:val="18"/>
                <w:szCs w:val="18"/>
                <w:lang w:eastAsia="sk-SK"/>
              </w:rPr>
              <w:t>OP Zdravotníctvo</w:t>
            </w:r>
          </w:p>
        </w:tc>
        <w:tc>
          <w:tcPr>
            <w:tcW w:w="2977" w:type="dxa"/>
            <w:shd w:val="clear" w:color="auto" w:fill="auto"/>
            <w:noWrap/>
            <w:vAlign w:val="center"/>
            <w:hideMark/>
          </w:tcPr>
          <w:p w14:paraId="27D24A4C" w14:textId="77777777" w:rsidR="00A87509" w:rsidRPr="00181464" w:rsidRDefault="00A87509" w:rsidP="00A87509">
            <w:pPr>
              <w:spacing w:after="0"/>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8.9.2023</w:t>
            </w:r>
          </w:p>
        </w:tc>
        <w:tc>
          <w:tcPr>
            <w:tcW w:w="3531" w:type="dxa"/>
            <w:shd w:val="clear" w:color="auto" w:fill="auto"/>
            <w:vAlign w:val="center"/>
            <w:hideMark/>
          </w:tcPr>
          <w:p w14:paraId="497908F8" w14:textId="77777777" w:rsidR="00A87509" w:rsidRPr="00181464" w:rsidRDefault="00A87509" w:rsidP="00A87509">
            <w:pPr>
              <w:spacing w:after="0"/>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2 157</w:t>
            </w:r>
          </w:p>
        </w:tc>
      </w:tr>
      <w:tr w:rsidR="00A87509" w:rsidRPr="00181464" w14:paraId="10EA1E8A" w14:textId="77777777" w:rsidTr="00A87509">
        <w:trPr>
          <w:trHeight w:val="363"/>
        </w:trPr>
        <w:tc>
          <w:tcPr>
            <w:tcW w:w="2552" w:type="dxa"/>
            <w:tcBorders>
              <w:bottom w:val="single" w:sz="4" w:space="0" w:color="auto"/>
            </w:tcBorders>
            <w:shd w:val="clear" w:color="auto" w:fill="auto"/>
            <w:vAlign w:val="center"/>
            <w:hideMark/>
          </w:tcPr>
          <w:p w14:paraId="6D6F0DF7" w14:textId="77777777" w:rsidR="00A87509" w:rsidRPr="00181464" w:rsidRDefault="00A87509" w:rsidP="00A87509">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OP Vzdelávanie</w:t>
            </w:r>
          </w:p>
        </w:tc>
        <w:tc>
          <w:tcPr>
            <w:tcW w:w="2977" w:type="dxa"/>
            <w:tcBorders>
              <w:bottom w:val="single" w:sz="4" w:space="0" w:color="auto"/>
            </w:tcBorders>
            <w:shd w:val="clear" w:color="auto" w:fill="auto"/>
            <w:noWrap/>
            <w:vAlign w:val="center"/>
            <w:hideMark/>
          </w:tcPr>
          <w:p w14:paraId="5877B404" w14:textId="77777777" w:rsidR="00A87509" w:rsidRPr="00181464" w:rsidRDefault="00A87509" w:rsidP="00A87509">
            <w:pPr>
              <w:spacing w:after="0"/>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20.11.2023</w:t>
            </w:r>
          </w:p>
        </w:tc>
        <w:tc>
          <w:tcPr>
            <w:tcW w:w="3531" w:type="dxa"/>
            <w:tcBorders>
              <w:bottom w:val="single" w:sz="4" w:space="0" w:color="auto"/>
            </w:tcBorders>
            <w:shd w:val="clear" w:color="auto" w:fill="auto"/>
            <w:vAlign w:val="center"/>
            <w:hideMark/>
          </w:tcPr>
          <w:p w14:paraId="0341DDE4" w14:textId="77777777" w:rsidR="00A87509" w:rsidRPr="00181464" w:rsidRDefault="00A87509" w:rsidP="00A87509">
            <w:pPr>
              <w:spacing w:after="0"/>
              <w:jc w:val="center"/>
              <w:rPr>
                <w:rFonts w:eastAsia="Times New Roman" w:cs="Times New Roman"/>
                <w:color w:val="000000"/>
                <w:sz w:val="18"/>
                <w:szCs w:val="18"/>
                <w:lang w:eastAsia="sk-SK"/>
              </w:rPr>
            </w:pPr>
            <w:r w:rsidRPr="00181464">
              <w:rPr>
                <w:rFonts w:eastAsia="Times New Roman" w:cs="Times New Roman"/>
                <w:color w:val="000000"/>
                <w:sz w:val="18"/>
                <w:szCs w:val="18"/>
                <w:lang w:eastAsia="sk-SK"/>
              </w:rPr>
              <w:t>24 790</w:t>
            </w:r>
          </w:p>
        </w:tc>
      </w:tr>
    </w:tbl>
    <w:p w14:paraId="42A9D242" w14:textId="77777777" w:rsidR="00A87509" w:rsidRPr="00181464" w:rsidRDefault="00A87509" w:rsidP="00A87509">
      <w:pPr>
        <w:jc w:val="right"/>
        <w:rPr>
          <w:sz w:val="18"/>
          <w:szCs w:val="18"/>
        </w:rPr>
      </w:pPr>
      <w:r w:rsidRPr="00181464">
        <w:rPr>
          <w:sz w:val="18"/>
          <w:szCs w:val="18"/>
        </w:rPr>
        <w:t>Zdroj: MF SR</w:t>
      </w:r>
    </w:p>
    <w:p w14:paraId="22F0CE33" w14:textId="7C580AF8" w:rsidR="00A87509" w:rsidRPr="00A87509" w:rsidRDefault="00A87509" w:rsidP="00A87509">
      <w:pPr>
        <w:spacing w:line="240" w:lineRule="auto"/>
        <w:rPr>
          <w:sz w:val="24"/>
          <w:szCs w:val="24"/>
        </w:rPr>
      </w:pPr>
      <w:r w:rsidRPr="00A87509">
        <w:rPr>
          <w:sz w:val="24"/>
          <w:szCs w:val="24"/>
        </w:rPr>
        <w:t>Za OP Infor</w:t>
      </w:r>
      <w:r w:rsidR="00BD4088">
        <w:rPr>
          <w:sz w:val="24"/>
          <w:szCs w:val="24"/>
        </w:rPr>
        <w:t xml:space="preserve">matizácia spoločnosti bola dňa </w:t>
      </w:r>
      <w:r w:rsidRPr="00A87509">
        <w:rPr>
          <w:sz w:val="24"/>
          <w:szCs w:val="24"/>
        </w:rPr>
        <w:t>5.12.2023 v nadväznosti na pre-</w:t>
      </w:r>
      <w:proofErr w:type="spellStart"/>
      <w:r w:rsidRPr="00A87509">
        <w:rPr>
          <w:sz w:val="24"/>
          <w:szCs w:val="24"/>
        </w:rPr>
        <w:t>closure</w:t>
      </w:r>
      <w:proofErr w:type="spellEnd"/>
      <w:r w:rsidRPr="00A87509">
        <w:rPr>
          <w:sz w:val="24"/>
          <w:szCs w:val="24"/>
        </w:rPr>
        <w:t xml:space="preserve"> </w:t>
      </w:r>
      <w:proofErr w:type="spellStart"/>
      <w:r w:rsidRPr="00A87509">
        <w:rPr>
          <w:sz w:val="24"/>
          <w:szCs w:val="24"/>
        </w:rPr>
        <w:t>letter</w:t>
      </w:r>
      <w:proofErr w:type="spellEnd"/>
      <w:r w:rsidRPr="00A87509">
        <w:rPr>
          <w:sz w:val="24"/>
          <w:szCs w:val="24"/>
        </w:rPr>
        <w:t xml:space="preserve"> prijatá úhrada z EK v sume 137 tis. eur. </w:t>
      </w:r>
    </w:p>
    <w:p w14:paraId="0B235126" w14:textId="1A97AF21" w:rsidR="00A87509" w:rsidRPr="00A87509" w:rsidRDefault="00A87509" w:rsidP="00A87509">
      <w:pPr>
        <w:spacing w:line="240" w:lineRule="auto"/>
        <w:rPr>
          <w:sz w:val="24"/>
          <w:szCs w:val="24"/>
        </w:rPr>
      </w:pPr>
      <w:r w:rsidRPr="003A30E2">
        <w:rPr>
          <w:b/>
          <w:sz w:val="24"/>
          <w:szCs w:val="24"/>
        </w:rPr>
        <w:t>V rámci 3. programového obdobia 2014 – 2020</w:t>
      </w:r>
      <w:r w:rsidRPr="00A87509">
        <w:rPr>
          <w:sz w:val="24"/>
          <w:szCs w:val="24"/>
        </w:rPr>
        <w:t xml:space="preserve"> z celkového záväzku 10 operačných programov vyčerpala SR na národnej úrovni k 31.12.2023 prostriedky EÚ vo výške </w:t>
      </w:r>
      <w:r w:rsidR="003A30E2">
        <w:rPr>
          <w:sz w:val="24"/>
          <w:szCs w:val="24"/>
        </w:rPr>
        <w:t>12 </w:t>
      </w:r>
      <w:r w:rsidRPr="00A87509">
        <w:rPr>
          <w:sz w:val="24"/>
          <w:szCs w:val="24"/>
        </w:rPr>
        <w:t>383</w:t>
      </w:r>
      <w:r w:rsidR="003A30E2">
        <w:rPr>
          <w:sz w:val="24"/>
          <w:szCs w:val="24"/>
        </w:rPr>
        <w:t> </w:t>
      </w:r>
      <w:r w:rsidRPr="00A87509">
        <w:rPr>
          <w:sz w:val="24"/>
          <w:szCs w:val="24"/>
        </w:rPr>
        <w:t>646</w:t>
      </w:r>
      <w:r w:rsidR="003A30E2">
        <w:rPr>
          <w:sz w:val="24"/>
          <w:szCs w:val="24"/>
        </w:rPr>
        <w:t> tis. </w:t>
      </w:r>
      <w:r w:rsidRPr="00A87509">
        <w:rPr>
          <w:sz w:val="24"/>
          <w:szCs w:val="24"/>
        </w:rPr>
        <w:t>eur, čo predstavuje čerpanie na úrovni 85,40</w:t>
      </w:r>
      <w:r w:rsidR="003A30E2">
        <w:rPr>
          <w:sz w:val="24"/>
          <w:szCs w:val="24"/>
        </w:rPr>
        <w:t> </w:t>
      </w:r>
      <w:r w:rsidRPr="00A87509">
        <w:rPr>
          <w:sz w:val="24"/>
          <w:szCs w:val="24"/>
        </w:rPr>
        <w:t>%</w:t>
      </w:r>
      <w:r w:rsidR="003A30E2">
        <w:rPr>
          <w:sz w:val="24"/>
          <w:szCs w:val="24"/>
        </w:rPr>
        <w:t xml:space="preserve"> záväzku. Implementáciu a </w:t>
      </w:r>
      <w:r w:rsidRPr="00A87509">
        <w:rPr>
          <w:sz w:val="24"/>
          <w:szCs w:val="24"/>
        </w:rPr>
        <w:t>čerpa</w:t>
      </w:r>
      <w:r w:rsidR="00DB726B">
        <w:rPr>
          <w:sz w:val="24"/>
          <w:szCs w:val="24"/>
        </w:rPr>
        <w:t xml:space="preserve">nie v prvých troch mesiacoch roka </w:t>
      </w:r>
      <w:r w:rsidRPr="00A87509">
        <w:rPr>
          <w:sz w:val="24"/>
          <w:szCs w:val="24"/>
        </w:rPr>
        <w:t>2022 ovplyvnila zmena legislatívy EÚ vo vzťahu k možnosti preplácania 100 % deklarovaných výdavkov zo strany EK (8. účtovný rok). Uvedené malo pozitívny dopad na príjmy z EK a na plnenie pravidla n+3.</w:t>
      </w:r>
      <w:r w:rsidR="00B05BA8">
        <w:rPr>
          <w:rStyle w:val="Odkaznapoznmkupodiarou"/>
          <w:sz w:val="24"/>
          <w:szCs w:val="24"/>
        </w:rPr>
        <w:footnoteReference w:id="35"/>
      </w:r>
    </w:p>
    <w:p w14:paraId="64ECDCE1" w14:textId="03ED7DEF" w:rsidR="00A87509" w:rsidRPr="003A30E2" w:rsidRDefault="00A87509" w:rsidP="00A87509">
      <w:pPr>
        <w:spacing w:line="240" w:lineRule="auto"/>
        <w:rPr>
          <w:rFonts w:cs="Times New Roman"/>
          <w:sz w:val="24"/>
          <w:szCs w:val="24"/>
        </w:rPr>
      </w:pPr>
      <w:r w:rsidRPr="00A87509">
        <w:rPr>
          <w:sz w:val="24"/>
          <w:szCs w:val="24"/>
        </w:rPr>
        <w:t xml:space="preserve">V rámci </w:t>
      </w:r>
      <w:proofErr w:type="spellStart"/>
      <w:r w:rsidRPr="003A30E2">
        <w:rPr>
          <w:rFonts w:cs="Times New Roman"/>
          <w:sz w:val="24"/>
          <w:szCs w:val="24"/>
        </w:rPr>
        <w:t>realokácie</w:t>
      </w:r>
      <w:proofErr w:type="spellEnd"/>
      <w:r w:rsidR="00B05BA8">
        <w:rPr>
          <w:rStyle w:val="Odkaznapoznmkupodiarou"/>
          <w:rFonts w:cs="Times New Roman"/>
          <w:sz w:val="24"/>
          <w:szCs w:val="24"/>
        </w:rPr>
        <w:footnoteReference w:id="36"/>
      </w:r>
      <w:r w:rsidRPr="003A30E2">
        <w:rPr>
          <w:rFonts w:cs="Times New Roman"/>
          <w:sz w:val="24"/>
          <w:szCs w:val="24"/>
        </w:rPr>
        <w:t xml:space="preserve"> zdrojov na elimináciu dopadov pandémie COVID - 19 bolo presunutých celkovo 1</w:t>
      </w:r>
      <w:r w:rsidR="003A30E2" w:rsidRPr="003A30E2">
        <w:rPr>
          <w:rFonts w:cs="Times New Roman"/>
          <w:sz w:val="24"/>
          <w:szCs w:val="24"/>
        </w:rPr>
        <w:t> </w:t>
      </w:r>
      <w:r w:rsidRPr="003A30E2">
        <w:rPr>
          <w:rFonts w:cs="Times New Roman"/>
          <w:sz w:val="24"/>
          <w:szCs w:val="24"/>
        </w:rPr>
        <w:t>105</w:t>
      </w:r>
      <w:r w:rsidR="003A30E2" w:rsidRPr="003A30E2">
        <w:rPr>
          <w:rFonts w:cs="Times New Roman"/>
          <w:sz w:val="24"/>
          <w:szCs w:val="24"/>
        </w:rPr>
        <w:t> 062 </w:t>
      </w:r>
      <w:r w:rsidRPr="003A30E2">
        <w:rPr>
          <w:rFonts w:cs="Times New Roman"/>
          <w:sz w:val="24"/>
          <w:szCs w:val="24"/>
        </w:rPr>
        <w:t>tis</w:t>
      </w:r>
      <w:r w:rsidR="003A30E2" w:rsidRPr="003A30E2">
        <w:rPr>
          <w:rFonts w:cs="Times New Roman"/>
          <w:sz w:val="24"/>
          <w:szCs w:val="24"/>
        </w:rPr>
        <w:t>. </w:t>
      </w:r>
      <w:r w:rsidRPr="003A30E2">
        <w:rPr>
          <w:rFonts w:cs="Times New Roman"/>
          <w:sz w:val="24"/>
          <w:szCs w:val="24"/>
        </w:rPr>
        <w:t>eur do oblastí zameraných na:</w:t>
      </w:r>
    </w:p>
    <w:p w14:paraId="6DE2A387" w14:textId="5D775CD9" w:rsidR="00A87509" w:rsidRPr="003A30E2" w:rsidRDefault="00A87509" w:rsidP="00E76212">
      <w:pPr>
        <w:pStyle w:val="Odsekzoznamu"/>
        <w:numPr>
          <w:ilvl w:val="0"/>
          <w:numId w:val="3"/>
        </w:numPr>
        <w:rPr>
          <w:rFonts w:ascii="Times New Roman" w:hAnsi="Times New Roman"/>
          <w:sz w:val="24"/>
          <w:szCs w:val="24"/>
        </w:rPr>
      </w:pPr>
      <w:r w:rsidRPr="003A30E2">
        <w:rPr>
          <w:rFonts w:ascii="Times New Roman" w:hAnsi="Times New Roman"/>
          <w:color w:val="000000" w:themeColor="text1"/>
          <w:sz w:val="24"/>
          <w:szCs w:val="24"/>
        </w:rPr>
        <w:t>podporu</w:t>
      </w:r>
      <w:r w:rsidRPr="003A30E2">
        <w:rPr>
          <w:rFonts w:ascii="Times New Roman" w:hAnsi="Times New Roman"/>
          <w:sz w:val="24"/>
          <w:szCs w:val="24"/>
        </w:rPr>
        <w:t xml:space="preserve"> udržania zamestnanosti tzv. </w:t>
      </w:r>
      <w:proofErr w:type="spellStart"/>
      <w:r w:rsidRPr="003A30E2">
        <w:rPr>
          <w:rFonts w:ascii="Times New Roman" w:hAnsi="Times New Roman"/>
          <w:sz w:val="24"/>
          <w:szCs w:val="24"/>
        </w:rPr>
        <w:t>Kurzarbeit</w:t>
      </w:r>
      <w:proofErr w:type="spellEnd"/>
      <w:r w:rsidRPr="003A30E2">
        <w:rPr>
          <w:rFonts w:ascii="Times New Roman" w:hAnsi="Times New Roman"/>
          <w:sz w:val="24"/>
          <w:szCs w:val="24"/>
        </w:rPr>
        <w:t>: 410</w:t>
      </w:r>
      <w:r w:rsidR="003A30E2">
        <w:rPr>
          <w:rFonts w:ascii="Times New Roman" w:hAnsi="Times New Roman"/>
          <w:sz w:val="24"/>
          <w:szCs w:val="24"/>
        </w:rPr>
        <w:t> </w:t>
      </w:r>
      <w:r w:rsidRPr="003A30E2">
        <w:rPr>
          <w:rFonts w:ascii="Times New Roman" w:hAnsi="Times New Roman"/>
          <w:sz w:val="24"/>
          <w:szCs w:val="24"/>
        </w:rPr>
        <w:t>263</w:t>
      </w:r>
      <w:r w:rsidR="003A30E2">
        <w:rPr>
          <w:rFonts w:ascii="Times New Roman" w:hAnsi="Times New Roman"/>
          <w:sz w:val="24"/>
          <w:szCs w:val="24"/>
        </w:rPr>
        <w:t> </w:t>
      </w:r>
      <w:r w:rsidRPr="003A30E2">
        <w:rPr>
          <w:rFonts w:ascii="Times New Roman" w:hAnsi="Times New Roman"/>
          <w:sz w:val="24"/>
          <w:szCs w:val="24"/>
        </w:rPr>
        <w:t>tis.</w:t>
      </w:r>
      <w:r w:rsidR="003A30E2">
        <w:rPr>
          <w:rFonts w:ascii="Times New Roman" w:hAnsi="Times New Roman"/>
          <w:sz w:val="24"/>
          <w:szCs w:val="24"/>
        </w:rPr>
        <w:t> </w:t>
      </w:r>
      <w:r w:rsidRPr="003A30E2">
        <w:rPr>
          <w:rFonts w:ascii="Times New Roman" w:hAnsi="Times New Roman"/>
          <w:sz w:val="24"/>
          <w:szCs w:val="24"/>
        </w:rPr>
        <w:t>eur (OP Ľudské zdroje);</w:t>
      </w:r>
    </w:p>
    <w:p w14:paraId="2AA856E6" w14:textId="17741BAA" w:rsidR="00A87509" w:rsidRPr="003A30E2" w:rsidRDefault="00A87509" w:rsidP="00E76212">
      <w:pPr>
        <w:pStyle w:val="Odsekzoznamu"/>
        <w:numPr>
          <w:ilvl w:val="0"/>
          <w:numId w:val="3"/>
        </w:numPr>
        <w:rPr>
          <w:rFonts w:ascii="Times New Roman" w:hAnsi="Times New Roman"/>
          <w:sz w:val="24"/>
          <w:szCs w:val="24"/>
        </w:rPr>
      </w:pPr>
      <w:r w:rsidRPr="003A30E2">
        <w:rPr>
          <w:rFonts w:ascii="Times New Roman" w:hAnsi="Times New Roman"/>
          <w:sz w:val="24"/>
          <w:szCs w:val="24"/>
        </w:rPr>
        <w:t xml:space="preserve">podporu zdravotníckeho systému: </w:t>
      </w:r>
      <w:r w:rsidR="003A30E2">
        <w:rPr>
          <w:rFonts w:ascii="Times New Roman" w:hAnsi="Times New Roman"/>
          <w:sz w:val="24"/>
          <w:szCs w:val="24"/>
        </w:rPr>
        <w:t>204 </w:t>
      </w:r>
      <w:r w:rsidRPr="003A30E2">
        <w:rPr>
          <w:rFonts w:ascii="Times New Roman" w:hAnsi="Times New Roman"/>
          <w:sz w:val="24"/>
          <w:szCs w:val="24"/>
        </w:rPr>
        <w:t>300</w:t>
      </w:r>
      <w:r w:rsidR="003A30E2">
        <w:rPr>
          <w:rFonts w:ascii="Times New Roman" w:hAnsi="Times New Roman"/>
          <w:sz w:val="24"/>
          <w:szCs w:val="24"/>
        </w:rPr>
        <w:t> </w:t>
      </w:r>
      <w:r w:rsidRPr="003A30E2">
        <w:rPr>
          <w:rFonts w:ascii="Times New Roman" w:hAnsi="Times New Roman"/>
          <w:sz w:val="24"/>
          <w:szCs w:val="24"/>
        </w:rPr>
        <w:t>tis</w:t>
      </w:r>
      <w:r w:rsidR="003A30E2">
        <w:rPr>
          <w:rFonts w:ascii="Times New Roman" w:hAnsi="Times New Roman"/>
          <w:sz w:val="24"/>
          <w:szCs w:val="24"/>
        </w:rPr>
        <w:t>. </w:t>
      </w:r>
      <w:r w:rsidRPr="003A30E2">
        <w:rPr>
          <w:rFonts w:ascii="Times New Roman" w:hAnsi="Times New Roman"/>
          <w:sz w:val="24"/>
          <w:szCs w:val="24"/>
        </w:rPr>
        <w:t>eur (OP Integrovaná infraštruktúra, Integrovaný regionálny OP);</w:t>
      </w:r>
    </w:p>
    <w:p w14:paraId="171A7BEA" w14:textId="679AC6C4" w:rsidR="00A87509" w:rsidRPr="003A30E2" w:rsidRDefault="00A87509" w:rsidP="00E76212">
      <w:pPr>
        <w:pStyle w:val="Odsekzoznamu"/>
        <w:numPr>
          <w:ilvl w:val="0"/>
          <w:numId w:val="3"/>
        </w:numPr>
        <w:rPr>
          <w:rFonts w:ascii="Times New Roman" w:hAnsi="Times New Roman"/>
          <w:sz w:val="24"/>
          <w:szCs w:val="24"/>
        </w:rPr>
      </w:pPr>
      <w:r w:rsidRPr="003A30E2">
        <w:rPr>
          <w:rFonts w:ascii="Times New Roman" w:hAnsi="Times New Roman"/>
          <w:sz w:val="24"/>
          <w:szCs w:val="24"/>
        </w:rPr>
        <w:t xml:space="preserve">podporu pre </w:t>
      </w:r>
      <w:proofErr w:type="spellStart"/>
      <w:r w:rsidRPr="003A30E2">
        <w:rPr>
          <w:rFonts w:ascii="Times New Roman" w:hAnsi="Times New Roman"/>
          <w:sz w:val="24"/>
          <w:szCs w:val="24"/>
        </w:rPr>
        <w:t>mikro</w:t>
      </w:r>
      <w:proofErr w:type="spellEnd"/>
      <w:r w:rsidRPr="003A30E2">
        <w:rPr>
          <w:rFonts w:ascii="Times New Roman" w:hAnsi="Times New Roman"/>
          <w:sz w:val="24"/>
          <w:szCs w:val="24"/>
        </w:rPr>
        <w:t>, malé a stredné podniky: 330</w:t>
      </w:r>
      <w:r w:rsidR="003A30E2">
        <w:rPr>
          <w:rFonts w:ascii="Times New Roman" w:hAnsi="Times New Roman"/>
          <w:sz w:val="24"/>
          <w:szCs w:val="24"/>
        </w:rPr>
        <w:t> </w:t>
      </w:r>
      <w:r w:rsidRPr="003A30E2">
        <w:rPr>
          <w:rFonts w:ascii="Times New Roman" w:hAnsi="Times New Roman"/>
          <w:sz w:val="24"/>
          <w:szCs w:val="24"/>
        </w:rPr>
        <w:t>200</w:t>
      </w:r>
      <w:r w:rsidR="003A30E2">
        <w:rPr>
          <w:rFonts w:ascii="Times New Roman" w:hAnsi="Times New Roman"/>
          <w:sz w:val="24"/>
          <w:szCs w:val="24"/>
        </w:rPr>
        <w:t> </w:t>
      </w:r>
      <w:r w:rsidRPr="003A30E2">
        <w:rPr>
          <w:rFonts w:ascii="Times New Roman" w:hAnsi="Times New Roman"/>
          <w:sz w:val="24"/>
          <w:szCs w:val="24"/>
        </w:rPr>
        <w:t>tis.</w:t>
      </w:r>
      <w:r w:rsidR="003A30E2">
        <w:rPr>
          <w:rFonts w:ascii="Times New Roman" w:hAnsi="Times New Roman"/>
          <w:sz w:val="24"/>
          <w:szCs w:val="24"/>
        </w:rPr>
        <w:t> </w:t>
      </w:r>
      <w:r w:rsidRPr="003A30E2">
        <w:rPr>
          <w:rFonts w:ascii="Times New Roman" w:hAnsi="Times New Roman"/>
          <w:sz w:val="24"/>
          <w:szCs w:val="24"/>
        </w:rPr>
        <w:t>eur (OP Integrovaná infraštruktúra);</w:t>
      </w:r>
    </w:p>
    <w:p w14:paraId="6E1088FC" w14:textId="5CEA7763" w:rsidR="00A87509" w:rsidRPr="003A30E2" w:rsidRDefault="00A87509" w:rsidP="00E76212">
      <w:pPr>
        <w:pStyle w:val="Odsekzoznamu"/>
        <w:numPr>
          <w:ilvl w:val="0"/>
          <w:numId w:val="3"/>
        </w:numPr>
        <w:rPr>
          <w:rFonts w:ascii="Times New Roman" w:hAnsi="Times New Roman"/>
          <w:sz w:val="24"/>
          <w:szCs w:val="24"/>
        </w:rPr>
      </w:pPr>
      <w:r w:rsidRPr="003A30E2">
        <w:rPr>
          <w:rFonts w:ascii="Times New Roman" w:hAnsi="Times New Roman"/>
          <w:sz w:val="24"/>
          <w:szCs w:val="24"/>
        </w:rPr>
        <w:t>podporu zložiek integrovaného záchranného systému: 51 000 tis.</w:t>
      </w:r>
      <w:r w:rsidR="003A30E2">
        <w:rPr>
          <w:rFonts w:ascii="Times New Roman" w:hAnsi="Times New Roman"/>
          <w:sz w:val="24"/>
          <w:szCs w:val="24"/>
        </w:rPr>
        <w:t> </w:t>
      </w:r>
      <w:r w:rsidRPr="003A30E2">
        <w:rPr>
          <w:rFonts w:ascii="Times New Roman" w:hAnsi="Times New Roman"/>
          <w:sz w:val="24"/>
          <w:szCs w:val="24"/>
        </w:rPr>
        <w:t>eur (OP Kvalita životného prostredia);</w:t>
      </w:r>
    </w:p>
    <w:p w14:paraId="0B64289B" w14:textId="2813C94A" w:rsidR="00A87509" w:rsidRPr="003A30E2" w:rsidRDefault="00A87509" w:rsidP="00E76212">
      <w:pPr>
        <w:pStyle w:val="Odsekzoznamu"/>
        <w:numPr>
          <w:ilvl w:val="0"/>
          <w:numId w:val="3"/>
        </w:numPr>
        <w:rPr>
          <w:rFonts w:ascii="Times New Roman" w:hAnsi="Times New Roman"/>
          <w:sz w:val="24"/>
          <w:szCs w:val="24"/>
        </w:rPr>
      </w:pPr>
      <w:r w:rsidRPr="003A30E2">
        <w:rPr>
          <w:rFonts w:ascii="Times New Roman" w:hAnsi="Times New Roman"/>
          <w:sz w:val="24"/>
          <w:szCs w:val="24"/>
        </w:rPr>
        <w:t>iné opatrenia na zmiernenie dopadov COVID -19: 109 300 tis. eur (OP Ľudské zdroje).</w:t>
      </w:r>
    </w:p>
    <w:p w14:paraId="1C767BEE" w14:textId="2821928A" w:rsidR="00A87509" w:rsidRPr="003A30E2" w:rsidRDefault="00A87509" w:rsidP="00A87509">
      <w:pPr>
        <w:spacing w:line="240" w:lineRule="auto"/>
        <w:rPr>
          <w:rFonts w:cs="Times New Roman"/>
          <w:sz w:val="24"/>
          <w:szCs w:val="24"/>
        </w:rPr>
      </w:pPr>
      <w:r w:rsidRPr="003A30E2">
        <w:rPr>
          <w:rFonts w:cs="Times New Roman"/>
          <w:sz w:val="24"/>
          <w:szCs w:val="24"/>
        </w:rPr>
        <w:t>K 31.12.2023 bolo zo zdrojov určených na elimináciu dopadov COVID-19 na národnej úrovni vyčerpaných 254 398 tis. eur za EÚ zdroj, čo predstavuje 113,51 % podiel presunutých zdrojov. Z toho za rok 2023 bolo vyčerpaných 264 555 tis. eur, čo predstavuje nárast o 23,96 %.p. b.</w:t>
      </w:r>
    </w:p>
    <w:p w14:paraId="087D2717" w14:textId="72298324" w:rsidR="00A87509" w:rsidRPr="00A87509" w:rsidRDefault="00A87509" w:rsidP="00A87509">
      <w:pPr>
        <w:spacing w:line="240" w:lineRule="auto"/>
        <w:rPr>
          <w:sz w:val="24"/>
          <w:szCs w:val="24"/>
        </w:rPr>
      </w:pPr>
      <w:r w:rsidRPr="003A30E2">
        <w:rPr>
          <w:rFonts w:cs="Times New Roman"/>
          <w:sz w:val="24"/>
          <w:szCs w:val="24"/>
        </w:rPr>
        <w:t>K 31.12.2023 bolo v rámci iniciatívy</w:t>
      </w:r>
      <w:r w:rsidRPr="00A87509">
        <w:rPr>
          <w:sz w:val="24"/>
          <w:szCs w:val="24"/>
        </w:rPr>
        <w:t xml:space="preserve"> REACT-EU (podpora eliminovania dopadov pandémie) vyčerpaných 512 085 tis. eur, čo predstavuje 70,90% z </w:t>
      </w:r>
      <w:r w:rsidR="003A30E2">
        <w:rPr>
          <w:sz w:val="24"/>
          <w:szCs w:val="24"/>
        </w:rPr>
        <w:t>celkovej alokácie (722 253 tis. </w:t>
      </w:r>
      <w:r w:rsidRPr="00A87509">
        <w:rPr>
          <w:sz w:val="24"/>
          <w:szCs w:val="24"/>
        </w:rPr>
        <w:t xml:space="preserve">eur). Dodatočná alokácia REACT-EU pre Slovenskú republiku (nezahŕňa alokáciu na Program rozvoja vidieka) navýšila </w:t>
      </w:r>
      <w:r w:rsidR="003A30E2">
        <w:rPr>
          <w:sz w:val="24"/>
          <w:szCs w:val="24"/>
        </w:rPr>
        <w:t xml:space="preserve">prostredníctvom 1. a </w:t>
      </w:r>
      <w:r w:rsidRPr="00A87509">
        <w:rPr>
          <w:sz w:val="24"/>
          <w:szCs w:val="24"/>
        </w:rPr>
        <w:t xml:space="preserve">2. </w:t>
      </w:r>
      <w:proofErr w:type="spellStart"/>
      <w:r w:rsidRPr="00A87509">
        <w:rPr>
          <w:sz w:val="24"/>
          <w:szCs w:val="24"/>
        </w:rPr>
        <w:t>tranže</w:t>
      </w:r>
      <w:proofErr w:type="spellEnd"/>
      <w:r w:rsidRPr="00A87509">
        <w:rPr>
          <w:sz w:val="24"/>
          <w:szCs w:val="24"/>
        </w:rPr>
        <w:t xml:space="preserve"> alokácie programov OP Ľudské zdroje, Integrovaný regionálny OP a OP Efektívna verejná správa.</w:t>
      </w:r>
    </w:p>
    <w:p w14:paraId="11459B3E" w14:textId="77777777" w:rsidR="008172CD" w:rsidRDefault="008172CD">
      <w:r>
        <w:br w:type="page"/>
      </w:r>
    </w:p>
    <w:tbl>
      <w:tblPr>
        <w:tblW w:w="4624" w:type="pct"/>
        <w:tblLayout w:type="fixed"/>
        <w:tblCellMar>
          <w:left w:w="70" w:type="dxa"/>
          <w:right w:w="70" w:type="dxa"/>
        </w:tblCellMar>
        <w:tblLook w:val="04A0" w:firstRow="1" w:lastRow="0" w:firstColumn="1" w:lastColumn="0" w:noHBand="0" w:noVBand="1"/>
        <w:tblCaption w:val="Tabuľka 53 - Prehľad prostriedkov pridelených z iniciatívy REACT EÚ do programov EŠIF (bez PRV) v tis. eur"/>
      </w:tblPr>
      <w:tblGrid>
        <w:gridCol w:w="2695"/>
        <w:gridCol w:w="821"/>
        <w:gridCol w:w="303"/>
        <w:gridCol w:w="435"/>
        <w:gridCol w:w="1558"/>
        <w:gridCol w:w="1278"/>
        <w:gridCol w:w="1271"/>
        <w:gridCol w:w="116"/>
        <w:gridCol w:w="44"/>
      </w:tblGrid>
      <w:tr w:rsidR="003A30E2" w:rsidRPr="006D7F43" w14:paraId="093DAE44" w14:textId="77777777" w:rsidTr="0031658D">
        <w:trPr>
          <w:gridAfter w:val="1"/>
          <w:wAfter w:w="26" w:type="pct"/>
          <w:trHeight w:val="194"/>
        </w:trPr>
        <w:tc>
          <w:tcPr>
            <w:tcW w:w="4974" w:type="pct"/>
            <w:gridSpan w:val="8"/>
            <w:tcBorders>
              <w:top w:val="nil"/>
              <w:left w:val="nil"/>
              <w:bottom w:val="single" w:sz="4" w:space="0" w:color="auto"/>
            </w:tcBorders>
          </w:tcPr>
          <w:p w14:paraId="3ACDEE59" w14:textId="250B43C1" w:rsidR="003A30E2" w:rsidRPr="006D7F43" w:rsidRDefault="003A30E2" w:rsidP="00DD022A">
            <w:pPr>
              <w:spacing w:after="0" w:line="240" w:lineRule="auto"/>
              <w:jc w:val="left"/>
              <w:rPr>
                <w:rFonts w:eastAsia="Times New Roman" w:cs="Times New Roman"/>
                <w:b/>
                <w:bCs/>
                <w:color w:val="5B9BD5"/>
                <w:sz w:val="20"/>
                <w:szCs w:val="20"/>
                <w:lang w:eastAsia="sk-SK"/>
              </w:rPr>
            </w:pPr>
            <w:r w:rsidRPr="006D7F43">
              <w:rPr>
                <w:rFonts w:eastAsia="Times New Roman" w:cs="Times New Roman"/>
                <w:b/>
                <w:bCs/>
                <w:color w:val="5B9BD5"/>
                <w:sz w:val="20"/>
                <w:szCs w:val="20"/>
                <w:lang w:eastAsia="sk-SK"/>
              </w:rPr>
              <w:lastRenderedPageBreak/>
              <w:t xml:space="preserve">Tabuľka </w:t>
            </w:r>
            <w:r w:rsidR="00153978">
              <w:rPr>
                <w:rFonts w:eastAsia="Times New Roman" w:cs="Times New Roman"/>
                <w:b/>
                <w:bCs/>
                <w:color w:val="5B9BD5"/>
                <w:sz w:val="20"/>
                <w:szCs w:val="20"/>
                <w:lang w:eastAsia="sk-SK"/>
              </w:rPr>
              <w:t>71</w:t>
            </w:r>
            <w:r w:rsidRPr="006D7F43">
              <w:rPr>
                <w:rFonts w:eastAsia="Times New Roman" w:cs="Times New Roman"/>
                <w:b/>
                <w:bCs/>
                <w:color w:val="5B9BD5"/>
                <w:sz w:val="20"/>
                <w:szCs w:val="20"/>
                <w:lang w:eastAsia="sk-SK"/>
              </w:rPr>
              <w:t xml:space="preserve"> - Prehľad prostriedkov pridelených z iniciatívy REACT EÚ do programov EŠIF (bez PRV) v tis. eur</w:t>
            </w:r>
          </w:p>
        </w:tc>
      </w:tr>
      <w:tr w:rsidR="003A30E2" w:rsidRPr="006D7F43" w14:paraId="6EE356B5" w14:textId="77777777" w:rsidTr="00181464">
        <w:trPr>
          <w:trHeight w:val="372"/>
        </w:trPr>
        <w:tc>
          <w:tcPr>
            <w:tcW w:w="1581" w:type="pct"/>
            <w:tcBorders>
              <w:top w:val="single" w:sz="4" w:space="0" w:color="auto"/>
              <w:left w:val="nil"/>
              <w:bottom w:val="nil"/>
              <w:right w:val="nil"/>
            </w:tcBorders>
            <w:shd w:val="clear" w:color="auto" w:fill="auto"/>
            <w:vAlign w:val="center"/>
            <w:hideMark/>
          </w:tcPr>
          <w:p w14:paraId="1E5329B1" w14:textId="77777777" w:rsidR="003A30E2" w:rsidRPr="00181464" w:rsidRDefault="003A30E2" w:rsidP="0031658D">
            <w:pPr>
              <w:spacing w:after="0" w:line="240" w:lineRule="auto"/>
              <w:jc w:val="left"/>
              <w:rPr>
                <w:rFonts w:eastAsia="Times New Roman" w:cs="Times New Roman"/>
                <w:b/>
                <w:bCs/>
                <w:color w:val="FFFFFF"/>
                <w:sz w:val="18"/>
                <w:szCs w:val="18"/>
                <w:lang w:eastAsia="sk-SK"/>
              </w:rPr>
            </w:pPr>
            <w:r w:rsidRPr="00181464">
              <w:rPr>
                <w:rFonts w:eastAsia="Times New Roman" w:cs="Times New Roman"/>
                <w:b/>
                <w:bCs/>
                <w:color w:val="000000"/>
                <w:sz w:val="18"/>
                <w:szCs w:val="18"/>
                <w:lang w:eastAsia="sk-SK"/>
              </w:rPr>
              <w:t>Operačný program</w:t>
            </w:r>
          </w:p>
        </w:tc>
        <w:tc>
          <w:tcPr>
            <w:tcW w:w="660" w:type="pct"/>
            <w:gridSpan w:val="2"/>
            <w:tcBorders>
              <w:top w:val="single" w:sz="4" w:space="0" w:color="auto"/>
              <w:left w:val="nil"/>
              <w:bottom w:val="nil"/>
              <w:right w:val="nil"/>
            </w:tcBorders>
            <w:shd w:val="clear" w:color="auto" w:fill="auto"/>
            <w:vAlign w:val="center"/>
            <w:hideMark/>
          </w:tcPr>
          <w:p w14:paraId="77732D9C" w14:textId="77777777" w:rsidR="003A30E2" w:rsidRPr="00181464" w:rsidRDefault="003A30E2" w:rsidP="0031658D">
            <w:pPr>
              <w:spacing w:after="0" w:line="240" w:lineRule="auto"/>
              <w:jc w:val="center"/>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 xml:space="preserve">Prvá </w:t>
            </w:r>
            <w:proofErr w:type="spellStart"/>
            <w:r w:rsidRPr="00181464">
              <w:rPr>
                <w:rFonts w:eastAsia="Times New Roman" w:cs="Times New Roman"/>
                <w:b/>
                <w:bCs/>
                <w:color w:val="000000"/>
                <w:sz w:val="18"/>
                <w:szCs w:val="18"/>
                <w:lang w:eastAsia="sk-SK"/>
              </w:rPr>
              <w:t>tranža</w:t>
            </w:r>
            <w:proofErr w:type="spellEnd"/>
          </w:p>
        </w:tc>
        <w:tc>
          <w:tcPr>
            <w:tcW w:w="1169" w:type="pct"/>
            <w:gridSpan w:val="2"/>
            <w:tcBorders>
              <w:top w:val="single" w:sz="4" w:space="0" w:color="auto"/>
              <w:left w:val="nil"/>
              <w:bottom w:val="nil"/>
              <w:right w:val="nil"/>
            </w:tcBorders>
            <w:shd w:val="clear" w:color="auto" w:fill="auto"/>
            <w:vAlign w:val="center"/>
            <w:hideMark/>
          </w:tcPr>
          <w:p w14:paraId="18A9B05C" w14:textId="77777777" w:rsidR="003A30E2" w:rsidRPr="00181464" w:rsidRDefault="003A30E2" w:rsidP="00181464">
            <w:pPr>
              <w:spacing w:after="0" w:line="240" w:lineRule="auto"/>
              <w:jc w:val="righ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 xml:space="preserve">Druhá </w:t>
            </w:r>
            <w:proofErr w:type="spellStart"/>
            <w:r w:rsidRPr="00181464">
              <w:rPr>
                <w:rFonts w:eastAsia="Times New Roman" w:cs="Times New Roman"/>
                <w:b/>
                <w:bCs/>
                <w:color w:val="000000"/>
                <w:sz w:val="18"/>
                <w:szCs w:val="18"/>
                <w:lang w:eastAsia="sk-SK"/>
              </w:rPr>
              <w:t>tranža</w:t>
            </w:r>
            <w:proofErr w:type="spellEnd"/>
          </w:p>
        </w:tc>
        <w:tc>
          <w:tcPr>
            <w:tcW w:w="750" w:type="pct"/>
            <w:tcBorders>
              <w:top w:val="single" w:sz="4" w:space="0" w:color="auto"/>
              <w:left w:val="nil"/>
              <w:bottom w:val="nil"/>
              <w:right w:val="nil"/>
            </w:tcBorders>
            <w:shd w:val="clear" w:color="auto" w:fill="auto"/>
            <w:vAlign w:val="center"/>
            <w:hideMark/>
          </w:tcPr>
          <w:p w14:paraId="40DF8879" w14:textId="77777777" w:rsidR="003A30E2" w:rsidRPr="00181464" w:rsidRDefault="003A30E2" w:rsidP="00181464">
            <w:pPr>
              <w:spacing w:after="0" w:line="240" w:lineRule="auto"/>
              <w:jc w:val="righ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Spolu</w:t>
            </w:r>
          </w:p>
        </w:tc>
        <w:tc>
          <w:tcPr>
            <w:tcW w:w="746" w:type="pct"/>
            <w:tcBorders>
              <w:top w:val="single" w:sz="4" w:space="0" w:color="auto"/>
              <w:left w:val="nil"/>
              <w:bottom w:val="nil"/>
              <w:right w:val="nil"/>
            </w:tcBorders>
            <w:vAlign w:val="center"/>
          </w:tcPr>
          <w:p w14:paraId="5A8355A2" w14:textId="77777777" w:rsidR="003A30E2" w:rsidRPr="00181464" w:rsidRDefault="003A30E2" w:rsidP="00181464">
            <w:pPr>
              <w:spacing w:after="0" w:line="240" w:lineRule="auto"/>
              <w:jc w:val="righ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Čerpanie</w:t>
            </w:r>
          </w:p>
        </w:tc>
        <w:tc>
          <w:tcPr>
            <w:tcW w:w="94" w:type="pct"/>
            <w:gridSpan w:val="2"/>
            <w:tcBorders>
              <w:top w:val="single" w:sz="4" w:space="0" w:color="auto"/>
              <w:left w:val="nil"/>
              <w:bottom w:val="nil"/>
              <w:right w:val="nil"/>
            </w:tcBorders>
          </w:tcPr>
          <w:p w14:paraId="7B791338" w14:textId="77777777" w:rsidR="003A30E2" w:rsidRPr="006D7F43" w:rsidRDefault="003A30E2" w:rsidP="0031658D">
            <w:pPr>
              <w:spacing w:after="0" w:line="240" w:lineRule="auto"/>
              <w:jc w:val="center"/>
              <w:rPr>
                <w:rFonts w:eastAsia="Times New Roman" w:cs="Times New Roman"/>
                <w:b/>
                <w:bCs/>
                <w:color w:val="000000"/>
                <w:sz w:val="20"/>
                <w:szCs w:val="20"/>
                <w:lang w:eastAsia="sk-SK"/>
              </w:rPr>
            </w:pPr>
          </w:p>
        </w:tc>
      </w:tr>
      <w:tr w:rsidR="003A30E2" w:rsidRPr="006D7F43" w14:paraId="60D2761C" w14:textId="77777777" w:rsidTr="00181464">
        <w:trPr>
          <w:trHeight w:val="167"/>
        </w:trPr>
        <w:tc>
          <w:tcPr>
            <w:tcW w:w="1581" w:type="pct"/>
            <w:tcBorders>
              <w:top w:val="single" w:sz="4" w:space="0" w:color="auto"/>
              <w:left w:val="nil"/>
              <w:bottom w:val="nil"/>
              <w:right w:val="nil"/>
            </w:tcBorders>
            <w:shd w:val="clear" w:color="auto" w:fill="auto"/>
            <w:vAlign w:val="center"/>
            <w:hideMark/>
          </w:tcPr>
          <w:p w14:paraId="22825844" w14:textId="77777777" w:rsidR="003A30E2" w:rsidRPr="00181464" w:rsidRDefault="003A30E2" w:rsidP="0031658D">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OP ĽZ</w:t>
            </w:r>
          </w:p>
        </w:tc>
        <w:tc>
          <w:tcPr>
            <w:tcW w:w="482" w:type="pct"/>
            <w:tcBorders>
              <w:top w:val="single" w:sz="4" w:space="0" w:color="auto"/>
              <w:left w:val="nil"/>
              <w:bottom w:val="nil"/>
              <w:right w:val="nil"/>
            </w:tcBorders>
            <w:shd w:val="clear" w:color="auto" w:fill="auto"/>
            <w:noWrap/>
            <w:vAlign w:val="center"/>
            <w:hideMark/>
          </w:tcPr>
          <w:p w14:paraId="7D80DB93" w14:textId="77777777" w:rsidR="003A30E2" w:rsidRPr="00181464" w:rsidRDefault="003A30E2" w:rsidP="0031658D">
            <w:pPr>
              <w:spacing w:after="0" w:line="240" w:lineRule="auto"/>
              <w:jc w:val="right"/>
              <w:rPr>
                <w:rFonts w:eastAsia="Times New Roman" w:cs="Times New Roman"/>
                <w:color w:val="000000"/>
                <w:sz w:val="18"/>
                <w:szCs w:val="18"/>
                <w:highlight w:val="yellow"/>
                <w:lang w:eastAsia="sk-SK"/>
              </w:rPr>
            </w:pPr>
            <w:r w:rsidRPr="00181464">
              <w:rPr>
                <w:rFonts w:eastAsia="Times New Roman" w:cs="Times New Roman"/>
                <w:color w:val="000000"/>
                <w:sz w:val="18"/>
                <w:szCs w:val="18"/>
                <w:lang w:eastAsia="sk-SK"/>
              </w:rPr>
              <w:t>316 832</w:t>
            </w:r>
          </w:p>
        </w:tc>
        <w:tc>
          <w:tcPr>
            <w:tcW w:w="433" w:type="pct"/>
            <w:gridSpan w:val="2"/>
            <w:tcBorders>
              <w:top w:val="single" w:sz="4" w:space="0" w:color="auto"/>
              <w:left w:val="nil"/>
              <w:bottom w:val="nil"/>
              <w:right w:val="nil"/>
            </w:tcBorders>
            <w:shd w:val="clear" w:color="auto" w:fill="auto"/>
            <w:noWrap/>
            <w:vAlign w:val="center"/>
            <w:hideMark/>
          </w:tcPr>
          <w:p w14:paraId="5374A36B" w14:textId="77777777" w:rsidR="003A30E2" w:rsidRPr="00181464" w:rsidRDefault="003A30E2" w:rsidP="0031658D">
            <w:pPr>
              <w:spacing w:after="0" w:line="240" w:lineRule="auto"/>
              <w:jc w:val="right"/>
              <w:rPr>
                <w:rFonts w:eastAsia="Times New Roman" w:cs="Times New Roman"/>
                <w:color w:val="000000"/>
                <w:sz w:val="18"/>
                <w:szCs w:val="18"/>
                <w:highlight w:val="yellow"/>
                <w:lang w:eastAsia="sk-SK"/>
              </w:rPr>
            </w:pPr>
          </w:p>
        </w:tc>
        <w:tc>
          <w:tcPr>
            <w:tcW w:w="914" w:type="pct"/>
            <w:tcBorders>
              <w:top w:val="single" w:sz="4" w:space="0" w:color="auto"/>
              <w:left w:val="nil"/>
              <w:bottom w:val="nil"/>
              <w:right w:val="nil"/>
            </w:tcBorders>
            <w:shd w:val="clear" w:color="auto" w:fill="auto"/>
            <w:noWrap/>
            <w:vAlign w:val="center"/>
            <w:hideMark/>
          </w:tcPr>
          <w:p w14:paraId="3CAE1404" w14:textId="77777777" w:rsidR="003A30E2" w:rsidRPr="00181464" w:rsidRDefault="003A30E2" w:rsidP="0031658D">
            <w:pPr>
              <w:spacing w:after="0" w:line="240" w:lineRule="auto"/>
              <w:jc w:val="right"/>
              <w:rPr>
                <w:rFonts w:eastAsia="Times New Roman" w:cs="Times New Roman"/>
                <w:color w:val="000000"/>
                <w:sz w:val="18"/>
                <w:szCs w:val="18"/>
                <w:highlight w:val="yellow"/>
                <w:lang w:eastAsia="sk-SK"/>
              </w:rPr>
            </w:pPr>
            <w:r w:rsidRPr="00181464">
              <w:rPr>
                <w:rFonts w:eastAsia="Times New Roman" w:cs="Times New Roman"/>
                <w:color w:val="000000"/>
                <w:sz w:val="18"/>
                <w:szCs w:val="18"/>
                <w:lang w:eastAsia="sk-SK"/>
              </w:rPr>
              <w:t>66 458</w:t>
            </w:r>
          </w:p>
        </w:tc>
        <w:tc>
          <w:tcPr>
            <w:tcW w:w="750" w:type="pct"/>
            <w:tcBorders>
              <w:top w:val="single" w:sz="4" w:space="0" w:color="auto"/>
              <w:left w:val="nil"/>
              <w:bottom w:val="nil"/>
              <w:right w:val="nil"/>
            </w:tcBorders>
            <w:shd w:val="clear" w:color="auto" w:fill="auto"/>
            <w:noWrap/>
            <w:vAlign w:val="center"/>
            <w:hideMark/>
          </w:tcPr>
          <w:p w14:paraId="7D42B69D" w14:textId="77777777" w:rsidR="003A30E2" w:rsidRPr="00181464" w:rsidRDefault="003A30E2" w:rsidP="0031658D">
            <w:pPr>
              <w:spacing w:after="0" w:line="240" w:lineRule="auto"/>
              <w:jc w:val="right"/>
              <w:rPr>
                <w:rFonts w:eastAsia="Times New Roman" w:cs="Times New Roman"/>
                <w:color w:val="000000"/>
                <w:sz w:val="18"/>
                <w:szCs w:val="18"/>
                <w:highlight w:val="yellow"/>
                <w:lang w:eastAsia="sk-SK"/>
              </w:rPr>
            </w:pPr>
            <w:r w:rsidRPr="00181464">
              <w:rPr>
                <w:rFonts w:eastAsia="Times New Roman" w:cs="Times New Roman"/>
                <w:color w:val="000000"/>
                <w:sz w:val="18"/>
                <w:szCs w:val="18"/>
                <w:lang w:eastAsia="sk-SK"/>
              </w:rPr>
              <w:t>383 290</w:t>
            </w:r>
          </w:p>
        </w:tc>
        <w:tc>
          <w:tcPr>
            <w:tcW w:w="746" w:type="pct"/>
            <w:tcBorders>
              <w:top w:val="single" w:sz="4" w:space="0" w:color="auto"/>
              <w:left w:val="nil"/>
              <w:bottom w:val="nil"/>
              <w:right w:val="nil"/>
            </w:tcBorders>
          </w:tcPr>
          <w:p w14:paraId="0364AB16" w14:textId="482DCD0E" w:rsidR="003A30E2" w:rsidRPr="00181464" w:rsidRDefault="003A30E2" w:rsidP="0031658D">
            <w:pPr>
              <w:spacing w:after="0" w:line="240" w:lineRule="auto"/>
              <w:jc w:val="right"/>
              <w:rPr>
                <w:rFonts w:eastAsia="Times New Roman" w:cs="Times New Roman"/>
                <w:color w:val="000000"/>
                <w:sz w:val="18"/>
                <w:szCs w:val="18"/>
                <w:lang w:eastAsia="sk-SK"/>
              </w:rPr>
            </w:pPr>
            <w:r w:rsidRPr="00181464">
              <w:rPr>
                <w:rFonts w:eastAsia="Times New Roman" w:cs="Times New Roman"/>
                <w:color w:val="000000"/>
                <w:sz w:val="18"/>
                <w:szCs w:val="18"/>
                <w:lang w:eastAsia="sk-SK"/>
              </w:rPr>
              <w:t>261 984</w:t>
            </w:r>
          </w:p>
        </w:tc>
        <w:tc>
          <w:tcPr>
            <w:tcW w:w="94" w:type="pct"/>
            <w:gridSpan w:val="2"/>
            <w:tcBorders>
              <w:top w:val="single" w:sz="4" w:space="0" w:color="auto"/>
              <w:left w:val="nil"/>
              <w:bottom w:val="nil"/>
              <w:right w:val="nil"/>
            </w:tcBorders>
          </w:tcPr>
          <w:p w14:paraId="48041CD2" w14:textId="77777777" w:rsidR="003A30E2" w:rsidRPr="006D7F43" w:rsidRDefault="003A30E2" w:rsidP="0031658D">
            <w:pPr>
              <w:spacing w:after="0" w:line="240" w:lineRule="auto"/>
              <w:jc w:val="right"/>
              <w:rPr>
                <w:rFonts w:eastAsia="Times New Roman" w:cs="Times New Roman"/>
                <w:color w:val="000000"/>
                <w:sz w:val="20"/>
                <w:szCs w:val="20"/>
                <w:lang w:eastAsia="sk-SK"/>
              </w:rPr>
            </w:pPr>
          </w:p>
        </w:tc>
      </w:tr>
      <w:tr w:rsidR="003A30E2" w:rsidRPr="006D7F43" w14:paraId="1682A28E" w14:textId="77777777" w:rsidTr="00181464">
        <w:trPr>
          <w:trHeight w:val="458"/>
        </w:trPr>
        <w:tc>
          <w:tcPr>
            <w:tcW w:w="1581" w:type="pct"/>
            <w:tcBorders>
              <w:top w:val="nil"/>
              <w:left w:val="nil"/>
              <w:bottom w:val="nil"/>
              <w:right w:val="nil"/>
            </w:tcBorders>
            <w:shd w:val="clear" w:color="auto" w:fill="auto"/>
            <w:vAlign w:val="center"/>
            <w:hideMark/>
          </w:tcPr>
          <w:p w14:paraId="0509F780" w14:textId="77777777" w:rsidR="003A30E2" w:rsidRPr="00181464" w:rsidRDefault="003A30E2" w:rsidP="0031658D">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IROP</w:t>
            </w:r>
          </w:p>
        </w:tc>
        <w:tc>
          <w:tcPr>
            <w:tcW w:w="482" w:type="pct"/>
            <w:tcBorders>
              <w:top w:val="nil"/>
              <w:left w:val="nil"/>
              <w:bottom w:val="nil"/>
              <w:right w:val="nil"/>
            </w:tcBorders>
            <w:shd w:val="clear" w:color="auto" w:fill="auto"/>
            <w:noWrap/>
            <w:vAlign w:val="center"/>
            <w:hideMark/>
          </w:tcPr>
          <w:p w14:paraId="6A68AF7B" w14:textId="77777777" w:rsidR="003A30E2" w:rsidRPr="00181464" w:rsidRDefault="003A30E2" w:rsidP="0031658D">
            <w:pPr>
              <w:spacing w:after="0" w:line="240" w:lineRule="auto"/>
              <w:jc w:val="right"/>
              <w:rPr>
                <w:rFonts w:eastAsia="Times New Roman" w:cs="Times New Roman"/>
                <w:color w:val="000000"/>
                <w:sz w:val="18"/>
                <w:szCs w:val="18"/>
                <w:highlight w:val="yellow"/>
                <w:lang w:eastAsia="sk-SK"/>
              </w:rPr>
            </w:pPr>
            <w:r w:rsidRPr="00181464">
              <w:rPr>
                <w:rFonts w:eastAsia="Times New Roman" w:cs="Times New Roman"/>
                <w:color w:val="000000"/>
                <w:sz w:val="18"/>
                <w:szCs w:val="18"/>
                <w:lang w:eastAsia="sk-SK"/>
              </w:rPr>
              <w:t>194 901</w:t>
            </w:r>
          </w:p>
        </w:tc>
        <w:tc>
          <w:tcPr>
            <w:tcW w:w="433" w:type="pct"/>
            <w:gridSpan w:val="2"/>
            <w:tcBorders>
              <w:top w:val="nil"/>
              <w:left w:val="nil"/>
              <w:bottom w:val="nil"/>
              <w:right w:val="nil"/>
            </w:tcBorders>
            <w:shd w:val="clear" w:color="auto" w:fill="auto"/>
            <w:noWrap/>
            <w:vAlign w:val="center"/>
          </w:tcPr>
          <w:p w14:paraId="4D20F48C" w14:textId="77777777" w:rsidR="003A30E2" w:rsidRPr="00181464" w:rsidRDefault="003A30E2" w:rsidP="0031658D">
            <w:pPr>
              <w:spacing w:after="0" w:line="240" w:lineRule="auto"/>
              <w:jc w:val="right"/>
              <w:rPr>
                <w:rFonts w:eastAsia="Times New Roman" w:cs="Times New Roman"/>
                <w:color w:val="000000"/>
                <w:sz w:val="18"/>
                <w:szCs w:val="18"/>
                <w:highlight w:val="yellow"/>
                <w:lang w:eastAsia="sk-SK"/>
              </w:rPr>
            </w:pPr>
          </w:p>
        </w:tc>
        <w:tc>
          <w:tcPr>
            <w:tcW w:w="914" w:type="pct"/>
            <w:tcBorders>
              <w:top w:val="nil"/>
              <w:left w:val="nil"/>
              <w:bottom w:val="nil"/>
              <w:right w:val="nil"/>
            </w:tcBorders>
            <w:shd w:val="clear" w:color="auto" w:fill="auto"/>
            <w:noWrap/>
            <w:vAlign w:val="center"/>
            <w:hideMark/>
          </w:tcPr>
          <w:p w14:paraId="04528A29" w14:textId="77777777" w:rsidR="003A30E2" w:rsidRPr="00181464" w:rsidRDefault="003A30E2" w:rsidP="0031658D">
            <w:pPr>
              <w:spacing w:after="0" w:line="240" w:lineRule="auto"/>
              <w:jc w:val="right"/>
              <w:rPr>
                <w:rFonts w:eastAsia="Times New Roman" w:cs="Times New Roman"/>
                <w:color w:val="000000"/>
                <w:sz w:val="18"/>
                <w:szCs w:val="18"/>
                <w:lang w:eastAsia="sk-SK"/>
              </w:rPr>
            </w:pPr>
            <w:r w:rsidRPr="00181464">
              <w:rPr>
                <w:rFonts w:eastAsia="Times New Roman" w:cs="Times New Roman"/>
                <w:color w:val="000000"/>
                <w:sz w:val="18"/>
                <w:szCs w:val="18"/>
                <w:lang w:eastAsia="sk-SK"/>
              </w:rPr>
              <w:t>40 882</w:t>
            </w:r>
          </w:p>
        </w:tc>
        <w:tc>
          <w:tcPr>
            <w:tcW w:w="750" w:type="pct"/>
            <w:tcBorders>
              <w:top w:val="nil"/>
              <w:left w:val="nil"/>
              <w:bottom w:val="nil"/>
              <w:right w:val="nil"/>
            </w:tcBorders>
            <w:shd w:val="clear" w:color="auto" w:fill="auto"/>
            <w:noWrap/>
            <w:vAlign w:val="center"/>
            <w:hideMark/>
          </w:tcPr>
          <w:p w14:paraId="6D8AFE90" w14:textId="77777777" w:rsidR="003A30E2" w:rsidRPr="00181464" w:rsidRDefault="003A30E2" w:rsidP="0031658D">
            <w:pPr>
              <w:spacing w:after="0" w:line="240" w:lineRule="auto"/>
              <w:jc w:val="right"/>
              <w:rPr>
                <w:rFonts w:eastAsia="Times New Roman" w:cs="Times New Roman"/>
                <w:color w:val="000000"/>
                <w:sz w:val="18"/>
                <w:szCs w:val="18"/>
                <w:highlight w:val="yellow"/>
                <w:lang w:eastAsia="sk-SK"/>
              </w:rPr>
            </w:pPr>
            <w:r w:rsidRPr="00181464">
              <w:rPr>
                <w:rFonts w:eastAsia="Times New Roman" w:cs="Times New Roman"/>
                <w:color w:val="000000"/>
                <w:sz w:val="18"/>
                <w:szCs w:val="18"/>
                <w:lang w:eastAsia="sk-SK"/>
              </w:rPr>
              <w:t>235 783</w:t>
            </w:r>
          </w:p>
        </w:tc>
        <w:tc>
          <w:tcPr>
            <w:tcW w:w="746" w:type="pct"/>
            <w:tcBorders>
              <w:top w:val="nil"/>
              <w:left w:val="nil"/>
              <w:bottom w:val="nil"/>
              <w:right w:val="nil"/>
            </w:tcBorders>
            <w:vAlign w:val="center"/>
          </w:tcPr>
          <w:p w14:paraId="0854D8F2" w14:textId="070D178B" w:rsidR="003A30E2" w:rsidRPr="00181464" w:rsidRDefault="003A30E2" w:rsidP="0031658D">
            <w:pPr>
              <w:spacing w:after="0" w:line="240" w:lineRule="auto"/>
              <w:jc w:val="right"/>
              <w:rPr>
                <w:rFonts w:eastAsia="Times New Roman" w:cs="Times New Roman"/>
                <w:color w:val="000000"/>
                <w:sz w:val="18"/>
                <w:szCs w:val="18"/>
                <w:lang w:eastAsia="sk-SK"/>
              </w:rPr>
            </w:pPr>
            <w:r w:rsidRPr="00181464">
              <w:rPr>
                <w:rFonts w:eastAsia="Times New Roman" w:cs="Times New Roman"/>
                <w:color w:val="000000"/>
                <w:sz w:val="18"/>
                <w:szCs w:val="18"/>
                <w:lang w:eastAsia="sk-SK"/>
              </w:rPr>
              <w:t>146 927</w:t>
            </w:r>
          </w:p>
        </w:tc>
        <w:tc>
          <w:tcPr>
            <w:tcW w:w="94" w:type="pct"/>
            <w:gridSpan w:val="2"/>
            <w:tcBorders>
              <w:top w:val="nil"/>
              <w:left w:val="nil"/>
              <w:bottom w:val="nil"/>
              <w:right w:val="nil"/>
            </w:tcBorders>
          </w:tcPr>
          <w:p w14:paraId="3A136E7E" w14:textId="77777777" w:rsidR="003A30E2" w:rsidRPr="006D7F43" w:rsidRDefault="003A30E2" w:rsidP="0031658D">
            <w:pPr>
              <w:spacing w:after="0" w:line="240" w:lineRule="auto"/>
              <w:jc w:val="right"/>
              <w:rPr>
                <w:rFonts w:eastAsia="Times New Roman" w:cs="Times New Roman"/>
                <w:color w:val="000000"/>
                <w:sz w:val="20"/>
                <w:szCs w:val="20"/>
                <w:lang w:eastAsia="sk-SK"/>
              </w:rPr>
            </w:pPr>
          </w:p>
        </w:tc>
      </w:tr>
      <w:tr w:rsidR="003A30E2" w:rsidRPr="006D7F43" w14:paraId="04613A0B" w14:textId="77777777" w:rsidTr="00181464">
        <w:trPr>
          <w:trHeight w:val="245"/>
        </w:trPr>
        <w:tc>
          <w:tcPr>
            <w:tcW w:w="1581" w:type="pct"/>
            <w:tcBorders>
              <w:top w:val="nil"/>
              <w:left w:val="nil"/>
              <w:right w:val="nil"/>
            </w:tcBorders>
            <w:shd w:val="clear" w:color="auto" w:fill="auto"/>
            <w:vAlign w:val="center"/>
          </w:tcPr>
          <w:p w14:paraId="2CA2DFB4" w14:textId="77777777" w:rsidR="003A30E2" w:rsidRPr="00181464" w:rsidRDefault="003A30E2" w:rsidP="0031658D">
            <w:pPr>
              <w:spacing w:after="0" w:line="240" w:lineRule="auto"/>
              <w:jc w:val="left"/>
              <w:rPr>
                <w:rFonts w:eastAsia="Times New Roman" w:cs="Times New Roman"/>
                <w:color w:val="000000"/>
                <w:sz w:val="18"/>
                <w:szCs w:val="18"/>
                <w:lang w:eastAsia="sk-SK"/>
              </w:rPr>
            </w:pPr>
            <w:r w:rsidRPr="00181464">
              <w:rPr>
                <w:rFonts w:eastAsia="Times New Roman" w:cs="Times New Roman"/>
                <w:color w:val="000000"/>
                <w:sz w:val="18"/>
                <w:szCs w:val="18"/>
                <w:lang w:eastAsia="sk-SK"/>
              </w:rPr>
              <w:t>OP EVS</w:t>
            </w:r>
          </w:p>
        </w:tc>
        <w:tc>
          <w:tcPr>
            <w:tcW w:w="482" w:type="pct"/>
            <w:tcBorders>
              <w:top w:val="nil"/>
              <w:left w:val="nil"/>
              <w:right w:val="nil"/>
            </w:tcBorders>
            <w:shd w:val="clear" w:color="auto" w:fill="auto"/>
            <w:noWrap/>
            <w:vAlign w:val="center"/>
          </w:tcPr>
          <w:p w14:paraId="7F6CC61E" w14:textId="77777777" w:rsidR="003A30E2" w:rsidRPr="00181464" w:rsidRDefault="003A30E2" w:rsidP="0031658D">
            <w:pPr>
              <w:spacing w:after="0" w:line="240" w:lineRule="auto"/>
              <w:jc w:val="right"/>
              <w:rPr>
                <w:rFonts w:eastAsia="Times New Roman" w:cs="Times New Roman"/>
                <w:color w:val="000000"/>
                <w:sz w:val="18"/>
                <w:szCs w:val="18"/>
                <w:highlight w:val="yellow"/>
                <w:lang w:eastAsia="sk-SK"/>
              </w:rPr>
            </w:pPr>
            <w:r w:rsidRPr="00181464">
              <w:rPr>
                <w:rFonts w:eastAsia="Times New Roman" w:cs="Times New Roman"/>
                <w:color w:val="000000"/>
                <w:sz w:val="18"/>
                <w:szCs w:val="18"/>
                <w:lang w:eastAsia="sk-SK"/>
              </w:rPr>
              <w:t>85 289</w:t>
            </w:r>
          </w:p>
        </w:tc>
        <w:tc>
          <w:tcPr>
            <w:tcW w:w="433" w:type="pct"/>
            <w:gridSpan w:val="2"/>
            <w:tcBorders>
              <w:top w:val="nil"/>
              <w:left w:val="nil"/>
              <w:right w:val="nil"/>
            </w:tcBorders>
            <w:shd w:val="clear" w:color="auto" w:fill="auto"/>
            <w:noWrap/>
            <w:vAlign w:val="center"/>
          </w:tcPr>
          <w:p w14:paraId="0AF962EA" w14:textId="77777777" w:rsidR="003A30E2" w:rsidRPr="00181464" w:rsidRDefault="003A30E2" w:rsidP="0031658D">
            <w:pPr>
              <w:spacing w:after="0" w:line="240" w:lineRule="auto"/>
              <w:jc w:val="right"/>
              <w:rPr>
                <w:rFonts w:eastAsia="Times New Roman" w:cs="Times New Roman"/>
                <w:color w:val="000000"/>
                <w:sz w:val="18"/>
                <w:szCs w:val="18"/>
                <w:highlight w:val="yellow"/>
                <w:lang w:eastAsia="sk-SK"/>
              </w:rPr>
            </w:pPr>
          </w:p>
        </w:tc>
        <w:tc>
          <w:tcPr>
            <w:tcW w:w="914" w:type="pct"/>
            <w:tcBorders>
              <w:top w:val="nil"/>
              <w:left w:val="nil"/>
              <w:right w:val="nil"/>
            </w:tcBorders>
            <w:shd w:val="clear" w:color="auto" w:fill="auto"/>
            <w:noWrap/>
            <w:vAlign w:val="center"/>
            <w:hideMark/>
          </w:tcPr>
          <w:p w14:paraId="1C5461C8" w14:textId="77777777" w:rsidR="003A30E2" w:rsidRPr="00181464" w:rsidRDefault="003A30E2" w:rsidP="0031658D">
            <w:pPr>
              <w:spacing w:after="0" w:line="240" w:lineRule="auto"/>
              <w:jc w:val="right"/>
              <w:rPr>
                <w:rFonts w:eastAsia="Times New Roman" w:cs="Times New Roman"/>
                <w:color w:val="000000"/>
                <w:sz w:val="18"/>
                <w:szCs w:val="18"/>
                <w:highlight w:val="yellow"/>
                <w:lang w:eastAsia="sk-SK"/>
              </w:rPr>
            </w:pPr>
            <w:r w:rsidRPr="00181464">
              <w:rPr>
                <w:rFonts w:eastAsia="Times New Roman" w:cs="Times New Roman"/>
                <w:color w:val="000000"/>
                <w:sz w:val="18"/>
                <w:szCs w:val="18"/>
                <w:lang w:eastAsia="sk-SK"/>
              </w:rPr>
              <w:t>17 890</w:t>
            </w:r>
          </w:p>
        </w:tc>
        <w:tc>
          <w:tcPr>
            <w:tcW w:w="750" w:type="pct"/>
            <w:tcBorders>
              <w:top w:val="nil"/>
              <w:left w:val="nil"/>
              <w:right w:val="nil"/>
            </w:tcBorders>
            <w:shd w:val="clear" w:color="auto" w:fill="auto"/>
            <w:noWrap/>
            <w:vAlign w:val="center"/>
            <w:hideMark/>
          </w:tcPr>
          <w:p w14:paraId="6C380707" w14:textId="77777777" w:rsidR="003A30E2" w:rsidRPr="00181464" w:rsidRDefault="003A30E2" w:rsidP="0031658D">
            <w:pPr>
              <w:spacing w:after="0" w:line="240" w:lineRule="auto"/>
              <w:jc w:val="right"/>
              <w:rPr>
                <w:rFonts w:eastAsia="Times New Roman" w:cs="Times New Roman"/>
                <w:color w:val="000000"/>
                <w:sz w:val="18"/>
                <w:szCs w:val="18"/>
                <w:highlight w:val="yellow"/>
                <w:lang w:eastAsia="sk-SK"/>
              </w:rPr>
            </w:pPr>
            <w:r w:rsidRPr="00181464">
              <w:rPr>
                <w:rFonts w:eastAsia="Times New Roman" w:cs="Times New Roman"/>
                <w:color w:val="000000"/>
                <w:sz w:val="18"/>
                <w:szCs w:val="18"/>
                <w:lang w:eastAsia="sk-SK"/>
              </w:rPr>
              <w:t>103 179</w:t>
            </w:r>
          </w:p>
        </w:tc>
        <w:tc>
          <w:tcPr>
            <w:tcW w:w="746" w:type="pct"/>
            <w:tcBorders>
              <w:top w:val="nil"/>
              <w:left w:val="nil"/>
              <w:right w:val="nil"/>
            </w:tcBorders>
          </w:tcPr>
          <w:p w14:paraId="3C727B6C" w14:textId="28C5089C" w:rsidR="003A30E2" w:rsidRPr="00181464" w:rsidRDefault="003A30E2" w:rsidP="0031658D">
            <w:pPr>
              <w:spacing w:after="0" w:line="240" w:lineRule="auto"/>
              <w:jc w:val="right"/>
              <w:rPr>
                <w:rFonts w:eastAsia="Times New Roman" w:cs="Times New Roman"/>
                <w:color w:val="000000"/>
                <w:sz w:val="18"/>
                <w:szCs w:val="18"/>
                <w:lang w:eastAsia="sk-SK"/>
              </w:rPr>
            </w:pPr>
            <w:r w:rsidRPr="00181464">
              <w:rPr>
                <w:rFonts w:eastAsia="Times New Roman" w:cs="Times New Roman"/>
                <w:color w:val="000000"/>
                <w:sz w:val="18"/>
                <w:szCs w:val="18"/>
                <w:lang w:eastAsia="sk-SK"/>
              </w:rPr>
              <w:t>103 174</w:t>
            </w:r>
          </w:p>
        </w:tc>
        <w:tc>
          <w:tcPr>
            <w:tcW w:w="94" w:type="pct"/>
            <w:gridSpan w:val="2"/>
            <w:tcBorders>
              <w:top w:val="nil"/>
              <w:left w:val="nil"/>
              <w:right w:val="nil"/>
            </w:tcBorders>
          </w:tcPr>
          <w:p w14:paraId="0EF5BD06" w14:textId="77777777" w:rsidR="003A30E2" w:rsidRPr="006D7F43" w:rsidRDefault="003A30E2" w:rsidP="0031658D">
            <w:pPr>
              <w:spacing w:after="0" w:line="240" w:lineRule="auto"/>
              <w:jc w:val="right"/>
              <w:rPr>
                <w:rFonts w:eastAsia="Times New Roman" w:cs="Times New Roman"/>
                <w:color w:val="000000"/>
                <w:sz w:val="20"/>
                <w:szCs w:val="20"/>
                <w:lang w:eastAsia="sk-SK"/>
              </w:rPr>
            </w:pPr>
          </w:p>
        </w:tc>
      </w:tr>
      <w:tr w:rsidR="003A30E2" w:rsidRPr="006D7F43" w14:paraId="52203554" w14:textId="77777777" w:rsidTr="00181464">
        <w:trPr>
          <w:trHeight w:val="358"/>
        </w:trPr>
        <w:tc>
          <w:tcPr>
            <w:tcW w:w="1581" w:type="pct"/>
            <w:tcBorders>
              <w:top w:val="nil"/>
              <w:left w:val="nil"/>
              <w:bottom w:val="single" w:sz="4" w:space="0" w:color="auto"/>
              <w:right w:val="nil"/>
            </w:tcBorders>
            <w:shd w:val="clear" w:color="auto" w:fill="auto"/>
            <w:vAlign w:val="center"/>
            <w:hideMark/>
          </w:tcPr>
          <w:p w14:paraId="20FC6794" w14:textId="77777777" w:rsidR="003A30E2" w:rsidRPr="00181464" w:rsidRDefault="003A30E2" w:rsidP="0031658D">
            <w:pPr>
              <w:spacing w:after="0" w:line="240" w:lineRule="auto"/>
              <w:jc w:val="lef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Spolu EŠIF</w:t>
            </w:r>
          </w:p>
        </w:tc>
        <w:tc>
          <w:tcPr>
            <w:tcW w:w="482" w:type="pct"/>
            <w:tcBorders>
              <w:top w:val="nil"/>
              <w:left w:val="nil"/>
              <w:bottom w:val="single" w:sz="4" w:space="0" w:color="auto"/>
              <w:right w:val="nil"/>
            </w:tcBorders>
            <w:shd w:val="clear" w:color="auto" w:fill="auto"/>
            <w:noWrap/>
            <w:vAlign w:val="center"/>
            <w:hideMark/>
          </w:tcPr>
          <w:p w14:paraId="0E1E595B" w14:textId="77777777" w:rsidR="003A30E2" w:rsidRPr="00181464" w:rsidRDefault="003A30E2" w:rsidP="0031658D">
            <w:pPr>
              <w:spacing w:after="0" w:line="240" w:lineRule="auto"/>
              <w:jc w:val="right"/>
              <w:rPr>
                <w:rFonts w:eastAsia="Times New Roman" w:cs="Times New Roman"/>
                <w:b/>
                <w:bCs/>
                <w:color w:val="000000"/>
                <w:sz w:val="18"/>
                <w:szCs w:val="18"/>
                <w:highlight w:val="yellow"/>
                <w:lang w:eastAsia="sk-SK"/>
              </w:rPr>
            </w:pPr>
            <w:r w:rsidRPr="00181464">
              <w:rPr>
                <w:rFonts w:eastAsia="Times New Roman" w:cs="Times New Roman"/>
                <w:b/>
                <w:bCs/>
                <w:color w:val="000000"/>
                <w:sz w:val="18"/>
                <w:szCs w:val="18"/>
                <w:lang w:eastAsia="sk-SK"/>
              </w:rPr>
              <w:t>597 022</w:t>
            </w:r>
          </w:p>
        </w:tc>
        <w:tc>
          <w:tcPr>
            <w:tcW w:w="433" w:type="pct"/>
            <w:gridSpan w:val="2"/>
            <w:tcBorders>
              <w:top w:val="nil"/>
              <w:left w:val="nil"/>
              <w:bottom w:val="single" w:sz="4" w:space="0" w:color="auto"/>
              <w:right w:val="nil"/>
            </w:tcBorders>
            <w:shd w:val="clear" w:color="auto" w:fill="auto"/>
            <w:noWrap/>
            <w:vAlign w:val="center"/>
          </w:tcPr>
          <w:p w14:paraId="3D56C190" w14:textId="77777777" w:rsidR="003A30E2" w:rsidRPr="00181464" w:rsidRDefault="003A30E2" w:rsidP="0031658D">
            <w:pPr>
              <w:spacing w:after="0" w:line="240" w:lineRule="auto"/>
              <w:jc w:val="right"/>
              <w:rPr>
                <w:rFonts w:eastAsia="Times New Roman" w:cs="Times New Roman"/>
                <w:b/>
                <w:bCs/>
                <w:color w:val="000000"/>
                <w:sz w:val="18"/>
                <w:szCs w:val="18"/>
                <w:highlight w:val="yellow"/>
                <w:lang w:eastAsia="sk-SK"/>
              </w:rPr>
            </w:pPr>
          </w:p>
        </w:tc>
        <w:tc>
          <w:tcPr>
            <w:tcW w:w="914" w:type="pct"/>
            <w:tcBorders>
              <w:top w:val="nil"/>
              <w:left w:val="nil"/>
              <w:bottom w:val="single" w:sz="4" w:space="0" w:color="auto"/>
              <w:right w:val="nil"/>
            </w:tcBorders>
            <w:shd w:val="clear" w:color="auto" w:fill="auto"/>
            <w:noWrap/>
            <w:vAlign w:val="center"/>
            <w:hideMark/>
          </w:tcPr>
          <w:p w14:paraId="444C926B" w14:textId="77777777" w:rsidR="003A30E2" w:rsidRPr="00181464" w:rsidRDefault="003A30E2" w:rsidP="0031658D">
            <w:pPr>
              <w:spacing w:after="0" w:line="240" w:lineRule="auto"/>
              <w:jc w:val="right"/>
              <w:rPr>
                <w:rFonts w:eastAsia="Times New Roman" w:cs="Times New Roman"/>
                <w:b/>
                <w:bCs/>
                <w:color w:val="000000"/>
                <w:sz w:val="18"/>
                <w:szCs w:val="18"/>
                <w:highlight w:val="yellow"/>
                <w:lang w:eastAsia="sk-SK"/>
              </w:rPr>
            </w:pPr>
            <w:r w:rsidRPr="00181464">
              <w:rPr>
                <w:rFonts w:eastAsia="Times New Roman" w:cs="Times New Roman"/>
                <w:b/>
                <w:bCs/>
                <w:color w:val="000000"/>
                <w:sz w:val="18"/>
                <w:szCs w:val="18"/>
                <w:lang w:eastAsia="sk-SK"/>
              </w:rPr>
              <w:t>125 230</w:t>
            </w:r>
          </w:p>
        </w:tc>
        <w:tc>
          <w:tcPr>
            <w:tcW w:w="750" w:type="pct"/>
            <w:tcBorders>
              <w:top w:val="nil"/>
              <w:left w:val="nil"/>
              <w:bottom w:val="single" w:sz="4" w:space="0" w:color="auto"/>
              <w:right w:val="nil"/>
            </w:tcBorders>
            <w:shd w:val="clear" w:color="auto" w:fill="auto"/>
            <w:noWrap/>
            <w:vAlign w:val="center"/>
            <w:hideMark/>
          </w:tcPr>
          <w:p w14:paraId="4899FC4C" w14:textId="77777777" w:rsidR="003A30E2" w:rsidRPr="00181464" w:rsidRDefault="003A30E2" w:rsidP="0031658D">
            <w:pPr>
              <w:spacing w:after="0" w:line="240" w:lineRule="auto"/>
              <w:jc w:val="right"/>
              <w:rPr>
                <w:rFonts w:eastAsia="Times New Roman" w:cs="Times New Roman"/>
                <w:b/>
                <w:bCs/>
                <w:color w:val="000000"/>
                <w:sz w:val="18"/>
                <w:szCs w:val="18"/>
                <w:highlight w:val="yellow"/>
                <w:lang w:eastAsia="sk-SK"/>
              </w:rPr>
            </w:pPr>
            <w:r w:rsidRPr="00181464">
              <w:rPr>
                <w:rFonts w:eastAsia="Times New Roman" w:cs="Times New Roman"/>
                <w:b/>
                <w:bCs/>
                <w:color w:val="000000"/>
                <w:sz w:val="18"/>
                <w:szCs w:val="18"/>
                <w:lang w:eastAsia="sk-SK"/>
              </w:rPr>
              <w:t>722 252</w:t>
            </w:r>
          </w:p>
        </w:tc>
        <w:tc>
          <w:tcPr>
            <w:tcW w:w="746" w:type="pct"/>
            <w:tcBorders>
              <w:top w:val="nil"/>
              <w:left w:val="nil"/>
              <w:bottom w:val="single" w:sz="4" w:space="0" w:color="auto"/>
              <w:right w:val="nil"/>
            </w:tcBorders>
            <w:vAlign w:val="center"/>
          </w:tcPr>
          <w:p w14:paraId="5670B8E3" w14:textId="44E1AB97" w:rsidR="003A30E2" w:rsidRPr="00181464" w:rsidRDefault="003A30E2" w:rsidP="0031658D">
            <w:pPr>
              <w:spacing w:after="0" w:line="240" w:lineRule="auto"/>
              <w:jc w:val="right"/>
              <w:rPr>
                <w:rFonts w:eastAsia="Times New Roman" w:cs="Times New Roman"/>
                <w:b/>
                <w:bCs/>
                <w:color w:val="000000"/>
                <w:sz w:val="18"/>
                <w:szCs w:val="18"/>
                <w:lang w:eastAsia="sk-SK"/>
              </w:rPr>
            </w:pPr>
            <w:r w:rsidRPr="00181464">
              <w:rPr>
                <w:rFonts w:eastAsia="Times New Roman" w:cs="Times New Roman"/>
                <w:b/>
                <w:bCs/>
                <w:color w:val="000000"/>
                <w:sz w:val="18"/>
                <w:szCs w:val="18"/>
                <w:lang w:eastAsia="sk-SK"/>
              </w:rPr>
              <w:t>512 085</w:t>
            </w:r>
          </w:p>
        </w:tc>
        <w:tc>
          <w:tcPr>
            <w:tcW w:w="94" w:type="pct"/>
            <w:gridSpan w:val="2"/>
            <w:tcBorders>
              <w:top w:val="nil"/>
              <w:left w:val="nil"/>
              <w:bottom w:val="single" w:sz="4" w:space="0" w:color="auto"/>
              <w:right w:val="nil"/>
            </w:tcBorders>
          </w:tcPr>
          <w:p w14:paraId="3D71CF08" w14:textId="77777777" w:rsidR="003A30E2" w:rsidRPr="006D7F43" w:rsidRDefault="003A30E2" w:rsidP="0031658D">
            <w:pPr>
              <w:spacing w:after="0" w:line="240" w:lineRule="auto"/>
              <w:jc w:val="right"/>
              <w:rPr>
                <w:rFonts w:eastAsia="Times New Roman" w:cs="Times New Roman"/>
                <w:b/>
                <w:bCs/>
                <w:color w:val="000000"/>
                <w:sz w:val="20"/>
                <w:szCs w:val="20"/>
                <w:lang w:eastAsia="sk-SK"/>
              </w:rPr>
            </w:pPr>
          </w:p>
        </w:tc>
      </w:tr>
    </w:tbl>
    <w:p w14:paraId="2D9B6D78" w14:textId="6CF4B7E1" w:rsidR="003A30E2" w:rsidRDefault="003A30E2" w:rsidP="008172CD">
      <w:pPr>
        <w:spacing w:before="120" w:line="240" w:lineRule="auto"/>
        <w:rPr>
          <w:sz w:val="24"/>
          <w:szCs w:val="24"/>
        </w:rPr>
      </w:pPr>
      <w:r w:rsidRPr="003A30E2">
        <w:rPr>
          <w:sz w:val="24"/>
          <w:szCs w:val="24"/>
        </w:rPr>
        <w:t>K 31.12.2023 bolo z celkovej alokácie 339 559 tis. eur vyčlenenej na iniciatívu FAST CARE, ktorá je zameraná na riešenie migračnej krízy súvisiacej s vojnou na Ukrajine, vyčerpaných 277</w:t>
      </w:r>
      <w:r>
        <w:rPr>
          <w:sz w:val="24"/>
          <w:szCs w:val="24"/>
        </w:rPr>
        <w:t> </w:t>
      </w:r>
      <w:r w:rsidRPr="003A30E2">
        <w:rPr>
          <w:sz w:val="24"/>
          <w:szCs w:val="24"/>
        </w:rPr>
        <w:t>245</w:t>
      </w:r>
      <w:r>
        <w:rPr>
          <w:sz w:val="24"/>
          <w:szCs w:val="24"/>
        </w:rPr>
        <w:t> </w:t>
      </w:r>
      <w:r w:rsidRPr="003A30E2">
        <w:rPr>
          <w:sz w:val="24"/>
          <w:szCs w:val="24"/>
        </w:rPr>
        <w:t>tis.</w:t>
      </w:r>
      <w:r>
        <w:rPr>
          <w:sz w:val="24"/>
          <w:szCs w:val="24"/>
        </w:rPr>
        <w:t> </w:t>
      </w:r>
      <w:r w:rsidRPr="003A30E2">
        <w:rPr>
          <w:sz w:val="24"/>
          <w:szCs w:val="24"/>
        </w:rPr>
        <w:t>eur (za EÚ zdroj), čo predstavuje čerpanie na úrovni 81,65%.</w:t>
      </w:r>
    </w:p>
    <w:tbl>
      <w:tblPr>
        <w:tblW w:w="5000" w:type="pct"/>
        <w:tblCellMar>
          <w:left w:w="70" w:type="dxa"/>
          <w:right w:w="70" w:type="dxa"/>
        </w:tblCellMar>
        <w:tblLook w:val="04A0" w:firstRow="1" w:lastRow="0" w:firstColumn="1" w:lastColumn="0" w:noHBand="0" w:noVBand="1"/>
      </w:tblPr>
      <w:tblGrid>
        <w:gridCol w:w="3721"/>
        <w:gridCol w:w="3024"/>
        <w:gridCol w:w="850"/>
        <w:gridCol w:w="1619"/>
      </w:tblGrid>
      <w:tr w:rsidR="00A577E3" w:rsidRPr="00A577E3" w14:paraId="2D23E1C6" w14:textId="77777777" w:rsidTr="00A577E3">
        <w:trPr>
          <w:trHeight w:val="330"/>
        </w:trPr>
        <w:tc>
          <w:tcPr>
            <w:tcW w:w="3660" w:type="pct"/>
            <w:gridSpan w:val="2"/>
            <w:tcBorders>
              <w:bottom w:val="single" w:sz="4" w:space="0" w:color="auto"/>
            </w:tcBorders>
            <w:shd w:val="clear" w:color="000000" w:fill="auto"/>
            <w:noWrap/>
            <w:vAlign w:val="bottom"/>
            <w:hideMark/>
          </w:tcPr>
          <w:p w14:paraId="20E97C3E" w14:textId="79BC9F45" w:rsidR="00A577E3" w:rsidRPr="00A577E3" w:rsidRDefault="00A577E3" w:rsidP="008172CD">
            <w:pPr>
              <w:spacing w:line="240" w:lineRule="auto"/>
              <w:jc w:val="left"/>
              <w:rPr>
                <w:rFonts w:eastAsia="Times New Roman" w:cs="Times New Roman"/>
                <w:b/>
                <w:bCs/>
                <w:color w:val="5B9BD5"/>
                <w:sz w:val="20"/>
                <w:szCs w:val="20"/>
                <w:lang w:eastAsia="sk-SK"/>
              </w:rPr>
            </w:pPr>
            <w:r>
              <w:rPr>
                <w:rFonts w:eastAsia="Times New Roman" w:cs="Times New Roman"/>
                <w:b/>
                <w:bCs/>
                <w:color w:val="5B9BD5"/>
                <w:sz w:val="20"/>
                <w:szCs w:val="20"/>
                <w:lang w:eastAsia="sk-SK"/>
              </w:rPr>
              <w:t xml:space="preserve">Tabuľka </w:t>
            </w:r>
            <w:r w:rsidR="00153978">
              <w:rPr>
                <w:rFonts w:eastAsia="Times New Roman" w:cs="Times New Roman"/>
                <w:b/>
                <w:bCs/>
                <w:color w:val="5B9BD5"/>
                <w:sz w:val="20"/>
                <w:szCs w:val="20"/>
                <w:lang w:eastAsia="sk-SK"/>
              </w:rPr>
              <w:t>72</w:t>
            </w:r>
            <w:r>
              <w:rPr>
                <w:rFonts w:eastAsia="Times New Roman" w:cs="Times New Roman"/>
                <w:b/>
                <w:bCs/>
                <w:color w:val="5B9BD5"/>
                <w:sz w:val="20"/>
                <w:szCs w:val="20"/>
                <w:lang w:eastAsia="sk-SK"/>
              </w:rPr>
              <w:t xml:space="preserve"> - </w:t>
            </w:r>
            <w:r w:rsidRPr="00A577E3">
              <w:rPr>
                <w:rFonts w:eastAsia="Times New Roman" w:cs="Times New Roman"/>
                <w:b/>
                <w:bCs/>
                <w:color w:val="5B9BD5"/>
                <w:sz w:val="20"/>
                <w:szCs w:val="20"/>
                <w:lang w:eastAsia="sk-SK"/>
              </w:rPr>
              <w:t>Prehľad čerpania iniciatívy FAST CARE k 31.12.2023</w:t>
            </w:r>
            <w:r>
              <w:rPr>
                <w:rFonts w:eastAsia="Times New Roman" w:cs="Times New Roman"/>
                <w:b/>
                <w:bCs/>
                <w:color w:val="5B9BD5"/>
                <w:sz w:val="20"/>
                <w:szCs w:val="20"/>
                <w:lang w:eastAsia="sk-SK"/>
              </w:rPr>
              <w:t xml:space="preserve"> </w:t>
            </w:r>
            <w:r w:rsidRPr="00A577E3">
              <w:rPr>
                <w:rFonts w:eastAsia="Times New Roman" w:cs="Times New Roman"/>
                <w:b/>
                <w:bCs/>
                <w:color w:val="5B9BD5"/>
                <w:sz w:val="20"/>
                <w:szCs w:val="20"/>
                <w:lang w:eastAsia="sk-SK"/>
              </w:rPr>
              <w:t>v tis. eur</w:t>
            </w:r>
          </w:p>
        </w:tc>
        <w:tc>
          <w:tcPr>
            <w:tcW w:w="186" w:type="pct"/>
            <w:tcBorders>
              <w:bottom w:val="single" w:sz="4" w:space="0" w:color="auto"/>
            </w:tcBorders>
            <w:shd w:val="clear" w:color="000000" w:fill="auto"/>
            <w:noWrap/>
            <w:vAlign w:val="bottom"/>
            <w:hideMark/>
          </w:tcPr>
          <w:p w14:paraId="3850188A" w14:textId="77777777" w:rsidR="00A577E3" w:rsidRPr="00A577E3" w:rsidRDefault="00A577E3" w:rsidP="00A577E3">
            <w:pPr>
              <w:spacing w:after="0" w:line="240" w:lineRule="auto"/>
              <w:jc w:val="left"/>
              <w:rPr>
                <w:rFonts w:eastAsia="Times New Roman" w:cs="Times New Roman"/>
                <w:b/>
                <w:bCs/>
                <w:color w:val="5B9BD5"/>
                <w:sz w:val="20"/>
                <w:szCs w:val="20"/>
                <w:lang w:eastAsia="sk-SK"/>
              </w:rPr>
            </w:pPr>
          </w:p>
        </w:tc>
        <w:tc>
          <w:tcPr>
            <w:tcW w:w="1154" w:type="pct"/>
            <w:tcBorders>
              <w:bottom w:val="single" w:sz="4" w:space="0" w:color="auto"/>
            </w:tcBorders>
            <w:shd w:val="clear" w:color="000000" w:fill="auto"/>
            <w:noWrap/>
            <w:vAlign w:val="bottom"/>
            <w:hideMark/>
          </w:tcPr>
          <w:p w14:paraId="73CA2615" w14:textId="6DB830AF" w:rsidR="00A577E3" w:rsidRPr="00A577E3" w:rsidRDefault="00A577E3" w:rsidP="00A577E3">
            <w:pPr>
              <w:spacing w:after="0" w:line="240" w:lineRule="auto"/>
              <w:jc w:val="left"/>
              <w:rPr>
                <w:rFonts w:eastAsia="Times New Roman" w:cs="Times New Roman"/>
                <w:b/>
                <w:bCs/>
                <w:color w:val="5B9BD5"/>
                <w:sz w:val="20"/>
                <w:szCs w:val="20"/>
                <w:lang w:eastAsia="sk-SK"/>
              </w:rPr>
            </w:pPr>
          </w:p>
        </w:tc>
      </w:tr>
      <w:tr w:rsidR="00A577E3" w:rsidRPr="00A577E3" w14:paraId="4377CF7B" w14:textId="77777777" w:rsidTr="00A577E3">
        <w:trPr>
          <w:trHeight w:val="345"/>
        </w:trPr>
        <w:tc>
          <w:tcPr>
            <w:tcW w:w="2019" w:type="pct"/>
            <w:tcBorders>
              <w:top w:val="single" w:sz="4" w:space="0" w:color="auto"/>
              <w:bottom w:val="single" w:sz="4" w:space="0" w:color="auto"/>
            </w:tcBorders>
            <w:shd w:val="clear" w:color="000000" w:fill="auto"/>
            <w:vAlign w:val="center"/>
            <w:hideMark/>
          </w:tcPr>
          <w:p w14:paraId="5499435E" w14:textId="77777777" w:rsidR="00A577E3" w:rsidRPr="00181464" w:rsidRDefault="00A577E3" w:rsidP="00A577E3">
            <w:pPr>
              <w:spacing w:after="0" w:line="240" w:lineRule="auto"/>
              <w:rPr>
                <w:b/>
                <w:bCs/>
                <w:color w:val="000000"/>
                <w:sz w:val="18"/>
                <w:szCs w:val="18"/>
              </w:rPr>
            </w:pPr>
            <w:r w:rsidRPr="00181464">
              <w:rPr>
                <w:b/>
                <w:bCs/>
                <w:color w:val="000000"/>
                <w:sz w:val="18"/>
                <w:szCs w:val="18"/>
              </w:rPr>
              <w:t>Operačný program</w:t>
            </w:r>
          </w:p>
        </w:tc>
        <w:tc>
          <w:tcPr>
            <w:tcW w:w="1641" w:type="pct"/>
            <w:tcBorders>
              <w:top w:val="single" w:sz="4" w:space="0" w:color="auto"/>
              <w:bottom w:val="single" w:sz="4" w:space="0" w:color="auto"/>
            </w:tcBorders>
            <w:shd w:val="clear" w:color="000000" w:fill="auto"/>
            <w:vAlign w:val="center"/>
            <w:hideMark/>
          </w:tcPr>
          <w:p w14:paraId="16BA5035" w14:textId="77777777" w:rsidR="00A577E3" w:rsidRPr="00181464" w:rsidRDefault="00A577E3" w:rsidP="00A577E3">
            <w:pPr>
              <w:spacing w:after="0" w:line="240" w:lineRule="auto"/>
              <w:jc w:val="center"/>
              <w:rPr>
                <w:b/>
                <w:bCs/>
                <w:color w:val="000000"/>
                <w:sz w:val="18"/>
                <w:szCs w:val="18"/>
              </w:rPr>
            </w:pPr>
            <w:r w:rsidRPr="00181464">
              <w:rPr>
                <w:b/>
                <w:bCs/>
                <w:color w:val="000000"/>
                <w:sz w:val="18"/>
                <w:szCs w:val="18"/>
              </w:rPr>
              <w:t>Alokácia</w:t>
            </w:r>
          </w:p>
        </w:tc>
        <w:tc>
          <w:tcPr>
            <w:tcW w:w="186" w:type="pct"/>
            <w:tcBorders>
              <w:top w:val="single" w:sz="4" w:space="0" w:color="auto"/>
              <w:bottom w:val="single" w:sz="4" w:space="0" w:color="auto"/>
            </w:tcBorders>
            <w:shd w:val="clear" w:color="000000" w:fill="auto"/>
            <w:vAlign w:val="center"/>
            <w:hideMark/>
          </w:tcPr>
          <w:p w14:paraId="04A3B9AE" w14:textId="77777777" w:rsidR="00A577E3" w:rsidRPr="00181464" w:rsidRDefault="00A577E3" w:rsidP="00A577E3">
            <w:pPr>
              <w:spacing w:after="0" w:line="240" w:lineRule="auto"/>
              <w:jc w:val="center"/>
              <w:rPr>
                <w:b/>
                <w:bCs/>
                <w:color w:val="000000"/>
                <w:sz w:val="18"/>
                <w:szCs w:val="18"/>
              </w:rPr>
            </w:pPr>
            <w:r w:rsidRPr="00181464">
              <w:rPr>
                <w:b/>
                <w:bCs/>
                <w:color w:val="000000"/>
                <w:sz w:val="18"/>
                <w:szCs w:val="18"/>
              </w:rPr>
              <w:t>Čerpanie</w:t>
            </w:r>
          </w:p>
        </w:tc>
        <w:tc>
          <w:tcPr>
            <w:tcW w:w="1154" w:type="pct"/>
            <w:tcBorders>
              <w:top w:val="single" w:sz="4" w:space="0" w:color="auto"/>
              <w:bottom w:val="single" w:sz="4" w:space="0" w:color="auto"/>
            </w:tcBorders>
            <w:shd w:val="clear" w:color="000000" w:fill="auto"/>
            <w:vAlign w:val="center"/>
            <w:hideMark/>
          </w:tcPr>
          <w:p w14:paraId="1816F313" w14:textId="77777777" w:rsidR="00A577E3" w:rsidRPr="00181464" w:rsidRDefault="00A577E3" w:rsidP="00A577E3">
            <w:pPr>
              <w:spacing w:after="0" w:line="240" w:lineRule="auto"/>
              <w:ind w:left="-75" w:firstLine="2"/>
              <w:jc w:val="center"/>
              <w:rPr>
                <w:b/>
                <w:bCs/>
                <w:color w:val="000000"/>
                <w:sz w:val="18"/>
                <w:szCs w:val="18"/>
              </w:rPr>
            </w:pPr>
            <w:r w:rsidRPr="00181464">
              <w:rPr>
                <w:b/>
                <w:bCs/>
                <w:color w:val="000000"/>
                <w:sz w:val="18"/>
                <w:szCs w:val="18"/>
              </w:rPr>
              <w:t>Podiel čerpania</w:t>
            </w:r>
          </w:p>
        </w:tc>
      </w:tr>
      <w:tr w:rsidR="00A577E3" w:rsidRPr="00A577E3" w14:paraId="6AAE4AAB" w14:textId="77777777" w:rsidTr="00A577E3">
        <w:trPr>
          <w:trHeight w:val="330"/>
        </w:trPr>
        <w:tc>
          <w:tcPr>
            <w:tcW w:w="2019" w:type="pct"/>
            <w:tcBorders>
              <w:top w:val="single" w:sz="4" w:space="0" w:color="auto"/>
            </w:tcBorders>
            <w:shd w:val="clear" w:color="auto" w:fill="auto"/>
            <w:vAlign w:val="center"/>
            <w:hideMark/>
          </w:tcPr>
          <w:p w14:paraId="665F88A2" w14:textId="77777777" w:rsidR="00A577E3" w:rsidRPr="00181464" w:rsidRDefault="00A577E3" w:rsidP="00A577E3">
            <w:pPr>
              <w:spacing w:after="0" w:line="240" w:lineRule="auto"/>
              <w:rPr>
                <w:color w:val="000000"/>
                <w:sz w:val="18"/>
                <w:szCs w:val="18"/>
              </w:rPr>
            </w:pPr>
            <w:r w:rsidRPr="00181464">
              <w:rPr>
                <w:color w:val="000000"/>
                <w:sz w:val="18"/>
                <w:szCs w:val="18"/>
              </w:rPr>
              <w:t>OP ĽZ</w:t>
            </w:r>
          </w:p>
        </w:tc>
        <w:tc>
          <w:tcPr>
            <w:tcW w:w="1641" w:type="pct"/>
            <w:tcBorders>
              <w:top w:val="single" w:sz="4" w:space="0" w:color="auto"/>
            </w:tcBorders>
            <w:shd w:val="clear" w:color="auto" w:fill="auto"/>
            <w:noWrap/>
            <w:vAlign w:val="center"/>
            <w:hideMark/>
          </w:tcPr>
          <w:p w14:paraId="7A099EB7" w14:textId="77777777" w:rsidR="00A577E3" w:rsidRPr="00181464" w:rsidRDefault="00A577E3" w:rsidP="00A577E3">
            <w:pPr>
              <w:spacing w:after="0" w:line="240" w:lineRule="auto"/>
              <w:jc w:val="center"/>
              <w:rPr>
                <w:color w:val="000000"/>
                <w:sz w:val="18"/>
                <w:szCs w:val="18"/>
              </w:rPr>
            </w:pPr>
            <w:r w:rsidRPr="00181464">
              <w:rPr>
                <w:color w:val="000000"/>
                <w:sz w:val="18"/>
                <w:szCs w:val="18"/>
              </w:rPr>
              <w:t>65 545</w:t>
            </w:r>
          </w:p>
        </w:tc>
        <w:tc>
          <w:tcPr>
            <w:tcW w:w="186" w:type="pct"/>
            <w:tcBorders>
              <w:top w:val="single" w:sz="4" w:space="0" w:color="auto"/>
            </w:tcBorders>
            <w:shd w:val="clear" w:color="auto" w:fill="auto"/>
            <w:noWrap/>
            <w:vAlign w:val="center"/>
            <w:hideMark/>
          </w:tcPr>
          <w:p w14:paraId="5E1AD9F3" w14:textId="77777777" w:rsidR="00A577E3" w:rsidRPr="00181464" w:rsidRDefault="00A577E3" w:rsidP="00A577E3">
            <w:pPr>
              <w:spacing w:after="0" w:line="240" w:lineRule="auto"/>
              <w:jc w:val="center"/>
              <w:rPr>
                <w:color w:val="000000"/>
                <w:sz w:val="18"/>
                <w:szCs w:val="18"/>
              </w:rPr>
            </w:pPr>
            <w:r w:rsidRPr="00181464">
              <w:rPr>
                <w:color w:val="000000"/>
                <w:sz w:val="18"/>
                <w:szCs w:val="18"/>
              </w:rPr>
              <w:t>13 979</w:t>
            </w:r>
          </w:p>
        </w:tc>
        <w:tc>
          <w:tcPr>
            <w:tcW w:w="1154" w:type="pct"/>
            <w:tcBorders>
              <w:top w:val="single" w:sz="4" w:space="0" w:color="auto"/>
            </w:tcBorders>
            <w:shd w:val="clear" w:color="auto" w:fill="auto"/>
            <w:noWrap/>
            <w:vAlign w:val="center"/>
            <w:hideMark/>
          </w:tcPr>
          <w:p w14:paraId="472828B4" w14:textId="77777777" w:rsidR="00A577E3" w:rsidRPr="00181464" w:rsidRDefault="00A577E3" w:rsidP="00A577E3">
            <w:pPr>
              <w:spacing w:after="0" w:line="240" w:lineRule="auto"/>
              <w:ind w:left="-75" w:firstLine="2"/>
              <w:jc w:val="center"/>
              <w:rPr>
                <w:color w:val="000000"/>
                <w:sz w:val="18"/>
                <w:szCs w:val="18"/>
              </w:rPr>
            </w:pPr>
            <w:r w:rsidRPr="00181464">
              <w:rPr>
                <w:color w:val="000000"/>
                <w:sz w:val="18"/>
                <w:szCs w:val="18"/>
              </w:rPr>
              <w:t>21,33%</w:t>
            </w:r>
          </w:p>
        </w:tc>
      </w:tr>
      <w:tr w:rsidR="00A577E3" w:rsidRPr="00A577E3" w14:paraId="2897FC4E" w14:textId="77777777" w:rsidTr="00A577E3">
        <w:trPr>
          <w:trHeight w:val="330"/>
        </w:trPr>
        <w:tc>
          <w:tcPr>
            <w:tcW w:w="2019" w:type="pct"/>
            <w:shd w:val="clear" w:color="auto" w:fill="auto"/>
            <w:vAlign w:val="center"/>
            <w:hideMark/>
          </w:tcPr>
          <w:p w14:paraId="3B7374B0" w14:textId="77777777" w:rsidR="00A577E3" w:rsidRPr="00181464" w:rsidRDefault="00A577E3" w:rsidP="00A577E3">
            <w:pPr>
              <w:spacing w:after="0" w:line="240" w:lineRule="auto"/>
              <w:rPr>
                <w:color w:val="000000"/>
                <w:sz w:val="18"/>
                <w:szCs w:val="18"/>
              </w:rPr>
            </w:pPr>
            <w:r w:rsidRPr="00181464">
              <w:rPr>
                <w:color w:val="000000"/>
                <w:sz w:val="18"/>
                <w:szCs w:val="18"/>
              </w:rPr>
              <w:t>IROP</w:t>
            </w:r>
          </w:p>
        </w:tc>
        <w:tc>
          <w:tcPr>
            <w:tcW w:w="1641" w:type="pct"/>
            <w:shd w:val="clear" w:color="auto" w:fill="auto"/>
            <w:noWrap/>
            <w:vAlign w:val="center"/>
            <w:hideMark/>
          </w:tcPr>
          <w:p w14:paraId="5750535C" w14:textId="77777777" w:rsidR="00A577E3" w:rsidRPr="00181464" w:rsidRDefault="00A577E3" w:rsidP="00A577E3">
            <w:pPr>
              <w:spacing w:after="0" w:line="240" w:lineRule="auto"/>
              <w:jc w:val="center"/>
              <w:rPr>
                <w:color w:val="000000"/>
                <w:sz w:val="18"/>
                <w:szCs w:val="18"/>
              </w:rPr>
            </w:pPr>
            <w:r w:rsidRPr="00181464">
              <w:rPr>
                <w:color w:val="000000"/>
                <w:sz w:val="18"/>
                <w:szCs w:val="18"/>
              </w:rPr>
              <w:t>244 014</w:t>
            </w:r>
          </w:p>
        </w:tc>
        <w:tc>
          <w:tcPr>
            <w:tcW w:w="186" w:type="pct"/>
            <w:shd w:val="clear" w:color="auto" w:fill="auto"/>
            <w:noWrap/>
            <w:vAlign w:val="center"/>
            <w:hideMark/>
          </w:tcPr>
          <w:p w14:paraId="3F9ADEF1" w14:textId="77777777" w:rsidR="00A577E3" w:rsidRPr="00181464" w:rsidRDefault="00A577E3" w:rsidP="00A577E3">
            <w:pPr>
              <w:spacing w:after="0" w:line="240" w:lineRule="auto"/>
              <w:jc w:val="center"/>
              <w:rPr>
                <w:color w:val="000000"/>
                <w:sz w:val="18"/>
                <w:szCs w:val="18"/>
              </w:rPr>
            </w:pPr>
            <w:r w:rsidRPr="00181464">
              <w:rPr>
                <w:color w:val="000000"/>
                <w:sz w:val="18"/>
                <w:szCs w:val="18"/>
              </w:rPr>
              <w:t>242 219</w:t>
            </w:r>
          </w:p>
        </w:tc>
        <w:tc>
          <w:tcPr>
            <w:tcW w:w="1154" w:type="pct"/>
            <w:shd w:val="clear" w:color="auto" w:fill="auto"/>
            <w:noWrap/>
            <w:vAlign w:val="center"/>
            <w:hideMark/>
          </w:tcPr>
          <w:p w14:paraId="33679A52" w14:textId="77777777" w:rsidR="00A577E3" w:rsidRPr="00181464" w:rsidRDefault="00A577E3" w:rsidP="00A577E3">
            <w:pPr>
              <w:spacing w:after="0" w:line="240" w:lineRule="auto"/>
              <w:ind w:left="-75" w:firstLine="2"/>
              <w:jc w:val="center"/>
              <w:rPr>
                <w:color w:val="000000"/>
                <w:sz w:val="18"/>
                <w:szCs w:val="18"/>
              </w:rPr>
            </w:pPr>
            <w:r w:rsidRPr="00181464">
              <w:rPr>
                <w:color w:val="000000"/>
                <w:sz w:val="18"/>
                <w:szCs w:val="18"/>
              </w:rPr>
              <w:t>99,26%</w:t>
            </w:r>
          </w:p>
        </w:tc>
      </w:tr>
      <w:tr w:rsidR="00A577E3" w:rsidRPr="00A577E3" w14:paraId="1F73E0C1" w14:textId="77777777" w:rsidTr="0061083E">
        <w:trPr>
          <w:trHeight w:val="330"/>
        </w:trPr>
        <w:tc>
          <w:tcPr>
            <w:tcW w:w="2019" w:type="pct"/>
            <w:shd w:val="clear" w:color="auto" w:fill="auto"/>
            <w:vAlign w:val="center"/>
            <w:hideMark/>
          </w:tcPr>
          <w:p w14:paraId="69B6FEDF" w14:textId="77777777" w:rsidR="00A577E3" w:rsidRPr="00181464" w:rsidRDefault="00A577E3" w:rsidP="00A577E3">
            <w:pPr>
              <w:spacing w:after="0" w:line="240" w:lineRule="auto"/>
              <w:rPr>
                <w:color w:val="000000"/>
                <w:sz w:val="18"/>
                <w:szCs w:val="18"/>
              </w:rPr>
            </w:pPr>
            <w:r w:rsidRPr="00181464">
              <w:rPr>
                <w:color w:val="000000"/>
                <w:sz w:val="18"/>
                <w:szCs w:val="18"/>
              </w:rPr>
              <w:t>OP II</w:t>
            </w:r>
          </w:p>
        </w:tc>
        <w:tc>
          <w:tcPr>
            <w:tcW w:w="1641" w:type="pct"/>
            <w:shd w:val="clear" w:color="auto" w:fill="auto"/>
            <w:noWrap/>
            <w:vAlign w:val="center"/>
            <w:hideMark/>
          </w:tcPr>
          <w:p w14:paraId="2C5C963E" w14:textId="77777777" w:rsidR="00A577E3" w:rsidRPr="00181464" w:rsidRDefault="00A577E3" w:rsidP="00A577E3">
            <w:pPr>
              <w:spacing w:after="0" w:line="240" w:lineRule="auto"/>
              <w:jc w:val="center"/>
              <w:rPr>
                <w:color w:val="000000"/>
                <w:sz w:val="18"/>
                <w:szCs w:val="18"/>
              </w:rPr>
            </w:pPr>
            <w:r w:rsidRPr="00181464">
              <w:rPr>
                <w:color w:val="000000"/>
                <w:sz w:val="18"/>
                <w:szCs w:val="18"/>
              </w:rPr>
              <w:t>30 000</w:t>
            </w:r>
          </w:p>
        </w:tc>
        <w:tc>
          <w:tcPr>
            <w:tcW w:w="186" w:type="pct"/>
            <w:shd w:val="clear" w:color="auto" w:fill="auto"/>
            <w:noWrap/>
            <w:vAlign w:val="center"/>
            <w:hideMark/>
          </w:tcPr>
          <w:p w14:paraId="76FC8B35" w14:textId="77777777" w:rsidR="00A577E3" w:rsidRPr="00181464" w:rsidRDefault="00A577E3" w:rsidP="00A577E3">
            <w:pPr>
              <w:spacing w:after="0" w:line="240" w:lineRule="auto"/>
              <w:jc w:val="center"/>
              <w:rPr>
                <w:color w:val="000000"/>
                <w:sz w:val="18"/>
                <w:szCs w:val="18"/>
              </w:rPr>
            </w:pPr>
            <w:r w:rsidRPr="00181464">
              <w:rPr>
                <w:color w:val="000000"/>
                <w:sz w:val="18"/>
                <w:szCs w:val="18"/>
              </w:rPr>
              <w:t>21 047</w:t>
            </w:r>
          </w:p>
        </w:tc>
        <w:tc>
          <w:tcPr>
            <w:tcW w:w="1154" w:type="pct"/>
            <w:shd w:val="clear" w:color="auto" w:fill="auto"/>
            <w:noWrap/>
            <w:vAlign w:val="center"/>
            <w:hideMark/>
          </w:tcPr>
          <w:p w14:paraId="5175636B" w14:textId="77777777" w:rsidR="00A577E3" w:rsidRPr="00181464" w:rsidRDefault="00A577E3" w:rsidP="00A577E3">
            <w:pPr>
              <w:spacing w:after="0" w:line="240" w:lineRule="auto"/>
              <w:ind w:left="-75" w:firstLine="2"/>
              <w:jc w:val="center"/>
              <w:rPr>
                <w:color w:val="000000"/>
                <w:sz w:val="18"/>
                <w:szCs w:val="18"/>
              </w:rPr>
            </w:pPr>
            <w:r w:rsidRPr="00181464">
              <w:rPr>
                <w:color w:val="000000"/>
                <w:sz w:val="18"/>
                <w:szCs w:val="18"/>
              </w:rPr>
              <w:t>70,16%</w:t>
            </w:r>
          </w:p>
        </w:tc>
      </w:tr>
      <w:tr w:rsidR="00A577E3" w:rsidRPr="00A577E3" w14:paraId="54BEBBB4" w14:textId="77777777" w:rsidTr="0061083E">
        <w:trPr>
          <w:trHeight w:val="330"/>
        </w:trPr>
        <w:tc>
          <w:tcPr>
            <w:tcW w:w="2019" w:type="pct"/>
            <w:tcBorders>
              <w:bottom w:val="single" w:sz="4" w:space="0" w:color="auto"/>
            </w:tcBorders>
            <w:shd w:val="clear" w:color="auto" w:fill="auto"/>
            <w:vAlign w:val="center"/>
            <w:hideMark/>
          </w:tcPr>
          <w:p w14:paraId="3B8220A2" w14:textId="77777777" w:rsidR="00A577E3" w:rsidRPr="00181464" w:rsidRDefault="00A577E3" w:rsidP="00A577E3">
            <w:pPr>
              <w:spacing w:after="0" w:line="240" w:lineRule="auto"/>
              <w:rPr>
                <w:b/>
                <w:bCs/>
                <w:color w:val="000000"/>
                <w:sz w:val="18"/>
                <w:szCs w:val="18"/>
              </w:rPr>
            </w:pPr>
            <w:r w:rsidRPr="00181464">
              <w:rPr>
                <w:b/>
                <w:bCs/>
                <w:color w:val="000000"/>
                <w:sz w:val="18"/>
                <w:szCs w:val="18"/>
              </w:rPr>
              <w:t>Spolu EŠIF</w:t>
            </w:r>
          </w:p>
        </w:tc>
        <w:tc>
          <w:tcPr>
            <w:tcW w:w="1641" w:type="pct"/>
            <w:tcBorders>
              <w:bottom w:val="single" w:sz="4" w:space="0" w:color="auto"/>
            </w:tcBorders>
            <w:shd w:val="clear" w:color="auto" w:fill="auto"/>
            <w:noWrap/>
            <w:vAlign w:val="center"/>
            <w:hideMark/>
          </w:tcPr>
          <w:p w14:paraId="0A2ABC80" w14:textId="77777777" w:rsidR="00A577E3" w:rsidRPr="00181464" w:rsidRDefault="00A577E3" w:rsidP="00A577E3">
            <w:pPr>
              <w:spacing w:after="0" w:line="240" w:lineRule="auto"/>
              <w:jc w:val="center"/>
              <w:rPr>
                <w:b/>
                <w:bCs/>
                <w:color w:val="000000"/>
                <w:sz w:val="18"/>
                <w:szCs w:val="18"/>
              </w:rPr>
            </w:pPr>
            <w:r w:rsidRPr="00181464">
              <w:rPr>
                <w:b/>
                <w:bCs/>
                <w:color w:val="000000"/>
                <w:sz w:val="18"/>
                <w:szCs w:val="18"/>
              </w:rPr>
              <w:t>339 559</w:t>
            </w:r>
          </w:p>
        </w:tc>
        <w:tc>
          <w:tcPr>
            <w:tcW w:w="186" w:type="pct"/>
            <w:tcBorders>
              <w:bottom w:val="single" w:sz="4" w:space="0" w:color="auto"/>
            </w:tcBorders>
            <w:shd w:val="clear" w:color="auto" w:fill="auto"/>
            <w:noWrap/>
            <w:vAlign w:val="center"/>
            <w:hideMark/>
          </w:tcPr>
          <w:p w14:paraId="248E1F38" w14:textId="77777777" w:rsidR="00A577E3" w:rsidRPr="00181464" w:rsidRDefault="00A577E3" w:rsidP="00A577E3">
            <w:pPr>
              <w:spacing w:after="0" w:line="240" w:lineRule="auto"/>
              <w:jc w:val="center"/>
              <w:rPr>
                <w:b/>
                <w:bCs/>
                <w:color w:val="000000"/>
                <w:sz w:val="18"/>
                <w:szCs w:val="18"/>
              </w:rPr>
            </w:pPr>
            <w:r w:rsidRPr="00181464">
              <w:rPr>
                <w:b/>
                <w:bCs/>
                <w:color w:val="000000"/>
                <w:sz w:val="18"/>
                <w:szCs w:val="18"/>
              </w:rPr>
              <w:t>277 245</w:t>
            </w:r>
          </w:p>
        </w:tc>
        <w:tc>
          <w:tcPr>
            <w:tcW w:w="1154" w:type="pct"/>
            <w:tcBorders>
              <w:bottom w:val="single" w:sz="4" w:space="0" w:color="auto"/>
            </w:tcBorders>
            <w:shd w:val="clear" w:color="auto" w:fill="auto"/>
            <w:noWrap/>
            <w:vAlign w:val="center"/>
            <w:hideMark/>
          </w:tcPr>
          <w:p w14:paraId="7B505AF7" w14:textId="77777777" w:rsidR="00A577E3" w:rsidRPr="00181464" w:rsidRDefault="00A577E3" w:rsidP="00A577E3">
            <w:pPr>
              <w:spacing w:after="0" w:line="240" w:lineRule="auto"/>
              <w:ind w:left="-75" w:firstLine="2"/>
              <w:jc w:val="center"/>
              <w:rPr>
                <w:b/>
                <w:bCs/>
                <w:color w:val="000000"/>
                <w:sz w:val="18"/>
                <w:szCs w:val="18"/>
              </w:rPr>
            </w:pPr>
            <w:r w:rsidRPr="00181464">
              <w:rPr>
                <w:b/>
                <w:bCs/>
                <w:color w:val="000000"/>
                <w:sz w:val="18"/>
                <w:szCs w:val="18"/>
              </w:rPr>
              <w:t>81,65%</w:t>
            </w:r>
          </w:p>
        </w:tc>
      </w:tr>
    </w:tbl>
    <w:p w14:paraId="1F43C971" w14:textId="62E558E8" w:rsidR="0061083E" w:rsidRPr="0061083E" w:rsidRDefault="0061083E" w:rsidP="008172CD">
      <w:pPr>
        <w:spacing w:before="120" w:line="240" w:lineRule="auto"/>
        <w:rPr>
          <w:sz w:val="24"/>
          <w:szCs w:val="24"/>
        </w:rPr>
      </w:pPr>
      <w:r w:rsidRPr="0061083E">
        <w:rPr>
          <w:sz w:val="24"/>
          <w:szCs w:val="24"/>
        </w:rPr>
        <w:t>V októbri 2022 Európska komisia predstavila návrh legislatívnej úpravy SAFE, ktorá umožnila využiť zostávajúce nevyčerpané zdroje európskych štruktu</w:t>
      </w:r>
      <w:r w:rsidR="0013146B">
        <w:rPr>
          <w:sz w:val="24"/>
          <w:szCs w:val="24"/>
        </w:rPr>
        <w:t>rálnych a investičných fondov z </w:t>
      </w:r>
      <w:r w:rsidRPr="0061083E">
        <w:rPr>
          <w:sz w:val="24"/>
          <w:szCs w:val="24"/>
        </w:rPr>
        <w:t xml:space="preserve">obdobia 2014 – 2020 na kompenzáciu vysokých cien energií. Uznesením vlády SR č. 806/2022 bolo Ministerstvo hospodárstva SR určené ako jediný prijímateľ národných projektov Iniciatívy SAFE, ktorá umožňuje riešiť dôsledky energetickej krízy so zameraním na kompenzáciu zvýšených cien energií pre zraniteľné domácnosti. Iniciatíva SAFE nadobudla účinnosť 1. marca 2023, pričom maximálny limit výdavkov na účel riešenia vysokých cien energií bol </w:t>
      </w:r>
      <w:r>
        <w:rPr>
          <w:sz w:val="24"/>
          <w:szCs w:val="24"/>
        </w:rPr>
        <w:t>vo výške 10 </w:t>
      </w:r>
      <w:r w:rsidRPr="0061083E">
        <w:rPr>
          <w:sz w:val="24"/>
          <w:szCs w:val="24"/>
        </w:rPr>
        <w:t xml:space="preserve">% národnej obálky, tzn. v prípade SR išlo o sumu </w:t>
      </w:r>
      <w:r>
        <w:rPr>
          <w:sz w:val="24"/>
          <w:szCs w:val="24"/>
        </w:rPr>
        <w:t>1 </w:t>
      </w:r>
      <w:r w:rsidRPr="0061083E">
        <w:rPr>
          <w:sz w:val="24"/>
          <w:szCs w:val="24"/>
        </w:rPr>
        <w:t>451 350 tis.</w:t>
      </w:r>
      <w:r>
        <w:rPr>
          <w:sz w:val="24"/>
          <w:szCs w:val="24"/>
        </w:rPr>
        <w:t> </w:t>
      </w:r>
      <w:r w:rsidRPr="0061083E">
        <w:rPr>
          <w:sz w:val="24"/>
          <w:szCs w:val="24"/>
        </w:rPr>
        <w:t xml:space="preserve">eur. </w:t>
      </w:r>
    </w:p>
    <w:p w14:paraId="0693A67B" w14:textId="6719EE16" w:rsidR="0061083E" w:rsidRPr="0061083E" w:rsidRDefault="0061083E" w:rsidP="0061083E">
      <w:pPr>
        <w:spacing w:line="240" w:lineRule="auto"/>
        <w:rPr>
          <w:sz w:val="24"/>
          <w:szCs w:val="24"/>
        </w:rPr>
      </w:pPr>
      <w:r w:rsidRPr="0061083E">
        <w:rPr>
          <w:sz w:val="24"/>
          <w:szCs w:val="24"/>
        </w:rPr>
        <w:t>Na základe analýzy stavu čerpania operačných programov v rámci programového obdobia 2014-2020 je aktuálne identifikovaná suma prostriedkov v rámci Iniciatívy SAFE vo</w:t>
      </w:r>
      <w:r>
        <w:rPr>
          <w:sz w:val="24"/>
          <w:szCs w:val="24"/>
        </w:rPr>
        <w:t xml:space="preserve"> výške 937 000 </w:t>
      </w:r>
      <w:r w:rsidRPr="0061083E">
        <w:rPr>
          <w:sz w:val="24"/>
          <w:szCs w:val="24"/>
        </w:rPr>
        <w:t>tis.</w:t>
      </w:r>
      <w:r>
        <w:rPr>
          <w:sz w:val="24"/>
          <w:szCs w:val="24"/>
        </w:rPr>
        <w:t> </w:t>
      </w:r>
      <w:r w:rsidRPr="0061083E">
        <w:rPr>
          <w:sz w:val="24"/>
          <w:szCs w:val="24"/>
        </w:rPr>
        <w:t>eur (z toho v rámci OP Integrovaná infra</w:t>
      </w:r>
      <w:r w:rsidR="001E3D1D">
        <w:rPr>
          <w:sz w:val="24"/>
          <w:szCs w:val="24"/>
        </w:rPr>
        <w:t>štruktúra vo výške 501 500 tis. </w:t>
      </w:r>
      <w:r w:rsidRPr="0061083E">
        <w:rPr>
          <w:sz w:val="24"/>
          <w:szCs w:val="24"/>
        </w:rPr>
        <w:t xml:space="preserve">eur, OP Kvalita životného prostredia </w:t>
      </w:r>
      <w:r>
        <w:rPr>
          <w:sz w:val="24"/>
          <w:szCs w:val="24"/>
        </w:rPr>
        <w:t>vo výške 427 000 tis. </w:t>
      </w:r>
      <w:r w:rsidRPr="0061083E">
        <w:rPr>
          <w:sz w:val="24"/>
          <w:szCs w:val="24"/>
        </w:rPr>
        <w:t>eur a Integrovaného regionálneho OP</w:t>
      </w:r>
      <w:r w:rsidR="0013146B">
        <w:rPr>
          <w:sz w:val="24"/>
          <w:szCs w:val="24"/>
        </w:rPr>
        <w:t xml:space="preserve"> vo </w:t>
      </w:r>
      <w:r>
        <w:rPr>
          <w:sz w:val="24"/>
          <w:szCs w:val="24"/>
        </w:rPr>
        <w:t>výške 8 500 tis. </w:t>
      </w:r>
      <w:r w:rsidRPr="0061083E">
        <w:rPr>
          <w:sz w:val="24"/>
          <w:szCs w:val="24"/>
        </w:rPr>
        <w:t>eur). Čerpanie za Iniciatívu SAFE zatiaľ predstavovalo 500</w:t>
      </w:r>
      <w:r>
        <w:rPr>
          <w:sz w:val="24"/>
          <w:szCs w:val="24"/>
        </w:rPr>
        <w:t> </w:t>
      </w:r>
      <w:r w:rsidRPr="0061083E">
        <w:rPr>
          <w:sz w:val="24"/>
          <w:szCs w:val="24"/>
        </w:rPr>
        <w:t>083</w:t>
      </w:r>
      <w:r>
        <w:rPr>
          <w:sz w:val="24"/>
          <w:szCs w:val="24"/>
        </w:rPr>
        <w:t> </w:t>
      </w:r>
      <w:r w:rsidRPr="0061083E">
        <w:rPr>
          <w:sz w:val="24"/>
          <w:szCs w:val="24"/>
        </w:rPr>
        <w:t>tis</w:t>
      </w:r>
      <w:r>
        <w:rPr>
          <w:sz w:val="24"/>
          <w:szCs w:val="24"/>
        </w:rPr>
        <w:t>. </w:t>
      </w:r>
      <w:r w:rsidRPr="0061083E">
        <w:rPr>
          <w:sz w:val="24"/>
          <w:szCs w:val="24"/>
        </w:rPr>
        <w:t>eur a</w:t>
      </w:r>
      <w:r>
        <w:rPr>
          <w:sz w:val="24"/>
          <w:szCs w:val="24"/>
        </w:rPr>
        <w:t xml:space="preserve"> </w:t>
      </w:r>
      <w:r w:rsidRPr="0061083E">
        <w:rPr>
          <w:sz w:val="24"/>
          <w:szCs w:val="24"/>
        </w:rPr>
        <w:t>bolo realizované v novembri 2023 v rámci Operačného programu Integrovaná infraštruktúra. Realizácia ďalších výdavkov vo výške 437</w:t>
      </w:r>
      <w:r w:rsidR="001E3D1D">
        <w:rPr>
          <w:sz w:val="24"/>
          <w:szCs w:val="24"/>
        </w:rPr>
        <w:t> 000 </w:t>
      </w:r>
      <w:r w:rsidRPr="0061083E">
        <w:rPr>
          <w:sz w:val="24"/>
          <w:szCs w:val="24"/>
        </w:rPr>
        <w:t>tis.</w:t>
      </w:r>
      <w:r>
        <w:rPr>
          <w:sz w:val="24"/>
          <w:szCs w:val="24"/>
        </w:rPr>
        <w:t> </w:t>
      </w:r>
      <w:r w:rsidRPr="0061083E">
        <w:rPr>
          <w:sz w:val="24"/>
          <w:szCs w:val="24"/>
        </w:rPr>
        <w:t xml:space="preserve">eur z úrovne platobných jednotiek sa predpokladá v roku 2024. </w:t>
      </w:r>
    </w:p>
    <w:p w14:paraId="69667986" w14:textId="0D02FC02" w:rsidR="0061083E" w:rsidRPr="0061083E" w:rsidRDefault="0061083E" w:rsidP="0061083E">
      <w:pPr>
        <w:spacing w:line="240" w:lineRule="auto"/>
        <w:rPr>
          <w:sz w:val="24"/>
          <w:szCs w:val="24"/>
        </w:rPr>
      </w:pPr>
      <w:r w:rsidRPr="001E3D1D">
        <w:rPr>
          <w:b/>
          <w:sz w:val="24"/>
          <w:szCs w:val="24"/>
        </w:rPr>
        <w:t>V rámci 4. programového obdobia 2021-2027</w:t>
      </w:r>
      <w:r w:rsidRPr="0061083E">
        <w:rPr>
          <w:sz w:val="24"/>
          <w:szCs w:val="24"/>
        </w:rPr>
        <w:t xml:space="preserve"> boli z ce</w:t>
      </w:r>
      <w:r w:rsidR="001E3D1D">
        <w:rPr>
          <w:sz w:val="24"/>
          <w:szCs w:val="24"/>
        </w:rPr>
        <w:t>lkovej alokácie 12 749 783 tis. </w:t>
      </w:r>
      <w:r w:rsidRPr="0061083E">
        <w:rPr>
          <w:sz w:val="24"/>
          <w:szCs w:val="24"/>
        </w:rPr>
        <w:t xml:space="preserve">eur (Program Slovensko, </w:t>
      </w:r>
      <w:proofErr w:type="spellStart"/>
      <w:r w:rsidRPr="0061083E">
        <w:rPr>
          <w:sz w:val="24"/>
          <w:szCs w:val="24"/>
        </w:rPr>
        <w:t>Interact</w:t>
      </w:r>
      <w:proofErr w:type="spellEnd"/>
      <w:r w:rsidRPr="0061083E">
        <w:rPr>
          <w:sz w:val="24"/>
          <w:szCs w:val="24"/>
        </w:rPr>
        <w:t xml:space="preserve"> IV, </w:t>
      </w:r>
      <w:proofErr w:type="spellStart"/>
      <w:r w:rsidRPr="0061083E">
        <w:rPr>
          <w:sz w:val="24"/>
          <w:szCs w:val="24"/>
        </w:rPr>
        <w:t>Interreg</w:t>
      </w:r>
      <w:proofErr w:type="spellEnd"/>
      <w:r w:rsidRPr="0061083E">
        <w:rPr>
          <w:sz w:val="24"/>
          <w:szCs w:val="24"/>
        </w:rPr>
        <w:t xml:space="preserve"> SK</w:t>
      </w:r>
      <w:r w:rsidRPr="0061083E">
        <w:rPr>
          <w:sz w:val="24"/>
          <w:szCs w:val="24"/>
        </w:rPr>
        <w:noBreakHyphen/>
        <w:t xml:space="preserve">CZ, </w:t>
      </w:r>
      <w:proofErr w:type="spellStart"/>
      <w:r w:rsidRPr="0061083E">
        <w:rPr>
          <w:sz w:val="24"/>
          <w:szCs w:val="24"/>
        </w:rPr>
        <w:t>Interreg</w:t>
      </w:r>
      <w:proofErr w:type="spellEnd"/>
      <w:r w:rsidRPr="0061083E">
        <w:rPr>
          <w:sz w:val="24"/>
          <w:szCs w:val="24"/>
        </w:rPr>
        <w:t xml:space="preserve"> SK</w:t>
      </w:r>
      <w:r w:rsidRPr="0061083E">
        <w:rPr>
          <w:sz w:val="24"/>
          <w:szCs w:val="24"/>
        </w:rPr>
        <w:noBreakHyphen/>
        <w:t>AT a</w:t>
      </w:r>
      <w:r w:rsidR="0013146B">
        <w:rPr>
          <w:sz w:val="24"/>
          <w:szCs w:val="24"/>
        </w:rPr>
        <w:t xml:space="preserve"> </w:t>
      </w:r>
      <w:r w:rsidRPr="0061083E">
        <w:rPr>
          <w:sz w:val="24"/>
          <w:szCs w:val="24"/>
        </w:rPr>
        <w:t xml:space="preserve">Program Rybné hospodárstvo 2021-2027) k 31.12.2023 schválené </w:t>
      </w:r>
      <w:r>
        <w:rPr>
          <w:sz w:val="24"/>
          <w:szCs w:val="24"/>
        </w:rPr>
        <w:t>prostriedky vo výške 2 016 tis. </w:t>
      </w:r>
      <w:r w:rsidRPr="0061083E">
        <w:rPr>
          <w:sz w:val="24"/>
          <w:szCs w:val="24"/>
        </w:rPr>
        <w:t>eur (za zdr</w:t>
      </w:r>
      <w:r>
        <w:rPr>
          <w:sz w:val="24"/>
          <w:szCs w:val="24"/>
        </w:rPr>
        <w:t>oj EÚ), čo predstavuje čerpanie</w:t>
      </w:r>
      <w:r w:rsidRPr="0061083E">
        <w:rPr>
          <w:sz w:val="24"/>
          <w:szCs w:val="24"/>
        </w:rPr>
        <w:t xml:space="preserve"> na úrovni 0,02</w:t>
      </w:r>
      <w:r>
        <w:rPr>
          <w:sz w:val="24"/>
          <w:szCs w:val="24"/>
        </w:rPr>
        <w:t> </w:t>
      </w:r>
      <w:r w:rsidRPr="0061083E">
        <w:rPr>
          <w:sz w:val="24"/>
          <w:szCs w:val="24"/>
        </w:rPr>
        <w:t>%.</w:t>
      </w:r>
    </w:p>
    <w:p w14:paraId="3D0ADCA2" w14:textId="6E0D5A49" w:rsidR="00164F67" w:rsidRDefault="00164F67">
      <w:pPr>
        <w:spacing w:after="160" w:line="259" w:lineRule="auto"/>
        <w:jc w:val="left"/>
        <w:rPr>
          <w:rFonts w:eastAsiaTheme="majorEastAsia" w:cstheme="majorBidi"/>
          <w:b/>
          <w:sz w:val="26"/>
          <w:szCs w:val="32"/>
        </w:rPr>
      </w:pPr>
      <w:r>
        <w:br w:type="page"/>
      </w:r>
    </w:p>
    <w:p w14:paraId="3C8604EB" w14:textId="77777777" w:rsidR="00164F67" w:rsidRDefault="00164F67" w:rsidP="001F4D7C">
      <w:pPr>
        <w:pStyle w:val="Nadpis1"/>
        <w:numPr>
          <w:ilvl w:val="0"/>
          <w:numId w:val="0"/>
        </w:numPr>
      </w:pPr>
    </w:p>
    <w:p w14:paraId="75E06C02" w14:textId="77777777" w:rsidR="00164F67" w:rsidRDefault="00164F67" w:rsidP="001F4D7C">
      <w:pPr>
        <w:pStyle w:val="Nadpis1"/>
        <w:numPr>
          <w:ilvl w:val="0"/>
          <w:numId w:val="0"/>
        </w:numPr>
      </w:pPr>
    </w:p>
    <w:p w14:paraId="3D22B7A8" w14:textId="77777777" w:rsidR="00164F67" w:rsidRDefault="00164F67" w:rsidP="001F4D7C">
      <w:pPr>
        <w:pStyle w:val="Nadpis1"/>
        <w:numPr>
          <w:ilvl w:val="0"/>
          <w:numId w:val="0"/>
        </w:numPr>
      </w:pPr>
    </w:p>
    <w:p w14:paraId="14EDA695" w14:textId="77777777" w:rsidR="00164F67" w:rsidRDefault="00164F67" w:rsidP="001F4D7C">
      <w:pPr>
        <w:pStyle w:val="Nadpis1"/>
        <w:numPr>
          <w:ilvl w:val="0"/>
          <w:numId w:val="0"/>
        </w:numPr>
      </w:pPr>
    </w:p>
    <w:p w14:paraId="581D7194" w14:textId="77777777" w:rsidR="00164F67" w:rsidRDefault="00164F67" w:rsidP="001F4D7C">
      <w:pPr>
        <w:pStyle w:val="Nadpis1"/>
        <w:numPr>
          <w:ilvl w:val="0"/>
          <w:numId w:val="0"/>
        </w:numPr>
      </w:pPr>
    </w:p>
    <w:p w14:paraId="07D09F2B" w14:textId="77777777" w:rsidR="00164F67" w:rsidRDefault="00164F67" w:rsidP="001F4D7C">
      <w:pPr>
        <w:pStyle w:val="Nadpis1"/>
        <w:numPr>
          <w:ilvl w:val="0"/>
          <w:numId w:val="0"/>
        </w:numPr>
      </w:pPr>
    </w:p>
    <w:p w14:paraId="29370322" w14:textId="77777777" w:rsidR="00164F67" w:rsidRDefault="00164F67" w:rsidP="001F4D7C">
      <w:pPr>
        <w:pStyle w:val="Nadpis1"/>
        <w:numPr>
          <w:ilvl w:val="0"/>
          <w:numId w:val="0"/>
        </w:numPr>
      </w:pPr>
    </w:p>
    <w:p w14:paraId="05727BFE" w14:textId="77777777" w:rsidR="00164F67" w:rsidRDefault="00164F67" w:rsidP="001F4D7C">
      <w:pPr>
        <w:pStyle w:val="Nadpis1"/>
        <w:numPr>
          <w:ilvl w:val="0"/>
          <w:numId w:val="0"/>
        </w:numPr>
      </w:pPr>
    </w:p>
    <w:p w14:paraId="3988A048" w14:textId="77777777" w:rsidR="00164F67" w:rsidRDefault="00164F67" w:rsidP="001F4D7C">
      <w:pPr>
        <w:pStyle w:val="Nadpis1"/>
        <w:numPr>
          <w:ilvl w:val="0"/>
          <w:numId w:val="0"/>
        </w:numPr>
      </w:pPr>
    </w:p>
    <w:p w14:paraId="71337F71" w14:textId="77777777" w:rsidR="00164F67" w:rsidRDefault="00164F67" w:rsidP="001F4D7C">
      <w:pPr>
        <w:pStyle w:val="Nadpis1"/>
        <w:numPr>
          <w:ilvl w:val="0"/>
          <w:numId w:val="0"/>
        </w:numPr>
      </w:pPr>
    </w:p>
    <w:p w14:paraId="5D5A2399" w14:textId="77777777" w:rsidR="00164F67" w:rsidRDefault="00164F67" w:rsidP="001F4D7C">
      <w:pPr>
        <w:pStyle w:val="Nadpis1"/>
        <w:numPr>
          <w:ilvl w:val="0"/>
          <w:numId w:val="0"/>
        </w:numPr>
      </w:pPr>
    </w:p>
    <w:p w14:paraId="28B9264D" w14:textId="37AF5B9B" w:rsidR="001F4D7C" w:rsidRDefault="008254BE" w:rsidP="001F4D7C">
      <w:pPr>
        <w:pStyle w:val="Nadpis1"/>
        <w:numPr>
          <w:ilvl w:val="0"/>
          <w:numId w:val="0"/>
        </w:numPr>
      </w:pPr>
      <w:bookmarkStart w:id="74" w:name="_Toc164846957"/>
      <w:r>
        <w:t>Tabuľková príloha</w:t>
      </w:r>
      <w:bookmarkEnd w:id="73"/>
      <w:r w:rsidR="00D54F91">
        <w:t xml:space="preserve"> </w:t>
      </w:r>
      <w:r w:rsidR="001C4E82">
        <w:t>k hotovostnému plneniu ŠR</w:t>
      </w:r>
      <w:bookmarkEnd w:id="74"/>
    </w:p>
    <w:p w14:paraId="680F18D8" w14:textId="77777777" w:rsidR="001F4D7C" w:rsidRDefault="001F4D7C">
      <w:pPr>
        <w:spacing w:after="160" w:line="259" w:lineRule="auto"/>
        <w:jc w:val="left"/>
        <w:rPr>
          <w:rFonts w:eastAsiaTheme="majorEastAsia" w:cstheme="majorBidi"/>
          <w:b/>
          <w:sz w:val="26"/>
          <w:szCs w:val="32"/>
        </w:rPr>
      </w:pPr>
      <w:r>
        <w:br w:type="page"/>
      </w:r>
    </w:p>
    <w:tbl>
      <w:tblPr>
        <w:tblW w:w="9249" w:type="dxa"/>
        <w:jc w:val="center"/>
        <w:tblLayout w:type="fixed"/>
        <w:tblLook w:val="01E0" w:firstRow="1" w:lastRow="1" w:firstColumn="1" w:lastColumn="1" w:noHBand="0" w:noVBand="0"/>
      </w:tblPr>
      <w:tblGrid>
        <w:gridCol w:w="1169"/>
        <w:gridCol w:w="8080"/>
      </w:tblGrid>
      <w:tr w:rsidR="001F4D7C" w:rsidRPr="00D83632" w14:paraId="1B3048CA" w14:textId="77777777" w:rsidTr="0070573A">
        <w:trPr>
          <w:trHeight w:val="142"/>
          <w:jc w:val="center"/>
        </w:trPr>
        <w:tc>
          <w:tcPr>
            <w:tcW w:w="9249" w:type="dxa"/>
            <w:gridSpan w:val="2"/>
            <w:shd w:val="clear" w:color="auto" w:fill="auto"/>
            <w:vAlign w:val="center"/>
          </w:tcPr>
          <w:p w14:paraId="78F99E06" w14:textId="2B9695F4" w:rsidR="001F4D7C" w:rsidRPr="00D83632" w:rsidRDefault="001F4D7C" w:rsidP="00D83632">
            <w:pPr>
              <w:spacing w:after="0" w:line="240" w:lineRule="auto"/>
              <w:jc w:val="left"/>
              <w:rPr>
                <w:rFonts w:eastAsia="Times New Roman" w:cs="Times New Roman"/>
                <w:b/>
                <w:bCs/>
                <w:color w:val="5B9BD5" w:themeColor="accent1"/>
                <w:sz w:val="24"/>
                <w:szCs w:val="24"/>
                <w:lang w:eastAsia="sk-SK"/>
              </w:rPr>
            </w:pPr>
            <w:r w:rsidRPr="00D83632">
              <w:rPr>
                <w:rFonts w:eastAsia="Times New Roman" w:cs="Times New Roman"/>
                <w:b/>
                <w:bCs/>
                <w:color w:val="5B9BD5" w:themeColor="accent1"/>
                <w:sz w:val="24"/>
                <w:szCs w:val="24"/>
                <w:lang w:eastAsia="sk-SK"/>
              </w:rPr>
              <w:lastRenderedPageBreak/>
              <w:t xml:space="preserve">Zoznam tabuliek </w:t>
            </w:r>
            <w:r w:rsidR="00D83632" w:rsidRPr="00D83632">
              <w:rPr>
                <w:rFonts w:eastAsia="Times New Roman" w:cs="Times New Roman"/>
                <w:b/>
                <w:bCs/>
                <w:color w:val="5B9BD5" w:themeColor="accent1"/>
                <w:sz w:val="24"/>
                <w:szCs w:val="24"/>
                <w:lang w:eastAsia="sk-SK"/>
              </w:rPr>
              <w:t>hotovostného plnenia ŠR</w:t>
            </w:r>
          </w:p>
        </w:tc>
      </w:tr>
      <w:tr w:rsidR="001F4D7C" w:rsidRPr="001F4D7C" w14:paraId="7688A9AB" w14:textId="77777777" w:rsidTr="0070573A">
        <w:trPr>
          <w:jc w:val="center"/>
        </w:trPr>
        <w:tc>
          <w:tcPr>
            <w:tcW w:w="1169" w:type="dxa"/>
            <w:vAlign w:val="center"/>
          </w:tcPr>
          <w:p w14:paraId="2665238F" w14:textId="74C0E316" w:rsidR="001F4D7C" w:rsidRPr="00592DD4" w:rsidRDefault="001F4D7C" w:rsidP="001F4D7C">
            <w:pPr>
              <w:spacing w:after="0" w:line="240" w:lineRule="auto"/>
              <w:rPr>
                <w:rFonts w:cs="Times New Roman"/>
              </w:rPr>
            </w:pPr>
            <w:r w:rsidRPr="00592DD4">
              <w:rPr>
                <w:rFonts w:cs="Times New Roman"/>
              </w:rPr>
              <w:t xml:space="preserve">Tab. č. 1   </w:t>
            </w:r>
          </w:p>
        </w:tc>
        <w:tc>
          <w:tcPr>
            <w:tcW w:w="8080" w:type="dxa"/>
            <w:vAlign w:val="center"/>
          </w:tcPr>
          <w:p w14:paraId="1111E4F1" w14:textId="42EC1FF6" w:rsidR="001F4D7C" w:rsidRPr="00592DD4" w:rsidRDefault="001F4D7C" w:rsidP="00B600C1">
            <w:pPr>
              <w:spacing w:after="0" w:line="240" w:lineRule="auto"/>
              <w:rPr>
                <w:rFonts w:cs="Times New Roman"/>
              </w:rPr>
            </w:pPr>
            <w:r w:rsidRPr="00592DD4">
              <w:rPr>
                <w:rFonts w:cs="Times New Roman"/>
              </w:rPr>
              <w:t>Bilancia príjmov a výdavkov štátneho rozpočtu za rok 202</w:t>
            </w:r>
            <w:r w:rsidR="00B600C1">
              <w:rPr>
                <w:rFonts w:cs="Times New Roman"/>
              </w:rPr>
              <w:t>3</w:t>
            </w:r>
          </w:p>
        </w:tc>
      </w:tr>
      <w:tr w:rsidR="001F4D7C" w:rsidRPr="001F4D7C" w14:paraId="0D065963" w14:textId="77777777" w:rsidTr="0070573A">
        <w:trPr>
          <w:jc w:val="center"/>
        </w:trPr>
        <w:tc>
          <w:tcPr>
            <w:tcW w:w="1169" w:type="dxa"/>
            <w:vAlign w:val="center"/>
          </w:tcPr>
          <w:p w14:paraId="73E20732" w14:textId="4A54324B" w:rsidR="001F4D7C" w:rsidRPr="00592DD4" w:rsidRDefault="001F4D7C" w:rsidP="001F4D7C">
            <w:pPr>
              <w:spacing w:after="0" w:line="240" w:lineRule="auto"/>
              <w:rPr>
                <w:rFonts w:cs="Times New Roman"/>
              </w:rPr>
            </w:pPr>
            <w:r w:rsidRPr="00592DD4">
              <w:rPr>
                <w:rFonts w:cs="Times New Roman"/>
              </w:rPr>
              <w:t xml:space="preserve">Tab. č. 2   </w:t>
            </w:r>
          </w:p>
        </w:tc>
        <w:tc>
          <w:tcPr>
            <w:tcW w:w="8080" w:type="dxa"/>
            <w:vAlign w:val="center"/>
          </w:tcPr>
          <w:p w14:paraId="413AEF97" w14:textId="2CDCC450" w:rsidR="001F4D7C" w:rsidRPr="00592DD4" w:rsidRDefault="001F4D7C" w:rsidP="00B600C1">
            <w:pPr>
              <w:spacing w:after="0" w:line="240" w:lineRule="auto"/>
              <w:rPr>
                <w:rFonts w:cs="Times New Roman"/>
              </w:rPr>
            </w:pPr>
            <w:r w:rsidRPr="00592DD4">
              <w:rPr>
                <w:rFonts w:cs="Times New Roman"/>
              </w:rPr>
              <w:t>Daňové príj</w:t>
            </w:r>
            <w:r w:rsidR="00A21287">
              <w:rPr>
                <w:rFonts w:cs="Times New Roman"/>
              </w:rPr>
              <w:t xml:space="preserve">my štátneho rozpočtu za rok </w:t>
            </w:r>
            <w:r w:rsidR="00DF1C0F">
              <w:rPr>
                <w:rFonts w:cs="Times New Roman"/>
              </w:rPr>
              <w:t>202</w:t>
            </w:r>
            <w:r w:rsidR="00B600C1">
              <w:rPr>
                <w:rFonts w:cs="Times New Roman"/>
              </w:rPr>
              <w:t>3</w:t>
            </w:r>
          </w:p>
        </w:tc>
      </w:tr>
      <w:tr w:rsidR="001F4D7C" w:rsidRPr="001F4D7C" w14:paraId="6836AFB5" w14:textId="77777777" w:rsidTr="0070573A">
        <w:trPr>
          <w:jc w:val="center"/>
        </w:trPr>
        <w:tc>
          <w:tcPr>
            <w:tcW w:w="1169" w:type="dxa"/>
            <w:vAlign w:val="center"/>
          </w:tcPr>
          <w:p w14:paraId="479FE329" w14:textId="59D3103F" w:rsidR="001F4D7C" w:rsidRPr="00592DD4" w:rsidRDefault="001F4D7C" w:rsidP="001F4D7C">
            <w:pPr>
              <w:spacing w:after="0" w:line="240" w:lineRule="auto"/>
              <w:rPr>
                <w:rFonts w:cs="Times New Roman"/>
              </w:rPr>
            </w:pPr>
            <w:r w:rsidRPr="00592DD4">
              <w:rPr>
                <w:rFonts w:cs="Times New Roman"/>
              </w:rPr>
              <w:t xml:space="preserve">Tab. č. 3   </w:t>
            </w:r>
          </w:p>
        </w:tc>
        <w:tc>
          <w:tcPr>
            <w:tcW w:w="8080" w:type="dxa"/>
            <w:vAlign w:val="center"/>
          </w:tcPr>
          <w:p w14:paraId="5BDA7E93" w14:textId="191B4C49" w:rsidR="001F4D7C" w:rsidRPr="00592DD4" w:rsidRDefault="001F4D7C" w:rsidP="00B600C1">
            <w:pPr>
              <w:spacing w:after="0" w:line="240" w:lineRule="auto"/>
              <w:rPr>
                <w:rFonts w:cs="Times New Roman"/>
              </w:rPr>
            </w:pPr>
            <w:r w:rsidRPr="00592DD4">
              <w:rPr>
                <w:rFonts w:cs="Times New Roman"/>
              </w:rPr>
              <w:t>Nedaňové príjmy štátneho rozpočtu</w:t>
            </w:r>
            <w:r w:rsidR="00A21287">
              <w:rPr>
                <w:rFonts w:cs="Times New Roman"/>
              </w:rPr>
              <w:t xml:space="preserve">, granty a transfery za rok </w:t>
            </w:r>
            <w:r w:rsidR="00DF1C0F">
              <w:rPr>
                <w:rFonts w:cs="Times New Roman"/>
              </w:rPr>
              <w:t>202</w:t>
            </w:r>
            <w:r w:rsidR="00B600C1">
              <w:rPr>
                <w:rFonts w:cs="Times New Roman"/>
              </w:rPr>
              <w:t>3</w:t>
            </w:r>
          </w:p>
        </w:tc>
      </w:tr>
      <w:tr w:rsidR="001F4D7C" w:rsidRPr="001F4D7C" w14:paraId="46B056B9" w14:textId="77777777" w:rsidTr="0070573A">
        <w:trPr>
          <w:jc w:val="center"/>
        </w:trPr>
        <w:tc>
          <w:tcPr>
            <w:tcW w:w="1169" w:type="dxa"/>
            <w:vAlign w:val="center"/>
          </w:tcPr>
          <w:p w14:paraId="14FF9896" w14:textId="0D150448" w:rsidR="001F4D7C" w:rsidRPr="00592DD4" w:rsidRDefault="001F4D7C" w:rsidP="001F4D7C">
            <w:pPr>
              <w:spacing w:after="0" w:line="240" w:lineRule="auto"/>
              <w:rPr>
                <w:rFonts w:cs="Times New Roman"/>
              </w:rPr>
            </w:pPr>
            <w:r w:rsidRPr="00592DD4">
              <w:rPr>
                <w:rFonts w:cs="Times New Roman"/>
              </w:rPr>
              <w:t xml:space="preserve">Tab. č. 4   </w:t>
            </w:r>
          </w:p>
        </w:tc>
        <w:tc>
          <w:tcPr>
            <w:tcW w:w="8080" w:type="dxa"/>
            <w:vAlign w:val="center"/>
          </w:tcPr>
          <w:p w14:paraId="2C8D6033" w14:textId="69E98D63" w:rsidR="001F4D7C" w:rsidRPr="00592DD4" w:rsidRDefault="001F4D7C" w:rsidP="00115076">
            <w:pPr>
              <w:spacing w:after="0" w:line="240" w:lineRule="auto"/>
              <w:rPr>
                <w:rFonts w:cs="Times New Roman"/>
              </w:rPr>
            </w:pPr>
            <w:r w:rsidRPr="00592DD4">
              <w:rPr>
                <w:rFonts w:cs="Times New Roman"/>
              </w:rPr>
              <w:t>Príjmy kapitol ŠR za rok 202</w:t>
            </w:r>
            <w:r w:rsidR="00115076">
              <w:rPr>
                <w:rFonts w:cs="Times New Roman"/>
              </w:rPr>
              <w:t>3</w:t>
            </w:r>
            <w:r w:rsidRPr="00592DD4">
              <w:rPr>
                <w:rFonts w:cs="Times New Roman"/>
              </w:rPr>
              <w:t xml:space="preserve"> – záväzné ukazovatele</w:t>
            </w:r>
          </w:p>
        </w:tc>
      </w:tr>
      <w:tr w:rsidR="001F4D7C" w:rsidRPr="001F4D7C" w14:paraId="606A8ED4" w14:textId="77777777" w:rsidTr="0070573A">
        <w:trPr>
          <w:jc w:val="center"/>
        </w:trPr>
        <w:tc>
          <w:tcPr>
            <w:tcW w:w="1169" w:type="dxa"/>
            <w:vAlign w:val="center"/>
          </w:tcPr>
          <w:p w14:paraId="75FBDB02" w14:textId="7A5204A9" w:rsidR="001F4D7C" w:rsidRPr="00E42AD5" w:rsidRDefault="001F4D7C" w:rsidP="001F4D7C">
            <w:pPr>
              <w:spacing w:after="0" w:line="240" w:lineRule="auto"/>
              <w:rPr>
                <w:rFonts w:cs="Times New Roman"/>
              </w:rPr>
            </w:pPr>
            <w:r w:rsidRPr="00E42AD5">
              <w:rPr>
                <w:rFonts w:cs="Times New Roman"/>
              </w:rPr>
              <w:t xml:space="preserve">Tab. č. 5  </w:t>
            </w:r>
          </w:p>
        </w:tc>
        <w:tc>
          <w:tcPr>
            <w:tcW w:w="8080" w:type="dxa"/>
            <w:vAlign w:val="center"/>
          </w:tcPr>
          <w:p w14:paraId="5A0DD9D4" w14:textId="386F2EE6" w:rsidR="001F4D7C" w:rsidRPr="00E42AD5" w:rsidRDefault="00E42AD5" w:rsidP="00B600C1">
            <w:pPr>
              <w:spacing w:after="0" w:line="240" w:lineRule="auto"/>
              <w:rPr>
                <w:rFonts w:cs="Times New Roman"/>
              </w:rPr>
            </w:pPr>
            <w:r w:rsidRPr="00E42AD5">
              <w:rPr>
                <w:rFonts w:cs="Times New Roman"/>
              </w:rPr>
              <w:t>Nedaňové p</w:t>
            </w:r>
            <w:r w:rsidR="001F4D7C" w:rsidRPr="00E42AD5">
              <w:rPr>
                <w:rFonts w:cs="Times New Roman"/>
              </w:rPr>
              <w:t>ríjmy št</w:t>
            </w:r>
            <w:r>
              <w:rPr>
                <w:rFonts w:cs="Times New Roman"/>
              </w:rPr>
              <w:t xml:space="preserve">átneho rozpočtu podľa </w:t>
            </w:r>
            <w:r w:rsidR="001F4D7C" w:rsidRPr="00E42AD5">
              <w:rPr>
                <w:rFonts w:cs="Times New Roman"/>
              </w:rPr>
              <w:t xml:space="preserve">kapitol ŠR za rok </w:t>
            </w:r>
            <w:r w:rsidR="00DF1C0F">
              <w:rPr>
                <w:rFonts w:cs="Times New Roman"/>
              </w:rPr>
              <w:t>202</w:t>
            </w:r>
            <w:r w:rsidR="00B600C1">
              <w:rPr>
                <w:rFonts w:cs="Times New Roman"/>
              </w:rPr>
              <w:t>3</w:t>
            </w:r>
          </w:p>
        </w:tc>
      </w:tr>
      <w:tr w:rsidR="001F4D7C" w:rsidRPr="001F4D7C" w14:paraId="47965FF3" w14:textId="77777777" w:rsidTr="0070573A">
        <w:trPr>
          <w:jc w:val="center"/>
        </w:trPr>
        <w:tc>
          <w:tcPr>
            <w:tcW w:w="1169" w:type="dxa"/>
            <w:vAlign w:val="center"/>
          </w:tcPr>
          <w:p w14:paraId="72F63BAC" w14:textId="120A04BD" w:rsidR="001F4D7C" w:rsidRPr="00592DD4" w:rsidRDefault="001F4D7C" w:rsidP="00592DD4">
            <w:pPr>
              <w:spacing w:after="0" w:line="240" w:lineRule="auto"/>
              <w:rPr>
                <w:rFonts w:cs="Times New Roman"/>
              </w:rPr>
            </w:pPr>
            <w:r w:rsidRPr="00592DD4">
              <w:rPr>
                <w:rFonts w:cs="Times New Roman"/>
              </w:rPr>
              <w:t xml:space="preserve">Tab. č. 6   </w:t>
            </w:r>
          </w:p>
        </w:tc>
        <w:tc>
          <w:tcPr>
            <w:tcW w:w="8080" w:type="dxa"/>
            <w:vAlign w:val="center"/>
          </w:tcPr>
          <w:p w14:paraId="6B5C1B76" w14:textId="5122254A" w:rsidR="001F4D7C" w:rsidRPr="00592DD4" w:rsidRDefault="001F4D7C" w:rsidP="00B600C1">
            <w:pPr>
              <w:spacing w:after="0" w:line="240" w:lineRule="auto"/>
              <w:rPr>
                <w:rFonts w:cs="Times New Roman"/>
              </w:rPr>
            </w:pPr>
            <w:r w:rsidRPr="00592DD4">
              <w:rPr>
                <w:rFonts w:cs="Times New Roman"/>
                <w:bCs/>
                <w:lang w:eastAsia="sk-SK"/>
              </w:rPr>
              <w:t xml:space="preserve">Príjmy štátneho rozpočtu podľa zdrojov v roku </w:t>
            </w:r>
            <w:r w:rsidR="00DF1C0F">
              <w:rPr>
                <w:rFonts w:cs="Times New Roman"/>
              </w:rPr>
              <w:t>202</w:t>
            </w:r>
            <w:r w:rsidR="00B600C1">
              <w:rPr>
                <w:rFonts w:cs="Times New Roman"/>
              </w:rPr>
              <w:t>3</w:t>
            </w:r>
          </w:p>
        </w:tc>
      </w:tr>
      <w:tr w:rsidR="001F4D7C" w:rsidRPr="001F4D7C" w14:paraId="4FE23A54" w14:textId="77777777" w:rsidTr="0070573A">
        <w:trPr>
          <w:jc w:val="center"/>
        </w:trPr>
        <w:tc>
          <w:tcPr>
            <w:tcW w:w="1169" w:type="dxa"/>
            <w:vAlign w:val="center"/>
          </w:tcPr>
          <w:p w14:paraId="6EEBBE46" w14:textId="61F1BDC4" w:rsidR="001F4D7C" w:rsidRPr="00592DD4" w:rsidRDefault="001F4D7C" w:rsidP="00592DD4">
            <w:pPr>
              <w:spacing w:after="0" w:line="240" w:lineRule="auto"/>
              <w:rPr>
                <w:rFonts w:cs="Times New Roman"/>
              </w:rPr>
            </w:pPr>
            <w:r w:rsidRPr="00592DD4">
              <w:rPr>
                <w:rFonts w:cs="Times New Roman"/>
              </w:rPr>
              <w:t xml:space="preserve">Tab. č. 7   </w:t>
            </w:r>
          </w:p>
        </w:tc>
        <w:tc>
          <w:tcPr>
            <w:tcW w:w="8080" w:type="dxa"/>
            <w:vAlign w:val="center"/>
          </w:tcPr>
          <w:p w14:paraId="64EF6AD4" w14:textId="51A04451" w:rsidR="001F4D7C" w:rsidRPr="00592DD4" w:rsidRDefault="001F4D7C" w:rsidP="00B600C1">
            <w:pPr>
              <w:spacing w:after="0" w:line="240" w:lineRule="auto"/>
              <w:rPr>
                <w:rFonts w:cs="Times New Roman"/>
              </w:rPr>
            </w:pPr>
            <w:r w:rsidRPr="00592DD4">
              <w:rPr>
                <w:rFonts w:cs="Times New Roman"/>
              </w:rPr>
              <w:t xml:space="preserve">Výdavky štátneho rozpočtu podľa kategórií a kapitol ŠR za rok </w:t>
            </w:r>
            <w:r w:rsidR="00DF1C0F">
              <w:rPr>
                <w:rFonts w:cs="Times New Roman"/>
              </w:rPr>
              <w:t>202</w:t>
            </w:r>
            <w:r w:rsidR="00B600C1">
              <w:rPr>
                <w:rFonts w:cs="Times New Roman"/>
              </w:rPr>
              <w:t>3</w:t>
            </w:r>
          </w:p>
        </w:tc>
      </w:tr>
      <w:tr w:rsidR="001F4D7C" w:rsidRPr="001F4D7C" w14:paraId="491E7CD1" w14:textId="77777777" w:rsidTr="0070573A">
        <w:trPr>
          <w:jc w:val="center"/>
        </w:trPr>
        <w:tc>
          <w:tcPr>
            <w:tcW w:w="1169" w:type="dxa"/>
            <w:vAlign w:val="center"/>
          </w:tcPr>
          <w:p w14:paraId="34E49743" w14:textId="5F8EFBEC" w:rsidR="001F4D7C" w:rsidRPr="00592DD4" w:rsidRDefault="001F4D7C" w:rsidP="001F4D7C">
            <w:pPr>
              <w:spacing w:after="0" w:line="240" w:lineRule="auto"/>
              <w:rPr>
                <w:rFonts w:cs="Times New Roman"/>
              </w:rPr>
            </w:pPr>
            <w:r w:rsidRPr="00592DD4">
              <w:rPr>
                <w:rFonts w:cs="Times New Roman"/>
              </w:rPr>
              <w:t xml:space="preserve">Tab. č. 8   </w:t>
            </w:r>
          </w:p>
        </w:tc>
        <w:tc>
          <w:tcPr>
            <w:tcW w:w="8080" w:type="dxa"/>
            <w:vAlign w:val="center"/>
          </w:tcPr>
          <w:p w14:paraId="408BAAA6" w14:textId="08F6EC1F" w:rsidR="001F4D7C" w:rsidRPr="00592DD4" w:rsidRDefault="001F4D7C" w:rsidP="00B600C1">
            <w:pPr>
              <w:spacing w:after="0" w:line="240" w:lineRule="auto"/>
              <w:rPr>
                <w:rFonts w:cs="Times New Roman"/>
              </w:rPr>
            </w:pPr>
            <w:r w:rsidRPr="00592DD4">
              <w:rPr>
                <w:rFonts w:cs="Times New Roman"/>
              </w:rPr>
              <w:t xml:space="preserve">Bežné transfery za rok </w:t>
            </w:r>
            <w:r w:rsidR="00DF1C0F">
              <w:rPr>
                <w:rFonts w:cs="Times New Roman"/>
              </w:rPr>
              <w:t>202</w:t>
            </w:r>
            <w:r w:rsidR="00B600C1">
              <w:rPr>
                <w:rFonts w:cs="Times New Roman"/>
              </w:rPr>
              <w:t>3</w:t>
            </w:r>
          </w:p>
        </w:tc>
      </w:tr>
      <w:tr w:rsidR="001F4D7C" w:rsidRPr="001F4D7C" w14:paraId="40F06226" w14:textId="77777777" w:rsidTr="0070573A">
        <w:trPr>
          <w:jc w:val="center"/>
        </w:trPr>
        <w:tc>
          <w:tcPr>
            <w:tcW w:w="1169" w:type="dxa"/>
            <w:vAlign w:val="center"/>
          </w:tcPr>
          <w:p w14:paraId="31A747F3" w14:textId="008DD9A1" w:rsidR="001F4D7C" w:rsidRPr="00592DD4" w:rsidRDefault="001F4D7C" w:rsidP="001F4D7C">
            <w:pPr>
              <w:spacing w:after="0" w:line="240" w:lineRule="auto"/>
              <w:rPr>
                <w:rFonts w:cs="Times New Roman"/>
              </w:rPr>
            </w:pPr>
            <w:r w:rsidRPr="00592DD4">
              <w:rPr>
                <w:rFonts w:cs="Times New Roman"/>
              </w:rPr>
              <w:t xml:space="preserve">Tab. č. 9   </w:t>
            </w:r>
          </w:p>
        </w:tc>
        <w:tc>
          <w:tcPr>
            <w:tcW w:w="8080" w:type="dxa"/>
            <w:vAlign w:val="center"/>
          </w:tcPr>
          <w:p w14:paraId="79800FF0" w14:textId="023FC633" w:rsidR="001F4D7C" w:rsidRPr="00592DD4" w:rsidRDefault="001F4D7C" w:rsidP="00B600C1">
            <w:pPr>
              <w:spacing w:after="0" w:line="240" w:lineRule="auto"/>
              <w:rPr>
                <w:rFonts w:cs="Times New Roman"/>
              </w:rPr>
            </w:pPr>
            <w:r w:rsidRPr="00592DD4">
              <w:rPr>
                <w:rFonts w:cs="Times New Roman"/>
              </w:rPr>
              <w:t xml:space="preserve">Kapitálové výdavky za rok </w:t>
            </w:r>
            <w:r w:rsidR="00DF1C0F">
              <w:rPr>
                <w:rFonts w:cs="Times New Roman"/>
              </w:rPr>
              <w:t>202</w:t>
            </w:r>
            <w:r w:rsidR="00B600C1">
              <w:rPr>
                <w:rFonts w:cs="Times New Roman"/>
              </w:rPr>
              <w:t>3</w:t>
            </w:r>
          </w:p>
        </w:tc>
      </w:tr>
      <w:tr w:rsidR="001F4D7C" w:rsidRPr="001F4D7C" w14:paraId="51E56324" w14:textId="77777777" w:rsidTr="0070573A">
        <w:trPr>
          <w:jc w:val="center"/>
        </w:trPr>
        <w:tc>
          <w:tcPr>
            <w:tcW w:w="1169" w:type="dxa"/>
            <w:vAlign w:val="center"/>
          </w:tcPr>
          <w:p w14:paraId="60F21E4D" w14:textId="7D6AA98F" w:rsidR="001F4D7C" w:rsidRPr="00592DD4" w:rsidRDefault="001F4D7C" w:rsidP="001F4D7C">
            <w:pPr>
              <w:spacing w:after="0" w:line="240" w:lineRule="auto"/>
              <w:rPr>
                <w:rFonts w:cs="Times New Roman"/>
              </w:rPr>
            </w:pPr>
            <w:r w:rsidRPr="00592DD4">
              <w:rPr>
                <w:rFonts w:cs="Times New Roman"/>
              </w:rPr>
              <w:t xml:space="preserve">Tab. č. 10   </w:t>
            </w:r>
          </w:p>
        </w:tc>
        <w:tc>
          <w:tcPr>
            <w:tcW w:w="8080" w:type="dxa"/>
            <w:vAlign w:val="center"/>
          </w:tcPr>
          <w:p w14:paraId="4381494A" w14:textId="2B0ACEFB" w:rsidR="001F4D7C" w:rsidRPr="00592DD4" w:rsidRDefault="001F4D7C" w:rsidP="00B600C1">
            <w:pPr>
              <w:spacing w:after="0" w:line="240" w:lineRule="auto"/>
              <w:rPr>
                <w:rFonts w:cs="Times New Roman"/>
              </w:rPr>
            </w:pPr>
            <w:r w:rsidRPr="00592DD4">
              <w:rPr>
                <w:rFonts w:cs="Times New Roman"/>
              </w:rPr>
              <w:t xml:space="preserve">Finančné operácie na samostatných účtoch štátnych rozpočtových organizácií za rok </w:t>
            </w:r>
            <w:r w:rsidR="00DF1C0F">
              <w:rPr>
                <w:rFonts w:cs="Times New Roman"/>
              </w:rPr>
              <w:t>202</w:t>
            </w:r>
            <w:r w:rsidR="00B600C1">
              <w:rPr>
                <w:rFonts w:cs="Times New Roman"/>
              </w:rPr>
              <w:t>3</w:t>
            </w:r>
          </w:p>
        </w:tc>
      </w:tr>
      <w:tr w:rsidR="001F4D7C" w:rsidRPr="001F4D7C" w14:paraId="352E5DEE" w14:textId="77777777" w:rsidTr="0070573A">
        <w:trPr>
          <w:trHeight w:val="242"/>
          <w:jc w:val="center"/>
        </w:trPr>
        <w:tc>
          <w:tcPr>
            <w:tcW w:w="1169" w:type="dxa"/>
            <w:vAlign w:val="center"/>
          </w:tcPr>
          <w:p w14:paraId="68192BF3" w14:textId="1A07A9E4" w:rsidR="001F4D7C" w:rsidRPr="00592DD4" w:rsidRDefault="00592DD4" w:rsidP="001F4D7C">
            <w:pPr>
              <w:spacing w:after="0" w:line="240" w:lineRule="auto"/>
              <w:rPr>
                <w:rFonts w:cs="Times New Roman"/>
              </w:rPr>
            </w:pPr>
            <w:r w:rsidRPr="00592DD4">
              <w:rPr>
                <w:rFonts w:cs="Times New Roman"/>
              </w:rPr>
              <w:t>Tab. č.</w:t>
            </w:r>
            <w:r w:rsidR="001F4D7C" w:rsidRPr="00592DD4">
              <w:rPr>
                <w:rFonts w:cs="Times New Roman"/>
              </w:rPr>
              <w:t xml:space="preserve"> 11  </w:t>
            </w:r>
          </w:p>
        </w:tc>
        <w:tc>
          <w:tcPr>
            <w:tcW w:w="8080" w:type="dxa"/>
            <w:vAlign w:val="center"/>
          </w:tcPr>
          <w:p w14:paraId="28B7FB3F" w14:textId="115A991C" w:rsidR="001F4D7C" w:rsidRPr="00592DD4" w:rsidRDefault="001F4D7C" w:rsidP="00B600C1">
            <w:pPr>
              <w:spacing w:after="0" w:line="240" w:lineRule="auto"/>
              <w:rPr>
                <w:rFonts w:cs="Times New Roman"/>
              </w:rPr>
            </w:pPr>
            <w:r w:rsidRPr="00592DD4">
              <w:rPr>
                <w:rFonts w:cs="Times New Roman"/>
              </w:rPr>
              <w:t xml:space="preserve">Výdavky štátneho rozpočtu podľa funkčnej klasifikácie za rok </w:t>
            </w:r>
            <w:r w:rsidR="00DF1C0F">
              <w:rPr>
                <w:rFonts w:cs="Times New Roman"/>
              </w:rPr>
              <w:t>202</w:t>
            </w:r>
            <w:r w:rsidR="00B600C1">
              <w:rPr>
                <w:rFonts w:cs="Times New Roman"/>
              </w:rPr>
              <w:t>3</w:t>
            </w:r>
          </w:p>
        </w:tc>
      </w:tr>
      <w:tr w:rsidR="001F4D7C" w:rsidRPr="001F4D7C" w14:paraId="73E4B101" w14:textId="77777777" w:rsidTr="0070573A">
        <w:trPr>
          <w:trHeight w:val="242"/>
          <w:jc w:val="center"/>
        </w:trPr>
        <w:tc>
          <w:tcPr>
            <w:tcW w:w="1169" w:type="dxa"/>
            <w:vAlign w:val="center"/>
          </w:tcPr>
          <w:p w14:paraId="4ED63639" w14:textId="201DCA87" w:rsidR="001F4D7C" w:rsidRPr="00592DD4" w:rsidRDefault="00592DD4" w:rsidP="001F4D7C">
            <w:pPr>
              <w:spacing w:after="0" w:line="240" w:lineRule="auto"/>
              <w:rPr>
                <w:rFonts w:cs="Times New Roman"/>
              </w:rPr>
            </w:pPr>
            <w:r w:rsidRPr="00592DD4">
              <w:rPr>
                <w:rFonts w:cs="Times New Roman"/>
              </w:rPr>
              <w:t>Tab. č.</w:t>
            </w:r>
            <w:r w:rsidR="001F4D7C" w:rsidRPr="00592DD4">
              <w:rPr>
                <w:rFonts w:cs="Times New Roman"/>
              </w:rPr>
              <w:t xml:space="preserve"> 12</w:t>
            </w:r>
          </w:p>
        </w:tc>
        <w:tc>
          <w:tcPr>
            <w:tcW w:w="8080" w:type="dxa"/>
            <w:vAlign w:val="center"/>
          </w:tcPr>
          <w:p w14:paraId="0AEAFC7B" w14:textId="5F864394" w:rsidR="001F4D7C" w:rsidRPr="00592DD4" w:rsidRDefault="001F4D7C" w:rsidP="00B600C1">
            <w:pPr>
              <w:spacing w:after="0" w:line="240" w:lineRule="auto"/>
              <w:rPr>
                <w:rFonts w:cs="Times New Roman"/>
              </w:rPr>
            </w:pPr>
            <w:r w:rsidRPr="00592DD4">
              <w:rPr>
                <w:rFonts w:cs="Times New Roman"/>
                <w:bCs/>
                <w:lang w:eastAsia="sk-SK"/>
              </w:rPr>
              <w:t xml:space="preserve">Výdavky štátneho rozpočtu podľa kapitol ŠR a zdrojov v roku </w:t>
            </w:r>
            <w:r w:rsidR="00DF1C0F">
              <w:rPr>
                <w:rFonts w:cs="Times New Roman"/>
              </w:rPr>
              <w:t>202</w:t>
            </w:r>
            <w:r w:rsidR="00B600C1">
              <w:rPr>
                <w:rFonts w:cs="Times New Roman"/>
              </w:rPr>
              <w:t>3</w:t>
            </w:r>
          </w:p>
        </w:tc>
      </w:tr>
      <w:tr w:rsidR="001F4D7C" w:rsidRPr="001F4D7C" w14:paraId="36D3921B" w14:textId="77777777" w:rsidTr="0070573A">
        <w:trPr>
          <w:trHeight w:val="242"/>
          <w:jc w:val="center"/>
        </w:trPr>
        <w:tc>
          <w:tcPr>
            <w:tcW w:w="1169" w:type="dxa"/>
            <w:vAlign w:val="center"/>
          </w:tcPr>
          <w:p w14:paraId="276767A7" w14:textId="44B192D5" w:rsidR="001F4D7C" w:rsidRPr="00592DD4" w:rsidRDefault="00592DD4" w:rsidP="001F4D7C">
            <w:pPr>
              <w:spacing w:after="0" w:line="240" w:lineRule="auto"/>
              <w:rPr>
                <w:rFonts w:cs="Times New Roman"/>
              </w:rPr>
            </w:pPr>
            <w:r w:rsidRPr="00592DD4">
              <w:rPr>
                <w:rFonts w:cs="Times New Roman"/>
              </w:rPr>
              <w:t>Tab. č.</w:t>
            </w:r>
            <w:r w:rsidR="001F4D7C" w:rsidRPr="00592DD4">
              <w:rPr>
                <w:rFonts w:cs="Times New Roman"/>
              </w:rPr>
              <w:t xml:space="preserve"> 13  </w:t>
            </w:r>
          </w:p>
        </w:tc>
        <w:tc>
          <w:tcPr>
            <w:tcW w:w="8080" w:type="dxa"/>
            <w:vAlign w:val="center"/>
          </w:tcPr>
          <w:p w14:paraId="450047E9" w14:textId="258229B3" w:rsidR="001F4D7C" w:rsidRPr="00592DD4" w:rsidRDefault="001F4D7C" w:rsidP="00B600C1">
            <w:pPr>
              <w:spacing w:after="0" w:line="240" w:lineRule="auto"/>
              <w:rPr>
                <w:rFonts w:cs="Times New Roman"/>
              </w:rPr>
            </w:pPr>
            <w:r w:rsidRPr="00592DD4">
              <w:rPr>
                <w:rFonts w:cs="Times New Roman"/>
              </w:rPr>
              <w:t>Výdavky štátneho rozpočtu na vedu a techn</w:t>
            </w:r>
            <w:r w:rsidR="00A21287">
              <w:rPr>
                <w:rFonts w:cs="Times New Roman"/>
              </w:rPr>
              <w:t xml:space="preserve">iku podľa kapitol ŠR za rok </w:t>
            </w:r>
            <w:r w:rsidR="00DF1C0F">
              <w:rPr>
                <w:rFonts w:cs="Times New Roman"/>
              </w:rPr>
              <w:t>202</w:t>
            </w:r>
            <w:r w:rsidR="00B600C1">
              <w:rPr>
                <w:rFonts w:cs="Times New Roman"/>
              </w:rPr>
              <w:t>3</w:t>
            </w:r>
          </w:p>
        </w:tc>
      </w:tr>
      <w:tr w:rsidR="001F4D7C" w:rsidRPr="001F4D7C" w14:paraId="370AE01F" w14:textId="77777777" w:rsidTr="0070573A">
        <w:trPr>
          <w:trHeight w:val="242"/>
          <w:jc w:val="center"/>
        </w:trPr>
        <w:tc>
          <w:tcPr>
            <w:tcW w:w="1169" w:type="dxa"/>
            <w:vAlign w:val="center"/>
          </w:tcPr>
          <w:p w14:paraId="6D98F531" w14:textId="17D1D1BD" w:rsidR="001F4D7C" w:rsidRPr="00592DD4" w:rsidRDefault="00592DD4" w:rsidP="001F4D7C">
            <w:pPr>
              <w:spacing w:after="0" w:line="240" w:lineRule="auto"/>
              <w:rPr>
                <w:rFonts w:cs="Times New Roman"/>
              </w:rPr>
            </w:pPr>
            <w:r w:rsidRPr="00592DD4">
              <w:rPr>
                <w:rFonts w:cs="Times New Roman"/>
              </w:rPr>
              <w:t>Tab. č.</w:t>
            </w:r>
            <w:r w:rsidR="001F4D7C" w:rsidRPr="00592DD4">
              <w:rPr>
                <w:rFonts w:cs="Times New Roman"/>
              </w:rPr>
              <w:t xml:space="preserve"> 14</w:t>
            </w:r>
          </w:p>
        </w:tc>
        <w:tc>
          <w:tcPr>
            <w:tcW w:w="8080" w:type="dxa"/>
            <w:vAlign w:val="center"/>
          </w:tcPr>
          <w:p w14:paraId="20033B69" w14:textId="35A45B7D" w:rsidR="001F4D7C" w:rsidRPr="00592DD4" w:rsidRDefault="001F4D7C" w:rsidP="00B600C1">
            <w:pPr>
              <w:spacing w:after="0" w:line="240" w:lineRule="auto"/>
              <w:rPr>
                <w:rFonts w:cs="Times New Roman"/>
              </w:rPr>
            </w:pPr>
            <w:r w:rsidRPr="00592DD4">
              <w:rPr>
                <w:rFonts w:cs="Times New Roman"/>
              </w:rPr>
              <w:t xml:space="preserve">Výdavky štátneho rozpočtu na vedu a techniku podľa funkčnej klasifikácie za rok </w:t>
            </w:r>
            <w:r w:rsidR="00DF1C0F">
              <w:rPr>
                <w:rFonts w:cs="Times New Roman"/>
              </w:rPr>
              <w:t>202</w:t>
            </w:r>
            <w:r w:rsidR="00B600C1">
              <w:rPr>
                <w:rFonts w:cs="Times New Roman"/>
              </w:rPr>
              <w:t>3</w:t>
            </w:r>
          </w:p>
        </w:tc>
      </w:tr>
      <w:tr w:rsidR="00E42AD5" w:rsidRPr="001F4D7C" w14:paraId="74497272" w14:textId="77777777" w:rsidTr="0070573A">
        <w:trPr>
          <w:trHeight w:val="242"/>
          <w:jc w:val="center"/>
        </w:trPr>
        <w:tc>
          <w:tcPr>
            <w:tcW w:w="1169" w:type="dxa"/>
            <w:vAlign w:val="center"/>
          </w:tcPr>
          <w:p w14:paraId="156DFDD8" w14:textId="7D77B198" w:rsidR="00E42AD5" w:rsidRPr="00592DD4" w:rsidRDefault="00E42AD5" w:rsidP="001F4D7C">
            <w:pPr>
              <w:spacing w:after="0" w:line="240" w:lineRule="auto"/>
              <w:rPr>
                <w:rFonts w:cs="Times New Roman"/>
              </w:rPr>
            </w:pPr>
            <w:r w:rsidRPr="00592DD4">
              <w:rPr>
                <w:rFonts w:cs="Times New Roman"/>
              </w:rPr>
              <w:t>Tab. č. 15</w:t>
            </w:r>
          </w:p>
        </w:tc>
        <w:tc>
          <w:tcPr>
            <w:tcW w:w="8080" w:type="dxa"/>
            <w:vAlign w:val="center"/>
          </w:tcPr>
          <w:p w14:paraId="37AFF4A7" w14:textId="7BC628D5" w:rsidR="00E42AD5" w:rsidRPr="00592DD4" w:rsidRDefault="00E42AD5" w:rsidP="00B600C1">
            <w:pPr>
              <w:spacing w:after="0" w:line="240" w:lineRule="auto"/>
              <w:rPr>
                <w:rFonts w:cs="Times New Roman"/>
              </w:rPr>
            </w:pPr>
            <w:r w:rsidRPr="00E42AD5">
              <w:rPr>
                <w:rFonts w:cs="Times New Roman"/>
              </w:rPr>
              <w:t xml:space="preserve">Čerpanie rezervy predsedu vlády SR za rok </w:t>
            </w:r>
            <w:r w:rsidR="00DF1C0F">
              <w:rPr>
                <w:rFonts w:cs="Times New Roman"/>
              </w:rPr>
              <w:t>202</w:t>
            </w:r>
            <w:r w:rsidR="00B600C1">
              <w:rPr>
                <w:rFonts w:cs="Times New Roman"/>
              </w:rPr>
              <w:t>3</w:t>
            </w:r>
          </w:p>
        </w:tc>
      </w:tr>
      <w:tr w:rsidR="001F4D7C" w:rsidRPr="001F4D7C" w14:paraId="1A5310C3" w14:textId="77777777" w:rsidTr="0070573A">
        <w:trPr>
          <w:jc w:val="center"/>
        </w:trPr>
        <w:tc>
          <w:tcPr>
            <w:tcW w:w="1169" w:type="dxa"/>
            <w:vAlign w:val="center"/>
          </w:tcPr>
          <w:p w14:paraId="3744C8D9" w14:textId="38118C78" w:rsidR="001F4D7C" w:rsidRPr="00592DD4" w:rsidRDefault="00E42AD5" w:rsidP="001F4D7C">
            <w:pPr>
              <w:spacing w:after="0" w:line="240" w:lineRule="auto"/>
              <w:rPr>
                <w:rFonts w:cs="Times New Roman"/>
              </w:rPr>
            </w:pPr>
            <w:r w:rsidRPr="00592DD4">
              <w:rPr>
                <w:rFonts w:cs="Times New Roman"/>
              </w:rPr>
              <w:t>Tab. č. 16</w:t>
            </w:r>
          </w:p>
        </w:tc>
        <w:tc>
          <w:tcPr>
            <w:tcW w:w="8080" w:type="dxa"/>
            <w:vAlign w:val="center"/>
          </w:tcPr>
          <w:p w14:paraId="64DA0086" w14:textId="08368369" w:rsidR="001F4D7C" w:rsidRPr="00592DD4" w:rsidRDefault="001F4D7C" w:rsidP="00B600C1">
            <w:pPr>
              <w:spacing w:after="0" w:line="240" w:lineRule="auto"/>
              <w:rPr>
                <w:rFonts w:cs="Times New Roman"/>
              </w:rPr>
            </w:pPr>
            <w:r w:rsidRPr="00592DD4">
              <w:rPr>
                <w:rFonts w:cs="Times New Roman"/>
              </w:rPr>
              <w:t xml:space="preserve">Prehľad výdavkov štátneho rozpočtu na </w:t>
            </w:r>
            <w:r w:rsidR="00A21287">
              <w:rPr>
                <w:rFonts w:cs="Times New Roman"/>
              </w:rPr>
              <w:t xml:space="preserve">realizáciu programov za rok </w:t>
            </w:r>
            <w:r w:rsidR="00DF1C0F">
              <w:rPr>
                <w:rFonts w:cs="Times New Roman"/>
              </w:rPr>
              <w:t>202</w:t>
            </w:r>
            <w:r w:rsidR="00B600C1">
              <w:rPr>
                <w:rFonts w:cs="Times New Roman"/>
              </w:rPr>
              <w:t>3</w:t>
            </w:r>
          </w:p>
        </w:tc>
      </w:tr>
      <w:tr w:rsidR="001F4D7C" w:rsidRPr="00E42AD5" w14:paraId="5AFDF903" w14:textId="77777777" w:rsidTr="0070573A">
        <w:trPr>
          <w:jc w:val="center"/>
        </w:trPr>
        <w:tc>
          <w:tcPr>
            <w:tcW w:w="1169" w:type="dxa"/>
          </w:tcPr>
          <w:p w14:paraId="7FB6DAE2" w14:textId="261D0BCD" w:rsidR="001F4D7C" w:rsidRPr="00592DD4" w:rsidRDefault="00E42AD5" w:rsidP="001F4D7C">
            <w:pPr>
              <w:spacing w:after="0" w:line="240" w:lineRule="auto"/>
              <w:rPr>
                <w:rFonts w:cs="Times New Roman"/>
              </w:rPr>
            </w:pPr>
            <w:r w:rsidRPr="00592DD4">
              <w:rPr>
                <w:rFonts w:cs="Times New Roman"/>
              </w:rPr>
              <w:t>Tab. č. 17</w:t>
            </w:r>
          </w:p>
        </w:tc>
        <w:tc>
          <w:tcPr>
            <w:tcW w:w="8080" w:type="dxa"/>
            <w:vAlign w:val="center"/>
          </w:tcPr>
          <w:p w14:paraId="24F80C56" w14:textId="7D8DA435" w:rsidR="001F4D7C" w:rsidRPr="00592DD4" w:rsidRDefault="001F4D7C" w:rsidP="00A21287">
            <w:pPr>
              <w:spacing w:after="0" w:line="240" w:lineRule="auto"/>
              <w:rPr>
                <w:rFonts w:cs="Times New Roman"/>
              </w:rPr>
            </w:pPr>
            <w:r w:rsidRPr="00592DD4">
              <w:rPr>
                <w:rFonts w:cs="Times New Roman"/>
              </w:rPr>
              <w:t>Prehľad príjmov a</w:t>
            </w:r>
            <w:r w:rsidR="00A21287">
              <w:rPr>
                <w:rFonts w:cs="Times New Roman"/>
              </w:rPr>
              <w:t xml:space="preserve"> </w:t>
            </w:r>
            <w:r w:rsidRPr="00592DD4">
              <w:rPr>
                <w:rFonts w:cs="Times New Roman"/>
              </w:rPr>
              <w:t>výdavkov z rozpočtu Európsk</w:t>
            </w:r>
            <w:r w:rsidR="00A21287">
              <w:rPr>
                <w:rFonts w:cs="Times New Roman"/>
              </w:rPr>
              <w:t xml:space="preserve">ej únie zaradených do príjmov a </w:t>
            </w:r>
            <w:r w:rsidRPr="00592DD4">
              <w:rPr>
                <w:rFonts w:cs="Times New Roman"/>
              </w:rPr>
              <w:t>výdavkov štátneho rozpočtu podľa kapitol ŠR</w:t>
            </w:r>
          </w:p>
        </w:tc>
      </w:tr>
      <w:tr w:rsidR="001F4D7C" w:rsidRPr="001F4D7C" w14:paraId="45750A3A" w14:textId="77777777" w:rsidTr="0070573A">
        <w:trPr>
          <w:jc w:val="center"/>
        </w:trPr>
        <w:tc>
          <w:tcPr>
            <w:tcW w:w="1169" w:type="dxa"/>
          </w:tcPr>
          <w:p w14:paraId="5C46C3A7" w14:textId="20A3DE4B" w:rsidR="001F4D7C" w:rsidRPr="00592DD4" w:rsidRDefault="00E42AD5" w:rsidP="001F4D7C">
            <w:pPr>
              <w:spacing w:after="0" w:line="240" w:lineRule="auto"/>
              <w:rPr>
                <w:rFonts w:cs="Times New Roman"/>
              </w:rPr>
            </w:pPr>
            <w:r w:rsidRPr="00592DD4">
              <w:rPr>
                <w:rFonts w:cs="Times New Roman"/>
              </w:rPr>
              <w:t>Tab. č. 18</w:t>
            </w:r>
          </w:p>
        </w:tc>
        <w:tc>
          <w:tcPr>
            <w:tcW w:w="8080" w:type="dxa"/>
            <w:vAlign w:val="center"/>
          </w:tcPr>
          <w:p w14:paraId="21CCB629" w14:textId="0D7F7599" w:rsidR="001F4D7C" w:rsidRPr="00592DD4" w:rsidRDefault="001F4D7C" w:rsidP="00AC0510">
            <w:pPr>
              <w:spacing w:after="0" w:line="240" w:lineRule="auto"/>
              <w:rPr>
                <w:rFonts w:cs="Times New Roman"/>
              </w:rPr>
            </w:pPr>
            <w:r w:rsidRPr="00592DD4">
              <w:rPr>
                <w:rFonts w:cs="Times New Roman"/>
                <w:bCs/>
                <w:lang w:eastAsia="sk-SK"/>
              </w:rPr>
              <w:t xml:space="preserve">Prostriedky </w:t>
            </w:r>
            <w:r w:rsidR="00AC0510">
              <w:rPr>
                <w:rFonts w:cs="Times New Roman"/>
                <w:bCs/>
                <w:lang w:eastAsia="sk-SK"/>
              </w:rPr>
              <w:t>ŠR</w:t>
            </w:r>
            <w:r w:rsidRPr="00592DD4">
              <w:rPr>
                <w:rFonts w:cs="Times New Roman"/>
                <w:bCs/>
                <w:lang w:eastAsia="sk-SK"/>
              </w:rPr>
              <w:t xml:space="preserve"> na financovanie spoločných programov </w:t>
            </w:r>
            <w:r w:rsidR="00AC0510">
              <w:rPr>
                <w:rFonts w:cs="Times New Roman"/>
                <w:bCs/>
                <w:lang w:eastAsia="sk-SK"/>
              </w:rPr>
              <w:t>SR</w:t>
            </w:r>
            <w:r w:rsidRPr="00592DD4">
              <w:rPr>
                <w:rFonts w:cs="Times New Roman"/>
                <w:bCs/>
                <w:lang w:eastAsia="sk-SK"/>
              </w:rPr>
              <w:t xml:space="preserve"> a EÚ podľa kapitol ŠR</w:t>
            </w:r>
          </w:p>
        </w:tc>
      </w:tr>
      <w:tr w:rsidR="001F4D7C" w:rsidRPr="001F4D7C" w14:paraId="003C4931" w14:textId="77777777" w:rsidTr="0070573A">
        <w:trPr>
          <w:jc w:val="center"/>
        </w:trPr>
        <w:tc>
          <w:tcPr>
            <w:tcW w:w="1169" w:type="dxa"/>
            <w:vAlign w:val="center"/>
          </w:tcPr>
          <w:p w14:paraId="361629EA" w14:textId="15241995" w:rsidR="001F4D7C" w:rsidRPr="00592DD4" w:rsidRDefault="00E42AD5" w:rsidP="001F4D7C">
            <w:pPr>
              <w:tabs>
                <w:tab w:val="left" w:pos="1310"/>
              </w:tabs>
              <w:spacing w:after="0" w:line="240" w:lineRule="auto"/>
              <w:ind w:right="34"/>
              <w:rPr>
                <w:rFonts w:cs="Times New Roman"/>
              </w:rPr>
            </w:pPr>
            <w:r w:rsidRPr="00592DD4">
              <w:rPr>
                <w:rFonts w:cs="Times New Roman"/>
              </w:rPr>
              <w:t>Tab. č. 19</w:t>
            </w:r>
          </w:p>
        </w:tc>
        <w:tc>
          <w:tcPr>
            <w:tcW w:w="8080" w:type="dxa"/>
            <w:vAlign w:val="center"/>
          </w:tcPr>
          <w:p w14:paraId="0B52BD7E" w14:textId="2176746D" w:rsidR="001F4D7C" w:rsidRPr="00592DD4" w:rsidRDefault="001F4D7C" w:rsidP="00B600C1">
            <w:pPr>
              <w:spacing w:after="0" w:line="240" w:lineRule="auto"/>
              <w:rPr>
                <w:rFonts w:cs="Times New Roman"/>
              </w:rPr>
            </w:pPr>
            <w:r w:rsidRPr="00592DD4">
              <w:rPr>
                <w:rFonts w:cs="Times New Roman"/>
              </w:rPr>
              <w:t xml:space="preserve">Prehľad vzťahu jednotlivých kapitol ŠR k štátnemu rozpočtu za rok </w:t>
            </w:r>
            <w:r w:rsidR="00DF1C0F">
              <w:rPr>
                <w:rFonts w:cs="Times New Roman"/>
              </w:rPr>
              <w:t>202</w:t>
            </w:r>
            <w:r w:rsidR="00B600C1">
              <w:rPr>
                <w:rFonts w:cs="Times New Roman"/>
              </w:rPr>
              <w:t>3</w:t>
            </w:r>
          </w:p>
        </w:tc>
      </w:tr>
      <w:tr w:rsidR="001F4D7C" w:rsidRPr="001F4D7C" w14:paraId="18423ED8" w14:textId="77777777" w:rsidTr="0070573A">
        <w:trPr>
          <w:jc w:val="center"/>
        </w:trPr>
        <w:tc>
          <w:tcPr>
            <w:tcW w:w="1169" w:type="dxa"/>
            <w:vAlign w:val="center"/>
          </w:tcPr>
          <w:p w14:paraId="23D09C0B" w14:textId="170B98ED" w:rsidR="001F4D7C" w:rsidRPr="00592DD4" w:rsidRDefault="0028456F" w:rsidP="0028456F">
            <w:pPr>
              <w:spacing w:after="0" w:line="240" w:lineRule="auto"/>
              <w:rPr>
                <w:rFonts w:cs="Times New Roman"/>
              </w:rPr>
            </w:pPr>
            <w:r>
              <w:rPr>
                <w:rFonts w:cs="Times New Roman"/>
              </w:rPr>
              <w:t>Tab. č. 20</w:t>
            </w:r>
          </w:p>
        </w:tc>
        <w:tc>
          <w:tcPr>
            <w:tcW w:w="8080" w:type="dxa"/>
            <w:vAlign w:val="center"/>
          </w:tcPr>
          <w:p w14:paraId="14FF112A" w14:textId="35A9101A" w:rsidR="001F4D7C" w:rsidRPr="00592DD4" w:rsidRDefault="001F4D7C" w:rsidP="00B600C1">
            <w:pPr>
              <w:spacing w:after="0" w:line="240" w:lineRule="auto"/>
              <w:rPr>
                <w:rFonts w:cs="Times New Roman"/>
              </w:rPr>
            </w:pPr>
            <w:r w:rsidRPr="00592DD4">
              <w:rPr>
                <w:rFonts w:cs="Times New Roman"/>
              </w:rPr>
              <w:t xml:space="preserve">Vývoj príjmov a výdavkov štátneho rozpočtu v rokoch </w:t>
            </w:r>
            <w:r w:rsidR="00DF1C0F">
              <w:rPr>
                <w:rFonts w:cs="Times New Roman"/>
              </w:rPr>
              <w:t>202</w:t>
            </w:r>
            <w:r w:rsidR="00B600C1">
              <w:rPr>
                <w:rFonts w:cs="Times New Roman"/>
              </w:rPr>
              <w:t>3</w:t>
            </w:r>
            <w:r w:rsidR="00A21287">
              <w:rPr>
                <w:rFonts w:cs="Times New Roman"/>
              </w:rPr>
              <w:t xml:space="preserve"> a 202</w:t>
            </w:r>
            <w:r w:rsidR="00B600C1">
              <w:rPr>
                <w:rFonts w:cs="Times New Roman"/>
              </w:rPr>
              <w:t>2</w:t>
            </w:r>
          </w:p>
        </w:tc>
      </w:tr>
      <w:tr w:rsidR="001F4D7C" w:rsidRPr="001F4D7C" w14:paraId="269AD9FB" w14:textId="77777777" w:rsidTr="0070573A">
        <w:trPr>
          <w:jc w:val="center"/>
        </w:trPr>
        <w:tc>
          <w:tcPr>
            <w:tcW w:w="1169" w:type="dxa"/>
            <w:vAlign w:val="center"/>
          </w:tcPr>
          <w:p w14:paraId="40719BFE" w14:textId="2220FFB5" w:rsidR="001F4D7C" w:rsidRPr="00592DD4" w:rsidRDefault="00E42AD5" w:rsidP="0028456F">
            <w:pPr>
              <w:spacing w:after="0" w:line="240" w:lineRule="auto"/>
              <w:rPr>
                <w:rFonts w:cs="Times New Roman"/>
              </w:rPr>
            </w:pPr>
            <w:r w:rsidRPr="00592DD4">
              <w:rPr>
                <w:rFonts w:cs="Times New Roman"/>
              </w:rPr>
              <w:t>Tab. č. 21</w:t>
            </w:r>
          </w:p>
        </w:tc>
        <w:tc>
          <w:tcPr>
            <w:tcW w:w="8080" w:type="dxa"/>
            <w:vAlign w:val="center"/>
          </w:tcPr>
          <w:p w14:paraId="617A299A" w14:textId="18E4FAD8" w:rsidR="001F4D7C" w:rsidRPr="00592DD4" w:rsidRDefault="001F4D7C" w:rsidP="00B600C1">
            <w:pPr>
              <w:spacing w:after="0" w:line="240" w:lineRule="auto"/>
              <w:rPr>
                <w:rFonts w:cs="Times New Roman"/>
              </w:rPr>
            </w:pPr>
            <w:r w:rsidRPr="00592DD4">
              <w:rPr>
                <w:rFonts w:cs="Times New Roman"/>
              </w:rPr>
              <w:t xml:space="preserve">Záväzné limity </w:t>
            </w:r>
            <w:r w:rsidR="00A21287">
              <w:rPr>
                <w:rFonts w:cs="Times New Roman"/>
              </w:rPr>
              <w:t xml:space="preserve">dotácií zo ŠR obciam za rok </w:t>
            </w:r>
            <w:r w:rsidR="00DF1C0F">
              <w:rPr>
                <w:rFonts w:cs="Times New Roman"/>
              </w:rPr>
              <w:t>202</w:t>
            </w:r>
            <w:r w:rsidR="00B600C1">
              <w:rPr>
                <w:rFonts w:cs="Times New Roman"/>
              </w:rPr>
              <w:t>3</w:t>
            </w:r>
          </w:p>
        </w:tc>
      </w:tr>
      <w:tr w:rsidR="001F4D7C" w:rsidRPr="001F4D7C" w14:paraId="702974FD" w14:textId="77777777" w:rsidTr="0070573A">
        <w:trPr>
          <w:trHeight w:val="242"/>
          <w:jc w:val="center"/>
        </w:trPr>
        <w:tc>
          <w:tcPr>
            <w:tcW w:w="1169" w:type="dxa"/>
            <w:vAlign w:val="center"/>
          </w:tcPr>
          <w:p w14:paraId="1DA92E47" w14:textId="4146BC82" w:rsidR="001F4D7C" w:rsidRPr="00592DD4" w:rsidRDefault="00E42AD5" w:rsidP="001F4D7C">
            <w:pPr>
              <w:spacing w:after="0" w:line="240" w:lineRule="auto"/>
              <w:rPr>
                <w:rFonts w:cs="Times New Roman"/>
              </w:rPr>
            </w:pPr>
            <w:r w:rsidRPr="00592DD4">
              <w:rPr>
                <w:rFonts w:cs="Times New Roman"/>
              </w:rPr>
              <w:t>Tab. č. 22</w:t>
            </w:r>
          </w:p>
        </w:tc>
        <w:tc>
          <w:tcPr>
            <w:tcW w:w="8080" w:type="dxa"/>
            <w:vAlign w:val="center"/>
          </w:tcPr>
          <w:p w14:paraId="7E612731" w14:textId="5BB72F3C" w:rsidR="001F4D7C" w:rsidRPr="00592DD4" w:rsidRDefault="001F4D7C" w:rsidP="00B600C1">
            <w:pPr>
              <w:spacing w:after="0" w:line="240" w:lineRule="auto"/>
              <w:rPr>
                <w:rFonts w:cs="Times New Roman"/>
              </w:rPr>
            </w:pPr>
            <w:r w:rsidRPr="00592DD4">
              <w:rPr>
                <w:rFonts w:cs="Times New Roman"/>
              </w:rPr>
              <w:t xml:space="preserve">Záväzné limity dotácií zo ŠR vyšším územným celkom za rok </w:t>
            </w:r>
            <w:r w:rsidR="00DF1C0F">
              <w:rPr>
                <w:rFonts w:cs="Times New Roman"/>
              </w:rPr>
              <w:t>202</w:t>
            </w:r>
            <w:r w:rsidR="00B600C1">
              <w:rPr>
                <w:rFonts w:cs="Times New Roman"/>
              </w:rPr>
              <w:t>3</w:t>
            </w:r>
          </w:p>
        </w:tc>
      </w:tr>
      <w:tr w:rsidR="001F4D7C" w:rsidRPr="001F4D7C" w14:paraId="126CDC94" w14:textId="77777777" w:rsidTr="0070573A">
        <w:trPr>
          <w:jc w:val="center"/>
        </w:trPr>
        <w:tc>
          <w:tcPr>
            <w:tcW w:w="1169" w:type="dxa"/>
            <w:vAlign w:val="center"/>
          </w:tcPr>
          <w:p w14:paraId="017A0739" w14:textId="66292DA7" w:rsidR="001F4D7C" w:rsidRPr="00592DD4" w:rsidRDefault="00E42AD5" w:rsidP="001F4D7C">
            <w:pPr>
              <w:spacing w:after="0" w:line="240" w:lineRule="auto"/>
              <w:rPr>
                <w:rFonts w:cs="Times New Roman"/>
              </w:rPr>
            </w:pPr>
            <w:r w:rsidRPr="00592DD4">
              <w:rPr>
                <w:rFonts w:cs="Times New Roman"/>
              </w:rPr>
              <w:t>Tab. č. 23</w:t>
            </w:r>
          </w:p>
        </w:tc>
        <w:tc>
          <w:tcPr>
            <w:tcW w:w="8080" w:type="dxa"/>
            <w:vAlign w:val="center"/>
          </w:tcPr>
          <w:p w14:paraId="4173CC2E" w14:textId="7EBFC8FE" w:rsidR="001F4D7C" w:rsidRPr="00592DD4" w:rsidRDefault="001F4D7C" w:rsidP="00BF476F">
            <w:pPr>
              <w:spacing w:after="0" w:line="240" w:lineRule="auto"/>
              <w:rPr>
                <w:rFonts w:cs="Times New Roman"/>
              </w:rPr>
            </w:pPr>
            <w:r w:rsidRPr="00592DD4">
              <w:rPr>
                <w:rFonts w:cs="Times New Roman"/>
              </w:rPr>
              <w:t xml:space="preserve">Prehľad o plnení limitu počtu zamestnancov, miezd, platov, služobných príjmov a ostatných osobných vyrovnaní v kapitolách ŠR za rok </w:t>
            </w:r>
            <w:r w:rsidR="00B600C1">
              <w:rPr>
                <w:rFonts w:cs="Times New Roman"/>
              </w:rPr>
              <w:t>2023</w:t>
            </w:r>
          </w:p>
        </w:tc>
      </w:tr>
      <w:tr w:rsidR="001F4D7C" w:rsidRPr="001F4D7C" w14:paraId="3C64672D" w14:textId="77777777" w:rsidTr="0070573A">
        <w:trPr>
          <w:jc w:val="center"/>
        </w:trPr>
        <w:tc>
          <w:tcPr>
            <w:tcW w:w="1169" w:type="dxa"/>
            <w:vAlign w:val="center"/>
          </w:tcPr>
          <w:p w14:paraId="7556CCDD" w14:textId="0A40EA27" w:rsidR="001F4D7C" w:rsidRPr="00592DD4" w:rsidRDefault="00E42AD5" w:rsidP="001F4D7C">
            <w:pPr>
              <w:spacing w:after="0" w:line="240" w:lineRule="auto"/>
              <w:rPr>
                <w:rFonts w:cs="Times New Roman"/>
              </w:rPr>
            </w:pPr>
            <w:r w:rsidRPr="00592DD4">
              <w:rPr>
                <w:rFonts w:cs="Times New Roman"/>
              </w:rPr>
              <w:t>Tab. č. 24</w:t>
            </w:r>
          </w:p>
        </w:tc>
        <w:tc>
          <w:tcPr>
            <w:tcW w:w="8080" w:type="dxa"/>
            <w:vAlign w:val="center"/>
          </w:tcPr>
          <w:p w14:paraId="1DFE35D8" w14:textId="72B6C03C" w:rsidR="001F4D7C" w:rsidRPr="00592DD4" w:rsidRDefault="001F4D7C" w:rsidP="00B600C1">
            <w:pPr>
              <w:spacing w:after="0" w:line="240" w:lineRule="auto"/>
              <w:rPr>
                <w:rFonts w:cs="Times New Roman"/>
              </w:rPr>
            </w:pPr>
            <w:r w:rsidRPr="00592DD4">
              <w:rPr>
                <w:rFonts w:cs="Times New Roman"/>
              </w:rPr>
              <w:t xml:space="preserve">Prehľad o čerpaní miezd, platov, služobných príjmov a ostatných osobných vyrovnaní v kapitolách ŠR za rok </w:t>
            </w:r>
            <w:r w:rsidR="00DF1C0F">
              <w:rPr>
                <w:rFonts w:cs="Times New Roman"/>
              </w:rPr>
              <w:t>202</w:t>
            </w:r>
            <w:r w:rsidR="00B600C1">
              <w:rPr>
                <w:rFonts w:cs="Times New Roman"/>
              </w:rPr>
              <w:t>3</w:t>
            </w:r>
          </w:p>
        </w:tc>
      </w:tr>
      <w:tr w:rsidR="001F4D7C" w:rsidRPr="001F4D7C" w14:paraId="14E28127" w14:textId="77777777" w:rsidTr="0070573A">
        <w:trPr>
          <w:jc w:val="center"/>
        </w:trPr>
        <w:tc>
          <w:tcPr>
            <w:tcW w:w="1169" w:type="dxa"/>
            <w:vAlign w:val="center"/>
          </w:tcPr>
          <w:p w14:paraId="72D6FCAA" w14:textId="33DAD774" w:rsidR="001F4D7C" w:rsidRPr="00592DD4" w:rsidRDefault="00E42AD5" w:rsidP="001F4D7C">
            <w:pPr>
              <w:spacing w:after="0" w:line="240" w:lineRule="auto"/>
              <w:rPr>
                <w:rFonts w:cs="Times New Roman"/>
              </w:rPr>
            </w:pPr>
            <w:r w:rsidRPr="00592DD4">
              <w:rPr>
                <w:rFonts w:cs="Times New Roman"/>
              </w:rPr>
              <w:t>Tab. č. 25</w:t>
            </w:r>
          </w:p>
        </w:tc>
        <w:tc>
          <w:tcPr>
            <w:tcW w:w="8080" w:type="dxa"/>
            <w:vAlign w:val="center"/>
          </w:tcPr>
          <w:p w14:paraId="3CA8055C" w14:textId="3D009958" w:rsidR="001F4D7C" w:rsidRPr="00592DD4" w:rsidRDefault="001F4D7C" w:rsidP="00B600C1">
            <w:pPr>
              <w:spacing w:after="0" w:line="240" w:lineRule="auto"/>
              <w:rPr>
                <w:rFonts w:cs="Times New Roman"/>
              </w:rPr>
            </w:pPr>
            <w:r w:rsidRPr="00592DD4">
              <w:rPr>
                <w:rFonts w:cs="Times New Roman"/>
              </w:rPr>
              <w:t xml:space="preserve">Systemizácia colníkov v štátnej službe za rok </w:t>
            </w:r>
            <w:r w:rsidR="00DF1C0F">
              <w:rPr>
                <w:rFonts w:cs="Times New Roman"/>
              </w:rPr>
              <w:t>202</w:t>
            </w:r>
            <w:r w:rsidR="00B600C1">
              <w:rPr>
                <w:rFonts w:cs="Times New Roman"/>
              </w:rPr>
              <w:t>3</w:t>
            </w:r>
          </w:p>
        </w:tc>
      </w:tr>
      <w:tr w:rsidR="001F4D7C" w:rsidRPr="001F4D7C" w14:paraId="57ECBBC9" w14:textId="77777777" w:rsidTr="0070573A">
        <w:trPr>
          <w:jc w:val="center"/>
        </w:trPr>
        <w:tc>
          <w:tcPr>
            <w:tcW w:w="1169" w:type="dxa"/>
            <w:vAlign w:val="center"/>
          </w:tcPr>
          <w:p w14:paraId="508169C4" w14:textId="00A613C9" w:rsidR="001F4D7C" w:rsidRPr="00592DD4" w:rsidRDefault="00E42AD5" w:rsidP="001F4D7C">
            <w:pPr>
              <w:spacing w:after="0" w:line="240" w:lineRule="auto"/>
              <w:rPr>
                <w:rFonts w:cs="Times New Roman"/>
              </w:rPr>
            </w:pPr>
            <w:r w:rsidRPr="00592DD4">
              <w:rPr>
                <w:rFonts w:cs="Times New Roman"/>
              </w:rPr>
              <w:t>Tab. č. 26</w:t>
            </w:r>
          </w:p>
        </w:tc>
        <w:tc>
          <w:tcPr>
            <w:tcW w:w="8080" w:type="dxa"/>
            <w:vAlign w:val="center"/>
          </w:tcPr>
          <w:p w14:paraId="0FC371AD" w14:textId="07FE2FD8" w:rsidR="001F4D7C" w:rsidRPr="00592DD4" w:rsidRDefault="001F4D7C" w:rsidP="00B600C1">
            <w:pPr>
              <w:spacing w:after="0" w:line="240" w:lineRule="auto"/>
              <w:rPr>
                <w:rFonts w:cs="Times New Roman"/>
              </w:rPr>
            </w:pPr>
            <w:r w:rsidRPr="00592DD4">
              <w:rPr>
                <w:rFonts w:cs="Times New Roman"/>
                <w:snapToGrid w:val="0"/>
                <w:color w:val="000000"/>
              </w:rPr>
              <w:t xml:space="preserve">Systemizácia príslušníkov Hasičského záchranného zboru a príslušníkov Horskej záchrannej služby v štátnej službe za rok </w:t>
            </w:r>
            <w:r w:rsidR="00DF1C0F">
              <w:rPr>
                <w:rFonts w:cs="Times New Roman"/>
                <w:snapToGrid w:val="0"/>
                <w:color w:val="000000"/>
              </w:rPr>
              <w:t>202</w:t>
            </w:r>
            <w:r w:rsidR="00B600C1">
              <w:rPr>
                <w:rFonts w:cs="Times New Roman"/>
                <w:snapToGrid w:val="0"/>
                <w:color w:val="000000"/>
              </w:rPr>
              <w:t>3</w:t>
            </w:r>
          </w:p>
        </w:tc>
      </w:tr>
      <w:tr w:rsidR="001F4D7C" w:rsidRPr="001F4D7C" w14:paraId="3126ED5B" w14:textId="77777777" w:rsidTr="0070573A">
        <w:trPr>
          <w:jc w:val="center"/>
        </w:trPr>
        <w:tc>
          <w:tcPr>
            <w:tcW w:w="1169" w:type="dxa"/>
            <w:vAlign w:val="center"/>
          </w:tcPr>
          <w:p w14:paraId="2FECE1DE" w14:textId="3760F0BA" w:rsidR="001F4D7C" w:rsidRPr="00592DD4" w:rsidRDefault="00E42AD5" w:rsidP="001F4D7C">
            <w:pPr>
              <w:spacing w:after="0" w:line="240" w:lineRule="auto"/>
              <w:rPr>
                <w:rFonts w:cs="Times New Roman"/>
              </w:rPr>
            </w:pPr>
            <w:r w:rsidRPr="00592DD4">
              <w:rPr>
                <w:rFonts w:cs="Times New Roman"/>
              </w:rPr>
              <w:t>Tab. č. 27</w:t>
            </w:r>
          </w:p>
        </w:tc>
        <w:tc>
          <w:tcPr>
            <w:tcW w:w="8080" w:type="dxa"/>
            <w:vAlign w:val="center"/>
          </w:tcPr>
          <w:p w14:paraId="2DA1BEF1" w14:textId="0F1369B6" w:rsidR="001F4D7C" w:rsidRPr="00592DD4" w:rsidRDefault="001F4D7C" w:rsidP="00B600C1">
            <w:pPr>
              <w:spacing w:after="0" w:line="240" w:lineRule="auto"/>
              <w:rPr>
                <w:rFonts w:cs="Times New Roman"/>
              </w:rPr>
            </w:pPr>
            <w:r w:rsidRPr="00592DD4">
              <w:rPr>
                <w:rFonts w:cs="Times New Roman"/>
              </w:rPr>
              <w:t xml:space="preserve">Systemizácia policajtov v štátnej službe za rok </w:t>
            </w:r>
            <w:r w:rsidR="00DF1C0F">
              <w:rPr>
                <w:rFonts w:cs="Times New Roman"/>
              </w:rPr>
              <w:t>202</w:t>
            </w:r>
            <w:r w:rsidR="00B600C1">
              <w:rPr>
                <w:rFonts w:cs="Times New Roman"/>
              </w:rPr>
              <w:t>3</w:t>
            </w:r>
          </w:p>
        </w:tc>
      </w:tr>
      <w:tr w:rsidR="001F4D7C" w:rsidRPr="001F4D7C" w14:paraId="0987432A" w14:textId="77777777" w:rsidTr="0070573A">
        <w:trPr>
          <w:jc w:val="center"/>
        </w:trPr>
        <w:tc>
          <w:tcPr>
            <w:tcW w:w="1169" w:type="dxa"/>
            <w:vAlign w:val="center"/>
          </w:tcPr>
          <w:p w14:paraId="3D6C92AD" w14:textId="0AF0ED2A" w:rsidR="001F4D7C" w:rsidRPr="00592DD4" w:rsidRDefault="00E42AD5" w:rsidP="001F4D7C">
            <w:pPr>
              <w:spacing w:after="0" w:line="240" w:lineRule="auto"/>
              <w:rPr>
                <w:rFonts w:cs="Times New Roman"/>
              </w:rPr>
            </w:pPr>
            <w:r w:rsidRPr="00592DD4">
              <w:rPr>
                <w:rFonts w:cs="Times New Roman"/>
              </w:rPr>
              <w:t>Tab. č. 28</w:t>
            </w:r>
          </w:p>
        </w:tc>
        <w:tc>
          <w:tcPr>
            <w:tcW w:w="8080" w:type="dxa"/>
            <w:vAlign w:val="center"/>
          </w:tcPr>
          <w:p w14:paraId="0943CFCB" w14:textId="6A987487" w:rsidR="001F4D7C" w:rsidRPr="00592DD4" w:rsidRDefault="001F4D7C" w:rsidP="00B600C1">
            <w:pPr>
              <w:spacing w:after="0" w:line="240" w:lineRule="auto"/>
              <w:rPr>
                <w:rFonts w:cs="Times New Roman"/>
              </w:rPr>
            </w:pPr>
            <w:r w:rsidRPr="00592DD4">
              <w:rPr>
                <w:rFonts w:cs="Times New Roman"/>
              </w:rPr>
              <w:t xml:space="preserve">Systemizácia profesionálnych vojakov v štátnej službe za rok </w:t>
            </w:r>
            <w:r w:rsidR="00DF1C0F">
              <w:rPr>
                <w:rFonts w:cs="Times New Roman"/>
              </w:rPr>
              <w:t>202</w:t>
            </w:r>
            <w:r w:rsidR="00B600C1">
              <w:rPr>
                <w:rFonts w:cs="Times New Roman"/>
              </w:rPr>
              <w:t>3</w:t>
            </w:r>
          </w:p>
        </w:tc>
      </w:tr>
      <w:tr w:rsidR="001F4D7C" w:rsidRPr="001F4D7C" w14:paraId="181E65F6" w14:textId="77777777" w:rsidTr="0070573A">
        <w:trPr>
          <w:jc w:val="center"/>
        </w:trPr>
        <w:tc>
          <w:tcPr>
            <w:tcW w:w="1169" w:type="dxa"/>
            <w:vAlign w:val="center"/>
          </w:tcPr>
          <w:p w14:paraId="25286060" w14:textId="63DBBE0D" w:rsidR="001F4D7C" w:rsidRPr="00592DD4" w:rsidRDefault="00E42AD5" w:rsidP="001F4D7C">
            <w:pPr>
              <w:spacing w:after="0" w:line="240" w:lineRule="auto"/>
              <w:rPr>
                <w:rFonts w:cs="Times New Roman"/>
              </w:rPr>
            </w:pPr>
            <w:r w:rsidRPr="00592DD4">
              <w:rPr>
                <w:rFonts w:cs="Times New Roman"/>
              </w:rPr>
              <w:t>Tab. č. 29</w:t>
            </w:r>
          </w:p>
        </w:tc>
        <w:tc>
          <w:tcPr>
            <w:tcW w:w="8080" w:type="dxa"/>
            <w:vAlign w:val="center"/>
          </w:tcPr>
          <w:p w14:paraId="19060C9B" w14:textId="6B85B917" w:rsidR="001F4D7C" w:rsidRPr="00592DD4" w:rsidRDefault="001F4D7C" w:rsidP="00B600C1">
            <w:pPr>
              <w:spacing w:after="0" w:line="240" w:lineRule="auto"/>
              <w:rPr>
                <w:rFonts w:cs="Times New Roman"/>
              </w:rPr>
            </w:pPr>
            <w:r w:rsidRPr="00592DD4">
              <w:rPr>
                <w:rFonts w:cs="Times New Roman"/>
              </w:rPr>
              <w:t xml:space="preserve">Príjmy štátnych príspevkových organizácií podľa kategórií a kapitol ŠR za rok </w:t>
            </w:r>
            <w:r w:rsidR="00DF1C0F">
              <w:rPr>
                <w:rFonts w:cs="Times New Roman"/>
              </w:rPr>
              <w:t>202</w:t>
            </w:r>
            <w:r w:rsidR="00B600C1">
              <w:rPr>
                <w:rFonts w:cs="Times New Roman"/>
              </w:rPr>
              <w:t>3</w:t>
            </w:r>
          </w:p>
        </w:tc>
      </w:tr>
      <w:tr w:rsidR="001F4D7C" w:rsidRPr="001F4D7C" w14:paraId="0D2A80C5" w14:textId="77777777" w:rsidTr="0070573A">
        <w:trPr>
          <w:jc w:val="center"/>
        </w:trPr>
        <w:tc>
          <w:tcPr>
            <w:tcW w:w="1169" w:type="dxa"/>
            <w:vAlign w:val="center"/>
          </w:tcPr>
          <w:p w14:paraId="613A4510" w14:textId="4C1C9104" w:rsidR="001F4D7C" w:rsidRPr="00592DD4" w:rsidRDefault="00E42AD5" w:rsidP="001F4D7C">
            <w:pPr>
              <w:spacing w:after="0" w:line="240" w:lineRule="auto"/>
              <w:rPr>
                <w:rFonts w:cs="Times New Roman"/>
              </w:rPr>
            </w:pPr>
            <w:r w:rsidRPr="00592DD4">
              <w:rPr>
                <w:rFonts w:cs="Times New Roman"/>
              </w:rPr>
              <w:t>Tab. č. 30</w:t>
            </w:r>
          </w:p>
        </w:tc>
        <w:tc>
          <w:tcPr>
            <w:tcW w:w="8080" w:type="dxa"/>
            <w:vAlign w:val="center"/>
          </w:tcPr>
          <w:p w14:paraId="13786795" w14:textId="4448173A" w:rsidR="001F4D7C" w:rsidRPr="00592DD4" w:rsidRDefault="001F4D7C" w:rsidP="00B600C1">
            <w:pPr>
              <w:spacing w:after="0" w:line="240" w:lineRule="auto"/>
              <w:rPr>
                <w:rFonts w:cs="Times New Roman"/>
              </w:rPr>
            </w:pPr>
            <w:r w:rsidRPr="00592DD4">
              <w:rPr>
                <w:rFonts w:cs="Times New Roman"/>
              </w:rPr>
              <w:t xml:space="preserve">Výdavky štátnych príspevkových organizácií podľa kategórií a kapitol ŠR za rok </w:t>
            </w:r>
            <w:r w:rsidR="00DF1C0F">
              <w:rPr>
                <w:rFonts w:cs="Times New Roman"/>
              </w:rPr>
              <w:t>202</w:t>
            </w:r>
            <w:r w:rsidR="00B600C1">
              <w:rPr>
                <w:rFonts w:cs="Times New Roman"/>
              </w:rPr>
              <w:t>3</w:t>
            </w:r>
          </w:p>
        </w:tc>
      </w:tr>
      <w:tr w:rsidR="001F4D7C" w:rsidRPr="001F4D7C" w14:paraId="6AA2C6F3" w14:textId="77777777" w:rsidTr="0070573A">
        <w:trPr>
          <w:jc w:val="center"/>
        </w:trPr>
        <w:tc>
          <w:tcPr>
            <w:tcW w:w="1169" w:type="dxa"/>
            <w:vAlign w:val="center"/>
          </w:tcPr>
          <w:p w14:paraId="329ABD8A" w14:textId="0BDCFA0C" w:rsidR="001F4D7C" w:rsidRPr="00592DD4" w:rsidRDefault="00E42AD5" w:rsidP="001F4D7C">
            <w:pPr>
              <w:spacing w:after="0" w:line="240" w:lineRule="auto"/>
              <w:rPr>
                <w:rFonts w:cs="Times New Roman"/>
              </w:rPr>
            </w:pPr>
            <w:r w:rsidRPr="00592DD4">
              <w:rPr>
                <w:rFonts w:cs="Times New Roman"/>
              </w:rPr>
              <w:t>Tab. č. 31</w:t>
            </w:r>
          </w:p>
        </w:tc>
        <w:tc>
          <w:tcPr>
            <w:tcW w:w="8080" w:type="dxa"/>
            <w:vAlign w:val="center"/>
          </w:tcPr>
          <w:p w14:paraId="756624E8" w14:textId="7B50C933" w:rsidR="001F4D7C" w:rsidRPr="00592DD4" w:rsidRDefault="001F4D7C" w:rsidP="00B600C1">
            <w:pPr>
              <w:spacing w:after="0" w:line="240" w:lineRule="auto"/>
              <w:rPr>
                <w:rFonts w:cs="Times New Roman"/>
              </w:rPr>
            </w:pPr>
            <w:r w:rsidRPr="00592DD4">
              <w:rPr>
                <w:rFonts w:cs="Times New Roman"/>
              </w:rPr>
              <w:t xml:space="preserve">Výdavky štátnych príspevkových organizácií podľa funkčnej klasifikácie za rok </w:t>
            </w:r>
            <w:r w:rsidR="00DF1C0F">
              <w:rPr>
                <w:rFonts w:cs="Times New Roman"/>
              </w:rPr>
              <w:t>202</w:t>
            </w:r>
            <w:r w:rsidR="00B600C1">
              <w:rPr>
                <w:rFonts w:cs="Times New Roman"/>
              </w:rPr>
              <w:t>3</w:t>
            </w:r>
          </w:p>
        </w:tc>
      </w:tr>
      <w:tr w:rsidR="001F4D7C" w:rsidRPr="001F4D7C" w14:paraId="4D357078" w14:textId="77777777" w:rsidTr="0070573A">
        <w:trPr>
          <w:jc w:val="center"/>
        </w:trPr>
        <w:tc>
          <w:tcPr>
            <w:tcW w:w="1169" w:type="dxa"/>
            <w:vAlign w:val="center"/>
          </w:tcPr>
          <w:p w14:paraId="01B73D0F" w14:textId="377147A5" w:rsidR="001F4D7C" w:rsidRPr="00592DD4" w:rsidRDefault="00E42AD5" w:rsidP="001F4D7C">
            <w:pPr>
              <w:spacing w:after="0" w:line="240" w:lineRule="auto"/>
              <w:rPr>
                <w:rFonts w:cs="Times New Roman"/>
              </w:rPr>
            </w:pPr>
            <w:r>
              <w:rPr>
                <w:rFonts w:cs="Times New Roman"/>
              </w:rPr>
              <w:t>Tab. č. 32</w:t>
            </w:r>
          </w:p>
        </w:tc>
        <w:tc>
          <w:tcPr>
            <w:tcW w:w="8080" w:type="dxa"/>
            <w:vAlign w:val="center"/>
          </w:tcPr>
          <w:p w14:paraId="6DAE27B0" w14:textId="31A032FF" w:rsidR="001F4D7C" w:rsidRPr="00592DD4" w:rsidRDefault="001F4D7C" w:rsidP="00B600C1">
            <w:pPr>
              <w:spacing w:after="0" w:line="240" w:lineRule="auto"/>
              <w:rPr>
                <w:rFonts w:cs="Times New Roman"/>
              </w:rPr>
            </w:pPr>
            <w:r w:rsidRPr="00592DD4">
              <w:rPr>
                <w:rFonts w:cs="Times New Roman"/>
              </w:rPr>
              <w:t xml:space="preserve">Finančné operácie štátnych príspevkových organizácií za rok </w:t>
            </w:r>
            <w:r w:rsidR="00DF1C0F">
              <w:rPr>
                <w:rFonts w:cs="Times New Roman"/>
              </w:rPr>
              <w:t>202</w:t>
            </w:r>
            <w:r w:rsidR="00B600C1">
              <w:rPr>
                <w:rFonts w:cs="Times New Roman"/>
              </w:rPr>
              <w:t>3</w:t>
            </w:r>
          </w:p>
        </w:tc>
      </w:tr>
    </w:tbl>
    <w:p w14:paraId="61FF2C44" w14:textId="77777777" w:rsidR="005F5B88" w:rsidRPr="005F5B88" w:rsidRDefault="005F5B88" w:rsidP="005F5B88"/>
    <w:p w14:paraId="155213CF" w14:textId="77777777" w:rsidR="005F5B88" w:rsidRDefault="005F5B88" w:rsidP="005F5B88"/>
    <w:p w14:paraId="08CE9D48" w14:textId="77777777" w:rsidR="00881BDB" w:rsidRDefault="00881BDB" w:rsidP="005F5B88"/>
    <w:p w14:paraId="797485A8" w14:textId="77777777" w:rsidR="00881BDB" w:rsidRDefault="00881BDB" w:rsidP="005F5B88"/>
    <w:p w14:paraId="06386835" w14:textId="77777777" w:rsidR="00881BDB" w:rsidRDefault="00881BDB" w:rsidP="005F5B88"/>
    <w:p w14:paraId="3D027B91" w14:textId="77777777" w:rsidR="00881BDB" w:rsidRDefault="00881BDB" w:rsidP="005F5B88"/>
    <w:p w14:paraId="234B3A00" w14:textId="77777777" w:rsidR="00881BDB" w:rsidRDefault="00881BDB" w:rsidP="005F5B88"/>
    <w:p w14:paraId="17FCE10D" w14:textId="77777777" w:rsidR="00881BDB" w:rsidRDefault="00881BDB" w:rsidP="005F5B88"/>
    <w:p w14:paraId="5B527B66" w14:textId="77777777" w:rsidR="00881BDB" w:rsidRDefault="00881BDB" w:rsidP="005F5B88"/>
    <w:p w14:paraId="0D1EB5F5" w14:textId="77777777" w:rsidR="006F6A11" w:rsidRDefault="006F6A11"/>
    <w:sectPr w:rsidR="006F6A11" w:rsidSect="0031658D">
      <w:footerReference w:type="even" r:id="rId20"/>
      <w:footerReference w:type="default" r:id="rId21"/>
      <w:pgSz w:w="11906" w:h="16838"/>
      <w:pgMar w:top="1418" w:right="849" w:bottom="1418" w:left="1276"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C073E" w14:textId="77777777" w:rsidR="00B87DB8" w:rsidRDefault="00B87DB8" w:rsidP="00881BDB">
      <w:pPr>
        <w:spacing w:after="0" w:line="240" w:lineRule="auto"/>
      </w:pPr>
      <w:r>
        <w:separator/>
      </w:r>
    </w:p>
  </w:endnote>
  <w:endnote w:type="continuationSeparator" w:id="0">
    <w:p w14:paraId="01FE3DA5" w14:textId="77777777" w:rsidR="00B87DB8" w:rsidRDefault="00B87DB8" w:rsidP="0088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Dutch801 SWC">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EUAlbertina">
    <w:altName w:val="Times New Roman"/>
    <w:panose1 w:val="00000000000000000000"/>
    <w:charset w:val="00"/>
    <w:family w:val="roman"/>
    <w:notTrueType/>
    <w:pitch w:val="default"/>
    <w:sig w:usb0="00000003"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NeueHaasGroteskText W02">
    <w:altName w:val="Arial"/>
    <w:charset w:val="EE"/>
    <w:family w:val="swiss"/>
    <w:pitch w:val="variable"/>
    <w:sig w:usb0="800000AF" w:usb1="4000204A" w:usb2="00000000" w:usb3="00000000" w:csb0="00000093"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16811"/>
      <w:docPartObj>
        <w:docPartGallery w:val="Page Numbers (Bottom of Page)"/>
        <w:docPartUnique/>
      </w:docPartObj>
    </w:sdtPr>
    <w:sdtEndPr>
      <w:rPr>
        <w:sz w:val="20"/>
        <w:szCs w:val="20"/>
      </w:rPr>
    </w:sdtEndPr>
    <w:sdtContent>
      <w:p w14:paraId="40CDF45F" w14:textId="7ADC2BAD" w:rsidR="00B87DB8" w:rsidRPr="00CA3D7D" w:rsidRDefault="00B87DB8">
        <w:pPr>
          <w:pStyle w:val="Pta"/>
          <w:jc w:val="center"/>
          <w:rPr>
            <w:sz w:val="20"/>
            <w:szCs w:val="20"/>
          </w:rPr>
        </w:pPr>
        <w:r w:rsidRPr="00CA3D7D">
          <w:rPr>
            <w:sz w:val="20"/>
            <w:szCs w:val="20"/>
          </w:rPr>
          <w:fldChar w:fldCharType="begin"/>
        </w:r>
        <w:r w:rsidRPr="00CA3D7D">
          <w:rPr>
            <w:sz w:val="20"/>
            <w:szCs w:val="20"/>
          </w:rPr>
          <w:instrText>PAGE   \* MERGEFORMAT</w:instrText>
        </w:r>
        <w:r w:rsidRPr="00CA3D7D">
          <w:rPr>
            <w:sz w:val="20"/>
            <w:szCs w:val="20"/>
          </w:rPr>
          <w:fldChar w:fldCharType="separate"/>
        </w:r>
        <w:r w:rsidR="009C66DE">
          <w:rPr>
            <w:noProof/>
            <w:sz w:val="20"/>
            <w:szCs w:val="20"/>
          </w:rPr>
          <w:t>32</w:t>
        </w:r>
        <w:r w:rsidRPr="00CA3D7D">
          <w:rPr>
            <w:sz w:val="20"/>
            <w:szCs w:val="20"/>
          </w:rPr>
          <w:fldChar w:fldCharType="end"/>
        </w:r>
      </w:p>
    </w:sdtContent>
  </w:sdt>
  <w:p w14:paraId="598E35E0" w14:textId="77777777" w:rsidR="00B87DB8" w:rsidRDefault="00B87DB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208128"/>
      <w:docPartObj>
        <w:docPartGallery w:val="Page Numbers (Bottom of Page)"/>
        <w:docPartUnique/>
      </w:docPartObj>
    </w:sdtPr>
    <w:sdtEndPr>
      <w:rPr>
        <w:sz w:val="20"/>
        <w:szCs w:val="20"/>
      </w:rPr>
    </w:sdtEndPr>
    <w:sdtContent>
      <w:p w14:paraId="23270C04" w14:textId="2ACFC26B" w:rsidR="00B87DB8" w:rsidRPr="00CA3D7D" w:rsidRDefault="00B87DB8">
        <w:pPr>
          <w:pStyle w:val="Pta"/>
          <w:jc w:val="center"/>
          <w:rPr>
            <w:sz w:val="20"/>
            <w:szCs w:val="20"/>
          </w:rPr>
        </w:pPr>
        <w:r w:rsidRPr="00CA3D7D">
          <w:rPr>
            <w:sz w:val="20"/>
            <w:szCs w:val="20"/>
          </w:rPr>
          <w:fldChar w:fldCharType="begin"/>
        </w:r>
        <w:r w:rsidRPr="00CA3D7D">
          <w:rPr>
            <w:sz w:val="20"/>
            <w:szCs w:val="20"/>
          </w:rPr>
          <w:instrText>PAGE   \* MERGEFORMAT</w:instrText>
        </w:r>
        <w:r w:rsidRPr="00CA3D7D">
          <w:rPr>
            <w:sz w:val="20"/>
            <w:szCs w:val="20"/>
          </w:rPr>
          <w:fldChar w:fldCharType="separate"/>
        </w:r>
        <w:r w:rsidR="009C66DE">
          <w:rPr>
            <w:noProof/>
            <w:sz w:val="20"/>
            <w:szCs w:val="20"/>
          </w:rPr>
          <w:t>31</w:t>
        </w:r>
        <w:r w:rsidRPr="00CA3D7D">
          <w:rPr>
            <w:sz w:val="20"/>
            <w:szCs w:val="20"/>
          </w:rPr>
          <w:fldChar w:fldCharType="end"/>
        </w:r>
      </w:p>
    </w:sdtContent>
  </w:sdt>
  <w:p w14:paraId="2A479206" w14:textId="77777777" w:rsidR="00B87DB8" w:rsidRDefault="00B87DB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75C56" w14:textId="77777777" w:rsidR="00B87DB8" w:rsidRDefault="00B87DB8" w:rsidP="00881BDB">
      <w:pPr>
        <w:spacing w:after="0" w:line="240" w:lineRule="auto"/>
      </w:pPr>
      <w:r>
        <w:separator/>
      </w:r>
    </w:p>
  </w:footnote>
  <w:footnote w:type="continuationSeparator" w:id="0">
    <w:p w14:paraId="7AC3F84A" w14:textId="77777777" w:rsidR="00B87DB8" w:rsidRDefault="00B87DB8" w:rsidP="00881BDB">
      <w:pPr>
        <w:spacing w:after="0" w:line="240" w:lineRule="auto"/>
      </w:pPr>
      <w:r>
        <w:continuationSeparator/>
      </w:r>
    </w:p>
  </w:footnote>
  <w:footnote w:id="1">
    <w:p w14:paraId="4AB5CE02" w14:textId="77777777" w:rsidR="00B87DB8" w:rsidRPr="000918B9" w:rsidRDefault="00B87DB8" w:rsidP="009A6EBE">
      <w:pPr>
        <w:pStyle w:val="Textpoznmkypodiarou"/>
        <w:rPr>
          <w:rStyle w:val="Hypertextovprepojenie"/>
          <w:color w:val="auto"/>
          <w:sz w:val="18"/>
          <w:szCs w:val="18"/>
          <w:u w:val="none"/>
        </w:rPr>
      </w:pPr>
      <w:r>
        <w:rPr>
          <w:rStyle w:val="Odkaznapoznmkupodiarou"/>
        </w:rPr>
        <w:footnoteRef/>
      </w:r>
      <w:r>
        <w:t xml:space="preserve"> </w:t>
      </w:r>
      <w:r w:rsidRPr="000C3C49">
        <w:rPr>
          <w:sz w:val="18"/>
          <w:szCs w:val="18"/>
        </w:rPr>
        <w:t xml:space="preserve">Údaje za Slovenskú republiku boli </w:t>
      </w:r>
      <w:r w:rsidRPr="00FA796E">
        <w:rPr>
          <w:sz w:val="18"/>
          <w:szCs w:val="18"/>
        </w:rPr>
        <w:t>odoslané 28.3.2024 a následne</w:t>
      </w:r>
      <w:r w:rsidRPr="000C3C49">
        <w:rPr>
          <w:sz w:val="18"/>
          <w:szCs w:val="18"/>
        </w:rPr>
        <w:t xml:space="preserve"> notifikované zo strany </w:t>
      </w:r>
      <w:proofErr w:type="spellStart"/>
      <w:r w:rsidRPr="000C3C49">
        <w:rPr>
          <w:sz w:val="18"/>
          <w:szCs w:val="18"/>
        </w:rPr>
        <w:t>Eurostatu</w:t>
      </w:r>
      <w:proofErr w:type="spellEnd"/>
      <w:r w:rsidRPr="000C3C49">
        <w:rPr>
          <w:sz w:val="18"/>
          <w:szCs w:val="18"/>
        </w:rPr>
        <w:t xml:space="preserve">. Zverejnené výsledky sú dostupné na webovom sídle </w:t>
      </w:r>
      <w:proofErr w:type="spellStart"/>
      <w:r w:rsidRPr="000918B9">
        <w:rPr>
          <w:sz w:val="18"/>
          <w:szCs w:val="18"/>
        </w:rPr>
        <w:t>Eurostatu</w:t>
      </w:r>
      <w:proofErr w:type="spellEnd"/>
      <w:r>
        <w:rPr>
          <w:sz w:val="18"/>
          <w:szCs w:val="18"/>
        </w:rPr>
        <w:t xml:space="preserve">: </w:t>
      </w:r>
      <w:hyperlink r:id="rId1" w:history="1">
        <w:r w:rsidRPr="000918B9">
          <w:rPr>
            <w:rStyle w:val="Hypertextovprepojenie"/>
            <w:sz w:val="18"/>
            <w:szCs w:val="18"/>
          </w:rPr>
          <w:t>https://ec.europa.eu/eurostat/news/euro-indicators</w:t>
        </w:r>
      </w:hyperlink>
      <w:r w:rsidRPr="000D21DE">
        <w:t xml:space="preserve"> </w:t>
      </w:r>
      <w:r w:rsidRPr="000D21DE">
        <w:rPr>
          <w:sz w:val="18"/>
          <w:szCs w:val="18"/>
        </w:rPr>
        <w:t>(tlačová správa)</w:t>
      </w:r>
      <w:r w:rsidRPr="000918B9">
        <w:t xml:space="preserve"> a</w:t>
      </w:r>
      <w:r>
        <w:t xml:space="preserve"> </w:t>
      </w:r>
      <w:r>
        <w:rPr>
          <w:rStyle w:val="Hypertextovprepojenie"/>
          <w:sz w:val="18"/>
          <w:szCs w:val="18"/>
        </w:rPr>
        <w:t xml:space="preserve"> </w:t>
      </w:r>
      <w:hyperlink r:id="rId2" w:history="1">
        <w:r w:rsidRPr="000918B9">
          <w:rPr>
            <w:rStyle w:val="Hypertextovprepojenie"/>
            <w:sz w:val="18"/>
            <w:szCs w:val="18"/>
          </w:rPr>
          <w:t>https://ec.europa.eu/eurostat/databrowser/view/gov_10dd_edpt1/default/table?lang=en&amp;category=gov.gov_gfs10.gov_10dd</w:t>
        </w:r>
      </w:hyperlink>
      <w:r>
        <w:rPr>
          <w:rStyle w:val="Hypertextovprepojenie"/>
          <w:sz w:val="18"/>
          <w:szCs w:val="18"/>
        </w:rPr>
        <w:t xml:space="preserve"> </w:t>
      </w:r>
      <w:r w:rsidRPr="000D21DE">
        <w:t>(</w:t>
      </w:r>
      <w:r w:rsidRPr="00060101">
        <w:rPr>
          <w:sz w:val="18"/>
          <w:szCs w:val="18"/>
        </w:rPr>
        <w:t>dátová tabuľka</w:t>
      </w:r>
      <w:r w:rsidRPr="000D21DE">
        <w:t>)</w:t>
      </w:r>
    </w:p>
  </w:footnote>
  <w:footnote w:id="2">
    <w:p w14:paraId="66FBD7DF" w14:textId="1C17F816" w:rsidR="00B87DB8" w:rsidRPr="004520E6" w:rsidRDefault="00B87DB8">
      <w:pPr>
        <w:pStyle w:val="Textpoznmkypodiarou"/>
        <w:rPr>
          <w:rFonts w:cs="Times New Roman"/>
          <w:sz w:val="18"/>
          <w:szCs w:val="18"/>
        </w:rPr>
      </w:pPr>
      <w:r w:rsidRPr="004520E6">
        <w:rPr>
          <w:rStyle w:val="Odkaznapoznmkupodiarou"/>
          <w:rFonts w:cs="Times New Roman"/>
          <w:sz w:val="18"/>
          <w:szCs w:val="18"/>
        </w:rPr>
        <w:footnoteRef/>
      </w:r>
      <w:r w:rsidRPr="004520E6">
        <w:rPr>
          <w:rFonts w:cs="Times New Roman"/>
          <w:sz w:val="18"/>
          <w:szCs w:val="18"/>
        </w:rPr>
        <w:t xml:space="preserve"> Index spotrebiteľských cien (angl. </w:t>
      </w:r>
      <w:proofErr w:type="spellStart"/>
      <w:r w:rsidRPr="004520E6">
        <w:rPr>
          <w:rFonts w:cs="Times New Roman"/>
          <w:sz w:val="18"/>
          <w:szCs w:val="18"/>
        </w:rPr>
        <w:t>Consumer</w:t>
      </w:r>
      <w:proofErr w:type="spellEnd"/>
      <w:r w:rsidRPr="004520E6">
        <w:rPr>
          <w:rFonts w:cs="Times New Roman"/>
          <w:sz w:val="18"/>
          <w:szCs w:val="18"/>
        </w:rPr>
        <w:t xml:space="preserve"> </w:t>
      </w:r>
      <w:proofErr w:type="spellStart"/>
      <w:r w:rsidRPr="004520E6">
        <w:rPr>
          <w:rFonts w:cs="Times New Roman"/>
          <w:sz w:val="18"/>
          <w:szCs w:val="18"/>
        </w:rPr>
        <w:t>Price</w:t>
      </w:r>
      <w:proofErr w:type="spellEnd"/>
      <w:r w:rsidRPr="004520E6">
        <w:rPr>
          <w:rFonts w:cs="Times New Roman"/>
          <w:sz w:val="18"/>
          <w:szCs w:val="18"/>
        </w:rPr>
        <w:t xml:space="preserve"> Index, CPI) je cenový index, ktorý vyjadruje cenovú hladinu spotrebných tovarov pomocou spotrebného koša. Sleduje ceny na základe národnej metodiky. Harmonizovaný index spotrebiteľských cien (HICP – </w:t>
      </w:r>
      <w:proofErr w:type="spellStart"/>
      <w:r w:rsidRPr="004520E6">
        <w:rPr>
          <w:rFonts w:cs="Times New Roman"/>
          <w:sz w:val="18"/>
          <w:szCs w:val="18"/>
        </w:rPr>
        <w:t>Harmonized</w:t>
      </w:r>
      <w:proofErr w:type="spellEnd"/>
      <w:r w:rsidRPr="004520E6">
        <w:rPr>
          <w:rFonts w:cs="Times New Roman"/>
          <w:sz w:val="18"/>
          <w:szCs w:val="18"/>
        </w:rPr>
        <w:t xml:space="preserve"> Index of </w:t>
      </w:r>
      <w:proofErr w:type="spellStart"/>
      <w:r w:rsidRPr="004520E6">
        <w:rPr>
          <w:rFonts w:cs="Times New Roman"/>
          <w:sz w:val="18"/>
          <w:szCs w:val="18"/>
        </w:rPr>
        <w:t>Consumer</w:t>
      </w:r>
      <w:proofErr w:type="spellEnd"/>
      <w:r w:rsidRPr="004520E6">
        <w:rPr>
          <w:rFonts w:cs="Times New Roman"/>
          <w:sz w:val="18"/>
          <w:szCs w:val="18"/>
        </w:rPr>
        <w:t xml:space="preserve"> </w:t>
      </w:r>
      <w:proofErr w:type="spellStart"/>
      <w:r w:rsidRPr="004520E6">
        <w:rPr>
          <w:rFonts w:cs="Times New Roman"/>
          <w:sz w:val="18"/>
          <w:szCs w:val="18"/>
        </w:rPr>
        <w:t>Prices</w:t>
      </w:r>
      <w:proofErr w:type="spellEnd"/>
      <w:r w:rsidRPr="004520E6">
        <w:rPr>
          <w:rFonts w:cs="Times New Roman"/>
          <w:sz w:val="18"/>
          <w:szCs w:val="18"/>
        </w:rPr>
        <w:t>) sleduje vývoj spotrebiteľských cien na základe medzinárodnej harmonizovanej metodiky EÚ.</w:t>
      </w:r>
    </w:p>
  </w:footnote>
  <w:footnote w:id="3">
    <w:p w14:paraId="6DDFA1CA" w14:textId="77777777" w:rsidR="00B87DB8" w:rsidRPr="00512108" w:rsidRDefault="00B87DB8" w:rsidP="001C1318">
      <w:pPr>
        <w:pStyle w:val="Textpoznmkypodiarou"/>
        <w:rPr>
          <w:sz w:val="18"/>
          <w:szCs w:val="18"/>
        </w:rPr>
      </w:pPr>
      <w:r w:rsidRPr="00512108">
        <w:rPr>
          <w:rStyle w:val="Odkaznapoznmkupodiarou"/>
          <w:sz w:val="18"/>
          <w:szCs w:val="18"/>
        </w:rPr>
        <w:footnoteRef/>
      </w:r>
      <w:r w:rsidRPr="00512108">
        <w:rPr>
          <w:sz w:val="18"/>
          <w:szCs w:val="18"/>
        </w:rPr>
        <w:t xml:space="preserve"> Časový rad očakávaných úrovní HDP pre roky 2021 až 2024 vychádza z revidovaných údajov o HDP za rok 2020 zaslaných do jesennej notifikácie </w:t>
      </w:r>
      <w:proofErr w:type="spellStart"/>
      <w:r w:rsidRPr="00512108">
        <w:rPr>
          <w:sz w:val="18"/>
          <w:szCs w:val="18"/>
        </w:rPr>
        <w:t>Eurostatu</w:t>
      </w:r>
      <w:proofErr w:type="spellEnd"/>
      <w:r w:rsidRPr="00512108">
        <w:rPr>
          <w:sz w:val="18"/>
          <w:szCs w:val="18"/>
        </w:rPr>
        <w:t xml:space="preserve"> a prepočítaný reťazením nominálnych medziročných rastov zo septembrovej prognózy Výboru pre makroekonomické prognózy.</w:t>
      </w:r>
    </w:p>
  </w:footnote>
  <w:footnote w:id="4">
    <w:p w14:paraId="474FD00E" w14:textId="77777777" w:rsidR="00B87DB8" w:rsidRPr="00836EB5" w:rsidRDefault="00B87DB8" w:rsidP="004C6700">
      <w:pPr>
        <w:pStyle w:val="Textpoznmkypodiarou"/>
        <w:rPr>
          <w:sz w:val="18"/>
          <w:szCs w:val="18"/>
        </w:rPr>
      </w:pPr>
      <w:r w:rsidRPr="00836EB5">
        <w:rPr>
          <w:rStyle w:val="Odkaznapoznmkupodiarou"/>
          <w:sz w:val="18"/>
          <w:szCs w:val="18"/>
        </w:rPr>
        <w:footnoteRef/>
      </w:r>
      <w:r w:rsidRPr="00836EB5">
        <w:rPr>
          <w:sz w:val="18"/>
          <w:szCs w:val="18"/>
        </w:rPr>
        <w:t xml:space="preserve"> FISIM – </w:t>
      </w:r>
      <w:proofErr w:type="spellStart"/>
      <w:r w:rsidRPr="00836EB5">
        <w:rPr>
          <w:sz w:val="18"/>
          <w:szCs w:val="18"/>
        </w:rPr>
        <w:t>Financial</w:t>
      </w:r>
      <w:proofErr w:type="spellEnd"/>
      <w:r w:rsidRPr="00836EB5">
        <w:rPr>
          <w:sz w:val="18"/>
          <w:szCs w:val="18"/>
        </w:rPr>
        <w:t xml:space="preserve"> </w:t>
      </w:r>
      <w:proofErr w:type="spellStart"/>
      <w:r w:rsidRPr="00836EB5">
        <w:rPr>
          <w:sz w:val="18"/>
          <w:szCs w:val="18"/>
        </w:rPr>
        <w:t>Intermediation</w:t>
      </w:r>
      <w:proofErr w:type="spellEnd"/>
      <w:r w:rsidRPr="00836EB5">
        <w:rPr>
          <w:sz w:val="18"/>
          <w:szCs w:val="18"/>
        </w:rPr>
        <w:t xml:space="preserve"> </w:t>
      </w:r>
      <w:proofErr w:type="spellStart"/>
      <w:r w:rsidRPr="00836EB5">
        <w:rPr>
          <w:sz w:val="18"/>
          <w:szCs w:val="18"/>
        </w:rPr>
        <w:t>Services</w:t>
      </w:r>
      <w:proofErr w:type="spellEnd"/>
      <w:r w:rsidRPr="00836EB5">
        <w:rPr>
          <w:sz w:val="18"/>
          <w:szCs w:val="18"/>
        </w:rPr>
        <w:t xml:space="preserve"> </w:t>
      </w:r>
      <w:proofErr w:type="spellStart"/>
      <w:r w:rsidRPr="00836EB5">
        <w:rPr>
          <w:sz w:val="18"/>
          <w:szCs w:val="18"/>
        </w:rPr>
        <w:t>Indirectly</w:t>
      </w:r>
      <w:proofErr w:type="spellEnd"/>
      <w:r w:rsidRPr="00836EB5">
        <w:rPr>
          <w:sz w:val="18"/>
          <w:szCs w:val="18"/>
        </w:rPr>
        <w:t xml:space="preserve"> </w:t>
      </w:r>
      <w:proofErr w:type="spellStart"/>
      <w:r w:rsidRPr="00836EB5">
        <w:rPr>
          <w:sz w:val="18"/>
          <w:szCs w:val="18"/>
        </w:rPr>
        <w:t>Measured</w:t>
      </w:r>
      <w:proofErr w:type="spellEnd"/>
    </w:p>
  </w:footnote>
  <w:footnote w:id="5">
    <w:p w14:paraId="440AB967" w14:textId="77777777" w:rsidR="00B87DB8" w:rsidRPr="000C3C49" w:rsidRDefault="00B87DB8" w:rsidP="004C6700">
      <w:pPr>
        <w:pStyle w:val="Textpoznmkypodiarou"/>
        <w:rPr>
          <w:sz w:val="18"/>
          <w:szCs w:val="18"/>
        </w:rPr>
      </w:pPr>
      <w:r w:rsidRPr="000C3C49">
        <w:rPr>
          <w:rStyle w:val="Odkaznapoznmkupodiarou"/>
          <w:sz w:val="18"/>
          <w:szCs w:val="18"/>
        </w:rPr>
        <w:footnoteRef/>
      </w:r>
      <w:r w:rsidRPr="000C3C49">
        <w:rPr>
          <w:sz w:val="18"/>
          <w:szCs w:val="18"/>
        </w:rPr>
        <w:t xml:space="preserve"> Uznesením č. </w:t>
      </w:r>
      <w:r>
        <w:rPr>
          <w:sz w:val="18"/>
          <w:szCs w:val="18"/>
        </w:rPr>
        <w:t>636/2022</w:t>
      </w:r>
      <w:r w:rsidRPr="000C3C49">
        <w:rPr>
          <w:sz w:val="18"/>
          <w:szCs w:val="18"/>
        </w:rPr>
        <w:t xml:space="preserve">; </w:t>
      </w:r>
      <w:r w:rsidRPr="003E3594">
        <w:rPr>
          <w:rStyle w:val="Hypertextovprepojenie"/>
          <w:sz w:val="18"/>
          <w:szCs w:val="18"/>
        </w:rPr>
        <w:t>https://rokovania.gov.sk/RVL/Material/27710/1</w:t>
      </w:r>
    </w:p>
  </w:footnote>
  <w:footnote w:id="6">
    <w:p w14:paraId="6A778FA3" w14:textId="77777777" w:rsidR="00B87DB8" w:rsidRPr="000C3C49" w:rsidRDefault="00B87DB8" w:rsidP="004C6700">
      <w:pPr>
        <w:pStyle w:val="Textpoznmkypodiarou"/>
        <w:jc w:val="left"/>
        <w:rPr>
          <w:sz w:val="18"/>
          <w:szCs w:val="18"/>
        </w:rPr>
      </w:pPr>
      <w:r w:rsidRPr="000C3C49">
        <w:rPr>
          <w:rStyle w:val="Odkaznapoznmkupodiarou"/>
          <w:sz w:val="18"/>
          <w:szCs w:val="18"/>
        </w:rPr>
        <w:footnoteRef/>
      </w:r>
      <w:r w:rsidRPr="000C3C49">
        <w:rPr>
          <w:sz w:val="18"/>
          <w:szCs w:val="18"/>
        </w:rPr>
        <w:t xml:space="preserve"> Uzne</w:t>
      </w:r>
      <w:r>
        <w:rPr>
          <w:sz w:val="18"/>
          <w:szCs w:val="18"/>
        </w:rPr>
        <w:t>sením č. 1949/2022</w:t>
      </w:r>
      <w:r w:rsidRPr="000C3C49">
        <w:rPr>
          <w:sz w:val="18"/>
          <w:szCs w:val="18"/>
        </w:rPr>
        <w:t xml:space="preserve">; </w:t>
      </w:r>
      <w:r w:rsidRPr="00FC6A62">
        <w:rPr>
          <w:rStyle w:val="Hypertextovprepojenie"/>
          <w:sz w:val="18"/>
          <w:szCs w:val="18"/>
        </w:rPr>
        <w:t>https://www.nrsr.sk/web/Default.aspx?sid=schodze/uznesenie&amp;MasterID=14055</w:t>
      </w:r>
    </w:p>
  </w:footnote>
  <w:footnote w:id="7">
    <w:p w14:paraId="07CE5DA6" w14:textId="77777777" w:rsidR="00B87DB8" w:rsidRPr="00995C6D" w:rsidRDefault="00B87DB8" w:rsidP="004C6700">
      <w:pPr>
        <w:pStyle w:val="Textpoznmkypodiarou"/>
        <w:rPr>
          <w:sz w:val="18"/>
          <w:szCs w:val="18"/>
        </w:rPr>
      </w:pPr>
      <w:r w:rsidRPr="00926F06">
        <w:rPr>
          <w:rStyle w:val="Odkaznapoznmkupodiarou"/>
          <w:sz w:val="18"/>
          <w:szCs w:val="18"/>
        </w:rPr>
        <w:footnoteRef/>
      </w:r>
      <w:r w:rsidRPr="00926F06">
        <w:rPr>
          <w:sz w:val="18"/>
          <w:szCs w:val="18"/>
        </w:rPr>
        <w:t xml:space="preserve"> Obdobne ako v rozpočte na príslušný rok, hospodárenie jednotlivých zložiek verejnej správy sa prezentuje nekonsolidované a príjmy a výdavky celej verejnej správy na konsolidovanej báze.</w:t>
      </w:r>
    </w:p>
  </w:footnote>
  <w:footnote w:id="8">
    <w:p w14:paraId="12EB5F55" w14:textId="77777777" w:rsidR="00B87DB8" w:rsidRDefault="00B87DB8" w:rsidP="004C6700">
      <w:pPr>
        <w:pStyle w:val="Textpoznmkypodiarou"/>
      </w:pPr>
      <w:r>
        <w:rPr>
          <w:rStyle w:val="Odkaznapoznmkupodiarou"/>
        </w:rPr>
        <w:footnoteRef/>
      </w:r>
      <w:r>
        <w:t xml:space="preserve"> </w:t>
      </w:r>
      <w:r w:rsidRPr="00F233C5">
        <w:rPr>
          <w:sz w:val="18"/>
          <w:szCs w:val="18"/>
        </w:rPr>
        <w:t>69. zasadnutie Výboru pre daňové prognózy z 27. septembra 2022</w:t>
      </w:r>
    </w:p>
  </w:footnote>
  <w:footnote w:id="9">
    <w:p w14:paraId="6AB4F1EE" w14:textId="77777777" w:rsidR="00B87DB8" w:rsidRPr="00836EB5" w:rsidRDefault="00B87DB8" w:rsidP="004C6700">
      <w:pPr>
        <w:pStyle w:val="Textpoznmkypodiarou"/>
        <w:rPr>
          <w:sz w:val="18"/>
          <w:szCs w:val="18"/>
          <w:highlight w:val="yellow"/>
        </w:rPr>
      </w:pPr>
      <w:r w:rsidRPr="00836EB5">
        <w:rPr>
          <w:rStyle w:val="Odkaznapoznmkupodiarou"/>
          <w:rFonts w:eastAsiaTheme="majorEastAsia"/>
          <w:sz w:val="18"/>
          <w:szCs w:val="18"/>
        </w:rPr>
        <w:footnoteRef/>
      </w:r>
      <w:r w:rsidRPr="00836EB5">
        <w:rPr>
          <w:sz w:val="18"/>
          <w:szCs w:val="18"/>
        </w:rPr>
        <w:t xml:space="preserve"> Výnos DPFO z podnikania za rok 2023 je len odhad, pretože daňové priznania za rok 2023 sa podávajú v roku 2024 a skutočný výnos dane bude známy až na začiatku roka 2025.</w:t>
      </w:r>
    </w:p>
  </w:footnote>
  <w:footnote w:id="10">
    <w:p w14:paraId="3AB21E30" w14:textId="77777777" w:rsidR="00B87DB8" w:rsidRPr="00836EB5" w:rsidRDefault="00B87DB8" w:rsidP="004C6700">
      <w:pPr>
        <w:pStyle w:val="Textpoznmkypodiarou"/>
        <w:rPr>
          <w:color w:val="FF0000"/>
          <w:sz w:val="18"/>
          <w:szCs w:val="18"/>
          <w:highlight w:val="yellow"/>
        </w:rPr>
      </w:pPr>
      <w:r w:rsidRPr="00836EB5">
        <w:rPr>
          <w:rStyle w:val="Odkaznapoznmkupodiarou"/>
          <w:rFonts w:eastAsiaTheme="majorEastAsia"/>
          <w:sz w:val="18"/>
          <w:szCs w:val="18"/>
        </w:rPr>
        <w:footnoteRef/>
      </w:r>
      <w:r w:rsidRPr="00836EB5">
        <w:rPr>
          <w:sz w:val="18"/>
          <w:szCs w:val="18"/>
        </w:rPr>
        <w:t xml:space="preserve"> Výnos DPPO za rok 2023 je len odhad, pretože daňové priznania za rok 2023 sa podávajú v roku 2024 a skutočný výnos dane bude známy až na začiatku roka 2025.</w:t>
      </w:r>
    </w:p>
  </w:footnote>
  <w:footnote w:id="11">
    <w:p w14:paraId="5E3CF266" w14:textId="77777777" w:rsidR="00B87DB8" w:rsidRPr="00836EB5" w:rsidRDefault="00B87DB8" w:rsidP="004C6700">
      <w:pPr>
        <w:pStyle w:val="Textpoznmkypodiarou"/>
        <w:rPr>
          <w:color w:val="FF0000"/>
          <w:sz w:val="18"/>
          <w:szCs w:val="18"/>
          <w:highlight w:val="yellow"/>
        </w:rPr>
      </w:pPr>
      <w:r w:rsidRPr="00836EB5">
        <w:rPr>
          <w:rStyle w:val="Odkaznapoznmkupodiarou"/>
          <w:rFonts w:eastAsiaTheme="majorEastAsia"/>
          <w:sz w:val="18"/>
          <w:szCs w:val="18"/>
        </w:rPr>
        <w:footnoteRef/>
      </w:r>
      <w:r w:rsidRPr="00836EB5">
        <w:rPr>
          <w:sz w:val="18"/>
          <w:szCs w:val="18"/>
        </w:rPr>
        <w:t xml:space="preserve"> Výnos DPH za rok 2023 je zatiaľ predbežný odhad. Skutočnosť bude známa v apríli 2024.</w:t>
      </w:r>
    </w:p>
  </w:footnote>
  <w:footnote w:id="12">
    <w:p w14:paraId="632C2086" w14:textId="77777777" w:rsidR="00B87DB8" w:rsidRPr="00836EB5" w:rsidRDefault="00B87DB8" w:rsidP="004C6700">
      <w:pPr>
        <w:pStyle w:val="Textpoznmkypodiarou"/>
        <w:rPr>
          <w:sz w:val="18"/>
          <w:szCs w:val="18"/>
        </w:rPr>
      </w:pPr>
      <w:r w:rsidRPr="00836EB5">
        <w:rPr>
          <w:rStyle w:val="Odkaznapoznmkupodiarou"/>
          <w:sz w:val="18"/>
          <w:szCs w:val="18"/>
        </w:rPr>
        <w:footnoteRef/>
      </w:r>
      <w:r w:rsidRPr="00836EB5">
        <w:rPr>
          <w:sz w:val="18"/>
          <w:szCs w:val="18"/>
        </w:rPr>
        <w:t xml:space="preserve"> Dodávatelia energií (platitelia DPH) sú v tomto prípade poberateľmi tzv. dotácií k cenám tovarov, ktoré vstupujú do základu dane. Základ dane regulovaných dodávok energií je zo zákona tvorený platbami odberateľov, v tomto prípade domácností, za dodávky energií a kompenzáciami k cenám energií, ktoré prijímajú dodávatelia energií od MH SR, očistené o DPH. Táto dotácia od MH SR sa následne nenachádza v </w:t>
      </w:r>
      <w:proofErr w:type="spellStart"/>
      <w:r w:rsidRPr="00836EB5">
        <w:rPr>
          <w:sz w:val="18"/>
          <w:szCs w:val="18"/>
        </w:rPr>
        <w:t>makrozákladni</w:t>
      </w:r>
      <w:proofErr w:type="spellEnd"/>
      <w:r w:rsidRPr="00836EB5">
        <w:rPr>
          <w:sz w:val="18"/>
          <w:szCs w:val="18"/>
        </w:rPr>
        <w:t xml:space="preserve">, nakoľko </w:t>
      </w:r>
      <w:proofErr w:type="spellStart"/>
      <w:r w:rsidRPr="00836EB5">
        <w:rPr>
          <w:sz w:val="18"/>
          <w:szCs w:val="18"/>
        </w:rPr>
        <w:t>makrozákladňa</w:t>
      </w:r>
      <w:proofErr w:type="spellEnd"/>
      <w:r w:rsidRPr="00836EB5">
        <w:rPr>
          <w:sz w:val="18"/>
          <w:szCs w:val="18"/>
        </w:rPr>
        <w:t xml:space="preserve"> obsahuje o. i. medzispotrebu vlády a dotácia má charakter transferu.</w:t>
      </w:r>
    </w:p>
  </w:footnote>
  <w:footnote w:id="13">
    <w:p w14:paraId="2EE89CFB" w14:textId="77777777" w:rsidR="00B87DB8" w:rsidRPr="00836EB5" w:rsidRDefault="00B87DB8" w:rsidP="004C6700">
      <w:pPr>
        <w:pStyle w:val="Textpoznmkypodiarou"/>
        <w:rPr>
          <w:sz w:val="18"/>
          <w:szCs w:val="18"/>
        </w:rPr>
      </w:pPr>
      <w:r w:rsidRPr="00836EB5">
        <w:rPr>
          <w:rStyle w:val="Odkaznapoznmkupodiarou"/>
          <w:sz w:val="18"/>
          <w:szCs w:val="18"/>
        </w:rPr>
        <w:footnoteRef/>
      </w:r>
      <w:r w:rsidRPr="00836EB5">
        <w:rPr>
          <w:sz w:val="18"/>
          <w:szCs w:val="18"/>
        </w:rPr>
        <w:t xml:space="preserve"> Solidárny príspevok z činností v odvetviach ropy, zemného plynu, uhlia a rafinérií za rok 2023 je odhad, pretože daňové priznania za rok 2023 sa podávajú v roku 2024 a skutočný výnos dane bude známy v priebehu roka 2024, prípadne až na začiatku roka 2025.</w:t>
      </w:r>
    </w:p>
  </w:footnote>
  <w:footnote w:id="14">
    <w:p w14:paraId="2CDB1D08" w14:textId="6D9F76AC" w:rsidR="00B87DB8" w:rsidRPr="00836EB5" w:rsidRDefault="00B87DB8" w:rsidP="004C6700">
      <w:pPr>
        <w:pStyle w:val="Textpoznmkypodiarou"/>
        <w:rPr>
          <w:sz w:val="18"/>
          <w:szCs w:val="18"/>
        </w:rPr>
      </w:pPr>
      <w:r w:rsidRPr="00836EB5">
        <w:rPr>
          <w:rStyle w:val="Odkaznapoznmkupodiarou"/>
          <w:sz w:val="18"/>
          <w:szCs w:val="18"/>
        </w:rPr>
        <w:footnoteRef/>
      </w:r>
      <w:r w:rsidRPr="00836EB5">
        <w:rPr>
          <w:sz w:val="18"/>
          <w:szCs w:val="18"/>
        </w:rPr>
        <w:t xml:space="preserve"> V roku 2023 a 2024 zostáva výska príspevku do druhého piliera na úrovni roka 2022 vo výške 5,5</w:t>
      </w:r>
      <w:r>
        <w:rPr>
          <w:sz w:val="18"/>
          <w:szCs w:val="18"/>
        </w:rPr>
        <w:t xml:space="preserve"> </w:t>
      </w:r>
      <w:r w:rsidRPr="00836EB5">
        <w:rPr>
          <w:sz w:val="18"/>
          <w:szCs w:val="18"/>
        </w:rPr>
        <w:t>% namiesto pravidelného rastu o 0,25</w:t>
      </w:r>
      <w:r>
        <w:rPr>
          <w:sz w:val="18"/>
          <w:szCs w:val="18"/>
        </w:rPr>
        <w:t xml:space="preserve"> </w:t>
      </w:r>
      <w:r w:rsidRPr="00836EB5">
        <w:rPr>
          <w:sz w:val="18"/>
          <w:szCs w:val="18"/>
        </w:rPr>
        <w:t>%.</w:t>
      </w:r>
    </w:p>
  </w:footnote>
  <w:footnote w:id="15">
    <w:p w14:paraId="6CF57932" w14:textId="77777777" w:rsidR="00B87DB8" w:rsidRPr="00836EB5" w:rsidRDefault="00B87DB8" w:rsidP="004C6700">
      <w:pPr>
        <w:pStyle w:val="Textpoznmkypodiarou"/>
        <w:rPr>
          <w:sz w:val="18"/>
          <w:szCs w:val="18"/>
        </w:rPr>
      </w:pPr>
      <w:r w:rsidRPr="00836EB5">
        <w:rPr>
          <w:rStyle w:val="Odkaznapoznmkupodiarou"/>
          <w:sz w:val="18"/>
          <w:szCs w:val="18"/>
        </w:rPr>
        <w:footnoteRef/>
      </w:r>
      <w:r w:rsidRPr="00836EB5">
        <w:rPr>
          <w:rStyle w:val="Odkaznapoznmkupodiarou"/>
          <w:sz w:val="18"/>
          <w:szCs w:val="18"/>
        </w:rPr>
        <w:t xml:space="preserve"> </w:t>
      </w:r>
      <w:proofErr w:type="spellStart"/>
      <w:r w:rsidRPr="00836EB5">
        <w:rPr>
          <w:sz w:val="18"/>
          <w:szCs w:val="18"/>
        </w:rPr>
        <w:t>Superdividendy</w:t>
      </w:r>
      <w:proofErr w:type="spellEnd"/>
      <w:r w:rsidRPr="00836EB5">
        <w:rPr>
          <w:sz w:val="18"/>
          <w:szCs w:val="18"/>
        </w:rPr>
        <w:t xml:space="preserve"> sú dividendy, ktoré sú vysoké z pohľadu poslednej (nedávnej) výšky úrovne dividend a ziskov. </w:t>
      </w:r>
      <w:proofErr w:type="spellStart"/>
      <w:r w:rsidRPr="00836EB5">
        <w:rPr>
          <w:sz w:val="18"/>
          <w:szCs w:val="18"/>
        </w:rPr>
        <w:t>Superdividendy</w:t>
      </w:r>
      <w:proofErr w:type="spellEnd"/>
      <w:r w:rsidRPr="00836EB5">
        <w:rPr>
          <w:sz w:val="18"/>
          <w:szCs w:val="18"/>
        </w:rPr>
        <w:t xml:space="preserve"> rozdeľujú čisté bohatstvo podniku, keď znižujú vlastné zdroje podniku. Kým dividendy prináležia bežnému zisku, ktorý pochádza zo štandardných hlavných činností podniku, </w:t>
      </w:r>
      <w:proofErr w:type="spellStart"/>
      <w:r w:rsidRPr="00836EB5">
        <w:rPr>
          <w:sz w:val="18"/>
          <w:szCs w:val="18"/>
        </w:rPr>
        <w:t>superdividendy</w:t>
      </w:r>
      <w:proofErr w:type="spellEnd"/>
      <w:r w:rsidRPr="00836EB5">
        <w:rPr>
          <w:sz w:val="18"/>
          <w:szCs w:val="18"/>
        </w:rPr>
        <w:t xml:space="preserve"> prináležia iným (mimoriadnym) výnosom. Na určenie výšky </w:t>
      </w:r>
      <w:proofErr w:type="spellStart"/>
      <w:r w:rsidRPr="00836EB5">
        <w:rPr>
          <w:sz w:val="18"/>
          <w:szCs w:val="18"/>
        </w:rPr>
        <w:t>superdividend</w:t>
      </w:r>
      <w:proofErr w:type="spellEnd"/>
      <w:r w:rsidRPr="00836EB5">
        <w:rPr>
          <w:sz w:val="18"/>
          <w:szCs w:val="18"/>
        </w:rPr>
        <w:t xml:space="preserve"> sa používa tzv. </w:t>
      </w:r>
      <w:proofErr w:type="spellStart"/>
      <w:r w:rsidRPr="00836EB5">
        <w:rPr>
          <w:sz w:val="18"/>
          <w:szCs w:val="18"/>
        </w:rPr>
        <w:t>superdividendový</w:t>
      </w:r>
      <w:proofErr w:type="spellEnd"/>
      <w:r w:rsidRPr="00836EB5">
        <w:rPr>
          <w:sz w:val="18"/>
          <w:szCs w:val="18"/>
        </w:rPr>
        <w:t xml:space="preserve"> test.</w:t>
      </w:r>
    </w:p>
  </w:footnote>
  <w:footnote w:id="16">
    <w:p w14:paraId="20376356" w14:textId="77777777" w:rsidR="00B87DB8" w:rsidRDefault="00B87DB8" w:rsidP="004C6700">
      <w:pPr>
        <w:pStyle w:val="Textpoznmkypodiarou"/>
      </w:pPr>
      <w:r>
        <w:rPr>
          <w:rStyle w:val="Odkaznapoznmkupodiarou"/>
        </w:rPr>
        <w:footnoteRef/>
      </w:r>
      <w:r>
        <w:t xml:space="preserve"> </w:t>
      </w:r>
      <w:r w:rsidRPr="00A16F54">
        <w:rPr>
          <w:sz w:val="18"/>
          <w:szCs w:val="18"/>
        </w:rPr>
        <w:t>Iniciatíva SAFE - podporu zraniteľných domácností prostredníctvom kompenzácie nákladov na energie</w:t>
      </w:r>
    </w:p>
  </w:footnote>
  <w:footnote w:id="17">
    <w:p w14:paraId="07EA8A93" w14:textId="77777777" w:rsidR="00B87DB8" w:rsidRPr="00290910" w:rsidRDefault="00B87DB8" w:rsidP="004C6700">
      <w:pPr>
        <w:pStyle w:val="Textpoznmkypodiarou"/>
        <w:rPr>
          <w:sz w:val="18"/>
          <w:szCs w:val="18"/>
        </w:rPr>
      </w:pPr>
      <w:r w:rsidRPr="00290910">
        <w:rPr>
          <w:rStyle w:val="Odkaznapoznmkupodiarou"/>
          <w:sz w:val="18"/>
          <w:szCs w:val="18"/>
        </w:rPr>
        <w:footnoteRef/>
      </w:r>
      <w:r w:rsidRPr="00290910">
        <w:rPr>
          <w:sz w:val="18"/>
          <w:szCs w:val="18"/>
        </w:rPr>
        <w:t xml:space="preserve"> Systémová korekcia vzniká v dôsledku opakujúceho sa nedostatku zisteného v rámci viacerých projektov, je dôsledkom závažného nedostatku účinného fungovania systémov riadenia a kontroly, a to vrátane nestanovenia vhodných postupov.</w:t>
      </w:r>
    </w:p>
  </w:footnote>
  <w:footnote w:id="18">
    <w:p w14:paraId="4BD2E2F2" w14:textId="77777777" w:rsidR="00B87DB8" w:rsidRDefault="00B87DB8" w:rsidP="004C6700">
      <w:pPr>
        <w:pStyle w:val="Textpoznmkypodiarou"/>
      </w:pPr>
      <w:r w:rsidRPr="00290910">
        <w:rPr>
          <w:rStyle w:val="Odkaznapoznmkupodiarou"/>
          <w:sz w:val="18"/>
          <w:szCs w:val="18"/>
        </w:rPr>
        <w:footnoteRef/>
      </w:r>
      <w:r w:rsidRPr="00290910">
        <w:rPr>
          <w:sz w:val="18"/>
          <w:szCs w:val="18"/>
        </w:rPr>
        <w:t xml:space="preserve"> Individuálna nezrovnalosť je zistený nedostatok (jednorazová chyba), ktorý sa viaže k jednej operácii, resp. k jednému projektu a je nezávislý od iných chýb alebo nedostatkov v systéme riadenia a kontroly.</w:t>
      </w:r>
    </w:p>
  </w:footnote>
  <w:footnote w:id="19">
    <w:p w14:paraId="74594AEF" w14:textId="77777777" w:rsidR="00B87DB8" w:rsidRPr="00BE1B82" w:rsidRDefault="00B87DB8" w:rsidP="004C6700">
      <w:pPr>
        <w:pStyle w:val="Textpoznmkypodiarou"/>
      </w:pPr>
      <w:r w:rsidRPr="00BE1B82">
        <w:rPr>
          <w:rStyle w:val="Odkaznapoznmkupodiarou"/>
        </w:rPr>
        <w:footnoteRef/>
      </w:r>
      <w:r w:rsidRPr="00BE1B82">
        <w:t xml:space="preserve"> Od 1.1.2022 sa v zmysle zákona č. 215/2021 Z. z. o podpore v čase skrátenej práce a o zmene a doplnení niektorých zákonov začala poskytovať podpora, ktorá zabezpečuje pokrytie čiastočných nákladov zamestnávateľa na náhradu mzdy zamestnanca, ak došlo k obmedzeniu činnosti zamestnávateľa vplyvom vonkajšieho faktora. Vyplácanie tejto podpory sa realizuje prostredníctvom Ministerstva práce, sociálnych vecí a rodiny SR.</w:t>
      </w:r>
    </w:p>
  </w:footnote>
  <w:footnote w:id="20">
    <w:p w14:paraId="209C97AE" w14:textId="77777777" w:rsidR="00B87DB8" w:rsidRPr="00BE1B82" w:rsidRDefault="00B87DB8" w:rsidP="004C6700">
      <w:pPr>
        <w:pStyle w:val="Textpoznmkypodiarou"/>
      </w:pPr>
      <w:r w:rsidRPr="00BE1B82">
        <w:rPr>
          <w:rStyle w:val="Odkaznapoznmkupodiarou"/>
        </w:rPr>
        <w:footnoteRef/>
      </w:r>
      <w:r w:rsidRPr="00BE1B82">
        <w:t xml:space="preserve"> Bližší popis je uvedený v úvode kapitoly 2.2 v časti o daňových a odvodových príjmoch: „Výnos sociálnych a zdravotných odvodov“.</w:t>
      </w:r>
    </w:p>
  </w:footnote>
  <w:footnote w:id="21">
    <w:p w14:paraId="3273B492" w14:textId="77777777" w:rsidR="00B87DB8" w:rsidRPr="00BE1B82" w:rsidRDefault="00B87DB8" w:rsidP="004C6700">
      <w:pPr>
        <w:pStyle w:val="Textpoznmkypodiarou"/>
      </w:pPr>
      <w:r w:rsidRPr="00BE1B82">
        <w:rPr>
          <w:rStyle w:val="Odkaznapoznmkupodiarou"/>
        </w:rPr>
        <w:footnoteRef/>
      </w:r>
      <w:r w:rsidRPr="00BE1B82">
        <w:t xml:space="preserve"> </w:t>
      </w:r>
      <w:r w:rsidRPr="00BE1B82">
        <w:rPr>
          <w:rFonts w:cs="Times New Roman"/>
        </w:rPr>
        <w:t>Starobný dôchodok vypláca Sociálna poisťovňa vopred v pravidelných mesačných termínoch v zmysle zákona č. 461/2003 Z. z. o Sociálnom poistení v znení neskorších predpisov. V tomto prípade vplyv časovo posunutého výdavku sa týka dôchodkových dávok, ktoré Sociálna poisťovňa vypláca v decembri bežného roka, na ktoré vznikol nárok v mesiaci január nasledujúceho roka (t. j. výplatný termín pripadá na sviatok resp. víkend).</w:t>
      </w:r>
      <w:r w:rsidRPr="00BE1B82">
        <w:t>V súlade s metodikou ESA 2010 sa dôchodkové dávky časovo rozlišujú do obdobia, s ktorým vecne súvisia.</w:t>
      </w:r>
    </w:p>
  </w:footnote>
  <w:footnote w:id="22">
    <w:p w14:paraId="0578414A" w14:textId="117E59CD" w:rsidR="00B87DB8" w:rsidRPr="00BE1B82" w:rsidRDefault="00B87DB8">
      <w:pPr>
        <w:pStyle w:val="Textpoznmkypodiarou"/>
      </w:pPr>
      <w:r w:rsidRPr="00BE1B82">
        <w:rPr>
          <w:rStyle w:val="Odkaznapoznmkupodiarou"/>
        </w:rPr>
        <w:footnoteRef/>
      </w:r>
      <w:r w:rsidRPr="00BE1B82">
        <w:t xml:space="preserve"> </w:t>
      </w:r>
      <w:r w:rsidRPr="00BE1B82">
        <w:rPr>
          <w:rFonts w:cs="Times New Roman"/>
          <w:bCs/>
          <w:color w:val="222222"/>
          <w:shd w:val="clear" w:color="auto" w:fill="FFFFFF"/>
        </w:rPr>
        <w:t>Grafikon vlakovej dopravy Železníc Slovenskej republiky 2022/2023</w:t>
      </w:r>
    </w:p>
  </w:footnote>
  <w:footnote w:id="23">
    <w:p w14:paraId="5F9CAE6D" w14:textId="677C1709" w:rsidR="00B87DB8" w:rsidRDefault="00B87DB8">
      <w:pPr>
        <w:pStyle w:val="Textpoznmkypodiarou"/>
      </w:pPr>
      <w:r>
        <w:rPr>
          <w:rStyle w:val="Odkaznapoznmkupodiarou"/>
        </w:rPr>
        <w:footnoteRef/>
      </w:r>
      <w:r>
        <w:t xml:space="preserve"> Transakcie z Národného jadrového fondu do </w:t>
      </w:r>
      <w:proofErr w:type="spellStart"/>
      <w:r>
        <w:t>JAVYSu</w:t>
      </w:r>
      <w:proofErr w:type="spellEnd"/>
      <w:r>
        <w:t xml:space="preserve"> sa ponechávajú ako transfery. K vplyvu dochádza len na nekonsolidovaných účtoch, nakoľko Národný jadrový fond aj JAVYS patria do sektora verejnej správy a tieto transfery sa v rámci verejnej správy konsolidujú. </w:t>
      </w:r>
    </w:p>
  </w:footnote>
  <w:footnote w:id="24">
    <w:p w14:paraId="6B11A751" w14:textId="71C0ED7E" w:rsidR="00B87DB8" w:rsidRPr="00691349" w:rsidRDefault="00B87DB8" w:rsidP="004C6700">
      <w:pPr>
        <w:pStyle w:val="Textpoznmkypodiarou"/>
        <w:rPr>
          <w:sz w:val="18"/>
          <w:szCs w:val="18"/>
        </w:rPr>
      </w:pPr>
      <w:r w:rsidRPr="00691349">
        <w:rPr>
          <w:rStyle w:val="Odkaznapoznmkupodiarou"/>
          <w:sz w:val="18"/>
          <w:szCs w:val="18"/>
        </w:rPr>
        <w:footnoteRef/>
      </w:r>
      <w:r w:rsidRPr="00691349">
        <w:rPr>
          <w:sz w:val="18"/>
          <w:szCs w:val="18"/>
        </w:rPr>
        <w:t xml:space="preserve"> Okrem týchto vzťahov sa pri výpočte maastr</w:t>
      </w:r>
      <w:r>
        <w:rPr>
          <w:sz w:val="18"/>
          <w:szCs w:val="18"/>
        </w:rPr>
        <w:t>ichtského dlhu v rámci zložky „</w:t>
      </w:r>
      <w:r w:rsidRPr="00691349">
        <w:rPr>
          <w:sz w:val="18"/>
          <w:szCs w:val="18"/>
        </w:rPr>
        <w:t>štátny dlh“ abstrahuje od záväzkov Ministerstva financií SR voči Štátnej pokladnici z tzv. refinančného systému (18 200 524 tis. eur) a od záväzkov z vkladov subjektov verejnej správy v Štátnej pokladnici (9 313 704 tis. eur).</w:t>
      </w:r>
    </w:p>
  </w:footnote>
  <w:footnote w:id="25">
    <w:p w14:paraId="6284798D" w14:textId="0CEE7A06" w:rsidR="00B87DB8" w:rsidRPr="004108FA" w:rsidRDefault="00B87DB8" w:rsidP="004108FA">
      <w:pPr>
        <w:pStyle w:val="Textpoznmkypodiarou"/>
        <w:rPr>
          <w:sz w:val="18"/>
          <w:szCs w:val="18"/>
        </w:rPr>
      </w:pPr>
      <w:r>
        <w:rPr>
          <w:rStyle w:val="Odkaznapoznmkupodiarou"/>
        </w:rPr>
        <w:footnoteRef/>
      </w:r>
      <w:r>
        <w:t xml:space="preserve"> </w:t>
      </w:r>
      <w:r w:rsidRPr="004108FA">
        <w:rPr>
          <w:sz w:val="18"/>
          <w:szCs w:val="18"/>
        </w:rPr>
        <w:t>Pri tvorbe rozpočtu sa predpokladala efektívna daňová sadzba (EDS) na úrovni 16,81 %, v skutočnosti je 15,96 %. Za rok 2022 bola EDS na úrovni 15,97 %.</w:t>
      </w:r>
    </w:p>
  </w:footnote>
  <w:footnote w:id="26">
    <w:p w14:paraId="33082C36" w14:textId="7DAA2CFC" w:rsidR="00B87DB8" w:rsidRPr="004108FA" w:rsidRDefault="00B87DB8" w:rsidP="004108FA">
      <w:pPr>
        <w:spacing w:after="0" w:line="240" w:lineRule="auto"/>
        <w:rPr>
          <w:sz w:val="18"/>
          <w:szCs w:val="18"/>
        </w:rPr>
      </w:pPr>
      <w:r w:rsidRPr="004108FA">
        <w:rPr>
          <w:rStyle w:val="Odkaznapoznmkupodiarou"/>
          <w:sz w:val="18"/>
          <w:szCs w:val="18"/>
        </w:rPr>
        <w:footnoteRef/>
      </w:r>
      <w:r w:rsidRPr="004108FA">
        <w:rPr>
          <w:sz w:val="18"/>
          <w:szCs w:val="18"/>
        </w:rPr>
        <w:t xml:space="preserve"> Odvod časti poistného z neživotného poistenia bol k 31. 12. 2018 zrušený. V skutočnosti však prišli platby vo výške 898 tis. eur.</w:t>
      </w:r>
    </w:p>
  </w:footnote>
  <w:footnote w:id="27">
    <w:p w14:paraId="0F38020C" w14:textId="77777777" w:rsidR="00B87DB8" w:rsidRPr="004108FA" w:rsidRDefault="00B87DB8" w:rsidP="004108FA">
      <w:pPr>
        <w:pStyle w:val="Textpoznmkypodiarou"/>
        <w:rPr>
          <w:sz w:val="18"/>
          <w:szCs w:val="18"/>
        </w:rPr>
      </w:pPr>
      <w:r w:rsidRPr="004108FA">
        <w:rPr>
          <w:rStyle w:val="Odkaznapoznmkupodiarou"/>
          <w:sz w:val="18"/>
          <w:szCs w:val="18"/>
        </w:rPr>
        <w:footnoteRef/>
      </w:r>
      <w:r w:rsidRPr="004108FA">
        <w:rPr>
          <w:sz w:val="18"/>
          <w:szCs w:val="18"/>
        </w:rPr>
        <w:t xml:space="preserve"> Vo FIN výkazoch príjmov a výdavkov štátneho rozpočtu je zaznamenaný výnos dane z príjmov fyzických osôb (DPFO) v štátnom rozpočte vo výške -8 644 tis. eur a výnos zo sankcií 67 186 tis. eur. Výnos DPFO bez sankcií je znížený o prevod dane územným samosprávam, ktorý už zahŕňa sankcie. A z toho dôvodu je výnos z DPFO na účte štátneho rozpočtu vo FIN výkaze podhodnotený, a to o 10 407 tis. eur a sankcie sú o uvedenú sumu zároveň nadhodnotené. V tabuľke sú preto uvedené upravené výnosy DPFO a sankcií, pričom na celkové príjmy táto úprava vplyv nemá.</w:t>
      </w:r>
    </w:p>
  </w:footnote>
  <w:footnote w:id="28">
    <w:p w14:paraId="72B34872" w14:textId="77777777" w:rsidR="00B87DB8" w:rsidRPr="004108FA" w:rsidRDefault="00B87DB8" w:rsidP="004108FA">
      <w:pPr>
        <w:pStyle w:val="Textpoznmkypodiarou"/>
        <w:rPr>
          <w:sz w:val="18"/>
          <w:szCs w:val="18"/>
        </w:rPr>
      </w:pPr>
      <w:r w:rsidRPr="004108FA">
        <w:rPr>
          <w:rStyle w:val="Odkaznapoznmkupodiarou"/>
          <w:sz w:val="18"/>
          <w:szCs w:val="18"/>
        </w:rPr>
        <w:footnoteRef/>
      </w:r>
      <w:r w:rsidRPr="004108FA">
        <w:rPr>
          <w:sz w:val="18"/>
          <w:szCs w:val="18"/>
        </w:rPr>
        <w:t xml:space="preserve"> Správca dane môže na žiadosť daňového dlžníka, ktorým je fyzická osoba, povoliť úľavu na dani alebo odpustiť daňový nedoplatok na dani okrem daňového nedoplatku na dani z pridanej hodnoty a spotrebných daniach, ak by jeho vymáhaním bola vážne ohrozená výživa daňového dlžníka alebo osôb odkázaných na jeho výživu. Splnenie tejto podmienky je daňový dlžník povinný preukázať.</w:t>
      </w:r>
    </w:p>
  </w:footnote>
  <w:footnote w:id="29">
    <w:p w14:paraId="62EF1F32" w14:textId="77777777" w:rsidR="00B87DB8" w:rsidRPr="004108FA" w:rsidRDefault="00B87DB8" w:rsidP="004108FA">
      <w:pPr>
        <w:spacing w:after="0" w:line="240" w:lineRule="auto"/>
        <w:rPr>
          <w:sz w:val="18"/>
          <w:szCs w:val="18"/>
        </w:rPr>
      </w:pPr>
      <w:r w:rsidRPr="004108FA">
        <w:rPr>
          <w:rStyle w:val="Odkaznapoznmkupodiarou"/>
          <w:sz w:val="18"/>
          <w:szCs w:val="18"/>
        </w:rPr>
        <w:footnoteRef/>
      </w:r>
      <w:r w:rsidRPr="004108FA">
        <w:rPr>
          <w:sz w:val="18"/>
          <w:szCs w:val="18"/>
        </w:rPr>
        <w:t xml:space="preserve"> Finančné riaditeľstvo na žiadosť daňového subjektu odpustí sankciu z dôvodov uvedených v odseku 1 písm. a) alebo môže povoliť úľavu zo sankcie alebo odpustiť sankciu z dôvodov uvedených v odseku 1 písm. b) a c), ak výška uloženej sankcie v jednotlivom prípade nepresiahne, ak ide o</w:t>
      </w:r>
    </w:p>
    <w:p w14:paraId="0A8C9CA8" w14:textId="77777777" w:rsidR="00B87DB8" w:rsidRPr="004108FA" w:rsidRDefault="00B87DB8" w:rsidP="004108FA">
      <w:pPr>
        <w:spacing w:after="0" w:line="240" w:lineRule="auto"/>
        <w:rPr>
          <w:sz w:val="18"/>
          <w:szCs w:val="18"/>
        </w:rPr>
      </w:pPr>
      <w:r w:rsidRPr="004108FA">
        <w:rPr>
          <w:sz w:val="18"/>
          <w:szCs w:val="18"/>
        </w:rPr>
        <w:t>a) fyzickú osobu, sumu 166 000 eur,</w:t>
      </w:r>
    </w:p>
    <w:p w14:paraId="4F628430" w14:textId="77777777" w:rsidR="00B87DB8" w:rsidRPr="004108FA" w:rsidRDefault="00B87DB8" w:rsidP="004108FA">
      <w:pPr>
        <w:pStyle w:val="Textpoznmkypodiarou"/>
        <w:rPr>
          <w:sz w:val="18"/>
          <w:szCs w:val="18"/>
        </w:rPr>
      </w:pPr>
      <w:r w:rsidRPr="004108FA">
        <w:rPr>
          <w:sz w:val="18"/>
          <w:szCs w:val="18"/>
        </w:rPr>
        <w:t>b) právnickú osobu, sumu 1 660 000 eur</w:t>
      </w:r>
    </w:p>
  </w:footnote>
  <w:footnote w:id="30">
    <w:p w14:paraId="16368237" w14:textId="77777777" w:rsidR="00B87DB8" w:rsidRPr="00C07E13" w:rsidRDefault="00B87DB8" w:rsidP="009B204F">
      <w:pPr>
        <w:spacing w:after="0" w:line="240" w:lineRule="auto"/>
        <w:rPr>
          <w:rFonts w:cs="Times New Roman"/>
          <w:sz w:val="18"/>
          <w:szCs w:val="18"/>
        </w:rPr>
      </w:pPr>
      <w:r w:rsidRPr="00C07E13">
        <w:rPr>
          <w:rStyle w:val="Odkaznapoznmkupodiarou"/>
          <w:sz w:val="18"/>
          <w:szCs w:val="18"/>
        </w:rPr>
        <w:footnoteRef/>
      </w:r>
      <w:r w:rsidRPr="00C07E13">
        <w:rPr>
          <w:rFonts w:cs="Times New Roman"/>
          <w:sz w:val="18"/>
          <w:szCs w:val="18"/>
        </w:rPr>
        <w:t xml:space="preserve"> </w:t>
      </w:r>
      <w:r w:rsidRPr="00C07E13">
        <w:rPr>
          <w:rFonts w:cs="Times New Roman"/>
          <w:color w:val="000000"/>
          <w:sz w:val="18"/>
          <w:szCs w:val="18"/>
          <w:lang w:eastAsia="sk-SK"/>
        </w:rPr>
        <w:t>Napríklad podľa zákona č. 580/2004 Z. z. o zdravotnom poistení v znení neskorších predpisov, zákona č. 461/2003 Z. z. o sociálnom poistení v znení neskorších predpisov.</w:t>
      </w:r>
    </w:p>
    <w:p w14:paraId="442E2816" w14:textId="77777777" w:rsidR="00B87DB8" w:rsidRDefault="00B87DB8" w:rsidP="009B204F">
      <w:pPr>
        <w:pStyle w:val="Textpoznmkypodiarou"/>
      </w:pPr>
    </w:p>
  </w:footnote>
  <w:footnote w:id="31">
    <w:p w14:paraId="494200C6" w14:textId="58D3E78B" w:rsidR="00B87DB8" w:rsidRPr="00207B7D" w:rsidRDefault="00B87DB8" w:rsidP="00060EF5">
      <w:pPr>
        <w:pStyle w:val="Textpoznmkypodiarou"/>
        <w:rPr>
          <w:sz w:val="18"/>
          <w:szCs w:val="18"/>
        </w:rPr>
      </w:pPr>
      <w:r>
        <w:rPr>
          <w:rStyle w:val="Odkaznapoznmkupodiarou"/>
        </w:rPr>
        <w:footnoteRef/>
      </w:r>
      <w:r>
        <w:t xml:space="preserve"> </w:t>
      </w:r>
      <w:r w:rsidRPr="00207B7D">
        <w:rPr>
          <w:sz w:val="18"/>
          <w:szCs w:val="18"/>
        </w:rPr>
        <w:t>Nariadenie vlády SR č. 19/2023 Z. z. na kompenzáciu dodávateľom plynu, ktorí dodávajú plyn odberateľom plynu v domácnosti, ako aj dodávateľom elektriny/plynu, ktorí dodávajú elektrinu/plyn v súvislosti s dodávkou elektriny/plynu pre malých odberateľov a pre vybraných zraniteľných odberateľov elektriny/plynu realizovanou v roku 2023, Nariadenie vlády SR č. 464/2022 Z. z. na kompenzáciu príjmov pre dodávateľov tepla, Nariadenie vlády SR č. 465/2022 Z. z. na kompenzáciu vybraných taríf vybraným účastníkom trhu s elektrinou</w:t>
      </w:r>
    </w:p>
  </w:footnote>
  <w:footnote w:id="32">
    <w:p w14:paraId="65A5A483" w14:textId="77777777" w:rsidR="00B87DB8" w:rsidRPr="008172CD" w:rsidRDefault="00B87DB8" w:rsidP="00F72D98">
      <w:pPr>
        <w:pStyle w:val="Textpoznmkypodiarou"/>
        <w:rPr>
          <w:sz w:val="18"/>
          <w:szCs w:val="18"/>
        </w:rPr>
      </w:pPr>
      <w:r w:rsidRPr="008172CD">
        <w:rPr>
          <w:rStyle w:val="Odkaznapoznmkupodiarou"/>
          <w:sz w:val="18"/>
          <w:szCs w:val="18"/>
        </w:rPr>
        <w:footnoteRef/>
      </w:r>
      <w:r w:rsidRPr="008172CD">
        <w:rPr>
          <w:sz w:val="18"/>
          <w:szCs w:val="18"/>
        </w:rPr>
        <w:t xml:space="preserve"> Štátne finančné pasíva, ktorými sú najmä záväzky z vydaných štátnych dlhopisov a pokladničných poukážok, záväzky z prijatých vládnych úverov sú bližšie hodnotené v Súhrnnej účtovnej závierke, keďže ide o stavovú veličinu. Výdavkové finančné operácie na splátky istín a rozpočtové výdavky na úhradu úrokov z týchto záväzkov sú predmetom hotovostného plnenie štátneho rozpočtu opisovaného v tomto Štátnom záverečnom účte. </w:t>
      </w:r>
    </w:p>
  </w:footnote>
  <w:footnote w:id="33">
    <w:p w14:paraId="1EA51A39" w14:textId="77777777" w:rsidR="00B87DB8" w:rsidRPr="008172CD" w:rsidRDefault="00B87DB8" w:rsidP="00F72D98">
      <w:pPr>
        <w:pStyle w:val="Textpoznmkypodiarou"/>
        <w:rPr>
          <w:sz w:val="18"/>
          <w:szCs w:val="18"/>
        </w:rPr>
      </w:pPr>
      <w:r w:rsidRPr="008172CD">
        <w:rPr>
          <w:rStyle w:val="Odkaznapoznmkupodiarou"/>
          <w:rFonts w:eastAsiaTheme="majorEastAsia"/>
          <w:sz w:val="18"/>
          <w:szCs w:val="18"/>
        </w:rPr>
        <w:footnoteRef/>
      </w:r>
      <w:r w:rsidRPr="008172CD">
        <w:rPr>
          <w:sz w:val="18"/>
          <w:szCs w:val="18"/>
        </w:rPr>
        <w:t xml:space="preserve"> § 13 zákona č. 523/2004 Z. z. o rozpočtových pravidlách verejnej správy a o zmene a doplnení niektorých zákonov v </w:t>
      </w:r>
      <w:proofErr w:type="spellStart"/>
      <w:r w:rsidRPr="008172CD">
        <w:rPr>
          <w:sz w:val="18"/>
          <w:szCs w:val="18"/>
        </w:rPr>
        <w:t>z.n.p</w:t>
      </w:r>
      <w:proofErr w:type="spellEnd"/>
      <w:r w:rsidRPr="008172CD">
        <w:rPr>
          <w:sz w:val="18"/>
          <w:szCs w:val="18"/>
        </w:rPr>
        <w:t>.</w:t>
      </w:r>
    </w:p>
  </w:footnote>
  <w:footnote w:id="34">
    <w:p w14:paraId="727F707E" w14:textId="77777777" w:rsidR="00B87DB8" w:rsidRPr="008172CD" w:rsidRDefault="00B87DB8" w:rsidP="00F72D98">
      <w:pPr>
        <w:pStyle w:val="Textpoznmkypodiarou"/>
        <w:rPr>
          <w:sz w:val="18"/>
          <w:szCs w:val="18"/>
        </w:rPr>
      </w:pPr>
      <w:r w:rsidRPr="008172CD">
        <w:rPr>
          <w:rStyle w:val="Odkaznapoznmkupodiarou"/>
          <w:rFonts w:eastAsiaTheme="majorEastAsia"/>
          <w:sz w:val="18"/>
          <w:szCs w:val="18"/>
        </w:rPr>
        <w:footnoteRef/>
      </w:r>
      <w:r w:rsidRPr="008172CD">
        <w:rPr>
          <w:sz w:val="18"/>
          <w:szCs w:val="18"/>
        </w:rPr>
        <w:t xml:space="preserve"> Zákon č. 235/2012 Z. z. o osobitnom odvode z podnikania v regulovaných odvetviach a o zmene a doplnení niektorých zákonov v </w:t>
      </w:r>
      <w:proofErr w:type="spellStart"/>
      <w:r w:rsidRPr="008172CD">
        <w:rPr>
          <w:sz w:val="18"/>
          <w:szCs w:val="18"/>
        </w:rPr>
        <w:t>z.n.p</w:t>
      </w:r>
      <w:proofErr w:type="spellEnd"/>
      <w:r w:rsidRPr="008172CD">
        <w:rPr>
          <w:sz w:val="18"/>
          <w:szCs w:val="18"/>
        </w:rPr>
        <w:t>.</w:t>
      </w:r>
    </w:p>
  </w:footnote>
  <w:footnote w:id="35">
    <w:p w14:paraId="341838E8" w14:textId="51E2E097" w:rsidR="00B87DB8" w:rsidRDefault="00B87DB8">
      <w:pPr>
        <w:pStyle w:val="Textpoznmkypodiarou"/>
      </w:pPr>
      <w:r>
        <w:rPr>
          <w:rStyle w:val="Odkaznapoznmkupodiarou"/>
        </w:rPr>
        <w:footnoteRef/>
      </w:r>
      <w:r>
        <w:t xml:space="preserve"> </w:t>
      </w:r>
      <w:r w:rsidRPr="00181464">
        <w:rPr>
          <w:rFonts w:eastAsia="Calibri"/>
          <w:bCs/>
          <w:iCs/>
          <w:sz w:val="18"/>
        </w:rPr>
        <w:t>V zmysle pravidla n+3 je potrebné deklarovať na EK do 31. decembra tretieho rozpočtového roku nasledujúceho po roku prijatia rozpočtového záväzku za operačný program (čl. 136 nariadenia EP a Rady EÚ č. 1303/2013).</w:t>
      </w:r>
    </w:p>
  </w:footnote>
  <w:footnote w:id="36">
    <w:p w14:paraId="240B9A6C" w14:textId="646F8EAB" w:rsidR="00B87DB8" w:rsidRDefault="00B87DB8">
      <w:pPr>
        <w:pStyle w:val="Textpoznmkypodiarou"/>
      </w:pPr>
      <w:r>
        <w:rPr>
          <w:rStyle w:val="Odkaznapoznmkupodiarou"/>
        </w:rPr>
        <w:footnoteRef/>
      </w:r>
      <w:r>
        <w:t xml:space="preserve"> </w:t>
      </w:r>
      <w:r w:rsidRPr="00181464">
        <w:rPr>
          <w:sz w:val="18"/>
        </w:rPr>
        <w:t xml:space="preserve">Na základe uznesenie vlády SR č. 257/2020 zo dňa 28.04.2020 - </w:t>
      </w:r>
      <w:r w:rsidRPr="00181464">
        <w:rPr>
          <w:rFonts w:eastAsia="Calibri"/>
          <w:bCs/>
          <w:iCs/>
          <w:sz w:val="18"/>
        </w:rPr>
        <w:t>Návrh opatrení financovaných z operačných programov európskych štrukturálnych a investičných fondov na boj s pandémiou COVID-19 a odstraňovanie a zmiernenie jej dôsledkov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1171"/>
    <w:multiLevelType w:val="hybridMultilevel"/>
    <w:tmpl w:val="8AE854D6"/>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B933281"/>
    <w:multiLevelType w:val="hybridMultilevel"/>
    <w:tmpl w:val="28362946"/>
    <w:lvl w:ilvl="0" w:tplc="D60E5870">
      <w:start w:val="66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9F20D54"/>
    <w:multiLevelType w:val="hybridMultilevel"/>
    <w:tmpl w:val="5E36A84E"/>
    <w:lvl w:ilvl="0" w:tplc="A4283DBA">
      <w:start w:val="666"/>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CAC3A1E"/>
    <w:multiLevelType w:val="multilevel"/>
    <w:tmpl w:val="70780D0A"/>
    <w:lvl w:ilvl="0">
      <w:start w:val="1"/>
      <w:numFmt w:val="decimal"/>
      <w:pStyle w:val="Nadpis1"/>
      <w:lvlText w:val="%1"/>
      <w:lvlJc w:val="left"/>
      <w:pPr>
        <w:ind w:left="3977" w:hanging="432"/>
      </w:pPr>
    </w:lvl>
    <w:lvl w:ilvl="1">
      <w:start w:val="1"/>
      <w:numFmt w:val="decimal"/>
      <w:pStyle w:val="Nadpis2"/>
      <w:lvlText w:val="%1.%2"/>
      <w:lvlJc w:val="left"/>
      <w:pPr>
        <w:ind w:left="5396" w:hanging="576"/>
      </w:pPr>
    </w:lvl>
    <w:lvl w:ilvl="2">
      <w:start w:val="1"/>
      <w:numFmt w:val="decimal"/>
      <w:pStyle w:val="Nadpis3"/>
      <w:lvlText w:val="%1.%2.%3"/>
      <w:lvlJc w:val="left"/>
      <w:pPr>
        <w:ind w:left="2562" w:hanging="720"/>
      </w:pPr>
    </w:lvl>
    <w:lvl w:ilvl="3">
      <w:start w:val="1"/>
      <w:numFmt w:val="decimal"/>
      <w:pStyle w:val="Nadpis4"/>
      <w:lvlText w:val="%1.%2.%3.%4"/>
      <w:lvlJc w:val="left"/>
      <w:pPr>
        <w:ind w:left="864" w:hanging="864"/>
      </w:pPr>
      <w:rPr>
        <w:rFonts w:ascii="Times New Roman" w:hAnsi="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1D811F48"/>
    <w:multiLevelType w:val="hybridMultilevel"/>
    <w:tmpl w:val="AA98145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12D6907"/>
    <w:multiLevelType w:val="hybridMultilevel"/>
    <w:tmpl w:val="E4B6CE32"/>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226B0D58"/>
    <w:multiLevelType w:val="hybridMultilevel"/>
    <w:tmpl w:val="60CCC6C8"/>
    <w:lvl w:ilvl="0" w:tplc="BCD0F0D2">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22705E7E"/>
    <w:multiLevelType w:val="hybridMultilevel"/>
    <w:tmpl w:val="01EAB926"/>
    <w:lvl w:ilvl="0" w:tplc="041B0005">
      <w:start w:val="1"/>
      <w:numFmt w:val="bullet"/>
      <w:lvlText w:val=""/>
      <w:lvlJc w:val="left"/>
      <w:pPr>
        <w:ind w:left="360" w:hanging="360"/>
      </w:pPr>
      <w:rPr>
        <w:rFonts w:ascii="Wingdings" w:hAnsi="Wingdings" w:hint="default"/>
      </w:rPr>
    </w:lvl>
    <w:lvl w:ilvl="1" w:tplc="041B0005">
      <w:start w:val="1"/>
      <w:numFmt w:val="bullet"/>
      <w:lvlText w:val=""/>
      <w:lvlJc w:val="left"/>
      <w:pPr>
        <w:ind w:left="1080" w:hanging="360"/>
      </w:pPr>
      <w:rPr>
        <w:rFonts w:ascii="Wingdings" w:hAnsi="Wingdings"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256A0C11"/>
    <w:multiLevelType w:val="hybridMultilevel"/>
    <w:tmpl w:val="233611F0"/>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6791B76"/>
    <w:multiLevelType w:val="hybridMultilevel"/>
    <w:tmpl w:val="3EA486D6"/>
    <w:lvl w:ilvl="0" w:tplc="041B0001">
      <w:start w:val="666"/>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E4A080B"/>
    <w:multiLevelType w:val="hybridMultilevel"/>
    <w:tmpl w:val="92FC3B00"/>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0382081"/>
    <w:multiLevelType w:val="hybridMultilevel"/>
    <w:tmpl w:val="7DA0E8FA"/>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074125A"/>
    <w:multiLevelType w:val="hybridMultilevel"/>
    <w:tmpl w:val="7EF639DE"/>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6436D2F"/>
    <w:multiLevelType w:val="hybridMultilevel"/>
    <w:tmpl w:val="136C6D7E"/>
    <w:lvl w:ilvl="0" w:tplc="A976943A">
      <w:start w:val="666"/>
      <w:numFmt w:val="bullet"/>
      <w:lvlText w:val=""/>
      <w:lvlJc w:val="left"/>
      <w:pPr>
        <w:ind w:left="720" w:hanging="360"/>
      </w:pPr>
      <w:rPr>
        <w:rFonts w:ascii="Symbol" w:eastAsiaTheme="minorHAns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966AD6"/>
    <w:multiLevelType w:val="multilevel"/>
    <w:tmpl w:val="B776CC5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E70846"/>
    <w:multiLevelType w:val="hybridMultilevel"/>
    <w:tmpl w:val="227665D8"/>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3E1E4BBE"/>
    <w:multiLevelType w:val="hybridMultilevel"/>
    <w:tmpl w:val="21CE4998"/>
    <w:lvl w:ilvl="0" w:tplc="FFFFFFFF">
      <w:start w:val="1"/>
      <w:numFmt w:val="bullet"/>
      <w:lvlText w:val=""/>
      <w:lvlJc w:val="left"/>
      <w:pPr>
        <w:ind w:left="1287" w:hanging="360"/>
      </w:pPr>
      <w:rPr>
        <w:rFonts w:ascii="Symbol" w:hAnsi="Symbol" w:hint="default"/>
      </w:rPr>
    </w:lvl>
    <w:lvl w:ilvl="1" w:tplc="041B0005">
      <w:start w:val="1"/>
      <w:numFmt w:val="bullet"/>
      <w:lvlText w:val=""/>
      <w:lvlJc w:val="left"/>
      <w:pPr>
        <w:ind w:left="1353" w:hanging="360"/>
      </w:pPr>
      <w:rPr>
        <w:rFonts w:ascii="Wingdings" w:hAnsi="Wingdings" w:hint="default"/>
      </w:rPr>
    </w:lvl>
    <w:lvl w:ilvl="2" w:tplc="041B0005">
      <w:start w:val="1"/>
      <w:numFmt w:val="bullet"/>
      <w:lvlText w:val=""/>
      <w:lvlJc w:val="left"/>
      <w:pPr>
        <w:ind w:left="2727" w:hanging="360"/>
      </w:pPr>
      <w:rPr>
        <w:rFonts w:ascii="Wingdings" w:hAnsi="Wingdings" w:hint="default"/>
      </w:rPr>
    </w:lvl>
    <w:lvl w:ilvl="3" w:tplc="AB0C57A0">
      <w:start w:val="12"/>
      <w:numFmt w:val="bullet"/>
      <w:lvlText w:val="-"/>
      <w:lvlJc w:val="left"/>
      <w:pPr>
        <w:ind w:left="3447" w:hanging="360"/>
      </w:pPr>
      <w:rPr>
        <w:rFonts w:ascii="Times New Roman" w:eastAsia="Times New Roman" w:hAnsi="Times New Roman"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3EA46160"/>
    <w:multiLevelType w:val="hybridMultilevel"/>
    <w:tmpl w:val="A894B8EC"/>
    <w:lvl w:ilvl="0" w:tplc="A36E3E12">
      <w:start w:val="3"/>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231167E"/>
    <w:multiLevelType w:val="hybridMultilevel"/>
    <w:tmpl w:val="12523884"/>
    <w:lvl w:ilvl="0" w:tplc="1AE66FC4">
      <w:numFmt w:val="bullet"/>
      <w:lvlText w:val="-"/>
      <w:lvlJc w:val="left"/>
      <w:pPr>
        <w:ind w:left="720" w:hanging="360"/>
      </w:pPr>
      <w:rPr>
        <w:rFonts w:ascii="Times New Roman" w:eastAsia="Times New Roman" w:hAnsi="Times New Roman" w:cs="Times New Roman"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13472A1"/>
    <w:multiLevelType w:val="hybridMultilevel"/>
    <w:tmpl w:val="DB8C3044"/>
    <w:lvl w:ilvl="0" w:tplc="041B0005">
      <w:start w:val="1"/>
      <w:numFmt w:val="bullet"/>
      <w:lvlText w:val=""/>
      <w:lvlJc w:val="left"/>
      <w:pPr>
        <w:ind w:left="1778" w:hanging="360"/>
      </w:pPr>
      <w:rPr>
        <w:rFonts w:ascii="Wingdings" w:hAnsi="Wingding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537A2CB3"/>
    <w:multiLevelType w:val="hybridMultilevel"/>
    <w:tmpl w:val="094E47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54F75476"/>
    <w:multiLevelType w:val="hybridMultilevel"/>
    <w:tmpl w:val="D79C2276"/>
    <w:lvl w:ilvl="0" w:tplc="9B14F260">
      <w:numFmt w:val="bullet"/>
      <w:lvlText w:val="–"/>
      <w:lvlJc w:val="left"/>
      <w:pPr>
        <w:ind w:left="720" w:hanging="360"/>
      </w:pPr>
      <w:rPr>
        <w:rFonts w:ascii="Arial Narrow" w:eastAsiaTheme="minorHAnsi" w:hAnsi="Arial Narrow"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65826BB"/>
    <w:multiLevelType w:val="hybridMultilevel"/>
    <w:tmpl w:val="E3FE22E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5DE97EDD"/>
    <w:multiLevelType w:val="hybridMultilevel"/>
    <w:tmpl w:val="364435EE"/>
    <w:lvl w:ilvl="0" w:tplc="810ACC2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69715723"/>
    <w:multiLevelType w:val="hybridMultilevel"/>
    <w:tmpl w:val="400A112A"/>
    <w:lvl w:ilvl="0" w:tplc="041B0005">
      <w:start w:val="1"/>
      <w:numFmt w:val="bullet"/>
      <w:lvlText w:val=""/>
      <w:lvlJc w:val="left"/>
      <w:pPr>
        <w:ind w:left="360" w:hanging="360"/>
      </w:pPr>
      <w:rPr>
        <w:rFonts w:ascii="Wingdings" w:hAnsi="Wingdings" w:hint="default"/>
      </w:rPr>
    </w:lvl>
    <w:lvl w:ilvl="1" w:tplc="041B0005">
      <w:start w:val="1"/>
      <w:numFmt w:val="bullet"/>
      <w:lvlText w:val=""/>
      <w:lvlJc w:val="left"/>
      <w:pPr>
        <w:ind w:left="1080" w:hanging="360"/>
      </w:pPr>
      <w:rPr>
        <w:rFonts w:ascii="Wingdings" w:hAnsi="Wingdings" w:hint="default"/>
      </w:rPr>
    </w:lvl>
    <w:lvl w:ilvl="2" w:tplc="E8CC9C7E">
      <w:start w:val="2"/>
      <w:numFmt w:val="bullet"/>
      <w:lvlText w:val=""/>
      <w:lvlJc w:val="left"/>
      <w:pPr>
        <w:ind w:left="1800" w:hanging="360"/>
      </w:pPr>
      <w:rPr>
        <w:rFonts w:ascii="Symbol" w:eastAsia="Times New Roman" w:hAnsi="Symbol" w:cs="Times New Roman" w:hint="default"/>
        <w:sz w:val="18"/>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6AF16A02"/>
    <w:multiLevelType w:val="hybridMultilevel"/>
    <w:tmpl w:val="542A60AE"/>
    <w:lvl w:ilvl="0" w:tplc="E6C22E94">
      <w:start w:val="666"/>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D4E14EF"/>
    <w:multiLevelType w:val="hybridMultilevel"/>
    <w:tmpl w:val="3376C70A"/>
    <w:lvl w:ilvl="0" w:tplc="ED6A8106">
      <w:start w:val="24"/>
      <w:numFmt w:val="bullet"/>
      <w:lvlText w:val="-"/>
      <w:lvlJc w:val="left"/>
      <w:pPr>
        <w:ind w:left="720" w:hanging="360"/>
      </w:pPr>
      <w:rPr>
        <w:rFonts w:ascii="Times New Roman" w:eastAsiaTheme="minorHAnsi" w:hAnsi="Times New Roman" w:cs="Times New Roman"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E22678B"/>
    <w:multiLevelType w:val="hybridMultilevel"/>
    <w:tmpl w:val="39D2BF1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4A47639"/>
    <w:multiLevelType w:val="hybridMultilevel"/>
    <w:tmpl w:val="0BFE94DC"/>
    <w:lvl w:ilvl="0" w:tplc="617C48F4">
      <w:start w:val="1"/>
      <w:numFmt w:val="decimal"/>
      <w:lvlText w:val="%1)"/>
      <w:lvlJc w:val="left"/>
      <w:pPr>
        <w:ind w:left="720" w:hanging="360"/>
      </w:pPr>
      <w:rPr>
        <w:rFonts w:hint="default"/>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5E059C6"/>
    <w:multiLevelType w:val="hybridMultilevel"/>
    <w:tmpl w:val="7252160A"/>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785775C6"/>
    <w:multiLevelType w:val="hybridMultilevel"/>
    <w:tmpl w:val="D8F82C0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27"/>
  </w:num>
  <w:num w:numId="3">
    <w:abstractNumId w:val="26"/>
  </w:num>
  <w:num w:numId="4">
    <w:abstractNumId w:val="2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6"/>
  </w:num>
  <w:num w:numId="8">
    <w:abstractNumId w:val="20"/>
  </w:num>
  <w:num w:numId="9">
    <w:abstractNumId w:val="17"/>
  </w:num>
  <w:num w:numId="10">
    <w:abstractNumId w:val="22"/>
  </w:num>
  <w:num w:numId="11">
    <w:abstractNumId w:val="16"/>
  </w:num>
  <w:num w:numId="12">
    <w:abstractNumId w:val="4"/>
  </w:num>
  <w:num w:numId="13">
    <w:abstractNumId w:val="30"/>
  </w:num>
  <w:num w:numId="14">
    <w:abstractNumId w:val="5"/>
  </w:num>
  <w:num w:numId="15">
    <w:abstractNumId w:val="18"/>
  </w:num>
  <w:num w:numId="16">
    <w:abstractNumId w:val="7"/>
  </w:num>
  <w:num w:numId="17">
    <w:abstractNumId w:val="24"/>
  </w:num>
  <w:num w:numId="18">
    <w:abstractNumId w:val="0"/>
  </w:num>
  <w:num w:numId="19">
    <w:abstractNumId w:val="29"/>
  </w:num>
  <w:num w:numId="20">
    <w:abstractNumId w:val="11"/>
  </w:num>
  <w:num w:numId="21">
    <w:abstractNumId w:val="8"/>
  </w:num>
  <w:num w:numId="22">
    <w:abstractNumId w:val="19"/>
  </w:num>
  <w:num w:numId="23">
    <w:abstractNumId w:val="12"/>
  </w:num>
  <w:num w:numId="24">
    <w:abstractNumId w:val="15"/>
  </w:num>
  <w:num w:numId="25">
    <w:abstractNumId w:val="10"/>
  </w:num>
  <w:num w:numId="26">
    <w:abstractNumId w:val="28"/>
  </w:num>
  <w:num w:numId="27">
    <w:abstractNumId w:val="21"/>
  </w:num>
  <w:num w:numId="28">
    <w:abstractNumId w:val="9"/>
  </w:num>
  <w:num w:numId="29">
    <w:abstractNumId w:val="1"/>
  </w:num>
  <w:num w:numId="30">
    <w:abstractNumId w:val="2"/>
  </w:num>
  <w:num w:numId="31">
    <w:abstractNumId w:val="13"/>
  </w:num>
  <w:num w:numId="32">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hideGrammaticalErrors/>
  <w:proofState w:spelling="clean"/>
  <w:defaultTabStop w:val="510"/>
  <w:hyphenationZone w:val="425"/>
  <w:evenAndOddHeaders/>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EB4"/>
    <w:rsid w:val="00000201"/>
    <w:rsid w:val="000009AA"/>
    <w:rsid w:val="00001E09"/>
    <w:rsid w:val="00002B52"/>
    <w:rsid w:val="00002C07"/>
    <w:rsid w:val="00003185"/>
    <w:rsid w:val="00004436"/>
    <w:rsid w:val="0000559C"/>
    <w:rsid w:val="00005A9B"/>
    <w:rsid w:val="00005FDB"/>
    <w:rsid w:val="00006045"/>
    <w:rsid w:val="00006284"/>
    <w:rsid w:val="00006F2B"/>
    <w:rsid w:val="00006FC6"/>
    <w:rsid w:val="00007C06"/>
    <w:rsid w:val="000106B9"/>
    <w:rsid w:val="00010C37"/>
    <w:rsid w:val="00010CE2"/>
    <w:rsid w:val="00010D90"/>
    <w:rsid w:val="00010F86"/>
    <w:rsid w:val="00011ABC"/>
    <w:rsid w:val="000127B7"/>
    <w:rsid w:val="0001332C"/>
    <w:rsid w:val="00014F97"/>
    <w:rsid w:val="000156A6"/>
    <w:rsid w:val="00015756"/>
    <w:rsid w:val="000160CA"/>
    <w:rsid w:val="000172A6"/>
    <w:rsid w:val="000203FA"/>
    <w:rsid w:val="00020746"/>
    <w:rsid w:val="00021DF5"/>
    <w:rsid w:val="00021EB3"/>
    <w:rsid w:val="00022082"/>
    <w:rsid w:val="0002242F"/>
    <w:rsid w:val="000227C0"/>
    <w:rsid w:val="00022D01"/>
    <w:rsid w:val="000235AD"/>
    <w:rsid w:val="0002384D"/>
    <w:rsid w:val="000247A8"/>
    <w:rsid w:val="00024990"/>
    <w:rsid w:val="00024D82"/>
    <w:rsid w:val="00025612"/>
    <w:rsid w:val="000265AB"/>
    <w:rsid w:val="00026608"/>
    <w:rsid w:val="00027720"/>
    <w:rsid w:val="00027919"/>
    <w:rsid w:val="00030868"/>
    <w:rsid w:val="000313E4"/>
    <w:rsid w:val="000316FB"/>
    <w:rsid w:val="00032212"/>
    <w:rsid w:val="00032FD2"/>
    <w:rsid w:val="000337EE"/>
    <w:rsid w:val="00033AD0"/>
    <w:rsid w:val="000347AD"/>
    <w:rsid w:val="0003538A"/>
    <w:rsid w:val="00035949"/>
    <w:rsid w:val="0003620E"/>
    <w:rsid w:val="000379CA"/>
    <w:rsid w:val="00040457"/>
    <w:rsid w:val="00040B78"/>
    <w:rsid w:val="0004106B"/>
    <w:rsid w:val="00042458"/>
    <w:rsid w:val="00043311"/>
    <w:rsid w:val="00043553"/>
    <w:rsid w:val="0004373C"/>
    <w:rsid w:val="00044031"/>
    <w:rsid w:val="00044C54"/>
    <w:rsid w:val="00044F35"/>
    <w:rsid w:val="0004536B"/>
    <w:rsid w:val="00045828"/>
    <w:rsid w:val="0004591C"/>
    <w:rsid w:val="00045BE3"/>
    <w:rsid w:val="00046082"/>
    <w:rsid w:val="000461C0"/>
    <w:rsid w:val="0004633C"/>
    <w:rsid w:val="00046382"/>
    <w:rsid w:val="00047619"/>
    <w:rsid w:val="000477CA"/>
    <w:rsid w:val="00047A6B"/>
    <w:rsid w:val="00047D17"/>
    <w:rsid w:val="00047F86"/>
    <w:rsid w:val="00050148"/>
    <w:rsid w:val="000503CE"/>
    <w:rsid w:val="00051013"/>
    <w:rsid w:val="00051DD2"/>
    <w:rsid w:val="0005259F"/>
    <w:rsid w:val="000535E8"/>
    <w:rsid w:val="00053AFE"/>
    <w:rsid w:val="00053BA4"/>
    <w:rsid w:val="00053C7A"/>
    <w:rsid w:val="00054518"/>
    <w:rsid w:val="000550BC"/>
    <w:rsid w:val="00056CD8"/>
    <w:rsid w:val="00057121"/>
    <w:rsid w:val="00057A9F"/>
    <w:rsid w:val="00057E5C"/>
    <w:rsid w:val="0006055A"/>
    <w:rsid w:val="00060EF5"/>
    <w:rsid w:val="00062135"/>
    <w:rsid w:val="00062A3B"/>
    <w:rsid w:val="00063234"/>
    <w:rsid w:val="000633AA"/>
    <w:rsid w:val="00063595"/>
    <w:rsid w:val="00063B08"/>
    <w:rsid w:val="00063F2E"/>
    <w:rsid w:val="000643AF"/>
    <w:rsid w:val="00064795"/>
    <w:rsid w:val="00064D2C"/>
    <w:rsid w:val="00064D49"/>
    <w:rsid w:val="00064E22"/>
    <w:rsid w:val="00065E4A"/>
    <w:rsid w:val="000665E4"/>
    <w:rsid w:val="00066627"/>
    <w:rsid w:val="00070082"/>
    <w:rsid w:val="000702C3"/>
    <w:rsid w:val="0007053F"/>
    <w:rsid w:val="000705FB"/>
    <w:rsid w:val="00070A80"/>
    <w:rsid w:val="00071652"/>
    <w:rsid w:val="0007167C"/>
    <w:rsid w:val="00071D40"/>
    <w:rsid w:val="00072BE7"/>
    <w:rsid w:val="0007321A"/>
    <w:rsid w:val="000736E0"/>
    <w:rsid w:val="00073B7D"/>
    <w:rsid w:val="00073BD6"/>
    <w:rsid w:val="00074436"/>
    <w:rsid w:val="000746D4"/>
    <w:rsid w:val="000747B5"/>
    <w:rsid w:val="000747E2"/>
    <w:rsid w:val="00074811"/>
    <w:rsid w:val="000748F9"/>
    <w:rsid w:val="000754AC"/>
    <w:rsid w:val="0007679C"/>
    <w:rsid w:val="00076C23"/>
    <w:rsid w:val="000779E1"/>
    <w:rsid w:val="00077B7B"/>
    <w:rsid w:val="00077D54"/>
    <w:rsid w:val="00077E09"/>
    <w:rsid w:val="00077E5D"/>
    <w:rsid w:val="000801AF"/>
    <w:rsid w:val="000812C5"/>
    <w:rsid w:val="00081A92"/>
    <w:rsid w:val="000821CD"/>
    <w:rsid w:val="000821EE"/>
    <w:rsid w:val="0008303C"/>
    <w:rsid w:val="00083C0D"/>
    <w:rsid w:val="00083F62"/>
    <w:rsid w:val="000840E0"/>
    <w:rsid w:val="00084D1A"/>
    <w:rsid w:val="0008539A"/>
    <w:rsid w:val="0008566D"/>
    <w:rsid w:val="000858FD"/>
    <w:rsid w:val="000866C2"/>
    <w:rsid w:val="0008687F"/>
    <w:rsid w:val="00087077"/>
    <w:rsid w:val="000870CD"/>
    <w:rsid w:val="00087221"/>
    <w:rsid w:val="000909A0"/>
    <w:rsid w:val="00090D49"/>
    <w:rsid w:val="000911E5"/>
    <w:rsid w:val="00091942"/>
    <w:rsid w:val="000920F8"/>
    <w:rsid w:val="0009362B"/>
    <w:rsid w:val="00093D4B"/>
    <w:rsid w:val="00094048"/>
    <w:rsid w:val="00094327"/>
    <w:rsid w:val="00094785"/>
    <w:rsid w:val="000956A5"/>
    <w:rsid w:val="000961B7"/>
    <w:rsid w:val="00096A96"/>
    <w:rsid w:val="00097736"/>
    <w:rsid w:val="00097D1A"/>
    <w:rsid w:val="00097F73"/>
    <w:rsid w:val="000A019E"/>
    <w:rsid w:val="000A02AC"/>
    <w:rsid w:val="000A082F"/>
    <w:rsid w:val="000A08FC"/>
    <w:rsid w:val="000A2B3E"/>
    <w:rsid w:val="000A2B5E"/>
    <w:rsid w:val="000A2BD1"/>
    <w:rsid w:val="000A2CD1"/>
    <w:rsid w:val="000A37A5"/>
    <w:rsid w:val="000A3929"/>
    <w:rsid w:val="000A3C84"/>
    <w:rsid w:val="000A3E55"/>
    <w:rsid w:val="000A3EDD"/>
    <w:rsid w:val="000A3FA3"/>
    <w:rsid w:val="000A43B3"/>
    <w:rsid w:val="000A4AFB"/>
    <w:rsid w:val="000A5247"/>
    <w:rsid w:val="000A52F4"/>
    <w:rsid w:val="000A6683"/>
    <w:rsid w:val="000A69B1"/>
    <w:rsid w:val="000B07EE"/>
    <w:rsid w:val="000B11F9"/>
    <w:rsid w:val="000B224E"/>
    <w:rsid w:val="000B2434"/>
    <w:rsid w:val="000B322D"/>
    <w:rsid w:val="000B3DC0"/>
    <w:rsid w:val="000B3FA7"/>
    <w:rsid w:val="000B476C"/>
    <w:rsid w:val="000B47A7"/>
    <w:rsid w:val="000B4A89"/>
    <w:rsid w:val="000B4DCC"/>
    <w:rsid w:val="000B5435"/>
    <w:rsid w:val="000B5651"/>
    <w:rsid w:val="000B61F4"/>
    <w:rsid w:val="000B69FA"/>
    <w:rsid w:val="000B6FD6"/>
    <w:rsid w:val="000B75C0"/>
    <w:rsid w:val="000B7718"/>
    <w:rsid w:val="000B78C4"/>
    <w:rsid w:val="000B790D"/>
    <w:rsid w:val="000C03E3"/>
    <w:rsid w:val="000C0B4D"/>
    <w:rsid w:val="000C12A5"/>
    <w:rsid w:val="000C16D1"/>
    <w:rsid w:val="000C19A7"/>
    <w:rsid w:val="000C2381"/>
    <w:rsid w:val="000C2605"/>
    <w:rsid w:val="000C2D17"/>
    <w:rsid w:val="000C3131"/>
    <w:rsid w:val="000C3C49"/>
    <w:rsid w:val="000C483D"/>
    <w:rsid w:val="000C4CC0"/>
    <w:rsid w:val="000C4F18"/>
    <w:rsid w:val="000C4F76"/>
    <w:rsid w:val="000C5B4E"/>
    <w:rsid w:val="000C5FD2"/>
    <w:rsid w:val="000C6109"/>
    <w:rsid w:val="000C6F8E"/>
    <w:rsid w:val="000C71F6"/>
    <w:rsid w:val="000C74CA"/>
    <w:rsid w:val="000C7E91"/>
    <w:rsid w:val="000D0294"/>
    <w:rsid w:val="000D0C1A"/>
    <w:rsid w:val="000D0C9C"/>
    <w:rsid w:val="000D1669"/>
    <w:rsid w:val="000D18AA"/>
    <w:rsid w:val="000D1FAF"/>
    <w:rsid w:val="000D1FBA"/>
    <w:rsid w:val="000D2302"/>
    <w:rsid w:val="000D35AE"/>
    <w:rsid w:val="000D3F48"/>
    <w:rsid w:val="000D42C0"/>
    <w:rsid w:val="000D4942"/>
    <w:rsid w:val="000D557B"/>
    <w:rsid w:val="000D5C00"/>
    <w:rsid w:val="000D5CED"/>
    <w:rsid w:val="000D5D8D"/>
    <w:rsid w:val="000D60E6"/>
    <w:rsid w:val="000D6114"/>
    <w:rsid w:val="000D7202"/>
    <w:rsid w:val="000D731D"/>
    <w:rsid w:val="000D7B65"/>
    <w:rsid w:val="000E0B50"/>
    <w:rsid w:val="000E0E99"/>
    <w:rsid w:val="000E1594"/>
    <w:rsid w:val="000E18B3"/>
    <w:rsid w:val="000E2643"/>
    <w:rsid w:val="000E4B91"/>
    <w:rsid w:val="000E4EE1"/>
    <w:rsid w:val="000E539A"/>
    <w:rsid w:val="000E67F6"/>
    <w:rsid w:val="000E6900"/>
    <w:rsid w:val="000F02FD"/>
    <w:rsid w:val="000F07B6"/>
    <w:rsid w:val="000F0D26"/>
    <w:rsid w:val="000F157D"/>
    <w:rsid w:val="000F21D2"/>
    <w:rsid w:val="000F2C29"/>
    <w:rsid w:val="000F375D"/>
    <w:rsid w:val="000F3834"/>
    <w:rsid w:val="000F4980"/>
    <w:rsid w:val="000F4E7E"/>
    <w:rsid w:val="000F5B64"/>
    <w:rsid w:val="000F607C"/>
    <w:rsid w:val="000F60F9"/>
    <w:rsid w:val="000F6518"/>
    <w:rsid w:val="000F72B5"/>
    <w:rsid w:val="000F7410"/>
    <w:rsid w:val="000F751F"/>
    <w:rsid w:val="000F7527"/>
    <w:rsid w:val="000F7646"/>
    <w:rsid w:val="000F7935"/>
    <w:rsid w:val="000F7DD7"/>
    <w:rsid w:val="0010031C"/>
    <w:rsid w:val="001006BF"/>
    <w:rsid w:val="0010096F"/>
    <w:rsid w:val="0010106D"/>
    <w:rsid w:val="00101B88"/>
    <w:rsid w:val="0010218E"/>
    <w:rsid w:val="001027C7"/>
    <w:rsid w:val="00102BBA"/>
    <w:rsid w:val="00102D5B"/>
    <w:rsid w:val="001033F9"/>
    <w:rsid w:val="0010383D"/>
    <w:rsid w:val="00103E6B"/>
    <w:rsid w:val="001048BE"/>
    <w:rsid w:val="00104953"/>
    <w:rsid w:val="001049B6"/>
    <w:rsid w:val="00104B0B"/>
    <w:rsid w:val="0010515D"/>
    <w:rsid w:val="001051D8"/>
    <w:rsid w:val="0010567A"/>
    <w:rsid w:val="00105B67"/>
    <w:rsid w:val="00105BF8"/>
    <w:rsid w:val="00106883"/>
    <w:rsid w:val="001103E0"/>
    <w:rsid w:val="00110CA4"/>
    <w:rsid w:val="0011109D"/>
    <w:rsid w:val="00111CC0"/>
    <w:rsid w:val="00111D91"/>
    <w:rsid w:val="00111E27"/>
    <w:rsid w:val="00112134"/>
    <w:rsid w:val="001121AE"/>
    <w:rsid w:val="00112357"/>
    <w:rsid w:val="001126E7"/>
    <w:rsid w:val="00112E7C"/>
    <w:rsid w:val="00112ECB"/>
    <w:rsid w:val="00113AFD"/>
    <w:rsid w:val="00114152"/>
    <w:rsid w:val="00114612"/>
    <w:rsid w:val="00114A29"/>
    <w:rsid w:val="00115076"/>
    <w:rsid w:val="001153B0"/>
    <w:rsid w:val="0011636A"/>
    <w:rsid w:val="00116BCD"/>
    <w:rsid w:val="00116EA0"/>
    <w:rsid w:val="001179AC"/>
    <w:rsid w:val="001200B1"/>
    <w:rsid w:val="0012020C"/>
    <w:rsid w:val="001205D5"/>
    <w:rsid w:val="001205FE"/>
    <w:rsid w:val="00120749"/>
    <w:rsid w:val="001207C9"/>
    <w:rsid w:val="0012087C"/>
    <w:rsid w:val="00120E01"/>
    <w:rsid w:val="00122D00"/>
    <w:rsid w:val="00122D65"/>
    <w:rsid w:val="00124CD8"/>
    <w:rsid w:val="0012566C"/>
    <w:rsid w:val="0012574B"/>
    <w:rsid w:val="00125DC5"/>
    <w:rsid w:val="00125FE0"/>
    <w:rsid w:val="001273F0"/>
    <w:rsid w:val="00127C08"/>
    <w:rsid w:val="00127DA4"/>
    <w:rsid w:val="00127ED5"/>
    <w:rsid w:val="00127F66"/>
    <w:rsid w:val="0013027B"/>
    <w:rsid w:val="00130426"/>
    <w:rsid w:val="00130DE8"/>
    <w:rsid w:val="001311E9"/>
    <w:rsid w:val="00131246"/>
    <w:rsid w:val="0013146B"/>
    <w:rsid w:val="0013260D"/>
    <w:rsid w:val="00133B51"/>
    <w:rsid w:val="00133DEA"/>
    <w:rsid w:val="00135126"/>
    <w:rsid w:val="001359C3"/>
    <w:rsid w:val="00135AFC"/>
    <w:rsid w:val="00135D9E"/>
    <w:rsid w:val="00136364"/>
    <w:rsid w:val="00136895"/>
    <w:rsid w:val="00136C54"/>
    <w:rsid w:val="001376BA"/>
    <w:rsid w:val="001402E1"/>
    <w:rsid w:val="00140B5A"/>
    <w:rsid w:val="00141083"/>
    <w:rsid w:val="00141A5D"/>
    <w:rsid w:val="001432A2"/>
    <w:rsid w:val="001436B3"/>
    <w:rsid w:val="00143C91"/>
    <w:rsid w:val="00143CA3"/>
    <w:rsid w:val="00144775"/>
    <w:rsid w:val="001453ED"/>
    <w:rsid w:val="00146229"/>
    <w:rsid w:val="00147FE6"/>
    <w:rsid w:val="00150B92"/>
    <w:rsid w:val="00150F61"/>
    <w:rsid w:val="0015169B"/>
    <w:rsid w:val="00151971"/>
    <w:rsid w:val="00151F12"/>
    <w:rsid w:val="0015273A"/>
    <w:rsid w:val="001527AB"/>
    <w:rsid w:val="00153857"/>
    <w:rsid w:val="00153978"/>
    <w:rsid w:val="00153D59"/>
    <w:rsid w:val="001547BC"/>
    <w:rsid w:val="00154AB2"/>
    <w:rsid w:val="0015633C"/>
    <w:rsid w:val="00156FC4"/>
    <w:rsid w:val="00161134"/>
    <w:rsid w:val="001613EE"/>
    <w:rsid w:val="00161914"/>
    <w:rsid w:val="0016220A"/>
    <w:rsid w:val="00162608"/>
    <w:rsid w:val="00162CED"/>
    <w:rsid w:val="00164536"/>
    <w:rsid w:val="00164F67"/>
    <w:rsid w:val="00164FE8"/>
    <w:rsid w:val="00165021"/>
    <w:rsid w:val="0016515E"/>
    <w:rsid w:val="00165360"/>
    <w:rsid w:val="001656EA"/>
    <w:rsid w:val="00165E7D"/>
    <w:rsid w:val="00165F88"/>
    <w:rsid w:val="001665F3"/>
    <w:rsid w:val="00166B38"/>
    <w:rsid w:val="00167C7A"/>
    <w:rsid w:val="001706CF"/>
    <w:rsid w:val="0017186F"/>
    <w:rsid w:val="00171ABF"/>
    <w:rsid w:val="00171F34"/>
    <w:rsid w:val="00171F51"/>
    <w:rsid w:val="001726E9"/>
    <w:rsid w:val="0017281B"/>
    <w:rsid w:val="00172AA1"/>
    <w:rsid w:val="00172CA7"/>
    <w:rsid w:val="001737A0"/>
    <w:rsid w:val="0017407C"/>
    <w:rsid w:val="001742D7"/>
    <w:rsid w:val="001747AE"/>
    <w:rsid w:val="00174B01"/>
    <w:rsid w:val="001757A1"/>
    <w:rsid w:val="00176102"/>
    <w:rsid w:val="00176518"/>
    <w:rsid w:val="00176C4A"/>
    <w:rsid w:val="00177948"/>
    <w:rsid w:val="001802D9"/>
    <w:rsid w:val="00180436"/>
    <w:rsid w:val="001811C6"/>
    <w:rsid w:val="00181464"/>
    <w:rsid w:val="00181EAF"/>
    <w:rsid w:val="001827AB"/>
    <w:rsid w:val="00184143"/>
    <w:rsid w:val="00184BAC"/>
    <w:rsid w:val="00184D2D"/>
    <w:rsid w:val="00185548"/>
    <w:rsid w:val="001859BD"/>
    <w:rsid w:val="00186138"/>
    <w:rsid w:val="00186A4D"/>
    <w:rsid w:val="00187814"/>
    <w:rsid w:val="00187F9D"/>
    <w:rsid w:val="001903EC"/>
    <w:rsid w:val="001908BA"/>
    <w:rsid w:val="0019171E"/>
    <w:rsid w:val="00191E3C"/>
    <w:rsid w:val="00192236"/>
    <w:rsid w:val="00192270"/>
    <w:rsid w:val="00192B3E"/>
    <w:rsid w:val="001931A3"/>
    <w:rsid w:val="00193358"/>
    <w:rsid w:val="0019388B"/>
    <w:rsid w:val="00194FA4"/>
    <w:rsid w:val="00195857"/>
    <w:rsid w:val="00195AB8"/>
    <w:rsid w:val="00195FE3"/>
    <w:rsid w:val="0019620A"/>
    <w:rsid w:val="0019687C"/>
    <w:rsid w:val="00197430"/>
    <w:rsid w:val="0019788F"/>
    <w:rsid w:val="001A0195"/>
    <w:rsid w:val="001A0EE8"/>
    <w:rsid w:val="001A0FD5"/>
    <w:rsid w:val="001A14AF"/>
    <w:rsid w:val="001A1586"/>
    <w:rsid w:val="001A1993"/>
    <w:rsid w:val="001A1F07"/>
    <w:rsid w:val="001A269C"/>
    <w:rsid w:val="001A2911"/>
    <w:rsid w:val="001A2E80"/>
    <w:rsid w:val="001A333C"/>
    <w:rsid w:val="001A38B4"/>
    <w:rsid w:val="001A3E40"/>
    <w:rsid w:val="001A4B6D"/>
    <w:rsid w:val="001A4F1B"/>
    <w:rsid w:val="001A55BE"/>
    <w:rsid w:val="001A56BA"/>
    <w:rsid w:val="001A5BBF"/>
    <w:rsid w:val="001A66EA"/>
    <w:rsid w:val="001A797B"/>
    <w:rsid w:val="001B072E"/>
    <w:rsid w:val="001B1225"/>
    <w:rsid w:val="001B13C6"/>
    <w:rsid w:val="001B148C"/>
    <w:rsid w:val="001B1630"/>
    <w:rsid w:val="001B1B8E"/>
    <w:rsid w:val="001B1FCB"/>
    <w:rsid w:val="001B282A"/>
    <w:rsid w:val="001B29DD"/>
    <w:rsid w:val="001B2D89"/>
    <w:rsid w:val="001B34E6"/>
    <w:rsid w:val="001B382F"/>
    <w:rsid w:val="001B38AF"/>
    <w:rsid w:val="001B399E"/>
    <w:rsid w:val="001B4083"/>
    <w:rsid w:val="001B4FF7"/>
    <w:rsid w:val="001B549A"/>
    <w:rsid w:val="001B60C2"/>
    <w:rsid w:val="001B62B2"/>
    <w:rsid w:val="001B67FC"/>
    <w:rsid w:val="001B774D"/>
    <w:rsid w:val="001B7A1A"/>
    <w:rsid w:val="001C0A69"/>
    <w:rsid w:val="001C0BCD"/>
    <w:rsid w:val="001C116E"/>
    <w:rsid w:val="001C119A"/>
    <w:rsid w:val="001C1318"/>
    <w:rsid w:val="001C159F"/>
    <w:rsid w:val="001C1BFB"/>
    <w:rsid w:val="001C2606"/>
    <w:rsid w:val="001C2A0B"/>
    <w:rsid w:val="001C2E29"/>
    <w:rsid w:val="001C3737"/>
    <w:rsid w:val="001C37AC"/>
    <w:rsid w:val="001C3AA5"/>
    <w:rsid w:val="001C4761"/>
    <w:rsid w:val="001C47F8"/>
    <w:rsid w:val="001C4CA7"/>
    <w:rsid w:val="001C4DF1"/>
    <w:rsid w:val="001C4E82"/>
    <w:rsid w:val="001C5135"/>
    <w:rsid w:val="001C531B"/>
    <w:rsid w:val="001C5FA3"/>
    <w:rsid w:val="001C6F9E"/>
    <w:rsid w:val="001C798E"/>
    <w:rsid w:val="001D0537"/>
    <w:rsid w:val="001D0A5F"/>
    <w:rsid w:val="001D0B23"/>
    <w:rsid w:val="001D0D92"/>
    <w:rsid w:val="001D2108"/>
    <w:rsid w:val="001D310E"/>
    <w:rsid w:val="001D31B8"/>
    <w:rsid w:val="001D4463"/>
    <w:rsid w:val="001D580F"/>
    <w:rsid w:val="001D59C7"/>
    <w:rsid w:val="001D5F54"/>
    <w:rsid w:val="001D79DF"/>
    <w:rsid w:val="001E076F"/>
    <w:rsid w:val="001E0969"/>
    <w:rsid w:val="001E0C46"/>
    <w:rsid w:val="001E195E"/>
    <w:rsid w:val="001E1E5F"/>
    <w:rsid w:val="001E1EAA"/>
    <w:rsid w:val="001E2155"/>
    <w:rsid w:val="001E2922"/>
    <w:rsid w:val="001E345C"/>
    <w:rsid w:val="001E3D1D"/>
    <w:rsid w:val="001E3F7B"/>
    <w:rsid w:val="001E4438"/>
    <w:rsid w:val="001E493B"/>
    <w:rsid w:val="001E5172"/>
    <w:rsid w:val="001E6B52"/>
    <w:rsid w:val="001E7237"/>
    <w:rsid w:val="001E76AC"/>
    <w:rsid w:val="001E7D83"/>
    <w:rsid w:val="001F0570"/>
    <w:rsid w:val="001F121E"/>
    <w:rsid w:val="001F131C"/>
    <w:rsid w:val="001F1E66"/>
    <w:rsid w:val="001F20A6"/>
    <w:rsid w:val="001F21CC"/>
    <w:rsid w:val="001F2757"/>
    <w:rsid w:val="001F3027"/>
    <w:rsid w:val="001F4330"/>
    <w:rsid w:val="001F469D"/>
    <w:rsid w:val="001F4CEA"/>
    <w:rsid w:val="001F4D7C"/>
    <w:rsid w:val="001F55C8"/>
    <w:rsid w:val="001F5877"/>
    <w:rsid w:val="001F588C"/>
    <w:rsid w:val="001F6F5A"/>
    <w:rsid w:val="001F723D"/>
    <w:rsid w:val="001F7763"/>
    <w:rsid w:val="001F78A4"/>
    <w:rsid w:val="001F7AF8"/>
    <w:rsid w:val="00200355"/>
    <w:rsid w:val="00200377"/>
    <w:rsid w:val="002003C0"/>
    <w:rsid w:val="00200966"/>
    <w:rsid w:val="00201C3D"/>
    <w:rsid w:val="00201CFC"/>
    <w:rsid w:val="00202B2E"/>
    <w:rsid w:val="002031C9"/>
    <w:rsid w:val="00203665"/>
    <w:rsid w:val="00203AA3"/>
    <w:rsid w:val="002046BA"/>
    <w:rsid w:val="00204F56"/>
    <w:rsid w:val="002059E7"/>
    <w:rsid w:val="00205FD1"/>
    <w:rsid w:val="00207550"/>
    <w:rsid w:val="00207768"/>
    <w:rsid w:val="00207875"/>
    <w:rsid w:val="00207B7D"/>
    <w:rsid w:val="00210671"/>
    <w:rsid w:val="00210FD1"/>
    <w:rsid w:val="00211789"/>
    <w:rsid w:val="00211BE4"/>
    <w:rsid w:val="00211E85"/>
    <w:rsid w:val="00212A07"/>
    <w:rsid w:val="00213151"/>
    <w:rsid w:val="00213267"/>
    <w:rsid w:val="0021355F"/>
    <w:rsid w:val="002136EE"/>
    <w:rsid w:val="0021385B"/>
    <w:rsid w:val="0021453B"/>
    <w:rsid w:val="00214802"/>
    <w:rsid w:val="002152E9"/>
    <w:rsid w:val="00215466"/>
    <w:rsid w:val="0021648B"/>
    <w:rsid w:val="002166EB"/>
    <w:rsid w:val="002168AC"/>
    <w:rsid w:val="00216B52"/>
    <w:rsid w:val="00216D4C"/>
    <w:rsid w:val="00220F9B"/>
    <w:rsid w:val="00223D6E"/>
    <w:rsid w:val="00223DE6"/>
    <w:rsid w:val="002253FA"/>
    <w:rsid w:val="002272DE"/>
    <w:rsid w:val="002276B3"/>
    <w:rsid w:val="0022797E"/>
    <w:rsid w:val="00227A22"/>
    <w:rsid w:val="00230EC4"/>
    <w:rsid w:val="00230FD6"/>
    <w:rsid w:val="0023176D"/>
    <w:rsid w:val="00231D4D"/>
    <w:rsid w:val="002321A0"/>
    <w:rsid w:val="00233CD5"/>
    <w:rsid w:val="002347A1"/>
    <w:rsid w:val="0023509E"/>
    <w:rsid w:val="00235228"/>
    <w:rsid w:val="0023537F"/>
    <w:rsid w:val="002358F0"/>
    <w:rsid w:val="00235FDB"/>
    <w:rsid w:val="002363AD"/>
    <w:rsid w:val="00237058"/>
    <w:rsid w:val="002379D7"/>
    <w:rsid w:val="002405B6"/>
    <w:rsid w:val="00240940"/>
    <w:rsid w:val="002409A9"/>
    <w:rsid w:val="0024131C"/>
    <w:rsid w:val="00241ED1"/>
    <w:rsid w:val="002424FD"/>
    <w:rsid w:val="00242BE6"/>
    <w:rsid w:val="0024394A"/>
    <w:rsid w:val="00244138"/>
    <w:rsid w:val="00244D68"/>
    <w:rsid w:val="00245F8C"/>
    <w:rsid w:val="00246CF3"/>
    <w:rsid w:val="00246E8A"/>
    <w:rsid w:val="00247E9C"/>
    <w:rsid w:val="00250806"/>
    <w:rsid w:val="00250BFC"/>
    <w:rsid w:val="00251C51"/>
    <w:rsid w:val="00251DF4"/>
    <w:rsid w:val="002536EA"/>
    <w:rsid w:val="00253847"/>
    <w:rsid w:val="00253925"/>
    <w:rsid w:val="00253EDE"/>
    <w:rsid w:val="00254F4F"/>
    <w:rsid w:val="002571B2"/>
    <w:rsid w:val="002600B5"/>
    <w:rsid w:val="002604CC"/>
    <w:rsid w:val="00260B27"/>
    <w:rsid w:val="00261D8C"/>
    <w:rsid w:val="00263348"/>
    <w:rsid w:val="002633C2"/>
    <w:rsid w:val="002653E3"/>
    <w:rsid w:val="00266F0E"/>
    <w:rsid w:val="0026737F"/>
    <w:rsid w:val="00270836"/>
    <w:rsid w:val="00270F34"/>
    <w:rsid w:val="00271111"/>
    <w:rsid w:val="00272FD4"/>
    <w:rsid w:val="0027346F"/>
    <w:rsid w:val="002734DC"/>
    <w:rsid w:val="002739FA"/>
    <w:rsid w:val="00274C54"/>
    <w:rsid w:val="0027509D"/>
    <w:rsid w:val="00275367"/>
    <w:rsid w:val="00275CDA"/>
    <w:rsid w:val="002762F6"/>
    <w:rsid w:val="00276A01"/>
    <w:rsid w:val="00276DC3"/>
    <w:rsid w:val="00276E75"/>
    <w:rsid w:val="002770D5"/>
    <w:rsid w:val="00277355"/>
    <w:rsid w:val="00280521"/>
    <w:rsid w:val="00280735"/>
    <w:rsid w:val="00281281"/>
    <w:rsid w:val="00281D43"/>
    <w:rsid w:val="0028379F"/>
    <w:rsid w:val="0028448B"/>
    <w:rsid w:val="0028456F"/>
    <w:rsid w:val="00284665"/>
    <w:rsid w:val="00284EB4"/>
    <w:rsid w:val="00285018"/>
    <w:rsid w:val="00285695"/>
    <w:rsid w:val="00285C26"/>
    <w:rsid w:val="00285FC4"/>
    <w:rsid w:val="002861C2"/>
    <w:rsid w:val="00286D65"/>
    <w:rsid w:val="00286FED"/>
    <w:rsid w:val="002874DF"/>
    <w:rsid w:val="002900DE"/>
    <w:rsid w:val="002908BE"/>
    <w:rsid w:val="00290B39"/>
    <w:rsid w:val="002910FA"/>
    <w:rsid w:val="00291B8E"/>
    <w:rsid w:val="00291BCA"/>
    <w:rsid w:val="002923BD"/>
    <w:rsid w:val="00292A98"/>
    <w:rsid w:val="0029337E"/>
    <w:rsid w:val="0029368D"/>
    <w:rsid w:val="00293850"/>
    <w:rsid w:val="00294E64"/>
    <w:rsid w:val="00294F97"/>
    <w:rsid w:val="002956F1"/>
    <w:rsid w:val="00295A10"/>
    <w:rsid w:val="00295BBC"/>
    <w:rsid w:val="00295BE5"/>
    <w:rsid w:val="00296228"/>
    <w:rsid w:val="00296337"/>
    <w:rsid w:val="0029681C"/>
    <w:rsid w:val="002975AB"/>
    <w:rsid w:val="002A0DA6"/>
    <w:rsid w:val="002A21EC"/>
    <w:rsid w:val="002A2A77"/>
    <w:rsid w:val="002A2EAF"/>
    <w:rsid w:val="002A3869"/>
    <w:rsid w:val="002A3E52"/>
    <w:rsid w:val="002A4082"/>
    <w:rsid w:val="002A4114"/>
    <w:rsid w:val="002A452D"/>
    <w:rsid w:val="002A49B4"/>
    <w:rsid w:val="002A4A8A"/>
    <w:rsid w:val="002A4BE9"/>
    <w:rsid w:val="002A4D0B"/>
    <w:rsid w:val="002A4ECC"/>
    <w:rsid w:val="002A4F8F"/>
    <w:rsid w:val="002A5B11"/>
    <w:rsid w:val="002A67CB"/>
    <w:rsid w:val="002A6E4B"/>
    <w:rsid w:val="002A79FA"/>
    <w:rsid w:val="002A7B86"/>
    <w:rsid w:val="002A7F5E"/>
    <w:rsid w:val="002B058C"/>
    <w:rsid w:val="002B100E"/>
    <w:rsid w:val="002B1164"/>
    <w:rsid w:val="002B1F0F"/>
    <w:rsid w:val="002B2B4E"/>
    <w:rsid w:val="002B427F"/>
    <w:rsid w:val="002B42D8"/>
    <w:rsid w:val="002B49D7"/>
    <w:rsid w:val="002B4CA3"/>
    <w:rsid w:val="002B4F8D"/>
    <w:rsid w:val="002B6078"/>
    <w:rsid w:val="002B68D0"/>
    <w:rsid w:val="002B6E3F"/>
    <w:rsid w:val="002B7295"/>
    <w:rsid w:val="002B7939"/>
    <w:rsid w:val="002C02FB"/>
    <w:rsid w:val="002C09C6"/>
    <w:rsid w:val="002C0D06"/>
    <w:rsid w:val="002C37B2"/>
    <w:rsid w:val="002C39DC"/>
    <w:rsid w:val="002C439E"/>
    <w:rsid w:val="002C51C0"/>
    <w:rsid w:val="002C534E"/>
    <w:rsid w:val="002C5374"/>
    <w:rsid w:val="002C610D"/>
    <w:rsid w:val="002C6402"/>
    <w:rsid w:val="002C6D0B"/>
    <w:rsid w:val="002C705A"/>
    <w:rsid w:val="002C758A"/>
    <w:rsid w:val="002D0CEA"/>
    <w:rsid w:val="002D0D67"/>
    <w:rsid w:val="002D224F"/>
    <w:rsid w:val="002D2470"/>
    <w:rsid w:val="002D319E"/>
    <w:rsid w:val="002D374A"/>
    <w:rsid w:val="002D4BD7"/>
    <w:rsid w:val="002D4ED5"/>
    <w:rsid w:val="002D5411"/>
    <w:rsid w:val="002D5C58"/>
    <w:rsid w:val="002D67BA"/>
    <w:rsid w:val="002D69FC"/>
    <w:rsid w:val="002D6BA3"/>
    <w:rsid w:val="002D7346"/>
    <w:rsid w:val="002D7D9A"/>
    <w:rsid w:val="002E0DFC"/>
    <w:rsid w:val="002E0E9B"/>
    <w:rsid w:val="002E1517"/>
    <w:rsid w:val="002E157D"/>
    <w:rsid w:val="002E1BC0"/>
    <w:rsid w:val="002E2A66"/>
    <w:rsid w:val="002E30AA"/>
    <w:rsid w:val="002E30D8"/>
    <w:rsid w:val="002E36BC"/>
    <w:rsid w:val="002E395C"/>
    <w:rsid w:val="002E52D0"/>
    <w:rsid w:val="002E52D5"/>
    <w:rsid w:val="002E53AE"/>
    <w:rsid w:val="002E53BB"/>
    <w:rsid w:val="002E591A"/>
    <w:rsid w:val="002E5BB3"/>
    <w:rsid w:val="002E5CAD"/>
    <w:rsid w:val="002E6471"/>
    <w:rsid w:val="002E733A"/>
    <w:rsid w:val="002E7C17"/>
    <w:rsid w:val="002F1461"/>
    <w:rsid w:val="002F16EC"/>
    <w:rsid w:val="002F202C"/>
    <w:rsid w:val="002F2778"/>
    <w:rsid w:val="002F2AF9"/>
    <w:rsid w:val="002F2F6E"/>
    <w:rsid w:val="002F39C7"/>
    <w:rsid w:val="002F4E72"/>
    <w:rsid w:val="002F511E"/>
    <w:rsid w:val="002F5193"/>
    <w:rsid w:val="002F5855"/>
    <w:rsid w:val="002F62F8"/>
    <w:rsid w:val="002F7294"/>
    <w:rsid w:val="002F7C29"/>
    <w:rsid w:val="00300B7E"/>
    <w:rsid w:val="0030124F"/>
    <w:rsid w:val="00301321"/>
    <w:rsid w:val="00301993"/>
    <w:rsid w:val="00301E73"/>
    <w:rsid w:val="00302560"/>
    <w:rsid w:val="003027F4"/>
    <w:rsid w:val="00303AB6"/>
    <w:rsid w:val="00304439"/>
    <w:rsid w:val="003044C3"/>
    <w:rsid w:val="003056F8"/>
    <w:rsid w:val="003059F5"/>
    <w:rsid w:val="00305F01"/>
    <w:rsid w:val="00305F9B"/>
    <w:rsid w:val="00305FC5"/>
    <w:rsid w:val="003061C7"/>
    <w:rsid w:val="003066E2"/>
    <w:rsid w:val="00306A2A"/>
    <w:rsid w:val="00307207"/>
    <w:rsid w:val="00307871"/>
    <w:rsid w:val="00307928"/>
    <w:rsid w:val="00307A8E"/>
    <w:rsid w:val="00307CE1"/>
    <w:rsid w:val="00310BB9"/>
    <w:rsid w:val="0031192A"/>
    <w:rsid w:val="0031292B"/>
    <w:rsid w:val="0031296D"/>
    <w:rsid w:val="00312C1B"/>
    <w:rsid w:val="00312CA1"/>
    <w:rsid w:val="00313284"/>
    <w:rsid w:val="003137DC"/>
    <w:rsid w:val="00313879"/>
    <w:rsid w:val="00313A05"/>
    <w:rsid w:val="00315928"/>
    <w:rsid w:val="00315992"/>
    <w:rsid w:val="0031658D"/>
    <w:rsid w:val="00316720"/>
    <w:rsid w:val="00316A22"/>
    <w:rsid w:val="003171D1"/>
    <w:rsid w:val="00317D5C"/>
    <w:rsid w:val="003203CF"/>
    <w:rsid w:val="0032061A"/>
    <w:rsid w:val="00320825"/>
    <w:rsid w:val="0032150D"/>
    <w:rsid w:val="00322BEC"/>
    <w:rsid w:val="003234A0"/>
    <w:rsid w:val="00323964"/>
    <w:rsid w:val="00325073"/>
    <w:rsid w:val="003259FA"/>
    <w:rsid w:val="003260AC"/>
    <w:rsid w:val="003262F1"/>
    <w:rsid w:val="00326435"/>
    <w:rsid w:val="00326B2A"/>
    <w:rsid w:val="00326E42"/>
    <w:rsid w:val="0032707C"/>
    <w:rsid w:val="0032743B"/>
    <w:rsid w:val="00327600"/>
    <w:rsid w:val="00330490"/>
    <w:rsid w:val="00330ABD"/>
    <w:rsid w:val="00331568"/>
    <w:rsid w:val="0033164B"/>
    <w:rsid w:val="00333E1D"/>
    <w:rsid w:val="00335449"/>
    <w:rsid w:val="003354F2"/>
    <w:rsid w:val="003360E1"/>
    <w:rsid w:val="0033628E"/>
    <w:rsid w:val="0033680F"/>
    <w:rsid w:val="00336881"/>
    <w:rsid w:val="00336B7F"/>
    <w:rsid w:val="0033744D"/>
    <w:rsid w:val="00337847"/>
    <w:rsid w:val="00340046"/>
    <w:rsid w:val="0034124E"/>
    <w:rsid w:val="003421E9"/>
    <w:rsid w:val="003432FB"/>
    <w:rsid w:val="00344297"/>
    <w:rsid w:val="0034481B"/>
    <w:rsid w:val="003459D0"/>
    <w:rsid w:val="00345AD8"/>
    <w:rsid w:val="00346A92"/>
    <w:rsid w:val="00347085"/>
    <w:rsid w:val="0034738C"/>
    <w:rsid w:val="00347802"/>
    <w:rsid w:val="003506AF"/>
    <w:rsid w:val="00350745"/>
    <w:rsid w:val="00350D73"/>
    <w:rsid w:val="00351175"/>
    <w:rsid w:val="0035143E"/>
    <w:rsid w:val="00351659"/>
    <w:rsid w:val="00351CAB"/>
    <w:rsid w:val="0035297E"/>
    <w:rsid w:val="00352FE0"/>
    <w:rsid w:val="00353072"/>
    <w:rsid w:val="0035337C"/>
    <w:rsid w:val="00353C53"/>
    <w:rsid w:val="00353F0C"/>
    <w:rsid w:val="00354633"/>
    <w:rsid w:val="00354C9D"/>
    <w:rsid w:val="003555C9"/>
    <w:rsid w:val="0035565B"/>
    <w:rsid w:val="003559E4"/>
    <w:rsid w:val="003566E5"/>
    <w:rsid w:val="00361085"/>
    <w:rsid w:val="00361651"/>
    <w:rsid w:val="00362185"/>
    <w:rsid w:val="00362208"/>
    <w:rsid w:val="003632AE"/>
    <w:rsid w:val="0036331A"/>
    <w:rsid w:val="003633EA"/>
    <w:rsid w:val="003635C6"/>
    <w:rsid w:val="00363F60"/>
    <w:rsid w:val="00364160"/>
    <w:rsid w:val="003641D1"/>
    <w:rsid w:val="00364857"/>
    <w:rsid w:val="003655FE"/>
    <w:rsid w:val="00365D11"/>
    <w:rsid w:val="0036644E"/>
    <w:rsid w:val="0036650F"/>
    <w:rsid w:val="0036697B"/>
    <w:rsid w:val="00367871"/>
    <w:rsid w:val="00367D9D"/>
    <w:rsid w:val="00370208"/>
    <w:rsid w:val="00370401"/>
    <w:rsid w:val="0037056C"/>
    <w:rsid w:val="00370CC4"/>
    <w:rsid w:val="00371115"/>
    <w:rsid w:val="003720FA"/>
    <w:rsid w:val="003721C9"/>
    <w:rsid w:val="00372C28"/>
    <w:rsid w:val="00372D66"/>
    <w:rsid w:val="00373A75"/>
    <w:rsid w:val="0037415F"/>
    <w:rsid w:val="003741D3"/>
    <w:rsid w:val="003754BC"/>
    <w:rsid w:val="00377378"/>
    <w:rsid w:val="00377642"/>
    <w:rsid w:val="00377F60"/>
    <w:rsid w:val="003801EF"/>
    <w:rsid w:val="00380877"/>
    <w:rsid w:val="0038139D"/>
    <w:rsid w:val="00381469"/>
    <w:rsid w:val="00381820"/>
    <w:rsid w:val="00381A82"/>
    <w:rsid w:val="00382A08"/>
    <w:rsid w:val="00382D98"/>
    <w:rsid w:val="0038330D"/>
    <w:rsid w:val="00383F10"/>
    <w:rsid w:val="003843F0"/>
    <w:rsid w:val="00384A61"/>
    <w:rsid w:val="003853C7"/>
    <w:rsid w:val="003855B7"/>
    <w:rsid w:val="003857BB"/>
    <w:rsid w:val="00385988"/>
    <w:rsid w:val="003859C1"/>
    <w:rsid w:val="00385DE7"/>
    <w:rsid w:val="00386824"/>
    <w:rsid w:val="003879D1"/>
    <w:rsid w:val="00387B36"/>
    <w:rsid w:val="00387BCC"/>
    <w:rsid w:val="00387CAF"/>
    <w:rsid w:val="00390238"/>
    <w:rsid w:val="003913E4"/>
    <w:rsid w:val="00391C90"/>
    <w:rsid w:val="0039249B"/>
    <w:rsid w:val="00393506"/>
    <w:rsid w:val="00393C0B"/>
    <w:rsid w:val="0039563D"/>
    <w:rsid w:val="003963B0"/>
    <w:rsid w:val="00396442"/>
    <w:rsid w:val="00397392"/>
    <w:rsid w:val="00397B80"/>
    <w:rsid w:val="00397CD2"/>
    <w:rsid w:val="003A0393"/>
    <w:rsid w:val="003A03FC"/>
    <w:rsid w:val="003A0432"/>
    <w:rsid w:val="003A0696"/>
    <w:rsid w:val="003A0A95"/>
    <w:rsid w:val="003A1173"/>
    <w:rsid w:val="003A146D"/>
    <w:rsid w:val="003A16A8"/>
    <w:rsid w:val="003A21ED"/>
    <w:rsid w:val="003A2A5E"/>
    <w:rsid w:val="003A2ABC"/>
    <w:rsid w:val="003A2EBD"/>
    <w:rsid w:val="003A30E2"/>
    <w:rsid w:val="003A3BAB"/>
    <w:rsid w:val="003A3F12"/>
    <w:rsid w:val="003A430A"/>
    <w:rsid w:val="003A4748"/>
    <w:rsid w:val="003A4D09"/>
    <w:rsid w:val="003A5900"/>
    <w:rsid w:val="003A599A"/>
    <w:rsid w:val="003A61EF"/>
    <w:rsid w:val="003A648A"/>
    <w:rsid w:val="003A6566"/>
    <w:rsid w:val="003A6C49"/>
    <w:rsid w:val="003A70DE"/>
    <w:rsid w:val="003A70DF"/>
    <w:rsid w:val="003B076C"/>
    <w:rsid w:val="003B1124"/>
    <w:rsid w:val="003B15E8"/>
    <w:rsid w:val="003B1754"/>
    <w:rsid w:val="003B1965"/>
    <w:rsid w:val="003B1D36"/>
    <w:rsid w:val="003B24C4"/>
    <w:rsid w:val="003B307E"/>
    <w:rsid w:val="003B3B17"/>
    <w:rsid w:val="003B3FA1"/>
    <w:rsid w:val="003B450C"/>
    <w:rsid w:val="003B4DC9"/>
    <w:rsid w:val="003B57EC"/>
    <w:rsid w:val="003B6649"/>
    <w:rsid w:val="003B68F5"/>
    <w:rsid w:val="003B7DD8"/>
    <w:rsid w:val="003B7DEF"/>
    <w:rsid w:val="003C0AC0"/>
    <w:rsid w:val="003C22B1"/>
    <w:rsid w:val="003C2C8A"/>
    <w:rsid w:val="003C3ABB"/>
    <w:rsid w:val="003C3B9B"/>
    <w:rsid w:val="003C3EA4"/>
    <w:rsid w:val="003C400C"/>
    <w:rsid w:val="003C440C"/>
    <w:rsid w:val="003C45AF"/>
    <w:rsid w:val="003C5315"/>
    <w:rsid w:val="003C541C"/>
    <w:rsid w:val="003C5ABA"/>
    <w:rsid w:val="003C5ADA"/>
    <w:rsid w:val="003C5B4D"/>
    <w:rsid w:val="003C5D1E"/>
    <w:rsid w:val="003C6680"/>
    <w:rsid w:val="003C77D5"/>
    <w:rsid w:val="003D0D1E"/>
    <w:rsid w:val="003D16A9"/>
    <w:rsid w:val="003D1DD3"/>
    <w:rsid w:val="003D27B0"/>
    <w:rsid w:val="003D2CB8"/>
    <w:rsid w:val="003D3382"/>
    <w:rsid w:val="003D35D5"/>
    <w:rsid w:val="003D4172"/>
    <w:rsid w:val="003D5851"/>
    <w:rsid w:val="003D591D"/>
    <w:rsid w:val="003D5A59"/>
    <w:rsid w:val="003D74E7"/>
    <w:rsid w:val="003E01D2"/>
    <w:rsid w:val="003E10EA"/>
    <w:rsid w:val="003E13E4"/>
    <w:rsid w:val="003E1502"/>
    <w:rsid w:val="003E19FA"/>
    <w:rsid w:val="003E1F41"/>
    <w:rsid w:val="003E1F86"/>
    <w:rsid w:val="003E2409"/>
    <w:rsid w:val="003E2C66"/>
    <w:rsid w:val="003E32F3"/>
    <w:rsid w:val="003E33B1"/>
    <w:rsid w:val="003E361B"/>
    <w:rsid w:val="003E3E21"/>
    <w:rsid w:val="003E3E82"/>
    <w:rsid w:val="003E428F"/>
    <w:rsid w:val="003E4840"/>
    <w:rsid w:val="003E5627"/>
    <w:rsid w:val="003E57B9"/>
    <w:rsid w:val="003E5812"/>
    <w:rsid w:val="003E594E"/>
    <w:rsid w:val="003E5ACD"/>
    <w:rsid w:val="003E5DF8"/>
    <w:rsid w:val="003E6AA8"/>
    <w:rsid w:val="003E6C13"/>
    <w:rsid w:val="003E7903"/>
    <w:rsid w:val="003E7AC3"/>
    <w:rsid w:val="003F0490"/>
    <w:rsid w:val="003F0535"/>
    <w:rsid w:val="003F0DD9"/>
    <w:rsid w:val="003F0E10"/>
    <w:rsid w:val="003F12C5"/>
    <w:rsid w:val="003F1357"/>
    <w:rsid w:val="003F16BB"/>
    <w:rsid w:val="003F1DE2"/>
    <w:rsid w:val="003F1E84"/>
    <w:rsid w:val="003F2524"/>
    <w:rsid w:val="003F25F2"/>
    <w:rsid w:val="003F27EA"/>
    <w:rsid w:val="003F3165"/>
    <w:rsid w:val="003F3205"/>
    <w:rsid w:val="003F328C"/>
    <w:rsid w:val="003F3567"/>
    <w:rsid w:val="003F3730"/>
    <w:rsid w:val="003F468D"/>
    <w:rsid w:val="003F4E07"/>
    <w:rsid w:val="003F5846"/>
    <w:rsid w:val="003F5C26"/>
    <w:rsid w:val="003F5C9A"/>
    <w:rsid w:val="003F605E"/>
    <w:rsid w:val="003F6330"/>
    <w:rsid w:val="003F64BA"/>
    <w:rsid w:val="003F6FD3"/>
    <w:rsid w:val="003F7794"/>
    <w:rsid w:val="00400055"/>
    <w:rsid w:val="0040034C"/>
    <w:rsid w:val="004004A4"/>
    <w:rsid w:val="004007E2"/>
    <w:rsid w:val="00400A6C"/>
    <w:rsid w:val="00401151"/>
    <w:rsid w:val="00402275"/>
    <w:rsid w:val="00402471"/>
    <w:rsid w:val="00403199"/>
    <w:rsid w:val="00403301"/>
    <w:rsid w:val="0040343C"/>
    <w:rsid w:val="004034FE"/>
    <w:rsid w:val="00403B2D"/>
    <w:rsid w:val="004044D7"/>
    <w:rsid w:val="00406DDB"/>
    <w:rsid w:val="00406EBD"/>
    <w:rsid w:val="0040746C"/>
    <w:rsid w:val="0040791D"/>
    <w:rsid w:val="0041022D"/>
    <w:rsid w:val="004108FA"/>
    <w:rsid w:val="0041115C"/>
    <w:rsid w:val="00411EBB"/>
    <w:rsid w:val="00411F2A"/>
    <w:rsid w:val="004121C1"/>
    <w:rsid w:val="00412666"/>
    <w:rsid w:val="00412B53"/>
    <w:rsid w:val="00412EB1"/>
    <w:rsid w:val="00412FEB"/>
    <w:rsid w:val="004135D5"/>
    <w:rsid w:val="00414CFB"/>
    <w:rsid w:val="00415038"/>
    <w:rsid w:val="00415451"/>
    <w:rsid w:val="00415605"/>
    <w:rsid w:val="00415AB8"/>
    <w:rsid w:val="00416834"/>
    <w:rsid w:val="004168DE"/>
    <w:rsid w:val="00416AA7"/>
    <w:rsid w:val="0041776E"/>
    <w:rsid w:val="004179BC"/>
    <w:rsid w:val="0042118D"/>
    <w:rsid w:val="004212F3"/>
    <w:rsid w:val="00421837"/>
    <w:rsid w:val="004218B4"/>
    <w:rsid w:val="00422C0A"/>
    <w:rsid w:val="004230A5"/>
    <w:rsid w:val="00423379"/>
    <w:rsid w:val="00423874"/>
    <w:rsid w:val="004239B2"/>
    <w:rsid w:val="00423FCA"/>
    <w:rsid w:val="004240C3"/>
    <w:rsid w:val="00424B19"/>
    <w:rsid w:val="00424C27"/>
    <w:rsid w:val="0042505D"/>
    <w:rsid w:val="00425191"/>
    <w:rsid w:val="00425C58"/>
    <w:rsid w:val="0042635A"/>
    <w:rsid w:val="004265B0"/>
    <w:rsid w:val="00426B17"/>
    <w:rsid w:val="00427D0F"/>
    <w:rsid w:val="0043016E"/>
    <w:rsid w:val="00430A99"/>
    <w:rsid w:val="00430EAD"/>
    <w:rsid w:val="0043153C"/>
    <w:rsid w:val="00431549"/>
    <w:rsid w:val="00432C31"/>
    <w:rsid w:val="00432E24"/>
    <w:rsid w:val="0043380F"/>
    <w:rsid w:val="0043399E"/>
    <w:rsid w:val="00433CB1"/>
    <w:rsid w:val="004344F0"/>
    <w:rsid w:val="00434F30"/>
    <w:rsid w:val="004354AF"/>
    <w:rsid w:val="0043572E"/>
    <w:rsid w:val="00436461"/>
    <w:rsid w:val="00436E70"/>
    <w:rsid w:val="00436F7E"/>
    <w:rsid w:val="00437773"/>
    <w:rsid w:val="00437B91"/>
    <w:rsid w:val="00437F0A"/>
    <w:rsid w:val="0044026B"/>
    <w:rsid w:val="004428D1"/>
    <w:rsid w:val="00442FF3"/>
    <w:rsid w:val="004437B3"/>
    <w:rsid w:val="00443DF7"/>
    <w:rsid w:val="004441F8"/>
    <w:rsid w:val="00444209"/>
    <w:rsid w:val="00444436"/>
    <w:rsid w:val="00444F86"/>
    <w:rsid w:val="00444F89"/>
    <w:rsid w:val="004457A4"/>
    <w:rsid w:val="004466D9"/>
    <w:rsid w:val="00446775"/>
    <w:rsid w:val="00446D0C"/>
    <w:rsid w:val="0044744A"/>
    <w:rsid w:val="0044781D"/>
    <w:rsid w:val="004505D4"/>
    <w:rsid w:val="00450ECA"/>
    <w:rsid w:val="004520E6"/>
    <w:rsid w:val="0045297A"/>
    <w:rsid w:val="00453217"/>
    <w:rsid w:val="0045368E"/>
    <w:rsid w:val="0045434A"/>
    <w:rsid w:val="004546C1"/>
    <w:rsid w:val="00455BDF"/>
    <w:rsid w:val="004567F7"/>
    <w:rsid w:val="00456B40"/>
    <w:rsid w:val="0045778F"/>
    <w:rsid w:val="00460216"/>
    <w:rsid w:val="0046030A"/>
    <w:rsid w:val="004603BE"/>
    <w:rsid w:val="004604CA"/>
    <w:rsid w:val="0046086B"/>
    <w:rsid w:val="00460AE0"/>
    <w:rsid w:val="00460FC4"/>
    <w:rsid w:val="0046114C"/>
    <w:rsid w:val="00462067"/>
    <w:rsid w:val="00462703"/>
    <w:rsid w:val="00462D1E"/>
    <w:rsid w:val="00463C67"/>
    <w:rsid w:val="00465D8E"/>
    <w:rsid w:val="004668B8"/>
    <w:rsid w:val="0047038C"/>
    <w:rsid w:val="004706F8"/>
    <w:rsid w:val="00470D91"/>
    <w:rsid w:val="004710E7"/>
    <w:rsid w:val="00471D81"/>
    <w:rsid w:val="00471D97"/>
    <w:rsid w:val="00471EDD"/>
    <w:rsid w:val="00472152"/>
    <w:rsid w:val="004728A5"/>
    <w:rsid w:val="00473490"/>
    <w:rsid w:val="00473662"/>
    <w:rsid w:val="00473BC0"/>
    <w:rsid w:val="0047458C"/>
    <w:rsid w:val="004758FB"/>
    <w:rsid w:val="004759D4"/>
    <w:rsid w:val="00476126"/>
    <w:rsid w:val="0047684A"/>
    <w:rsid w:val="00477377"/>
    <w:rsid w:val="0048038C"/>
    <w:rsid w:val="004805E9"/>
    <w:rsid w:val="00480A4B"/>
    <w:rsid w:val="00480B55"/>
    <w:rsid w:val="00481AFA"/>
    <w:rsid w:val="004820B5"/>
    <w:rsid w:val="00483B69"/>
    <w:rsid w:val="00483BC9"/>
    <w:rsid w:val="0048413F"/>
    <w:rsid w:val="00484192"/>
    <w:rsid w:val="00484382"/>
    <w:rsid w:val="0048578C"/>
    <w:rsid w:val="004901E5"/>
    <w:rsid w:val="0049177B"/>
    <w:rsid w:val="004928DB"/>
    <w:rsid w:val="00492E8C"/>
    <w:rsid w:val="00492F18"/>
    <w:rsid w:val="0049359B"/>
    <w:rsid w:val="00494227"/>
    <w:rsid w:val="00494C63"/>
    <w:rsid w:val="00494FAB"/>
    <w:rsid w:val="00495572"/>
    <w:rsid w:val="004967E3"/>
    <w:rsid w:val="00496BB1"/>
    <w:rsid w:val="00497587"/>
    <w:rsid w:val="00497930"/>
    <w:rsid w:val="00497A3C"/>
    <w:rsid w:val="00497D9E"/>
    <w:rsid w:val="004A00A6"/>
    <w:rsid w:val="004A0D87"/>
    <w:rsid w:val="004A1839"/>
    <w:rsid w:val="004A24CE"/>
    <w:rsid w:val="004A29BC"/>
    <w:rsid w:val="004A2F63"/>
    <w:rsid w:val="004A32EE"/>
    <w:rsid w:val="004A3C53"/>
    <w:rsid w:val="004A4621"/>
    <w:rsid w:val="004A47FF"/>
    <w:rsid w:val="004A5585"/>
    <w:rsid w:val="004A5951"/>
    <w:rsid w:val="004A5D5F"/>
    <w:rsid w:val="004A6E2F"/>
    <w:rsid w:val="004A71C4"/>
    <w:rsid w:val="004A7EE5"/>
    <w:rsid w:val="004B0C23"/>
    <w:rsid w:val="004B0FC9"/>
    <w:rsid w:val="004B12FB"/>
    <w:rsid w:val="004B21D2"/>
    <w:rsid w:val="004B2662"/>
    <w:rsid w:val="004B2AB6"/>
    <w:rsid w:val="004B4082"/>
    <w:rsid w:val="004B4573"/>
    <w:rsid w:val="004B479C"/>
    <w:rsid w:val="004B49B1"/>
    <w:rsid w:val="004B4F61"/>
    <w:rsid w:val="004B5478"/>
    <w:rsid w:val="004B56F7"/>
    <w:rsid w:val="004B5D5E"/>
    <w:rsid w:val="004B6124"/>
    <w:rsid w:val="004B63E7"/>
    <w:rsid w:val="004B6995"/>
    <w:rsid w:val="004B7FC9"/>
    <w:rsid w:val="004C03DD"/>
    <w:rsid w:val="004C05A3"/>
    <w:rsid w:val="004C05E1"/>
    <w:rsid w:val="004C15B6"/>
    <w:rsid w:val="004C1B2A"/>
    <w:rsid w:val="004C214D"/>
    <w:rsid w:val="004C247B"/>
    <w:rsid w:val="004C2D7E"/>
    <w:rsid w:val="004C3312"/>
    <w:rsid w:val="004C3436"/>
    <w:rsid w:val="004C36D8"/>
    <w:rsid w:val="004C3906"/>
    <w:rsid w:val="004C3989"/>
    <w:rsid w:val="004C3C10"/>
    <w:rsid w:val="004C4298"/>
    <w:rsid w:val="004C4DE0"/>
    <w:rsid w:val="004C5923"/>
    <w:rsid w:val="004C5C54"/>
    <w:rsid w:val="004C6700"/>
    <w:rsid w:val="004C765D"/>
    <w:rsid w:val="004C796B"/>
    <w:rsid w:val="004C7B10"/>
    <w:rsid w:val="004C7D74"/>
    <w:rsid w:val="004D00A1"/>
    <w:rsid w:val="004D24AB"/>
    <w:rsid w:val="004D2DE1"/>
    <w:rsid w:val="004D37B5"/>
    <w:rsid w:val="004D3FB1"/>
    <w:rsid w:val="004D4D11"/>
    <w:rsid w:val="004D5206"/>
    <w:rsid w:val="004D5FE3"/>
    <w:rsid w:val="004D66A6"/>
    <w:rsid w:val="004D6EE7"/>
    <w:rsid w:val="004D7008"/>
    <w:rsid w:val="004D751D"/>
    <w:rsid w:val="004D7C1A"/>
    <w:rsid w:val="004E0C1A"/>
    <w:rsid w:val="004E0FD1"/>
    <w:rsid w:val="004E1751"/>
    <w:rsid w:val="004E1DB3"/>
    <w:rsid w:val="004E1DED"/>
    <w:rsid w:val="004E20CE"/>
    <w:rsid w:val="004E279E"/>
    <w:rsid w:val="004E38F6"/>
    <w:rsid w:val="004E3AEC"/>
    <w:rsid w:val="004E3B7F"/>
    <w:rsid w:val="004E3D66"/>
    <w:rsid w:val="004E64D3"/>
    <w:rsid w:val="004E6F37"/>
    <w:rsid w:val="004E7160"/>
    <w:rsid w:val="004E72F7"/>
    <w:rsid w:val="004E7773"/>
    <w:rsid w:val="004E77D1"/>
    <w:rsid w:val="004E78B7"/>
    <w:rsid w:val="004F0026"/>
    <w:rsid w:val="004F1EFC"/>
    <w:rsid w:val="004F23A6"/>
    <w:rsid w:val="004F3825"/>
    <w:rsid w:val="004F3BEB"/>
    <w:rsid w:val="004F3CBA"/>
    <w:rsid w:val="004F51B5"/>
    <w:rsid w:val="004F52DB"/>
    <w:rsid w:val="004F6392"/>
    <w:rsid w:val="004F6C3B"/>
    <w:rsid w:val="004F6EA0"/>
    <w:rsid w:val="004F6F5B"/>
    <w:rsid w:val="004F7095"/>
    <w:rsid w:val="004F7FA9"/>
    <w:rsid w:val="0050153F"/>
    <w:rsid w:val="00501E92"/>
    <w:rsid w:val="00502FDD"/>
    <w:rsid w:val="005036E3"/>
    <w:rsid w:val="00503FC8"/>
    <w:rsid w:val="0050402E"/>
    <w:rsid w:val="005042CC"/>
    <w:rsid w:val="00504963"/>
    <w:rsid w:val="005050C0"/>
    <w:rsid w:val="005053E6"/>
    <w:rsid w:val="00505B7C"/>
    <w:rsid w:val="0050652C"/>
    <w:rsid w:val="00506EA0"/>
    <w:rsid w:val="00507DFC"/>
    <w:rsid w:val="00510AEE"/>
    <w:rsid w:val="00510AF9"/>
    <w:rsid w:val="00512097"/>
    <w:rsid w:val="00512108"/>
    <w:rsid w:val="00512257"/>
    <w:rsid w:val="005128F7"/>
    <w:rsid w:val="00512AD6"/>
    <w:rsid w:val="00512C7A"/>
    <w:rsid w:val="00512DAF"/>
    <w:rsid w:val="005133ED"/>
    <w:rsid w:val="005133F0"/>
    <w:rsid w:val="00513A78"/>
    <w:rsid w:val="00513B89"/>
    <w:rsid w:val="0051484D"/>
    <w:rsid w:val="00514D92"/>
    <w:rsid w:val="00514FC6"/>
    <w:rsid w:val="005159A9"/>
    <w:rsid w:val="0051636E"/>
    <w:rsid w:val="00516BF4"/>
    <w:rsid w:val="00517E1F"/>
    <w:rsid w:val="005209F3"/>
    <w:rsid w:val="00520A6F"/>
    <w:rsid w:val="0052116B"/>
    <w:rsid w:val="0052153F"/>
    <w:rsid w:val="00521D7D"/>
    <w:rsid w:val="00523353"/>
    <w:rsid w:val="00523A23"/>
    <w:rsid w:val="00524216"/>
    <w:rsid w:val="0052495C"/>
    <w:rsid w:val="00524DFB"/>
    <w:rsid w:val="00525148"/>
    <w:rsid w:val="005259F5"/>
    <w:rsid w:val="00525BB6"/>
    <w:rsid w:val="00526359"/>
    <w:rsid w:val="0052779E"/>
    <w:rsid w:val="00530112"/>
    <w:rsid w:val="005301DF"/>
    <w:rsid w:val="00531E10"/>
    <w:rsid w:val="00532A8E"/>
    <w:rsid w:val="00533A68"/>
    <w:rsid w:val="00533E51"/>
    <w:rsid w:val="00533EDE"/>
    <w:rsid w:val="005347D5"/>
    <w:rsid w:val="00534CE2"/>
    <w:rsid w:val="005355F5"/>
    <w:rsid w:val="0053563F"/>
    <w:rsid w:val="00536426"/>
    <w:rsid w:val="00536B4C"/>
    <w:rsid w:val="00536C98"/>
    <w:rsid w:val="005371DF"/>
    <w:rsid w:val="00537521"/>
    <w:rsid w:val="0053755D"/>
    <w:rsid w:val="005376D3"/>
    <w:rsid w:val="00537EC3"/>
    <w:rsid w:val="005410E9"/>
    <w:rsid w:val="00541EE1"/>
    <w:rsid w:val="0054276F"/>
    <w:rsid w:val="00542A45"/>
    <w:rsid w:val="00543339"/>
    <w:rsid w:val="005433B4"/>
    <w:rsid w:val="00543627"/>
    <w:rsid w:val="005436C5"/>
    <w:rsid w:val="0054373F"/>
    <w:rsid w:val="005437C2"/>
    <w:rsid w:val="00543E28"/>
    <w:rsid w:val="00544916"/>
    <w:rsid w:val="00544A74"/>
    <w:rsid w:val="00544FF1"/>
    <w:rsid w:val="00545013"/>
    <w:rsid w:val="00545BC2"/>
    <w:rsid w:val="005469A6"/>
    <w:rsid w:val="00547A79"/>
    <w:rsid w:val="00547C43"/>
    <w:rsid w:val="00550176"/>
    <w:rsid w:val="00550504"/>
    <w:rsid w:val="00550549"/>
    <w:rsid w:val="00550751"/>
    <w:rsid w:val="00550BF4"/>
    <w:rsid w:val="00551D9A"/>
    <w:rsid w:val="0055280A"/>
    <w:rsid w:val="0055396F"/>
    <w:rsid w:val="00553F33"/>
    <w:rsid w:val="00554654"/>
    <w:rsid w:val="0055649B"/>
    <w:rsid w:val="005566FB"/>
    <w:rsid w:val="0055698B"/>
    <w:rsid w:val="00556CF0"/>
    <w:rsid w:val="00557059"/>
    <w:rsid w:val="005575CD"/>
    <w:rsid w:val="005578D6"/>
    <w:rsid w:val="00557A9B"/>
    <w:rsid w:val="00557DEA"/>
    <w:rsid w:val="00560E84"/>
    <w:rsid w:val="00561113"/>
    <w:rsid w:val="005613CD"/>
    <w:rsid w:val="005614B1"/>
    <w:rsid w:val="00562DF6"/>
    <w:rsid w:val="00562E58"/>
    <w:rsid w:val="00563683"/>
    <w:rsid w:val="00563B26"/>
    <w:rsid w:val="00563E40"/>
    <w:rsid w:val="00563EDD"/>
    <w:rsid w:val="00564010"/>
    <w:rsid w:val="005641E0"/>
    <w:rsid w:val="00564260"/>
    <w:rsid w:val="005645AB"/>
    <w:rsid w:val="00565590"/>
    <w:rsid w:val="00565D3B"/>
    <w:rsid w:val="0056688F"/>
    <w:rsid w:val="00566D5A"/>
    <w:rsid w:val="00566F24"/>
    <w:rsid w:val="00566F5A"/>
    <w:rsid w:val="005673B1"/>
    <w:rsid w:val="00567FAC"/>
    <w:rsid w:val="0057041F"/>
    <w:rsid w:val="00570CA9"/>
    <w:rsid w:val="005717A4"/>
    <w:rsid w:val="00571BA7"/>
    <w:rsid w:val="00572A64"/>
    <w:rsid w:val="00572F67"/>
    <w:rsid w:val="00574126"/>
    <w:rsid w:val="005763CE"/>
    <w:rsid w:val="00576D8E"/>
    <w:rsid w:val="00577050"/>
    <w:rsid w:val="00577A5E"/>
    <w:rsid w:val="00577EB1"/>
    <w:rsid w:val="0058017A"/>
    <w:rsid w:val="0058106B"/>
    <w:rsid w:val="005812D5"/>
    <w:rsid w:val="00581791"/>
    <w:rsid w:val="00582169"/>
    <w:rsid w:val="0058288E"/>
    <w:rsid w:val="00583DF0"/>
    <w:rsid w:val="00583E05"/>
    <w:rsid w:val="00584096"/>
    <w:rsid w:val="00584FC8"/>
    <w:rsid w:val="00585AAF"/>
    <w:rsid w:val="00585DEF"/>
    <w:rsid w:val="005861B1"/>
    <w:rsid w:val="0058648F"/>
    <w:rsid w:val="0059070B"/>
    <w:rsid w:val="00590F0E"/>
    <w:rsid w:val="00591A3A"/>
    <w:rsid w:val="00592635"/>
    <w:rsid w:val="0059281A"/>
    <w:rsid w:val="00592C72"/>
    <w:rsid w:val="00592DD4"/>
    <w:rsid w:val="005943F0"/>
    <w:rsid w:val="00596D3D"/>
    <w:rsid w:val="00597493"/>
    <w:rsid w:val="005A00C0"/>
    <w:rsid w:val="005A029E"/>
    <w:rsid w:val="005A0A7B"/>
    <w:rsid w:val="005A0EB2"/>
    <w:rsid w:val="005A1223"/>
    <w:rsid w:val="005A14B8"/>
    <w:rsid w:val="005A17A9"/>
    <w:rsid w:val="005A24A6"/>
    <w:rsid w:val="005A2F64"/>
    <w:rsid w:val="005A3D5C"/>
    <w:rsid w:val="005A42CE"/>
    <w:rsid w:val="005A4506"/>
    <w:rsid w:val="005A48EE"/>
    <w:rsid w:val="005A4D7A"/>
    <w:rsid w:val="005A4F98"/>
    <w:rsid w:val="005A5BE5"/>
    <w:rsid w:val="005A6812"/>
    <w:rsid w:val="005A7D71"/>
    <w:rsid w:val="005A7E6E"/>
    <w:rsid w:val="005B135C"/>
    <w:rsid w:val="005B14E9"/>
    <w:rsid w:val="005B185B"/>
    <w:rsid w:val="005B1A70"/>
    <w:rsid w:val="005B1EDC"/>
    <w:rsid w:val="005B22E6"/>
    <w:rsid w:val="005B3A04"/>
    <w:rsid w:val="005B4281"/>
    <w:rsid w:val="005B47EF"/>
    <w:rsid w:val="005B5415"/>
    <w:rsid w:val="005B6BBA"/>
    <w:rsid w:val="005B6D17"/>
    <w:rsid w:val="005B7877"/>
    <w:rsid w:val="005B7B74"/>
    <w:rsid w:val="005C01E4"/>
    <w:rsid w:val="005C1277"/>
    <w:rsid w:val="005C1D11"/>
    <w:rsid w:val="005C1E62"/>
    <w:rsid w:val="005C251B"/>
    <w:rsid w:val="005C3A16"/>
    <w:rsid w:val="005C4AEB"/>
    <w:rsid w:val="005C4E71"/>
    <w:rsid w:val="005C58EE"/>
    <w:rsid w:val="005C65B3"/>
    <w:rsid w:val="005C6EFC"/>
    <w:rsid w:val="005D1899"/>
    <w:rsid w:val="005D2C1D"/>
    <w:rsid w:val="005D392B"/>
    <w:rsid w:val="005D4B04"/>
    <w:rsid w:val="005D4E21"/>
    <w:rsid w:val="005D50E0"/>
    <w:rsid w:val="005D545B"/>
    <w:rsid w:val="005D5A2D"/>
    <w:rsid w:val="005D72CA"/>
    <w:rsid w:val="005D7382"/>
    <w:rsid w:val="005D7A85"/>
    <w:rsid w:val="005E01D1"/>
    <w:rsid w:val="005E0D3F"/>
    <w:rsid w:val="005E0EE9"/>
    <w:rsid w:val="005E1134"/>
    <w:rsid w:val="005E257E"/>
    <w:rsid w:val="005E31EB"/>
    <w:rsid w:val="005E3558"/>
    <w:rsid w:val="005E427F"/>
    <w:rsid w:val="005E484B"/>
    <w:rsid w:val="005E4981"/>
    <w:rsid w:val="005E557B"/>
    <w:rsid w:val="005F16E5"/>
    <w:rsid w:val="005F1B11"/>
    <w:rsid w:val="005F211B"/>
    <w:rsid w:val="005F254D"/>
    <w:rsid w:val="005F3F35"/>
    <w:rsid w:val="005F414B"/>
    <w:rsid w:val="005F43DB"/>
    <w:rsid w:val="005F4C16"/>
    <w:rsid w:val="005F4CCE"/>
    <w:rsid w:val="005F4E83"/>
    <w:rsid w:val="005F5391"/>
    <w:rsid w:val="005F5A53"/>
    <w:rsid w:val="005F5B88"/>
    <w:rsid w:val="005F5D7E"/>
    <w:rsid w:val="005F6015"/>
    <w:rsid w:val="005F6042"/>
    <w:rsid w:val="005F60D7"/>
    <w:rsid w:val="005F6E5F"/>
    <w:rsid w:val="005F7A33"/>
    <w:rsid w:val="006002CE"/>
    <w:rsid w:val="0060044C"/>
    <w:rsid w:val="00602738"/>
    <w:rsid w:val="00602BB9"/>
    <w:rsid w:val="00602D67"/>
    <w:rsid w:val="00603353"/>
    <w:rsid w:val="00603CF3"/>
    <w:rsid w:val="00604735"/>
    <w:rsid w:val="00604E69"/>
    <w:rsid w:val="00604EDD"/>
    <w:rsid w:val="00605987"/>
    <w:rsid w:val="00605DD4"/>
    <w:rsid w:val="0060602C"/>
    <w:rsid w:val="00606726"/>
    <w:rsid w:val="00606E0F"/>
    <w:rsid w:val="006070B3"/>
    <w:rsid w:val="0060719A"/>
    <w:rsid w:val="006071C9"/>
    <w:rsid w:val="00607CED"/>
    <w:rsid w:val="0061035B"/>
    <w:rsid w:val="00610499"/>
    <w:rsid w:val="0061083E"/>
    <w:rsid w:val="00610C61"/>
    <w:rsid w:val="0061183B"/>
    <w:rsid w:val="00612131"/>
    <w:rsid w:val="00612838"/>
    <w:rsid w:val="00613E7F"/>
    <w:rsid w:val="00614307"/>
    <w:rsid w:val="00614751"/>
    <w:rsid w:val="00614F69"/>
    <w:rsid w:val="006150D1"/>
    <w:rsid w:val="006151CA"/>
    <w:rsid w:val="00615D66"/>
    <w:rsid w:val="0061694F"/>
    <w:rsid w:val="00616D55"/>
    <w:rsid w:val="00617B38"/>
    <w:rsid w:val="00620255"/>
    <w:rsid w:val="0062145E"/>
    <w:rsid w:val="00621823"/>
    <w:rsid w:val="0062185B"/>
    <w:rsid w:val="0062195B"/>
    <w:rsid w:val="00622807"/>
    <w:rsid w:val="0062297D"/>
    <w:rsid w:val="00622D4E"/>
    <w:rsid w:val="00622D90"/>
    <w:rsid w:val="00622F2E"/>
    <w:rsid w:val="00623E6E"/>
    <w:rsid w:val="00624389"/>
    <w:rsid w:val="006243D7"/>
    <w:rsid w:val="00624699"/>
    <w:rsid w:val="006247CA"/>
    <w:rsid w:val="00624A0B"/>
    <w:rsid w:val="0062515C"/>
    <w:rsid w:val="00626B5B"/>
    <w:rsid w:val="00626C28"/>
    <w:rsid w:val="00626E4F"/>
    <w:rsid w:val="0062736B"/>
    <w:rsid w:val="00630581"/>
    <w:rsid w:val="006306FB"/>
    <w:rsid w:val="00631B26"/>
    <w:rsid w:val="00631ECE"/>
    <w:rsid w:val="00631F1A"/>
    <w:rsid w:val="00631F33"/>
    <w:rsid w:val="006327EF"/>
    <w:rsid w:val="00632F5D"/>
    <w:rsid w:val="006332AD"/>
    <w:rsid w:val="006335E0"/>
    <w:rsid w:val="0063411B"/>
    <w:rsid w:val="006349F7"/>
    <w:rsid w:val="0063503B"/>
    <w:rsid w:val="00635B62"/>
    <w:rsid w:val="00635CBE"/>
    <w:rsid w:val="00635DB0"/>
    <w:rsid w:val="00635F10"/>
    <w:rsid w:val="006364AA"/>
    <w:rsid w:val="00636E18"/>
    <w:rsid w:val="00640A02"/>
    <w:rsid w:val="00640C66"/>
    <w:rsid w:val="00641675"/>
    <w:rsid w:val="0064229B"/>
    <w:rsid w:val="006423E5"/>
    <w:rsid w:val="0064267F"/>
    <w:rsid w:val="00642A8F"/>
    <w:rsid w:val="00642B82"/>
    <w:rsid w:val="00643048"/>
    <w:rsid w:val="00643D58"/>
    <w:rsid w:val="00644E56"/>
    <w:rsid w:val="00644FFF"/>
    <w:rsid w:val="00645132"/>
    <w:rsid w:val="00645CAE"/>
    <w:rsid w:val="00645D80"/>
    <w:rsid w:val="00645E8D"/>
    <w:rsid w:val="00645F04"/>
    <w:rsid w:val="00646061"/>
    <w:rsid w:val="00647F68"/>
    <w:rsid w:val="00650014"/>
    <w:rsid w:val="00650043"/>
    <w:rsid w:val="00650DA9"/>
    <w:rsid w:val="0065101E"/>
    <w:rsid w:val="006516C3"/>
    <w:rsid w:val="00651A6C"/>
    <w:rsid w:val="00651BB9"/>
    <w:rsid w:val="00651E56"/>
    <w:rsid w:val="00652A6A"/>
    <w:rsid w:val="00652CF3"/>
    <w:rsid w:val="006534F2"/>
    <w:rsid w:val="00653CDF"/>
    <w:rsid w:val="0065403D"/>
    <w:rsid w:val="00654EBD"/>
    <w:rsid w:val="006552A0"/>
    <w:rsid w:val="00657468"/>
    <w:rsid w:val="00657D4F"/>
    <w:rsid w:val="00660773"/>
    <w:rsid w:val="00661127"/>
    <w:rsid w:val="006614E6"/>
    <w:rsid w:val="006616A2"/>
    <w:rsid w:val="0066223C"/>
    <w:rsid w:val="00662B40"/>
    <w:rsid w:val="00663576"/>
    <w:rsid w:val="00663918"/>
    <w:rsid w:val="006639E0"/>
    <w:rsid w:val="00664B74"/>
    <w:rsid w:val="00665894"/>
    <w:rsid w:val="00665CC5"/>
    <w:rsid w:val="00666F4D"/>
    <w:rsid w:val="00667419"/>
    <w:rsid w:val="00670486"/>
    <w:rsid w:val="006704DE"/>
    <w:rsid w:val="0067071E"/>
    <w:rsid w:val="0067164F"/>
    <w:rsid w:val="00671A62"/>
    <w:rsid w:val="00671F51"/>
    <w:rsid w:val="00672245"/>
    <w:rsid w:val="00672440"/>
    <w:rsid w:val="0067254A"/>
    <w:rsid w:val="006733E7"/>
    <w:rsid w:val="00673E40"/>
    <w:rsid w:val="00673FB2"/>
    <w:rsid w:val="006744E3"/>
    <w:rsid w:val="006746AB"/>
    <w:rsid w:val="00675BBD"/>
    <w:rsid w:val="00675C6B"/>
    <w:rsid w:val="0067601F"/>
    <w:rsid w:val="0067699D"/>
    <w:rsid w:val="00676CEF"/>
    <w:rsid w:val="006777E3"/>
    <w:rsid w:val="00677A44"/>
    <w:rsid w:val="00677C03"/>
    <w:rsid w:val="00680064"/>
    <w:rsid w:val="006809DA"/>
    <w:rsid w:val="00680A79"/>
    <w:rsid w:val="006819C8"/>
    <w:rsid w:val="00681CB9"/>
    <w:rsid w:val="00681D17"/>
    <w:rsid w:val="00681EE0"/>
    <w:rsid w:val="00681FC0"/>
    <w:rsid w:val="006822D1"/>
    <w:rsid w:val="00682BB9"/>
    <w:rsid w:val="00682E40"/>
    <w:rsid w:val="00682F90"/>
    <w:rsid w:val="00683A61"/>
    <w:rsid w:val="00683D6E"/>
    <w:rsid w:val="00684916"/>
    <w:rsid w:val="0068494F"/>
    <w:rsid w:val="0068552D"/>
    <w:rsid w:val="0068671B"/>
    <w:rsid w:val="00690B9D"/>
    <w:rsid w:val="00690EF0"/>
    <w:rsid w:val="00691349"/>
    <w:rsid w:val="006913C3"/>
    <w:rsid w:val="006913FB"/>
    <w:rsid w:val="006927F4"/>
    <w:rsid w:val="006928CA"/>
    <w:rsid w:val="006933D7"/>
    <w:rsid w:val="006936FF"/>
    <w:rsid w:val="006937A0"/>
    <w:rsid w:val="00694130"/>
    <w:rsid w:val="006943E3"/>
    <w:rsid w:val="00694471"/>
    <w:rsid w:val="00694760"/>
    <w:rsid w:val="006949F5"/>
    <w:rsid w:val="00695D7C"/>
    <w:rsid w:val="00696186"/>
    <w:rsid w:val="006964C8"/>
    <w:rsid w:val="006967E9"/>
    <w:rsid w:val="006968EA"/>
    <w:rsid w:val="00697006"/>
    <w:rsid w:val="00697268"/>
    <w:rsid w:val="006A0B96"/>
    <w:rsid w:val="006A0CAD"/>
    <w:rsid w:val="006A1EE3"/>
    <w:rsid w:val="006A3891"/>
    <w:rsid w:val="006A4053"/>
    <w:rsid w:val="006A45BA"/>
    <w:rsid w:val="006A54A5"/>
    <w:rsid w:val="006A570E"/>
    <w:rsid w:val="006A58D2"/>
    <w:rsid w:val="006A729A"/>
    <w:rsid w:val="006A75AB"/>
    <w:rsid w:val="006A75BA"/>
    <w:rsid w:val="006B037D"/>
    <w:rsid w:val="006B10B9"/>
    <w:rsid w:val="006B2361"/>
    <w:rsid w:val="006B23F4"/>
    <w:rsid w:val="006B2E4F"/>
    <w:rsid w:val="006B3187"/>
    <w:rsid w:val="006B3718"/>
    <w:rsid w:val="006B3D51"/>
    <w:rsid w:val="006B4135"/>
    <w:rsid w:val="006B48C3"/>
    <w:rsid w:val="006B4BF0"/>
    <w:rsid w:val="006B4C8A"/>
    <w:rsid w:val="006B54FE"/>
    <w:rsid w:val="006B617A"/>
    <w:rsid w:val="006B625E"/>
    <w:rsid w:val="006B77B8"/>
    <w:rsid w:val="006B783D"/>
    <w:rsid w:val="006B78BB"/>
    <w:rsid w:val="006C0026"/>
    <w:rsid w:val="006C0351"/>
    <w:rsid w:val="006C0380"/>
    <w:rsid w:val="006C0D20"/>
    <w:rsid w:val="006C0ED5"/>
    <w:rsid w:val="006C12DA"/>
    <w:rsid w:val="006C1451"/>
    <w:rsid w:val="006C2586"/>
    <w:rsid w:val="006C28DF"/>
    <w:rsid w:val="006C3825"/>
    <w:rsid w:val="006C394C"/>
    <w:rsid w:val="006C39C7"/>
    <w:rsid w:val="006C4401"/>
    <w:rsid w:val="006C496C"/>
    <w:rsid w:val="006C50E7"/>
    <w:rsid w:val="006C7170"/>
    <w:rsid w:val="006C76D4"/>
    <w:rsid w:val="006C7EB3"/>
    <w:rsid w:val="006D0009"/>
    <w:rsid w:val="006D0844"/>
    <w:rsid w:val="006D0C70"/>
    <w:rsid w:val="006D12D2"/>
    <w:rsid w:val="006D1BCA"/>
    <w:rsid w:val="006D1CF4"/>
    <w:rsid w:val="006D2114"/>
    <w:rsid w:val="006D253B"/>
    <w:rsid w:val="006D2695"/>
    <w:rsid w:val="006D31E7"/>
    <w:rsid w:val="006D3318"/>
    <w:rsid w:val="006D3331"/>
    <w:rsid w:val="006D341D"/>
    <w:rsid w:val="006D37EA"/>
    <w:rsid w:val="006D3AAD"/>
    <w:rsid w:val="006D424B"/>
    <w:rsid w:val="006D4677"/>
    <w:rsid w:val="006D499E"/>
    <w:rsid w:val="006D59A7"/>
    <w:rsid w:val="006D5C28"/>
    <w:rsid w:val="006D66ED"/>
    <w:rsid w:val="006D6BBF"/>
    <w:rsid w:val="006D734D"/>
    <w:rsid w:val="006D748A"/>
    <w:rsid w:val="006D77EF"/>
    <w:rsid w:val="006D7A3B"/>
    <w:rsid w:val="006D7F43"/>
    <w:rsid w:val="006E00BA"/>
    <w:rsid w:val="006E095B"/>
    <w:rsid w:val="006E0B6D"/>
    <w:rsid w:val="006E1848"/>
    <w:rsid w:val="006E204D"/>
    <w:rsid w:val="006E2A38"/>
    <w:rsid w:val="006E2AB3"/>
    <w:rsid w:val="006E2D31"/>
    <w:rsid w:val="006E4112"/>
    <w:rsid w:val="006E4692"/>
    <w:rsid w:val="006E5382"/>
    <w:rsid w:val="006E5635"/>
    <w:rsid w:val="006E5787"/>
    <w:rsid w:val="006E6317"/>
    <w:rsid w:val="006E653F"/>
    <w:rsid w:val="006E67F8"/>
    <w:rsid w:val="006E6879"/>
    <w:rsid w:val="006E68E8"/>
    <w:rsid w:val="006E69E5"/>
    <w:rsid w:val="006E6CD9"/>
    <w:rsid w:val="006E6F7D"/>
    <w:rsid w:val="006E7698"/>
    <w:rsid w:val="006E7C24"/>
    <w:rsid w:val="006E7E3B"/>
    <w:rsid w:val="006F14F4"/>
    <w:rsid w:val="006F1B72"/>
    <w:rsid w:val="006F2191"/>
    <w:rsid w:val="006F231B"/>
    <w:rsid w:val="006F2822"/>
    <w:rsid w:val="006F44BE"/>
    <w:rsid w:val="006F4875"/>
    <w:rsid w:val="006F4F54"/>
    <w:rsid w:val="006F5CF7"/>
    <w:rsid w:val="006F5E8E"/>
    <w:rsid w:val="006F6649"/>
    <w:rsid w:val="006F6A11"/>
    <w:rsid w:val="006F6DE5"/>
    <w:rsid w:val="00700207"/>
    <w:rsid w:val="00700390"/>
    <w:rsid w:val="00700DE0"/>
    <w:rsid w:val="0070158D"/>
    <w:rsid w:val="007019D5"/>
    <w:rsid w:val="00701AC0"/>
    <w:rsid w:val="00701B52"/>
    <w:rsid w:val="00702083"/>
    <w:rsid w:val="00702DCE"/>
    <w:rsid w:val="00702DF7"/>
    <w:rsid w:val="00703C11"/>
    <w:rsid w:val="00703CF8"/>
    <w:rsid w:val="00703D42"/>
    <w:rsid w:val="0070481D"/>
    <w:rsid w:val="00704E6C"/>
    <w:rsid w:val="00705013"/>
    <w:rsid w:val="007050A5"/>
    <w:rsid w:val="0070573A"/>
    <w:rsid w:val="007059D3"/>
    <w:rsid w:val="00705B33"/>
    <w:rsid w:val="00705E16"/>
    <w:rsid w:val="0070660B"/>
    <w:rsid w:val="00706725"/>
    <w:rsid w:val="00706A90"/>
    <w:rsid w:val="007071ED"/>
    <w:rsid w:val="00707336"/>
    <w:rsid w:val="00707343"/>
    <w:rsid w:val="007104C7"/>
    <w:rsid w:val="00710E4C"/>
    <w:rsid w:val="0071136C"/>
    <w:rsid w:val="00711530"/>
    <w:rsid w:val="00711A88"/>
    <w:rsid w:val="00711A8C"/>
    <w:rsid w:val="00711B8C"/>
    <w:rsid w:val="00711F20"/>
    <w:rsid w:val="0071244C"/>
    <w:rsid w:val="00712803"/>
    <w:rsid w:val="00712D17"/>
    <w:rsid w:val="0071379D"/>
    <w:rsid w:val="00714545"/>
    <w:rsid w:val="007146C6"/>
    <w:rsid w:val="00714E98"/>
    <w:rsid w:val="00715186"/>
    <w:rsid w:val="00715A6A"/>
    <w:rsid w:val="00716CF7"/>
    <w:rsid w:val="00716F38"/>
    <w:rsid w:val="0072044C"/>
    <w:rsid w:val="0072189B"/>
    <w:rsid w:val="00722048"/>
    <w:rsid w:val="00722558"/>
    <w:rsid w:val="007228CC"/>
    <w:rsid w:val="00722AAD"/>
    <w:rsid w:val="00723C0C"/>
    <w:rsid w:val="00723D77"/>
    <w:rsid w:val="00724095"/>
    <w:rsid w:val="007246CA"/>
    <w:rsid w:val="0072489E"/>
    <w:rsid w:val="007248F0"/>
    <w:rsid w:val="0072513C"/>
    <w:rsid w:val="00725AC6"/>
    <w:rsid w:val="00725FC2"/>
    <w:rsid w:val="00727D27"/>
    <w:rsid w:val="00730382"/>
    <w:rsid w:val="007340D7"/>
    <w:rsid w:val="0073476F"/>
    <w:rsid w:val="007363D7"/>
    <w:rsid w:val="00736463"/>
    <w:rsid w:val="00736668"/>
    <w:rsid w:val="007367AB"/>
    <w:rsid w:val="007367CC"/>
    <w:rsid w:val="00736CEA"/>
    <w:rsid w:val="00737156"/>
    <w:rsid w:val="00737580"/>
    <w:rsid w:val="00737D94"/>
    <w:rsid w:val="007403E9"/>
    <w:rsid w:val="00740C74"/>
    <w:rsid w:val="00741CF5"/>
    <w:rsid w:val="00742D2D"/>
    <w:rsid w:val="00743099"/>
    <w:rsid w:val="007432B2"/>
    <w:rsid w:val="007436E5"/>
    <w:rsid w:val="00745CCE"/>
    <w:rsid w:val="00746949"/>
    <w:rsid w:val="00747939"/>
    <w:rsid w:val="0074793F"/>
    <w:rsid w:val="007504F3"/>
    <w:rsid w:val="00750B9E"/>
    <w:rsid w:val="007521F4"/>
    <w:rsid w:val="0075264E"/>
    <w:rsid w:val="00752862"/>
    <w:rsid w:val="00752D9F"/>
    <w:rsid w:val="00752EB6"/>
    <w:rsid w:val="00753813"/>
    <w:rsid w:val="00753DB7"/>
    <w:rsid w:val="00754596"/>
    <w:rsid w:val="007548F2"/>
    <w:rsid w:val="00754948"/>
    <w:rsid w:val="00755E65"/>
    <w:rsid w:val="00755F94"/>
    <w:rsid w:val="0075634A"/>
    <w:rsid w:val="0075657F"/>
    <w:rsid w:val="00756AF4"/>
    <w:rsid w:val="00757547"/>
    <w:rsid w:val="0076026A"/>
    <w:rsid w:val="00760283"/>
    <w:rsid w:val="00762324"/>
    <w:rsid w:val="0076268D"/>
    <w:rsid w:val="007639FE"/>
    <w:rsid w:val="00763A0B"/>
    <w:rsid w:val="00763D06"/>
    <w:rsid w:val="007640FA"/>
    <w:rsid w:val="00764998"/>
    <w:rsid w:val="00765190"/>
    <w:rsid w:val="00765E62"/>
    <w:rsid w:val="00766879"/>
    <w:rsid w:val="00767661"/>
    <w:rsid w:val="00767F2D"/>
    <w:rsid w:val="00770D06"/>
    <w:rsid w:val="007710DA"/>
    <w:rsid w:val="0077221F"/>
    <w:rsid w:val="007724D7"/>
    <w:rsid w:val="00772677"/>
    <w:rsid w:val="007730E7"/>
    <w:rsid w:val="007733FC"/>
    <w:rsid w:val="00773F64"/>
    <w:rsid w:val="0077470F"/>
    <w:rsid w:val="00775596"/>
    <w:rsid w:val="00775872"/>
    <w:rsid w:val="007764E9"/>
    <w:rsid w:val="00776B01"/>
    <w:rsid w:val="00776CB9"/>
    <w:rsid w:val="007776FE"/>
    <w:rsid w:val="00777BF6"/>
    <w:rsid w:val="00780083"/>
    <w:rsid w:val="0078040B"/>
    <w:rsid w:val="00780543"/>
    <w:rsid w:val="007807BC"/>
    <w:rsid w:val="0078085C"/>
    <w:rsid w:val="00780CA6"/>
    <w:rsid w:val="00781025"/>
    <w:rsid w:val="00781447"/>
    <w:rsid w:val="0078225F"/>
    <w:rsid w:val="00782989"/>
    <w:rsid w:val="007850DA"/>
    <w:rsid w:val="007859D3"/>
    <w:rsid w:val="00785C38"/>
    <w:rsid w:val="007871F0"/>
    <w:rsid w:val="00787919"/>
    <w:rsid w:val="00787E7F"/>
    <w:rsid w:val="00790178"/>
    <w:rsid w:val="0079025D"/>
    <w:rsid w:val="00790612"/>
    <w:rsid w:val="00791849"/>
    <w:rsid w:val="007918CD"/>
    <w:rsid w:val="00791BB7"/>
    <w:rsid w:val="00791BC9"/>
    <w:rsid w:val="00791C06"/>
    <w:rsid w:val="00791FCC"/>
    <w:rsid w:val="0079276B"/>
    <w:rsid w:val="00792BAC"/>
    <w:rsid w:val="00792DC3"/>
    <w:rsid w:val="00793D48"/>
    <w:rsid w:val="00793D92"/>
    <w:rsid w:val="00794339"/>
    <w:rsid w:val="007945E8"/>
    <w:rsid w:val="007946CB"/>
    <w:rsid w:val="0079471B"/>
    <w:rsid w:val="0079518C"/>
    <w:rsid w:val="007957E8"/>
    <w:rsid w:val="00795AAA"/>
    <w:rsid w:val="00795CF7"/>
    <w:rsid w:val="00795D97"/>
    <w:rsid w:val="00795E45"/>
    <w:rsid w:val="00796085"/>
    <w:rsid w:val="007961A0"/>
    <w:rsid w:val="00796335"/>
    <w:rsid w:val="00796B6C"/>
    <w:rsid w:val="007977C9"/>
    <w:rsid w:val="007A0434"/>
    <w:rsid w:val="007A083F"/>
    <w:rsid w:val="007A1405"/>
    <w:rsid w:val="007A2DF8"/>
    <w:rsid w:val="007A3048"/>
    <w:rsid w:val="007A37F7"/>
    <w:rsid w:val="007A426F"/>
    <w:rsid w:val="007A49DD"/>
    <w:rsid w:val="007A4C35"/>
    <w:rsid w:val="007A4DCA"/>
    <w:rsid w:val="007A5A77"/>
    <w:rsid w:val="007A5DB1"/>
    <w:rsid w:val="007A6812"/>
    <w:rsid w:val="007A6ECE"/>
    <w:rsid w:val="007A71EE"/>
    <w:rsid w:val="007A7401"/>
    <w:rsid w:val="007A7713"/>
    <w:rsid w:val="007A778D"/>
    <w:rsid w:val="007A7F4C"/>
    <w:rsid w:val="007B03D6"/>
    <w:rsid w:val="007B047B"/>
    <w:rsid w:val="007B1477"/>
    <w:rsid w:val="007B1D9C"/>
    <w:rsid w:val="007B273C"/>
    <w:rsid w:val="007B2C2E"/>
    <w:rsid w:val="007B3789"/>
    <w:rsid w:val="007B38F3"/>
    <w:rsid w:val="007B3F20"/>
    <w:rsid w:val="007B440D"/>
    <w:rsid w:val="007B49CB"/>
    <w:rsid w:val="007B651D"/>
    <w:rsid w:val="007B7135"/>
    <w:rsid w:val="007B76A2"/>
    <w:rsid w:val="007B7D36"/>
    <w:rsid w:val="007B7F5E"/>
    <w:rsid w:val="007C0760"/>
    <w:rsid w:val="007C0A7A"/>
    <w:rsid w:val="007C1B5E"/>
    <w:rsid w:val="007C1CDF"/>
    <w:rsid w:val="007C36E8"/>
    <w:rsid w:val="007C3FD6"/>
    <w:rsid w:val="007C4622"/>
    <w:rsid w:val="007C490B"/>
    <w:rsid w:val="007C54A2"/>
    <w:rsid w:val="007C5651"/>
    <w:rsid w:val="007C56F9"/>
    <w:rsid w:val="007C5767"/>
    <w:rsid w:val="007C5FE8"/>
    <w:rsid w:val="007C6B3E"/>
    <w:rsid w:val="007C7FB1"/>
    <w:rsid w:val="007C7FB5"/>
    <w:rsid w:val="007D0832"/>
    <w:rsid w:val="007D0A81"/>
    <w:rsid w:val="007D12A6"/>
    <w:rsid w:val="007D17DD"/>
    <w:rsid w:val="007D1D53"/>
    <w:rsid w:val="007D2888"/>
    <w:rsid w:val="007D57AB"/>
    <w:rsid w:val="007D5989"/>
    <w:rsid w:val="007D65C4"/>
    <w:rsid w:val="007D6731"/>
    <w:rsid w:val="007D769F"/>
    <w:rsid w:val="007D7833"/>
    <w:rsid w:val="007D7EF7"/>
    <w:rsid w:val="007E0108"/>
    <w:rsid w:val="007E1679"/>
    <w:rsid w:val="007E199A"/>
    <w:rsid w:val="007E22C9"/>
    <w:rsid w:val="007E3653"/>
    <w:rsid w:val="007E3FEA"/>
    <w:rsid w:val="007E48CF"/>
    <w:rsid w:val="007E4B29"/>
    <w:rsid w:val="007E4E10"/>
    <w:rsid w:val="007E5507"/>
    <w:rsid w:val="007E5EA0"/>
    <w:rsid w:val="007E64DC"/>
    <w:rsid w:val="007E662D"/>
    <w:rsid w:val="007E7471"/>
    <w:rsid w:val="007F069B"/>
    <w:rsid w:val="007F0880"/>
    <w:rsid w:val="007F093C"/>
    <w:rsid w:val="007F0D38"/>
    <w:rsid w:val="007F1ABE"/>
    <w:rsid w:val="007F2028"/>
    <w:rsid w:val="007F394D"/>
    <w:rsid w:val="007F42B1"/>
    <w:rsid w:val="007F4B05"/>
    <w:rsid w:val="007F4CDB"/>
    <w:rsid w:val="007F4FB0"/>
    <w:rsid w:val="007F55D6"/>
    <w:rsid w:val="007F664D"/>
    <w:rsid w:val="007F699F"/>
    <w:rsid w:val="007F6FCC"/>
    <w:rsid w:val="007F70E9"/>
    <w:rsid w:val="007F723B"/>
    <w:rsid w:val="007F7853"/>
    <w:rsid w:val="007F7C21"/>
    <w:rsid w:val="0080073E"/>
    <w:rsid w:val="008013A0"/>
    <w:rsid w:val="00801FE5"/>
    <w:rsid w:val="0080284F"/>
    <w:rsid w:val="00802B15"/>
    <w:rsid w:val="00804119"/>
    <w:rsid w:val="00804474"/>
    <w:rsid w:val="008056FF"/>
    <w:rsid w:val="00806114"/>
    <w:rsid w:val="0080699E"/>
    <w:rsid w:val="00807128"/>
    <w:rsid w:val="00810578"/>
    <w:rsid w:val="00811A31"/>
    <w:rsid w:val="0081225F"/>
    <w:rsid w:val="0081302C"/>
    <w:rsid w:val="00813772"/>
    <w:rsid w:val="00813EDC"/>
    <w:rsid w:val="008143CC"/>
    <w:rsid w:val="0081444E"/>
    <w:rsid w:val="00814529"/>
    <w:rsid w:val="00814B7F"/>
    <w:rsid w:val="0081502F"/>
    <w:rsid w:val="00816F72"/>
    <w:rsid w:val="00816FEF"/>
    <w:rsid w:val="008172CD"/>
    <w:rsid w:val="008172DD"/>
    <w:rsid w:val="008203D5"/>
    <w:rsid w:val="0082069F"/>
    <w:rsid w:val="008216E2"/>
    <w:rsid w:val="00821C82"/>
    <w:rsid w:val="00821E10"/>
    <w:rsid w:val="00822ACE"/>
    <w:rsid w:val="00823135"/>
    <w:rsid w:val="00824768"/>
    <w:rsid w:val="00824C04"/>
    <w:rsid w:val="00824CF4"/>
    <w:rsid w:val="00825080"/>
    <w:rsid w:val="00825348"/>
    <w:rsid w:val="008254BE"/>
    <w:rsid w:val="00825D98"/>
    <w:rsid w:val="00826C39"/>
    <w:rsid w:val="00827B49"/>
    <w:rsid w:val="00827D73"/>
    <w:rsid w:val="00827DC6"/>
    <w:rsid w:val="00830255"/>
    <w:rsid w:val="008317E9"/>
    <w:rsid w:val="008317F7"/>
    <w:rsid w:val="00831D1A"/>
    <w:rsid w:val="0083210E"/>
    <w:rsid w:val="00832EA1"/>
    <w:rsid w:val="00833763"/>
    <w:rsid w:val="0083391C"/>
    <w:rsid w:val="00833971"/>
    <w:rsid w:val="0083406F"/>
    <w:rsid w:val="00834371"/>
    <w:rsid w:val="008346C0"/>
    <w:rsid w:val="00834E51"/>
    <w:rsid w:val="00835DA4"/>
    <w:rsid w:val="00836EB5"/>
    <w:rsid w:val="008376A4"/>
    <w:rsid w:val="00837EB9"/>
    <w:rsid w:val="0084035B"/>
    <w:rsid w:val="008407FD"/>
    <w:rsid w:val="00842366"/>
    <w:rsid w:val="0084256F"/>
    <w:rsid w:val="008429C7"/>
    <w:rsid w:val="00842F2E"/>
    <w:rsid w:val="0084300E"/>
    <w:rsid w:val="008430C6"/>
    <w:rsid w:val="008430D3"/>
    <w:rsid w:val="008438A5"/>
    <w:rsid w:val="00843E2C"/>
    <w:rsid w:val="008447E2"/>
    <w:rsid w:val="00846579"/>
    <w:rsid w:val="0084726C"/>
    <w:rsid w:val="008472BD"/>
    <w:rsid w:val="00847487"/>
    <w:rsid w:val="00847856"/>
    <w:rsid w:val="00847952"/>
    <w:rsid w:val="008479E9"/>
    <w:rsid w:val="00847B6D"/>
    <w:rsid w:val="00847E13"/>
    <w:rsid w:val="00850506"/>
    <w:rsid w:val="008506D5"/>
    <w:rsid w:val="00850A2C"/>
    <w:rsid w:val="00850E03"/>
    <w:rsid w:val="00850FFD"/>
    <w:rsid w:val="00851405"/>
    <w:rsid w:val="00851B15"/>
    <w:rsid w:val="00851F7C"/>
    <w:rsid w:val="0085227A"/>
    <w:rsid w:val="008526D4"/>
    <w:rsid w:val="00852815"/>
    <w:rsid w:val="00852C51"/>
    <w:rsid w:val="00852DC6"/>
    <w:rsid w:val="008535D7"/>
    <w:rsid w:val="00854248"/>
    <w:rsid w:val="00854B34"/>
    <w:rsid w:val="008557A1"/>
    <w:rsid w:val="00857C22"/>
    <w:rsid w:val="00860048"/>
    <w:rsid w:val="00860168"/>
    <w:rsid w:val="008602B0"/>
    <w:rsid w:val="0086070E"/>
    <w:rsid w:val="00860772"/>
    <w:rsid w:val="00860D3E"/>
    <w:rsid w:val="00861AB8"/>
    <w:rsid w:val="00862982"/>
    <w:rsid w:val="00863D3D"/>
    <w:rsid w:val="0086493C"/>
    <w:rsid w:val="00864E24"/>
    <w:rsid w:val="00865994"/>
    <w:rsid w:val="00865E34"/>
    <w:rsid w:val="008662A3"/>
    <w:rsid w:val="0086660B"/>
    <w:rsid w:val="00866701"/>
    <w:rsid w:val="00867564"/>
    <w:rsid w:val="0086767F"/>
    <w:rsid w:val="00867CCC"/>
    <w:rsid w:val="00870046"/>
    <w:rsid w:val="0087029A"/>
    <w:rsid w:val="00870500"/>
    <w:rsid w:val="00870505"/>
    <w:rsid w:val="00870A07"/>
    <w:rsid w:val="00870B05"/>
    <w:rsid w:val="00870B33"/>
    <w:rsid w:val="0087122F"/>
    <w:rsid w:val="008720AB"/>
    <w:rsid w:val="00872D79"/>
    <w:rsid w:val="00872F0C"/>
    <w:rsid w:val="0087380D"/>
    <w:rsid w:val="00873ED9"/>
    <w:rsid w:val="00873FAD"/>
    <w:rsid w:val="0087468A"/>
    <w:rsid w:val="00874CB5"/>
    <w:rsid w:val="008757D1"/>
    <w:rsid w:val="00875F2B"/>
    <w:rsid w:val="00876587"/>
    <w:rsid w:val="008769E0"/>
    <w:rsid w:val="0087703A"/>
    <w:rsid w:val="008771DE"/>
    <w:rsid w:val="008771F8"/>
    <w:rsid w:val="008772BC"/>
    <w:rsid w:val="0088066E"/>
    <w:rsid w:val="00880BA0"/>
    <w:rsid w:val="00880E72"/>
    <w:rsid w:val="00880F52"/>
    <w:rsid w:val="0088147E"/>
    <w:rsid w:val="00881642"/>
    <w:rsid w:val="00881BBC"/>
    <w:rsid w:val="00881BDB"/>
    <w:rsid w:val="00882FA3"/>
    <w:rsid w:val="008834CD"/>
    <w:rsid w:val="00883866"/>
    <w:rsid w:val="00883D61"/>
    <w:rsid w:val="0088439E"/>
    <w:rsid w:val="0088441B"/>
    <w:rsid w:val="00886B41"/>
    <w:rsid w:val="00887302"/>
    <w:rsid w:val="0088737D"/>
    <w:rsid w:val="008875FD"/>
    <w:rsid w:val="00887DCB"/>
    <w:rsid w:val="008901EE"/>
    <w:rsid w:val="008907AE"/>
    <w:rsid w:val="008909AC"/>
    <w:rsid w:val="00890D13"/>
    <w:rsid w:val="00890D7C"/>
    <w:rsid w:val="00891210"/>
    <w:rsid w:val="00892AAA"/>
    <w:rsid w:val="00892C68"/>
    <w:rsid w:val="00892FC5"/>
    <w:rsid w:val="00893D44"/>
    <w:rsid w:val="008945E6"/>
    <w:rsid w:val="00894CE3"/>
    <w:rsid w:val="00895A93"/>
    <w:rsid w:val="0089687F"/>
    <w:rsid w:val="008978E7"/>
    <w:rsid w:val="00897E25"/>
    <w:rsid w:val="008A0537"/>
    <w:rsid w:val="008A1376"/>
    <w:rsid w:val="008A22A4"/>
    <w:rsid w:val="008A29D7"/>
    <w:rsid w:val="008A3610"/>
    <w:rsid w:val="008A585A"/>
    <w:rsid w:val="008A5D2A"/>
    <w:rsid w:val="008A5DB4"/>
    <w:rsid w:val="008A5DD4"/>
    <w:rsid w:val="008A62B6"/>
    <w:rsid w:val="008A6314"/>
    <w:rsid w:val="008A6C23"/>
    <w:rsid w:val="008A6D8F"/>
    <w:rsid w:val="008B0541"/>
    <w:rsid w:val="008B1513"/>
    <w:rsid w:val="008B1B98"/>
    <w:rsid w:val="008B1F81"/>
    <w:rsid w:val="008B1FB2"/>
    <w:rsid w:val="008B21BB"/>
    <w:rsid w:val="008B234A"/>
    <w:rsid w:val="008B237B"/>
    <w:rsid w:val="008B2D48"/>
    <w:rsid w:val="008B3212"/>
    <w:rsid w:val="008B3B5F"/>
    <w:rsid w:val="008B3C3A"/>
    <w:rsid w:val="008B3F75"/>
    <w:rsid w:val="008B6A12"/>
    <w:rsid w:val="008B7190"/>
    <w:rsid w:val="008B73F6"/>
    <w:rsid w:val="008B77D5"/>
    <w:rsid w:val="008B7993"/>
    <w:rsid w:val="008B7B85"/>
    <w:rsid w:val="008B7F70"/>
    <w:rsid w:val="008C040F"/>
    <w:rsid w:val="008C063C"/>
    <w:rsid w:val="008C0B60"/>
    <w:rsid w:val="008C105D"/>
    <w:rsid w:val="008C14DE"/>
    <w:rsid w:val="008C2638"/>
    <w:rsid w:val="008C454A"/>
    <w:rsid w:val="008C4679"/>
    <w:rsid w:val="008C525A"/>
    <w:rsid w:val="008C55DF"/>
    <w:rsid w:val="008C5966"/>
    <w:rsid w:val="008C6022"/>
    <w:rsid w:val="008C70AA"/>
    <w:rsid w:val="008C75DA"/>
    <w:rsid w:val="008D0228"/>
    <w:rsid w:val="008D18AA"/>
    <w:rsid w:val="008D1BAA"/>
    <w:rsid w:val="008D1FFD"/>
    <w:rsid w:val="008D2A70"/>
    <w:rsid w:val="008D2EB0"/>
    <w:rsid w:val="008D3444"/>
    <w:rsid w:val="008D3F21"/>
    <w:rsid w:val="008D43E0"/>
    <w:rsid w:val="008D4660"/>
    <w:rsid w:val="008D46B4"/>
    <w:rsid w:val="008D4732"/>
    <w:rsid w:val="008D4C2B"/>
    <w:rsid w:val="008D5C33"/>
    <w:rsid w:val="008D5E90"/>
    <w:rsid w:val="008D5E94"/>
    <w:rsid w:val="008D7367"/>
    <w:rsid w:val="008D75E2"/>
    <w:rsid w:val="008D79D4"/>
    <w:rsid w:val="008E083F"/>
    <w:rsid w:val="008E0DFD"/>
    <w:rsid w:val="008E0EF3"/>
    <w:rsid w:val="008E112F"/>
    <w:rsid w:val="008E169C"/>
    <w:rsid w:val="008E196E"/>
    <w:rsid w:val="008E1F10"/>
    <w:rsid w:val="008E202B"/>
    <w:rsid w:val="008E2137"/>
    <w:rsid w:val="008E21DC"/>
    <w:rsid w:val="008E272D"/>
    <w:rsid w:val="008E27C6"/>
    <w:rsid w:val="008E2E44"/>
    <w:rsid w:val="008E3B15"/>
    <w:rsid w:val="008E3BFA"/>
    <w:rsid w:val="008E4025"/>
    <w:rsid w:val="008E439E"/>
    <w:rsid w:val="008E457F"/>
    <w:rsid w:val="008E4CC7"/>
    <w:rsid w:val="008E5816"/>
    <w:rsid w:val="008E5E05"/>
    <w:rsid w:val="008E6066"/>
    <w:rsid w:val="008E6555"/>
    <w:rsid w:val="008E65AC"/>
    <w:rsid w:val="008E6BBC"/>
    <w:rsid w:val="008E6BE7"/>
    <w:rsid w:val="008E6D5E"/>
    <w:rsid w:val="008E7992"/>
    <w:rsid w:val="008E7D36"/>
    <w:rsid w:val="008E7DDA"/>
    <w:rsid w:val="008F02EC"/>
    <w:rsid w:val="008F0C64"/>
    <w:rsid w:val="008F10FA"/>
    <w:rsid w:val="008F17AE"/>
    <w:rsid w:val="008F219F"/>
    <w:rsid w:val="008F23E5"/>
    <w:rsid w:val="008F38B0"/>
    <w:rsid w:val="008F3998"/>
    <w:rsid w:val="008F3B5D"/>
    <w:rsid w:val="008F43B6"/>
    <w:rsid w:val="008F513A"/>
    <w:rsid w:val="008F6C40"/>
    <w:rsid w:val="008F75C2"/>
    <w:rsid w:val="00900249"/>
    <w:rsid w:val="00901E7F"/>
    <w:rsid w:val="00903AF4"/>
    <w:rsid w:val="00903E84"/>
    <w:rsid w:val="0090449A"/>
    <w:rsid w:val="009044E0"/>
    <w:rsid w:val="00904A6C"/>
    <w:rsid w:val="009051A6"/>
    <w:rsid w:val="009059AF"/>
    <w:rsid w:val="00906D79"/>
    <w:rsid w:val="0091035E"/>
    <w:rsid w:val="009104D1"/>
    <w:rsid w:val="00910E61"/>
    <w:rsid w:val="009115E6"/>
    <w:rsid w:val="00911698"/>
    <w:rsid w:val="009117B0"/>
    <w:rsid w:val="00911EB7"/>
    <w:rsid w:val="00911F47"/>
    <w:rsid w:val="00911FBE"/>
    <w:rsid w:val="00912E50"/>
    <w:rsid w:val="00913495"/>
    <w:rsid w:val="0091356D"/>
    <w:rsid w:val="00914618"/>
    <w:rsid w:val="0091494E"/>
    <w:rsid w:val="00914D4D"/>
    <w:rsid w:val="00916D7C"/>
    <w:rsid w:val="00917CC2"/>
    <w:rsid w:val="00920F21"/>
    <w:rsid w:val="00921942"/>
    <w:rsid w:val="0092254B"/>
    <w:rsid w:val="00922C86"/>
    <w:rsid w:val="0092407C"/>
    <w:rsid w:val="009243E9"/>
    <w:rsid w:val="0092442E"/>
    <w:rsid w:val="00924465"/>
    <w:rsid w:val="0092508E"/>
    <w:rsid w:val="0092521A"/>
    <w:rsid w:val="009256E8"/>
    <w:rsid w:val="00925C91"/>
    <w:rsid w:val="0092655D"/>
    <w:rsid w:val="0092674A"/>
    <w:rsid w:val="00926F06"/>
    <w:rsid w:val="00927407"/>
    <w:rsid w:val="0093129E"/>
    <w:rsid w:val="00931F7D"/>
    <w:rsid w:val="00931FAA"/>
    <w:rsid w:val="009320F1"/>
    <w:rsid w:val="00932C82"/>
    <w:rsid w:val="00932E37"/>
    <w:rsid w:val="00933769"/>
    <w:rsid w:val="00933B07"/>
    <w:rsid w:val="00933FEA"/>
    <w:rsid w:val="00934430"/>
    <w:rsid w:val="00934EB1"/>
    <w:rsid w:val="00935231"/>
    <w:rsid w:val="00935B24"/>
    <w:rsid w:val="00935CD2"/>
    <w:rsid w:val="00936A96"/>
    <w:rsid w:val="0094078E"/>
    <w:rsid w:val="00940C6B"/>
    <w:rsid w:val="00940FA4"/>
    <w:rsid w:val="0094273F"/>
    <w:rsid w:val="00942955"/>
    <w:rsid w:val="00942D75"/>
    <w:rsid w:val="00943A84"/>
    <w:rsid w:val="00943D69"/>
    <w:rsid w:val="00944014"/>
    <w:rsid w:val="00944382"/>
    <w:rsid w:val="00945410"/>
    <w:rsid w:val="0094547D"/>
    <w:rsid w:val="00945827"/>
    <w:rsid w:val="00945D72"/>
    <w:rsid w:val="0095178A"/>
    <w:rsid w:val="00952306"/>
    <w:rsid w:val="00954115"/>
    <w:rsid w:val="00954D2B"/>
    <w:rsid w:val="00954EA5"/>
    <w:rsid w:val="00955229"/>
    <w:rsid w:val="009557B9"/>
    <w:rsid w:val="009558AC"/>
    <w:rsid w:val="00955C2F"/>
    <w:rsid w:val="00956BDB"/>
    <w:rsid w:val="00956C56"/>
    <w:rsid w:val="00956FEF"/>
    <w:rsid w:val="0095754A"/>
    <w:rsid w:val="00957B2D"/>
    <w:rsid w:val="00957C24"/>
    <w:rsid w:val="00960A87"/>
    <w:rsid w:val="00961CC4"/>
    <w:rsid w:val="00962B7A"/>
    <w:rsid w:val="009635A8"/>
    <w:rsid w:val="00963754"/>
    <w:rsid w:val="0096376B"/>
    <w:rsid w:val="00963E0F"/>
    <w:rsid w:val="009641BC"/>
    <w:rsid w:val="00966462"/>
    <w:rsid w:val="0096715B"/>
    <w:rsid w:val="00967BF4"/>
    <w:rsid w:val="00967E14"/>
    <w:rsid w:val="0097056E"/>
    <w:rsid w:val="00970AB4"/>
    <w:rsid w:val="00970AF9"/>
    <w:rsid w:val="00971AC3"/>
    <w:rsid w:val="00971BE2"/>
    <w:rsid w:val="00971C63"/>
    <w:rsid w:val="00971CC6"/>
    <w:rsid w:val="00972505"/>
    <w:rsid w:val="00972545"/>
    <w:rsid w:val="009726A1"/>
    <w:rsid w:val="00972B6D"/>
    <w:rsid w:val="00975959"/>
    <w:rsid w:val="00975B99"/>
    <w:rsid w:val="00976AAC"/>
    <w:rsid w:val="00981019"/>
    <w:rsid w:val="0098126A"/>
    <w:rsid w:val="009815F8"/>
    <w:rsid w:val="009819F0"/>
    <w:rsid w:val="00981A90"/>
    <w:rsid w:val="009837C7"/>
    <w:rsid w:val="0098453F"/>
    <w:rsid w:val="00984575"/>
    <w:rsid w:val="00984A30"/>
    <w:rsid w:val="0098515B"/>
    <w:rsid w:val="009851E0"/>
    <w:rsid w:val="009864FF"/>
    <w:rsid w:val="00987204"/>
    <w:rsid w:val="009873C3"/>
    <w:rsid w:val="009904D9"/>
    <w:rsid w:val="00991D99"/>
    <w:rsid w:val="0099295D"/>
    <w:rsid w:val="00992FF2"/>
    <w:rsid w:val="00994374"/>
    <w:rsid w:val="00994F35"/>
    <w:rsid w:val="00995C6D"/>
    <w:rsid w:val="00995FFF"/>
    <w:rsid w:val="009960C4"/>
    <w:rsid w:val="00996C44"/>
    <w:rsid w:val="00996D2F"/>
    <w:rsid w:val="009973C7"/>
    <w:rsid w:val="009A0768"/>
    <w:rsid w:val="009A0BA4"/>
    <w:rsid w:val="009A0CAF"/>
    <w:rsid w:val="009A0F27"/>
    <w:rsid w:val="009A1540"/>
    <w:rsid w:val="009A368E"/>
    <w:rsid w:val="009A3806"/>
    <w:rsid w:val="009A3A58"/>
    <w:rsid w:val="009A4D30"/>
    <w:rsid w:val="009A4FA9"/>
    <w:rsid w:val="009A5723"/>
    <w:rsid w:val="009A5E72"/>
    <w:rsid w:val="009A6EBE"/>
    <w:rsid w:val="009A78D3"/>
    <w:rsid w:val="009A7EAC"/>
    <w:rsid w:val="009B05B3"/>
    <w:rsid w:val="009B0F0B"/>
    <w:rsid w:val="009B204F"/>
    <w:rsid w:val="009B2C0E"/>
    <w:rsid w:val="009B2EC0"/>
    <w:rsid w:val="009B3D56"/>
    <w:rsid w:val="009B47B3"/>
    <w:rsid w:val="009B48B5"/>
    <w:rsid w:val="009B50A9"/>
    <w:rsid w:val="009B5822"/>
    <w:rsid w:val="009B6D33"/>
    <w:rsid w:val="009B7C60"/>
    <w:rsid w:val="009C0447"/>
    <w:rsid w:val="009C0D1E"/>
    <w:rsid w:val="009C238D"/>
    <w:rsid w:val="009C250D"/>
    <w:rsid w:val="009C2CF5"/>
    <w:rsid w:val="009C351B"/>
    <w:rsid w:val="009C3647"/>
    <w:rsid w:val="009C3B2A"/>
    <w:rsid w:val="009C3D39"/>
    <w:rsid w:val="009C424C"/>
    <w:rsid w:val="009C4320"/>
    <w:rsid w:val="009C63C5"/>
    <w:rsid w:val="009C66DE"/>
    <w:rsid w:val="009C67C9"/>
    <w:rsid w:val="009C6BF0"/>
    <w:rsid w:val="009C703E"/>
    <w:rsid w:val="009C79A9"/>
    <w:rsid w:val="009C7AF8"/>
    <w:rsid w:val="009D0294"/>
    <w:rsid w:val="009D046C"/>
    <w:rsid w:val="009D0E19"/>
    <w:rsid w:val="009D3C19"/>
    <w:rsid w:val="009D462F"/>
    <w:rsid w:val="009D4666"/>
    <w:rsid w:val="009D48BA"/>
    <w:rsid w:val="009D4E9C"/>
    <w:rsid w:val="009D5B22"/>
    <w:rsid w:val="009D6B23"/>
    <w:rsid w:val="009D70DD"/>
    <w:rsid w:val="009D79F5"/>
    <w:rsid w:val="009E1846"/>
    <w:rsid w:val="009E1E93"/>
    <w:rsid w:val="009E2B08"/>
    <w:rsid w:val="009E2E54"/>
    <w:rsid w:val="009E3231"/>
    <w:rsid w:val="009E3910"/>
    <w:rsid w:val="009E3EEF"/>
    <w:rsid w:val="009E404B"/>
    <w:rsid w:val="009E4259"/>
    <w:rsid w:val="009E4A01"/>
    <w:rsid w:val="009E4C72"/>
    <w:rsid w:val="009E537C"/>
    <w:rsid w:val="009E6B93"/>
    <w:rsid w:val="009E6D34"/>
    <w:rsid w:val="009E7884"/>
    <w:rsid w:val="009F02DA"/>
    <w:rsid w:val="009F0E95"/>
    <w:rsid w:val="009F1299"/>
    <w:rsid w:val="009F186B"/>
    <w:rsid w:val="009F1C9B"/>
    <w:rsid w:val="009F25E6"/>
    <w:rsid w:val="009F32AB"/>
    <w:rsid w:val="009F3474"/>
    <w:rsid w:val="009F3963"/>
    <w:rsid w:val="009F4124"/>
    <w:rsid w:val="009F4CD0"/>
    <w:rsid w:val="009F566E"/>
    <w:rsid w:val="009F7FF6"/>
    <w:rsid w:val="00A001B6"/>
    <w:rsid w:val="00A00362"/>
    <w:rsid w:val="00A00FDD"/>
    <w:rsid w:val="00A0115B"/>
    <w:rsid w:val="00A01D63"/>
    <w:rsid w:val="00A02135"/>
    <w:rsid w:val="00A02569"/>
    <w:rsid w:val="00A048AA"/>
    <w:rsid w:val="00A04B0C"/>
    <w:rsid w:val="00A06265"/>
    <w:rsid w:val="00A0658E"/>
    <w:rsid w:val="00A07359"/>
    <w:rsid w:val="00A1063B"/>
    <w:rsid w:val="00A10B2A"/>
    <w:rsid w:val="00A11A80"/>
    <w:rsid w:val="00A11D21"/>
    <w:rsid w:val="00A11D93"/>
    <w:rsid w:val="00A13B27"/>
    <w:rsid w:val="00A13BB5"/>
    <w:rsid w:val="00A13DC4"/>
    <w:rsid w:val="00A13DCF"/>
    <w:rsid w:val="00A13E42"/>
    <w:rsid w:val="00A13FDC"/>
    <w:rsid w:val="00A14E4C"/>
    <w:rsid w:val="00A1593F"/>
    <w:rsid w:val="00A15EC2"/>
    <w:rsid w:val="00A162C1"/>
    <w:rsid w:val="00A1636E"/>
    <w:rsid w:val="00A1647A"/>
    <w:rsid w:val="00A164E5"/>
    <w:rsid w:val="00A17C2A"/>
    <w:rsid w:val="00A208E5"/>
    <w:rsid w:val="00A20EDF"/>
    <w:rsid w:val="00A21287"/>
    <w:rsid w:val="00A21294"/>
    <w:rsid w:val="00A22275"/>
    <w:rsid w:val="00A22355"/>
    <w:rsid w:val="00A226A7"/>
    <w:rsid w:val="00A2318B"/>
    <w:rsid w:val="00A236F5"/>
    <w:rsid w:val="00A23BE9"/>
    <w:rsid w:val="00A2483A"/>
    <w:rsid w:val="00A2490F"/>
    <w:rsid w:val="00A252D7"/>
    <w:rsid w:val="00A263D7"/>
    <w:rsid w:val="00A265D6"/>
    <w:rsid w:val="00A2662C"/>
    <w:rsid w:val="00A268F0"/>
    <w:rsid w:val="00A26915"/>
    <w:rsid w:val="00A26BCA"/>
    <w:rsid w:val="00A303F6"/>
    <w:rsid w:val="00A30E61"/>
    <w:rsid w:val="00A30F13"/>
    <w:rsid w:val="00A313BD"/>
    <w:rsid w:val="00A31782"/>
    <w:rsid w:val="00A328FB"/>
    <w:rsid w:val="00A32910"/>
    <w:rsid w:val="00A32E02"/>
    <w:rsid w:val="00A34256"/>
    <w:rsid w:val="00A34259"/>
    <w:rsid w:val="00A34E1A"/>
    <w:rsid w:val="00A34FE2"/>
    <w:rsid w:val="00A357E5"/>
    <w:rsid w:val="00A35B5E"/>
    <w:rsid w:val="00A35EE1"/>
    <w:rsid w:val="00A36542"/>
    <w:rsid w:val="00A3774E"/>
    <w:rsid w:val="00A428FA"/>
    <w:rsid w:val="00A42AD5"/>
    <w:rsid w:val="00A43638"/>
    <w:rsid w:val="00A43BEA"/>
    <w:rsid w:val="00A4418A"/>
    <w:rsid w:val="00A44746"/>
    <w:rsid w:val="00A447A8"/>
    <w:rsid w:val="00A44C19"/>
    <w:rsid w:val="00A4509F"/>
    <w:rsid w:val="00A454C4"/>
    <w:rsid w:val="00A45C24"/>
    <w:rsid w:val="00A45CBD"/>
    <w:rsid w:val="00A464E2"/>
    <w:rsid w:val="00A47930"/>
    <w:rsid w:val="00A50103"/>
    <w:rsid w:val="00A50582"/>
    <w:rsid w:val="00A50A25"/>
    <w:rsid w:val="00A510D7"/>
    <w:rsid w:val="00A55088"/>
    <w:rsid w:val="00A55096"/>
    <w:rsid w:val="00A555B3"/>
    <w:rsid w:val="00A55687"/>
    <w:rsid w:val="00A55A39"/>
    <w:rsid w:val="00A56E80"/>
    <w:rsid w:val="00A57736"/>
    <w:rsid w:val="00A577E3"/>
    <w:rsid w:val="00A57E96"/>
    <w:rsid w:val="00A57EE4"/>
    <w:rsid w:val="00A61343"/>
    <w:rsid w:val="00A61C4D"/>
    <w:rsid w:val="00A62355"/>
    <w:rsid w:val="00A62E0F"/>
    <w:rsid w:val="00A640D5"/>
    <w:rsid w:val="00A64224"/>
    <w:rsid w:val="00A642D7"/>
    <w:rsid w:val="00A651C1"/>
    <w:rsid w:val="00A656BB"/>
    <w:rsid w:val="00A65AF1"/>
    <w:rsid w:val="00A669DB"/>
    <w:rsid w:val="00A67914"/>
    <w:rsid w:val="00A71CC7"/>
    <w:rsid w:val="00A71FEE"/>
    <w:rsid w:val="00A7238A"/>
    <w:rsid w:val="00A73023"/>
    <w:rsid w:val="00A7421E"/>
    <w:rsid w:val="00A74FD5"/>
    <w:rsid w:val="00A75AFE"/>
    <w:rsid w:val="00A772D4"/>
    <w:rsid w:val="00A77698"/>
    <w:rsid w:val="00A77A4A"/>
    <w:rsid w:val="00A77F29"/>
    <w:rsid w:val="00A80AAF"/>
    <w:rsid w:val="00A8128C"/>
    <w:rsid w:val="00A81A8E"/>
    <w:rsid w:val="00A81C2B"/>
    <w:rsid w:val="00A83282"/>
    <w:rsid w:val="00A83DC7"/>
    <w:rsid w:val="00A83FD8"/>
    <w:rsid w:val="00A83FEC"/>
    <w:rsid w:val="00A8438E"/>
    <w:rsid w:val="00A84A20"/>
    <w:rsid w:val="00A84F7A"/>
    <w:rsid w:val="00A86470"/>
    <w:rsid w:val="00A869E6"/>
    <w:rsid w:val="00A87036"/>
    <w:rsid w:val="00A872F0"/>
    <w:rsid w:val="00A87509"/>
    <w:rsid w:val="00A878F4"/>
    <w:rsid w:val="00A87E55"/>
    <w:rsid w:val="00A87F55"/>
    <w:rsid w:val="00A90367"/>
    <w:rsid w:val="00A903E4"/>
    <w:rsid w:val="00A91356"/>
    <w:rsid w:val="00A91B3E"/>
    <w:rsid w:val="00A920EA"/>
    <w:rsid w:val="00A92E0A"/>
    <w:rsid w:val="00A92EDA"/>
    <w:rsid w:val="00A931E7"/>
    <w:rsid w:val="00A93C97"/>
    <w:rsid w:val="00A9663D"/>
    <w:rsid w:val="00A96E0F"/>
    <w:rsid w:val="00A970E1"/>
    <w:rsid w:val="00A974C2"/>
    <w:rsid w:val="00AA08D4"/>
    <w:rsid w:val="00AA0B6D"/>
    <w:rsid w:val="00AA0DBC"/>
    <w:rsid w:val="00AA0E56"/>
    <w:rsid w:val="00AA0ED4"/>
    <w:rsid w:val="00AA0F74"/>
    <w:rsid w:val="00AA1189"/>
    <w:rsid w:val="00AA1476"/>
    <w:rsid w:val="00AA1AA2"/>
    <w:rsid w:val="00AA1EB9"/>
    <w:rsid w:val="00AA2486"/>
    <w:rsid w:val="00AA3241"/>
    <w:rsid w:val="00AA32B4"/>
    <w:rsid w:val="00AA43DB"/>
    <w:rsid w:val="00AA476E"/>
    <w:rsid w:val="00AA4DCF"/>
    <w:rsid w:val="00AA5B6D"/>
    <w:rsid w:val="00AA5F68"/>
    <w:rsid w:val="00AA652C"/>
    <w:rsid w:val="00AA6832"/>
    <w:rsid w:val="00AA6E49"/>
    <w:rsid w:val="00AA7E19"/>
    <w:rsid w:val="00AB0350"/>
    <w:rsid w:val="00AB035A"/>
    <w:rsid w:val="00AB0898"/>
    <w:rsid w:val="00AB0C4A"/>
    <w:rsid w:val="00AB0EFE"/>
    <w:rsid w:val="00AB10A9"/>
    <w:rsid w:val="00AB1731"/>
    <w:rsid w:val="00AB176E"/>
    <w:rsid w:val="00AB21D9"/>
    <w:rsid w:val="00AB2491"/>
    <w:rsid w:val="00AB2D5B"/>
    <w:rsid w:val="00AB2F9D"/>
    <w:rsid w:val="00AB3F63"/>
    <w:rsid w:val="00AB41C5"/>
    <w:rsid w:val="00AB488C"/>
    <w:rsid w:val="00AB5D32"/>
    <w:rsid w:val="00AB6419"/>
    <w:rsid w:val="00AB7C7E"/>
    <w:rsid w:val="00AC0510"/>
    <w:rsid w:val="00AC1638"/>
    <w:rsid w:val="00AC174C"/>
    <w:rsid w:val="00AC1CF5"/>
    <w:rsid w:val="00AC293D"/>
    <w:rsid w:val="00AC2B5B"/>
    <w:rsid w:val="00AC465E"/>
    <w:rsid w:val="00AC4A47"/>
    <w:rsid w:val="00AC665A"/>
    <w:rsid w:val="00AC68A6"/>
    <w:rsid w:val="00AC7DD3"/>
    <w:rsid w:val="00AD00C9"/>
    <w:rsid w:val="00AD09B5"/>
    <w:rsid w:val="00AD09F0"/>
    <w:rsid w:val="00AD18A4"/>
    <w:rsid w:val="00AD2C5F"/>
    <w:rsid w:val="00AD4A64"/>
    <w:rsid w:val="00AD5035"/>
    <w:rsid w:val="00AD5A41"/>
    <w:rsid w:val="00AD6CF6"/>
    <w:rsid w:val="00AD75B8"/>
    <w:rsid w:val="00AD7B6E"/>
    <w:rsid w:val="00AE0294"/>
    <w:rsid w:val="00AE02C9"/>
    <w:rsid w:val="00AE097F"/>
    <w:rsid w:val="00AE1F8C"/>
    <w:rsid w:val="00AE2893"/>
    <w:rsid w:val="00AE3137"/>
    <w:rsid w:val="00AE34EE"/>
    <w:rsid w:val="00AE3D2B"/>
    <w:rsid w:val="00AE4A27"/>
    <w:rsid w:val="00AE5047"/>
    <w:rsid w:val="00AE5247"/>
    <w:rsid w:val="00AE6122"/>
    <w:rsid w:val="00AE7364"/>
    <w:rsid w:val="00AF065B"/>
    <w:rsid w:val="00AF14ED"/>
    <w:rsid w:val="00AF181B"/>
    <w:rsid w:val="00AF18DB"/>
    <w:rsid w:val="00AF3FEB"/>
    <w:rsid w:val="00AF4582"/>
    <w:rsid w:val="00AF4BE6"/>
    <w:rsid w:val="00AF4D15"/>
    <w:rsid w:val="00AF53F9"/>
    <w:rsid w:val="00AF5529"/>
    <w:rsid w:val="00AF58B9"/>
    <w:rsid w:val="00AF58F9"/>
    <w:rsid w:val="00AF598C"/>
    <w:rsid w:val="00AF5A4B"/>
    <w:rsid w:val="00AF5C05"/>
    <w:rsid w:val="00AF603C"/>
    <w:rsid w:val="00AF64A8"/>
    <w:rsid w:val="00AF6706"/>
    <w:rsid w:val="00AF67C8"/>
    <w:rsid w:val="00AF6DFE"/>
    <w:rsid w:val="00AF7377"/>
    <w:rsid w:val="00AF7C97"/>
    <w:rsid w:val="00AF7DF0"/>
    <w:rsid w:val="00AF7F63"/>
    <w:rsid w:val="00B00B95"/>
    <w:rsid w:val="00B00CBE"/>
    <w:rsid w:val="00B00EE0"/>
    <w:rsid w:val="00B012D6"/>
    <w:rsid w:val="00B02097"/>
    <w:rsid w:val="00B020F5"/>
    <w:rsid w:val="00B0344E"/>
    <w:rsid w:val="00B0398F"/>
    <w:rsid w:val="00B03A73"/>
    <w:rsid w:val="00B0429F"/>
    <w:rsid w:val="00B050BC"/>
    <w:rsid w:val="00B0596A"/>
    <w:rsid w:val="00B05BA8"/>
    <w:rsid w:val="00B05F80"/>
    <w:rsid w:val="00B06430"/>
    <w:rsid w:val="00B06485"/>
    <w:rsid w:val="00B06AE8"/>
    <w:rsid w:val="00B06F71"/>
    <w:rsid w:val="00B07C92"/>
    <w:rsid w:val="00B10BCC"/>
    <w:rsid w:val="00B1180A"/>
    <w:rsid w:val="00B119A9"/>
    <w:rsid w:val="00B11E87"/>
    <w:rsid w:val="00B1277D"/>
    <w:rsid w:val="00B127F1"/>
    <w:rsid w:val="00B1398A"/>
    <w:rsid w:val="00B13BEC"/>
    <w:rsid w:val="00B1417D"/>
    <w:rsid w:val="00B1440A"/>
    <w:rsid w:val="00B1662E"/>
    <w:rsid w:val="00B170DE"/>
    <w:rsid w:val="00B1749D"/>
    <w:rsid w:val="00B17CEF"/>
    <w:rsid w:val="00B17F0D"/>
    <w:rsid w:val="00B2103D"/>
    <w:rsid w:val="00B2111F"/>
    <w:rsid w:val="00B21E4B"/>
    <w:rsid w:val="00B21EE1"/>
    <w:rsid w:val="00B21FF0"/>
    <w:rsid w:val="00B2244B"/>
    <w:rsid w:val="00B22B22"/>
    <w:rsid w:val="00B237AD"/>
    <w:rsid w:val="00B23C47"/>
    <w:rsid w:val="00B2402D"/>
    <w:rsid w:val="00B25023"/>
    <w:rsid w:val="00B25831"/>
    <w:rsid w:val="00B25DF7"/>
    <w:rsid w:val="00B26412"/>
    <w:rsid w:val="00B26446"/>
    <w:rsid w:val="00B2708A"/>
    <w:rsid w:val="00B27986"/>
    <w:rsid w:val="00B27B57"/>
    <w:rsid w:val="00B31223"/>
    <w:rsid w:val="00B313B6"/>
    <w:rsid w:val="00B319C9"/>
    <w:rsid w:val="00B32509"/>
    <w:rsid w:val="00B330A9"/>
    <w:rsid w:val="00B3489C"/>
    <w:rsid w:val="00B36DAC"/>
    <w:rsid w:val="00B36E22"/>
    <w:rsid w:val="00B36EB3"/>
    <w:rsid w:val="00B3763F"/>
    <w:rsid w:val="00B3776A"/>
    <w:rsid w:val="00B37F43"/>
    <w:rsid w:val="00B40B75"/>
    <w:rsid w:val="00B40C1B"/>
    <w:rsid w:val="00B412B1"/>
    <w:rsid w:val="00B41352"/>
    <w:rsid w:val="00B41EFC"/>
    <w:rsid w:val="00B420DC"/>
    <w:rsid w:val="00B42188"/>
    <w:rsid w:val="00B42742"/>
    <w:rsid w:val="00B42968"/>
    <w:rsid w:val="00B430BB"/>
    <w:rsid w:val="00B44585"/>
    <w:rsid w:val="00B44B76"/>
    <w:rsid w:val="00B44DE2"/>
    <w:rsid w:val="00B44FC0"/>
    <w:rsid w:val="00B465D8"/>
    <w:rsid w:val="00B4679B"/>
    <w:rsid w:val="00B476AF"/>
    <w:rsid w:val="00B501C3"/>
    <w:rsid w:val="00B50B4C"/>
    <w:rsid w:val="00B518A1"/>
    <w:rsid w:val="00B52E1B"/>
    <w:rsid w:val="00B531B8"/>
    <w:rsid w:val="00B53338"/>
    <w:rsid w:val="00B53FFF"/>
    <w:rsid w:val="00B56006"/>
    <w:rsid w:val="00B5642D"/>
    <w:rsid w:val="00B5689D"/>
    <w:rsid w:val="00B56A1D"/>
    <w:rsid w:val="00B56A72"/>
    <w:rsid w:val="00B56DEB"/>
    <w:rsid w:val="00B573FA"/>
    <w:rsid w:val="00B600C1"/>
    <w:rsid w:val="00B60B60"/>
    <w:rsid w:val="00B60E36"/>
    <w:rsid w:val="00B60EAD"/>
    <w:rsid w:val="00B61487"/>
    <w:rsid w:val="00B61ADD"/>
    <w:rsid w:val="00B61C4B"/>
    <w:rsid w:val="00B62071"/>
    <w:rsid w:val="00B622D1"/>
    <w:rsid w:val="00B62DB5"/>
    <w:rsid w:val="00B63021"/>
    <w:rsid w:val="00B63B26"/>
    <w:rsid w:val="00B65E87"/>
    <w:rsid w:val="00B70436"/>
    <w:rsid w:val="00B71526"/>
    <w:rsid w:val="00B71F88"/>
    <w:rsid w:val="00B72C90"/>
    <w:rsid w:val="00B72E5F"/>
    <w:rsid w:val="00B73402"/>
    <w:rsid w:val="00B73898"/>
    <w:rsid w:val="00B7577D"/>
    <w:rsid w:val="00B7671D"/>
    <w:rsid w:val="00B768D9"/>
    <w:rsid w:val="00B76DAE"/>
    <w:rsid w:val="00B7729C"/>
    <w:rsid w:val="00B77625"/>
    <w:rsid w:val="00B7765C"/>
    <w:rsid w:val="00B7767F"/>
    <w:rsid w:val="00B77A90"/>
    <w:rsid w:val="00B77CDE"/>
    <w:rsid w:val="00B77CE8"/>
    <w:rsid w:val="00B8022D"/>
    <w:rsid w:val="00B81041"/>
    <w:rsid w:val="00B8145B"/>
    <w:rsid w:val="00B81485"/>
    <w:rsid w:val="00B81657"/>
    <w:rsid w:val="00B818E0"/>
    <w:rsid w:val="00B81AD7"/>
    <w:rsid w:val="00B8297D"/>
    <w:rsid w:val="00B831FA"/>
    <w:rsid w:val="00B84957"/>
    <w:rsid w:val="00B850E1"/>
    <w:rsid w:val="00B8577B"/>
    <w:rsid w:val="00B85910"/>
    <w:rsid w:val="00B85D60"/>
    <w:rsid w:val="00B86748"/>
    <w:rsid w:val="00B86965"/>
    <w:rsid w:val="00B86AD5"/>
    <w:rsid w:val="00B871AC"/>
    <w:rsid w:val="00B871F3"/>
    <w:rsid w:val="00B874DC"/>
    <w:rsid w:val="00B87DB8"/>
    <w:rsid w:val="00B900B3"/>
    <w:rsid w:val="00B9052A"/>
    <w:rsid w:val="00B905B3"/>
    <w:rsid w:val="00B905CE"/>
    <w:rsid w:val="00B90AE1"/>
    <w:rsid w:val="00B90B86"/>
    <w:rsid w:val="00B910B0"/>
    <w:rsid w:val="00B911F8"/>
    <w:rsid w:val="00B912F9"/>
    <w:rsid w:val="00B9138A"/>
    <w:rsid w:val="00B91C5C"/>
    <w:rsid w:val="00B91D78"/>
    <w:rsid w:val="00B920B4"/>
    <w:rsid w:val="00B92F77"/>
    <w:rsid w:val="00B92FF9"/>
    <w:rsid w:val="00B933CE"/>
    <w:rsid w:val="00B938AC"/>
    <w:rsid w:val="00B93A5F"/>
    <w:rsid w:val="00B94D28"/>
    <w:rsid w:val="00B950A2"/>
    <w:rsid w:val="00B9572C"/>
    <w:rsid w:val="00B96228"/>
    <w:rsid w:val="00B96905"/>
    <w:rsid w:val="00B96C29"/>
    <w:rsid w:val="00B972D0"/>
    <w:rsid w:val="00B9740C"/>
    <w:rsid w:val="00BA01F3"/>
    <w:rsid w:val="00BA0ED1"/>
    <w:rsid w:val="00BA12C0"/>
    <w:rsid w:val="00BA1795"/>
    <w:rsid w:val="00BA3301"/>
    <w:rsid w:val="00BA38E1"/>
    <w:rsid w:val="00BA40BC"/>
    <w:rsid w:val="00BA4619"/>
    <w:rsid w:val="00BA4D8B"/>
    <w:rsid w:val="00BA5125"/>
    <w:rsid w:val="00BA6397"/>
    <w:rsid w:val="00BA7D90"/>
    <w:rsid w:val="00BA7F25"/>
    <w:rsid w:val="00BB0860"/>
    <w:rsid w:val="00BB09F8"/>
    <w:rsid w:val="00BB12ED"/>
    <w:rsid w:val="00BB180C"/>
    <w:rsid w:val="00BB1B8F"/>
    <w:rsid w:val="00BB1D4F"/>
    <w:rsid w:val="00BB234F"/>
    <w:rsid w:val="00BB23C3"/>
    <w:rsid w:val="00BB26F9"/>
    <w:rsid w:val="00BB2AB4"/>
    <w:rsid w:val="00BB3555"/>
    <w:rsid w:val="00BB3707"/>
    <w:rsid w:val="00BB3915"/>
    <w:rsid w:val="00BB3BED"/>
    <w:rsid w:val="00BB4267"/>
    <w:rsid w:val="00BB4B5E"/>
    <w:rsid w:val="00BB4DD7"/>
    <w:rsid w:val="00BB4F23"/>
    <w:rsid w:val="00BB5109"/>
    <w:rsid w:val="00BB5166"/>
    <w:rsid w:val="00BB6048"/>
    <w:rsid w:val="00BB6208"/>
    <w:rsid w:val="00BB6715"/>
    <w:rsid w:val="00BB69CA"/>
    <w:rsid w:val="00BB6D87"/>
    <w:rsid w:val="00BB72CA"/>
    <w:rsid w:val="00BB7E4F"/>
    <w:rsid w:val="00BC2708"/>
    <w:rsid w:val="00BC3049"/>
    <w:rsid w:val="00BC36DF"/>
    <w:rsid w:val="00BC3B84"/>
    <w:rsid w:val="00BC4157"/>
    <w:rsid w:val="00BC45B8"/>
    <w:rsid w:val="00BC5A35"/>
    <w:rsid w:val="00BC626F"/>
    <w:rsid w:val="00BC71DB"/>
    <w:rsid w:val="00BC7851"/>
    <w:rsid w:val="00BC7993"/>
    <w:rsid w:val="00BD0032"/>
    <w:rsid w:val="00BD02D9"/>
    <w:rsid w:val="00BD2284"/>
    <w:rsid w:val="00BD240E"/>
    <w:rsid w:val="00BD29FE"/>
    <w:rsid w:val="00BD3BE9"/>
    <w:rsid w:val="00BD4088"/>
    <w:rsid w:val="00BD413B"/>
    <w:rsid w:val="00BD6B92"/>
    <w:rsid w:val="00BD751C"/>
    <w:rsid w:val="00BD79E7"/>
    <w:rsid w:val="00BD7AC2"/>
    <w:rsid w:val="00BD7F77"/>
    <w:rsid w:val="00BE095B"/>
    <w:rsid w:val="00BE0E94"/>
    <w:rsid w:val="00BE0F79"/>
    <w:rsid w:val="00BE191B"/>
    <w:rsid w:val="00BE1B82"/>
    <w:rsid w:val="00BE2156"/>
    <w:rsid w:val="00BE2165"/>
    <w:rsid w:val="00BE2173"/>
    <w:rsid w:val="00BE272D"/>
    <w:rsid w:val="00BE40A0"/>
    <w:rsid w:val="00BE44CB"/>
    <w:rsid w:val="00BE4B94"/>
    <w:rsid w:val="00BE4C33"/>
    <w:rsid w:val="00BE4C99"/>
    <w:rsid w:val="00BE5055"/>
    <w:rsid w:val="00BE56E0"/>
    <w:rsid w:val="00BE618B"/>
    <w:rsid w:val="00BE63AE"/>
    <w:rsid w:val="00BE65B1"/>
    <w:rsid w:val="00BE6F66"/>
    <w:rsid w:val="00BE71E6"/>
    <w:rsid w:val="00BE75DF"/>
    <w:rsid w:val="00BF0355"/>
    <w:rsid w:val="00BF0EB7"/>
    <w:rsid w:val="00BF1387"/>
    <w:rsid w:val="00BF1990"/>
    <w:rsid w:val="00BF2B01"/>
    <w:rsid w:val="00BF2E37"/>
    <w:rsid w:val="00BF4235"/>
    <w:rsid w:val="00BF476F"/>
    <w:rsid w:val="00BF4866"/>
    <w:rsid w:val="00BF4B27"/>
    <w:rsid w:val="00BF5D19"/>
    <w:rsid w:val="00BF620D"/>
    <w:rsid w:val="00BF67ED"/>
    <w:rsid w:val="00BF6FCF"/>
    <w:rsid w:val="00BF744F"/>
    <w:rsid w:val="00BF751E"/>
    <w:rsid w:val="00BF7976"/>
    <w:rsid w:val="00BF7D4A"/>
    <w:rsid w:val="00C00478"/>
    <w:rsid w:val="00C006CB"/>
    <w:rsid w:val="00C009A2"/>
    <w:rsid w:val="00C00D3A"/>
    <w:rsid w:val="00C00E65"/>
    <w:rsid w:val="00C0149A"/>
    <w:rsid w:val="00C0162E"/>
    <w:rsid w:val="00C01921"/>
    <w:rsid w:val="00C01F52"/>
    <w:rsid w:val="00C0235C"/>
    <w:rsid w:val="00C024B4"/>
    <w:rsid w:val="00C0259E"/>
    <w:rsid w:val="00C03A90"/>
    <w:rsid w:val="00C05148"/>
    <w:rsid w:val="00C06501"/>
    <w:rsid w:val="00C0741C"/>
    <w:rsid w:val="00C0771E"/>
    <w:rsid w:val="00C0783D"/>
    <w:rsid w:val="00C07E13"/>
    <w:rsid w:val="00C11A19"/>
    <w:rsid w:val="00C11AC8"/>
    <w:rsid w:val="00C11BF6"/>
    <w:rsid w:val="00C120AF"/>
    <w:rsid w:val="00C12647"/>
    <w:rsid w:val="00C12E3A"/>
    <w:rsid w:val="00C1329E"/>
    <w:rsid w:val="00C14555"/>
    <w:rsid w:val="00C148B1"/>
    <w:rsid w:val="00C158A4"/>
    <w:rsid w:val="00C15DD8"/>
    <w:rsid w:val="00C16766"/>
    <w:rsid w:val="00C1685C"/>
    <w:rsid w:val="00C173C5"/>
    <w:rsid w:val="00C22128"/>
    <w:rsid w:val="00C22C0E"/>
    <w:rsid w:val="00C22C38"/>
    <w:rsid w:val="00C2345E"/>
    <w:rsid w:val="00C23982"/>
    <w:rsid w:val="00C23BDA"/>
    <w:rsid w:val="00C24120"/>
    <w:rsid w:val="00C2434C"/>
    <w:rsid w:val="00C24614"/>
    <w:rsid w:val="00C24665"/>
    <w:rsid w:val="00C24825"/>
    <w:rsid w:val="00C253F8"/>
    <w:rsid w:val="00C254DF"/>
    <w:rsid w:val="00C26A07"/>
    <w:rsid w:val="00C26DDF"/>
    <w:rsid w:val="00C27205"/>
    <w:rsid w:val="00C304A4"/>
    <w:rsid w:val="00C30641"/>
    <w:rsid w:val="00C3071E"/>
    <w:rsid w:val="00C30981"/>
    <w:rsid w:val="00C31056"/>
    <w:rsid w:val="00C31F3B"/>
    <w:rsid w:val="00C32052"/>
    <w:rsid w:val="00C32417"/>
    <w:rsid w:val="00C33790"/>
    <w:rsid w:val="00C34351"/>
    <w:rsid w:val="00C34E95"/>
    <w:rsid w:val="00C350CE"/>
    <w:rsid w:val="00C35AA3"/>
    <w:rsid w:val="00C36507"/>
    <w:rsid w:val="00C370DF"/>
    <w:rsid w:val="00C37509"/>
    <w:rsid w:val="00C37597"/>
    <w:rsid w:val="00C37707"/>
    <w:rsid w:val="00C37B3A"/>
    <w:rsid w:val="00C40E08"/>
    <w:rsid w:val="00C414C0"/>
    <w:rsid w:val="00C41BC9"/>
    <w:rsid w:val="00C41F61"/>
    <w:rsid w:val="00C420F3"/>
    <w:rsid w:val="00C427F9"/>
    <w:rsid w:val="00C428DA"/>
    <w:rsid w:val="00C42FE9"/>
    <w:rsid w:val="00C439C3"/>
    <w:rsid w:val="00C43EFB"/>
    <w:rsid w:val="00C441D4"/>
    <w:rsid w:val="00C442E3"/>
    <w:rsid w:val="00C464CF"/>
    <w:rsid w:val="00C46D89"/>
    <w:rsid w:val="00C4733A"/>
    <w:rsid w:val="00C50050"/>
    <w:rsid w:val="00C5091D"/>
    <w:rsid w:val="00C509D3"/>
    <w:rsid w:val="00C50A41"/>
    <w:rsid w:val="00C51AE3"/>
    <w:rsid w:val="00C52DA0"/>
    <w:rsid w:val="00C53138"/>
    <w:rsid w:val="00C53668"/>
    <w:rsid w:val="00C53E67"/>
    <w:rsid w:val="00C54C4D"/>
    <w:rsid w:val="00C56599"/>
    <w:rsid w:val="00C565F3"/>
    <w:rsid w:val="00C566E3"/>
    <w:rsid w:val="00C56741"/>
    <w:rsid w:val="00C568F0"/>
    <w:rsid w:val="00C56CC4"/>
    <w:rsid w:val="00C57293"/>
    <w:rsid w:val="00C574C1"/>
    <w:rsid w:val="00C57FB2"/>
    <w:rsid w:val="00C604BE"/>
    <w:rsid w:val="00C60C49"/>
    <w:rsid w:val="00C6204D"/>
    <w:rsid w:val="00C620FF"/>
    <w:rsid w:val="00C62E98"/>
    <w:rsid w:val="00C62EDE"/>
    <w:rsid w:val="00C63A86"/>
    <w:rsid w:val="00C64D79"/>
    <w:rsid w:val="00C651BD"/>
    <w:rsid w:val="00C65CD4"/>
    <w:rsid w:val="00C65E25"/>
    <w:rsid w:val="00C663FA"/>
    <w:rsid w:val="00C67377"/>
    <w:rsid w:val="00C675C9"/>
    <w:rsid w:val="00C704A7"/>
    <w:rsid w:val="00C70D4E"/>
    <w:rsid w:val="00C718C5"/>
    <w:rsid w:val="00C71C3F"/>
    <w:rsid w:val="00C71EBE"/>
    <w:rsid w:val="00C72B71"/>
    <w:rsid w:val="00C7303B"/>
    <w:rsid w:val="00C7327F"/>
    <w:rsid w:val="00C74456"/>
    <w:rsid w:val="00C7509B"/>
    <w:rsid w:val="00C75173"/>
    <w:rsid w:val="00C75512"/>
    <w:rsid w:val="00C75B27"/>
    <w:rsid w:val="00C75C3F"/>
    <w:rsid w:val="00C767BF"/>
    <w:rsid w:val="00C7747E"/>
    <w:rsid w:val="00C80201"/>
    <w:rsid w:val="00C80446"/>
    <w:rsid w:val="00C80A84"/>
    <w:rsid w:val="00C80DC7"/>
    <w:rsid w:val="00C8173C"/>
    <w:rsid w:val="00C83274"/>
    <w:rsid w:val="00C840B4"/>
    <w:rsid w:val="00C84627"/>
    <w:rsid w:val="00C8500A"/>
    <w:rsid w:val="00C85020"/>
    <w:rsid w:val="00C85F06"/>
    <w:rsid w:val="00C86013"/>
    <w:rsid w:val="00C86460"/>
    <w:rsid w:val="00C87100"/>
    <w:rsid w:val="00C87E37"/>
    <w:rsid w:val="00C91667"/>
    <w:rsid w:val="00C91C7D"/>
    <w:rsid w:val="00C922BD"/>
    <w:rsid w:val="00C923B7"/>
    <w:rsid w:val="00C92682"/>
    <w:rsid w:val="00C935CE"/>
    <w:rsid w:val="00C9381A"/>
    <w:rsid w:val="00C94046"/>
    <w:rsid w:val="00C94250"/>
    <w:rsid w:val="00C945B5"/>
    <w:rsid w:val="00C945BC"/>
    <w:rsid w:val="00C94D88"/>
    <w:rsid w:val="00C96127"/>
    <w:rsid w:val="00C96910"/>
    <w:rsid w:val="00C97AF7"/>
    <w:rsid w:val="00C97D41"/>
    <w:rsid w:val="00CA0323"/>
    <w:rsid w:val="00CA0809"/>
    <w:rsid w:val="00CA0835"/>
    <w:rsid w:val="00CA106E"/>
    <w:rsid w:val="00CA1B5D"/>
    <w:rsid w:val="00CA279A"/>
    <w:rsid w:val="00CA27C6"/>
    <w:rsid w:val="00CA2D13"/>
    <w:rsid w:val="00CA3ABE"/>
    <w:rsid w:val="00CA3D7D"/>
    <w:rsid w:val="00CA4B91"/>
    <w:rsid w:val="00CA4BE5"/>
    <w:rsid w:val="00CA553F"/>
    <w:rsid w:val="00CA5851"/>
    <w:rsid w:val="00CA5E2F"/>
    <w:rsid w:val="00CA6CE3"/>
    <w:rsid w:val="00CA77E8"/>
    <w:rsid w:val="00CA7B8B"/>
    <w:rsid w:val="00CA7DCB"/>
    <w:rsid w:val="00CB3C45"/>
    <w:rsid w:val="00CB43A9"/>
    <w:rsid w:val="00CB4AD6"/>
    <w:rsid w:val="00CB4F6C"/>
    <w:rsid w:val="00CB57C2"/>
    <w:rsid w:val="00CB6968"/>
    <w:rsid w:val="00CB7BF2"/>
    <w:rsid w:val="00CC0072"/>
    <w:rsid w:val="00CC0F34"/>
    <w:rsid w:val="00CC1476"/>
    <w:rsid w:val="00CC1964"/>
    <w:rsid w:val="00CC1E89"/>
    <w:rsid w:val="00CC1F8B"/>
    <w:rsid w:val="00CC2327"/>
    <w:rsid w:val="00CC2AE1"/>
    <w:rsid w:val="00CC3205"/>
    <w:rsid w:val="00CC3880"/>
    <w:rsid w:val="00CC444F"/>
    <w:rsid w:val="00CC554F"/>
    <w:rsid w:val="00CC5633"/>
    <w:rsid w:val="00CC5ED2"/>
    <w:rsid w:val="00CC62B4"/>
    <w:rsid w:val="00CC6374"/>
    <w:rsid w:val="00CC6645"/>
    <w:rsid w:val="00CC6CB7"/>
    <w:rsid w:val="00CC6D25"/>
    <w:rsid w:val="00CD077D"/>
    <w:rsid w:val="00CD07BA"/>
    <w:rsid w:val="00CD134F"/>
    <w:rsid w:val="00CD1433"/>
    <w:rsid w:val="00CD1E8D"/>
    <w:rsid w:val="00CD260F"/>
    <w:rsid w:val="00CD4148"/>
    <w:rsid w:val="00CD42EC"/>
    <w:rsid w:val="00CD5FC1"/>
    <w:rsid w:val="00CD663F"/>
    <w:rsid w:val="00CE03D0"/>
    <w:rsid w:val="00CE1795"/>
    <w:rsid w:val="00CE18B4"/>
    <w:rsid w:val="00CE18D3"/>
    <w:rsid w:val="00CE1E98"/>
    <w:rsid w:val="00CE31C1"/>
    <w:rsid w:val="00CE362A"/>
    <w:rsid w:val="00CE4290"/>
    <w:rsid w:val="00CE446E"/>
    <w:rsid w:val="00CE4ED5"/>
    <w:rsid w:val="00CE5F98"/>
    <w:rsid w:val="00CE6178"/>
    <w:rsid w:val="00CE623C"/>
    <w:rsid w:val="00CE6BD5"/>
    <w:rsid w:val="00CE6D28"/>
    <w:rsid w:val="00CE73C2"/>
    <w:rsid w:val="00CE7CC6"/>
    <w:rsid w:val="00CE7E53"/>
    <w:rsid w:val="00CF0415"/>
    <w:rsid w:val="00CF0B68"/>
    <w:rsid w:val="00CF2884"/>
    <w:rsid w:val="00CF37CE"/>
    <w:rsid w:val="00CF419B"/>
    <w:rsid w:val="00CF41A4"/>
    <w:rsid w:val="00CF4AE9"/>
    <w:rsid w:val="00CF5584"/>
    <w:rsid w:val="00CF5BE2"/>
    <w:rsid w:val="00CF61F3"/>
    <w:rsid w:val="00CF64DA"/>
    <w:rsid w:val="00CF6502"/>
    <w:rsid w:val="00CF709A"/>
    <w:rsid w:val="00D0015E"/>
    <w:rsid w:val="00D003A5"/>
    <w:rsid w:val="00D0053A"/>
    <w:rsid w:val="00D0091C"/>
    <w:rsid w:val="00D00F1A"/>
    <w:rsid w:val="00D016AD"/>
    <w:rsid w:val="00D04835"/>
    <w:rsid w:val="00D04C2C"/>
    <w:rsid w:val="00D05093"/>
    <w:rsid w:val="00D059F9"/>
    <w:rsid w:val="00D05FC0"/>
    <w:rsid w:val="00D075A6"/>
    <w:rsid w:val="00D07B24"/>
    <w:rsid w:val="00D07E14"/>
    <w:rsid w:val="00D1154D"/>
    <w:rsid w:val="00D11F55"/>
    <w:rsid w:val="00D12013"/>
    <w:rsid w:val="00D120D9"/>
    <w:rsid w:val="00D127B8"/>
    <w:rsid w:val="00D12ECB"/>
    <w:rsid w:val="00D130FA"/>
    <w:rsid w:val="00D13751"/>
    <w:rsid w:val="00D13819"/>
    <w:rsid w:val="00D13A4A"/>
    <w:rsid w:val="00D146DB"/>
    <w:rsid w:val="00D14ECD"/>
    <w:rsid w:val="00D166E3"/>
    <w:rsid w:val="00D16A60"/>
    <w:rsid w:val="00D1782A"/>
    <w:rsid w:val="00D2014E"/>
    <w:rsid w:val="00D20476"/>
    <w:rsid w:val="00D20819"/>
    <w:rsid w:val="00D21587"/>
    <w:rsid w:val="00D2172A"/>
    <w:rsid w:val="00D2263A"/>
    <w:rsid w:val="00D2271A"/>
    <w:rsid w:val="00D2391D"/>
    <w:rsid w:val="00D24024"/>
    <w:rsid w:val="00D253A4"/>
    <w:rsid w:val="00D2560E"/>
    <w:rsid w:val="00D25FEA"/>
    <w:rsid w:val="00D261D6"/>
    <w:rsid w:val="00D263E3"/>
    <w:rsid w:val="00D265F5"/>
    <w:rsid w:val="00D26F54"/>
    <w:rsid w:val="00D30D7D"/>
    <w:rsid w:val="00D31146"/>
    <w:rsid w:val="00D314BB"/>
    <w:rsid w:val="00D317C8"/>
    <w:rsid w:val="00D31B91"/>
    <w:rsid w:val="00D322F5"/>
    <w:rsid w:val="00D335CA"/>
    <w:rsid w:val="00D34BA8"/>
    <w:rsid w:val="00D351AB"/>
    <w:rsid w:val="00D351E1"/>
    <w:rsid w:val="00D35435"/>
    <w:rsid w:val="00D35BBE"/>
    <w:rsid w:val="00D36579"/>
    <w:rsid w:val="00D36F61"/>
    <w:rsid w:val="00D37962"/>
    <w:rsid w:val="00D40CDE"/>
    <w:rsid w:val="00D41AD0"/>
    <w:rsid w:val="00D41B32"/>
    <w:rsid w:val="00D41D6C"/>
    <w:rsid w:val="00D41F35"/>
    <w:rsid w:val="00D42F2A"/>
    <w:rsid w:val="00D43B14"/>
    <w:rsid w:val="00D45A9A"/>
    <w:rsid w:val="00D4620A"/>
    <w:rsid w:val="00D46E50"/>
    <w:rsid w:val="00D46EC6"/>
    <w:rsid w:val="00D472E9"/>
    <w:rsid w:val="00D50C99"/>
    <w:rsid w:val="00D5121D"/>
    <w:rsid w:val="00D51D56"/>
    <w:rsid w:val="00D5241C"/>
    <w:rsid w:val="00D52C62"/>
    <w:rsid w:val="00D52F29"/>
    <w:rsid w:val="00D535B1"/>
    <w:rsid w:val="00D54F91"/>
    <w:rsid w:val="00D55611"/>
    <w:rsid w:val="00D56D11"/>
    <w:rsid w:val="00D570C8"/>
    <w:rsid w:val="00D572CA"/>
    <w:rsid w:val="00D575C2"/>
    <w:rsid w:val="00D57D15"/>
    <w:rsid w:val="00D57FF9"/>
    <w:rsid w:val="00D60E74"/>
    <w:rsid w:val="00D612F7"/>
    <w:rsid w:val="00D618AD"/>
    <w:rsid w:val="00D61F13"/>
    <w:rsid w:val="00D627BA"/>
    <w:rsid w:val="00D63B64"/>
    <w:rsid w:val="00D63BA2"/>
    <w:rsid w:val="00D643CE"/>
    <w:rsid w:val="00D64792"/>
    <w:rsid w:val="00D6565A"/>
    <w:rsid w:val="00D65994"/>
    <w:rsid w:val="00D65BED"/>
    <w:rsid w:val="00D65C1F"/>
    <w:rsid w:val="00D6622C"/>
    <w:rsid w:val="00D66269"/>
    <w:rsid w:val="00D676D0"/>
    <w:rsid w:val="00D679B5"/>
    <w:rsid w:val="00D70C96"/>
    <w:rsid w:val="00D715AF"/>
    <w:rsid w:val="00D715E7"/>
    <w:rsid w:val="00D719DE"/>
    <w:rsid w:val="00D71C66"/>
    <w:rsid w:val="00D74311"/>
    <w:rsid w:val="00D7452C"/>
    <w:rsid w:val="00D74893"/>
    <w:rsid w:val="00D74A23"/>
    <w:rsid w:val="00D74F11"/>
    <w:rsid w:val="00D761CB"/>
    <w:rsid w:val="00D76A78"/>
    <w:rsid w:val="00D779A1"/>
    <w:rsid w:val="00D8124D"/>
    <w:rsid w:val="00D8132F"/>
    <w:rsid w:val="00D81A11"/>
    <w:rsid w:val="00D8284F"/>
    <w:rsid w:val="00D828E6"/>
    <w:rsid w:val="00D82CA2"/>
    <w:rsid w:val="00D82CA8"/>
    <w:rsid w:val="00D82E5B"/>
    <w:rsid w:val="00D83632"/>
    <w:rsid w:val="00D83E0F"/>
    <w:rsid w:val="00D842DA"/>
    <w:rsid w:val="00D84794"/>
    <w:rsid w:val="00D84981"/>
    <w:rsid w:val="00D85083"/>
    <w:rsid w:val="00D8553A"/>
    <w:rsid w:val="00D8576F"/>
    <w:rsid w:val="00D8751E"/>
    <w:rsid w:val="00D904A9"/>
    <w:rsid w:val="00D90A90"/>
    <w:rsid w:val="00D9182B"/>
    <w:rsid w:val="00D922C9"/>
    <w:rsid w:val="00D92F90"/>
    <w:rsid w:val="00D9317C"/>
    <w:rsid w:val="00D935EF"/>
    <w:rsid w:val="00D9398A"/>
    <w:rsid w:val="00D93C66"/>
    <w:rsid w:val="00D93D55"/>
    <w:rsid w:val="00D9466F"/>
    <w:rsid w:val="00D9506A"/>
    <w:rsid w:val="00D953FE"/>
    <w:rsid w:val="00D957AD"/>
    <w:rsid w:val="00D95EE9"/>
    <w:rsid w:val="00D97CA6"/>
    <w:rsid w:val="00DA1BC7"/>
    <w:rsid w:val="00DA209F"/>
    <w:rsid w:val="00DA251F"/>
    <w:rsid w:val="00DA25FA"/>
    <w:rsid w:val="00DA28BE"/>
    <w:rsid w:val="00DA2A65"/>
    <w:rsid w:val="00DA486C"/>
    <w:rsid w:val="00DA562D"/>
    <w:rsid w:val="00DA6082"/>
    <w:rsid w:val="00DA6790"/>
    <w:rsid w:val="00DA69C1"/>
    <w:rsid w:val="00DA7E33"/>
    <w:rsid w:val="00DA7EA3"/>
    <w:rsid w:val="00DB005E"/>
    <w:rsid w:val="00DB0759"/>
    <w:rsid w:val="00DB08A8"/>
    <w:rsid w:val="00DB08D4"/>
    <w:rsid w:val="00DB2343"/>
    <w:rsid w:val="00DB2499"/>
    <w:rsid w:val="00DB2BA0"/>
    <w:rsid w:val="00DB3511"/>
    <w:rsid w:val="00DB4BD3"/>
    <w:rsid w:val="00DB4C1F"/>
    <w:rsid w:val="00DB4D6A"/>
    <w:rsid w:val="00DB5113"/>
    <w:rsid w:val="00DB5223"/>
    <w:rsid w:val="00DB5323"/>
    <w:rsid w:val="00DB5CB6"/>
    <w:rsid w:val="00DB6376"/>
    <w:rsid w:val="00DB674E"/>
    <w:rsid w:val="00DB7048"/>
    <w:rsid w:val="00DB720E"/>
    <w:rsid w:val="00DB726B"/>
    <w:rsid w:val="00DC03E6"/>
    <w:rsid w:val="00DC0589"/>
    <w:rsid w:val="00DC0BD2"/>
    <w:rsid w:val="00DC1969"/>
    <w:rsid w:val="00DC1A1A"/>
    <w:rsid w:val="00DC21D4"/>
    <w:rsid w:val="00DC2482"/>
    <w:rsid w:val="00DC2846"/>
    <w:rsid w:val="00DC2F84"/>
    <w:rsid w:val="00DC3B76"/>
    <w:rsid w:val="00DC3CAA"/>
    <w:rsid w:val="00DC3EBD"/>
    <w:rsid w:val="00DC418D"/>
    <w:rsid w:val="00DC45D0"/>
    <w:rsid w:val="00DC4760"/>
    <w:rsid w:val="00DC4EEE"/>
    <w:rsid w:val="00DC4FC8"/>
    <w:rsid w:val="00DC5529"/>
    <w:rsid w:val="00DC5EDB"/>
    <w:rsid w:val="00DC663C"/>
    <w:rsid w:val="00DC6B0D"/>
    <w:rsid w:val="00DC6D03"/>
    <w:rsid w:val="00DC6E50"/>
    <w:rsid w:val="00DC79F8"/>
    <w:rsid w:val="00DC7CDE"/>
    <w:rsid w:val="00DD0108"/>
    <w:rsid w:val="00DD022A"/>
    <w:rsid w:val="00DD088F"/>
    <w:rsid w:val="00DD0CBF"/>
    <w:rsid w:val="00DD0F08"/>
    <w:rsid w:val="00DD13A1"/>
    <w:rsid w:val="00DD15A3"/>
    <w:rsid w:val="00DD1AA1"/>
    <w:rsid w:val="00DD21F8"/>
    <w:rsid w:val="00DD2218"/>
    <w:rsid w:val="00DD3074"/>
    <w:rsid w:val="00DD32E3"/>
    <w:rsid w:val="00DD3348"/>
    <w:rsid w:val="00DD36B6"/>
    <w:rsid w:val="00DD400F"/>
    <w:rsid w:val="00DD4150"/>
    <w:rsid w:val="00DD5D4A"/>
    <w:rsid w:val="00DD7034"/>
    <w:rsid w:val="00DD7A66"/>
    <w:rsid w:val="00DE0207"/>
    <w:rsid w:val="00DE0719"/>
    <w:rsid w:val="00DE14CE"/>
    <w:rsid w:val="00DE17D3"/>
    <w:rsid w:val="00DE1DF0"/>
    <w:rsid w:val="00DE203D"/>
    <w:rsid w:val="00DE260D"/>
    <w:rsid w:val="00DE2A01"/>
    <w:rsid w:val="00DE31EF"/>
    <w:rsid w:val="00DE34E3"/>
    <w:rsid w:val="00DE4B01"/>
    <w:rsid w:val="00DE4F24"/>
    <w:rsid w:val="00DE6802"/>
    <w:rsid w:val="00DE765D"/>
    <w:rsid w:val="00DF1AD2"/>
    <w:rsid w:val="00DF1C0F"/>
    <w:rsid w:val="00DF249B"/>
    <w:rsid w:val="00DF2AC9"/>
    <w:rsid w:val="00DF2C01"/>
    <w:rsid w:val="00DF2CA6"/>
    <w:rsid w:val="00DF30C6"/>
    <w:rsid w:val="00DF3219"/>
    <w:rsid w:val="00DF3416"/>
    <w:rsid w:val="00DF3562"/>
    <w:rsid w:val="00DF3AB5"/>
    <w:rsid w:val="00DF3FAB"/>
    <w:rsid w:val="00DF406F"/>
    <w:rsid w:val="00DF52A4"/>
    <w:rsid w:val="00DF58B0"/>
    <w:rsid w:val="00DF5AE8"/>
    <w:rsid w:val="00DF61A8"/>
    <w:rsid w:val="00DF637E"/>
    <w:rsid w:val="00DF6828"/>
    <w:rsid w:val="00DF7798"/>
    <w:rsid w:val="00DF7916"/>
    <w:rsid w:val="00DF7D6D"/>
    <w:rsid w:val="00DF7FE5"/>
    <w:rsid w:val="00E00C05"/>
    <w:rsid w:val="00E00F3E"/>
    <w:rsid w:val="00E01203"/>
    <w:rsid w:val="00E01630"/>
    <w:rsid w:val="00E01755"/>
    <w:rsid w:val="00E01859"/>
    <w:rsid w:val="00E0194A"/>
    <w:rsid w:val="00E01F1C"/>
    <w:rsid w:val="00E0303F"/>
    <w:rsid w:val="00E042D6"/>
    <w:rsid w:val="00E0490B"/>
    <w:rsid w:val="00E049D5"/>
    <w:rsid w:val="00E05268"/>
    <w:rsid w:val="00E05A6E"/>
    <w:rsid w:val="00E05FE9"/>
    <w:rsid w:val="00E06401"/>
    <w:rsid w:val="00E104B3"/>
    <w:rsid w:val="00E1218F"/>
    <w:rsid w:val="00E12228"/>
    <w:rsid w:val="00E122F8"/>
    <w:rsid w:val="00E12309"/>
    <w:rsid w:val="00E1262F"/>
    <w:rsid w:val="00E12EA6"/>
    <w:rsid w:val="00E13934"/>
    <w:rsid w:val="00E14C34"/>
    <w:rsid w:val="00E15228"/>
    <w:rsid w:val="00E15263"/>
    <w:rsid w:val="00E1552F"/>
    <w:rsid w:val="00E155D1"/>
    <w:rsid w:val="00E161CC"/>
    <w:rsid w:val="00E16EAF"/>
    <w:rsid w:val="00E176A1"/>
    <w:rsid w:val="00E1796E"/>
    <w:rsid w:val="00E20111"/>
    <w:rsid w:val="00E20480"/>
    <w:rsid w:val="00E20B84"/>
    <w:rsid w:val="00E2122B"/>
    <w:rsid w:val="00E21498"/>
    <w:rsid w:val="00E22584"/>
    <w:rsid w:val="00E226B4"/>
    <w:rsid w:val="00E23024"/>
    <w:rsid w:val="00E235A0"/>
    <w:rsid w:val="00E23B5F"/>
    <w:rsid w:val="00E23F29"/>
    <w:rsid w:val="00E24084"/>
    <w:rsid w:val="00E245DD"/>
    <w:rsid w:val="00E24BCF"/>
    <w:rsid w:val="00E25157"/>
    <w:rsid w:val="00E25337"/>
    <w:rsid w:val="00E258FF"/>
    <w:rsid w:val="00E25D99"/>
    <w:rsid w:val="00E25DA3"/>
    <w:rsid w:val="00E2630C"/>
    <w:rsid w:val="00E30577"/>
    <w:rsid w:val="00E30907"/>
    <w:rsid w:val="00E30E17"/>
    <w:rsid w:val="00E317C3"/>
    <w:rsid w:val="00E32B29"/>
    <w:rsid w:val="00E33214"/>
    <w:rsid w:val="00E333D1"/>
    <w:rsid w:val="00E335A4"/>
    <w:rsid w:val="00E33868"/>
    <w:rsid w:val="00E33F17"/>
    <w:rsid w:val="00E35D7C"/>
    <w:rsid w:val="00E35F80"/>
    <w:rsid w:val="00E3655B"/>
    <w:rsid w:val="00E36730"/>
    <w:rsid w:val="00E369C8"/>
    <w:rsid w:val="00E377E5"/>
    <w:rsid w:val="00E401DD"/>
    <w:rsid w:val="00E4065A"/>
    <w:rsid w:val="00E4097C"/>
    <w:rsid w:val="00E41BA4"/>
    <w:rsid w:val="00E41CEC"/>
    <w:rsid w:val="00E41D09"/>
    <w:rsid w:val="00E42893"/>
    <w:rsid w:val="00E42AD5"/>
    <w:rsid w:val="00E4372C"/>
    <w:rsid w:val="00E43BB2"/>
    <w:rsid w:val="00E43D52"/>
    <w:rsid w:val="00E443FB"/>
    <w:rsid w:val="00E44943"/>
    <w:rsid w:val="00E44C5B"/>
    <w:rsid w:val="00E46A5C"/>
    <w:rsid w:val="00E46E64"/>
    <w:rsid w:val="00E47978"/>
    <w:rsid w:val="00E47D38"/>
    <w:rsid w:val="00E5051B"/>
    <w:rsid w:val="00E5093C"/>
    <w:rsid w:val="00E50B32"/>
    <w:rsid w:val="00E52890"/>
    <w:rsid w:val="00E53736"/>
    <w:rsid w:val="00E53B12"/>
    <w:rsid w:val="00E54925"/>
    <w:rsid w:val="00E556E6"/>
    <w:rsid w:val="00E55D38"/>
    <w:rsid w:val="00E5644D"/>
    <w:rsid w:val="00E57BA8"/>
    <w:rsid w:val="00E62410"/>
    <w:rsid w:val="00E627BB"/>
    <w:rsid w:val="00E62ABF"/>
    <w:rsid w:val="00E6344C"/>
    <w:rsid w:val="00E635A9"/>
    <w:rsid w:val="00E63664"/>
    <w:rsid w:val="00E640BC"/>
    <w:rsid w:val="00E647A3"/>
    <w:rsid w:val="00E64CF3"/>
    <w:rsid w:val="00E64EDC"/>
    <w:rsid w:val="00E653E5"/>
    <w:rsid w:val="00E656B0"/>
    <w:rsid w:val="00E65CED"/>
    <w:rsid w:val="00E65D14"/>
    <w:rsid w:val="00E66ADE"/>
    <w:rsid w:val="00E66FB4"/>
    <w:rsid w:val="00E67726"/>
    <w:rsid w:val="00E67BD0"/>
    <w:rsid w:val="00E7041D"/>
    <w:rsid w:val="00E71234"/>
    <w:rsid w:val="00E71244"/>
    <w:rsid w:val="00E718D2"/>
    <w:rsid w:val="00E71DEF"/>
    <w:rsid w:val="00E71F3B"/>
    <w:rsid w:val="00E71F7C"/>
    <w:rsid w:val="00E71F8F"/>
    <w:rsid w:val="00E72683"/>
    <w:rsid w:val="00E727EF"/>
    <w:rsid w:val="00E72F8B"/>
    <w:rsid w:val="00E73114"/>
    <w:rsid w:val="00E73897"/>
    <w:rsid w:val="00E73DA2"/>
    <w:rsid w:val="00E7453B"/>
    <w:rsid w:val="00E7456D"/>
    <w:rsid w:val="00E75F11"/>
    <w:rsid w:val="00E76212"/>
    <w:rsid w:val="00E7627F"/>
    <w:rsid w:val="00E7738F"/>
    <w:rsid w:val="00E77B31"/>
    <w:rsid w:val="00E77CDD"/>
    <w:rsid w:val="00E77F59"/>
    <w:rsid w:val="00E8012D"/>
    <w:rsid w:val="00E80718"/>
    <w:rsid w:val="00E813CC"/>
    <w:rsid w:val="00E828EB"/>
    <w:rsid w:val="00E829EA"/>
    <w:rsid w:val="00E82D89"/>
    <w:rsid w:val="00E8327D"/>
    <w:rsid w:val="00E832E2"/>
    <w:rsid w:val="00E8464F"/>
    <w:rsid w:val="00E8481D"/>
    <w:rsid w:val="00E85BE7"/>
    <w:rsid w:val="00E85D3F"/>
    <w:rsid w:val="00E85E31"/>
    <w:rsid w:val="00E85F91"/>
    <w:rsid w:val="00E8651C"/>
    <w:rsid w:val="00E86559"/>
    <w:rsid w:val="00E8699D"/>
    <w:rsid w:val="00E86CF0"/>
    <w:rsid w:val="00E87117"/>
    <w:rsid w:val="00E87AA5"/>
    <w:rsid w:val="00E87CB0"/>
    <w:rsid w:val="00E905A0"/>
    <w:rsid w:val="00E90A4D"/>
    <w:rsid w:val="00E90F1F"/>
    <w:rsid w:val="00E90F7C"/>
    <w:rsid w:val="00E91994"/>
    <w:rsid w:val="00E91A24"/>
    <w:rsid w:val="00E91E7B"/>
    <w:rsid w:val="00E91EE6"/>
    <w:rsid w:val="00E92051"/>
    <w:rsid w:val="00E929F6"/>
    <w:rsid w:val="00E936AB"/>
    <w:rsid w:val="00E9399B"/>
    <w:rsid w:val="00E939EA"/>
    <w:rsid w:val="00E94054"/>
    <w:rsid w:val="00E9456D"/>
    <w:rsid w:val="00E949AC"/>
    <w:rsid w:val="00E94F0E"/>
    <w:rsid w:val="00E95469"/>
    <w:rsid w:val="00E95D61"/>
    <w:rsid w:val="00E96173"/>
    <w:rsid w:val="00E96286"/>
    <w:rsid w:val="00E963CB"/>
    <w:rsid w:val="00E9647D"/>
    <w:rsid w:val="00E96903"/>
    <w:rsid w:val="00E96EA5"/>
    <w:rsid w:val="00E97642"/>
    <w:rsid w:val="00E97BE7"/>
    <w:rsid w:val="00EA0787"/>
    <w:rsid w:val="00EA08EF"/>
    <w:rsid w:val="00EA177A"/>
    <w:rsid w:val="00EA2261"/>
    <w:rsid w:val="00EA25DE"/>
    <w:rsid w:val="00EA2CD5"/>
    <w:rsid w:val="00EA3540"/>
    <w:rsid w:val="00EA4C6C"/>
    <w:rsid w:val="00EA4EC2"/>
    <w:rsid w:val="00EA55FF"/>
    <w:rsid w:val="00EA5675"/>
    <w:rsid w:val="00EA5901"/>
    <w:rsid w:val="00EA66A4"/>
    <w:rsid w:val="00EA6F16"/>
    <w:rsid w:val="00EA75EF"/>
    <w:rsid w:val="00EA7851"/>
    <w:rsid w:val="00EB2641"/>
    <w:rsid w:val="00EB3920"/>
    <w:rsid w:val="00EB4AB7"/>
    <w:rsid w:val="00EB4DCD"/>
    <w:rsid w:val="00EB5625"/>
    <w:rsid w:val="00EB5F1E"/>
    <w:rsid w:val="00EB6D86"/>
    <w:rsid w:val="00EB71E9"/>
    <w:rsid w:val="00EC0088"/>
    <w:rsid w:val="00EC13E4"/>
    <w:rsid w:val="00EC15C6"/>
    <w:rsid w:val="00EC1909"/>
    <w:rsid w:val="00EC2583"/>
    <w:rsid w:val="00EC2842"/>
    <w:rsid w:val="00EC2B04"/>
    <w:rsid w:val="00EC3088"/>
    <w:rsid w:val="00EC358D"/>
    <w:rsid w:val="00EC45AA"/>
    <w:rsid w:val="00EC4841"/>
    <w:rsid w:val="00EC5594"/>
    <w:rsid w:val="00EC586F"/>
    <w:rsid w:val="00EC5F2E"/>
    <w:rsid w:val="00EC623B"/>
    <w:rsid w:val="00EC63CB"/>
    <w:rsid w:val="00EC65AD"/>
    <w:rsid w:val="00EC7566"/>
    <w:rsid w:val="00ED0E78"/>
    <w:rsid w:val="00ED0F55"/>
    <w:rsid w:val="00ED10AA"/>
    <w:rsid w:val="00ED135D"/>
    <w:rsid w:val="00ED1E29"/>
    <w:rsid w:val="00ED2943"/>
    <w:rsid w:val="00ED35DC"/>
    <w:rsid w:val="00ED398E"/>
    <w:rsid w:val="00ED3DB1"/>
    <w:rsid w:val="00ED4D98"/>
    <w:rsid w:val="00ED568D"/>
    <w:rsid w:val="00ED5FB3"/>
    <w:rsid w:val="00ED676A"/>
    <w:rsid w:val="00ED7A6E"/>
    <w:rsid w:val="00EE0233"/>
    <w:rsid w:val="00EE19AB"/>
    <w:rsid w:val="00EE2535"/>
    <w:rsid w:val="00EE2A63"/>
    <w:rsid w:val="00EE2C76"/>
    <w:rsid w:val="00EE2ED8"/>
    <w:rsid w:val="00EE41D4"/>
    <w:rsid w:val="00EE41EF"/>
    <w:rsid w:val="00EE41F9"/>
    <w:rsid w:val="00EE5A2F"/>
    <w:rsid w:val="00EE5C5E"/>
    <w:rsid w:val="00EE5D6B"/>
    <w:rsid w:val="00EE615D"/>
    <w:rsid w:val="00EE6CF6"/>
    <w:rsid w:val="00EE6E61"/>
    <w:rsid w:val="00EE70B2"/>
    <w:rsid w:val="00EE7216"/>
    <w:rsid w:val="00EF013C"/>
    <w:rsid w:val="00EF01AD"/>
    <w:rsid w:val="00EF0971"/>
    <w:rsid w:val="00EF0B8E"/>
    <w:rsid w:val="00EF14FA"/>
    <w:rsid w:val="00EF18BD"/>
    <w:rsid w:val="00EF1CE1"/>
    <w:rsid w:val="00EF1D89"/>
    <w:rsid w:val="00EF26E7"/>
    <w:rsid w:val="00EF2F88"/>
    <w:rsid w:val="00EF2FA7"/>
    <w:rsid w:val="00EF372B"/>
    <w:rsid w:val="00EF378D"/>
    <w:rsid w:val="00EF411A"/>
    <w:rsid w:val="00EF45AE"/>
    <w:rsid w:val="00EF469D"/>
    <w:rsid w:val="00EF4E43"/>
    <w:rsid w:val="00EF4EC3"/>
    <w:rsid w:val="00EF531F"/>
    <w:rsid w:val="00EF60B1"/>
    <w:rsid w:val="00EF6122"/>
    <w:rsid w:val="00EF7FD0"/>
    <w:rsid w:val="00F001CF"/>
    <w:rsid w:val="00F00311"/>
    <w:rsid w:val="00F011A1"/>
    <w:rsid w:val="00F01243"/>
    <w:rsid w:val="00F01300"/>
    <w:rsid w:val="00F013EE"/>
    <w:rsid w:val="00F01693"/>
    <w:rsid w:val="00F02221"/>
    <w:rsid w:val="00F031B1"/>
    <w:rsid w:val="00F038DB"/>
    <w:rsid w:val="00F045C8"/>
    <w:rsid w:val="00F050FA"/>
    <w:rsid w:val="00F057AA"/>
    <w:rsid w:val="00F05830"/>
    <w:rsid w:val="00F05C85"/>
    <w:rsid w:val="00F0639F"/>
    <w:rsid w:val="00F064C8"/>
    <w:rsid w:val="00F0707E"/>
    <w:rsid w:val="00F07523"/>
    <w:rsid w:val="00F07624"/>
    <w:rsid w:val="00F07DDF"/>
    <w:rsid w:val="00F10825"/>
    <w:rsid w:val="00F108F7"/>
    <w:rsid w:val="00F10B3E"/>
    <w:rsid w:val="00F11052"/>
    <w:rsid w:val="00F113DA"/>
    <w:rsid w:val="00F11BD2"/>
    <w:rsid w:val="00F12D4A"/>
    <w:rsid w:val="00F138A0"/>
    <w:rsid w:val="00F13F63"/>
    <w:rsid w:val="00F14247"/>
    <w:rsid w:val="00F149D2"/>
    <w:rsid w:val="00F153FB"/>
    <w:rsid w:val="00F15657"/>
    <w:rsid w:val="00F165E6"/>
    <w:rsid w:val="00F16AE0"/>
    <w:rsid w:val="00F16CAD"/>
    <w:rsid w:val="00F16F20"/>
    <w:rsid w:val="00F1734F"/>
    <w:rsid w:val="00F17E79"/>
    <w:rsid w:val="00F200D7"/>
    <w:rsid w:val="00F20525"/>
    <w:rsid w:val="00F20854"/>
    <w:rsid w:val="00F2159C"/>
    <w:rsid w:val="00F21EBF"/>
    <w:rsid w:val="00F224DE"/>
    <w:rsid w:val="00F228DB"/>
    <w:rsid w:val="00F22E19"/>
    <w:rsid w:val="00F23903"/>
    <w:rsid w:val="00F244F1"/>
    <w:rsid w:val="00F24D8C"/>
    <w:rsid w:val="00F251A1"/>
    <w:rsid w:val="00F25438"/>
    <w:rsid w:val="00F25D04"/>
    <w:rsid w:val="00F25F9F"/>
    <w:rsid w:val="00F260DA"/>
    <w:rsid w:val="00F263D1"/>
    <w:rsid w:val="00F264C2"/>
    <w:rsid w:val="00F269B7"/>
    <w:rsid w:val="00F30250"/>
    <w:rsid w:val="00F30CD1"/>
    <w:rsid w:val="00F314B0"/>
    <w:rsid w:val="00F32215"/>
    <w:rsid w:val="00F32C92"/>
    <w:rsid w:val="00F347CA"/>
    <w:rsid w:val="00F35FD2"/>
    <w:rsid w:val="00F3637B"/>
    <w:rsid w:val="00F37B0F"/>
    <w:rsid w:val="00F37F1B"/>
    <w:rsid w:val="00F409EF"/>
    <w:rsid w:val="00F4119C"/>
    <w:rsid w:val="00F41CD6"/>
    <w:rsid w:val="00F4291D"/>
    <w:rsid w:val="00F44196"/>
    <w:rsid w:val="00F44AE2"/>
    <w:rsid w:val="00F44E65"/>
    <w:rsid w:val="00F45B6E"/>
    <w:rsid w:val="00F45C50"/>
    <w:rsid w:val="00F46AE3"/>
    <w:rsid w:val="00F47711"/>
    <w:rsid w:val="00F47A62"/>
    <w:rsid w:val="00F508CB"/>
    <w:rsid w:val="00F51200"/>
    <w:rsid w:val="00F5156C"/>
    <w:rsid w:val="00F516D7"/>
    <w:rsid w:val="00F51AD0"/>
    <w:rsid w:val="00F528EF"/>
    <w:rsid w:val="00F52A6B"/>
    <w:rsid w:val="00F52A91"/>
    <w:rsid w:val="00F536FC"/>
    <w:rsid w:val="00F5374A"/>
    <w:rsid w:val="00F53AB4"/>
    <w:rsid w:val="00F542A1"/>
    <w:rsid w:val="00F554C5"/>
    <w:rsid w:val="00F55A67"/>
    <w:rsid w:val="00F55BF5"/>
    <w:rsid w:val="00F5689C"/>
    <w:rsid w:val="00F56B8D"/>
    <w:rsid w:val="00F56C03"/>
    <w:rsid w:val="00F57C05"/>
    <w:rsid w:val="00F57C75"/>
    <w:rsid w:val="00F6056C"/>
    <w:rsid w:val="00F60B87"/>
    <w:rsid w:val="00F6147C"/>
    <w:rsid w:val="00F61685"/>
    <w:rsid w:val="00F61999"/>
    <w:rsid w:val="00F61AED"/>
    <w:rsid w:val="00F61D9C"/>
    <w:rsid w:val="00F6202C"/>
    <w:rsid w:val="00F638B4"/>
    <w:rsid w:val="00F63B1F"/>
    <w:rsid w:val="00F63BD6"/>
    <w:rsid w:val="00F63F1C"/>
    <w:rsid w:val="00F646BE"/>
    <w:rsid w:val="00F647BE"/>
    <w:rsid w:val="00F648FB"/>
    <w:rsid w:val="00F64E5B"/>
    <w:rsid w:val="00F66103"/>
    <w:rsid w:val="00F67656"/>
    <w:rsid w:val="00F678B7"/>
    <w:rsid w:val="00F7014B"/>
    <w:rsid w:val="00F70CF4"/>
    <w:rsid w:val="00F7158C"/>
    <w:rsid w:val="00F71D21"/>
    <w:rsid w:val="00F728B1"/>
    <w:rsid w:val="00F72D98"/>
    <w:rsid w:val="00F73214"/>
    <w:rsid w:val="00F73AF0"/>
    <w:rsid w:val="00F74C63"/>
    <w:rsid w:val="00F75126"/>
    <w:rsid w:val="00F75E6F"/>
    <w:rsid w:val="00F76676"/>
    <w:rsid w:val="00F76EE4"/>
    <w:rsid w:val="00F77214"/>
    <w:rsid w:val="00F7753E"/>
    <w:rsid w:val="00F77758"/>
    <w:rsid w:val="00F77FBE"/>
    <w:rsid w:val="00F805C2"/>
    <w:rsid w:val="00F8104D"/>
    <w:rsid w:val="00F81B26"/>
    <w:rsid w:val="00F81D8D"/>
    <w:rsid w:val="00F82871"/>
    <w:rsid w:val="00F82A99"/>
    <w:rsid w:val="00F8362A"/>
    <w:rsid w:val="00F8377D"/>
    <w:rsid w:val="00F83BC3"/>
    <w:rsid w:val="00F847A3"/>
    <w:rsid w:val="00F84AAF"/>
    <w:rsid w:val="00F8692C"/>
    <w:rsid w:val="00F86FC0"/>
    <w:rsid w:val="00F879F4"/>
    <w:rsid w:val="00F87C6C"/>
    <w:rsid w:val="00F87CEC"/>
    <w:rsid w:val="00F9041E"/>
    <w:rsid w:val="00F904F8"/>
    <w:rsid w:val="00F90C51"/>
    <w:rsid w:val="00F90C56"/>
    <w:rsid w:val="00F91121"/>
    <w:rsid w:val="00F9138B"/>
    <w:rsid w:val="00F917D3"/>
    <w:rsid w:val="00F9228D"/>
    <w:rsid w:val="00F92294"/>
    <w:rsid w:val="00F93367"/>
    <w:rsid w:val="00F93545"/>
    <w:rsid w:val="00F93905"/>
    <w:rsid w:val="00F93DBE"/>
    <w:rsid w:val="00F94C23"/>
    <w:rsid w:val="00F94C4D"/>
    <w:rsid w:val="00F95476"/>
    <w:rsid w:val="00F955A2"/>
    <w:rsid w:val="00F95C1C"/>
    <w:rsid w:val="00F95C2E"/>
    <w:rsid w:val="00F95EB1"/>
    <w:rsid w:val="00F960F6"/>
    <w:rsid w:val="00F961C2"/>
    <w:rsid w:val="00F96615"/>
    <w:rsid w:val="00F96B84"/>
    <w:rsid w:val="00F96E9F"/>
    <w:rsid w:val="00F9760B"/>
    <w:rsid w:val="00F97C6B"/>
    <w:rsid w:val="00F97D5F"/>
    <w:rsid w:val="00FA01A0"/>
    <w:rsid w:val="00FA0757"/>
    <w:rsid w:val="00FA0777"/>
    <w:rsid w:val="00FA1207"/>
    <w:rsid w:val="00FA147C"/>
    <w:rsid w:val="00FA1A9C"/>
    <w:rsid w:val="00FA1DA9"/>
    <w:rsid w:val="00FA2655"/>
    <w:rsid w:val="00FA3029"/>
    <w:rsid w:val="00FA367A"/>
    <w:rsid w:val="00FA40C1"/>
    <w:rsid w:val="00FA433C"/>
    <w:rsid w:val="00FA4349"/>
    <w:rsid w:val="00FA4AB0"/>
    <w:rsid w:val="00FA4D00"/>
    <w:rsid w:val="00FA5033"/>
    <w:rsid w:val="00FA6037"/>
    <w:rsid w:val="00FA6340"/>
    <w:rsid w:val="00FA677F"/>
    <w:rsid w:val="00FA6ECC"/>
    <w:rsid w:val="00FA739E"/>
    <w:rsid w:val="00FB1705"/>
    <w:rsid w:val="00FB2B46"/>
    <w:rsid w:val="00FB2D24"/>
    <w:rsid w:val="00FB3272"/>
    <w:rsid w:val="00FB329C"/>
    <w:rsid w:val="00FB3580"/>
    <w:rsid w:val="00FB3886"/>
    <w:rsid w:val="00FB3BCC"/>
    <w:rsid w:val="00FB4470"/>
    <w:rsid w:val="00FB55C2"/>
    <w:rsid w:val="00FB5694"/>
    <w:rsid w:val="00FB5CA6"/>
    <w:rsid w:val="00FB6FE9"/>
    <w:rsid w:val="00FB7394"/>
    <w:rsid w:val="00FC07F3"/>
    <w:rsid w:val="00FC0C5E"/>
    <w:rsid w:val="00FC0E33"/>
    <w:rsid w:val="00FC14C6"/>
    <w:rsid w:val="00FC34D1"/>
    <w:rsid w:val="00FC37F8"/>
    <w:rsid w:val="00FC3877"/>
    <w:rsid w:val="00FC4BC7"/>
    <w:rsid w:val="00FC6CF0"/>
    <w:rsid w:val="00FC73AC"/>
    <w:rsid w:val="00FC7EAC"/>
    <w:rsid w:val="00FD053A"/>
    <w:rsid w:val="00FD06FB"/>
    <w:rsid w:val="00FD14C0"/>
    <w:rsid w:val="00FD16F6"/>
    <w:rsid w:val="00FD1BDD"/>
    <w:rsid w:val="00FD1EBD"/>
    <w:rsid w:val="00FD219C"/>
    <w:rsid w:val="00FD2544"/>
    <w:rsid w:val="00FD2D36"/>
    <w:rsid w:val="00FD2F49"/>
    <w:rsid w:val="00FD3CA3"/>
    <w:rsid w:val="00FD3E40"/>
    <w:rsid w:val="00FD412A"/>
    <w:rsid w:val="00FD41C1"/>
    <w:rsid w:val="00FD499D"/>
    <w:rsid w:val="00FD5593"/>
    <w:rsid w:val="00FD65E7"/>
    <w:rsid w:val="00FD6BDC"/>
    <w:rsid w:val="00FE0833"/>
    <w:rsid w:val="00FE0A2F"/>
    <w:rsid w:val="00FE1AC6"/>
    <w:rsid w:val="00FE205C"/>
    <w:rsid w:val="00FE31D9"/>
    <w:rsid w:val="00FE4021"/>
    <w:rsid w:val="00FE4470"/>
    <w:rsid w:val="00FE5D1D"/>
    <w:rsid w:val="00FE65D7"/>
    <w:rsid w:val="00FE69FA"/>
    <w:rsid w:val="00FF0031"/>
    <w:rsid w:val="00FF0041"/>
    <w:rsid w:val="00FF197E"/>
    <w:rsid w:val="00FF1A40"/>
    <w:rsid w:val="00FF1D2A"/>
    <w:rsid w:val="00FF2688"/>
    <w:rsid w:val="00FF325A"/>
    <w:rsid w:val="00FF326D"/>
    <w:rsid w:val="00FF36A7"/>
    <w:rsid w:val="00FF3E17"/>
    <w:rsid w:val="00FF475B"/>
    <w:rsid w:val="00FF53B4"/>
    <w:rsid w:val="00FF5F2E"/>
    <w:rsid w:val="00FF65F3"/>
    <w:rsid w:val="00FF67E2"/>
    <w:rsid w:val="00FF6E28"/>
    <w:rsid w:val="00FF6E50"/>
    <w:rsid w:val="00FF6EC8"/>
    <w:rsid w:val="00FF6F83"/>
    <w:rsid w:val="00FF72B2"/>
    <w:rsid w:val="00FF73D1"/>
    <w:rsid w:val="00FF7451"/>
    <w:rsid w:val="00FF75DA"/>
    <w:rsid w:val="00FF7F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033A2647"/>
  <w15:chartTrackingRefBased/>
  <w15:docId w15:val="{805AD8B1-5288-49A9-A1DD-26C13BB4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E41EF"/>
    <w:pPr>
      <w:spacing w:after="120" w:line="336" w:lineRule="auto"/>
      <w:jc w:val="both"/>
    </w:pPr>
    <w:rPr>
      <w:rFonts w:ascii="Times New Roman" w:hAnsi="Times New Roman"/>
    </w:rPr>
  </w:style>
  <w:style w:type="paragraph" w:styleId="Nadpis1">
    <w:name w:val="heading 1"/>
    <w:basedOn w:val="Normlny"/>
    <w:next w:val="Normlny"/>
    <w:link w:val="Nadpis1Char"/>
    <w:uiPriority w:val="9"/>
    <w:qFormat/>
    <w:rsid w:val="00ED135D"/>
    <w:pPr>
      <w:keepNext/>
      <w:numPr>
        <w:numId w:val="1"/>
      </w:numPr>
      <w:spacing w:before="120"/>
      <w:ind w:left="4402"/>
      <w:jc w:val="center"/>
      <w:outlineLvl w:val="0"/>
    </w:pPr>
    <w:rPr>
      <w:rFonts w:eastAsiaTheme="majorEastAsia" w:cstheme="majorBidi"/>
      <w:b/>
      <w:sz w:val="26"/>
      <w:szCs w:val="32"/>
    </w:rPr>
  </w:style>
  <w:style w:type="paragraph" w:styleId="Nadpis2">
    <w:name w:val="heading 2"/>
    <w:basedOn w:val="Normlny"/>
    <w:next w:val="Normlny"/>
    <w:link w:val="Nadpis2Char"/>
    <w:uiPriority w:val="9"/>
    <w:unhideWhenUsed/>
    <w:qFormat/>
    <w:rsid w:val="00005A9B"/>
    <w:pPr>
      <w:keepNext/>
      <w:numPr>
        <w:ilvl w:val="1"/>
        <w:numId w:val="1"/>
      </w:numPr>
      <w:spacing w:before="120"/>
      <w:ind w:left="578" w:hanging="578"/>
      <w:jc w:val="center"/>
      <w:outlineLvl w:val="1"/>
    </w:pPr>
    <w:rPr>
      <w:rFonts w:eastAsiaTheme="majorEastAsia" w:cstheme="majorBidi"/>
      <w:b/>
      <w:sz w:val="24"/>
      <w:szCs w:val="26"/>
    </w:rPr>
  </w:style>
  <w:style w:type="paragraph" w:styleId="Nadpis3">
    <w:name w:val="heading 3"/>
    <w:basedOn w:val="Normlny"/>
    <w:next w:val="Normlny"/>
    <w:link w:val="Nadpis3Char"/>
    <w:uiPriority w:val="9"/>
    <w:unhideWhenUsed/>
    <w:qFormat/>
    <w:rsid w:val="00642B82"/>
    <w:pPr>
      <w:keepNext/>
      <w:keepLines/>
      <w:numPr>
        <w:ilvl w:val="2"/>
        <w:numId w:val="1"/>
      </w:numPr>
      <w:spacing w:before="120" w:line="240" w:lineRule="auto"/>
      <w:ind w:left="0" w:firstLine="0"/>
      <w:jc w:val="center"/>
      <w:outlineLvl w:val="2"/>
    </w:pPr>
    <w:rPr>
      <w:rFonts w:eastAsiaTheme="majorEastAsia" w:cstheme="majorBidi"/>
      <w:b/>
      <w:sz w:val="24"/>
      <w:szCs w:val="24"/>
    </w:rPr>
  </w:style>
  <w:style w:type="paragraph" w:styleId="Nadpis4">
    <w:name w:val="heading 4"/>
    <w:basedOn w:val="Normlny"/>
    <w:next w:val="Normlny"/>
    <w:link w:val="Nadpis4Char"/>
    <w:uiPriority w:val="9"/>
    <w:unhideWhenUsed/>
    <w:qFormat/>
    <w:rsid w:val="005F43DB"/>
    <w:pPr>
      <w:keepNext/>
      <w:keepLines/>
      <w:numPr>
        <w:ilvl w:val="3"/>
        <w:numId w:val="1"/>
      </w:numPr>
      <w:spacing w:before="120"/>
      <w:ind w:left="0" w:firstLine="0"/>
      <w:jc w:val="center"/>
      <w:outlineLvl w:val="3"/>
    </w:pPr>
    <w:rPr>
      <w:rFonts w:eastAsiaTheme="majorEastAsia" w:cstheme="majorBidi"/>
      <w:b/>
      <w:iCs/>
      <w:sz w:val="24"/>
    </w:rPr>
  </w:style>
  <w:style w:type="paragraph" w:styleId="Nadpis5">
    <w:name w:val="heading 5"/>
    <w:basedOn w:val="Normlny"/>
    <w:next w:val="Normlny"/>
    <w:link w:val="Nadpis5Char"/>
    <w:uiPriority w:val="9"/>
    <w:unhideWhenUsed/>
    <w:qFormat/>
    <w:rsid w:val="009C63C5"/>
    <w:pPr>
      <w:keepNext/>
      <w:keepLines/>
      <w:numPr>
        <w:ilvl w:val="4"/>
        <w:numId w:val="1"/>
      </w:numPr>
      <w:spacing w:before="40" w:after="0"/>
      <w:outlineLvl w:val="4"/>
    </w:pPr>
    <w:rPr>
      <w:rFonts w:eastAsiaTheme="majorEastAsia" w:cstheme="majorBidi"/>
      <w:b/>
    </w:rPr>
  </w:style>
  <w:style w:type="paragraph" w:styleId="Nadpis6">
    <w:name w:val="heading 6"/>
    <w:basedOn w:val="Normlny"/>
    <w:next w:val="Normlny"/>
    <w:link w:val="Nadpis6Char"/>
    <w:uiPriority w:val="9"/>
    <w:semiHidden/>
    <w:unhideWhenUsed/>
    <w:qFormat/>
    <w:rsid w:val="005F5B8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semiHidden/>
    <w:unhideWhenUsed/>
    <w:qFormat/>
    <w:rsid w:val="005F5B8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semiHidden/>
    <w:unhideWhenUsed/>
    <w:qFormat/>
    <w:rsid w:val="005F5B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F5B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D135D"/>
    <w:rPr>
      <w:rFonts w:ascii="Times New Roman" w:eastAsiaTheme="majorEastAsia" w:hAnsi="Times New Roman" w:cstheme="majorBidi"/>
      <w:b/>
      <w:sz w:val="26"/>
      <w:szCs w:val="32"/>
    </w:rPr>
  </w:style>
  <w:style w:type="character" w:customStyle="1" w:styleId="Nadpis2Char">
    <w:name w:val="Nadpis 2 Char"/>
    <w:basedOn w:val="Predvolenpsmoodseku"/>
    <w:link w:val="Nadpis2"/>
    <w:uiPriority w:val="9"/>
    <w:rsid w:val="00005A9B"/>
    <w:rPr>
      <w:rFonts w:ascii="Times New Roman" w:eastAsiaTheme="majorEastAsia" w:hAnsi="Times New Roman" w:cstheme="majorBidi"/>
      <w:b/>
      <w:sz w:val="24"/>
      <w:szCs w:val="26"/>
    </w:rPr>
  </w:style>
  <w:style w:type="character" w:customStyle="1" w:styleId="Nadpis3Char">
    <w:name w:val="Nadpis 3 Char"/>
    <w:basedOn w:val="Predvolenpsmoodseku"/>
    <w:link w:val="Nadpis3"/>
    <w:uiPriority w:val="9"/>
    <w:rsid w:val="00642B82"/>
    <w:rPr>
      <w:rFonts w:ascii="Times New Roman" w:eastAsiaTheme="majorEastAsia" w:hAnsi="Times New Roman" w:cstheme="majorBidi"/>
      <w:b/>
      <w:sz w:val="24"/>
      <w:szCs w:val="24"/>
    </w:rPr>
  </w:style>
  <w:style w:type="character" w:customStyle="1" w:styleId="Nadpis4Char">
    <w:name w:val="Nadpis 4 Char"/>
    <w:basedOn w:val="Predvolenpsmoodseku"/>
    <w:link w:val="Nadpis4"/>
    <w:uiPriority w:val="9"/>
    <w:rsid w:val="005F43DB"/>
    <w:rPr>
      <w:rFonts w:ascii="Times New Roman" w:eastAsiaTheme="majorEastAsia" w:hAnsi="Times New Roman" w:cstheme="majorBidi"/>
      <w:b/>
      <w:iCs/>
      <w:sz w:val="24"/>
    </w:rPr>
  </w:style>
  <w:style w:type="character" w:customStyle="1" w:styleId="Nadpis5Char">
    <w:name w:val="Nadpis 5 Char"/>
    <w:basedOn w:val="Predvolenpsmoodseku"/>
    <w:link w:val="Nadpis5"/>
    <w:uiPriority w:val="9"/>
    <w:rsid w:val="009C63C5"/>
    <w:rPr>
      <w:rFonts w:ascii="Times New Roman" w:eastAsiaTheme="majorEastAsia" w:hAnsi="Times New Roman" w:cstheme="majorBidi"/>
      <w:b/>
    </w:rPr>
  </w:style>
  <w:style w:type="character" w:customStyle="1" w:styleId="Nadpis6Char">
    <w:name w:val="Nadpis 6 Char"/>
    <w:basedOn w:val="Predvolenpsmoodseku"/>
    <w:link w:val="Nadpis6"/>
    <w:uiPriority w:val="9"/>
    <w:semiHidden/>
    <w:rsid w:val="005F5B88"/>
    <w:rPr>
      <w:rFonts w:asciiTheme="majorHAnsi" w:eastAsiaTheme="majorEastAsia" w:hAnsiTheme="majorHAnsi" w:cstheme="majorBidi"/>
      <w:color w:val="1F4D78" w:themeColor="accent1" w:themeShade="7F"/>
    </w:rPr>
  </w:style>
  <w:style w:type="character" w:customStyle="1" w:styleId="Nadpis7Char">
    <w:name w:val="Nadpis 7 Char"/>
    <w:basedOn w:val="Predvolenpsmoodseku"/>
    <w:link w:val="Nadpis7"/>
    <w:uiPriority w:val="9"/>
    <w:semiHidden/>
    <w:rsid w:val="005F5B88"/>
    <w:rPr>
      <w:rFonts w:asciiTheme="majorHAnsi" w:eastAsiaTheme="majorEastAsia" w:hAnsiTheme="majorHAnsi" w:cstheme="majorBidi"/>
      <w:i/>
      <w:iCs/>
      <w:color w:val="1F4D78" w:themeColor="accent1" w:themeShade="7F"/>
    </w:rPr>
  </w:style>
  <w:style w:type="character" w:customStyle="1" w:styleId="Nadpis8Char">
    <w:name w:val="Nadpis 8 Char"/>
    <w:basedOn w:val="Predvolenpsmoodseku"/>
    <w:link w:val="Nadpis8"/>
    <w:uiPriority w:val="9"/>
    <w:semiHidden/>
    <w:rsid w:val="005F5B8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5F5B88"/>
    <w:rPr>
      <w:rFonts w:asciiTheme="majorHAnsi" w:eastAsiaTheme="majorEastAsia" w:hAnsiTheme="majorHAnsi" w:cstheme="majorBidi"/>
      <w:i/>
      <w:iCs/>
      <w:color w:val="272727" w:themeColor="text1" w:themeTint="D8"/>
      <w:sz w:val="21"/>
      <w:szCs w:val="21"/>
    </w:rPr>
  </w:style>
  <w:style w:type="paragraph" w:styleId="Hlavika">
    <w:name w:val="header"/>
    <w:aliases w:val="Hlavička Char Char Char"/>
    <w:basedOn w:val="Normlny"/>
    <w:link w:val="HlavikaChar"/>
    <w:uiPriority w:val="99"/>
    <w:unhideWhenUsed/>
    <w:qFormat/>
    <w:rsid w:val="00881BDB"/>
    <w:pPr>
      <w:tabs>
        <w:tab w:val="center" w:pos="4536"/>
        <w:tab w:val="right" w:pos="9072"/>
      </w:tabs>
      <w:spacing w:after="0" w:line="240" w:lineRule="auto"/>
    </w:pPr>
  </w:style>
  <w:style w:type="character" w:customStyle="1" w:styleId="HlavikaChar">
    <w:name w:val="Hlavička Char"/>
    <w:aliases w:val="Hlavička Char Char Char Char"/>
    <w:basedOn w:val="Predvolenpsmoodseku"/>
    <w:link w:val="Hlavika"/>
    <w:uiPriority w:val="99"/>
    <w:rsid w:val="00881BDB"/>
    <w:rPr>
      <w:rFonts w:ascii="Times New Roman" w:hAnsi="Times New Roman"/>
    </w:rPr>
  </w:style>
  <w:style w:type="paragraph" w:styleId="Pta">
    <w:name w:val="footer"/>
    <w:basedOn w:val="Normlny"/>
    <w:link w:val="PtaChar"/>
    <w:unhideWhenUsed/>
    <w:rsid w:val="00881BDB"/>
    <w:pPr>
      <w:tabs>
        <w:tab w:val="center" w:pos="4536"/>
        <w:tab w:val="right" w:pos="9072"/>
      </w:tabs>
      <w:spacing w:after="0" w:line="240" w:lineRule="auto"/>
    </w:pPr>
  </w:style>
  <w:style w:type="character" w:customStyle="1" w:styleId="PtaChar">
    <w:name w:val="Päta Char"/>
    <w:basedOn w:val="Predvolenpsmoodseku"/>
    <w:link w:val="Pta"/>
    <w:rsid w:val="00881BDB"/>
    <w:rPr>
      <w:rFonts w:ascii="Times New Roman" w:hAnsi="Times New Roman"/>
    </w:rPr>
  </w:style>
  <w:style w:type="paragraph" w:styleId="Obsah1">
    <w:name w:val="toc 1"/>
    <w:basedOn w:val="Normlny"/>
    <w:next w:val="Normlny"/>
    <w:autoRedefine/>
    <w:uiPriority w:val="39"/>
    <w:unhideWhenUsed/>
    <w:rsid w:val="003B450C"/>
    <w:pPr>
      <w:tabs>
        <w:tab w:val="left" w:pos="332"/>
        <w:tab w:val="right" w:pos="8493"/>
      </w:tabs>
      <w:spacing w:before="240" w:after="0" w:line="240" w:lineRule="auto"/>
      <w:jc w:val="left"/>
    </w:pPr>
    <w:rPr>
      <w:b/>
      <w:bCs/>
      <w:noProof/>
      <w:sz w:val="20"/>
    </w:rPr>
  </w:style>
  <w:style w:type="paragraph" w:styleId="Obsah2">
    <w:name w:val="toc 2"/>
    <w:basedOn w:val="Normlny"/>
    <w:next w:val="Normlny"/>
    <w:autoRedefine/>
    <w:uiPriority w:val="39"/>
    <w:unhideWhenUsed/>
    <w:rsid w:val="00C464CF"/>
    <w:pPr>
      <w:tabs>
        <w:tab w:val="left" w:pos="502"/>
        <w:tab w:val="right" w:pos="8493"/>
      </w:tabs>
      <w:spacing w:after="0" w:line="240" w:lineRule="auto"/>
      <w:jc w:val="left"/>
    </w:pPr>
    <w:rPr>
      <w:b/>
      <w:bCs/>
      <w:noProof/>
      <w:sz w:val="20"/>
    </w:rPr>
  </w:style>
  <w:style w:type="paragraph" w:styleId="Obsah3">
    <w:name w:val="toc 3"/>
    <w:basedOn w:val="Normlny"/>
    <w:next w:val="Normlny"/>
    <w:autoRedefine/>
    <w:uiPriority w:val="39"/>
    <w:unhideWhenUsed/>
    <w:rsid w:val="00E813CC"/>
    <w:pPr>
      <w:tabs>
        <w:tab w:val="left" w:pos="666"/>
        <w:tab w:val="right" w:pos="8493"/>
      </w:tabs>
      <w:spacing w:after="0" w:line="240" w:lineRule="auto"/>
      <w:jc w:val="left"/>
    </w:pPr>
    <w:rPr>
      <w:rFonts w:cs="Times New Roman"/>
      <w:noProof/>
    </w:rPr>
  </w:style>
  <w:style w:type="character" w:styleId="Hypertextovprepojenie">
    <w:name w:val="Hyperlink"/>
    <w:basedOn w:val="Predvolenpsmoodseku"/>
    <w:uiPriority w:val="99"/>
    <w:unhideWhenUsed/>
    <w:rsid w:val="0021355F"/>
    <w:rPr>
      <w:color w:val="0563C1" w:themeColor="hyperlink"/>
      <w:u w:val="single"/>
    </w:rPr>
  </w:style>
  <w:style w:type="paragraph" w:styleId="Obsah4">
    <w:name w:val="toc 4"/>
    <w:basedOn w:val="Normlny"/>
    <w:next w:val="Normlny"/>
    <w:autoRedefine/>
    <w:uiPriority w:val="39"/>
    <w:unhideWhenUsed/>
    <w:rsid w:val="007F2028"/>
    <w:pPr>
      <w:tabs>
        <w:tab w:val="left" w:pos="833"/>
      </w:tabs>
      <w:spacing w:after="0" w:line="240" w:lineRule="auto"/>
      <w:jc w:val="left"/>
    </w:pPr>
    <w:rPr>
      <w:rFonts w:asciiTheme="minorHAnsi" w:hAnsiTheme="minorHAnsi"/>
    </w:rPr>
  </w:style>
  <w:style w:type="paragraph" w:styleId="Obsah5">
    <w:name w:val="toc 5"/>
    <w:basedOn w:val="Normlny"/>
    <w:next w:val="Normlny"/>
    <w:autoRedefine/>
    <w:uiPriority w:val="39"/>
    <w:unhideWhenUsed/>
    <w:rsid w:val="007D65C4"/>
    <w:pPr>
      <w:spacing w:after="0"/>
      <w:jc w:val="left"/>
    </w:pPr>
    <w:rPr>
      <w:rFonts w:asciiTheme="minorHAnsi" w:hAnsiTheme="minorHAnsi"/>
    </w:rPr>
  </w:style>
  <w:style w:type="paragraph" w:styleId="Obsah6">
    <w:name w:val="toc 6"/>
    <w:basedOn w:val="Normlny"/>
    <w:next w:val="Normlny"/>
    <w:autoRedefine/>
    <w:uiPriority w:val="39"/>
    <w:unhideWhenUsed/>
    <w:rsid w:val="007D65C4"/>
    <w:pPr>
      <w:spacing w:after="0"/>
      <w:jc w:val="left"/>
    </w:pPr>
    <w:rPr>
      <w:rFonts w:asciiTheme="minorHAnsi" w:hAnsiTheme="minorHAnsi"/>
    </w:rPr>
  </w:style>
  <w:style w:type="paragraph" w:styleId="Obsah7">
    <w:name w:val="toc 7"/>
    <w:basedOn w:val="Normlny"/>
    <w:next w:val="Normlny"/>
    <w:autoRedefine/>
    <w:uiPriority w:val="39"/>
    <w:unhideWhenUsed/>
    <w:rsid w:val="007D65C4"/>
    <w:pPr>
      <w:spacing w:after="0"/>
      <w:jc w:val="left"/>
    </w:pPr>
    <w:rPr>
      <w:rFonts w:asciiTheme="minorHAnsi" w:hAnsiTheme="minorHAnsi"/>
    </w:rPr>
  </w:style>
  <w:style w:type="paragraph" w:styleId="Obsah8">
    <w:name w:val="toc 8"/>
    <w:basedOn w:val="Normlny"/>
    <w:next w:val="Normlny"/>
    <w:autoRedefine/>
    <w:uiPriority w:val="39"/>
    <w:unhideWhenUsed/>
    <w:rsid w:val="007D65C4"/>
    <w:pPr>
      <w:spacing w:after="0"/>
      <w:jc w:val="left"/>
    </w:pPr>
    <w:rPr>
      <w:rFonts w:asciiTheme="minorHAnsi" w:hAnsiTheme="minorHAnsi"/>
    </w:rPr>
  </w:style>
  <w:style w:type="paragraph" w:styleId="Obsah9">
    <w:name w:val="toc 9"/>
    <w:basedOn w:val="Normlny"/>
    <w:next w:val="Normlny"/>
    <w:autoRedefine/>
    <w:uiPriority w:val="39"/>
    <w:unhideWhenUsed/>
    <w:rsid w:val="007D65C4"/>
    <w:pPr>
      <w:spacing w:after="0"/>
      <w:jc w:val="left"/>
    </w:pPr>
    <w:rPr>
      <w:rFonts w:asciiTheme="minorHAnsi" w:hAnsiTheme="minorHAnsi"/>
    </w:rPr>
  </w:style>
  <w:style w:type="character" w:customStyle="1" w:styleId="st1">
    <w:name w:val="st1"/>
    <w:basedOn w:val="Predvolenpsmoodseku"/>
    <w:rsid w:val="00743099"/>
  </w:style>
  <w:style w:type="character" w:customStyle="1" w:styleId="awspan1">
    <w:name w:val="awspan1"/>
    <w:basedOn w:val="Predvolenpsmoodseku"/>
    <w:rsid w:val="00743099"/>
    <w:rPr>
      <w:color w:val="000000"/>
      <w:sz w:val="24"/>
      <w:szCs w:val="24"/>
    </w:rPr>
  </w:style>
  <w:style w:type="paragraph" w:styleId="Odsekzoznamu">
    <w:name w:val="List Paragraph"/>
    <w:aliases w:val="body,Odsek zoznamu2,Dot pt,No Spacing1,List Paragraph Char Char Char,Indicator Text,Numbered Para 1,List Paragraph à moi,Odsek zoznamu4,LISTA,Listaszerű bekezdés2,Listaszerű bekezdés3,Listaszerű bekezdés1,Colorful List Accent 1,3,Odsek,LIS"/>
    <w:basedOn w:val="Normlny"/>
    <w:link w:val="OdsekzoznamuChar"/>
    <w:uiPriority w:val="34"/>
    <w:qFormat/>
    <w:rsid w:val="00530112"/>
    <w:pPr>
      <w:spacing w:after="0" w:line="240" w:lineRule="auto"/>
      <w:ind w:left="720"/>
      <w:contextualSpacing/>
      <w:jc w:val="left"/>
    </w:pPr>
    <w:rPr>
      <w:rFonts w:ascii="Calibri" w:hAnsi="Calibri" w:cs="Times New Roman"/>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f,Plonk"/>
    <w:basedOn w:val="Normlny"/>
    <w:link w:val="TextpoznmkypodiarouChar"/>
    <w:uiPriority w:val="99"/>
    <w:unhideWhenUsed/>
    <w:qFormat/>
    <w:rsid w:val="00237058"/>
    <w:pPr>
      <w:spacing w:after="0" w:line="240" w:lineRule="auto"/>
    </w:pPr>
    <w:rPr>
      <w:sz w:val="20"/>
      <w:szCs w:val="20"/>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f Char,Plonk Char"/>
    <w:basedOn w:val="Predvolenpsmoodseku"/>
    <w:link w:val="Textpoznmkypodiarou"/>
    <w:uiPriority w:val="99"/>
    <w:rsid w:val="00237058"/>
    <w:rPr>
      <w:rFonts w:ascii="Times New Roman" w:hAnsi="Times New Roman"/>
      <w:sz w:val="20"/>
      <w:szCs w:val="20"/>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Footnote symbol"/>
    <w:basedOn w:val="Predvolenpsmoodseku"/>
    <w:link w:val="Char2"/>
    <w:uiPriority w:val="99"/>
    <w:unhideWhenUsed/>
    <w:qFormat/>
    <w:rsid w:val="00237058"/>
    <w:rPr>
      <w:vertAlign w:val="superscript"/>
    </w:rPr>
  </w:style>
  <w:style w:type="paragraph" w:customStyle="1" w:styleId="Char2">
    <w:name w:val="Char2"/>
    <w:basedOn w:val="Normlny"/>
    <w:link w:val="Odkaznapoznmkupodiarou"/>
    <w:uiPriority w:val="99"/>
    <w:rsid w:val="00415AB8"/>
    <w:pPr>
      <w:spacing w:after="0" w:line="240" w:lineRule="exact"/>
      <w:jc w:val="left"/>
    </w:pPr>
    <w:rPr>
      <w:rFonts w:asciiTheme="minorHAnsi" w:hAnsiTheme="minorHAnsi"/>
      <w:vertAlign w:val="superscript"/>
    </w:rPr>
  </w:style>
  <w:style w:type="paragraph" w:customStyle="1" w:styleId="Zkladntext1">
    <w:name w:val="Základný text1"/>
    <w:rsid w:val="00F057AA"/>
    <w:pPr>
      <w:spacing w:after="0" w:line="240" w:lineRule="auto"/>
    </w:pPr>
    <w:rPr>
      <w:rFonts w:ascii="Dutch801 SWC" w:eastAsia="Times New Roman" w:hAnsi="Dutch801 SWC" w:cs="Times New Roman"/>
      <w:color w:val="000000"/>
      <w:sz w:val="24"/>
      <w:szCs w:val="20"/>
      <w:lang w:val="en-US" w:eastAsia="sk-SK"/>
    </w:rPr>
  </w:style>
  <w:style w:type="character" w:styleId="Odkaznakomentr">
    <w:name w:val="annotation reference"/>
    <w:basedOn w:val="Predvolenpsmoodseku"/>
    <w:uiPriority w:val="99"/>
    <w:semiHidden/>
    <w:unhideWhenUsed/>
    <w:rsid w:val="005717A4"/>
    <w:rPr>
      <w:sz w:val="16"/>
      <w:szCs w:val="16"/>
    </w:rPr>
  </w:style>
  <w:style w:type="paragraph" w:styleId="Textkomentra">
    <w:name w:val="annotation text"/>
    <w:basedOn w:val="Normlny"/>
    <w:link w:val="TextkomentraChar"/>
    <w:uiPriority w:val="99"/>
    <w:unhideWhenUsed/>
    <w:rsid w:val="005717A4"/>
    <w:pPr>
      <w:spacing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5717A4"/>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5434A"/>
    <w:pPr>
      <w:spacing w:after="0" w:line="240" w:lineRule="auto"/>
    </w:pPr>
    <w:rPr>
      <w:rFonts w:ascii="Segoe UI" w:hAnsi="Segoe UI"/>
      <w:sz w:val="18"/>
      <w:szCs w:val="18"/>
    </w:rPr>
  </w:style>
  <w:style w:type="character" w:customStyle="1" w:styleId="TextbublinyChar">
    <w:name w:val="Text bubliny Char"/>
    <w:basedOn w:val="Predvolenpsmoodseku"/>
    <w:link w:val="Textbubliny"/>
    <w:uiPriority w:val="99"/>
    <w:semiHidden/>
    <w:rsid w:val="0045434A"/>
    <w:rPr>
      <w:rFonts w:ascii="Segoe UI" w:hAnsi="Segoe UI"/>
      <w:sz w:val="18"/>
      <w:szCs w:val="18"/>
    </w:rPr>
  </w:style>
  <w:style w:type="paragraph" w:customStyle="1" w:styleId="Zkladntext">
    <w:name w:val="Základní text"/>
    <w:rsid w:val="00ED135D"/>
    <w:pPr>
      <w:widowControl w:val="0"/>
      <w:spacing w:after="0" w:line="240" w:lineRule="auto"/>
    </w:pPr>
    <w:rPr>
      <w:rFonts w:ascii="Times New Roman" w:eastAsia="Times New Roman" w:hAnsi="Times New Roman" w:cs="Times New Roman"/>
      <w:color w:val="000000"/>
      <w:sz w:val="26"/>
      <w:szCs w:val="20"/>
      <w:lang w:eastAsia="sk-SK"/>
    </w:rPr>
  </w:style>
  <w:style w:type="paragraph" w:styleId="Zkladntext0">
    <w:name w:val="Body Text"/>
    <w:basedOn w:val="Normlny"/>
    <w:link w:val="ZkladntextChar"/>
    <w:rsid w:val="005F6E5F"/>
    <w:pPr>
      <w:spacing w:after="0" w:line="240" w:lineRule="auto"/>
    </w:pPr>
    <w:rPr>
      <w:rFonts w:eastAsia="Times New Roman" w:cs="Times New Roman"/>
      <w:sz w:val="24"/>
      <w:szCs w:val="20"/>
      <w:lang w:eastAsia="sk-SK"/>
    </w:rPr>
  </w:style>
  <w:style w:type="character" w:customStyle="1" w:styleId="ZkladntextChar">
    <w:name w:val="Základný text Char"/>
    <w:basedOn w:val="Predvolenpsmoodseku"/>
    <w:link w:val="Zkladntext0"/>
    <w:rsid w:val="005F6E5F"/>
    <w:rPr>
      <w:rFonts w:ascii="Times New Roman" w:eastAsia="Times New Roman" w:hAnsi="Times New Roman" w:cs="Times New Roman"/>
      <w:sz w:val="24"/>
      <w:szCs w:val="20"/>
      <w:lang w:eastAsia="sk-SK"/>
    </w:rPr>
  </w:style>
  <w:style w:type="paragraph" w:styleId="Revzia">
    <w:name w:val="Revision"/>
    <w:hidden/>
    <w:uiPriority w:val="99"/>
    <w:semiHidden/>
    <w:rsid w:val="00F61D9C"/>
    <w:pPr>
      <w:spacing w:after="0" w:line="240" w:lineRule="auto"/>
    </w:pPr>
    <w:rPr>
      <w:rFonts w:ascii="Times New Roman" w:hAnsi="Times New Roman"/>
    </w:rPr>
  </w:style>
  <w:style w:type="character" w:customStyle="1" w:styleId="ZarkazkladnhotextuChar">
    <w:name w:val="Zarážka základného textu Char"/>
    <w:basedOn w:val="Predvolenpsmoodseku"/>
    <w:link w:val="Zarkazkladnhotextu"/>
    <w:uiPriority w:val="99"/>
    <w:semiHidden/>
    <w:rsid w:val="008F75C2"/>
    <w:rPr>
      <w:rFonts w:ascii="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8F75C2"/>
    <w:pPr>
      <w:spacing w:after="0" w:line="240" w:lineRule="auto"/>
      <w:ind w:firstLine="708"/>
      <w:jc w:val="left"/>
    </w:pPr>
    <w:rPr>
      <w:rFonts w:cs="Times New Roman"/>
      <w:sz w:val="24"/>
      <w:szCs w:val="24"/>
      <w:lang w:eastAsia="sk-SK"/>
    </w:rPr>
  </w:style>
  <w:style w:type="paragraph" w:styleId="Bezriadkovania">
    <w:name w:val="No Spacing"/>
    <w:uiPriority w:val="1"/>
    <w:qFormat/>
    <w:rsid w:val="00872F0C"/>
    <w:pPr>
      <w:spacing w:after="0" w:line="240" w:lineRule="auto"/>
      <w:jc w:val="both"/>
    </w:pPr>
    <w:rPr>
      <w:rFonts w:ascii="Times New Roman" w:eastAsia="Times New Roman" w:hAnsi="Times New Roman" w:cs="Times New Roman"/>
      <w:szCs w:val="36"/>
    </w:rPr>
  </w:style>
  <w:style w:type="paragraph" w:customStyle="1" w:styleId="textCharCharCharChar">
    <w:name w:val="text Char Char Char Char"/>
    <w:basedOn w:val="Normlny"/>
    <w:link w:val="textCharCharCharCharChar"/>
    <w:rsid w:val="00872F0C"/>
    <w:pPr>
      <w:spacing w:line="240" w:lineRule="auto"/>
      <w:ind w:firstLine="510"/>
    </w:pPr>
    <w:rPr>
      <w:rFonts w:eastAsia="Batang" w:cs="Times New Roman"/>
      <w:color w:val="000000"/>
      <w:szCs w:val="24"/>
      <w:lang w:eastAsia="sk-SK"/>
    </w:rPr>
  </w:style>
  <w:style w:type="character" w:customStyle="1" w:styleId="textCharCharCharCharChar">
    <w:name w:val="text Char Char Char Char Char"/>
    <w:link w:val="textCharCharCharChar"/>
    <w:rsid w:val="00872F0C"/>
    <w:rPr>
      <w:rFonts w:ascii="Times New Roman" w:eastAsia="Batang" w:hAnsi="Times New Roman" w:cs="Times New Roman"/>
      <w:color w:val="000000"/>
      <w:szCs w:val="24"/>
      <w:lang w:eastAsia="sk-SK"/>
    </w:rPr>
  </w:style>
  <w:style w:type="character" w:styleId="Siln">
    <w:name w:val="Strong"/>
    <w:basedOn w:val="Predvolenpsmoodseku"/>
    <w:uiPriority w:val="22"/>
    <w:qFormat/>
    <w:rsid w:val="00872F0C"/>
    <w:rPr>
      <w:b/>
      <w:bCs/>
    </w:rPr>
  </w:style>
  <w:style w:type="paragraph" w:customStyle="1" w:styleId="default">
    <w:name w:val="default"/>
    <w:basedOn w:val="Normlny"/>
    <w:rsid w:val="00614751"/>
    <w:pPr>
      <w:autoSpaceDE w:val="0"/>
      <w:autoSpaceDN w:val="0"/>
      <w:spacing w:after="0" w:line="240" w:lineRule="auto"/>
      <w:jc w:val="left"/>
    </w:pPr>
    <w:rPr>
      <w:rFonts w:eastAsia="Times New Roman" w:cs="Times New Roman"/>
      <w:color w:val="000000"/>
      <w:sz w:val="24"/>
      <w:szCs w:val="24"/>
      <w:lang w:eastAsia="sk-SK"/>
    </w:rPr>
  </w:style>
  <w:style w:type="character" w:styleId="PouitHypertextovPrepojenie">
    <w:name w:val="FollowedHyperlink"/>
    <w:basedOn w:val="Predvolenpsmoodseku"/>
    <w:uiPriority w:val="99"/>
    <w:semiHidden/>
    <w:unhideWhenUsed/>
    <w:rsid w:val="00614751"/>
    <w:rPr>
      <w:color w:val="954F72" w:themeColor="followedHyperlink"/>
      <w:u w:val="single"/>
    </w:rPr>
  </w:style>
  <w:style w:type="paragraph" w:styleId="Predmetkomentra">
    <w:name w:val="annotation subject"/>
    <w:basedOn w:val="Textkomentra"/>
    <w:next w:val="Textkomentra"/>
    <w:link w:val="PredmetkomentraChar"/>
    <w:uiPriority w:val="99"/>
    <w:semiHidden/>
    <w:unhideWhenUsed/>
    <w:rsid w:val="00E5051B"/>
    <w:rPr>
      <w:rFonts w:eastAsiaTheme="minorHAnsi" w:cstheme="minorBidi"/>
      <w:b/>
      <w:bCs/>
    </w:rPr>
  </w:style>
  <w:style w:type="character" w:customStyle="1" w:styleId="PredmetkomentraChar">
    <w:name w:val="Predmet komentára Char"/>
    <w:basedOn w:val="TextkomentraChar"/>
    <w:link w:val="Predmetkomentra"/>
    <w:uiPriority w:val="99"/>
    <w:semiHidden/>
    <w:rsid w:val="00E5051B"/>
    <w:rPr>
      <w:rFonts w:ascii="Times New Roman" w:eastAsia="Times New Roman" w:hAnsi="Times New Roman" w:cs="Times New Roman"/>
      <w:b/>
      <w:bCs/>
      <w:sz w:val="20"/>
      <w:szCs w:val="20"/>
    </w:rPr>
  </w:style>
  <w:style w:type="character" w:customStyle="1" w:styleId="h1a2">
    <w:name w:val="h1a2"/>
    <w:basedOn w:val="Predvolenpsmoodseku"/>
    <w:rsid w:val="00BD02D9"/>
    <w:rPr>
      <w:vanish w:val="0"/>
      <w:webHidden w:val="0"/>
      <w:sz w:val="24"/>
      <w:szCs w:val="24"/>
      <w:specVanish w:val="0"/>
    </w:rPr>
  </w:style>
  <w:style w:type="paragraph" w:styleId="Hlavikaobsahu">
    <w:name w:val="TOC Heading"/>
    <w:basedOn w:val="Nadpis1"/>
    <w:next w:val="Normlny"/>
    <w:uiPriority w:val="39"/>
    <w:unhideWhenUsed/>
    <w:qFormat/>
    <w:rsid w:val="00BB3915"/>
    <w:pPr>
      <w:keepLines/>
      <w:numPr>
        <w:numId w:val="0"/>
      </w:numPr>
      <w:spacing w:before="240" w:after="0" w:line="259" w:lineRule="auto"/>
      <w:jc w:val="left"/>
      <w:outlineLvl w:val="9"/>
    </w:pPr>
    <w:rPr>
      <w:rFonts w:asciiTheme="majorHAnsi" w:hAnsiTheme="majorHAnsi"/>
      <w:b w:val="0"/>
      <w:color w:val="2E74B5" w:themeColor="accent1" w:themeShade="BF"/>
      <w:sz w:val="32"/>
      <w:lang w:eastAsia="sk-SK"/>
    </w:rPr>
  </w:style>
  <w:style w:type="paragraph" w:styleId="Normlnywebov">
    <w:name w:val="Normal (Web)"/>
    <w:basedOn w:val="Normlny"/>
    <w:uiPriority w:val="99"/>
    <w:unhideWhenUsed/>
    <w:rsid w:val="00CE1795"/>
    <w:pPr>
      <w:spacing w:before="100" w:beforeAutospacing="1" w:after="100" w:afterAutospacing="1" w:line="240" w:lineRule="auto"/>
      <w:jc w:val="left"/>
    </w:pPr>
    <w:rPr>
      <w:rFonts w:cs="Times New Roman"/>
      <w:sz w:val="24"/>
      <w:szCs w:val="24"/>
      <w:lang w:eastAsia="sk-SK"/>
    </w:rPr>
  </w:style>
  <w:style w:type="paragraph" w:styleId="Textvysvetlivky">
    <w:name w:val="endnote text"/>
    <w:basedOn w:val="Normlny"/>
    <w:link w:val="TextvysvetlivkyChar"/>
    <w:uiPriority w:val="99"/>
    <w:semiHidden/>
    <w:unhideWhenUsed/>
    <w:rsid w:val="00537EC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537EC3"/>
    <w:rPr>
      <w:rFonts w:ascii="Times New Roman" w:hAnsi="Times New Roman"/>
      <w:sz w:val="20"/>
      <w:szCs w:val="20"/>
    </w:rPr>
  </w:style>
  <w:style w:type="character" w:styleId="Odkaznavysvetlivku">
    <w:name w:val="endnote reference"/>
    <w:basedOn w:val="Predvolenpsmoodseku"/>
    <w:uiPriority w:val="99"/>
    <w:semiHidden/>
    <w:unhideWhenUsed/>
    <w:rsid w:val="00537EC3"/>
    <w:rPr>
      <w:vertAlign w:val="superscript"/>
    </w:rPr>
  </w:style>
  <w:style w:type="character" w:customStyle="1" w:styleId="ZarkazkladnhotextuChar1">
    <w:name w:val="Zarážka základného textu Char1"/>
    <w:basedOn w:val="Predvolenpsmoodseku"/>
    <w:uiPriority w:val="99"/>
    <w:semiHidden/>
    <w:rsid w:val="0078085C"/>
    <w:rPr>
      <w:rFonts w:ascii="Times New Roman" w:hAnsi="Times New Roman"/>
    </w:rPr>
  </w:style>
  <w:style w:type="paragraph" w:styleId="Obyajntext">
    <w:name w:val="Plain Text"/>
    <w:basedOn w:val="Normlny"/>
    <w:link w:val="ObyajntextChar"/>
    <w:uiPriority w:val="99"/>
    <w:unhideWhenUsed/>
    <w:rsid w:val="0078085C"/>
    <w:pPr>
      <w:spacing w:after="0" w:line="240" w:lineRule="auto"/>
      <w:jc w:val="left"/>
    </w:pPr>
    <w:rPr>
      <w:rFonts w:ascii="Arial Narrow" w:hAnsi="Arial Narrow"/>
    </w:rPr>
  </w:style>
  <w:style w:type="character" w:customStyle="1" w:styleId="ObyajntextChar">
    <w:name w:val="Obyčajný text Char"/>
    <w:basedOn w:val="Predvolenpsmoodseku"/>
    <w:link w:val="Obyajntext"/>
    <w:uiPriority w:val="99"/>
    <w:rsid w:val="0078085C"/>
    <w:rPr>
      <w:rFonts w:ascii="Arial Narrow" w:hAnsi="Arial Narrow"/>
    </w:rPr>
  </w:style>
  <w:style w:type="paragraph" w:customStyle="1" w:styleId="b-typo-p">
    <w:name w:val="b-typo-p"/>
    <w:basedOn w:val="Normlny"/>
    <w:rsid w:val="0078085C"/>
    <w:pPr>
      <w:spacing w:before="100" w:beforeAutospacing="1" w:after="100" w:afterAutospacing="1" w:line="240" w:lineRule="auto"/>
      <w:jc w:val="left"/>
    </w:pPr>
    <w:rPr>
      <w:rFonts w:eastAsia="Times New Roman" w:cs="Times New Roman"/>
      <w:sz w:val="24"/>
      <w:szCs w:val="24"/>
      <w:lang w:eastAsia="sk-SK"/>
    </w:rPr>
  </w:style>
  <w:style w:type="numbering" w:customStyle="1" w:styleId="Bezzoznamu1">
    <w:name w:val="Bez zoznamu1"/>
    <w:next w:val="Bezzoznamu"/>
    <w:uiPriority w:val="99"/>
    <w:semiHidden/>
    <w:unhideWhenUsed/>
    <w:rsid w:val="00867564"/>
  </w:style>
  <w:style w:type="paragraph" w:customStyle="1" w:styleId="xxmsonormal">
    <w:name w:val="xxmsonormal"/>
    <w:basedOn w:val="Normlny"/>
    <w:uiPriority w:val="99"/>
    <w:rsid w:val="00867564"/>
    <w:pPr>
      <w:spacing w:after="0" w:line="240" w:lineRule="auto"/>
      <w:jc w:val="left"/>
    </w:pPr>
    <w:rPr>
      <w:rFonts w:cs="Times New Roman"/>
      <w:sz w:val="24"/>
      <w:szCs w:val="24"/>
      <w:lang w:eastAsia="sk-SK"/>
    </w:rPr>
  </w:style>
  <w:style w:type="paragraph" w:customStyle="1" w:styleId="xmsonormal">
    <w:name w:val="x_msonormal"/>
    <w:basedOn w:val="Normlny"/>
    <w:rsid w:val="00867564"/>
    <w:pPr>
      <w:spacing w:before="100" w:beforeAutospacing="1" w:after="100" w:afterAutospacing="1" w:line="240" w:lineRule="auto"/>
      <w:jc w:val="left"/>
    </w:pPr>
    <w:rPr>
      <w:rFonts w:eastAsia="Times New Roman" w:cs="Times New Roman"/>
      <w:sz w:val="24"/>
      <w:szCs w:val="24"/>
      <w:lang w:eastAsia="sk-SK"/>
    </w:rPr>
  </w:style>
  <w:style w:type="character" w:customStyle="1" w:styleId="acopre1">
    <w:name w:val="acopre1"/>
    <w:basedOn w:val="Predvolenpsmoodseku"/>
    <w:rsid w:val="00005FDB"/>
  </w:style>
  <w:style w:type="paragraph" w:customStyle="1" w:styleId="Default0">
    <w:name w:val="Default"/>
    <w:rsid w:val="00CB3C45"/>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0"/>
    <w:next w:val="Default0"/>
    <w:uiPriority w:val="99"/>
    <w:rsid w:val="00CB3C45"/>
    <w:rPr>
      <w:rFonts w:cstheme="minorBidi"/>
      <w:color w:val="auto"/>
    </w:rPr>
  </w:style>
  <w:style w:type="paragraph" w:customStyle="1" w:styleId="CM3">
    <w:name w:val="CM3"/>
    <w:basedOn w:val="Default0"/>
    <w:next w:val="Default0"/>
    <w:uiPriority w:val="99"/>
    <w:rsid w:val="00CB3C45"/>
    <w:rPr>
      <w:rFonts w:cstheme="minorBidi"/>
      <w:color w:val="auto"/>
    </w:rPr>
  </w:style>
  <w:style w:type="paragraph" w:customStyle="1" w:styleId="CM4">
    <w:name w:val="CM4"/>
    <w:basedOn w:val="Default0"/>
    <w:next w:val="Default0"/>
    <w:uiPriority w:val="99"/>
    <w:rsid w:val="00CB3C45"/>
    <w:rPr>
      <w:rFonts w:cstheme="minorBidi"/>
      <w:color w:val="auto"/>
    </w:rPr>
  </w:style>
  <w:style w:type="numbering" w:customStyle="1" w:styleId="Bezzoznamu2">
    <w:name w:val="Bez zoznamu2"/>
    <w:next w:val="Bezzoznamu"/>
    <w:uiPriority w:val="99"/>
    <w:semiHidden/>
    <w:unhideWhenUsed/>
    <w:rsid w:val="00D97CA6"/>
  </w:style>
  <w:style w:type="numbering" w:customStyle="1" w:styleId="Bezzoznamu11">
    <w:name w:val="Bez zoznamu11"/>
    <w:next w:val="Bezzoznamu"/>
    <w:uiPriority w:val="99"/>
    <w:semiHidden/>
    <w:unhideWhenUsed/>
    <w:rsid w:val="00D97CA6"/>
  </w:style>
  <w:style w:type="numbering" w:customStyle="1" w:styleId="Bezzoznamu111">
    <w:name w:val="Bez zoznamu111"/>
    <w:next w:val="Bezzoznamu"/>
    <w:uiPriority w:val="99"/>
    <w:semiHidden/>
    <w:unhideWhenUsed/>
    <w:rsid w:val="00D97CA6"/>
  </w:style>
  <w:style w:type="paragraph" w:customStyle="1" w:styleId="yiv9055684040xmsonormal">
    <w:name w:val="yiv9055684040xmsonormal"/>
    <w:basedOn w:val="Normlny"/>
    <w:rsid w:val="00D97CA6"/>
    <w:pPr>
      <w:spacing w:before="100" w:beforeAutospacing="1" w:after="100" w:afterAutospacing="1" w:line="240" w:lineRule="auto"/>
      <w:jc w:val="left"/>
    </w:pPr>
    <w:rPr>
      <w:rFonts w:eastAsia="Times New Roman" w:cs="Times New Roman"/>
      <w:sz w:val="24"/>
      <w:szCs w:val="24"/>
      <w:lang w:eastAsia="sk-SK"/>
    </w:rPr>
  </w:style>
  <w:style w:type="numbering" w:customStyle="1" w:styleId="Bezzoznamu3">
    <w:name w:val="Bez zoznamu3"/>
    <w:next w:val="Bezzoznamu"/>
    <w:uiPriority w:val="99"/>
    <w:semiHidden/>
    <w:unhideWhenUsed/>
    <w:rsid w:val="0095178A"/>
  </w:style>
  <w:style w:type="numbering" w:customStyle="1" w:styleId="Bezzoznamu12">
    <w:name w:val="Bez zoznamu12"/>
    <w:next w:val="Bezzoznamu"/>
    <w:uiPriority w:val="99"/>
    <w:semiHidden/>
    <w:unhideWhenUsed/>
    <w:rsid w:val="0095178A"/>
  </w:style>
  <w:style w:type="paragraph" w:customStyle="1" w:styleId="Graf">
    <w:name w:val="Graf"/>
    <w:autoRedefine/>
    <w:qFormat/>
    <w:rsid w:val="003234A0"/>
    <w:pPr>
      <w:spacing w:after="0" w:line="240" w:lineRule="auto"/>
      <w:jc w:val="both"/>
    </w:pPr>
    <w:rPr>
      <w:rFonts w:ascii="Times New Roman" w:eastAsia="Arial Narrow" w:hAnsi="Times New Roman" w:cs="Times New Roman"/>
      <w:b/>
      <w:bCs/>
      <w:noProof/>
      <w:color w:val="5B9BD5" w:themeColor="accent1"/>
      <w:sz w:val="20"/>
      <w:szCs w:val="36"/>
      <w:lang w:eastAsia="sk-SK"/>
    </w:rPr>
  </w:style>
  <w:style w:type="paragraph" w:customStyle="1" w:styleId="font5">
    <w:name w:val="font5"/>
    <w:basedOn w:val="Normlny"/>
    <w:rsid w:val="00E76212"/>
    <w:pPr>
      <w:spacing w:before="100" w:beforeAutospacing="1" w:after="100" w:afterAutospacing="1" w:line="240" w:lineRule="auto"/>
      <w:jc w:val="left"/>
    </w:pPr>
    <w:rPr>
      <w:rFonts w:eastAsia="Times New Roman" w:cs="Times New Roman"/>
      <w:color w:val="000000"/>
      <w:sz w:val="16"/>
      <w:szCs w:val="16"/>
      <w:lang w:eastAsia="sk-SK"/>
    </w:rPr>
  </w:style>
  <w:style w:type="paragraph" w:customStyle="1" w:styleId="font6">
    <w:name w:val="font6"/>
    <w:basedOn w:val="Normlny"/>
    <w:rsid w:val="00E76212"/>
    <w:pPr>
      <w:spacing w:before="100" w:beforeAutospacing="1" w:after="100" w:afterAutospacing="1" w:line="240" w:lineRule="auto"/>
      <w:jc w:val="left"/>
    </w:pPr>
    <w:rPr>
      <w:rFonts w:eastAsia="Times New Roman" w:cs="Times New Roman"/>
      <w:sz w:val="16"/>
      <w:szCs w:val="16"/>
      <w:lang w:eastAsia="sk-SK"/>
    </w:rPr>
  </w:style>
  <w:style w:type="paragraph" w:customStyle="1" w:styleId="xl65">
    <w:name w:val="xl65"/>
    <w:basedOn w:val="Normlny"/>
    <w:rsid w:val="00E76212"/>
    <w:pPr>
      <w:spacing w:before="100" w:beforeAutospacing="1" w:after="100" w:afterAutospacing="1" w:line="240" w:lineRule="auto"/>
      <w:jc w:val="left"/>
    </w:pPr>
    <w:rPr>
      <w:rFonts w:eastAsia="Times New Roman" w:cs="Times New Roman"/>
      <w:sz w:val="16"/>
      <w:szCs w:val="16"/>
      <w:lang w:eastAsia="sk-SK"/>
    </w:rPr>
  </w:style>
  <w:style w:type="paragraph" w:customStyle="1" w:styleId="xl66">
    <w:name w:val="xl66"/>
    <w:basedOn w:val="Normlny"/>
    <w:rsid w:val="00E76212"/>
    <w:pPr>
      <w:spacing w:before="100" w:beforeAutospacing="1" w:after="100" w:afterAutospacing="1" w:line="240" w:lineRule="auto"/>
      <w:jc w:val="right"/>
      <w:textAlignment w:val="center"/>
    </w:pPr>
    <w:rPr>
      <w:rFonts w:eastAsia="Times New Roman" w:cs="Times New Roman"/>
      <w:i/>
      <w:iCs/>
      <w:sz w:val="16"/>
      <w:szCs w:val="16"/>
      <w:lang w:eastAsia="sk-SK"/>
    </w:rPr>
  </w:style>
  <w:style w:type="paragraph" w:customStyle="1" w:styleId="xl67">
    <w:name w:val="xl67"/>
    <w:basedOn w:val="Normlny"/>
    <w:rsid w:val="00E76212"/>
    <w:pPr>
      <w:pBdr>
        <w:bottom w:val="single" w:sz="4" w:space="0" w:color="auto"/>
      </w:pBdr>
      <w:spacing w:before="100" w:beforeAutospacing="1" w:after="100" w:afterAutospacing="1" w:line="240" w:lineRule="auto"/>
      <w:jc w:val="left"/>
      <w:textAlignment w:val="center"/>
    </w:pPr>
    <w:rPr>
      <w:rFonts w:eastAsia="Times New Roman" w:cs="Times New Roman"/>
      <w:b/>
      <w:bCs/>
      <w:color w:val="000000"/>
      <w:sz w:val="16"/>
      <w:szCs w:val="16"/>
      <w:lang w:eastAsia="sk-SK"/>
    </w:rPr>
  </w:style>
  <w:style w:type="paragraph" w:customStyle="1" w:styleId="xl68">
    <w:name w:val="xl68"/>
    <w:basedOn w:val="Normlny"/>
    <w:rsid w:val="00E76212"/>
    <w:pPr>
      <w:spacing w:before="100" w:beforeAutospacing="1" w:after="100" w:afterAutospacing="1" w:line="240" w:lineRule="auto"/>
      <w:jc w:val="left"/>
      <w:textAlignment w:val="center"/>
    </w:pPr>
    <w:rPr>
      <w:rFonts w:eastAsia="Times New Roman" w:cs="Times New Roman"/>
      <w:sz w:val="16"/>
      <w:szCs w:val="16"/>
      <w:lang w:eastAsia="sk-SK"/>
    </w:rPr>
  </w:style>
  <w:style w:type="paragraph" w:customStyle="1" w:styleId="xl69">
    <w:name w:val="xl69"/>
    <w:basedOn w:val="Normlny"/>
    <w:rsid w:val="00E76212"/>
    <w:pPr>
      <w:pBdr>
        <w:top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sk-SK"/>
    </w:rPr>
  </w:style>
  <w:style w:type="paragraph" w:customStyle="1" w:styleId="xl70">
    <w:name w:val="xl70"/>
    <w:basedOn w:val="Normlny"/>
    <w:rsid w:val="00E76212"/>
    <w:pPr>
      <w:pBdr>
        <w:top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sk-SK"/>
    </w:rPr>
  </w:style>
  <w:style w:type="paragraph" w:customStyle="1" w:styleId="xl71">
    <w:name w:val="xl71"/>
    <w:basedOn w:val="Normlny"/>
    <w:rsid w:val="00E76212"/>
    <w:pPr>
      <w:spacing w:before="100" w:beforeAutospacing="1" w:after="100" w:afterAutospacing="1" w:line="240" w:lineRule="auto"/>
      <w:jc w:val="left"/>
      <w:textAlignment w:val="center"/>
    </w:pPr>
    <w:rPr>
      <w:rFonts w:eastAsia="Times New Roman" w:cs="Times New Roman"/>
      <w:sz w:val="16"/>
      <w:szCs w:val="16"/>
      <w:lang w:eastAsia="sk-SK"/>
    </w:rPr>
  </w:style>
  <w:style w:type="paragraph" w:customStyle="1" w:styleId="xl72">
    <w:name w:val="xl72"/>
    <w:basedOn w:val="Normlny"/>
    <w:rsid w:val="00E76212"/>
    <w:pPr>
      <w:spacing w:before="100" w:beforeAutospacing="1" w:after="100" w:afterAutospacing="1" w:line="240" w:lineRule="auto"/>
      <w:jc w:val="left"/>
      <w:textAlignment w:val="center"/>
    </w:pPr>
    <w:rPr>
      <w:rFonts w:eastAsia="Times New Roman" w:cs="Times New Roman"/>
      <w:sz w:val="16"/>
      <w:szCs w:val="16"/>
      <w:lang w:eastAsia="sk-SK"/>
    </w:rPr>
  </w:style>
  <w:style w:type="paragraph" w:customStyle="1" w:styleId="xl73">
    <w:name w:val="xl73"/>
    <w:basedOn w:val="Normlny"/>
    <w:rsid w:val="00E76212"/>
    <w:pPr>
      <w:spacing w:before="100" w:beforeAutospacing="1" w:after="100" w:afterAutospacing="1" w:line="240" w:lineRule="auto"/>
      <w:jc w:val="left"/>
      <w:textAlignment w:val="center"/>
    </w:pPr>
    <w:rPr>
      <w:rFonts w:eastAsia="Times New Roman" w:cs="Times New Roman"/>
      <w:sz w:val="16"/>
      <w:szCs w:val="16"/>
      <w:lang w:eastAsia="sk-SK"/>
    </w:rPr>
  </w:style>
  <w:style w:type="paragraph" w:customStyle="1" w:styleId="xl74">
    <w:name w:val="xl74"/>
    <w:basedOn w:val="Normlny"/>
    <w:rsid w:val="00E76212"/>
    <w:pPr>
      <w:spacing w:before="100" w:beforeAutospacing="1" w:after="100" w:afterAutospacing="1" w:line="240" w:lineRule="auto"/>
      <w:jc w:val="left"/>
      <w:textAlignment w:val="center"/>
    </w:pPr>
    <w:rPr>
      <w:rFonts w:eastAsia="Times New Roman" w:cs="Times New Roman"/>
      <w:sz w:val="16"/>
      <w:szCs w:val="16"/>
      <w:lang w:eastAsia="sk-SK"/>
    </w:rPr>
  </w:style>
  <w:style w:type="paragraph" w:customStyle="1" w:styleId="xl75">
    <w:name w:val="xl75"/>
    <w:basedOn w:val="Normlny"/>
    <w:rsid w:val="00E76212"/>
    <w:pPr>
      <w:pBdr>
        <w:bottom w:val="single" w:sz="4" w:space="0" w:color="auto"/>
      </w:pBdr>
      <w:spacing w:before="100" w:beforeAutospacing="1" w:after="100" w:afterAutospacing="1" w:line="240" w:lineRule="auto"/>
      <w:jc w:val="left"/>
      <w:textAlignment w:val="center"/>
    </w:pPr>
    <w:rPr>
      <w:rFonts w:eastAsia="Times New Roman" w:cs="Times New Roman"/>
      <w:b/>
      <w:bCs/>
      <w:color w:val="000000"/>
      <w:sz w:val="16"/>
      <w:szCs w:val="16"/>
      <w:lang w:eastAsia="sk-SK"/>
    </w:rPr>
  </w:style>
  <w:style w:type="paragraph" w:customStyle="1" w:styleId="xl76">
    <w:name w:val="xl76"/>
    <w:basedOn w:val="Normlny"/>
    <w:rsid w:val="00E76212"/>
    <w:pPr>
      <w:spacing w:before="100" w:beforeAutospacing="1" w:after="100" w:afterAutospacing="1" w:line="240" w:lineRule="auto"/>
      <w:jc w:val="right"/>
      <w:textAlignment w:val="center"/>
    </w:pPr>
    <w:rPr>
      <w:rFonts w:eastAsia="Times New Roman" w:cs="Times New Roman"/>
      <w:sz w:val="16"/>
      <w:szCs w:val="16"/>
      <w:lang w:eastAsia="sk-SK"/>
    </w:rPr>
  </w:style>
  <w:style w:type="character" w:styleId="Zvraznenie">
    <w:name w:val="Emphasis"/>
    <w:basedOn w:val="Predvolenpsmoodseku"/>
    <w:uiPriority w:val="20"/>
    <w:qFormat/>
    <w:rsid w:val="00E76212"/>
    <w:rPr>
      <w:i/>
      <w:iCs/>
    </w:rPr>
  </w:style>
  <w:style w:type="paragraph" w:customStyle="1" w:styleId="Nadpis11">
    <w:name w:val="Nadpis 11"/>
    <w:basedOn w:val="Normlny"/>
    <w:next w:val="Normlny"/>
    <w:uiPriority w:val="9"/>
    <w:qFormat/>
    <w:rsid w:val="00B768D9"/>
    <w:pPr>
      <w:keepNext/>
      <w:spacing w:before="120"/>
      <w:ind w:left="4402" w:hanging="432"/>
      <w:jc w:val="center"/>
      <w:outlineLvl w:val="0"/>
    </w:pPr>
    <w:rPr>
      <w:rFonts w:eastAsia="Times New Roman" w:cs="Times New Roman"/>
      <w:b/>
      <w:sz w:val="26"/>
      <w:szCs w:val="32"/>
    </w:rPr>
  </w:style>
  <w:style w:type="paragraph" w:customStyle="1" w:styleId="Nadpis21">
    <w:name w:val="Nadpis 21"/>
    <w:basedOn w:val="Normlny"/>
    <w:next w:val="Normlny"/>
    <w:uiPriority w:val="9"/>
    <w:unhideWhenUsed/>
    <w:qFormat/>
    <w:rsid w:val="00B768D9"/>
    <w:pPr>
      <w:keepNext/>
      <w:spacing w:before="120"/>
      <w:ind w:left="578" w:hanging="578"/>
      <w:jc w:val="center"/>
      <w:outlineLvl w:val="1"/>
    </w:pPr>
    <w:rPr>
      <w:rFonts w:eastAsia="Times New Roman" w:cs="Times New Roman"/>
      <w:b/>
      <w:sz w:val="24"/>
      <w:szCs w:val="26"/>
    </w:rPr>
  </w:style>
  <w:style w:type="paragraph" w:customStyle="1" w:styleId="Nadpis31">
    <w:name w:val="Nadpis 31"/>
    <w:basedOn w:val="Normlny"/>
    <w:next w:val="Normlny"/>
    <w:uiPriority w:val="9"/>
    <w:unhideWhenUsed/>
    <w:qFormat/>
    <w:rsid w:val="00B768D9"/>
    <w:pPr>
      <w:keepNext/>
      <w:keepLines/>
      <w:spacing w:before="120" w:line="240" w:lineRule="auto"/>
      <w:jc w:val="center"/>
      <w:outlineLvl w:val="2"/>
    </w:pPr>
    <w:rPr>
      <w:rFonts w:eastAsia="Times New Roman" w:cs="Times New Roman"/>
      <w:b/>
      <w:sz w:val="24"/>
      <w:szCs w:val="24"/>
    </w:rPr>
  </w:style>
  <w:style w:type="paragraph" w:customStyle="1" w:styleId="Nadpis41">
    <w:name w:val="Nadpis 41"/>
    <w:basedOn w:val="Normlny"/>
    <w:next w:val="Normlny"/>
    <w:uiPriority w:val="9"/>
    <w:unhideWhenUsed/>
    <w:qFormat/>
    <w:rsid w:val="00B768D9"/>
    <w:pPr>
      <w:keepNext/>
      <w:keepLines/>
      <w:spacing w:before="120"/>
      <w:ind w:left="862" w:hanging="862"/>
      <w:jc w:val="center"/>
      <w:outlineLvl w:val="3"/>
    </w:pPr>
    <w:rPr>
      <w:rFonts w:eastAsia="Times New Roman" w:cs="Times New Roman"/>
      <w:b/>
      <w:iCs/>
    </w:rPr>
  </w:style>
  <w:style w:type="paragraph" w:customStyle="1" w:styleId="Nadpis51">
    <w:name w:val="Nadpis 51"/>
    <w:basedOn w:val="Normlny"/>
    <w:next w:val="Normlny"/>
    <w:uiPriority w:val="9"/>
    <w:unhideWhenUsed/>
    <w:qFormat/>
    <w:rsid w:val="00B768D9"/>
    <w:pPr>
      <w:keepNext/>
      <w:keepLines/>
      <w:spacing w:before="40" w:after="0"/>
      <w:ind w:left="1008" w:hanging="1008"/>
      <w:outlineLvl w:val="4"/>
    </w:pPr>
    <w:rPr>
      <w:rFonts w:eastAsia="Times New Roman" w:cs="Times New Roman"/>
      <w:b/>
    </w:rPr>
  </w:style>
  <w:style w:type="paragraph" w:customStyle="1" w:styleId="Nadpis61">
    <w:name w:val="Nadpis 61"/>
    <w:basedOn w:val="Normlny"/>
    <w:next w:val="Normlny"/>
    <w:uiPriority w:val="9"/>
    <w:semiHidden/>
    <w:unhideWhenUsed/>
    <w:qFormat/>
    <w:rsid w:val="00B768D9"/>
    <w:pPr>
      <w:keepNext/>
      <w:keepLines/>
      <w:spacing w:before="40" w:after="0"/>
      <w:ind w:left="1152" w:hanging="1152"/>
      <w:outlineLvl w:val="5"/>
    </w:pPr>
    <w:rPr>
      <w:rFonts w:ascii="Calibri Light" w:eastAsia="Times New Roman" w:hAnsi="Calibri Light" w:cs="Times New Roman"/>
      <w:color w:val="1F4D78"/>
    </w:rPr>
  </w:style>
  <w:style w:type="paragraph" w:customStyle="1" w:styleId="Nadpis71">
    <w:name w:val="Nadpis 71"/>
    <w:basedOn w:val="Normlny"/>
    <w:next w:val="Normlny"/>
    <w:uiPriority w:val="9"/>
    <w:semiHidden/>
    <w:unhideWhenUsed/>
    <w:qFormat/>
    <w:rsid w:val="00B768D9"/>
    <w:pPr>
      <w:keepNext/>
      <w:keepLines/>
      <w:spacing w:before="40" w:after="0"/>
      <w:ind w:left="1296" w:hanging="1296"/>
      <w:outlineLvl w:val="6"/>
    </w:pPr>
    <w:rPr>
      <w:rFonts w:ascii="Calibri Light" w:eastAsia="Times New Roman" w:hAnsi="Calibri Light" w:cs="Times New Roman"/>
      <w:i/>
      <w:iCs/>
      <w:color w:val="1F4D78"/>
    </w:rPr>
  </w:style>
  <w:style w:type="paragraph" w:customStyle="1" w:styleId="Nadpis81">
    <w:name w:val="Nadpis 81"/>
    <w:basedOn w:val="Normlny"/>
    <w:next w:val="Normlny"/>
    <w:uiPriority w:val="9"/>
    <w:semiHidden/>
    <w:unhideWhenUsed/>
    <w:qFormat/>
    <w:rsid w:val="00B768D9"/>
    <w:pPr>
      <w:keepNext/>
      <w:keepLines/>
      <w:spacing w:before="40" w:after="0"/>
      <w:ind w:left="1440" w:hanging="1440"/>
      <w:outlineLvl w:val="7"/>
    </w:pPr>
    <w:rPr>
      <w:rFonts w:ascii="Calibri Light" w:eastAsia="Times New Roman" w:hAnsi="Calibri Light" w:cs="Times New Roman"/>
      <w:color w:val="272727"/>
      <w:sz w:val="21"/>
      <w:szCs w:val="21"/>
    </w:rPr>
  </w:style>
  <w:style w:type="paragraph" w:customStyle="1" w:styleId="Nadpis91">
    <w:name w:val="Nadpis 91"/>
    <w:basedOn w:val="Normlny"/>
    <w:next w:val="Normlny"/>
    <w:uiPriority w:val="9"/>
    <w:semiHidden/>
    <w:unhideWhenUsed/>
    <w:qFormat/>
    <w:rsid w:val="00B768D9"/>
    <w:pPr>
      <w:keepNext/>
      <w:keepLines/>
      <w:spacing w:before="40" w:after="0"/>
      <w:ind w:left="1584" w:hanging="1584"/>
      <w:outlineLvl w:val="8"/>
    </w:pPr>
    <w:rPr>
      <w:rFonts w:ascii="Calibri Light" w:eastAsia="Times New Roman" w:hAnsi="Calibri Light" w:cs="Times New Roman"/>
      <w:i/>
      <w:iCs/>
      <w:color w:val="272727"/>
      <w:sz w:val="21"/>
      <w:szCs w:val="21"/>
    </w:rPr>
  </w:style>
  <w:style w:type="character" w:customStyle="1" w:styleId="Hypertextovprepojenie1">
    <w:name w:val="Hypertextové prepojenie1"/>
    <w:basedOn w:val="Predvolenpsmoodseku"/>
    <w:uiPriority w:val="99"/>
    <w:unhideWhenUsed/>
    <w:rsid w:val="00B768D9"/>
    <w:rPr>
      <w:color w:val="0563C1"/>
      <w:u w:val="single"/>
    </w:rPr>
  </w:style>
  <w:style w:type="paragraph" w:customStyle="1" w:styleId="Obsah41">
    <w:name w:val="Obsah 41"/>
    <w:basedOn w:val="Normlny"/>
    <w:next w:val="Normlny"/>
    <w:autoRedefine/>
    <w:uiPriority w:val="39"/>
    <w:unhideWhenUsed/>
    <w:rsid w:val="00B768D9"/>
    <w:pPr>
      <w:tabs>
        <w:tab w:val="left" w:pos="833"/>
      </w:tabs>
      <w:spacing w:after="0" w:line="240" w:lineRule="auto"/>
      <w:jc w:val="left"/>
    </w:pPr>
    <w:rPr>
      <w:rFonts w:asciiTheme="minorHAnsi" w:hAnsiTheme="minorHAnsi"/>
    </w:rPr>
  </w:style>
  <w:style w:type="paragraph" w:customStyle="1" w:styleId="Obsah51">
    <w:name w:val="Obsah 51"/>
    <w:basedOn w:val="Normlny"/>
    <w:next w:val="Normlny"/>
    <w:autoRedefine/>
    <w:uiPriority w:val="39"/>
    <w:unhideWhenUsed/>
    <w:rsid w:val="00B768D9"/>
    <w:pPr>
      <w:spacing w:after="0"/>
      <w:jc w:val="left"/>
    </w:pPr>
    <w:rPr>
      <w:rFonts w:asciiTheme="minorHAnsi" w:hAnsiTheme="minorHAnsi"/>
    </w:rPr>
  </w:style>
  <w:style w:type="paragraph" w:customStyle="1" w:styleId="Obsah61">
    <w:name w:val="Obsah 61"/>
    <w:basedOn w:val="Normlny"/>
    <w:next w:val="Normlny"/>
    <w:autoRedefine/>
    <w:uiPriority w:val="39"/>
    <w:unhideWhenUsed/>
    <w:rsid w:val="00B768D9"/>
    <w:pPr>
      <w:spacing w:after="0"/>
      <w:jc w:val="left"/>
    </w:pPr>
    <w:rPr>
      <w:rFonts w:asciiTheme="minorHAnsi" w:hAnsiTheme="minorHAnsi"/>
    </w:rPr>
  </w:style>
  <w:style w:type="paragraph" w:customStyle="1" w:styleId="Obsah71">
    <w:name w:val="Obsah 71"/>
    <w:basedOn w:val="Normlny"/>
    <w:next w:val="Normlny"/>
    <w:autoRedefine/>
    <w:uiPriority w:val="39"/>
    <w:unhideWhenUsed/>
    <w:rsid w:val="00B768D9"/>
    <w:pPr>
      <w:spacing w:after="0"/>
      <w:jc w:val="left"/>
    </w:pPr>
    <w:rPr>
      <w:rFonts w:asciiTheme="minorHAnsi" w:hAnsiTheme="minorHAnsi"/>
    </w:rPr>
  </w:style>
  <w:style w:type="paragraph" w:customStyle="1" w:styleId="Obsah81">
    <w:name w:val="Obsah 81"/>
    <w:basedOn w:val="Normlny"/>
    <w:next w:val="Normlny"/>
    <w:autoRedefine/>
    <w:uiPriority w:val="39"/>
    <w:unhideWhenUsed/>
    <w:rsid w:val="00B768D9"/>
    <w:pPr>
      <w:spacing w:after="0"/>
      <w:jc w:val="left"/>
    </w:pPr>
    <w:rPr>
      <w:rFonts w:asciiTheme="minorHAnsi" w:hAnsiTheme="minorHAnsi"/>
    </w:rPr>
  </w:style>
  <w:style w:type="paragraph" w:customStyle="1" w:styleId="Obsah91">
    <w:name w:val="Obsah 91"/>
    <w:basedOn w:val="Normlny"/>
    <w:next w:val="Normlny"/>
    <w:autoRedefine/>
    <w:uiPriority w:val="39"/>
    <w:unhideWhenUsed/>
    <w:rsid w:val="00B768D9"/>
    <w:pPr>
      <w:spacing w:after="0"/>
      <w:jc w:val="left"/>
    </w:pPr>
    <w:rPr>
      <w:rFonts w:asciiTheme="minorHAnsi" w:hAnsiTheme="minorHAnsi"/>
    </w:rPr>
  </w:style>
  <w:style w:type="character" w:customStyle="1" w:styleId="PouitHypertextovPrepojenie1">
    <w:name w:val="PoužitéHypertextovéPrepojenie1"/>
    <w:basedOn w:val="Predvolenpsmoodseku"/>
    <w:uiPriority w:val="99"/>
    <w:semiHidden/>
    <w:unhideWhenUsed/>
    <w:rsid w:val="00B768D9"/>
    <w:rPr>
      <w:color w:val="954F72"/>
      <w:u w:val="single"/>
    </w:rPr>
  </w:style>
  <w:style w:type="paragraph" w:customStyle="1" w:styleId="Predmetkomentra1">
    <w:name w:val="Predmet komentára1"/>
    <w:basedOn w:val="Textkomentra"/>
    <w:next w:val="Textkomentra"/>
    <w:uiPriority w:val="99"/>
    <w:semiHidden/>
    <w:unhideWhenUsed/>
    <w:rsid w:val="00B768D9"/>
    <w:rPr>
      <w:rFonts w:eastAsia="Calibri"/>
      <w:b/>
      <w:bCs/>
    </w:rPr>
  </w:style>
  <w:style w:type="paragraph" w:customStyle="1" w:styleId="Hlavikaobsahu1">
    <w:name w:val="Hlavička obsahu1"/>
    <w:basedOn w:val="Nadpis1"/>
    <w:next w:val="Normlny"/>
    <w:uiPriority w:val="39"/>
    <w:unhideWhenUsed/>
    <w:qFormat/>
    <w:rsid w:val="00B768D9"/>
    <w:pPr>
      <w:keepLines/>
      <w:numPr>
        <w:numId w:val="0"/>
      </w:numPr>
      <w:spacing w:before="240" w:after="0" w:line="259" w:lineRule="auto"/>
      <w:jc w:val="left"/>
    </w:pPr>
    <w:rPr>
      <w:rFonts w:eastAsia="Times New Roman" w:cs="Times New Roman"/>
    </w:rPr>
  </w:style>
  <w:style w:type="numbering" w:customStyle="1" w:styleId="Bezzoznamu1111">
    <w:name w:val="Bez zoznamu1111"/>
    <w:next w:val="Bezzoznamu"/>
    <w:uiPriority w:val="99"/>
    <w:semiHidden/>
    <w:unhideWhenUsed/>
    <w:rsid w:val="00B768D9"/>
  </w:style>
  <w:style w:type="character" w:customStyle="1" w:styleId="Nadpis1Char1">
    <w:name w:val="Nadpis 1 Char1"/>
    <w:basedOn w:val="Predvolenpsmoodseku"/>
    <w:uiPriority w:val="9"/>
    <w:rsid w:val="00B768D9"/>
    <w:rPr>
      <w:rFonts w:asciiTheme="majorHAnsi" w:eastAsiaTheme="majorEastAsia" w:hAnsiTheme="majorHAnsi" w:cstheme="majorBidi"/>
      <w:color w:val="2E74B5" w:themeColor="accent1" w:themeShade="BF"/>
      <w:sz w:val="32"/>
      <w:szCs w:val="32"/>
    </w:rPr>
  </w:style>
  <w:style w:type="character" w:customStyle="1" w:styleId="Nadpis2Char1">
    <w:name w:val="Nadpis 2 Char1"/>
    <w:basedOn w:val="Predvolenpsmoodseku"/>
    <w:uiPriority w:val="9"/>
    <w:semiHidden/>
    <w:rsid w:val="00B768D9"/>
    <w:rPr>
      <w:rFonts w:asciiTheme="majorHAnsi" w:eastAsiaTheme="majorEastAsia" w:hAnsiTheme="majorHAnsi" w:cstheme="majorBidi"/>
      <w:color w:val="2E74B5" w:themeColor="accent1" w:themeShade="BF"/>
      <w:sz w:val="26"/>
      <w:szCs w:val="26"/>
    </w:rPr>
  </w:style>
  <w:style w:type="character" w:customStyle="1" w:styleId="Nadpis3Char1">
    <w:name w:val="Nadpis 3 Char1"/>
    <w:basedOn w:val="Predvolenpsmoodseku"/>
    <w:uiPriority w:val="9"/>
    <w:semiHidden/>
    <w:rsid w:val="00B768D9"/>
    <w:rPr>
      <w:rFonts w:asciiTheme="majorHAnsi" w:eastAsiaTheme="majorEastAsia" w:hAnsiTheme="majorHAnsi" w:cstheme="majorBidi"/>
      <w:color w:val="1F4D78" w:themeColor="accent1" w:themeShade="7F"/>
      <w:sz w:val="24"/>
      <w:szCs w:val="24"/>
    </w:rPr>
  </w:style>
  <w:style w:type="character" w:customStyle="1" w:styleId="Nadpis4Char1">
    <w:name w:val="Nadpis 4 Char1"/>
    <w:basedOn w:val="Predvolenpsmoodseku"/>
    <w:uiPriority w:val="9"/>
    <w:semiHidden/>
    <w:rsid w:val="00B768D9"/>
    <w:rPr>
      <w:rFonts w:asciiTheme="majorHAnsi" w:eastAsiaTheme="majorEastAsia" w:hAnsiTheme="majorHAnsi" w:cstheme="majorBidi"/>
      <w:i/>
      <w:iCs/>
      <w:color w:val="2E74B5" w:themeColor="accent1" w:themeShade="BF"/>
    </w:rPr>
  </w:style>
  <w:style w:type="character" w:customStyle="1" w:styleId="Nadpis5Char1">
    <w:name w:val="Nadpis 5 Char1"/>
    <w:basedOn w:val="Predvolenpsmoodseku"/>
    <w:uiPriority w:val="9"/>
    <w:semiHidden/>
    <w:rsid w:val="00B768D9"/>
    <w:rPr>
      <w:rFonts w:asciiTheme="majorHAnsi" w:eastAsiaTheme="majorEastAsia" w:hAnsiTheme="majorHAnsi" w:cstheme="majorBidi"/>
      <w:color w:val="2E74B5" w:themeColor="accent1" w:themeShade="BF"/>
    </w:rPr>
  </w:style>
  <w:style w:type="character" w:customStyle="1" w:styleId="Nadpis6Char1">
    <w:name w:val="Nadpis 6 Char1"/>
    <w:basedOn w:val="Predvolenpsmoodseku"/>
    <w:uiPriority w:val="9"/>
    <w:semiHidden/>
    <w:rsid w:val="00B768D9"/>
    <w:rPr>
      <w:rFonts w:asciiTheme="majorHAnsi" w:eastAsiaTheme="majorEastAsia" w:hAnsiTheme="majorHAnsi" w:cstheme="majorBidi"/>
      <w:color w:val="1F4D78" w:themeColor="accent1" w:themeShade="7F"/>
    </w:rPr>
  </w:style>
  <w:style w:type="character" w:customStyle="1" w:styleId="Nadpis7Char1">
    <w:name w:val="Nadpis 7 Char1"/>
    <w:basedOn w:val="Predvolenpsmoodseku"/>
    <w:uiPriority w:val="9"/>
    <w:semiHidden/>
    <w:rsid w:val="00B768D9"/>
    <w:rPr>
      <w:rFonts w:asciiTheme="majorHAnsi" w:eastAsiaTheme="majorEastAsia" w:hAnsiTheme="majorHAnsi" w:cstheme="majorBidi"/>
      <w:i/>
      <w:iCs/>
      <w:color w:val="1F4D78" w:themeColor="accent1" w:themeShade="7F"/>
    </w:rPr>
  </w:style>
  <w:style w:type="character" w:customStyle="1" w:styleId="Nadpis8Char1">
    <w:name w:val="Nadpis 8 Char1"/>
    <w:basedOn w:val="Predvolenpsmoodseku"/>
    <w:uiPriority w:val="9"/>
    <w:semiHidden/>
    <w:rsid w:val="00B768D9"/>
    <w:rPr>
      <w:rFonts w:asciiTheme="majorHAnsi" w:eastAsiaTheme="majorEastAsia" w:hAnsiTheme="majorHAnsi" w:cstheme="majorBidi"/>
      <w:color w:val="272727" w:themeColor="text1" w:themeTint="D8"/>
      <w:sz w:val="21"/>
      <w:szCs w:val="21"/>
    </w:rPr>
  </w:style>
  <w:style w:type="character" w:customStyle="1" w:styleId="Nadpis9Char1">
    <w:name w:val="Nadpis 9 Char1"/>
    <w:basedOn w:val="Predvolenpsmoodseku"/>
    <w:uiPriority w:val="9"/>
    <w:semiHidden/>
    <w:rsid w:val="00B768D9"/>
    <w:rPr>
      <w:rFonts w:asciiTheme="majorHAnsi" w:eastAsiaTheme="majorEastAsia" w:hAnsiTheme="majorHAnsi" w:cstheme="majorBidi"/>
      <w:i/>
      <w:iCs/>
      <w:color w:val="272727" w:themeColor="text1" w:themeTint="D8"/>
      <w:sz w:val="21"/>
      <w:szCs w:val="21"/>
    </w:rPr>
  </w:style>
  <w:style w:type="character" w:customStyle="1" w:styleId="PredmetkomentraChar1">
    <w:name w:val="Predmet komentára Char1"/>
    <w:basedOn w:val="TextkomentraChar"/>
    <w:uiPriority w:val="99"/>
    <w:semiHidden/>
    <w:rsid w:val="00B768D9"/>
    <w:rPr>
      <w:rFonts w:ascii="Times New Roman" w:eastAsia="Times New Roman" w:hAnsi="Times New Roman" w:cs="Times New Roman"/>
      <w:b/>
      <w:bCs/>
      <w:sz w:val="20"/>
      <w:szCs w:val="20"/>
    </w:rPr>
  </w:style>
  <w:style w:type="paragraph" w:customStyle="1" w:styleId="TimesRoman">
    <w:name w:val="Times Roman"/>
    <w:basedOn w:val="Normlny"/>
    <w:rsid w:val="00B768D9"/>
    <w:pPr>
      <w:spacing w:after="0" w:line="240" w:lineRule="auto"/>
    </w:pPr>
    <w:rPr>
      <w:rFonts w:ascii="Arial" w:eastAsia="Batang" w:hAnsi="Arial" w:cs="Times New Roman"/>
      <w:szCs w:val="20"/>
    </w:rPr>
  </w:style>
  <w:style w:type="paragraph" w:customStyle="1" w:styleId="v1msonormal">
    <w:name w:val="v1msonormal"/>
    <w:basedOn w:val="Normlny"/>
    <w:rsid w:val="004C6700"/>
    <w:pPr>
      <w:spacing w:before="100" w:beforeAutospacing="1" w:after="100" w:afterAutospacing="1" w:line="240" w:lineRule="auto"/>
      <w:jc w:val="left"/>
    </w:pPr>
    <w:rPr>
      <w:rFonts w:eastAsia="Times New Roman" w:cs="Times New Roman"/>
      <w:sz w:val="24"/>
      <w:szCs w:val="24"/>
      <w:lang w:eastAsia="sk-SK"/>
    </w:rPr>
  </w:style>
  <w:style w:type="character" w:customStyle="1" w:styleId="OdsekzoznamuChar">
    <w:name w:val="Odsek zoznamu Char"/>
    <w:aliases w:val="body Char,Odsek zoznamu2 Char,Dot pt Char,No Spacing1 Char,List Paragraph Char Char Char Char,Indicator Text Char,Numbered Para 1 Char,List Paragraph à moi Char,Odsek zoznamu4 Char,LISTA Char,Listaszerű bekezdés2 Char,3 Char,LIS Char"/>
    <w:basedOn w:val="Predvolenpsmoodseku"/>
    <w:link w:val="Odsekzoznamu"/>
    <w:uiPriority w:val="34"/>
    <w:locked/>
    <w:rsid w:val="0086767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5660">
      <w:bodyDiv w:val="1"/>
      <w:marLeft w:val="0"/>
      <w:marRight w:val="0"/>
      <w:marTop w:val="0"/>
      <w:marBottom w:val="0"/>
      <w:divBdr>
        <w:top w:val="none" w:sz="0" w:space="0" w:color="auto"/>
        <w:left w:val="none" w:sz="0" w:space="0" w:color="auto"/>
        <w:bottom w:val="none" w:sz="0" w:space="0" w:color="auto"/>
        <w:right w:val="none" w:sz="0" w:space="0" w:color="auto"/>
      </w:divBdr>
    </w:div>
    <w:div w:id="83458516">
      <w:bodyDiv w:val="1"/>
      <w:marLeft w:val="0"/>
      <w:marRight w:val="0"/>
      <w:marTop w:val="0"/>
      <w:marBottom w:val="0"/>
      <w:divBdr>
        <w:top w:val="none" w:sz="0" w:space="0" w:color="auto"/>
        <w:left w:val="none" w:sz="0" w:space="0" w:color="auto"/>
        <w:bottom w:val="none" w:sz="0" w:space="0" w:color="auto"/>
        <w:right w:val="none" w:sz="0" w:space="0" w:color="auto"/>
      </w:divBdr>
    </w:div>
    <w:div w:id="103547509">
      <w:bodyDiv w:val="1"/>
      <w:marLeft w:val="0"/>
      <w:marRight w:val="0"/>
      <w:marTop w:val="0"/>
      <w:marBottom w:val="0"/>
      <w:divBdr>
        <w:top w:val="none" w:sz="0" w:space="0" w:color="auto"/>
        <w:left w:val="none" w:sz="0" w:space="0" w:color="auto"/>
        <w:bottom w:val="none" w:sz="0" w:space="0" w:color="auto"/>
        <w:right w:val="none" w:sz="0" w:space="0" w:color="auto"/>
      </w:divBdr>
      <w:divsChild>
        <w:div w:id="562831429">
          <w:marLeft w:val="0"/>
          <w:marRight w:val="0"/>
          <w:marTop w:val="0"/>
          <w:marBottom w:val="0"/>
          <w:divBdr>
            <w:top w:val="none" w:sz="0" w:space="0" w:color="auto"/>
            <w:left w:val="none" w:sz="0" w:space="0" w:color="auto"/>
            <w:bottom w:val="none" w:sz="0" w:space="0" w:color="auto"/>
            <w:right w:val="none" w:sz="0" w:space="0" w:color="auto"/>
          </w:divBdr>
          <w:divsChild>
            <w:div w:id="8848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349">
      <w:bodyDiv w:val="1"/>
      <w:marLeft w:val="0"/>
      <w:marRight w:val="0"/>
      <w:marTop w:val="0"/>
      <w:marBottom w:val="0"/>
      <w:divBdr>
        <w:top w:val="none" w:sz="0" w:space="0" w:color="auto"/>
        <w:left w:val="none" w:sz="0" w:space="0" w:color="auto"/>
        <w:bottom w:val="none" w:sz="0" w:space="0" w:color="auto"/>
        <w:right w:val="none" w:sz="0" w:space="0" w:color="auto"/>
      </w:divBdr>
    </w:div>
    <w:div w:id="120421357">
      <w:bodyDiv w:val="1"/>
      <w:marLeft w:val="0"/>
      <w:marRight w:val="0"/>
      <w:marTop w:val="0"/>
      <w:marBottom w:val="0"/>
      <w:divBdr>
        <w:top w:val="none" w:sz="0" w:space="0" w:color="auto"/>
        <w:left w:val="none" w:sz="0" w:space="0" w:color="auto"/>
        <w:bottom w:val="none" w:sz="0" w:space="0" w:color="auto"/>
        <w:right w:val="none" w:sz="0" w:space="0" w:color="auto"/>
      </w:divBdr>
    </w:div>
    <w:div w:id="130249624">
      <w:bodyDiv w:val="1"/>
      <w:marLeft w:val="0"/>
      <w:marRight w:val="0"/>
      <w:marTop w:val="0"/>
      <w:marBottom w:val="0"/>
      <w:divBdr>
        <w:top w:val="none" w:sz="0" w:space="0" w:color="auto"/>
        <w:left w:val="none" w:sz="0" w:space="0" w:color="auto"/>
        <w:bottom w:val="none" w:sz="0" w:space="0" w:color="auto"/>
        <w:right w:val="none" w:sz="0" w:space="0" w:color="auto"/>
      </w:divBdr>
    </w:div>
    <w:div w:id="151485999">
      <w:bodyDiv w:val="1"/>
      <w:marLeft w:val="0"/>
      <w:marRight w:val="0"/>
      <w:marTop w:val="0"/>
      <w:marBottom w:val="0"/>
      <w:divBdr>
        <w:top w:val="none" w:sz="0" w:space="0" w:color="auto"/>
        <w:left w:val="none" w:sz="0" w:space="0" w:color="auto"/>
        <w:bottom w:val="none" w:sz="0" w:space="0" w:color="auto"/>
        <w:right w:val="none" w:sz="0" w:space="0" w:color="auto"/>
      </w:divBdr>
    </w:div>
    <w:div w:id="153838167">
      <w:bodyDiv w:val="1"/>
      <w:marLeft w:val="0"/>
      <w:marRight w:val="0"/>
      <w:marTop w:val="0"/>
      <w:marBottom w:val="0"/>
      <w:divBdr>
        <w:top w:val="none" w:sz="0" w:space="0" w:color="auto"/>
        <w:left w:val="none" w:sz="0" w:space="0" w:color="auto"/>
        <w:bottom w:val="none" w:sz="0" w:space="0" w:color="auto"/>
        <w:right w:val="none" w:sz="0" w:space="0" w:color="auto"/>
      </w:divBdr>
    </w:div>
    <w:div w:id="184489671">
      <w:bodyDiv w:val="1"/>
      <w:marLeft w:val="0"/>
      <w:marRight w:val="0"/>
      <w:marTop w:val="0"/>
      <w:marBottom w:val="0"/>
      <w:divBdr>
        <w:top w:val="none" w:sz="0" w:space="0" w:color="auto"/>
        <w:left w:val="none" w:sz="0" w:space="0" w:color="auto"/>
        <w:bottom w:val="none" w:sz="0" w:space="0" w:color="auto"/>
        <w:right w:val="none" w:sz="0" w:space="0" w:color="auto"/>
      </w:divBdr>
    </w:div>
    <w:div w:id="208884657">
      <w:bodyDiv w:val="1"/>
      <w:marLeft w:val="0"/>
      <w:marRight w:val="0"/>
      <w:marTop w:val="0"/>
      <w:marBottom w:val="0"/>
      <w:divBdr>
        <w:top w:val="none" w:sz="0" w:space="0" w:color="auto"/>
        <w:left w:val="none" w:sz="0" w:space="0" w:color="auto"/>
        <w:bottom w:val="none" w:sz="0" w:space="0" w:color="auto"/>
        <w:right w:val="none" w:sz="0" w:space="0" w:color="auto"/>
      </w:divBdr>
    </w:div>
    <w:div w:id="221866251">
      <w:bodyDiv w:val="1"/>
      <w:marLeft w:val="0"/>
      <w:marRight w:val="0"/>
      <w:marTop w:val="0"/>
      <w:marBottom w:val="0"/>
      <w:divBdr>
        <w:top w:val="none" w:sz="0" w:space="0" w:color="auto"/>
        <w:left w:val="none" w:sz="0" w:space="0" w:color="auto"/>
        <w:bottom w:val="none" w:sz="0" w:space="0" w:color="auto"/>
        <w:right w:val="none" w:sz="0" w:space="0" w:color="auto"/>
      </w:divBdr>
    </w:div>
    <w:div w:id="232737814">
      <w:bodyDiv w:val="1"/>
      <w:marLeft w:val="0"/>
      <w:marRight w:val="0"/>
      <w:marTop w:val="0"/>
      <w:marBottom w:val="0"/>
      <w:divBdr>
        <w:top w:val="none" w:sz="0" w:space="0" w:color="auto"/>
        <w:left w:val="none" w:sz="0" w:space="0" w:color="auto"/>
        <w:bottom w:val="none" w:sz="0" w:space="0" w:color="auto"/>
        <w:right w:val="none" w:sz="0" w:space="0" w:color="auto"/>
      </w:divBdr>
    </w:div>
    <w:div w:id="236214534">
      <w:bodyDiv w:val="1"/>
      <w:marLeft w:val="0"/>
      <w:marRight w:val="0"/>
      <w:marTop w:val="0"/>
      <w:marBottom w:val="0"/>
      <w:divBdr>
        <w:top w:val="none" w:sz="0" w:space="0" w:color="auto"/>
        <w:left w:val="none" w:sz="0" w:space="0" w:color="auto"/>
        <w:bottom w:val="none" w:sz="0" w:space="0" w:color="auto"/>
        <w:right w:val="none" w:sz="0" w:space="0" w:color="auto"/>
      </w:divBdr>
    </w:div>
    <w:div w:id="246546583">
      <w:bodyDiv w:val="1"/>
      <w:marLeft w:val="0"/>
      <w:marRight w:val="0"/>
      <w:marTop w:val="0"/>
      <w:marBottom w:val="0"/>
      <w:divBdr>
        <w:top w:val="none" w:sz="0" w:space="0" w:color="auto"/>
        <w:left w:val="none" w:sz="0" w:space="0" w:color="auto"/>
        <w:bottom w:val="none" w:sz="0" w:space="0" w:color="auto"/>
        <w:right w:val="none" w:sz="0" w:space="0" w:color="auto"/>
      </w:divBdr>
    </w:div>
    <w:div w:id="251817761">
      <w:bodyDiv w:val="1"/>
      <w:marLeft w:val="0"/>
      <w:marRight w:val="0"/>
      <w:marTop w:val="0"/>
      <w:marBottom w:val="0"/>
      <w:divBdr>
        <w:top w:val="none" w:sz="0" w:space="0" w:color="auto"/>
        <w:left w:val="none" w:sz="0" w:space="0" w:color="auto"/>
        <w:bottom w:val="none" w:sz="0" w:space="0" w:color="auto"/>
        <w:right w:val="none" w:sz="0" w:space="0" w:color="auto"/>
      </w:divBdr>
    </w:div>
    <w:div w:id="265887666">
      <w:bodyDiv w:val="1"/>
      <w:marLeft w:val="0"/>
      <w:marRight w:val="0"/>
      <w:marTop w:val="0"/>
      <w:marBottom w:val="0"/>
      <w:divBdr>
        <w:top w:val="none" w:sz="0" w:space="0" w:color="auto"/>
        <w:left w:val="none" w:sz="0" w:space="0" w:color="auto"/>
        <w:bottom w:val="none" w:sz="0" w:space="0" w:color="auto"/>
        <w:right w:val="none" w:sz="0" w:space="0" w:color="auto"/>
      </w:divBdr>
    </w:div>
    <w:div w:id="271595381">
      <w:bodyDiv w:val="1"/>
      <w:marLeft w:val="0"/>
      <w:marRight w:val="0"/>
      <w:marTop w:val="0"/>
      <w:marBottom w:val="0"/>
      <w:divBdr>
        <w:top w:val="none" w:sz="0" w:space="0" w:color="auto"/>
        <w:left w:val="none" w:sz="0" w:space="0" w:color="auto"/>
        <w:bottom w:val="none" w:sz="0" w:space="0" w:color="auto"/>
        <w:right w:val="none" w:sz="0" w:space="0" w:color="auto"/>
      </w:divBdr>
    </w:div>
    <w:div w:id="273292507">
      <w:bodyDiv w:val="1"/>
      <w:marLeft w:val="0"/>
      <w:marRight w:val="0"/>
      <w:marTop w:val="0"/>
      <w:marBottom w:val="0"/>
      <w:divBdr>
        <w:top w:val="none" w:sz="0" w:space="0" w:color="auto"/>
        <w:left w:val="none" w:sz="0" w:space="0" w:color="auto"/>
        <w:bottom w:val="none" w:sz="0" w:space="0" w:color="auto"/>
        <w:right w:val="none" w:sz="0" w:space="0" w:color="auto"/>
      </w:divBdr>
    </w:div>
    <w:div w:id="278338214">
      <w:bodyDiv w:val="1"/>
      <w:marLeft w:val="0"/>
      <w:marRight w:val="0"/>
      <w:marTop w:val="0"/>
      <w:marBottom w:val="0"/>
      <w:divBdr>
        <w:top w:val="none" w:sz="0" w:space="0" w:color="auto"/>
        <w:left w:val="none" w:sz="0" w:space="0" w:color="auto"/>
        <w:bottom w:val="none" w:sz="0" w:space="0" w:color="auto"/>
        <w:right w:val="none" w:sz="0" w:space="0" w:color="auto"/>
      </w:divBdr>
    </w:div>
    <w:div w:id="282075293">
      <w:bodyDiv w:val="1"/>
      <w:marLeft w:val="0"/>
      <w:marRight w:val="0"/>
      <w:marTop w:val="0"/>
      <w:marBottom w:val="0"/>
      <w:divBdr>
        <w:top w:val="none" w:sz="0" w:space="0" w:color="auto"/>
        <w:left w:val="none" w:sz="0" w:space="0" w:color="auto"/>
        <w:bottom w:val="none" w:sz="0" w:space="0" w:color="auto"/>
        <w:right w:val="none" w:sz="0" w:space="0" w:color="auto"/>
      </w:divBdr>
    </w:div>
    <w:div w:id="305822928">
      <w:bodyDiv w:val="1"/>
      <w:marLeft w:val="0"/>
      <w:marRight w:val="0"/>
      <w:marTop w:val="0"/>
      <w:marBottom w:val="0"/>
      <w:divBdr>
        <w:top w:val="none" w:sz="0" w:space="0" w:color="auto"/>
        <w:left w:val="none" w:sz="0" w:space="0" w:color="auto"/>
        <w:bottom w:val="none" w:sz="0" w:space="0" w:color="auto"/>
        <w:right w:val="none" w:sz="0" w:space="0" w:color="auto"/>
      </w:divBdr>
    </w:div>
    <w:div w:id="325207847">
      <w:bodyDiv w:val="1"/>
      <w:marLeft w:val="0"/>
      <w:marRight w:val="0"/>
      <w:marTop w:val="0"/>
      <w:marBottom w:val="0"/>
      <w:divBdr>
        <w:top w:val="none" w:sz="0" w:space="0" w:color="auto"/>
        <w:left w:val="none" w:sz="0" w:space="0" w:color="auto"/>
        <w:bottom w:val="none" w:sz="0" w:space="0" w:color="auto"/>
        <w:right w:val="none" w:sz="0" w:space="0" w:color="auto"/>
      </w:divBdr>
    </w:div>
    <w:div w:id="365251082">
      <w:bodyDiv w:val="1"/>
      <w:marLeft w:val="0"/>
      <w:marRight w:val="0"/>
      <w:marTop w:val="0"/>
      <w:marBottom w:val="0"/>
      <w:divBdr>
        <w:top w:val="none" w:sz="0" w:space="0" w:color="auto"/>
        <w:left w:val="none" w:sz="0" w:space="0" w:color="auto"/>
        <w:bottom w:val="none" w:sz="0" w:space="0" w:color="auto"/>
        <w:right w:val="none" w:sz="0" w:space="0" w:color="auto"/>
      </w:divBdr>
    </w:div>
    <w:div w:id="366878275">
      <w:bodyDiv w:val="1"/>
      <w:marLeft w:val="0"/>
      <w:marRight w:val="0"/>
      <w:marTop w:val="0"/>
      <w:marBottom w:val="0"/>
      <w:divBdr>
        <w:top w:val="none" w:sz="0" w:space="0" w:color="auto"/>
        <w:left w:val="none" w:sz="0" w:space="0" w:color="auto"/>
        <w:bottom w:val="none" w:sz="0" w:space="0" w:color="auto"/>
        <w:right w:val="none" w:sz="0" w:space="0" w:color="auto"/>
      </w:divBdr>
    </w:div>
    <w:div w:id="398406455">
      <w:bodyDiv w:val="1"/>
      <w:marLeft w:val="0"/>
      <w:marRight w:val="0"/>
      <w:marTop w:val="0"/>
      <w:marBottom w:val="0"/>
      <w:divBdr>
        <w:top w:val="none" w:sz="0" w:space="0" w:color="auto"/>
        <w:left w:val="none" w:sz="0" w:space="0" w:color="auto"/>
        <w:bottom w:val="none" w:sz="0" w:space="0" w:color="auto"/>
        <w:right w:val="none" w:sz="0" w:space="0" w:color="auto"/>
      </w:divBdr>
    </w:div>
    <w:div w:id="404649424">
      <w:bodyDiv w:val="1"/>
      <w:marLeft w:val="0"/>
      <w:marRight w:val="0"/>
      <w:marTop w:val="0"/>
      <w:marBottom w:val="0"/>
      <w:divBdr>
        <w:top w:val="none" w:sz="0" w:space="0" w:color="auto"/>
        <w:left w:val="none" w:sz="0" w:space="0" w:color="auto"/>
        <w:bottom w:val="none" w:sz="0" w:space="0" w:color="auto"/>
        <w:right w:val="none" w:sz="0" w:space="0" w:color="auto"/>
      </w:divBdr>
    </w:div>
    <w:div w:id="419183605">
      <w:bodyDiv w:val="1"/>
      <w:marLeft w:val="0"/>
      <w:marRight w:val="0"/>
      <w:marTop w:val="0"/>
      <w:marBottom w:val="0"/>
      <w:divBdr>
        <w:top w:val="none" w:sz="0" w:space="0" w:color="auto"/>
        <w:left w:val="none" w:sz="0" w:space="0" w:color="auto"/>
        <w:bottom w:val="none" w:sz="0" w:space="0" w:color="auto"/>
        <w:right w:val="none" w:sz="0" w:space="0" w:color="auto"/>
      </w:divBdr>
    </w:div>
    <w:div w:id="420488193">
      <w:bodyDiv w:val="1"/>
      <w:marLeft w:val="0"/>
      <w:marRight w:val="0"/>
      <w:marTop w:val="0"/>
      <w:marBottom w:val="0"/>
      <w:divBdr>
        <w:top w:val="none" w:sz="0" w:space="0" w:color="auto"/>
        <w:left w:val="none" w:sz="0" w:space="0" w:color="auto"/>
        <w:bottom w:val="none" w:sz="0" w:space="0" w:color="auto"/>
        <w:right w:val="none" w:sz="0" w:space="0" w:color="auto"/>
      </w:divBdr>
    </w:div>
    <w:div w:id="431168882">
      <w:bodyDiv w:val="1"/>
      <w:marLeft w:val="0"/>
      <w:marRight w:val="0"/>
      <w:marTop w:val="0"/>
      <w:marBottom w:val="0"/>
      <w:divBdr>
        <w:top w:val="none" w:sz="0" w:space="0" w:color="auto"/>
        <w:left w:val="none" w:sz="0" w:space="0" w:color="auto"/>
        <w:bottom w:val="none" w:sz="0" w:space="0" w:color="auto"/>
        <w:right w:val="none" w:sz="0" w:space="0" w:color="auto"/>
      </w:divBdr>
    </w:div>
    <w:div w:id="451360976">
      <w:bodyDiv w:val="1"/>
      <w:marLeft w:val="0"/>
      <w:marRight w:val="0"/>
      <w:marTop w:val="0"/>
      <w:marBottom w:val="0"/>
      <w:divBdr>
        <w:top w:val="none" w:sz="0" w:space="0" w:color="auto"/>
        <w:left w:val="none" w:sz="0" w:space="0" w:color="auto"/>
        <w:bottom w:val="none" w:sz="0" w:space="0" w:color="auto"/>
        <w:right w:val="none" w:sz="0" w:space="0" w:color="auto"/>
      </w:divBdr>
    </w:div>
    <w:div w:id="475218865">
      <w:bodyDiv w:val="1"/>
      <w:marLeft w:val="0"/>
      <w:marRight w:val="0"/>
      <w:marTop w:val="0"/>
      <w:marBottom w:val="0"/>
      <w:divBdr>
        <w:top w:val="none" w:sz="0" w:space="0" w:color="auto"/>
        <w:left w:val="none" w:sz="0" w:space="0" w:color="auto"/>
        <w:bottom w:val="none" w:sz="0" w:space="0" w:color="auto"/>
        <w:right w:val="none" w:sz="0" w:space="0" w:color="auto"/>
      </w:divBdr>
    </w:div>
    <w:div w:id="551313390">
      <w:bodyDiv w:val="1"/>
      <w:marLeft w:val="0"/>
      <w:marRight w:val="0"/>
      <w:marTop w:val="0"/>
      <w:marBottom w:val="0"/>
      <w:divBdr>
        <w:top w:val="none" w:sz="0" w:space="0" w:color="auto"/>
        <w:left w:val="none" w:sz="0" w:space="0" w:color="auto"/>
        <w:bottom w:val="none" w:sz="0" w:space="0" w:color="auto"/>
        <w:right w:val="none" w:sz="0" w:space="0" w:color="auto"/>
      </w:divBdr>
    </w:div>
    <w:div w:id="573976301">
      <w:bodyDiv w:val="1"/>
      <w:marLeft w:val="0"/>
      <w:marRight w:val="0"/>
      <w:marTop w:val="0"/>
      <w:marBottom w:val="0"/>
      <w:divBdr>
        <w:top w:val="none" w:sz="0" w:space="0" w:color="auto"/>
        <w:left w:val="none" w:sz="0" w:space="0" w:color="auto"/>
        <w:bottom w:val="none" w:sz="0" w:space="0" w:color="auto"/>
        <w:right w:val="none" w:sz="0" w:space="0" w:color="auto"/>
      </w:divBdr>
    </w:div>
    <w:div w:id="602960080">
      <w:bodyDiv w:val="1"/>
      <w:marLeft w:val="0"/>
      <w:marRight w:val="0"/>
      <w:marTop w:val="0"/>
      <w:marBottom w:val="0"/>
      <w:divBdr>
        <w:top w:val="none" w:sz="0" w:space="0" w:color="auto"/>
        <w:left w:val="none" w:sz="0" w:space="0" w:color="auto"/>
        <w:bottom w:val="none" w:sz="0" w:space="0" w:color="auto"/>
        <w:right w:val="none" w:sz="0" w:space="0" w:color="auto"/>
      </w:divBdr>
    </w:div>
    <w:div w:id="607812558">
      <w:bodyDiv w:val="1"/>
      <w:marLeft w:val="0"/>
      <w:marRight w:val="0"/>
      <w:marTop w:val="0"/>
      <w:marBottom w:val="0"/>
      <w:divBdr>
        <w:top w:val="none" w:sz="0" w:space="0" w:color="auto"/>
        <w:left w:val="none" w:sz="0" w:space="0" w:color="auto"/>
        <w:bottom w:val="none" w:sz="0" w:space="0" w:color="auto"/>
        <w:right w:val="none" w:sz="0" w:space="0" w:color="auto"/>
      </w:divBdr>
    </w:div>
    <w:div w:id="607978284">
      <w:bodyDiv w:val="1"/>
      <w:marLeft w:val="0"/>
      <w:marRight w:val="0"/>
      <w:marTop w:val="0"/>
      <w:marBottom w:val="0"/>
      <w:divBdr>
        <w:top w:val="none" w:sz="0" w:space="0" w:color="auto"/>
        <w:left w:val="none" w:sz="0" w:space="0" w:color="auto"/>
        <w:bottom w:val="none" w:sz="0" w:space="0" w:color="auto"/>
        <w:right w:val="none" w:sz="0" w:space="0" w:color="auto"/>
      </w:divBdr>
    </w:div>
    <w:div w:id="609095785">
      <w:bodyDiv w:val="1"/>
      <w:marLeft w:val="0"/>
      <w:marRight w:val="0"/>
      <w:marTop w:val="0"/>
      <w:marBottom w:val="0"/>
      <w:divBdr>
        <w:top w:val="none" w:sz="0" w:space="0" w:color="auto"/>
        <w:left w:val="none" w:sz="0" w:space="0" w:color="auto"/>
        <w:bottom w:val="none" w:sz="0" w:space="0" w:color="auto"/>
        <w:right w:val="none" w:sz="0" w:space="0" w:color="auto"/>
      </w:divBdr>
    </w:div>
    <w:div w:id="616566911">
      <w:bodyDiv w:val="1"/>
      <w:marLeft w:val="0"/>
      <w:marRight w:val="0"/>
      <w:marTop w:val="0"/>
      <w:marBottom w:val="0"/>
      <w:divBdr>
        <w:top w:val="none" w:sz="0" w:space="0" w:color="auto"/>
        <w:left w:val="none" w:sz="0" w:space="0" w:color="auto"/>
        <w:bottom w:val="none" w:sz="0" w:space="0" w:color="auto"/>
        <w:right w:val="none" w:sz="0" w:space="0" w:color="auto"/>
      </w:divBdr>
    </w:div>
    <w:div w:id="617680901">
      <w:bodyDiv w:val="1"/>
      <w:marLeft w:val="0"/>
      <w:marRight w:val="0"/>
      <w:marTop w:val="0"/>
      <w:marBottom w:val="0"/>
      <w:divBdr>
        <w:top w:val="none" w:sz="0" w:space="0" w:color="auto"/>
        <w:left w:val="none" w:sz="0" w:space="0" w:color="auto"/>
        <w:bottom w:val="none" w:sz="0" w:space="0" w:color="auto"/>
        <w:right w:val="none" w:sz="0" w:space="0" w:color="auto"/>
      </w:divBdr>
    </w:div>
    <w:div w:id="621500285">
      <w:bodyDiv w:val="1"/>
      <w:marLeft w:val="0"/>
      <w:marRight w:val="0"/>
      <w:marTop w:val="0"/>
      <w:marBottom w:val="0"/>
      <w:divBdr>
        <w:top w:val="none" w:sz="0" w:space="0" w:color="auto"/>
        <w:left w:val="none" w:sz="0" w:space="0" w:color="auto"/>
        <w:bottom w:val="none" w:sz="0" w:space="0" w:color="auto"/>
        <w:right w:val="none" w:sz="0" w:space="0" w:color="auto"/>
      </w:divBdr>
    </w:div>
    <w:div w:id="624778205">
      <w:bodyDiv w:val="1"/>
      <w:marLeft w:val="0"/>
      <w:marRight w:val="0"/>
      <w:marTop w:val="0"/>
      <w:marBottom w:val="0"/>
      <w:divBdr>
        <w:top w:val="none" w:sz="0" w:space="0" w:color="auto"/>
        <w:left w:val="none" w:sz="0" w:space="0" w:color="auto"/>
        <w:bottom w:val="none" w:sz="0" w:space="0" w:color="auto"/>
        <w:right w:val="none" w:sz="0" w:space="0" w:color="auto"/>
      </w:divBdr>
    </w:div>
    <w:div w:id="624821723">
      <w:bodyDiv w:val="1"/>
      <w:marLeft w:val="0"/>
      <w:marRight w:val="0"/>
      <w:marTop w:val="0"/>
      <w:marBottom w:val="0"/>
      <w:divBdr>
        <w:top w:val="none" w:sz="0" w:space="0" w:color="auto"/>
        <w:left w:val="none" w:sz="0" w:space="0" w:color="auto"/>
        <w:bottom w:val="none" w:sz="0" w:space="0" w:color="auto"/>
        <w:right w:val="none" w:sz="0" w:space="0" w:color="auto"/>
      </w:divBdr>
    </w:div>
    <w:div w:id="636495612">
      <w:bodyDiv w:val="1"/>
      <w:marLeft w:val="0"/>
      <w:marRight w:val="0"/>
      <w:marTop w:val="0"/>
      <w:marBottom w:val="0"/>
      <w:divBdr>
        <w:top w:val="none" w:sz="0" w:space="0" w:color="auto"/>
        <w:left w:val="none" w:sz="0" w:space="0" w:color="auto"/>
        <w:bottom w:val="none" w:sz="0" w:space="0" w:color="auto"/>
        <w:right w:val="none" w:sz="0" w:space="0" w:color="auto"/>
      </w:divBdr>
    </w:div>
    <w:div w:id="640769414">
      <w:bodyDiv w:val="1"/>
      <w:marLeft w:val="0"/>
      <w:marRight w:val="0"/>
      <w:marTop w:val="0"/>
      <w:marBottom w:val="0"/>
      <w:divBdr>
        <w:top w:val="none" w:sz="0" w:space="0" w:color="auto"/>
        <w:left w:val="none" w:sz="0" w:space="0" w:color="auto"/>
        <w:bottom w:val="none" w:sz="0" w:space="0" w:color="auto"/>
        <w:right w:val="none" w:sz="0" w:space="0" w:color="auto"/>
      </w:divBdr>
    </w:div>
    <w:div w:id="672996393">
      <w:bodyDiv w:val="1"/>
      <w:marLeft w:val="0"/>
      <w:marRight w:val="0"/>
      <w:marTop w:val="0"/>
      <w:marBottom w:val="0"/>
      <w:divBdr>
        <w:top w:val="none" w:sz="0" w:space="0" w:color="auto"/>
        <w:left w:val="none" w:sz="0" w:space="0" w:color="auto"/>
        <w:bottom w:val="none" w:sz="0" w:space="0" w:color="auto"/>
        <w:right w:val="none" w:sz="0" w:space="0" w:color="auto"/>
      </w:divBdr>
    </w:div>
    <w:div w:id="712000132">
      <w:bodyDiv w:val="1"/>
      <w:marLeft w:val="0"/>
      <w:marRight w:val="0"/>
      <w:marTop w:val="0"/>
      <w:marBottom w:val="0"/>
      <w:divBdr>
        <w:top w:val="none" w:sz="0" w:space="0" w:color="auto"/>
        <w:left w:val="none" w:sz="0" w:space="0" w:color="auto"/>
        <w:bottom w:val="none" w:sz="0" w:space="0" w:color="auto"/>
        <w:right w:val="none" w:sz="0" w:space="0" w:color="auto"/>
      </w:divBdr>
    </w:div>
    <w:div w:id="745540572">
      <w:bodyDiv w:val="1"/>
      <w:marLeft w:val="0"/>
      <w:marRight w:val="0"/>
      <w:marTop w:val="0"/>
      <w:marBottom w:val="0"/>
      <w:divBdr>
        <w:top w:val="none" w:sz="0" w:space="0" w:color="auto"/>
        <w:left w:val="none" w:sz="0" w:space="0" w:color="auto"/>
        <w:bottom w:val="none" w:sz="0" w:space="0" w:color="auto"/>
        <w:right w:val="none" w:sz="0" w:space="0" w:color="auto"/>
      </w:divBdr>
    </w:div>
    <w:div w:id="752703514">
      <w:bodyDiv w:val="1"/>
      <w:marLeft w:val="0"/>
      <w:marRight w:val="0"/>
      <w:marTop w:val="0"/>
      <w:marBottom w:val="0"/>
      <w:divBdr>
        <w:top w:val="none" w:sz="0" w:space="0" w:color="auto"/>
        <w:left w:val="none" w:sz="0" w:space="0" w:color="auto"/>
        <w:bottom w:val="none" w:sz="0" w:space="0" w:color="auto"/>
        <w:right w:val="none" w:sz="0" w:space="0" w:color="auto"/>
      </w:divBdr>
    </w:div>
    <w:div w:id="756560704">
      <w:bodyDiv w:val="1"/>
      <w:marLeft w:val="0"/>
      <w:marRight w:val="0"/>
      <w:marTop w:val="0"/>
      <w:marBottom w:val="0"/>
      <w:divBdr>
        <w:top w:val="none" w:sz="0" w:space="0" w:color="auto"/>
        <w:left w:val="none" w:sz="0" w:space="0" w:color="auto"/>
        <w:bottom w:val="none" w:sz="0" w:space="0" w:color="auto"/>
        <w:right w:val="none" w:sz="0" w:space="0" w:color="auto"/>
      </w:divBdr>
    </w:div>
    <w:div w:id="757218805">
      <w:bodyDiv w:val="1"/>
      <w:marLeft w:val="0"/>
      <w:marRight w:val="0"/>
      <w:marTop w:val="0"/>
      <w:marBottom w:val="0"/>
      <w:divBdr>
        <w:top w:val="none" w:sz="0" w:space="0" w:color="auto"/>
        <w:left w:val="none" w:sz="0" w:space="0" w:color="auto"/>
        <w:bottom w:val="none" w:sz="0" w:space="0" w:color="auto"/>
        <w:right w:val="none" w:sz="0" w:space="0" w:color="auto"/>
      </w:divBdr>
    </w:div>
    <w:div w:id="759526628">
      <w:bodyDiv w:val="1"/>
      <w:marLeft w:val="0"/>
      <w:marRight w:val="0"/>
      <w:marTop w:val="0"/>
      <w:marBottom w:val="0"/>
      <w:divBdr>
        <w:top w:val="none" w:sz="0" w:space="0" w:color="auto"/>
        <w:left w:val="none" w:sz="0" w:space="0" w:color="auto"/>
        <w:bottom w:val="none" w:sz="0" w:space="0" w:color="auto"/>
        <w:right w:val="none" w:sz="0" w:space="0" w:color="auto"/>
      </w:divBdr>
    </w:div>
    <w:div w:id="792289765">
      <w:bodyDiv w:val="1"/>
      <w:marLeft w:val="0"/>
      <w:marRight w:val="0"/>
      <w:marTop w:val="0"/>
      <w:marBottom w:val="0"/>
      <w:divBdr>
        <w:top w:val="none" w:sz="0" w:space="0" w:color="auto"/>
        <w:left w:val="none" w:sz="0" w:space="0" w:color="auto"/>
        <w:bottom w:val="none" w:sz="0" w:space="0" w:color="auto"/>
        <w:right w:val="none" w:sz="0" w:space="0" w:color="auto"/>
      </w:divBdr>
    </w:div>
    <w:div w:id="817459742">
      <w:bodyDiv w:val="1"/>
      <w:marLeft w:val="0"/>
      <w:marRight w:val="0"/>
      <w:marTop w:val="0"/>
      <w:marBottom w:val="0"/>
      <w:divBdr>
        <w:top w:val="none" w:sz="0" w:space="0" w:color="auto"/>
        <w:left w:val="none" w:sz="0" w:space="0" w:color="auto"/>
        <w:bottom w:val="none" w:sz="0" w:space="0" w:color="auto"/>
        <w:right w:val="none" w:sz="0" w:space="0" w:color="auto"/>
      </w:divBdr>
    </w:div>
    <w:div w:id="826168291">
      <w:bodyDiv w:val="1"/>
      <w:marLeft w:val="0"/>
      <w:marRight w:val="0"/>
      <w:marTop w:val="0"/>
      <w:marBottom w:val="0"/>
      <w:divBdr>
        <w:top w:val="none" w:sz="0" w:space="0" w:color="auto"/>
        <w:left w:val="none" w:sz="0" w:space="0" w:color="auto"/>
        <w:bottom w:val="none" w:sz="0" w:space="0" w:color="auto"/>
        <w:right w:val="none" w:sz="0" w:space="0" w:color="auto"/>
      </w:divBdr>
    </w:div>
    <w:div w:id="828054206">
      <w:bodyDiv w:val="1"/>
      <w:marLeft w:val="0"/>
      <w:marRight w:val="0"/>
      <w:marTop w:val="0"/>
      <w:marBottom w:val="0"/>
      <w:divBdr>
        <w:top w:val="none" w:sz="0" w:space="0" w:color="auto"/>
        <w:left w:val="none" w:sz="0" w:space="0" w:color="auto"/>
        <w:bottom w:val="none" w:sz="0" w:space="0" w:color="auto"/>
        <w:right w:val="none" w:sz="0" w:space="0" w:color="auto"/>
      </w:divBdr>
    </w:div>
    <w:div w:id="842276737">
      <w:bodyDiv w:val="1"/>
      <w:marLeft w:val="0"/>
      <w:marRight w:val="0"/>
      <w:marTop w:val="0"/>
      <w:marBottom w:val="0"/>
      <w:divBdr>
        <w:top w:val="none" w:sz="0" w:space="0" w:color="auto"/>
        <w:left w:val="none" w:sz="0" w:space="0" w:color="auto"/>
        <w:bottom w:val="none" w:sz="0" w:space="0" w:color="auto"/>
        <w:right w:val="none" w:sz="0" w:space="0" w:color="auto"/>
      </w:divBdr>
    </w:div>
    <w:div w:id="843937752">
      <w:bodyDiv w:val="1"/>
      <w:marLeft w:val="0"/>
      <w:marRight w:val="0"/>
      <w:marTop w:val="0"/>
      <w:marBottom w:val="0"/>
      <w:divBdr>
        <w:top w:val="none" w:sz="0" w:space="0" w:color="auto"/>
        <w:left w:val="none" w:sz="0" w:space="0" w:color="auto"/>
        <w:bottom w:val="none" w:sz="0" w:space="0" w:color="auto"/>
        <w:right w:val="none" w:sz="0" w:space="0" w:color="auto"/>
      </w:divBdr>
    </w:div>
    <w:div w:id="845873639">
      <w:bodyDiv w:val="1"/>
      <w:marLeft w:val="0"/>
      <w:marRight w:val="0"/>
      <w:marTop w:val="0"/>
      <w:marBottom w:val="0"/>
      <w:divBdr>
        <w:top w:val="none" w:sz="0" w:space="0" w:color="auto"/>
        <w:left w:val="none" w:sz="0" w:space="0" w:color="auto"/>
        <w:bottom w:val="none" w:sz="0" w:space="0" w:color="auto"/>
        <w:right w:val="none" w:sz="0" w:space="0" w:color="auto"/>
      </w:divBdr>
    </w:div>
    <w:div w:id="850340764">
      <w:bodyDiv w:val="1"/>
      <w:marLeft w:val="0"/>
      <w:marRight w:val="0"/>
      <w:marTop w:val="0"/>
      <w:marBottom w:val="0"/>
      <w:divBdr>
        <w:top w:val="none" w:sz="0" w:space="0" w:color="auto"/>
        <w:left w:val="none" w:sz="0" w:space="0" w:color="auto"/>
        <w:bottom w:val="none" w:sz="0" w:space="0" w:color="auto"/>
        <w:right w:val="none" w:sz="0" w:space="0" w:color="auto"/>
      </w:divBdr>
    </w:div>
    <w:div w:id="856188635">
      <w:bodyDiv w:val="1"/>
      <w:marLeft w:val="0"/>
      <w:marRight w:val="0"/>
      <w:marTop w:val="0"/>
      <w:marBottom w:val="0"/>
      <w:divBdr>
        <w:top w:val="none" w:sz="0" w:space="0" w:color="auto"/>
        <w:left w:val="none" w:sz="0" w:space="0" w:color="auto"/>
        <w:bottom w:val="none" w:sz="0" w:space="0" w:color="auto"/>
        <w:right w:val="none" w:sz="0" w:space="0" w:color="auto"/>
      </w:divBdr>
    </w:div>
    <w:div w:id="924342122">
      <w:bodyDiv w:val="1"/>
      <w:marLeft w:val="0"/>
      <w:marRight w:val="0"/>
      <w:marTop w:val="0"/>
      <w:marBottom w:val="0"/>
      <w:divBdr>
        <w:top w:val="none" w:sz="0" w:space="0" w:color="auto"/>
        <w:left w:val="none" w:sz="0" w:space="0" w:color="auto"/>
        <w:bottom w:val="none" w:sz="0" w:space="0" w:color="auto"/>
        <w:right w:val="none" w:sz="0" w:space="0" w:color="auto"/>
      </w:divBdr>
    </w:div>
    <w:div w:id="930705010">
      <w:bodyDiv w:val="1"/>
      <w:marLeft w:val="0"/>
      <w:marRight w:val="0"/>
      <w:marTop w:val="0"/>
      <w:marBottom w:val="0"/>
      <w:divBdr>
        <w:top w:val="none" w:sz="0" w:space="0" w:color="auto"/>
        <w:left w:val="none" w:sz="0" w:space="0" w:color="auto"/>
        <w:bottom w:val="none" w:sz="0" w:space="0" w:color="auto"/>
        <w:right w:val="none" w:sz="0" w:space="0" w:color="auto"/>
      </w:divBdr>
    </w:div>
    <w:div w:id="941111308">
      <w:bodyDiv w:val="1"/>
      <w:marLeft w:val="0"/>
      <w:marRight w:val="0"/>
      <w:marTop w:val="0"/>
      <w:marBottom w:val="0"/>
      <w:divBdr>
        <w:top w:val="none" w:sz="0" w:space="0" w:color="auto"/>
        <w:left w:val="none" w:sz="0" w:space="0" w:color="auto"/>
        <w:bottom w:val="none" w:sz="0" w:space="0" w:color="auto"/>
        <w:right w:val="none" w:sz="0" w:space="0" w:color="auto"/>
      </w:divBdr>
    </w:div>
    <w:div w:id="959804158">
      <w:bodyDiv w:val="1"/>
      <w:marLeft w:val="0"/>
      <w:marRight w:val="0"/>
      <w:marTop w:val="0"/>
      <w:marBottom w:val="0"/>
      <w:divBdr>
        <w:top w:val="none" w:sz="0" w:space="0" w:color="auto"/>
        <w:left w:val="none" w:sz="0" w:space="0" w:color="auto"/>
        <w:bottom w:val="none" w:sz="0" w:space="0" w:color="auto"/>
        <w:right w:val="none" w:sz="0" w:space="0" w:color="auto"/>
      </w:divBdr>
    </w:div>
    <w:div w:id="962687723">
      <w:bodyDiv w:val="1"/>
      <w:marLeft w:val="0"/>
      <w:marRight w:val="0"/>
      <w:marTop w:val="0"/>
      <w:marBottom w:val="0"/>
      <w:divBdr>
        <w:top w:val="none" w:sz="0" w:space="0" w:color="auto"/>
        <w:left w:val="none" w:sz="0" w:space="0" w:color="auto"/>
        <w:bottom w:val="none" w:sz="0" w:space="0" w:color="auto"/>
        <w:right w:val="none" w:sz="0" w:space="0" w:color="auto"/>
      </w:divBdr>
    </w:div>
    <w:div w:id="975842262">
      <w:bodyDiv w:val="1"/>
      <w:marLeft w:val="0"/>
      <w:marRight w:val="0"/>
      <w:marTop w:val="0"/>
      <w:marBottom w:val="0"/>
      <w:divBdr>
        <w:top w:val="none" w:sz="0" w:space="0" w:color="auto"/>
        <w:left w:val="none" w:sz="0" w:space="0" w:color="auto"/>
        <w:bottom w:val="none" w:sz="0" w:space="0" w:color="auto"/>
        <w:right w:val="none" w:sz="0" w:space="0" w:color="auto"/>
      </w:divBdr>
    </w:div>
    <w:div w:id="977958545">
      <w:bodyDiv w:val="1"/>
      <w:marLeft w:val="0"/>
      <w:marRight w:val="0"/>
      <w:marTop w:val="0"/>
      <w:marBottom w:val="0"/>
      <w:divBdr>
        <w:top w:val="none" w:sz="0" w:space="0" w:color="auto"/>
        <w:left w:val="none" w:sz="0" w:space="0" w:color="auto"/>
        <w:bottom w:val="none" w:sz="0" w:space="0" w:color="auto"/>
        <w:right w:val="none" w:sz="0" w:space="0" w:color="auto"/>
      </w:divBdr>
    </w:div>
    <w:div w:id="991255998">
      <w:bodyDiv w:val="1"/>
      <w:marLeft w:val="0"/>
      <w:marRight w:val="0"/>
      <w:marTop w:val="0"/>
      <w:marBottom w:val="0"/>
      <w:divBdr>
        <w:top w:val="none" w:sz="0" w:space="0" w:color="auto"/>
        <w:left w:val="none" w:sz="0" w:space="0" w:color="auto"/>
        <w:bottom w:val="none" w:sz="0" w:space="0" w:color="auto"/>
        <w:right w:val="none" w:sz="0" w:space="0" w:color="auto"/>
      </w:divBdr>
    </w:div>
    <w:div w:id="997919673">
      <w:bodyDiv w:val="1"/>
      <w:marLeft w:val="0"/>
      <w:marRight w:val="0"/>
      <w:marTop w:val="0"/>
      <w:marBottom w:val="0"/>
      <w:divBdr>
        <w:top w:val="none" w:sz="0" w:space="0" w:color="auto"/>
        <w:left w:val="none" w:sz="0" w:space="0" w:color="auto"/>
        <w:bottom w:val="none" w:sz="0" w:space="0" w:color="auto"/>
        <w:right w:val="none" w:sz="0" w:space="0" w:color="auto"/>
      </w:divBdr>
    </w:div>
    <w:div w:id="999192318">
      <w:bodyDiv w:val="1"/>
      <w:marLeft w:val="0"/>
      <w:marRight w:val="0"/>
      <w:marTop w:val="0"/>
      <w:marBottom w:val="0"/>
      <w:divBdr>
        <w:top w:val="none" w:sz="0" w:space="0" w:color="auto"/>
        <w:left w:val="none" w:sz="0" w:space="0" w:color="auto"/>
        <w:bottom w:val="none" w:sz="0" w:space="0" w:color="auto"/>
        <w:right w:val="none" w:sz="0" w:space="0" w:color="auto"/>
      </w:divBdr>
    </w:div>
    <w:div w:id="1012219505">
      <w:bodyDiv w:val="1"/>
      <w:marLeft w:val="0"/>
      <w:marRight w:val="0"/>
      <w:marTop w:val="0"/>
      <w:marBottom w:val="0"/>
      <w:divBdr>
        <w:top w:val="none" w:sz="0" w:space="0" w:color="auto"/>
        <w:left w:val="none" w:sz="0" w:space="0" w:color="auto"/>
        <w:bottom w:val="none" w:sz="0" w:space="0" w:color="auto"/>
        <w:right w:val="none" w:sz="0" w:space="0" w:color="auto"/>
      </w:divBdr>
    </w:div>
    <w:div w:id="1018970716">
      <w:bodyDiv w:val="1"/>
      <w:marLeft w:val="0"/>
      <w:marRight w:val="0"/>
      <w:marTop w:val="0"/>
      <w:marBottom w:val="0"/>
      <w:divBdr>
        <w:top w:val="none" w:sz="0" w:space="0" w:color="auto"/>
        <w:left w:val="none" w:sz="0" w:space="0" w:color="auto"/>
        <w:bottom w:val="none" w:sz="0" w:space="0" w:color="auto"/>
        <w:right w:val="none" w:sz="0" w:space="0" w:color="auto"/>
      </w:divBdr>
    </w:div>
    <w:div w:id="1019815154">
      <w:bodyDiv w:val="1"/>
      <w:marLeft w:val="0"/>
      <w:marRight w:val="0"/>
      <w:marTop w:val="0"/>
      <w:marBottom w:val="0"/>
      <w:divBdr>
        <w:top w:val="none" w:sz="0" w:space="0" w:color="auto"/>
        <w:left w:val="none" w:sz="0" w:space="0" w:color="auto"/>
        <w:bottom w:val="none" w:sz="0" w:space="0" w:color="auto"/>
        <w:right w:val="none" w:sz="0" w:space="0" w:color="auto"/>
      </w:divBdr>
    </w:div>
    <w:div w:id="1042561455">
      <w:bodyDiv w:val="1"/>
      <w:marLeft w:val="0"/>
      <w:marRight w:val="0"/>
      <w:marTop w:val="0"/>
      <w:marBottom w:val="0"/>
      <w:divBdr>
        <w:top w:val="none" w:sz="0" w:space="0" w:color="auto"/>
        <w:left w:val="none" w:sz="0" w:space="0" w:color="auto"/>
        <w:bottom w:val="none" w:sz="0" w:space="0" w:color="auto"/>
        <w:right w:val="none" w:sz="0" w:space="0" w:color="auto"/>
      </w:divBdr>
    </w:div>
    <w:div w:id="1064793063">
      <w:bodyDiv w:val="1"/>
      <w:marLeft w:val="0"/>
      <w:marRight w:val="0"/>
      <w:marTop w:val="0"/>
      <w:marBottom w:val="0"/>
      <w:divBdr>
        <w:top w:val="none" w:sz="0" w:space="0" w:color="auto"/>
        <w:left w:val="none" w:sz="0" w:space="0" w:color="auto"/>
        <w:bottom w:val="none" w:sz="0" w:space="0" w:color="auto"/>
        <w:right w:val="none" w:sz="0" w:space="0" w:color="auto"/>
      </w:divBdr>
    </w:div>
    <w:div w:id="1094402443">
      <w:bodyDiv w:val="1"/>
      <w:marLeft w:val="0"/>
      <w:marRight w:val="0"/>
      <w:marTop w:val="0"/>
      <w:marBottom w:val="0"/>
      <w:divBdr>
        <w:top w:val="none" w:sz="0" w:space="0" w:color="auto"/>
        <w:left w:val="none" w:sz="0" w:space="0" w:color="auto"/>
        <w:bottom w:val="none" w:sz="0" w:space="0" w:color="auto"/>
        <w:right w:val="none" w:sz="0" w:space="0" w:color="auto"/>
      </w:divBdr>
    </w:div>
    <w:div w:id="1100636161">
      <w:bodyDiv w:val="1"/>
      <w:marLeft w:val="0"/>
      <w:marRight w:val="0"/>
      <w:marTop w:val="0"/>
      <w:marBottom w:val="0"/>
      <w:divBdr>
        <w:top w:val="none" w:sz="0" w:space="0" w:color="auto"/>
        <w:left w:val="none" w:sz="0" w:space="0" w:color="auto"/>
        <w:bottom w:val="none" w:sz="0" w:space="0" w:color="auto"/>
        <w:right w:val="none" w:sz="0" w:space="0" w:color="auto"/>
      </w:divBdr>
    </w:div>
    <w:div w:id="1116681944">
      <w:bodyDiv w:val="1"/>
      <w:marLeft w:val="0"/>
      <w:marRight w:val="0"/>
      <w:marTop w:val="0"/>
      <w:marBottom w:val="0"/>
      <w:divBdr>
        <w:top w:val="none" w:sz="0" w:space="0" w:color="auto"/>
        <w:left w:val="none" w:sz="0" w:space="0" w:color="auto"/>
        <w:bottom w:val="none" w:sz="0" w:space="0" w:color="auto"/>
        <w:right w:val="none" w:sz="0" w:space="0" w:color="auto"/>
      </w:divBdr>
    </w:div>
    <w:div w:id="1122964428">
      <w:bodyDiv w:val="1"/>
      <w:marLeft w:val="0"/>
      <w:marRight w:val="0"/>
      <w:marTop w:val="0"/>
      <w:marBottom w:val="0"/>
      <w:divBdr>
        <w:top w:val="none" w:sz="0" w:space="0" w:color="auto"/>
        <w:left w:val="none" w:sz="0" w:space="0" w:color="auto"/>
        <w:bottom w:val="none" w:sz="0" w:space="0" w:color="auto"/>
        <w:right w:val="none" w:sz="0" w:space="0" w:color="auto"/>
      </w:divBdr>
    </w:div>
    <w:div w:id="1137844169">
      <w:bodyDiv w:val="1"/>
      <w:marLeft w:val="0"/>
      <w:marRight w:val="0"/>
      <w:marTop w:val="0"/>
      <w:marBottom w:val="0"/>
      <w:divBdr>
        <w:top w:val="none" w:sz="0" w:space="0" w:color="auto"/>
        <w:left w:val="none" w:sz="0" w:space="0" w:color="auto"/>
        <w:bottom w:val="none" w:sz="0" w:space="0" w:color="auto"/>
        <w:right w:val="none" w:sz="0" w:space="0" w:color="auto"/>
      </w:divBdr>
    </w:div>
    <w:div w:id="1145706450">
      <w:bodyDiv w:val="1"/>
      <w:marLeft w:val="0"/>
      <w:marRight w:val="0"/>
      <w:marTop w:val="0"/>
      <w:marBottom w:val="0"/>
      <w:divBdr>
        <w:top w:val="none" w:sz="0" w:space="0" w:color="auto"/>
        <w:left w:val="none" w:sz="0" w:space="0" w:color="auto"/>
        <w:bottom w:val="none" w:sz="0" w:space="0" w:color="auto"/>
        <w:right w:val="none" w:sz="0" w:space="0" w:color="auto"/>
      </w:divBdr>
    </w:div>
    <w:div w:id="1155531707">
      <w:bodyDiv w:val="1"/>
      <w:marLeft w:val="0"/>
      <w:marRight w:val="0"/>
      <w:marTop w:val="0"/>
      <w:marBottom w:val="0"/>
      <w:divBdr>
        <w:top w:val="none" w:sz="0" w:space="0" w:color="auto"/>
        <w:left w:val="none" w:sz="0" w:space="0" w:color="auto"/>
        <w:bottom w:val="none" w:sz="0" w:space="0" w:color="auto"/>
        <w:right w:val="none" w:sz="0" w:space="0" w:color="auto"/>
      </w:divBdr>
    </w:div>
    <w:div w:id="1248272175">
      <w:bodyDiv w:val="1"/>
      <w:marLeft w:val="0"/>
      <w:marRight w:val="0"/>
      <w:marTop w:val="0"/>
      <w:marBottom w:val="0"/>
      <w:divBdr>
        <w:top w:val="none" w:sz="0" w:space="0" w:color="auto"/>
        <w:left w:val="none" w:sz="0" w:space="0" w:color="auto"/>
        <w:bottom w:val="none" w:sz="0" w:space="0" w:color="auto"/>
        <w:right w:val="none" w:sz="0" w:space="0" w:color="auto"/>
      </w:divBdr>
    </w:div>
    <w:div w:id="1256472208">
      <w:bodyDiv w:val="1"/>
      <w:marLeft w:val="0"/>
      <w:marRight w:val="0"/>
      <w:marTop w:val="0"/>
      <w:marBottom w:val="0"/>
      <w:divBdr>
        <w:top w:val="none" w:sz="0" w:space="0" w:color="auto"/>
        <w:left w:val="none" w:sz="0" w:space="0" w:color="auto"/>
        <w:bottom w:val="none" w:sz="0" w:space="0" w:color="auto"/>
        <w:right w:val="none" w:sz="0" w:space="0" w:color="auto"/>
      </w:divBdr>
    </w:div>
    <w:div w:id="1268805720">
      <w:bodyDiv w:val="1"/>
      <w:marLeft w:val="0"/>
      <w:marRight w:val="0"/>
      <w:marTop w:val="0"/>
      <w:marBottom w:val="0"/>
      <w:divBdr>
        <w:top w:val="none" w:sz="0" w:space="0" w:color="auto"/>
        <w:left w:val="none" w:sz="0" w:space="0" w:color="auto"/>
        <w:bottom w:val="none" w:sz="0" w:space="0" w:color="auto"/>
        <w:right w:val="none" w:sz="0" w:space="0" w:color="auto"/>
      </w:divBdr>
    </w:div>
    <w:div w:id="1278416898">
      <w:bodyDiv w:val="1"/>
      <w:marLeft w:val="0"/>
      <w:marRight w:val="0"/>
      <w:marTop w:val="0"/>
      <w:marBottom w:val="0"/>
      <w:divBdr>
        <w:top w:val="none" w:sz="0" w:space="0" w:color="auto"/>
        <w:left w:val="none" w:sz="0" w:space="0" w:color="auto"/>
        <w:bottom w:val="none" w:sz="0" w:space="0" w:color="auto"/>
        <w:right w:val="none" w:sz="0" w:space="0" w:color="auto"/>
      </w:divBdr>
    </w:div>
    <w:div w:id="1283154203">
      <w:bodyDiv w:val="1"/>
      <w:marLeft w:val="0"/>
      <w:marRight w:val="0"/>
      <w:marTop w:val="0"/>
      <w:marBottom w:val="0"/>
      <w:divBdr>
        <w:top w:val="none" w:sz="0" w:space="0" w:color="auto"/>
        <w:left w:val="none" w:sz="0" w:space="0" w:color="auto"/>
        <w:bottom w:val="none" w:sz="0" w:space="0" w:color="auto"/>
        <w:right w:val="none" w:sz="0" w:space="0" w:color="auto"/>
      </w:divBdr>
    </w:div>
    <w:div w:id="1370226883">
      <w:bodyDiv w:val="1"/>
      <w:marLeft w:val="0"/>
      <w:marRight w:val="0"/>
      <w:marTop w:val="0"/>
      <w:marBottom w:val="0"/>
      <w:divBdr>
        <w:top w:val="none" w:sz="0" w:space="0" w:color="auto"/>
        <w:left w:val="none" w:sz="0" w:space="0" w:color="auto"/>
        <w:bottom w:val="none" w:sz="0" w:space="0" w:color="auto"/>
        <w:right w:val="none" w:sz="0" w:space="0" w:color="auto"/>
      </w:divBdr>
    </w:div>
    <w:div w:id="1372652125">
      <w:bodyDiv w:val="1"/>
      <w:marLeft w:val="0"/>
      <w:marRight w:val="0"/>
      <w:marTop w:val="0"/>
      <w:marBottom w:val="0"/>
      <w:divBdr>
        <w:top w:val="none" w:sz="0" w:space="0" w:color="auto"/>
        <w:left w:val="none" w:sz="0" w:space="0" w:color="auto"/>
        <w:bottom w:val="none" w:sz="0" w:space="0" w:color="auto"/>
        <w:right w:val="none" w:sz="0" w:space="0" w:color="auto"/>
      </w:divBdr>
    </w:div>
    <w:div w:id="1379476605">
      <w:bodyDiv w:val="1"/>
      <w:marLeft w:val="0"/>
      <w:marRight w:val="0"/>
      <w:marTop w:val="0"/>
      <w:marBottom w:val="0"/>
      <w:divBdr>
        <w:top w:val="none" w:sz="0" w:space="0" w:color="auto"/>
        <w:left w:val="none" w:sz="0" w:space="0" w:color="auto"/>
        <w:bottom w:val="none" w:sz="0" w:space="0" w:color="auto"/>
        <w:right w:val="none" w:sz="0" w:space="0" w:color="auto"/>
      </w:divBdr>
    </w:div>
    <w:div w:id="1380780124">
      <w:bodyDiv w:val="1"/>
      <w:marLeft w:val="0"/>
      <w:marRight w:val="0"/>
      <w:marTop w:val="0"/>
      <w:marBottom w:val="0"/>
      <w:divBdr>
        <w:top w:val="none" w:sz="0" w:space="0" w:color="auto"/>
        <w:left w:val="none" w:sz="0" w:space="0" w:color="auto"/>
        <w:bottom w:val="none" w:sz="0" w:space="0" w:color="auto"/>
        <w:right w:val="none" w:sz="0" w:space="0" w:color="auto"/>
      </w:divBdr>
    </w:div>
    <w:div w:id="1384645267">
      <w:bodyDiv w:val="1"/>
      <w:marLeft w:val="0"/>
      <w:marRight w:val="0"/>
      <w:marTop w:val="0"/>
      <w:marBottom w:val="0"/>
      <w:divBdr>
        <w:top w:val="none" w:sz="0" w:space="0" w:color="auto"/>
        <w:left w:val="none" w:sz="0" w:space="0" w:color="auto"/>
        <w:bottom w:val="none" w:sz="0" w:space="0" w:color="auto"/>
        <w:right w:val="none" w:sz="0" w:space="0" w:color="auto"/>
      </w:divBdr>
    </w:div>
    <w:div w:id="1391272341">
      <w:bodyDiv w:val="1"/>
      <w:marLeft w:val="0"/>
      <w:marRight w:val="0"/>
      <w:marTop w:val="0"/>
      <w:marBottom w:val="0"/>
      <w:divBdr>
        <w:top w:val="none" w:sz="0" w:space="0" w:color="auto"/>
        <w:left w:val="none" w:sz="0" w:space="0" w:color="auto"/>
        <w:bottom w:val="none" w:sz="0" w:space="0" w:color="auto"/>
        <w:right w:val="none" w:sz="0" w:space="0" w:color="auto"/>
      </w:divBdr>
    </w:div>
    <w:div w:id="1391877694">
      <w:bodyDiv w:val="1"/>
      <w:marLeft w:val="0"/>
      <w:marRight w:val="0"/>
      <w:marTop w:val="0"/>
      <w:marBottom w:val="0"/>
      <w:divBdr>
        <w:top w:val="none" w:sz="0" w:space="0" w:color="auto"/>
        <w:left w:val="none" w:sz="0" w:space="0" w:color="auto"/>
        <w:bottom w:val="none" w:sz="0" w:space="0" w:color="auto"/>
        <w:right w:val="none" w:sz="0" w:space="0" w:color="auto"/>
      </w:divBdr>
    </w:div>
    <w:div w:id="1395817534">
      <w:bodyDiv w:val="1"/>
      <w:marLeft w:val="0"/>
      <w:marRight w:val="0"/>
      <w:marTop w:val="0"/>
      <w:marBottom w:val="0"/>
      <w:divBdr>
        <w:top w:val="none" w:sz="0" w:space="0" w:color="auto"/>
        <w:left w:val="none" w:sz="0" w:space="0" w:color="auto"/>
        <w:bottom w:val="none" w:sz="0" w:space="0" w:color="auto"/>
        <w:right w:val="none" w:sz="0" w:space="0" w:color="auto"/>
      </w:divBdr>
    </w:div>
    <w:div w:id="1415738975">
      <w:bodyDiv w:val="1"/>
      <w:marLeft w:val="0"/>
      <w:marRight w:val="0"/>
      <w:marTop w:val="0"/>
      <w:marBottom w:val="0"/>
      <w:divBdr>
        <w:top w:val="none" w:sz="0" w:space="0" w:color="auto"/>
        <w:left w:val="none" w:sz="0" w:space="0" w:color="auto"/>
        <w:bottom w:val="none" w:sz="0" w:space="0" w:color="auto"/>
        <w:right w:val="none" w:sz="0" w:space="0" w:color="auto"/>
      </w:divBdr>
    </w:div>
    <w:div w:id="1427848696">
      <w:bodyDiv w:val="1"/>
      <w:marLeft w:val="0"/>
      <w:marRight w:val="0"/>
      <w:marTop w:val="0"/>
      <w:marBottom w:val="0"/>
      <w:divBdr>
        <w:top w:val="none" w:sz="0" w:space="0" w:color="auto"/>
        <w:left w:val="none" w:sz="0" w:space="0" w:color="auto"/>
        <w:bottom w:val="none" w:sz="0" w:space="0" w:color="auto"/>
        <w:right w:val="none" w:sz="0" w:space="0" w:color="auto"/>
      </w:divBdr>
    </w:div>
    <w:div w:id="1447385127">
      <w:bodyDiv w:val="1"/>
      <w:marLeft w:val="0"/>
      <w:marRight w:val="0"/>
      <w:marTop w:val="0"/>
      <w:marBottom w:val="0"/>
      <w:divBdr>
        <w:top w:val="none" w:sz="0" w:space="0" w:color="auto"/>
        <w:left w:val="none" w:sz="0" w:space="0" w:color="auto"/>
        <w:bottom w:val="none" w:sz="0" w:space="0" w:color="auto"/>
        <w:right w:val="none" w:sz="0" w:space="0" w:color="auto"/>
      </w:divBdr>
    </w:div>
    <w:div w:id="1462530602">
      <w:bodyDiv w:val="1"/>
      <w:marLeft w:val="0"/>
      <w:marRight w:val="0"/>
      <w:marTop w:val="0"/>
      <w:marBottom w:val="0"/>
      <w:divBdr>
        <w:top w:val="none" w:sz="0" w:space="0" w:color="auto"/>
        <w:left w:val="none" w:sz="0" w:space="0" w:color="auto"/>
        <w:bottom w:val="none" w:sz="0" w:space="0" w:color="auto"/>
        <w:right w:val="none" w:sz="0" w:space="0" w:color="auto"/>
      </w:divBdr>
    </w:div>
    <w:div w:id="1474912008">
      <w:bodyDiv w:val="1"/>
      <w:marLeft w:val="0"/>
      <w:marRight w:val="0"/>
      <w:marTop w:val="0"/>
      <w:marBottom w:val="0"/>
      <w:divBdr>
        <w:top w:val="none" w:sz="0" w:space="0" w:color="auto"/>
        <w:left w:val="none" w:sz="0" w:space="0" w:color="auto"/>
        <w:bottom w:val="none" w:sz="0" w:space="0" w:color="auto"/>
        <w:right w:val="none" w:sz="0" w:space="0" w:color="auto"/>
      </w:divBdr>
    </w:div>
    <w:div w:id="1475836303">
      <w:bodyDiv w:val="1"/>
      <w:marLeft w:val="0"/>
      <w:marRight w:val="0"/>
      <w:marTop w:val="0"/>
      <w:marBottom w:val="0"/>
      <w:divBdr>
        <w:top w:val="none" w:sz="0" w:space="0" w:color="auto"/>
        <w:left w:val="none" w:sz="0" w:space="0" w:color="auto"/>
        <w:bottom w:val="none" w:sz="0" w:space="0" w:color="auto"/>
        <w:right w:val="none" w:sz="0" w:space="0" w:color="auto"/>
      </w:divBdr>
    </w:div>
    <w:div w:id="1478260026">
      <w:bodyDiv w:val="1"/>
      <w:marLeft w:val="0"/>
      <w:marRight w:val="0"/>
      <w:marTop w:val="0"/>
      <w:marBottom w:val="0"/>
      <w:divBdr>
        <w:top w:val="none" w:sz="0" w:space="0" w:color="auto"/>
        <w:left w:val="none" w:sz="0" w:space="0" w:color="auto"/>
        <w:bottom w:val="none" w:sz="0" w:space="0" w:color="auto"/>
        <w:right w:val="none" w:sz="0" w:space="0" w:color="auto"/>
      </w:divBdr>
    </w:div>
    <w:div w:id="1481535099">
      <w:bodyDiv w:val="1"/>
      <w:marLeft w:val="0"/>
      <w:marRight w:val="0"/>
      <w:marTop w:val="0"/>
      <w:marBottom w:val="0"/>
      <w:divBdr>
        <w:top w:val="none" w:sz="0" w:space="0" w:color="auto"/>
        <w:left w:val="none" w:sz="0" w:space="0" w:color="auto"/>
        <w:bottom w:val="none" w:sz="0" w:space="0" w:color="auto"/>
        <w:right w:val="none" w:sz="0" w:space="0" w:color="auto"/>
      </w:divBdr>
    </w:div>
    <w:div w:id="1483767388">
      <w:bodyDiv w:val="1"/>
      <w:marLeft w:val="0"/>
      <w:marRight w:val="0"/>
      <w:marTop w:val="0"/>
      <w:marBottom w:val="0"/>
      <w:divBdr>
        <w:top w:val="none" w:sz="0" w:space="0" w:color="auto"/>
        <w:left w:val="none" w:sz="0" w:space="0" w:color="auto"/>
        <w:bottom w:val="none" w:sz="0" w:space="0" w:color="auto"/>
        <w:right w:val="none" w:sz="0" w:space="0" w:color="auto"/>
      </w:divBdr>
    </w:div>
    <w:div w:id="1512135342">
      <w:bodyDiv w:val="1"/>
      <w:marLeft w:val="0"/>
      <w:marRight w:val="0"/>
      <w:marTop w:val="0"/>
      <w:marBottom w:val="0"/>
      <w:divBdr>
        <w:top w:val="none" w:sz="0" w:space="0" w:color="auto"/>
        <w:left w:val="none" w:sz="0" w:space="0" w:color="auto"/>
        <w:bottom w:val="none" w:sz="0" w:space="0" w:color="auto"/>
        <w:right w:val="none" w:sz="0" w:space="0" w:color="auto"/>
      </w:divBdr>
    </w:div>
    <w:div w:id="1513716708">
      <w:bodyDiv w:val="1"/>
      <w:marLeft w:val="0"/>
      <w:marRight w:val="0"/>
      <w:marTop w:val="0"/>
      <w:marBottom w:val="0"/>
      <w:divBdr>
        <w:top w:val="none" w:sz="0" w:space="0" w:color="auto"/>
        <w:left w:val="none" w:sz="0" w:space="0" w:color="auto"/>
        <w:bottom w:val="none" w:sz="0" w:space="0" w:color="auto"/>
        <w:right w:val="none" w:sz="0" w:space="0" w:color="auto"/>
      </w:divBdr>
    </w:div>
    <w:div w:id="1514219220">
      <w:bodyDiv w:val="1"/>
      <w:marLeft w:val="0"/>
      <w:marRight w:val="0"/>
      <w:marTop w:val="0"/>
      <w:marBottom w:val="0"/>
      <w:divBdr>
        <w:top w:val="none" w:sz="0" w:space="0" w:color="auto"/>
        <w:left w:val="none" w:sz="0" w:space="0" w:color="auto"/>
        <w:bottom w:val="none" w:sz="0" w:space="0" w:color="auto"/>
        <w:right w:val="none" w:sz="0" w:space="0" w:color="auto"/>
      </w:divBdr>
    </w:div>
    <w:div w:id="1514420396">
      <w:bodyDiv w:val="1"/>
      <w:marLeft w:val="0"/>
      <w:marRight w:val="0"/>
      <w:marTop w:val="0"/>
      <w:marBottom w:val="0"/>
      <w:divBdr>
        <w:top w:val="none" w:sz="0" w:space="0" w:color="auto"/>
        <w:left w:val="none" w:sz="0" w:space="0" w:color="auto"/>
        <w:bottom w:val="none" w:sz="0" w:space="0" w:color="auto"/>
        <w:right w:val="none" w:sz="0" w:space="0" w:color="auto"/>
      </w:divBdr>
    </w:div>
    <w:div w:id="1572036786">
      <w:bodyDiv w:val="1"/>
      <w:marLeft w:val="0"/>
      <w:marRight w:val="0"/>
      <w:marTop w:val="0"/>
      <w:marBottom w:val="0"/>
      <w:divBdr>
        <w:top w:val="none" w:sz="0" w:space="0" w:color="auto"/>
        <w:left w:val="none" w:sz="0" w:space="0" w:color="auto"/>
        <w:bottom w:val="none" w:sz="0" w:space="0" w:color="auto"/>
        <w:right w:val="none" w:sz="0" w:space="0" w:color="auto"/>
      </w:divBdr>
    </w:div>
    <w:div w:id="1598057521">
      <w:bodyDiv w:val="1"/>
      <w:marLeft w:val="0"/>
      <w:marRight w:val="0"/>
      <w:marTop w:val="0"/>
      <w:marBottom w:val="0"/>
      <w:divBdr>
        <w:top w:val="none" w:sz="0" w:space="0" w:color="auto"/>
        <w:left w:val="none" w:sz="0" w:space="0" w:color="auto"/>
        <w:bottom w:val="none" w:sz="0" w:space="0" w:color="auto"/>
        <w:right w:val="none" w:sz="0" w:space="0" w:color="auto"/>
      </w:divBdr>
    </w:div>
    <w:div w:id="1623226231">
      <w:bodyDiv w:val="1"/>
      <w:marLeft w:val="0"/>
      <w:marRight w:val="0"/>
      <w:marTop w:val="0"/>
      <w:marBottom w:val="0"/>
      <w:divBdr>
        <w:top w:val="none" w:sz="0" w:space="0" w:color="auto"/>
        <w:left w:val="none" w:sz="0" w:space="0" w:color="auto"/>
        <w:bottom w:val="none" w:sz="0" w:space="0" w:color="auto"/>
        <w:right w:val="none" w:sz="0" w:space="0" w:color="auto"/>
      </w:divBdr>
    </w:div>
    <w:div w:id="1624655750">
      <w:bodyDiv w:val="1"/>
      <w:marLeft w:val="0"/>
      <w:marRight w:val="0"/>
      <w:marTop w:val="0"/>
      <w:marBottom w:val="0"/>
      <w:divBdr>
        <w:top w:val="none" w:sz="0" w:space="0" w:color="auto"/>
        <w:left w:val="none" w:sz="0" w:space="0" w:color="auto"/>
        <w:bottom w:val="none" w:sz="0" w:space="0" w:color="auto"/>
        <w:right w:val="none" w:sz="0" w:space="0" w:color="auto"/>
      </w:divBdr>
    </w:div>
    <w:div w:id="1647398196">
      <w:bodyDiv w:val="1"/>
      <w:marLeft w:val="0"/>
      <w:marRight w:val="0"/>
      <w:marTop w:val="0"/>
      <w:marBottom w:val="0"/>
      <w:divBdr>
        <w:top w:val="none" w:sz="0" w:space="0" w:color="auto"/>
        <w:left w:val="none" w:sz="0" w:space="0" w:color="auto"/>
        <w:bottom w:val="none" w:sz="0" w:space="0" w:color="auto"/>
        <w:right w:val="none" w:sz="0" w:space="0" w:color="auto"/>
      </w:divBdr>
    </w:div>
    <w:div w:id="1660426790">
      <w:bodyDiv w:val="1"/>
      <w:marLeft w:val="0"/>
      <w:marRight w:val="0"/>
      <w:marTop w:val="0"/>
      <w:marBottom w:val="0"/>
      <w:divBdr>
        <w:top w:val="none" w:sz="0" w:space="0" w:color="auto"/>
        <w:left w:val="none" w:sz="0" w:space="0" w:color="auto"/>
        <w:bottom w:val="none" w:sz="0" w:space="0" w:color="auto"/>
        <w:right w:val="none" w:sz="0" w:space="0" w:color="auto"/>
      </w:divBdr>
    </w:div>
    <w:div w:id="1688479060">
      <w:bodyDiv w:val="1"/>
      <w:marLeft w:val="0"/>
      <w:marRight w:val="0"/>
      <w:marTop w:val="0"/>
      <w:marBottom w:val="0"/>
      <w:divBdr>
        <w:top w:val="none" w:sz="0" w:space="0" w:color="auto"/>
        <w:left w:val="none" w:sz="0" w:space="0" w:color="auto"/>
        <w:bottom w:val="none" w:sz="0" w:space="0" w:color="auto"/>
        <w:right w:val="none" w:sz="0" w:space="0" w:color="auto"/>
      </w:divBdr>
    </w:div>
    <w:div w:id="1701710505">
      <w:bodyDiv w:val="1"/>
      <w:marLeft w:val="0"/>
      <w:marRight w:val="0"/>
      <w:marTop w:val="0"/>
      <w:marBottom w:val="0"/>
      <w:divBdr>
        <w:top w:val="none" w:sz="0" w:space="0" w:color="auto"/>
        <w:left w:val="none" w:sz="0" w:space="0" w:color="auto"/>
        <w:bottom w:val="none" w:sz="0" w:space="0" w:color="auto"/>
        <w:right w:val="none" w:sz="0" w:space="0" w:color="auto"/>
      </w:divBdr>
      <w:divsChild>
        <w:div w:id="1977250787">
          <w:marLeft w:val="0"/>
          <w:marRight w:val="0"/>
          <w:marTop w:val="0"/>
          <w:marBottom w:val="0"/>
          <w:divBdr>
            <w:top w:val="none" w:sz="0" w:space="0" w:color="auto"/>
            <w:left w:val="none" w:sz="0" w:space="0" w:color="auto"/>
            <w:bottom w:val="none" w:sz="0" w:space="0" w:color="auto"/>
            <w:right w:val="none" w:sz="0" w:space="0" w:color="auto"/>
          </w:divBdr>
          <w:divsChild>
            <w:div w:id="1293634798">
              <w:marLeft w:val="0"/>
              <w:marRight w:val="0"/>
              <w:marTop w:val="0"/>
              <w:marBottom w:val="0"/>
              <w:divBdr>
                <w:top w:val="none" w:sz="0" w:space="0" w:color="auto"/>
                <w:left w:val="none" w:sz="0" w:space="0" w:color="auto"/>
                <w:bottom w:val="none" w:sz="0" w:space="0" w:color="auto"/>
                <w:right w:val="none" w:sz="0" w:space="0" w:color="auto"/>
              </w:divBdr>
              <w:divsChild>
                <w:div w:id="1392540232">
                  <w:marLeft w:val="-225"/>
                  <w:marRight w:val="-225"/>
                  <w:marTop w:val="0"/>
                  <w:marBottom w:val="0"/>
                  <w:divBdr>
                    <w:top w:val="none" w:sz="0" w:space="0" w:color="auto"/>
                    <w:left w:val="none" w:sz="0" w:space="0" w:color="auto"/>
                    <w:bottom w:val="none" w:sz="0" w:space="0" w:color="auto"/>
                    <w:right w:val="none" w:sz="0" w:space="0" w:color="auto"/>
                  </w:divBdr>
                  <w:divsChild>
                    <w:div w:id="89551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508258">
      <w:bodyDiv w:val="1"/>
      <w:marLeft w:val="0"/>
      <w:marRight w:val="0"/>
      <w:marTop w:val="0"/>
      <w:marBottom w:val="0"/>
      <w:divBdr>
        <w:top w:val="none" w:sz="0" w:space="0" w:color="auto"/>
        <w:left w:val="none" w:sz="0" w:space="0" w:color="auto"/>
        <w:bottom w:val="none" w:sz="0" w:space="0" w:color="auto"/>
        <w:right w:val="none" w:sz="0" w:space="0" w:color="auto"/>
      </w:divBdr>
    </w:div>
    <w:div w:id="1715350226">
      <w:bodyDiv w:val="1"/>
      <w:marLeft w:val="0"/>
      <w:marRight w:val="0"/>
      <w:marTop w:val="0"/>
      <w:marBottom w:val="0"/>
      <w:divBdr>
        <w:top w:val="none" w:sz="0" w:space="0" w:color="auto"/>
        <w:left w:val="none" w:sz="0" w:space="0" w:color="auto"/>
        <w:bottom w:val="none" w:sz="0" w:space="0" w:color="auto"/>
        <w:right w:val="none" w:sz="0" w:space="0" w:color="auto"/>
      </w:divBdr>
    </w:div>
    <w:div w:id="1729264926">
      <w:bodyDiv w:val="1"/>
      <w:marLeft w:val="0"/>
      <w:marRight w:val="0"/>
      <w:marTop w:val="0"/>
      <w:marBottom w:val="0"/>
      <w:divBdr>
        <w:top w:val="none" w:sz="0" w:space="0" w:color="auto"/>
        <w:left w:val="none" w:sz="0" w:space="0" w:color="auto"/>
        <w:bottom w:val="none" w:sz="0" w:space="0" w:color="auto"/>
        <w:right w:val="none" w:sz="0" w:space="0" w:color="auto"/>
      </w:divBdr>
    </w:div>
    <w:div w:id="1730377035">
      <w:bodyDiv w:val="1"/>
      <w:marLeft w:val="0"/>
      <w:marRight w:val="0"/>
      <w:marTop w:val="0"/>
      <w:marBottom w:val="0"/>
      <w:divBdr>
        <w:top w:val="none" w:sz="0" w:space="0" w:color="auto"/>
        <w:left w:val="none" w:sz="0" w:space="0" w:color="auto"/>
        <w:bottom w:val="none" w:sz="0" w:space="0" w:color="auto"/>
        <w:right w:val="none" w:sz="0" w:space="0" w:color="auto"/>
      </w:divBdr>
    </w:div>
    <w:div w:id="1740907326">
      <w:bodyDiv w:val="1"/>
      <w:marLeft w:val="0"/>
      <w:marRight w:val="0"/>
      <w:marTop w:val="0"/>
      <w:marBottom w:val="0"/>
      <w:divBdr>
        <w:top w:val="none" w:sz="0" w:space="0" w:color="auto"/>
        <w:left w:val="none" w:sz="0" w:space="0" w:color="auto"/>
        <w:bottom w:val="none" w:sz="0" w:space="0" w:color="auto"/>
        <w:right w:val="none" w:sz="0" w:space="0" w:color="auto"/>
      </w:divBdr>
    </w:div>
    <w:div w:id="1744253208">
      <w:bodyDiv w:val="1"/>
      <w:marLeft w:val="0"/>
      <w:marRight w:val="0"/>
      <w:marTop w:val="0"/>
      <w:marBottom w:val="0"/>
      <w:divBdr>
        <w:top w:val="none" w:sz="0" w:space="0" w:color="auto"/>
        <w:left w:val="none" w:sz="0" w:space="0" w:color="auto"/>
        <w:bottom w:val="none" w:sz="0" w:space="0" w:color="auto"/>
        <w:right w:val="none" w:sz="0" w:space="0" w:color="auto"/>
      </w:divBdr>
    </w:div>
    <w:div w:id="1765178271">
      <w:bodyDiv w:val="1"/>
      <w:marLeft w:val="0"/>
      <w:marRight w:val="0"/>
      <w:marTop w:val="0"/>
      <w:marBottom w:val="0"/>
      <w:divBdr>
        <w:top w:val="none" w:sz="0" w:space="0" w:color="auto"/>
        <w:left w:val="none" w:sz="0" w:space="0" w:color="auto"/>
        <w:bottom w:val="none" w:sz="0" w:space="0" w:color="auto"/>
        <w:right w:val="none" w:sz="0" w:space="0" w:color="auto"/>
      </w:divBdr>
    </w:div>
    <w:div w:id="1781873342">
      <w:bodyDiv w:val="1"/>
      <w:marLeft w:val="0"/>
      <w:marRight w:val="0"/>
      <w:marTop w:val="0"/>
      <w:marBottom w:val="0"/>
      <w:divBdr>
        <w:top w:val="none" w:sz="0" w:space="0" w:color="auto"/>
        <w:left w:val="none" w:sz="0" w:space="0" w:color="auto"/>
        <w:bottom w:val="none" w:sz="0" w:space="0" w:color="auto"/>
        <w:right w:val="none" w:sz="0" w:space="0" w:color="auto"/>
      </w:divBdr>
    </w:div>
    <w:div w:id="1782914552">
      <w:bodyDiv w:val="1"/>
      <w:marLeft w:val="0"/>
      <w:marRight w:val="0"/>
      <w:marTop w:val="0"/>
      <w:marBottom w:val="0"/>
      <w:divBdr>
        <w:top w:val="none" w:sz="0" w:space="0" w:color="auto"/>
        <w:left w:val="none" w:sz="0" w:space="0" w:color="auto"/>
        <w:bottom w:val="none" w:sz="0" w:space="0" w:color="auto"/>
        <w:right w:val="none" w:sz="0" w:space="0" w:color="auto"/>
      </w:divBdr>
    </w:div>
    <w:div w:id="1800568308">
      <w:bodyDiv w:val="1"/>
      <w:marLeft w:val="0"/>
      <w:marRight w:val="0"/>
      <w:marTop w:val="0"/>
      <w:marBottom w:val="0"/>
      <w:divBdr>
        <w:top w:val="none" w:sz="0" w:space="0" w:color="auto"/>
        <w:left w:val="none" w:sz="0" w:space="0" w:color="auto"/>
        <w:bottom w:val="none" w:sz="0" w:space="0" w:color="auto"/>
        <w:right w:val="none" w:sz="0" w:space="0" w:color="auto"/>
      </w:divBdr>
    </w:div>
    <w:div w:id="1812401138">
      <w:bodyDiv w:val="1"/>
      <w:marLeft w:val="0"/>
      <w:marRight w:val="0"/>
      <w:marTop w:val="0"/>
      <w:marBottom w:val="0"/>
      <w:divBdr>
        <w:top w:val="none" w:sz="0" w:space="0" w:color="auto"/>
        <w:left w:val="none" w:sz="0" w:space="0" w:color="auto"/>
        <w:bottom w:val="none" w:sz="0" w:space="0" w:color="auto"/>
        <w:right w:val="none" w:sz="0" w:space="0" w:color="auto"/>
      </w:divBdr>
    </w:div>
    <w:div w:id="1830435626">
      <w:bodyDiv w:val="1"/>
      <w:marLeft w:val="0"/>
      <w:marRight w:val="0"/>
      <w:marTop w:val="0"/>
      <w:marBottom w:val="0"/>
      <w:divBdr>
        <w:top w:val="none" w:sz="0" w:space="0" w:color="auto"/>
        <w:left w:val="none" w:sz="0" w:space="0" w:color="auto"/>
        <w:bottom w:val="none" w:sz="0" w:space="0" w:color="auto"/>
        <w:right w:val="none" w:sz="0" w:space="0" w:color="auto"/>
      </w:divBdr>
    </w:div>
    <w:div w:id="1846935603">
      <w:bodyDiv w:val="1"/>
      <w:marLeft w:val="0"/>
      <w:marRight w:val="0"/>
      <w:marTop w:val="0"/>
      <w:marBottom w:val="0"/>
      <w:divBdr>
        <w:top w:val="none" w:sz="0" w:space="0" w:color="auto"/>
        <w:left w:val="none" w:sz="0" w:space="0" w:color="auto"/>
        <w:bottom w:val="none" w:sz="0" w:space="0" w:color="auto"/>
        <w:right w:val="none" w:sz="0" w:space="0" w:color="auto"/>
      </w:divBdr>
    </w:div>
    <w:div w:id="1853912980">
      <w:bodyDiv w:val="1"/>
      <w:marLeft w:val="0"/>
      <w:marRight w:val="0"/>
      <w:marTop w:val="0"/>
      <w:marBottom w:val="0"/>
      <w:divBdr>
        <w:top w:val="none" w:sz="0" w:space="0" w:color="auto"/>
        <w:left w:val="none" w:sz="0" w:space="0" w:color="auto"/>
        <w:bottom w:val="none" w:sz="0" w:space="0" w:color="auto"/>
        <w:right w:val="none" w:sz="0" w:space="0" w:color="auto"/>
      </w:divBdr>
    </w:div>
    <w:div w:id="1881211947">
      <w:bodyDiv w:val="1"/>
      <w:marLeft w:val="0"/>
      <w:marRight w:val="0"/>
      <w:marTop w:val="0"/>
      <w:marBottom w:val="0"/>
      <w:divBdr>
        <w:top w:val="none" w:sz="0" w:space="0" w:color="auto"/>
        <w:left w:val="none" w:sz="0" w:space="0" w:color="auto"/>
        <w:bottom w:val="none" w:sz="0" w:space="0" w:color="auto"/>
        <w:right w:val="none" w:sz="0" w:space="0" w:color="auto"/>
      </w:divBdr>
    </w:div>
    <w:div w:id="1911382337">
      <w:bodyDiv w:val="1"/>
      <w:marLeft w:val="0"/>
      <w:marRight w:val="0"/>
      <w:marTop w:val="0"/>
      <w:marBottom w:val="0"/>
      <w:divBdr>
        <w:top w:val="none" w:sz="0" w:space="0" w:color="auto"/>
        <w:left w:val="none" w:sz="0" w:space="0" w:color="auto"/>
        <w:bottom w:val="none" w:sz="0" w:space="0" w:color="auto"/>
        <w:right w:val="none" w:sz="0" w:space="0" w:color="auto"/>
      </w:divBdr>
    </w:div>
    <w:div w:id="1916426554">
      <w:bodyDiv w:val="1"/>
      <w:marLeft w:val="0"/>
      <w:marRight w:val="0"/>
      <w:marTop w:val="0"/>
      <w:marBottom w:val="0"/>
      <w:divBdr>
        <w:top w:val="none" w:sz="0" w:space="0" w:color="auto"/>
        <w:left w:val="none" w:sz="0" w:space="0" w:color="auto"/>
        <w:bottom w:val="none" w:sz="0" w:space="0" w:color="auto"/>
        <w:right w:val="none" w:sz="0" w:space="0" w:color="auto"/>
      </w:divBdr>
    </w:div>
    <w:div w:id="1918859250">
      <w:bodyDiv w:val="1"/>
      <w:marLeft w:val="0"/>
      <w:marRight w:val="0"/>
      <w:marTop w:val="0"/>
      <w:marBottom w:val="0"/>
      <w:divBdr>
        <w:top w:val="none" w:sz="0" w:space="0" w:color="auto"/>
        <w:left w:val="none" w:sz="0" w:space="0" w:color="auto"/>
        <w:bottom w:val="none" w:sz="0" w:space="0" w:color="auto"/>
        <w:right w:val="none" w:sz="0" w:space="0" w:color="auto"/>
      </w:divBdr>
    </w:div>
    <w:div w:id="1927153433">
      <w:bodyDiv w:val="1"/>
      <w:marLeft w:val="0"/>
      <w:marRight w:val="0"/>
      <w:marTop w:val="0"/>
      <w:marBottom w:val="0"/>
      <w:divBdr>
        <w:top w:val="none" w:sz="0" w:space="0" w:color="auto"/>
        <w:left w:val="none" w:sz="0" w:space="0" w:color="auto"/>
        <w:bottom w:val="none" w:sz="0" w:space="0" w:color="auto"/>
        <w:right w:val="none" w:sz="0" w:space="0" w:color="auto"/>
      </w:divBdr>
    </w:div>
    <w:div w:id="1945573048">
      <w:bodyDiv w:val="1"/>
      <w:marLeft w:val="0"/>
      <w:marRight w:val="0"/>
      <w:marTop w:val="0"/>
      <w:marBottom w:val="0"/>
      <w:divBdr>
        <w:top w:val="none" w:sz="0" w:space="0" w:color="auto"/>
        <w:left w:val="none" w:sz="0" w:space="0" w:color="auto"/>
        <w:bottom w:val="none" w:sz="0" w:space="0" w:color="auto"/>
        <w:right w:val="none" w:sz="0" w:space="0" w:color="auto"/>
      </w:divBdr>
    </w:div>
    <w:div w:id="1950777076">
      <w:bodyDiv w:val="1"/>
      <w:marLeft w:val="0"/>
      <w:marRight w:val="0"/>
      <w:marTop w:val="0"/>
      <w:marBottom w:val="0"/>
      <w:divBdr>
        <w:top w:val="none" w:sz="0" w:space="0" w:color="auto"/>
        <w:left w:val="none" w:sz="0" w:space="0" w:color="auto"/>
        <w:bottom w:val="none" w:sz="0" w:space="0" w:color="auto"/>
        <w:right w:val="none" w:sz="0" w:space="0" w:color="auto"/>
      </w:divBdr>
    </w:div>
    <w:div w:id="1952779478">
      <w:bodyDiv w:val="1"/>
      <w:marLeft w:val="0"/>
      <w:marRight w:val="0"/>
      <w:marTop w:val="0"/>
      <w:marBottom w:val="0"/>
      <w:divBdr>
        <w:top w:val="none" w:sz="0" w:space="0" w:color="auto"/>
        <w:left w:val="none" w:sz="0" w:space="0" w:color="auto"/>
        <w:bottom w:val="none" w:sz="0" w:space="0" w:color="auto"/>
        <w:right w:val="none" w:sz="0" w:space="0" w:color="auto"/>
      </w:divBdr>
    </w:div>
    <w:div w:id="1959605522">
      <w:bodyDiv w:val="1"/>
      <w:marLeft w:val="0"/>
      <w:marRight w:val="0"/>
      <w:marTop w:val="0"/>
      <w:marBottom w:val="0"/>
      <w:divBdr>
        <w:top w:val="none" w:sz="0" w:space="0" w:color="auto"/>
        <w:left w:val="none" w:sz="0" w:space="0" w:color="auto"/>
        <w:bottom w:val="none" w:sz="0" w:space="0" w:color="auto"/>
        <w:right w:val="none" w:sz="0" w:space="0" w:color="auto"/>
      </w:divBdr>
    </w:div>
    <w:div w:id="1964770860">
      <w:bodyDiv w:val="1"/>
      <w:marLeft w:val="0"/>
      <w:marRight w:val="0"/>
      <w:marTop w:val="0"/>
      <w:marBottom w:val="0"/>
      <w:divBdr>
        <w:top w:val="none" w:sz="0" w:space="0" w:color="auto"/>
        <w:left w:val="none" w:sz="0" w:space="0" w:color="auto"/>
        <w:bottom w:val="none" w:sz="0" w:space="0" w:color="auto"/>
        <w:right w:val="none" w:sz="0" w:space="0" w:color="auto"/>
      </w:divBdr>
    </w:div>
    <w:div w:id="1970624127">
      <w:bodyDiv w:val="1"/>
      <w:marLeft w:val="0"/>
      <w:marRight w:val="0"/>
      <w:marTop w:val="0"/>
      <w:marBottom w:val="0"/>
      <w:divBdr>
        <w:top w:val="none" w:sz="0" w:space="0" w:color="auto"/>
        <w:left w:val="none" w:sz="0" w:space="0" w:color="auto"/>
        <w:bottom w:val="none" w:sz="0" w:space="0" w:color="auto"/>
        <w:right w:val="none" w:sz="0" w:space="0" w:color="auto"/>
      </w:divBdr>
    </w:div>
    <w:div w:id="1973318893">
      <w:bodyDiv w:val="1"/>
      <w:marLeft w:val="0"/>
      <w:marRight w:val="0"/>
      <w:marTop w:val="0"/>
      <w:marBottom w:val="0"/>
      <w:divBdr>
        <w:top w:val="none" w:sz="0" w:space="0" w:color="auto"/>
        <w:left w:val="none" w:sz="0" w:space="0" w:color="auto"/>
        <w:bottom w:val="none" w:sz="0" w:space="0" w:color="auto"/>
        <w:right w:val="none" w:sz="0" w:space="0" w:color="auto"/>
      </w:divBdr>
    </w:div>
    <w:div w:id="1979219006">
      <w:bodyDiv w:val="1"/>
      <w:marLeft w:val="0"/>
      <w:marRight w:val="0"/>
      <w:marTop w:val="0"/>
      <w:marBottom w:val="0"/>
      <w:divBdr>
        <w:top w:val="none" w:sz="0" w:space="0" w:color="auto"/>
        <w:left w:val="none" w:sz="0" w:space="0" w:color="auto"/>
        <w:bottom w:val="none" w:sz="0" w:space="0" w:color="auto"/>
        <w:right w:val="none" w:sz="0" w:space="0" w:color="auto"/>
      </w:divBdr>
    </w:div>
    <w:div w:id="2003846990">
      <w:bodyDiv w:val="1"/>
      <w:marLeft w:val="0"/>
      <w:marRight w:val="0"/>
      <w:marTop w:val="0"/>
      <w:marBottom w:val="0"/>
      <w:divBdr>
        <w:top w:val="none" w:sz="0" w:space="0" w:color="auto"/>
        <w:left w:val="none" w:sz="0" w:space="0" w:color="auto"/>
        <w:bottom w:val="none" w:sz="0" w:space="0" w:color="auto"/>
        <w:right w:val="none" w:sz="0" w:space="0" w:color="auto"/>
      </w:divBdr>
    </w:div>
    <w:div w:id="2017923084">
      <w:bodyDiv w:val="1"/>
      <w:marLeft w:val="0"/>
      <w:marRight w:val="0"/>
      <w:marTop w:val="0"/>
      <w:marBottom w:val="0"/>
      <w:divBdr>
        <w:top w:val="none" w:sz="0" w:space="0" w:color="auto"/>
        <w:left w:val="none" w:sz="0" w:space="0" w:color="auto"/>
        <w:bottom w:val="none" w:sz="0" w:space="0" w:color="auto"/>
        <w:right w:val="none" w:sz="0" w:space="0" w:color="auto"/>
      </w:divBdr>
    </w:div>
    <w:div w:id="2033455664">
      <w:bodyDiv w:val="1"/>
      <w:marLeft w:val="0"/>
      <w:marRight w:val="0"/>
      <w:marTop w:val="0"/>
      <w:marBottom w:val="0"/>
      <w:divBdr>
        <w:top w:val="none" w:sz="0" w:space="0" w:color="auto"/>
        <w:left w:val="none" w:sz="0" w:space="0" w:color="auto"/>
        <w:bottom w:val="none" w:sz="0" w:space="0" w:color="auto"/>
        <w:right w:val="none" w:sz="0" w:space="0" w:color="auto"/>
      </w:divBdr>
    </w:div>
    <w:div w:id="2046711438">
      <w:bodyDiv w:val="1"/>
      <w:marLeft w:val="0"/>
      <w:marRight w:val="0"/>
      <w:marTop w:val="0"/>
      <w:marBottom w:val="0"/>
      <w:divBdr>
        <w:top w:val="none" w:sz="0" w:space="0" w:color="auto"/>
        <w:left w:val="none" w:sz="0" w:space="0" w:color="auto"/>
        <w:bottom w:val="none" w:sz="0" w:space="0" w:color="auto"/>
        <w:right w:val="none" w:sz="0" w:space="0" w:color="auto"/>
      </w:divBdr>
    </w:div>
    <w:div w:id="2117631807">
      <w:bodyDiv w:val="1"/>
      <w:marLeft w:val="0"/>
      <w:marRight w:val="0"/>
      <w:marTop w:val="0"/>
      <w:marBottom w:val="0"/>
      <w:divBdr>
        <w:top w:val="none" w:sz="0" w:space="0" w:color="auto"/>
        <w:left w:val="none" w:sz="0" w:space="0" w:color="auto"/>
        <w:bottom w:val="none" w:sz="0" w:space="0" w:color="auto"/>
        <w:right w:val="none" w:sz="0" w:space="0" w:color="auto"/>
      </w:divBdr>
    </w:div>
    <w:div w:id="2124764921">
      <w:bodyDiv w:val="1"/>
      <w:marLeft w:val="0"/>
      <w:marRight w:val="0"/>
      <w:marTop w:val="0"/>
      <w:marBottom w:val="0"/>
      <w:divBdr>
        <w:top w:val="none" w:sz="0" w:space="0" w:color="auto"/>
        <w:left w:val="none" w:sz="0" w:space="0" w:color="auto"/>
        <w:bottom w:val="none" w:sz="0" w:space="0" w:color="auto"/>
        <w:right w:val="none" w:sz="0" w:space="0" w:color="auto"/>
      </w:divBdr>
    </w:div>
    <w:div w:id="214376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competition-policy.ec.europa.eu/state-aid/temporary-crisis-and-transition-framework_en" TargetMode="External"/><Relationship Id="rId18" Type="http://schemas.openxmlformats.org/officeDocument/2006/relationships/hyperlink" Target="https://www.aspi.sk/products/lawText/1/58751/1/ASPI%253A/95/2002%20Z.z."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ec.europa.eu/commission/presscorner/detail/sk/IP_23_5861"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www.aspi.sk/products/lawText/1/58751/1/ASPI%253A/718/2004%20Z.z."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ec.europa.eu/commission/presscorner/detail/sk/ip_23_156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urostat/databrowser/view/gov_10dd_edpt1/default/table?lang=en&amp;category=gov.gov_gfs10.gov_10dd" TargetMode="External"/><Relationship Id="rId1" Type="http://schemas.openxmlformats.org/officeDocument/2006/relationships/hyperlink" Target="https://ec.europa.eu/eurostat/news/euro-indicator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VM-DFS.mf.mfsr.sk\FileShare\ADRESARE\IFP_NEW\3_MAKRO\3_7_Materialy\3_7_8_SZU\SZU%20za%202023\kap1_grafy.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VM-DFS.mf.mfsr.sk\FileShare\ADRESARE\IFP_NEW\3_MAKRO\3_7_Materialy\3_7_8_SZU\SZU%20za%202023\kap1_grafy.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VM-DFS.mf.mfsr.sk\FileShare\ADRESARE\IFP_NEW\3_MAKRO\3_7_Materialy\3_7_8_SZU\SZU%20za%202023\kap1_grafy.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VM-DFS.mf.mfsr.sk\FileShare\ADRESARE\IFP_NEW\3_MAKRO\3_7_Materialy\3_7_8_SZU\SZU%20za%202023\kap1_grafy.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VM-DFS.mf.mfsr.sk\FileShare\ADRESARE\IFP_NEW\3_MAKRO\3_7_Materialy\3_7_8_SZU\SZU%20za%202023\kap1_grafy.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VM-DFS.mf.mfsr.sk\FileShare\ADRESARE\IFP_NEW\2_FISKAL\05_Dlh\01%20-%20Prognoza\2024\DLH_Model_2024_SZU.xlsm"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VM-DFS.mf.mfsr.sk\FileShare\ADRESARE\IFP_NEW\2_FISKAL\05_Dlh\01%20-%20Prognoza\2024\DLH_Model_2024_SZU.xlsm"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3"/>
          <c:order val="0"/>
          <c:tx>
            <c:strRef>
              <c:f>HDP!$A$5</c:f>
              <c:strCache>
                <c:ptCount val="1"/>
                <c:pt idx="0">
                  <c:v>štatistická diskrepancia</c:v>
                </c:pt>
              </c:strCache>
            </c:strRef>
          </c:tx>
          <c:spPr>
            <a:solidFill>
              <a:srgbClr val="7C7C7C"/>
            </a:solidFill>
          </c:spPr>
          <c:invertIfNegative val="0"/>
          <c:cat>
            <c:numRef>
              <c:f>HDP!$I$1:$P$1</c:f>
              <c:numCache>
                <c:formatCode>General</c:formatCode>
                <c:ptCount val="8"/>
                <c:pt idx="0">
                  <c:v>2016</c:v>
                </c:pt>
                <c:pt idx="1">
                  <c:v>2017</c:v>
                </c:pt>
                <c:pt idx="2">
                  <c:v>2018</c:v>
                </c:pt>
                <c:pt idx="3">
                  <c:v>2019</c:v>
                </c:pt>
                <c:pt idx="4">
                  <c:v>2020</c:v>
                </c:pt>
                <c:pt idx="5">
                  <c:v>2021</c:v>
                </c:pt>
                <c:pt idx="6">
                  <c:v>2022</c:v>
                </c:pt>
                <c:pt idx="7">
                  <c:v>2023</c:v>
                </c:pt>
              </c:numCache>
            </c:numRef>
          </c:cat>
          <c:val>
            <c:numRef>
              <c:f>HDP!$I$5:$P$5</c:f>
              <c:numCache>
                <c:formatCode>0.0</c:formatCode>
                <c:ptCount val="8"/>
                <c:pt idx="0">
                  <c:v>1.9317880628477724E-14</c:v>
                </c:pt>
                <c:pt idx="1">
                  <c:v>-4.6643356169977501E-3</c:v>
                </c:pt>
                <c:pt idx="2">
                  <c:v>-3.1345001826203145E-2</c:v>
                </c:pt>
                <c:pt idx="3">
                  <c:v>2.7932214609609485E-2</c:v>
                </c:pt>
                <c:pt idx="4">
                  <c:v>0.16083906686509186</c:v>
                </c:pt>
                <c:pt idx="5">
                  <c:v>-0.16105544942996453</c:v>
                </c:pt>
                <c:pt idx="6">
                  <c:v>-0.16150943424479203</c:v>
                </c:pt>
                <c:pt idx="7">
                  <c:v>0.51692238709040161</c:v>
                </c:pt>
              </c:numCache>
            </c:numRef>
          </c:val>
          <c:extLst>
            <c:ext xmlns:c16="http://schemas.microsoft.com/office/drawing/2014/chart" uri="{C3380CC4-5D6E-409C-BE32-E72D297353CC}">
              <c16:uniqueId val="{00000000-A5FD-41CF-8881-8E7A6DCAF832}"/>
            </c:ext>
          </c:extLst>
        </c:ser>
        <c:ser>
          <c:idx val="1"/>
          <c:order val="2"/>
          <c:tx>
            <c:strRef>
              <c:f>HDP!$A$3</c:f>
              <c:strCache>
                <c:ptCount val="1"/>
                <c:pt idx="0">
                  <c:v>domáci dopyt</c:v>
                </c:pt>
              </c:strCache>
            </c:strRef>
          </c:tx>
          <c:spPr>
            <a:solidFill>
              <a:srgbClr val="2C9ADC"/>
            </a:solidFill>
          </c:spPr>
          <c:invertIfNegative val="0"/>
          <c:cat>
            <c:numRef>
              <c:f>HDP!$I$1:$P$1</c:f>
              <c:numCache>
                <c:formatCode>General</c:formatCode>
                <c:ptCount val="8"/>
                <c:pt idx="0">
                  <c:v>2016</c:v>
                </c:pt>
                <c:pt idx="1">
                  <c:v>2017</c:v>
                </c:pt>
                <c:pt idx="2">
                  <c:v>2018</c:v>
                </c:pt>
                <c:pt idx="3">
                  <c:v>2019</c:v>
                </c:pt>
                <c:pt idx="4">
                  <c:v>2020</c:v>
                </c:pt>
                <c:pt idx="5">
                  <c:v>2021</c:v>
                </c:pt>
                <c:pt idx="6">
                  <c:v>2022</c:v>
                </c:pt>
                <c:pt idx="7">
                  <c:v>2023</c:v>
                </c:pt>
              </c:numCache>
            </c:numRef>
          </c:cat>
          <c:val>
            <c:numRef>
              <c:f>HDP!$I$3:$P$3</c:f>
              <c:numCache>
                <c:formatCode>0.0</c:formatCode>
                <c:ptCount val="8"/>
                <c:pt idx="0">
                  <c:v>1.6117380455354435</c:v>
                </c:pt>
                <c:pt idx="1">
                  <c:v>3.1821321814195502</c:v>
                </c:pt>
                <c:pt idx="2">
                  <c:v>3.5866169876851388</c:v>
                </c:pt>
                <c:pt idx="3">
                  <c:v>3.7486477032083916</c:v>
                </c:pt>
                <c:pt idx="4">
                  <c:v>-5.0293002157319755</c:v>
                </c:pt>
                <c:pt idx="5">
                  <c:v>5.6760889719219261</c:v>
                </c:pt>
                <c:pt idx="6">
                  <c:v>3.0005449008458966</c:v>
                </c:pt>
                <c:pt idx="7">
                  <c:v>-5.1813133383734185</c:v>
                </c:pt>
              </c:numCache>
            </c:numRef>
          </c:val>
          <c:extLst>
            <c:ext xmlns:c16="http://schemas.microsoft.com/office/drawing/2014/chart" uri="{C3380CC4-5D6E-409C-BE32-E72D297353CC}">
              <c16:uniqueId val="{00000001-A5FD-41CF-8881-8E7A6DCAF832}"/>
            </c:ext>
          </c:extLst>
        </c:ser>
        <c:ser>
          <c:idx val="2"/>
          <c:order val="3"/>
          <c:tx>
            <c:strRef>
              <c:f>HDP!$A$4</c:f>
              <c:strCache>
                <c:ptCount val="1"/>
                <c:pt idx="0">
                  <c:v>zahraničný dopyt</c:v>
                </c:pt>
              </c:strCache>
            </c:strRef>
          </c:tx>
          <c:spPr>
            <a:solidFill>
              <a:srgbClr val="555555"/>
            </a:solidFill>
          </c:spPr>
          <c:invertIfNegative val="0"/>
          <c:cat>
            <c:numRef>
              <c:f>HDP!$I$1:$P$1</c:f>
              <c:numCache>
                <c:formatCode>General</c:formatCode>
                <c:ptCount val="8"/>
                <c:pt idx="0">
                  <c:v>2016</c:v>
                </c:pt>
                <c:pt idx="1">
                  <c:v>2017</c:v>
                </c:pt>
                <c:pt idx="2">
                  <c:v>2018</c:v>
                </c:pt>
                <c:pt idx="3">
                  <c:v>2019</c:v>
                </c:pt>
                <c:pt idx="4">
                  <c:v>2020</c:v>
                </c:pt>
                <c:pt idx="5">
                  <c:v>2021</c:v>
                </c:pt>
                <c:pt idx="6">
                  <c:v>2022</c:v>
                </c:pt>
                <c:pt idx="7">
                  <c:v>2023</c:v>
                </c:pt>
              </c:numCache>
            </c:numRef>
          </c:cat>
          <c:val>
            <c:numRef>
              <c:f>HDP!$I$4:$P$4</c:f>
              <c:numCache>
                <c:formatCode>0.0</c:formatCode>
                <c:ptCount val="8"/>
                <c:pt idx="0">
                  <c:v>0.33221281548790627</c:v>
                </c:pt>
                <c:pt idx="1">
                  <c:v>-0.2393991679535262</c:v>
                </c:pt>
                <c:pt idx="2">
                  <c:v>0.47511772839455479</c:v>
                </c:pt>
                <c:pt idx="3">
                  <c:v>-1.2653237200542451</c:v>
                </c:pt>
                <c:pt idx="4">
                  <c:v>1.5329622617637559</c:v>
                </c:pt>
                <c:pt idx="5">
                  <c:v>-0.72588706307334738</c:v>
                </c:pt>
                <c:pt idx="6">
                  <c:v>-1.0885873268590045</c:v>
                </c:pt>
                <c:pt idx="7">
                  <c:v>5.8140676042847801</c:v>
                </c:pt>
              </c:numCache>
            </c:numRef>
          </c:val>
          <c:extLst>
            <c:ext xmlns:c16="http://schemas.microsoft.com/office/drawing/2014/chart" uri="{C3380CC4-5D6E-409C-BE32-E72D297353CC}">
              <c16:uniqueId val="{00000002-A5FD-41CF-8881-8E7A6DCAF832}"/>
            </c:ext>
          </c:extLst>
        </c:ser>
        <c:dLbls>
          <c:showLegendKey val="0"/>
          <c:showVal val="0"/>
          <c:showCatName val="0"/>
          <c:showSerName val="0"/>
          <c:showPercent val="0"/>
          <c:showBubbleSize val="0"/>
        </c:dLbls>
        <c:gapWidth val="150"/>
        <c:overlap val="100"/>
        <c:axId val="157335072"/>
        <c:axId val="157335464"/>
      </c:barChart>
      <c:lineChart>
        <c:grouping val="standard"/>
        <c:varyColors val="0"/>
        <c:ser>
          <c:idx val="0"/>
          <c:order val="1"/>
          <c:tx>
            <c:strRef>
              <c:f>HDP!$A$2</c:f>
              <c:strCache>
                <c:ptCount val="1"/>
                <c:pt idx="0">
                  <c:v>rast HDP</c:v>
                </c:pt>
              </c:strCache>
            </c:strRef>
          </c:tx>
          <c:spPr>
            <a:ln>
              <a:solidFill>
                <a:schemeClr val="tx1"/>
              </a:solidFill>
            </a:ln>
          </c:spPr>
          <c:marker>
            <c:symbol val="none"/>
          </c:marker>
          <c:dLbls>
            <c:dLbl>
              <c:idx val="3"/>
              <c:layout>
                <c:manualLayout>
                  <c:x val="-5.7103821828992221E-2"/>
                  <c:y val="-0.10709284627092847"/>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A5FD-41CF-8881-8E7A6DCAF832}"/>
                </c:ext>
              </c:extLst>
            </c:dLbl>
            <c:dLbl>
              <c:idx val="4"/>
              <c:layout>
                <c:manualLayout>
                  <c:x val="-6.8625168833908942E-2"/>
                  <c:y val="0.1167276693153083"/>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A5FD-41CF-8881-8E7A6DCAF832}"/>
                </c:ext>
              </c:extLst>
            </c:dLbl>
            <c:dLbl>
              <c:idx val="6"/>
              <c:layout>
                <c:manualLayout>
                  <c:x val="-5.7379836086270022E-2"/>
                  <c:y val="-8.88280060882801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A5FD-41CF-8881-8E7A6DCAF832}"/>
                </c:ext>
              </c:extLst>
            </c:dLbl>
            <c:dLbl>
              <c:idx val="7"/>
              <c:layout>
                <c:manualLayout>
                  <c:x val="-9.0600469362590377E-3"/>
                  <c:y val="-7.0563165905631664E-2"/>
                </c:manualLayout>
              </c:layout>
              <c:tx>
                <c:rich>
                  <a:bodyPr/>
                  <a:lstStyle/>
                  <a:p>
                    <a:r>
                      <a:rPr lang="en-US"/>
                      <a:t>1,6</a:t>
                    </a:r>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A5FD-41CF-8881-8E7A6DCAF832}"/>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a:noFill/>
                    </a:ln>
                  </c:spPr>
                </c15:leaderLines>
              </c:ext>
            </c:extLst>
          </c:dLbls>
          <c:cat>
            <c:numRef>
              <c:f>HDP!$I$1:$P$1</c:f>
              <c:numCache>
                <c:formatCode>General</c:formatCode>
                <c:ptCount val="8"/>
                <c:pt idx="0">
                  <c:v>2016</c:v>
                </c:pt>
                <c:pt idx="1">
                  <c:v>2017</c:v>
                </c:pt>
                <c:pt idx="2">
                  <c:v>2018</c:v>
                </c:pt>
                <c:pt idx="3">
                  <c:v>2019</c:v>
                </c:pt>
                <c:pt idx="4">
                  <c:v>2020</c:v>
                </c:pt>
                <c:pt idx="5">
                  <c:v>2021</c:v>
                </c:pt>
                <c:pt idx="6">
                  <c:v>2022</c:v>
                </c:pt>
                <c:pt idx="7">
                  <c:v>2023</c:v>
                </c:pt>
              </c:numCache>
            </c:numRef>
          </c:cat>
          <c:val>
            <c:numRef>
              <c:f>HDP!$I$2:$P$2</c:f>
              <c:numCache>
                <c:formatCode>0.0</c:formatCode>
                <c:ptCount val="8"/>
                <c:pt idx="0">
                  <c:v>1.9439508610233691</c:v>
                </c:pt>
                <c:pt idx="1">
                  <c:v>2.9380686778490261</c:v>
                </c:pt>
                <c:pt idx="2">
                  <c:v>4.0303897142534906</c:v>
                </c:pt>
                <c:pt idx="3">
                  <c:v>2.511256197763756</c:v>
                </c:pt>
                <c:pt idx="4">
                  <c:v>-3.3354988871031277</c:v>
                </c:pt>
                <c:pt idx="5">
                  <c:v>4.7891464594186139</c:v>
                </c:pt>
                <c:pt idx="6">
                  <c:v>1.7504481397421001</c:v>
                </c:pt>
                <c:pt idx="7">
                  <c:v>1.1496766530017632</c:v>
                </c:pt>
              </c:numCache>
            </c:numRef>
          </c:val>
          <c:smooth val="0"/>
          <c:extLst>
            <c:ext xmlns:c16="http://schemas.microsoft.com/office/drawing/2014/chart" uri="{C3380CC4-5D6E-409C-BE32-E72D297353CC}">
              <c16:uniqueId val="{00000007-A5FD-41CF-8881-8E7A6DCAF832}"/>
            </c:ext>
          </c:extLst>
        </c:ser>
        <c:dLbls>
          <c:showLegendKey val="0"/>
          <c:showVal val="0"/>
          <c:showCatName val="0"/>
          <c:showSerName val="0"/>
          <c:showPercent val="0"/>
          <c:showBubbleSize val="0"/>
        </c:dLbls>
        <c:marker val="1"/>
        <c:smooth val="0"/>
        <c:axId val="157335072"/>
        <c:axId val="157335464"/>
      </c:lineChart>
      <c:catAx>
        <c:axId val="157335072"/>
        <c:scaling>
          <c:orientation val="minMax"/>
        </c:scaling>
        <c:delete val="0"/>
        <c:axPos val="b"/>
        <c:numFmt formatCode="General" sourceLinked="1"/>
        <c:majorTickMark val="out"/>
        <c:minorTickMark val="none"/>
        <c:tickLblPos val="low"/>
        <c:crossAx val="157335464"/>
        <c:crosses val="autoZero"/>
        <c:auto val="1"/>
        <c:lblAlgn val="ctr"/>
        <c:lblOffset val="100"/>
        <c:noMultiLvlLbl val="0"/>
      </c:catAx>
      <c:valAx>
        <c:axId val="157335464"/>
        <c:scaling>
          <c:orientation val="minMax"/>
        </c:scaling>
        <c:delete val="0"/>
        <c:axPos val="l"/>
        <c:majorGridlines>
          <c:spPr>
            <a:ln>
              <a:prstDash val="sysDash"/>
            </a:ln>
          </c:spPr>
        </c:majorGridlines>
        <c:numFmt formatCode="0.0" sourceLinked="0"/>
        <c:majorTickMark val="out"/>
        <c:minorTickMark val="none"/>
        <c:tickLblPos val="nextTo"/>
        <c:crossAx val="157335072"/>
        <c:crosses val="autoZero"/>
        <c:crossBetween val="between"/>
      </c:valAx>
    </c:plotArea>
    <c:legend>
      <c:legendPos val="r"/>
      <c:layout>
        <c:manualLayout>
          <c:xMode val="edge"/>
          <c:yMode val="edge"/>
          <c:x val="3.2197512758741755E-2"/>
          <c:y val="0.58751567013027484"/>
          <c:w val="0.64461365786337987"/>
          <c:h val="0.27245388846942076"/>
        </c:manualLayout>
      </c:layout>
      <c:overlay val="1"/>
      <c:txPr>
        <a:bodyPr/>
        <a:lstStyle/>
        <a:p>
          <a:pPr>
            <a:defRPr sz="850" baseline="0"/>
          </a:pPr>
          <a:endParaRPr lang="sk-SK"/>
        </a:p>
      </c:txPr>
    </c:legend>
    <c:plotVisOnly val="1"/>
    <c:dispBlanksAs val="gap"/>
    <c:showDLblsOverMax val="0"/>
  </c:chart>
  <c:spPr>
    <a:ln>
      <a:noFill/>
    </a:ln>
  </c:spPr>
  <c:txPr>
    <a:bodyPr/>
    <a:lstStyle/>
    <a:p>
      <a:pPr>
        <a:defRPr sz="900">
          <a:latin typeface="Times New Roman" panose="02020603050405020304" pitchFamily="18" charset="0"/>
          <a:cs typeface="Times New Roman" panose="02020603050405020304" pitchFamily="18" charset="0"/>
        </a:defRPr>
      </a:pPr>
      <a:endParaRPr lang="sk-S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874453193350831E-2"/>
          <c:y val="0.15146600897810292"/>
          <c:w val="0.89093095636884034"/>
          <c:h val="0.67930840328127295"/>
        </c:manualLayout>
      </c:layout>
      <c:barChart>
        <c:barDir val="col"/>
        <c:grouping val="stacked"/>
        <c:varyColors val="0"/>
        <c:ser>
          <c:idx val="8"/>
          <c:order val="1"/>
          <c:tx>
            <c:strRef>
              <c:f>trh_prace!$A$16</c:f>
              <c:strCache>
                <c:ptCount val="1"/>
                <c:pt idx="0">
                  <c:v>Poľnohospodárstvo</c:v>
                </c:pt>
              </c:strCache>
            </c:strRef>
          </c:tx>
          <c:invertIfNegative val="0"/>
          <c:cat>
            <c:strRef>
              <c:f>trh_prace!$J$15:$Q$15</c:f>
              <c:strCache>
                <c:ptCount val="8"/>
                <c:pt idx="0">
                  <c:v>2022Q1</c:v>
                </c:pt>
                <c:pt idx="1">
                  <c:v>2022Q2</c:v>
                </c:pt>
                <c:pt idx="2">
                  <c:v>2022Q3</c:v>
                </c:pt>
                <c:pt idx="3">
                  <c:v>2022Q4</c:v>
                </c:pt>
                <c:pt idx="4">
                  <c:v>2023Q1</c:v>
                </c:pt>
                <c:pt idx="5">
                  <c:v>2023Q2</c:v>
                </c:pt>
                <c:pt idx="6">
                  <c:v>2023Q3</c:v>
                </c:pt>
                <c:pt idx="7">
                  <c:v>2023Q4</c:v>
                </c:pt>
              </c:strCache>
            </c:strRef>
          </c:cat>
          <c:val>
            <c:numRef>
              <c:f>trh_prace!$J$16:$Q$16</c:f>
              <c:numCache>
                <c:formatCode>0.00</c:formatCode>
                <c:ptCount val="8"/>
                <c:pt idx="0">
                  <c:v>0.14047341999678492</c:v>
                </c:pt>
                <c:pt idx="1">
                  <c:v>3.8411756646620533E-2</c:v>
                </c:pt>
                <c:pt idx="2">
                  <c:v>2.6302249480335049E-2</c:v>
                </c:pt>
                <c:pt idx="3">
                  <c:v>4.3080197057955835E-2</c:v>
                </c:pt>
                <c:pt idx="4">
                  <c:v>-7.9680652764947402E-2</c:v>
                </c:pt>
                <c:pt idx="5">
                  <c:v>-5.7587147864874228E-3</c:v>
                </c:pt>
                <c:pt idx="6">
                  <c:v>3.1818671393698914E-2</c:v>
                </c:pt>
                <c:pt idx="7">
                  <c:v>-2.9038890755446543E-2</c:v>
                </c:pt>
              </c:numCache>
            </c:numRef>
          </c:val>
          <c:extLst>
            <c:ext xmlns:c16="http://schemas.microsoft.com/office/drawing/2014/chart" uri="{C3380CC4-5D6E-409C-BE32-E72D297353CC}">
              <c16:uniqueId val="{00000000-0B74-4FD9-9D7B-264706FBD7DB}"/>
            </c:ext>
          </c:extLst>
        </c:ser>
        <c:ser>
          <c:idx val="0"/>
          <c:order val="2"/>
          <c:tx>
            <c:strRef>
              <c:f>trh_prace!$A$17</c:f>
              <c:strCache>
                <c:ptCount val="1"/>
                <c:pt idx="0">
                  <c:v>Priemysel</c:v>
                </c:pt>
              </c:strCache>
            </c:strRef>
          </c:tx>
          <c:spPr>
            <a:solidFill>
              <a:srgbClr val="FFFFFF">
                <a:lumMod val="50000"/>
              </a:srgbClr>
            </a:solidFill>
          </c:spPr>
          <c:invertIfNegative val="0"/>
          <c:cat>
            <c:strRef>
              <c:f>trh_prace!$J$15:$Q$15</c:f>
              <c:strCache>
                <c:ptCount val="8"/>
                <c:pt idx="0">
                  <c:v>2022Q1</c:v>
                </c:pt>
                <c:pt idx="1">
                  <c:v>2022Q2</c:v>
                </c:pt>
                <c:pt idx="2">
                  <c:v>2022Q3</c:v>
                </c:pt>
                <c:pt idx="3">
                  <c:v>2022Q4</c:v>
                </c:pt>
                <c:pt idx="4">
                  <c:v>2023Q1</c:v>
                </c:pt>
                <c:pt idx="5">
                  <c:v>2023Q2</c:v>
                </c:pt>
                <c:pt idx="6">
                  <c:v>2023Q3</c:v>
                </c:pt>
                <c:pt idx="7">
                  <c:v>2023Q4</c:v>
                </c:pt>
              </c:strCache>
            </c:strRef>
          </c:cat>
          <c:val>
            <c:numRef>
              <c:f>trh_prace!$J$17:$Q$17</c:f>
              <c:numCache>
                <c:formatCode>0.00</c:formatCode>
                <c:ptCount val="8"/>
                <c:pt idx="0">
                  <c:v>0.32867365271705506</c:v>
                </c:pt>
                <c:pt idx="1">
                  <c:v>-5.7120931220190014E-3</c:v>
                </c:pt>
                <c:pt idx="2">
                  <c:v>-0.16793924550823777</c:v>
                </c:pt>
                <c:pt idx="3">
                  <c:v>2.4605499370250788E-2</c:v>
                </c:pt>
                <c:pt idx="4">
                  <c:v>-3.6696659576636426E-2</c:v>
                </c:pt>
                <c:pt idx="5">
                  <c:v>7.0667657165614725E-2</c:v>
                </c:pt>
                <c:pt idx="6">
                  <c:v>-0.19481742084592102</c:v>
                </c:pt>
                <c:pt idx="7">
                  <c:v>3.778752403815702E-3</c:v>
                </c:pt>
              </c:numCache>
            </c:numRef>
          </c:val>
          <c:extLst>
            <c:ext xmlns:c16="http://schemas.microsoft.com/office/drawing/2014/chart" uri="{C3380CC4-5D6E-409C-BE32-E72D297353CC}">
              <c16:uniqueId val="{00000001-0B74-4FD9-9D7B-264706FBD7DB}"/>
            </c:ext>
          </c:extLst>
        </c:ser>
        <c:ser>
          <c:idx val="1"/>
          <c:order val="3"/>
          <c:tx>
            <c:strRef>
              <c:f>trh_prace!$A$20</c:f>
              <c:strCache>
                <c:ptCount val="1"/>
                <c:pt idx="0">
                  <c:v>Stavebníctvo</c:v>
                </c:pt>
              </c:strCache>
            </c:strRef>
          </c:tx>
          <c:spPr>
            <a:solidFill>
              <a:srgbClr val="131D2B">
                <a:lumMod val="25000"/>
                <a:lumOff val="75000"/>
              </a:srgbClr>
            </a:solidFill>
          </c:spPr>
          <c:invertIfNegative val="0"/>
          <c:cat>
            <c:strRef>
              <c:f>trh_prace!$J$15:$Q$15</c:f>
              <c:strCache>
                <c:ptCount val="8"/>
                <c:pt idx="0">
                  <c:v>2022Q1</c:v>
                </c:pt>
                <c:pt idx="1">
                  <c:v>2022Q2</c:v>
                </c:pt>
                <c:pt idx="2">
                  <c:v>2022Q3</c:v>
                </c:pt>
                <c:pt idx="3">
                  <c:v>2022Q4</c:v>
                </c:pt>
                <c:pt idx="4">
                  <c:v>2023Q1</c:v>
                </c:pt>
                <c:pt idx="5">
                  <c:v>2023Q2</c:v>
                </c:pt>
                <c:pt idx="6">
                  <c:v>2023Q3</c:v>
                </c:pt>
                <c:pt idx="7">
                  <c:v>2023Q4</c:v>
                </c:pt>
              </c:strCache>
            </c:strRef>
          </c:cat>
          <c:val>
            <c:numRef>
              <c:f>trh_prace!$J$20:$Q$20</c:f>
              <c:numCache>
                <c:formatCode>0.00</c:formatCode>
                <c:ptCount val="8"/>
                <c:pt idx="0">
                  <c:v>6.713405070703031E-2</c:v>
                </c:pt>
                <c:pt idx="1">
                  <c:v>2.5911378944812036E-2</c:v>
                </c:pt>
                <c:pt idx="2">
                  <c:v>0.11204182016505793</c:v>
                </c:pt>
                <c:pt idx="3">
                  <c:v>-1.0615750564424646E-2</c:v>
                </c:pt>
                <c:pt idx="4">
                  <c:v>2.7902611257038148E-2</c:v>
                </c:pt>
                <c:pt idx="5">
                  <c:v>2.747729626695547E-2</c:v>
                </c:pt>
                <c:pt idx="6">
                  <c:v>7.6175708129876091E-2</c:v>
                </c:pt>
                <c:pt idx="7">
                  <c:v>4.2182377377429636E-2</c:v>
                </c:pt>
              </c:numCache>
            </c:numRef>
          </c:val>
          <c:extLst>
            <c:ext xmlns:c16="http://schemas.microsoft.com/office/drawing/2014/chart" uri="{C3380CC4-5D6E-409C-BE32-E72D297353CC}">
              <c16:uniqueId val="{00000002-0B74-4FD9-9D7B-264706FBD7DB}"/>
            </c:ext>
          </c:extLst>
        </c:ser>
        <c:ser>
          <c:idx val="2"/>
          <c:order val="4"/>
          <c:tx>
            <c:strRef>
              <c:f>trh_prace!$A$19</c:f>
              <c:strCache>
                <c:ptCount val="1"/>
                <c:pt idx="0">
                  <c:v>Verejný sektor</c:v>
                </c:pt>
              </c:strCache>
            </c:strRef>
          </c:tx>
          <c:spPr>
            <a:solidFill>
              <a:srgbClr val="2E75B6"/>
            </a:solidFill>
          </c:spPr>
          <c:invertIfNegative val="0"/>
          <c:cat>
            <c:strRef>
              <c:f>trh_prace!$J$15:$Q$15</c:f>
              <c:strCache>
                <c:ptCount val="8"/>
                <c:pt idx="0">
                  <c:v>2022Q1</c:v>
                </c:pt>
                <c:pt idx="1">
                  <c:v>2022Q2</c:v>
                </c:pt>
                <c:pt idx="2">
                  <c:v>2022Q3</c:v>
                </c:pt>
                <c:pt idx="3">
                  <c:v>2022Q4</c:v>
                </c:pt>
                <c:pt idx="4">
                  <c:v>2023Q1</c:v>
                </c:pt>
                <c:pt idx="5">
                  <c:v>2023Q2</c:v>
                </c:pt>
                <c:pt idx="6">
                  <c:v>2023Q3</c:v>
                </c:pt>
                <c:pt idx="7">
                  <c:v>2023Q4</c:v>
                </c:pt>
              </c:strCache>
            </c:strRef>
          </c:cat>
          <c:val>
            <c:numRef>
              <c:f>trh_prace!$J$19:$Q$19</c:f>
              <c:numCache>
                <c:formatCode>0.00</c:formatCode>
                <c:ptCount val="8"/>
                <c:pt idx="0">
                  <c:v>6.8050272242735424E-2</c:v>
                </c:pt>
                <c:pt idx="1">
                  <c:v>0.1349792439920601</c:v>
                </c:pt>
                <c:pt idx="2">
                  <c:v>0.12163246825412917</c:v>
                </c:pt>
                <c:pt idx="3">
                  <c:v>1.1685554884870542E-2</c:v>
                </c:pt>
                <c:pt idx="4">
                  <c:v>-0.12488370487502826</c:v>
                </c:pt>
                <c:pt idx="5">
                  <c:v>9.2221703937893834E-2</c:v>
                </c:pt>
                <c:pt idx="6">
                  <c:v>0.14116966093793312</c:v>
                </c:pt>
                <c:pt idx="7">
                  <c:v>-2.0290257472685858E-2</c:v>
                </c:pt>
              </c:numCache>
            </c:numRef>
          </c:val>
          <c:extLst>
            <c:ext xmlns:c16="http://schemas.microsoft.com/office/drawing/2014/chart" uri="{C3380CC4-5D6E-409C-BE32-E72D297353CC}">
              <c16:uniqueId val="{00000003-0B74-4FD9-9D7B-264706FBD7DB}"/>
            </c:ext>
          </c:extLst>
        </c:ser>
        <c:ser>
          <c:idx val="3"/>
          <c:order val="5"/>
          <c:tx>
            <c:strRef>
              <c:f>trh_prace!$A$18</c:f>
              <c:strCache>
                <c:ptCount val="1"/>
                <c:pt idx="0">
                  <c:v>Služby</c:v>
                </c:pt>
              </c:strCache>
            </c:strRef>
          </c:tx>
          <c:spPr>
            <a:solidFill>
              <a:srgbClr val="00B0F0"/>
            </a:solidFill>
          </c:spPr>
          <c:invertIfNegative val="0"/>
          <c:cat>
            <c:strRef>
              <c:f>trh_prace!$J$15:$Q$15</c:f>
              <c:strCache>
                <c:ptCount val="8"/>
                <c:pt idx="0">
                  <c:v>2022Q1</c:v>
                </c:pt>
                <c:pt idx="1">
                  <c:v>2022Q2</c:v>
                </c:pt>
                <c:pt idx="2">
                  <c:v>2022Q3</c:v>
                </c:pt>
                <c:pt idx="3">
                  <c:v>2022Q4</c:v>
                </c:pt>
                <c:pt idx="4">
                  <c:v>2023Q1</c:v>
                </c:pt>
                <c:pt idx="5">
                  <c:v>2023Q2</c:v>
                </c:pt>
                <c:pt idx="6">
                  <c:v>2023Q3</c:v>
                </c:pt>
                <c:pt idx="7">
                  <c:v>2023Q4</c:v>
                </c:pt>
              </c:strCache>
            </c:strRef>
          </c:cat>
          <c:val>
            <c:numRef>
              <c:f>trh_prace!$J$18:$Q$18</c:f>
              <c:numCache>
                <c:formatCode>0.00</c:formatCode>
                <c:ptCount val="8"/>
                <c:pt idx="0">
                  <c:v>1.0411608360271636E-2</c:v>
                </c:pt>
                <c:pt idx="1">
                  <c:v>0.36615344751724699</c:v>
                </c:pt>
                <c:pt idx="2">
                  <c:v>-5.495070900821173E-2</c:v>
                </c:pt>
                <c:pt idx="3">
                  <c:v>5.9332993464730005E-2</c:v>
                </c:pt>
                <c:pt idx="4">
                  <c:v>0.11613075023916522</c:v>
                </c:pt>
                <c:pt idx="5">
                  <c:v>-0.12553998234542579</c:v>
                </c:pt>
                <c:pt idx="6">
                  <c:v>3.3298609598057007E-2</c:v>
                </c:pt>
                <c:pt idx="7">
                  <c:v>0.13771909576097915</c:v>
                </c:pt>
              </c:numCache>
            </c:numRef>
          </c:val>
          <c:extLst>
            <c:ext xmlns:c16="http://schemas.microsoft.com/office/drawing/2014/chart" uri="{C3380CC4-5D6E-409C-BE32-E72D297353CC}">
              <c16:uniqueId val="{00000004-0B74-4FD9-9D7B-264706FBD7DB}"/>
            </c:ext>
          </c:extLst>
        </c:ser>
        <c:dLbls>
          <c:showLegendKey val="0"/>
          <c:showVal val="0"/>
          <c:showCatName val="0"/>
          <c:showSerName val="0"/>
          <c:showPercent val="0"/>
          <c:showBubbleSize val="0"/>
        </c:dLbls>
        <c:gapWidth val="150"/>
        <c:overlap val="100"/>
        <c:axId val="157336248"/>
        <c:axId val="157334288"/>
      </c:barChart>
      <c:lineChart>
        <c:grouping val="standard"/>
        <c:varyColors val="0"/>
        <c:ser>
          <c:idx val="5"/>
          <c:order val="0"/>
          <c:tx>
            <c:strRef>
              <c:f>trh_prace!$A$21</c:f>
              <c:strCache>
                <c:ptCount val="1"/>
                <c:pt idx="0">
                  <c:v>Hospodárstvo spolu</c:v>
                </c:pt>
              </c:strCache>
            </c:strRef>
          </c:tx>
          <c:spPr>
            <a:ln>
              <a:solidFill>
                <a:srgbClr val="686767">
                  <a:lumMod val="50000"/>
                </a:srgbClr>
              </a:solidFill>
            </a:ln>
          </c:spPr>
          <c:marker>
            <c:symbol val="none"/>
          </c:marker>
          <c:cat>
            <c:strRef>
              <c:f>trh_prace!$J$15:$Q$15</c:f>
              <c:strCache>
                <c:ptCount val="8"/>
                <c:pt idx="0">
                  <c:v>2022Q1</c:v>
                </c:pt>
                <c:pt idx="1">
                  <c:v>2022Q2</c:v>
                </c:pt>
                <c:pt idx="2">
                  <c:v>2022Q3</c:v>
                </c:pt>
                <c:pt idx="3">
                  <c:v>2022Q4</c:v>
                </c:pt>
                <c:pt idx="4">
                  <c:v>2023Q1</c:v>
                </c:pt>
                <c:pt idx="5">
                  <c:v>2023Q2</c:v>
                </c:pt>
                <c:pt idx="6">
                  <c:v>2023Q3</c:v>
                </c:pt>
                <c:pt idx="7">
                  <c:v>2023Q4</c:v>
                </c:pt>
              </c:strCache>
            </c:strRef>
          </c:cat>
          <c:val>
            <c:numRef>
              <c:f>trh_prace!$J$21:$Q$21</c:f>
              <c:numCache>
                <c:formatCode>0.00</c:formatCode>
                <c:ptCount val="8"/>
                <c:pt idx="0">
                  <c:v>0.61474300402388771</c:v>
                </c:pt>
                <c:pt idx="1">
                  <c:v>0.55974373397873478</c:v>
                </c:pt>
                <c:pt idx="2">
                  <c:v>3.7086583383039162E-2</c:v>
                </c:pt>
                <c:pt idx="3">
                  <c:v>0.12808849421341861</c:v>
                </c:pt>
                <c:pt idx="4">
                  <c:v>-9.7227655720422135E-2</c:v>
                </c:pt>
                <c:pt idx="5">
                  <c:v>5.9067960238534667E-2</c:v>
                </c:pt>
                <c:pt idx="6">
                  <c:v>8.7645229213628717E-2</c:v>
                </c:pt>
                <c:pt idx="7">
                  <c:v>0.13435107731412099</c:v>
                </c:pt>
              </c:numCache>
            </c:numRef>
          </c:val>
          <c:smooth val="0"/>
          <c:extLst>
            <c:ext xmlns:c16="http://schemas.microsoft.com/office/drawing/2014/chart" uri="{C3380CC4-5D6E-409C-BE32-E72D297353CC}">
              <c16:uniqueId val="{00000005-0B74-4FD9-9D7B-264706FBD7DB}"/>
            </c:ext>
          </c:extLst>
        </c:ser>
        <c:dLbls>
          <c:showLegendKey val="0"/>
          <c:showVal val="0"/>
          <c:showCatName val="0"/>
          <c:showSerName val="0"/>
          <c:showPercent val="0"/>
          <c:showBubbleSize val="0"/>
        </c:dLbls>
        <c:marker val="1"/>
        <c:smooth val="0"/>
        <c:axId val="157336248"/>
        <c:axId val="157334288"/>
      </c:lineChart>
      <c:catAx>
        <c:axId val="157336248"/>
        <c:scaling>
          <c:orientation val="minMax"/>
        </c:scaling>
        <c:delete val="0"/>
        <c:axPos val="b"/>
        <c:numFmt formatCode="General" sourceLinked="1"/>
        <c:majorTickMark val="out"/>
        <c:minorTickMark val="none"/>
        <c:tickLblPos val="low"/>
        <c:txPr>
          <a:bodyPr rot="-5400000" vert="horz"/>
          <a:lstStyle/>
          <a:p>
            <a:pPr>
              <a:defRPr sz="900" baseline="0">
                <a:latin typeface="Times New Roman" panose="02020603050405020304" pitchFamily="18" charset="0"/>
              </a:defRPr>
            </a:pPr>
            <a:endParaRPr lang="sk-SK"/>
          </a:p>
        </c:txPr>
        <c:crossAx val="157334288"/>
        <c:crosses val="autoZero"/>
        <c:auto val="1"/>
        <c:lblAlgn val="ctr"/>
        <c:lblOffset val="100"/>
        <c:noMultiLvlLbl val="0"/>
      </c:catAx>
      <c:valAx>
        <c:axId val="157334288"/>
        <c:scaling>
          <c:orientation val="minMax"/>
        </c:scaling>
        <c:delete val="0"/>
        <c:axPos val="l"/>
        <c:majorGridlines>
          <c:spPr>
            <a:ln>
              <a:solidFill>
                <a:schemeClr val="bg1">
                  <a:lumMod val="75000"/>
                </a:schemeClr>
              </a:solidFill>
              <a:prstDash val="dash"/>
            </a:ln>
          </c:spPr>
        </c:majorGridlines>
        <c:numFmt formatCode="#,##0.0" sourceLinked="0"/>
        <c:majorTickMark val="out"/>
        <c:minorTickMark val="none"/>
        <c:tickLblPos val="nextTo"/>
        <c:txPr>
          <a:bodyPr/>
          <a:lstStyle/>
          <a:p>
            <a:pPr>
              <a:defRPr sz="900" baseline="0">
                <a:latin typeface="Times New Roman" panose="02020603050405020304" pitchFamily="18" charset="0"/>
              </a:defRPr>
            </a:pPr>
            <a:endParaRPr lang="sk-SK"/>
          </a:p>
        </c:txPr>
        <c:crossAx val="157336248"/>
        <c:crosses val="autoZero"/>
        <c:crossBetween val="between"/>
      </c:valAx>
    </c:plotArea>
    <c:legend>
      <c:legendPos val="r"/>
      <c:layout>
        <c:manualLayout>
          <c:xMode val="edge"/>
          <c:yMode val="edge"/>
          <c:x val="4.3423572460608545E-2"/>
          <c:y val="9.1737913948875208E-3"/>
          <c:w val="0.92457658997836978"/>
          <c:h val="0.17845799555705461"/>
        </c:manualLayout>
      </c:layout>
      <c:overlay val="0"/>
      <c:txPr>
        <a:bodyPr/>
        <a:lstStyle/>
        <a:p>
          <a:pPr>
            <a:defRPr sz="900" baseline="0">
              <a:latin typeface="Times New Roman" panose="02020603050405020304" pitchFamily="18" charset="0"/>
            </a:defRPr>
          </a:pPr>
          <a:endParaRPr lang="sk-SK"/>
        </a:p>
      </c:txPr>
    </c:legend>
    <c:plotVisOnly val="1"/>
    <c:dispBlanksAs val="gap"/>
    <c:showDLblsOverMax val="0"/>
  </c:chart>
  <c:spPr>
    <a:ln>
      <a:noFill/>
    </a:ln>
  </c:spPr>
  <c:txPr>
    <a:bodyPr/>
    <a:lstStyle/>
    <a:p>
      <a:pPr>
        <a:defRPr sz="800">
          <a:latin typeface="Arial Narrow" panose="020B0606020202030204" pitchFamily="34" charset="0"/>
        </a:defRPr>
      </a:pPr>
      <a:endParaRPr lang="sk-SK"/>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515773876186696E-2"/>
          <c:y val="8.4437627114792468E-2"/>
          <c:w val="0.91819511922711794"/>
          <c:h val="0.72658193006773042"/>
        </c:manualLayout>
      </c:layout>
      <c:lineChart>
        <c:grouping val="standard"/>
        <c:varyColors val="0"/>
        <c:ser>
          <c:idx val="3"/>
          <c:order val="0"/>
          <c:tx>
            <c:strRef>
              <c:f>trh_prace!$A$9</c:f>
              <c:strCache>
                <c:ptCount val="1"/>
                <c:pt idx="0">
                  <c:v>Rast reálnej produktivity práce</c:v>
                </c:pt>
              </c:strCache>
            </c:strRef>
          </c:tx>
          <c:spPr>
            <a:ln w="19050">
              <a:solidFill>
                <a:srgbClr val="2C9ADC"/>
              </a:solidFill>
            </a:ln>
          </c:spPr>
          <c:marker>
            <c:symbol val="none"/>
          </c:marker>
          <c:cat>
            <c:strRef>
              <c:f>trh_prace!$G$7:$N$7</c:f>
              <c:strCache>
                <c:ptCount val="8"/>
                <c:pt idx="0">
                  <c:v>2022Q1</c:v>
                </c:pt>
                <c:pt idx="1">
                  <c:v>2022Q2</c:v>
                </c:pt>
                <c:pt idx="2">
                  <c:v>2022Q3</c:v>
                </c:pt>
                <c:pt idx="3">
                  <c:v>2022Q4</c:v>
                </c:pt>
                <c:pt idx="4">
                  <c:v>2023Q1</c:v>
                </c:pt>
                <c:pt idx="5">
                  <c:v>2023Q2</c:v>
                </c:pt>
                <c:pt idx="6">
                  <c:v>2023Q3</c:v>
                </c:pt>
                <c:pt idx="7">
                  <c:v>2023Q4</c:v>
                </c:pt>
              </c:strCache>
            </c:strRef>
          </c:cat>
          <c:val>
            <c:numRef>
              <c:f>trh_prace!$G$9:$N$9</c:f>
              <c:numCache>
                <c:formatCode>0.0</c:formatCode>
                <c:ptCount val="8"/>
                <c:pt idx="0">
                  <c:v>0.9818638749819586</c:v>
                </c:pt>
                <c:pt idx="1">
                  <c:v>-0.95443046762279105</c:v>
                </c:pt>
                <c:pt idx="2">
                  <c:v>-5.5942370293615706E-2</c:v>
                </c:pt>
                <c:pt idx="3">
                  <c:v>0.10760554787032639</c:v>
                </c:pt>
                <c:pt idx="4">
                  <c:v>-2.4470490575179138E-2</c:v>
                </c:pt>
                <c:pt idx="5">
                  <c:v>1.4625052357859269</c:v>
                </c:pt>
                <c:pt idx="6">
                  <c:v>0.97169958632683517</c:v>
                </c:pt>
                <c:pt idx="7">
                  <c:v>1.008906794704667</c:v>
                </c:pt>
              </c:numCache>
            </c:numRef>
          </c:val>
          <c:smooth val="0"/>
          <c:extLst>
            <c:ext xmlns:c16="http://schemas.microsoft.com/office/drawing/2014/chart" uri="{C3380CC4-5D6E-409C-BE32-E72D297353CC}">
              <c16:uniqueId val="{00000000-F6DE-4C98-A359-C90294926B0E}"/>
            </c:ext>
          </c:extLst>
        </c:ser>
        <c:ser>
          <c:idx val="5"/>
          <c:order val="1"/>
          <c:tx>
            <c:strRef>
              <c:f>trh_prace!$A$8</c:f>
              <c:strCache>
                <c:ptCount val="1"/>
                <c:pt idx="0">
                  <c:v>Rast reálnej mzdy (YoY)</c:v>
                </c:pt>
              </c:strCache>
            </c:strRef>
          </c:tx>
          <c:spPr>
            <a:ln w="19050">
              <a:solidFill>
                <a:sysClr val="windowText" lastClr="000000"/>
              </a:solidFill>
            </a:ln>
          </c:spPr>
          <c:marker>
            <c:symbol val="none"/>
          </c:marker>
          <c:cat>
            <c:strRef>
              <c:f>trh_prace!$G$7:$N$7</c:f>
              <c:strCache>
                <c:ptCount val="8"/>
                <c:pt idx="0">
                  <c:v>2022Q1</c:v>
                </c:pt>
                <c:pt idx="1">
                  <c:v>2022Q2</c:v>
                </c:pt>
                <c:pt idx="2">
                  <c:v>2022Q3</c:v>
                </c:pt>
                <c:pt idx="3">
                  <c:v>2022Q4</c:v>
                </c:pt>
                <c:pt idx="4">
                  <c:v>2023Q1</c:v>
                </c:pt>
                <c:pt idx="5">
                  <c:v>2023Q2</c:v>
                </c:pt>
                <c:pt idx="6">
                  <c:v>2023Q3</c:v>
                </c:pt>
                <c:pt idx="7">
                  <c:v>2023Q4</c:v>
                </c:pt>
              </c:strCache>
            </c:strRef>
          </c:cat>
          <c:val>
            <c:numRef>
              <c:f>trh_prace!$G$8:$N$8</c:f>
              <c:numCache>
                <c:formatCode>0.00</c:formatCode>
                <c:ptCount val="8"/>
                <c:pt idx="0">
                  <c:v>-1.4361543356533613</c:v>
                </c:pt>
                <c:pt idx="1">
                  <c:v>-5.1225869012883063</c:v>
                </c:pt>
                <c:pt idx="2">
                  <c:v>-4.5598912772260025</c:v>
                </c:pt>
                <c:pt idx="3">
                  <c:v>-8.683666446935856</c:v>
                </c:pt>
                <c:pt idx="4">
                  <c:v>-5.6363548048421475</c:v>
                </c:pt>
                <c:pt idx="5">
                  <c:v>-2.2491354857256951</c:v>
                </c:pt>
                <c:pt idx="6">
                  <c:v>-0.67655610370809249</c:v>
                </c:pt>
                <c:pt idx="7">
                  <c:v>4.2460836348245934</c:v>
                </c:pt>
              </c:numCache>
            </c:numRef>
          </c:val>
          <c:smooth val="0"/>
          <c:extLst>
            <c:ext xmlns:c16="http://schemas.microsoft.com/office/drawing/2014/chart" uri="{C3380CC4-5D6E-409C-BE32-E72D297353CC}">
              <c16:uniqueId val="{00000001-F6DE-4C98-A359-C90294926B0E}"/>
            </c:ext>
          </c:extLst>
        </c:ser>
        <c:dLbls>
          <c:showLegendKey val="0"/>
          <c:showVal val="0"/>
          <c:showCatName val="0"/>
          <c:showSerName val="0"/>
          <c:showPercent val="0"/>
          <c:showBubbleSize val="0"/>
        </c:dLbls>
        <c:smooth val="0"/>
        <c:axId val="157333896"/>
        <c:axId val="157333112"/>
      </c:lineChart>
      <c:catAx>
        <c:axId val="157333896"/>
        <c:scaling>
          <c:orientation val="minMax"/>
        </c:scaling>
        <c:delete val="0"/>
        <c:axPos val="b"/>
        <c:numFmt formatCode="General" sourceLinked="0"/>
        <c:majorTickMark val="out"/>
        <c:minorTickMark val="none"/>
        <c:tickLblPos val="low"/>
        <c:txPr>
          <a:bodyPr rot="-5400000" vert="horz"/>
          <a:lstStyle/>
          <a:p>
            <a:pPr>
              <a:defRPr sz="900" baseline="0">
                <a:latin typeface="Times New Roman" panose="02020603050405020304" pitchFamily="18" charset="0"/>
              </a:defRPr>
            </a:pPr>
            <a:endParaRPr lang="sk-SK"/>
          </a:p>
        </c:txPr>
        <c:crossAx val="157333112"/>
        <c:crosses val="autoZero"/>
        <c:auto val="1"/>
        <c:lblAlgn val="ctr"/>
        <c:lblOffset val="100"/>
        <c:noMultiLvlLbl val="0"/>
      </c:catAx>
      <c:valAx>
        <c:axId val="157333112"/>
        <c:scaling>
          <c:orientation val="minMax"/>
        </c:scaling>
        <c:delete val="0"/>
        <c:axPos val="l"/>
        <c:majorGridlines>
          <c:spPr>
            <a:ln>
              <a:solidFill>
                <a:schemeClr val="bg1">
                  <a:lumMod val="75000"/>
                </a:schemeClr>
              </a:solidFill>
              <a:prstDash val="sysDash"/>
            </a:ln>
          </c:spPr>
        </c:majorGridlines>
        <c:numFmt formatCode="#,##0.0" sourceLinked="0"/>
        <c:majorTickMark val="out"/>
        <c:minorTickMark val="none"/>
        <c:tickLblPos val="nextTo"/>
        <c:txPr>
          <a:bodyPr rot="0" vert="horz"/>
          <a:lstStyle/>
          <a:p>
            <a:pPr>
              <a:defRPr sz="900" baseline="0">
                <a:latin typeface="Times New Roman" panose="02020603050405020304" pitchFamily="18" charset="0"/>
              </a:defRPr>
            </a:pPr>
            <a:endParaRPr lang="sk-SK"/>
          </a:p>
        </c:txPr>
        <c:crossAx val="157333896"/>
        <c:crosses val="autoZero"/>
        <c:crossBetween val="between"/>
      </c:valAx>
    </c:plotArea>
    <c:legend>
      <c:legendPos val="l"/>
      <c:layout>
        <c:manualLayout>
          <c:xMode val="edge"/>
          <c:yMode val="edge"/>
          <c:x val="0.11629213483146066"/>
          <c:y val="7.4298465500801159E-2"/>
          <c:w val="0.84091598100799203"/>
          <c:h val="0.10888593471270637"/>
        </c:manualLayout>
      </c:layout>
      <c:overlay val="1"/>
      <c:txPr>
        <a:bodyPr/>
        <a:lstStyle/>
        <a:p>
          <a:pPr>
            <a:defRPr sz="900" baseline="0">
              <a:latin typeface="Times New Roman" panose="02020603050405020304" pitchFamily="18" charset="0"/>
            </a:defRPr>
          </a:pPr>
          <a:endParaRPr lang="sk-SK"/>
        </a:p>
      </c:txPr>
    </c:legend>
    <c:plotVisOnly val="1"/>
    <c:dispBlanksAs val="gap"/>
    <c:showDLblsOverMax val="0"/>
  </c:chart>
  <c:spPr>
    <a:ln>
      <a:noFill/>
    </a:ln>
  </c:spPr>
  <c:txPr>
    <a:bodyPr/>
    <a:lstStyle/>
    <a:p>
      <a:pPr>
        <a:defRPr sz="800" b="0" i="0" u="none" strike="noStrike" baseline="0">
          <a:solidFill>
            <a:srgbClr val="000000"/>
          </a:solidFill>
          <a:latin typeface="Arial Narrow" panose="020B0606020202030204" pitchFamily="34" charset="0"/>
          <a:ea typeface="Calibri"/>
          <a:cs typeface="Calibri"/>
        </a:defRPr>
      </a:pPr>
      <a:endParaRPr lang="sk-SK"/>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1"/>
          <c:tx>
            <c:strRef>
              <c:f>inflacia!$A$3</c:f>
              <c:strCache>
                <c:ptCount val="1"/>
                <c:pt idx="0">
                  <c:v>Čistá inflácia bez PH a imp. náj.</c:v>
                </c:pt>
              </c:strCache>
            </c:strRef>
          </c:tx>
          <c:spPr>
            <a:solidFill>
              <a:srgbClr val="2C9ADC"/>
            </a:solidFill>
            <a:ln>
              <a:noFill/>
            </a:ln>
            <a:effectLst/>
          </c:spPr>
          <c:invertIfNegative val="0"/>
          <c:cat>
            <c:numRef>
              <c:f>inflacia!$AX$1:$BU$1</c:f>
              <c:numCache>
                <c:formatCode>mmm\-yy</c:formatCode>
                <c:ptCount val="24"/>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numCache>
            </c:numRef>
          </c:cat>
          <c:val>
            <c:numRef>
              <c:f>inflacia!$AX$3:$BU$3</c:f>
              <c:numCache>
                <c:formatCode>General</c:formatCode>
                <c:ptCount val="24"/>
                <c:pt idx="0">
                  <c:v>2.6075021528527658</c:v>
                </c:pt>
                <c:pt idx="1">
                  <c:v>2.9503734919601321</c:v>
                </c:pt>
                <c:pt idx="2">
                  <c:v>3.5297548941519321</c:v>
                </c:pt>
                <c:pt idx="3">
                  <c:v>4.199360645573992</c:v>
                </c:pt>
                <c:pt idx="4">
                  <c:v>4.4009209646474252</c:v>
                </c:pt>
                <c:pt idx="5">
                  <c:v>4.5030552761527423</c:v>
                </c:pt>
                <c:pt idx="6">
                  <c:v>4.7190444584620677</c:v>
                </c:pt>
                <c:pt idx="7">
                  <c:v>5.021719606617939</c:v>
                </c:pt>
                <c:pt idx="8">
                  <c:v>5.3310486072776104</c:v>
                </c:pt>
                <c:pt idx="9">
                  <c:v>5.5862939416385302</c:v>
                </c:pt>
                <c:pt idx="10">
                  <c:v>5.7766725097325224</c:v>
                </c:pt>
                <c:pt idx="11">
                  <c:v>5.9297826464561627</c:v>
                </c:pt>
                <c:pt idx="12">
                  <c:v>6.3215580629305608</c:v>
                </c:pt>
                <c:pt idx="13">
                  <c:v>6.6191225445526571</c:v>
                </c:pt>
                <c:pt idx="14">
                  <c:v>6.261855627289032</c:v>
                </c:pt>
                <c:pt idx="15">
                  <c:v>6.1941065429860442</c:v>
                </c:pt>
                <c:pt idx="16">
                  <c:v>5.784752250223228</c:v>
                </c:pt>
                <c:pt idx="17">
                  <c:v>5.7198968876202017</c:v>
                </c:pt>
                <c:pt idx="18">
                  <c:v>5.5375975126488255</c:v>
                </c:pt>
                <c:pt idx="19">
                  <c:v>5.1855197154166728</c:v>
                </c:pt>
                <c:pt idx="20">
                  <c:v>4.8749038922544905</c:v>
                </c:pt>
                <c:pt idx="21">
                  <c:v>4.5215653198575305</c:v>
                </c:pt>
                <c:pt idx="22">
                  <c:v>4.1723228370390393</c:v>
                </c:pt>
                <c:pt idx="23">
                  <c:v>3.9994322287620632</c:v>
                </c:pt>
              </c:numCache>
            </c:numRef>
          </c:val>
          <c:extLst>
            <c:ext xmlns:c16="http://schemas.microsoft.com/office/drawing/2014/chart" uri="{C3380CC4-5D6E-409C-BE32-E72D297353CC}">
              <c16:uniqueId val="{00000000-2C90-47FF-8750-A97E75470DB8}"/>
            </c:ext>
          </c:extLst>
        </c:ser>
        <c:ser>
          <c:idx val="2"/>
          <c:order val="2"/>
          <c:tx>
            <c:strRef>
              <c:f>inflacia!$A$4</c:f>
              <c:strCache>
                <c:ptCount val="1"/>
                <c:pt idx="0">
                  <c:v>Imputované nájomné</c:v>
                </c:pt>
              </c:strCache>
            </c:strRef>
          </c:tx>
          <c:spPr>
            <a:solidFill>
              <a:srgbClr val="555555"/>
            </a:solidFill>
            <a:ln>
              <a:noFill/>
            </a:ln>
            <a:effectLst/>
          </c:spPr>
          <c:invertIfNegative val="0"/>
          <c:cat>
            <c:numRef>
              <c:f>inflacia!$AX$1:$BU$1</c:f>
              <c:numCache>
                <c:formatCode>mmm\-yy</c:formatCode>
                <c:ptCount val="24"/>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numCache>
            </c:numRef>
          </c:cat>
          <c:val>
            <c:numRef>
              <c:f>inflacia!$AX$4:$BU$4</c:f>
              <c:numCache>
                <c:formatCode>General</c:formatCode>
                <c:ptCount val="24"/>
                <c:pt idx="0">
                  <c:v>1.5152324299376325</c:v>
                </c:pt>
                <c:pt idx="1">
                  <c:v>1.6093748674955783</c:v>
                </c:pt>
                <c:pt idx="2">
                  <c:v>1.7874805915505116</c:v>
                </c:pt>
                <c:pt idx="3">
                  <c:v>2.0277960583710568</c:v>
                </c:pt>
                <c:pt idx="4">
                  <c:v>1.9919589268029212</c:v>
                </c:pt>
                <c:pt idx="5">
                  <c:v>1.8963932426212216</c:v>
                </c:pt>
                <c:pt idx="6">
                  <c:v>2.041163877289331</c:v>
                </c:pt>
                <c:pt idx="7">
                  <c:v>1.9806052948740278</c:v>
                </c:pt>
                <c:pt idx="8">
                  <c:v>1.9806052948740278</c:v>
                </c:pt>
                <c:pt idx="9">
                  <c:v>1.8239278443456195</c:v>
                </c:pt>
                <c:pt idx="10">
                  <c:v>1.7879508565067916</c:v>
                </c:pt>
                <c:pt idx="11">
                  <c:v>1.8239995831050206</c:v>
                </c:pt>
                <c:pt idx="12">
                  <c:v>1.5632706886370709</c:v>
                </c:pt>
                <c:pt idx="13">
                  <c:v>1.4929380181228715</c:v>
                </c:pt>
                <c:pt idx="14">
                  <c:v>1.353935715609103</c:v>
                </c:pt>
                <c:pt idx="15">
                  <c:v>1.1040803223809506</c:v>
                </c:pt>
                <c:pt idx="16">
                  <c:v>0.81599169646583936</c:v>
                </c:pt>
                <c:pt idx="17">
                  <c:v>0.60918786193406116</c:v>
                </c:pt>
                <c:pt idx="18">
                  <c:v>0.35334014590031915</c:v>
                </c:pt>
                <c:pt idx="19">
                  <c:v>0.1853056419968539</c:v>
                </c:pt>
                <c:pt idx="20">
                  <c:v>9.20977020528745E-2</c:v>
                </c:pt>
                <c:pt idx="21">
                  <c:v>6.1121317890703984E-2</c:v>
                </c:pt>
                <c:pt idx="22">
                  <c:v>3.0299045092523059E-2</c:v>
                </c:pt>
                <c:pt idx="23">
                  <c:v>-4.1333632643207267E-2</c:v>
                </c:pt>
              </c:numCache>
            </c:numRef>
          </c:val>
          <c:extLst>
            <c:ext xmlns:c16="http://schemas.microsoft.com/office/drawing/2014/chart" uri="{C3380CC4-5D6E-409C-BE32-E72D297353CC}">
              <c16:uniqueId val="{00000001-2C90-47FF-8750-A97E75470DB8}"/>
            </c:ext>
          </c:extLst>
        </c:ser>
        <c:ser>
          <c:idx val="3"/>
          <c:order val="3"/>
          <c:tx>
            <c:strRef>
              <c:f>inflacia!$A$5</c:f>
              <c:strCache>
                <c:ptCount val="1"/>
                <c:pt idx="0">
                  <c:v>Pohonné látky</c:v>
                </c:pt>
              </c:strCache>
            </c:strRef>
          </c:tx>
          <c:spPr>
            <a:solidFill>
              <a:srgbClr val="C6D9F1"/>
            </a:solidFill>
            <a:ln>
              <a:noFill/>
            </a:ln>
            <a:effectLst/>
          </c:spPr>
          <c:invertIfNegative val="0"/>
          <c:cat>
            <c:numRef>
              <c:f>inflacia!$AX$1:$BU$1</c:f>
              <c:numCache>
                <c:formatCode>mmm\-yy</c:formatCode>
                <c:ptCount val="24"/>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numCache>
            </c:numRef>
          </c:cat>
          <c:val>
            <c:numRef>
              <c:f>inflacia!$AX$5:$BU$5</c:f>
              <c:numCache>
                <c:formatCode>General</c:formatCode>
                <c:ptCount val="24"/>
                <c:pt idx="0">
                  <c:v>0.66137001251551986</c:v>
                </c:pt>
                <c:pt idx="1">
                  <c:v>0.6272342679575087</c:v>
                </c:pt>
                <c:pt idx="2">
                  <c:v>0.79431263345557146</c:v>
                </c:pt>
                <c:pt idx="3">
                  <c:v>0.88953759072054206</c:v>
                </c:pt>
                <c:pt idx="4">
                  <c:v>1.048797877717311</c:v>
                </c:pt>
                <c:pt idx="5">
                  <c:v>1.2384791549877636</c:v>
                </c:pt>
                <c:pt idx="6">
                  <c:v>1.0421390228434648</c:v>
                </c:pt>
                <c:pt idx="7">
                  <c:v>0.78778674163109863</c:v>
                </c:pt>
                <c:pt idx="8">
                  <c:v>0.65981217590131302</c:v>
                </c:pt>
                <c:pt idx="9">
                  <c:v>0.5820432111158812</c:v>
                </c:pt>
                <c:pt idx="10">
                  <c:v>0.48277683674218985</c:v>
                </c:pt>
                <c:pt idx="11">
                  <c:v>0.20315224846927235</c:v>
                </c:pt>
                <c:pt idx="12">
                  <c:v>0.15637626548115544</c:v>
                </c:pt>
                <c:pt idx="13">
                  <c:v>0.10409225885078746</c:v>
                </c:pt>
                <c:pt idx="14">
                  <c:v>-0.20516684091819423</c:v>
                </c:pt>
                <c:pt idx="15">
                  <c:v>-0.25888812669550659</c:v>
                </c:pt>
                <c:pt idx="16">
                  <c:v>-0.43512919519638549</c:v>
                </c:pt>
                <c:pt idx="17">
                  <c:v>-0.52891056992840779</c:v>
                </c:pt>
                <c:pt idx="18">
                  <c:v>-0.46284909788738821</c:v>
                </c:pt>
                <c:pt idx="19">
                  <c:v>-0.12758737800591616</c:v>
                </c:pt>
                <c:pt idx="20">
                  <c:v>-1.5436291388876481E-2</c:v>
                </c:pt>
                <c:pt idx="21">
                  <c:v>-0.17630677477288922</c:v>
                </c:pt>
                <c:pt idx="22">
                  <c:v>-0.21156024600323522</c:v>
                </c:pt>
                <c:pt idx="23">
                  <c:v>-4.1343229187443965E-2</c:v>
                </c:pt>
              </c:numCache>
            </c:numRef>
          </c:val>
          <c:extLst>
            <c:ext xmlns:c16="http://schemas.microsoft.com/office/drawing/2014/chart" uri="{C3380CC4-5D6E-409C-BE32-E72D297353CC}">
              <c16:uniqueId val="{00000002-2C90-47FF-8750-A97E75470DB8}"/>
            </c:ext>
          </c:extLst>
        </c:ser>
        <c:ser>
          <c:idx val="4"/>
          <c:order val="4"/>
          <c:tx>
            <c:strRef>
              <c:f>inflacia!$A$6</c:f>
              <c:strCache>
                <c:ptCount val="1"/>
                <c:pt idx="0">
                  <c:v>Potraviny</c:v>
                </c:pt>
              </c:strCache>
            </c:strRef>
          </c:tx>
          <c:spPr>
            <a:solidFill>
              <a:schemeClr val="bg1">
                <a:lumMod val="75000"/>
              </a:schemeClr>
            </a:solidFill>
            <a:ln>
              <a:noFill/>
            </a:ln>
            <a:effectLst/>
          </c:spPr>
          <c:invertIfNegative val="0"/>
          <c:cat>
            <c:numRef>
              <c:f>inflacia!$AX$1:$BU$1</c:f>
              <c:numCache>
                <c:formatCode>mmm\-yy</c:formatCode>
                <c:ptCount val="24"/>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numCache>
            </c:numRef>
          </c:cat>
          <c:val>
            <c:numRef>
              <c:f>inflacia!$AX$6:$BU$6</c:f>
              <c:numCache>
                <c:formatCode>General</c:formatCode>
                <c:ptCount val="24"/>
                <c:pt idx="0">
                  <c:v>1.5807114349992</c:v>
                </c:pt>
                <c:pt idx="1">
                  <c:v>1.8441633408324001</c:v>
                </c:pt>
                <c:pt idx="2">
                  <c:v>2.2581591928559996</c:v>
                </c:pt>
                <c:pt idx="3">
                  <c:v>2.6909730381534001</c:v>
                </c:pt>
                <c:pt idx="4">
                  <c:v>3.1237868834508</c:v>
                </c:pt>
                <c:pt idx="5">
                  <c:v>3.5189647422005996</c:v>
                </c:pt>
                <c:pt idx="6">
                  <c:v>3.7447806614861996</c:v>
                </c:pt>
                <c:pt idx="7">
                  <c:v>4.0646865471408002</c:v>
                </c:pt>
                <c:pt idx="8">
                  <c:v>4.5351363789857997</c:v>
                </c:pt>
                <c:pt idx="9">
                  <c:v>5.0432221973783999</c:v>
                </c:pt>
                <c:pt idx="10">
                  <c:v>5.4007640695805996</c:v>
                </c:pt>
                <c:pt idx="11">
                  <c:v>5.4572180494019999</c:v>
                </c:pt>
                <c:pt idx="12">
                  <c:v>5.3819460763068001</c:v>
                </c:pt>
                <c:pt idx="13">
                  <c:v>5.3819460763068001</c:v>
                </c:pt>
                <c:pt idx="14">
                  <c:v>5.4572180494019999</c:v>
                </c:pt>
                <c:pt idx="15">
                  <c:v>4.9114962444617998</c:v>
                </c:pt>
                <c:pt idx="16">
                  <c:v>4.1211405269621997</c:v>
                </c:pt>
                <c:pt idx="17">
                  <c:v>3.575418722022</c:v>
                </c:pt>
                <c:pt idx="18">
                  <c:v>3.1049688901769996</c:v>
                </c:pt>
                <c:pt idx="19">
                  <c:v>2.5592470852367999</c:v>
                </c:pt>
                <c:pt idx="20">
                  <c:v>2.1264332399393999</c:v>
                </c:pt>
                <c:pt idx="21">
                  <c:v>1.6748014013682</c:v>
                </c:pt>
                <c:pt idx="22">
                  <c:v>1.4301674888087998</c:v>
                </c:pt>
                <c:pt idx="23">
                  <c:v>1.1855335762493999</c:v>
                </c:pt>
              </c:numCache>
            </c:numRef>
          </c:val>
          <c:extLst>
            <c:ext xmlns:c16="http://schemas.microsoft.com/office/drawing/2014/chart" uri="{C3380CC4-5D6E-409C-BE32-E72D297353CC}">
              <c16:uniqueId val="{00000003-2C90-47FF-8750-A97E75470DB8}"/>
            </c:ext>
          </c:extLst>
        </c:ser>
        <c:ser>
          <c:idx val="5"/>
          <c:order val="5"/>
          <c:tx>
            <c:strRef>
              <c:f>inflacia!$A$7</c:f>
              <c:strCache>
                <c:ptCount val="1"/>
                <c:pt idx="0">
                  <c:v>Regulované ceny</c:v>
                </c:pt>
              </c:strCache>
            </c:strRef>
          </c:tx>
          <c:spPr>
            <a:solidFill>
              <a:schemeClr val="bg1">
                <a:lumMod val="50000"/>
              </a:schemeClr>
            </a:solidFill>
            <a:ln>
              <a:noFill/>
            </a:ln>
            <a:effectLst/>
          </c:spPr>
          <c:invertIfNegative val="0"/>
          <c:cat>
            <c:numRef>
              <c:f>inflacia!$AX$1:$BU$1</c:f>
              <c:numCache>
                <c:formatCode>mmm\-yy</c:formatCode>
                <c:ptCount val="24"/>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numCache>
            </c:numRef>
          </c:cat>
          <c:val>
            <c:numRef>
              <c:f>inflacia!$AX$7:$BU$7</c:f>
              <c:numCache>
                <c:formatCode>General</c:formatCode>
                <c:ptCount val="24"/>
                <c:pt idx="0">
                  <c:v>2.0263760045297001</c:v>
                </c:pt>
                <c:pt idx="1">
                  <c:v>2.0423317211008003</c:v>
                </c:pt>
                <c:pt idx="2">
                  <c:v>2.2976231862384</c:v>
                </c:pt>
                <c:pt idx="3">
                  <c:v>2.3295346193805999</c:v>
                </c:pt>
                <c:pt idx="4">
                  <c:v>2.3295346193805999</c:v>
                </c:pt>
                <c:pt idx="5">
                  <c:v>2.3454903359517001</c:v>
                </c:pt>
                <c:pt idx="6">
                  <c:v>2.2816674696673003</c:v>
                </c:pt>
                <c:pt idx="7">
                  <c:v>2.2976231862384</c:v>
                </c:pt>
                <c:pt idx="8">
                  <c:v>1.8349074056765</c:v>
                </c:pt>
                <c:pt idx="9">
                  <c:v>1.8668188388186999</c:v>
                </c:pt>
                <c:pt idx="10">
                  <c:v>1.8827745553898003</c:v>
                </c:pt>
                <c:pt idx="11">
                  <c:v>1.9146859885320002</c:v>
                </c:pt>
                <c:pt idx="12">
                  <c:v>1.755128822821</c:v>
                </c:pt>
                <c:pt idx="13">
                  <c:v>1.8508631222476</c:v>
                </c:pt>
                <c:pt idx="14">
                  <c:v>1.7870402559631999</c:v>
                </c:pt>
                <c:pt idx="15">
                  <c:v>1.8349074056765</c:v>
                </c:pt>
                <c:pt idx="16">
                  <c:v>1.4679259245412</c:v>
                </c:pt>
                <c:pt idx="17">
                  <c:v>1.4200587748279001</c:v>
                </c:pt>
                <c:pt idx="18">
                  <c:v>1.1328558765481</c:v>
                </c:pt>
                <c:pt idx="19">
                  <c:v>1.1169001599770001</c:v>
                </c:pt>
                <c:pt idx="20">
                  <c:v>1.1009444434059001</c:v>
                </c:pt>
                <c:pt idx="21">
                  <c:v>1.0371215771215001</c:v>
                </c:pt>
                <c:pt idx="22">
                  <c:v>1.0052101439793</c:v>
                </c:pt>
                <c:pt idx="23">
                  <c:v>0.98925442740820013</c:v>
                </c:pt>
              </c:numCache>
            </c:numRef>
          </c:val>
          <c:extLst>
            <c:ext xmlns:c16="http://schemas.microsoft.com/office/drawing/2014/chart" uri="{C3380CC4-5D6E-409C-BE32-E72D297353CC}">
              <c16:uniqueId val="{00000004-2C90-47FF-8750-A97E75470DB8}"/>
            </c:ext>
          </c:extLst>
        </c:ser>
        <c:dLbls>
          <c:showLegendKey val="0"/>
          <c:showVal val="0"/>
          <c:showCatName val="0"/>
          <c:showSerName val="0"/>
          <c:showPercent val="0"/>
          <c:showBubbleSize val="0"/>
        </c:dLbls>
        <c:gapWidth val="150"/>
        <c:overlap val="100"/>
        <c:axId val="158352816"/>
        <c:axId val="158353992"/>
      </c:barChart>
      <c:lineChart>
        <c:grouping val="standard"/>
        <c:varyColors val="0"/>
        <c:ser>
          <c:idx val="0"/>
          <c:order val="0"/>
          <c:tx>
            <c:strRef>
              <c:f>inflacia!$A$2</c:f>
              <c:strCache>
                <c:ptCount val="1"/>
                <c:pt idx="0">
                  <c:v>Inflácia spolu</c:v>
                </c:pt>
              </c:strCache>
            </c:strRef>
          </c:tx>
          <c:spPr>
            <a:ln w="19050" cap="rnd">
              <a:solidFill>
                <a:schemeClr val="tx1"/>
              </a:solidFill>
              <a:round/>
            </a:ln>
            <a:effectLst/>
          </c:spPr>
          <c:marker>
            <c:symbol val="none"/>
          </c:marker>
          <c:cat>
            <c:numRef>
              <c:f>inflacia!$AX$1:$BU$1</c:f>
              <c:numCache>
                <c:formatCode>mmm\-yy</c:formatCode>
                <c:ptCount val="24"/>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numCache>
            </c:numRef>
          </c:cat>
          <c:val>
            <c:numRef>
              <c:f>inflacia!$AX$2:$BU$2</c:f>
              <c:numCache>
                <c:formatCode>General</c:formatCode>
                <c:ptCount val="24"/>
                <c:pt idx="0">
                  <c:v>8.4</c:v>
                </c:pt>
                <c:pt idx="1">
                  <c:v>9</c:v>
                </c:pt>
                <c:pt idx="2">
                  <c:v>10.4</c:v>
                </c:pt>
                <c:pt idx="3">
                  <c:v>11.8</c:v>
                </c:pt>
                <c:pt idx="4">
                  <c:v>12.6</c:v>
                </c:pt>
                <c:pt idx="5">
                  <c:v>13.2</c:v>
                </c:pt>
                <c:pt idx="6">
                  <c:v>13.6</c:v>
                </c:pt>
                <c:pt idx="7">
                  <c:v>14</c:v>
                </c:pt>
                <c:pt idx="8">
                  <c:v>14.2</c:v>
                </c:pt>
                <c:pt idx="9">
                  <c:v>14.9</c:v>
                </c:pt>
                <c:pt idx="10">
                  <c:v>15.4</c:v>
                </c:pt>
                <c:pt idx="11">
                  <c:v>15.4</c:v>
                </c:pt>
                <c:pt idx="12">
                  <c:v>15.2</c:v>
                </c:pt>
                <c:pt idx="13">
                  <c:v>15.4</c:v>
                </c:pt>
                <c:pt idx="14">
                  <c:v>14.8</c:v>
                </c:pt>
                <c:pt idx="15">
                  <c:v>13.8</c:v>
                </c:pt>
                <c:pt idx="16">
                  <c:v>11.9</c:v>
                </c:pt>
                <c:pt idx="17">
                  <c:v>10.8</c:v>
                </c:pt>
                <c:pt idx="18">
                  <c:v>9.6999999999999993</c:v>
                </c:pt>
                <c:pt idx="19">
                  <c:v>8.9</c:v>
                </c:pt>
                <c:pt idx="20">
                  <c:v>8.1999999999999993</c:v>
                </c:pt>
                <c:pt idx="21">
                  <c:v>7.1</c:v>
                </c:pt>
                <c:pt idx="22">
                  <c:v>6.2</c:v>
                </c:pt>
                <c:pt idx="23">
                  <c:v>5.9</c:v>
                </c:pt>
              </c:numCache>
            </c:numRef>
          </c:val>
          <c:smooth val="0"/>
          <c:extLst>
            <c:ext xmlns:c16="http://schemas.microsoft.com/office/drawing/2014/chart" uri="{C3380CC4-5D6E-409C-BE32-E72D297353CC}">
              <c16:uniqueId val="{00000005-2C90-47FF-8750-A97E75470DB8}"/>
            </c:ext>
          </c:extLst>
        </c:ser>
        <c:dLbls>
          <c:showLegendKey val="0"/>
          <c:showVal val="0"/>
          <c:showCatName val="0"/>
          <c:showSerName val="0"/>
          <c:showPercent val="0"/>
          <c:showBubbleSize val="0"/>
        </c:dLbls>
        <c:marker val="1"/>
        <c:smooth val="0"/>
        <c:axId val="158352816"/>
        <c:axId val="158353992"/>
      </c:lineChart>
      <c:dateAx>
        <c:axId val="158352816"/>
        <c:scaling>
          <c:orientation val="minMax"/>
        </c:scaling>
        <c:delete val="0"/>
        <c:axPos val="b"/>
        <c:numFmt formatCode="mmm\-yy"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sk-SK"/>
          </a:p>
        </c:txPr>
        <c:crossAx val="158353992"/>
        <c:crosses val="autoZero"/>
        <c:auto val="1"/>
        <c:lblOffset val="100"/>
        <c:baseTimeUnit val="months"/>
      </c:dateAx>
      <c:valAx>
        <c:axId val="158353992"/>
        <c:scaling>
          <c:orientation val="minMax"/>
          <c:max val="25"/>
          <c:min val="0"/>
        </c:scaling>
        <c:delete val="0"/>
        <c:axPos val="l"/>
        <c:majorGridlines>
          <c:spPr>
            <a:ln w="9525" cap="flat" cmpd="sng" algn="ctr">
              <a:solidFill>
                <a:schemeClr val="bg1">
                  <a:lumMod val="75000"/>
                </a:schemeClr>
              </a:solidFill>
              <a:prstDash val="dash"/>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sk-SK"/>
          </a:p>
        </c:txPr>
        <c:crossAx val="158352816"/>
        <c:crosses val="autoZero"/>
        <c:crossBetween val="between"/>
      </c:valAx>
      <c:spPr>
        <a:noFill/>
        <a:ln>
          <a:noFill/>
        </a:ln>
        <a:effectLst/>
      </c:spPr>
    </c:plotArea>
    <c:legend>
      <c:legendPos val="t"/>
      <c:layout>
        <c:manualLayout>
          <c:xMode val="edge"/>
          <c:yMode val="edge"/>
          <c:x val="0.14574848247061906"/>
          <c:y val="2.3809523809523808E-2"/>
          <c:w val="0.5435545814505145"/>
          <c:h val="0.32331083614548184"/>
        </c:manualLayout>
      </c:layout>
      <c:overlay val="1"/>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sz="1000">
          <a:latin typeface="Arial Narrow" panose="020B0606020202030204" pitchFamily="34" charset="0"/>
        </a:defRPr>
      </a:pPr>
      <a:endParaRPr lang="sk-SK"/>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3099679777191692E-2"/>
          <c:y val="8.5242482034935022E-2"/>
          <c:w val="0.89093095636884034"/>
          <c:h val="0.49142430590671576"/>
        </c:manualLayout>
      </c:layout>
      <c:barChart>
        <c:barDir val="col"/>
        <c:grouping val="stacked"/>
        <c:varyColors val="0"/>
        <c:ser>
          <c:idx val="5"/>
          <c:order val="0"/>
          <c:tx>
            <c:strRef>
              <c:f>'BÚ PB'!$A$3</c:f>
              <c:strCache>
                <c:ptCount val="1"/>
                <c:pt idx="0">
                  <c:v>Tovary</c:v>
                </c:pt>
              </c:strCache>
            </c:strRef>
          </c:tx>
          <c:spPr>
            <a:solidFill>
              <a:srgbClr val="2C9ADC"/>
            </a:solidFill>
          </c:spPr>
          <c:invertIfNegative val="0"/>
          <c:cat>
            <c:numRef>
              <c:f>'BÚ PB'!$I$1:$Q$1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'BÚ PB'!$I$3:$Q$3</c:f>
              <c:numCache>
                <c:formatCode>0.0</c:formatCode>
                <c:ptCount val="9"/>
                <c:pt idx="0">
                  <c:v>0.99598790395851822</c:v>
                </c:pt>
                <c:pt idx="1">
                  <c:v>1.5431228684525318</c:v>
                </c:pt>
                <c:pt idx="2">
                  <c:v>0.7051555738057832</c:v>
                </c:pt>
                <c:pt idx="3">
                  <c:v>-0.26540259225141311</c:v>
                </c:pt>
                <c:pt idx="4">
                  <c:v>-1.2020767968128721</c:v>
                </c:pt>
                <c:pt idx="5">
                  <c:v>1.0864166309055334</c:v>
                </c:pt>
                <c:pt idx="6">
                  <c:v>-0.32197742572241322</c:v>
                </c:pt>
                <c:pt idx="7">
                  <c:v>-5.5272787631055538</c:v>
                </c:pt>
                <c:pt idx="8">
                  <c:v>1.3375954445685048</c:v>
                </c:pt>
              </c:numCache>
            </c:numRef>
          </c:val>
          <c:extLst>
            <c:ext xmlns:c16="http://schemas.microsoft.com/office/drawing/2014/chart" uri="{C3380CC4-5D6E-409C-BE32-E72D297353CC}">
              <c16:uniqueId val="{00000000-4985-46C6-9846-769DF2F19960}"/>
            </c:ext>
          </c:extLst>
        </c:ser>
        <c:ser>
          <c:idx val="8"/>
          <c:order val="1"/>
          <c:tx>
            <c:strRef>
              <c:f>'BÚ PB'!$A$4</c:f>
              <c:strCache>
                <c:ptCount val="1"/>
                <c:pt idx="0">
                  <c:v>Služby</c:v>
                </c:pt>
              </c:strCache>
            </c:strRef>
          </c:tx>
          <c:spPr>
            <a:solidFill>
              <a:schemeClr val="tx2">
                <a:lumMod val="20000"/>
                <a:lumOff val="80000"/>
              </a:schemeClr>
            </a:solidFill>
            <a:ln>
              <a:noFill/>
            </a:ln>
          </c:spPr>
          <c:invertIfNegative val="0"/>
          <c:cat>
            <c:numRef>
              <c:f>'BÚ PB'!$I$1:$Q$1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'BÚ PB'!$I$4:$Q$4</c:f>
              <c:numCache>
                <c:formatCode>0.0</c:formatCode>
                <c:ptCount val="9"/>
                <c:pt idx="0">
                  <c:v>0.15963029561895895</c:v>
                </c:pt>
                <c:pt idx="1">
                  <c:v>0.47178312260782501</c:v>
                </c:pt>
                <c:pt idx="2">
                  <c:v>1.0422229600829587</c:v>
                </c:pt>
                <c:pt idx="3">
                  <c:v>1.0323458907392333</c:v>
                </c:pt>
                <c:pt idx="4">
                  <c:v>1.2904181919904789</c:v>
                </c:pt>
                <c:pt idx="5">
                  <c:v>1.0310630784389967</c:v>
                </c:pt>
                <c:pt idx="6">
                  <c:v>0.54425095243661359</c:v>
                </c:pt>
                <c:pt idx="7">
                  <c:v>0.3667484062175313</c:v>
                </c:pt>
                <c:pt idx="8">
                  <c:v>0.52619190371236413</c:v>
                </c:pt>
              </c:numCache>
            </c:numRef>
          </c:val>
          <c:extLst>
            <c:ext xmlns:c16="http://schemas.microsoft.com/office/drawing/2014/chart" uri="{C3380CC4-5D6E-409C-BE32-E72D297353CC}">
              <c16:uniqueId val="{00000001-4985-46C6-9846-769DF2F19960}"/>
            </c:ext>
          </c:extLst>
        </c:ser>
        <c:ser>
          <c:idx val="0"/>
          <c:order val="2"/>
          <c:tx>
            <c:strRef>
              <c:f>'BÚ PB'!$A$5</c:f>
              <c:strCache>
                <c:ptCount val="1"/>
                <c:pt idx="0">
                  <c:v>Primárne výnosy</c:v>
                </c:pt>
              </c:strCache>
            </c:strRef>
          </c:tx>
          <c:invertIfNegative val="0"/>
          <c:cat>
            <c:numRef>
              <c:f>'BÚ PB'!$I$1:$Q$1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'BÚ PB'!$I$5:$Q$5</c:f>
              <c:numCache>
                <c:formatCode>0.0</c:formatCode>
                <c:ptCount val="9"/>
                <c:pt idx="0">
                  <c:v>-1.7052120079602586</c:v>
                </c:pt>
                <c:pt idx="1">
                  <c:v>-3.0685374877341318</c:v>
                </c:pt>
                <c:pt idx="2">
                  <c:v>-2.1417790588679004</c:v>
                </c:pt>
                <c:pt idx="3">
                  <c:v>-1.7838725590973654</c:v>
                </c:pt>
                <c:pt idx="4">
                  <c:v>-2.3276695727375563</c:v>
                </c:pt>
                <c:pt idx="5">
                  <c:v>-0.80886276378382782</c:v>
                </c:pt>
                <c:pt idx="6">
                  <c:v>-3.2126502294983359</c:v>
                </c:pt>
                <c:pt idx="7">
                  <c:v>-1.4410254824783335</c:v>
                </c:pt>
                <c:pt idx="8">
                  <c:v>-2.5185844239365247</c:v>
                </c:pt>
              </c:numCache>
            </c:numRef>
          </c:val>
          <c:extLst>
            <c:ext xmlns:c16="http://schemas.microsoft.com/office/drawing/2014/chart" uri="{C3380CC4-5D6E-409C-BE32-E72D297353CC}">
              <c16:uniqueId val="{00000002-4985-46C6-9846-769DF2F19960}"/>
            </c:ext>
          </c:extLst>
        </c:ser>
        <c:ser>
          <c:idx val="1"/>
          <c:order val="3"/>
          <c:tx>
            <c:strRef>
              <c:f>'BÚ PB'!$A$6</c:f>
              <c:strCache>
                <c:ptCount val="1"/>
                <c:pt idx="0">
                  <c:v>Sekundárne výnosy</c:v>
                </c:pt>
              </c:strCache>
            </c:strRef>
          </c:tx>
          <c:invertIfNegative val="0"/>
          <c:cat>
            <c:numRef>
              <c:f>'BÚ PB'!$I$1:$Q$1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'BÚ PB'!$I$6:$Q$6</c:f>
              <c:numCache>
                <c:formatCode>0.0</c:formatCode>
                <c:ptCount val="9"/>
                <c:pt idx="0">
                  <c:v>-1.5331361806337933</c:v>
                </c:pt>
                <c:pt idx="1">
                  <c:v>-1.679624304608528</c:v>
                </c:pt>
                <c:pt idx="2">
                  <c:v>-1.5169503553194013</c:v>
                </c:pt>
                <c:pt idx="3">
                  <c:v>-1.1783358158452901</c:v>
                </c:pt>
                <c:pt idx="4">
                  <c:v>-1.109966648204961</c:v>
                </c:pt>
                <c:pt idx="5">
                  <c:v>-0.74591163058983911</c:v>
                </c:pt>
                <c:pt idx="6">
                  <c:v>-0.96982804667217759</c:v>
                </c:pt>
                <c:pt idx="7">
                  <c:v>-0.7366230933772705</c:v>
                </c:pt>
                <c:pt idx="8">
                  <c:v>-0.92322319401045105</c:v>
                </c:pt>
              </c:numCache>
            </c:numRef>
          </c:val>
          <c:extLst>
            <c:ext xmlns:c16="http://schemas.microsoft.com/office/drawing/2014/chart" uri="{C3380CC4-5D6E-409C-BE32-E72D297353CC}">
              <c16:uniqueId val="{00000003-4985-46C6-9846-769DF2F19960}"/>
            </c:ext>
          </c:extLst>
        </c:ser>
        <c:dLbls>
          <c:showLegendKey val="0"/>
          <c:showVal val="0"/>
          <c:showCatName val="0"/>
          <c:showSerName val="0"/>
          <c:showPercent val="0"/>
          <c:showBubbleSize val="0"/>
        </c:dLbls>
        <c:gapWidth val="150"/>
        <c:overlap val="100"/>
        <c:axId val="158352032"/>
        <c:axId val="158353208"/>
      </c:barChart>
      <c:lineChart>
        <c:grouping val="standard"/>
        <c:varyColors val="0"/>
        <c:ser>
          <c:idx val="3"/>
          <c:order val="4"/>
          <c:tx>
            <c:strRef>
              <c:f>'BÚ PB'!$A$2</c:f>
              <c:strCache>
                <c:ptCount val="1"/>
                <c:pt idx="0">
                  <c:v>BÚ PB</c:v>
                </c:pt>
              </c:strCache>
            </c:strRef>
          </c:tx>
          <c:spPr>
            <a:ln w="19050">
              <a:solidFill>
                <a:sysClr val="windowText" lastClr="000000"/>
              </a:solidFill>
            </a:ln>
          </c:spPr>
          <c:marker>
            <c:symbol val="none"/>
          </c:marker>
          <c:val>
            <c:numRef>
              <c:f>'BÚ PB'!$I$2:$Q$2</c:f>
              <c:numCache>
                <c:formatCode>0.0</c:formatCode>
                <c:ptCount val="9"/>
                <c:pt idx="0">
                  <c:v>-2.0827299890165749</c:v>
                </c:pt>
                <c:pt idx="1">
                  <c:v>-2.7332558012823025</c:v>
                </c:pt>
                <c:pt idx="2">
                  <c:v>-1.9113508802985595</c:v>
                </c:pt>
                <c:pt idx="3">
                  <c:v>-2.1952650764548354</c:v>
                </c:pt>
                <c:pt idx="4">
                  <c:v>-3.3492948257649111</c:v>
                </c:pt>
                <c:pt idx="5">
                  <c:v>0.56270531497086329</c:v>
                </c:pt>
                <c:pt idx="6">
                  <c:v>-3.9602047494563126</c:v>
                </c:pt>
                <c:pt idx="7">
                  <c:v>-7.3381789327436264</c:v>
                </c:pt>
                <c:pt idx="8">
                  <c:v>-1.578020269666107</c:v>
                </c:pt>
              </c:numCache>
            </c:numRef>
          </c:val>
          <c:smooth val="0"/>
          <c:extLst>
            <c:ext xmlns:c16="http://schemas.microsoft.com/office/drawing/2014/chart" uri="{C3380CC4-5D6E-409C-BE32-E72D297353CC}">
              <c16:uniqueId val="{00000004-4985-46C6-9846-769DF2F19960}"/>
            </c:ext>
          </c:extLst>
        </c:ser>
        <c:dLbls>
          <c:showLegendKey val="0"/>
          <c:showVal val="0"/>
          <c:showCatName val="0"/>
          <c:showSerName val="0"/>
          <c:showPercent val="0"/>
          <c:showBubbleSize val="0"/>
        </c:dLbls>
        <c:marker val="1"/>
        <c:smooth val="0"/>
        <c:axId val="158352032"/>
        <c:axId val="158353208"/>
      </c:lineChart>
      <c:catAx>
        <c:axId val="158352032"/>
        <c:scaling>
          <c:orientation val="minMax"/>
        </c:scaling>
        <c:delete val="0"/>
        <c:axPos val="b"/>
        <c:numFmt formatCode="General" sourceLinked="1"/>
        <c:majorTickMark val="out"/>
        <c:minorTickMark val="none"/>
        <c:tickLblPos val="low"/>
        <c:txPr>
          <a:bodyPr/>
          <a:lstStyle/>
          <a:p>
            <a:pPr>
              <a:defRPr sz="800" baseline="0">
                <a:latin typeface="Times New Roman" panose="02020603050405020304" pitchFamily="18" charset="0"/>
              </a:defRPr>
            </a:pPr>
            <a:endParaRPr lang="sk-SK"/>
          </a:p>
        </c:txPr>
        <c:crossAx val="158353208"/>
        <c:crosses val="autoZero"/>
        <c:auto val="1"/>
        <c:lblAlgn val="ctr"/>
        <c:lblOffset val="100"/>
        <c:noMultiLvlLbl val="0"/>
      </c:catAx>
      <c:valAx>
        <c:axId val="158353208"/>
        <c:scaling>
          <c:orientation val="minMax"/>
          <c:max val="5"/>
          <c:min val="-10"/>
        </c:scaling>
        <c:delete val="0"/>
        <c:axPos val="l"/>
        <c:majorGridlines>
          <c:spPr>
            <a:ln>
              <a:solidFill>
                <a:schemeClr val="bg1">
                  <a:lumMod val="75000"/>
                </a:schemeClr>
              </a:solidFill>
              <a:prstDash val="dash"/>
            </a:ln>
          </c:spPr>
        </c:majorGridlines>
        <c:numFmt formatCode="0.0" sourceLinked="0"/>
        <c:majorTickMark val="out"/>
        <c:minorTickMark val="none"/>
        <c:tickLblPos val="nextTo"/>
        <c:txPr>
          <a:bodyPr/>
          <a:lstStyle/>
          <a:p>
            <a:pPr>
              <a:defRPr sz="900" baseline="0">
                <a:latin typeface="Times New Roman" panose="02020603050405020304" pitchFamily="18" charset="0"/>
              </a:defRPr>
            </a:pPr>
            <a:endParaRPr lang="sk-SK"/>
          </a:p>
        </c:txPr>
        <c:crossAx val="158352032"/>
        <c:crosses val="autoZero"/>
        <c:crossBetween val="between"/>
      </c:valAx>
    </c:plotArea>
    <c:legend>
      <c:legendPos val="b"/>
      <c:layout>
        <c:manualLayout>
          <c:xMode val="edge"/>
          <c:yMode val="edge"/>
          <c:x val="5.7451772901010958E-2"/>
          <c:y val="0.75165595126297291"/>
          <c:w val="0.9104445974671419"/>
          <c:h val="0.2116468010306051"/>
        </c:manualLayout>
      </c:layout>
      <c:overlay val="0"/>
      <c:txPr>
        <a:bodyPr/>
        <a:lstStyle/>
        <a:p>
          <a:pPr>
            <a:defRPr sz="700" baseline="0">
              <a:latin typeface="Times New Roman" panose="02020603050405020304" pitchFamily="18" charset="0"/>
            </a:defRPr>
          </a:pPr>
          <a:endParaRPr lang="sk-SK"/>
        </a:p>
      </c:txPr>
    </c:legend>
    <c:plotVisOnly val="1"/>
    <c:dispBlanksAs val="gap"/>
    <c:showDLblsOverMax val="0"/>
  </c:chart>
  <c:spPr>
    <a:ln>
      <a:noFill/>
    </a:ln>
  </c:spPr>
  <c:txPr>
    <a:bodyPr/>
    <a:lstStyle/>
    <a:p>
      <a:pPr>
        <a:defRPr>
          <a:latin typeface="Arial Narrow" pitchFamily="34" charset="0"/>
        </a:defRPr>
      </a:pPr>
      <a:endParaRPr lang="sk-SK"/>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516200961605477"/>
          <c:y val="1.4703162104736907E-3"/>
          <c:w val="0.51217580656400274"/>
          <c:h val="0.99235495563054621"/>
        </c:manualLayout>
      </c:layout>
      <c:barChart>
        <c:barDir val="bar"/>
        <c:grouping val="stacked"/>
        <c:varyColors val="0"/>
        <c:ser>
          <c:idx val="0"/>
          <c:order val="0"/>
          <c:spPr>
            <a:solidFill>
              <a:srgbClr val="C5E0B4"/>
            </a:solidFill>
            <a:ln>
              <a:noFill/>
            </a:ln>
          </c:spPr>
          <c:invertIfNegative val="0"/>
          <c:cat>
            <c:strRef>
              <c:f>'vs. RVS'!$L$172:$L$177</c:f>
              <c:strCache>
                <c:ptCount val="6"/>
                <c:pt idx="0">
                  <c:v>Hrubý dlh (RVS 2023-2025)</c:v>
                </c:pt>
                <c:pt idx="1">
                  <c:v>Deficit verejnej správy</c:v>
                </c:pt>
                <c:pt idx="2">
                  <c:v>Vplyv zmeny nominálneho HDP</c:v>
                </c:pt>
                <c:pt idx="3">
                  <c:v>Zosúladenie deficitu a dlhu a iné zmeny (bez hotovosti VS)</c:v>
                </c:pt>
                <c:pt idx="4">
                  <c:v>Zmena hotovosti VS</c:v>
                </c:pt>
                <c:pt idx="5">
                  <c:v>Hrubý dlh (skutočnosť 2023)</c:v>
                </c:pt>
              </c:strCache>
            </c:strRef>
          </c:cat>
          <c:val>
            <c:numRef>
              <c:f>'vs. RVS'!$P$172:$P$177</c:f>
              <c:numCache>
                <c:formatCode>General</c:formatCode>
                <c:ptCount val="6"/>
                <c:pt idx="1">
                  <c:v>0</c:v>
                </c:pt>
                <c:pt idx="2">
                  <c:v>0</c:v>
                </c:pt>
                <c:pt idx="3">
                  <c:v>0</c:v>
                </c:pt>
                <c:pt idx="4">
                  <c:v>0</c:v>
                </c:pt>
              </c:numCache>
            </c:numRef>
          </c:val>
          <c:extLst>
            <c:ext xmlns:c16="http://schemas.microsoft.com/office/drawing/2014/chart" uri="{C3380CC4-5D6E-409C-BE32-E72D297353CC}">
              <c16:uniqueId val="{00000000-DF4D-46D6-AC44-294776BD3582}"/>
            </c:ext>
          </c:extLst>
        </c:ser>
        <c:ser>
          <c:idx val="1"/>
          <c:order val="1"/>
          <c:spPr>
            <a:noFill/>
          </c:spPr>
          <c:invertIfNegative val="0"/>
          <c:cat>
            <c:strRef>
              <c:f>'vs. RVS'!$L$172:$L$177</c:f>
              <c:strCache>
                <c:ptCount val="6"/>
                <c:pt idx="0">
                  <c:v>Hrubý dlh (RVS 2023-2025)</c:v>
                </c:pt>
                <c:pt idx="1">
                  <c:v>Deficit verejnej správy</c:v>
                </c:pt>
                <c:pt idx="2">
                  <c:v>Vplyv zmeny nominálneho HDP</c:v>
                </c:pt>
                <c:pt idx="3">
                  <c:v>Zosúladenie deficitu a dlhu a iné zmeny (bez hotovosti VS)</c:v>
                </c:pt>
                <c:pt idx="4">
                  <c:v>Zmena hotovosti VS</c:v>
                </c:pt>
                <c:pt idx="5">
                  <c:v>Hrubý dlh (skutočnosť 2023)</c:v>
                </c:pt>
              </c:strCache>
            </c:strRef>
          </c:cat>
          <c:val>
            <c:numRef>
              <c:f>'vs. RVS'!$Q$172:$Q$177</c:f>
              <c:numCache>
                <c:formatCode>#\ ##0.0</c:formatCode>
                <c:ptCount val="6"/>
                <c:pt idx="1">
                  <c:v>53.446940692059073</c:v>
                </c:pt>
                <c:pt idx="2">
                  <c:v>53.208979192878445</c:v>
                </c:pt>
                <c:pt idx="3">
                  <c:v>53.208979192878445</c:v>
                </c:pt>
                <c:pt idx="4">
                  <c:v>54.378542959818759</c:v>
                </c:pt>
              </c:numCache>
            </c:numRef>
          </c:val>
          <c:extLst>
            <c:ext xmlns:c16="http://schemas.microsoft.com/office/drawing/2014/chart" uri="{C3380CC4-5D6E-409C-BE32-E72D297353CC}">
              <c16:uniqueId val="{00000001-DF4D-46D6-AC44-294776BD3582}"/>
            </c:ext>
          </c:extLst>
        </c:ser>
        <c:ser>
          <c:idx val="2"/>
          <c:order val="2"/>
          <c:spPr>
            <a:solidFill>
              <a:srgbClr val="F8CBAD"/>
            </a:solidFill>
          </c:spPr>
          <c:invertIfNegative val="0"/>
          <c:dPt>
            <c:idx val="0"/>
            <c:invertIfNegative val="0"/>
            <c:bubble3D val="0"/>
            <c:spPr>
              <a:solidFill>
                <a:schemeClr val="accent1">
                  <a:lumMod val="40000"/>
                  <a:lumOff val="60000"/>
                </a:schemeClr>
              </a:solidFill>
              <a:ln>
                <a:noFill/>
              </a:ln>
            </c:spPr>
            <c:extLst>
              <c:ext xmlns:c16="http://schemas.microsoft.com/office/drawing/2014/chart" uri="{C3380CC4-5D6E-409C-BE32-E72D297353CC}">
                <c16:uniqueId val="{00000003-DF4D-46D6-AC44-294776BD3582}"/>
              </c:ext>
            </c:extLst>
          </c:dPt>
          <c:dPt>
            <c:idx val="1"/>
            <c:invertIfNegative val="0"/>
            <c:bubble3D val="0"/>
            <c:spPr>
              <a:solidFill>
                <a:schemeClr val="accent3">
                  <a:lumMod val="75000"/>
                </a:schemeClr>
              </a:solidFill>
            </c:spPr>
            <c:extLst>
              <c:ext xmlns:c16="http://schemas.microsoft.com/office/drawing/2014/chart" uri="{C3380CC4-5D6E-409C-BE32-E72D297353CC}">
                <c16:uniqueId val="{00000005-DF4D-46D6-AC44-294776BD3582}"/>
              </c:ext>
            </c:extLst>
          </c:dPt>
          <c:dPt>
            <c:idx val="2"/>
            <c:invertIfNegative val="0"/>
            <c:bubble3D val="0"/>
            <c:spPr>
              <a:solidFill>
                <a:schemeClr val="accent3">
                  <a:lumMod val="75000"/>
                </a:schemeClr>
              </a:solidFill>
            </c:spPr>
            <c:extLst>
              <c:ext xmlns:c16="http://schemas.microsoft.com/office/drawing/2014/chart" uri="{C3380CC4-5D6E-409C-BE32-E72D297353CC}">
                <c16:uniqueId val="{00000007-DF4D-46D6-AC44-294776BD3582}"/>
              </c:ext>
            </c:extLst>
          </c:dPt>
          <c:dPt>
            <c:idx val="3"/>
            <c:invertIfNegative val="0"/>
            <c:bubble3D val="0"/>
            <c:spPr>
              <a:solidFill>
                <a:schemeClr val="accent6">
                  <a:lumMod val="90000"/>
                </a:schemeClr>
              </a:solidFill>
            </c:spPr>
            <c:extLst>
              <c:ext xmlns:c16="http://schemas.microsoft.com/office/drawing/2014/chart" uri="{C3380CC4-5D6E-409C-BE32-E72D297353CC}">
                <c16:uniqueId val="{00000009-DF4D-46D6-AC44-294776BD3582}"/>
              </c:ext>
            </c:extLst>
          </c:dPt>
          <c:dPt>
            <c:idx val="4"/>
            <c:invertIfNegative val="0"/>
            <c:bubble3D val="0"/>
            <c:spPr>
              <a:solidFill>
                <a:schemeClr val="accent6">
                  <a:lumMod val="90000"/>
                </a:schemeClr>
              </a:solidFill>
            </c:spPr>
            <c:extLst>
              <c:ext xmlns:c16="http://schemas.microsoft.com/office/drawing/2014/chart" uri="{C3380CC4-5D6E-409C-BE32-E72D297353CC}">
                <c16:uniqueId val="{0000000B-DF4D-46D6-AC44-294776BD3582}"/>
              </c:ext>
            </c:extLst>
          </c:dPt>
          <c:dPt>
            <c:idx val="5"/>
            <c:invertIfNegative val="0"/>
            <c:bubble3D val="0"/>
            <c:spPr>
              <a:solidFill>
                <a:srgbClr val="002060"/>
              </a:solidFill>
            </c:spPr>
            <c:extLst>
              <c:ext xmlns:c16="http://schemas.microsoft.com/office/drawing/2014/chart" uri="{C3380CC4-5D6E-409C-BE32-E72D297353CC}">
                <c16:uniqueId val="{0000000D-DF4D-46D6-AC44-294776BD3582}"/>
              </c:ext>
            </c:extLst>
          </c:dPt>
          <c:dLbls>
            <c:dLbl>
              <c:idx val="0"/>
              <c:spPr>
                <a:noFill/>
                <a:ln>
                  <a:noFill/>
                </a:ln>
                <a:effectLst/>
              </c:spPr>
              <c:txPr>
                <a:bodyPr/>
                <a:lstStyle/>
                <a:p>
                  <a:pPr>
                    <a:defRPr b="1"/>
                  </a:pPr>
                  <a:endParaRPr lang="sk-SK"/>
                </a:p>
              </c:txPr>
              <c:showLegendKey val="0"/>
              <c:showVal val="1"/>
              <c:showCatName val="0"/>
              <c:showSerName val="0"/>
              <c:showPercent val="0"/>
              <c:showBubbleSize val="0"/>
              <c:extLst>
                <c:ext xmlns:c16="http://schemas.microsoft.com/office/drawing/2014/chart" uri="{C3380CC4-5D6E-409C-BE32-E72D297353CC}">
                  <c16:uniqueId val="{00000003-DF4D-46D6-AC44-294776BD3582}"/>
                </c:ext>
              </c:extLst>
            </c:dLbl>
            <c:dLbl>
              <c:idx val="1"/>
              <c:layout>
                <c:manualLayout>
                  <c:x val="-0.17090133091770623"/>
                  <c:y val="1.9997500312460961E-6"/>
                </c:manualLayout>
              </c:layout>
              <c:tx>
                <c:rich>
                  <a:bodyPr/>
                  <a:lstStyle/>
                  <a:p>
                    <a:r>
                      <a:rPr lang="en-US"/>
                      <a:t>-</a:t>
                    </a:r>
                    <a:fld id="{AEC2EF1A-F2EB-406C-B7D3-EDA489009DCA}" type="VALUE">
                      <a:rPr lang="en-US"/>
                      <a:pPr/>
                      <a:t>[HODNOTA]</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F4D-46D6-AC44-294776BD3582}"/>
                </c:ext>
              </c:extLst>
            </c:dLbl>
            <c:dLbl>
              <c:idx val="2"/>
              <c:layout>
                <c:manualLayout>
                  <c:x val="-4.9947738833530805E-2"/>
                  <c:y val="1.499812523434572E-6"/>
                </c:manualLayout>
              </c:layout>
              <c:tx>
                <c:rich>
                  <a:bodyPr/>
                  <a:lstStyle/>
                  <a:p>
                    <a:r>
                      <a:rPr lang="en-US"/>
                      <a:t>-</a:t>
                    </a:r>
                    <a:fld id="{A3632761-E734-43DA-8BF7-1575685CE20C}" type="VALUE">
                      <a:rPr lang="en-US"/>
                      <a:pPr/>
                      <a:t>[HODNOTA]</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F4D-46D6-AC44-294776BD3582}"/>
                </c:ext>
              </c:extLst>
            </c:dLbl>
            <c:dLbl>
              <c:idx val="3"/>
              <c:layout>
                <c:manualLayout>
                  <c:x val="7.6520040125020214E-2"/>
                  <c:y val="2.329461767952609E-6"/>
                </c:manualLayout>
              </c:layout>
              <c:tx>
                <c:rich>
                  <a:bodyPr/>
                  <a:lstStyle/>
                  <a:p>
                    <a:r>
                      <a:rPr lang="en-US"/>
                      <a:t>+</a:t>
                    </a:r>
                    <a:fld id="{29086708-0BED-4D7C-B8E9-B3D8E70A5C15}" type="VALUE">
                      <a:rPr lang="en-US"/>
                      <a:pPr/>
                      <a:t>[HODNOTA]</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F4D-46D6-AC44-294776BD3582}"/>
                </c:ext>
              </c:extLst>
            </c:dLbl>
            <c:dLbl>
              <c:idx val="4"/>
              <c:layout>
                <c:manualLayout>
                  <c:x val="8.938393704962222E-2"/>
                  <c:y val="3.3278025270855249E-7"/>
                </c:manualLayout>
              </c:layout>
              <c:tx>
                <c:rich>
                  <a:bodyPr/>
                  <a:lstStyle/>
                  <a:p>
                    <a:pPr>
                      <a:defRPr/>
                    </a:pPr>
                    <a:r>
                      <a:rPr lang="en-US"/>
                      <a:t>+</a:t>
                    </a:r>
                    <a:fld id="{75B98BA5-A39A-4BEE-8EE1-348D74B98EA5}" type="VALUE">
                      <a:rPr lang="en-US"/>
                      <a:pPr>
                        <a:defRPr/>
                      </a:pPr>
                      <a:t>[HODNOTA]</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DF4D-46D6-AC44-294776BD3582}"/>
                </c:ext>
              </c:extLst>
            </c:dLbl>
            <c:dLbl>
              <c:idx val="5"/>
              <c:spPr>
                <a:noFill/>
                <a:ln>
                  <a:noFill/>
                </a:ln>
                <a:effectLst/>
              </c:spPr>
              <c:txPr>
                <a:bodyPr/>
                <a:lstStyle/>
                <a:p>
                  <a:pPr>
                    <a:defRPr b="1">
                      <a:solidFill>
                        <a:schemeClr val="bg1"/>
                      </a:solidFill>
                    </a:defRPr>
                  </a:pPr>
                  <a:endParaRPr lang="sk-SK"/>
                </a:p>
              </c:txPr>
              <c:showLegendKey val="0"/>
              <c:showVal val="1"/>
              <c:showCatName val="0"/>
              <c:showSerName val="0"/>
              <c:showPercent val="0"/>
              <c:showBubbleSize val="0"/>
              <c:extLst>
                <c:ext xmlns:c16="http://schemas.microsoft.com/office/drawing/2014/chart" uri="{C3380CC4-5D6E-409C-BE32-E72D297353CC}">
                  <c16:uniqueId val="{0000000D-DF4D-46D6-AC44-294776BD358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'vs. RVS'!$L$172:$L$177</c:f>
              <c:strCache>
                <c:ptCount val="6"/>
                <c:pt idx="0">
                  <c:v>Hrubý dlh (RVS 2023-2025)</c:v>
                </c:pt>
                <c:pt idx="1">
                  <c:v>Deficit verejnej správy</c:v>
                </c:pt>
                <c:pt idx="2">
                  <c:v>Vplyv zmeny nominálneho HDP</c:v>
                </c:pt>
                <c:pt idx="3">
                  <c:v>Zosúladenie deficitu a dlhu a iné zmeny (bez hotovosti VS)</c:v>
                </c:pt>
                <c:pt idx="4">
                  <c:v>Zmena hotovosti VS</c:v>
                </c:pt>
                <c:pt idx="5">
                  <c:v>Hrubý dlh (skutočnosť 2023)</c:v>
                </c:pt>
              </c:strCache>
            </c:strRef>
          </c:cat>
          <c:val>
            <c:numRef>
              <c:f>'vs. RVS'!$R$172:$R$177</c:f>
              <c:numCache>
                <c:formatCode>#\ ##0.0</c:formatCode>
                <c:ptCount val="6"/>
                <c:pt idx="0">
                  <c:v>57.86312957531019</c:v>
                </c:pt>
                <c:pt idx="1">
                  <c:v>4.4161888832511345</c:v>
                </c:pt>
                <c:pt idx="2">
                  <c:v>0.23796149918064213</c:v>
                </c:pt>
                <c:pt idx="3">
                  <c:v>1.1695637669403309</c:v>
                </c:pt>
                <c:pt idx="4">
                  <c:v>1.6661362611044424</c:v>
                </c:pt>
                <c:pt idx="5">
                  <c:v>56.0446792209232</c:v>
                </c:pt>
              </c:numCache>
            </c:numRef>
          </c:val>
          <c:extLst>
            <c:ext xmlns:c16="http://schemas.microsoft.com/office/drawing/2014/chart" uri="{C3380CC4-5D6E-409C-BE32-E72D297353CC}">
              <c16:uniqueId val="{0000000E-DF4D-46D6-AC44-294776BD3582}"/>
            </c:ext>
          </c:extLst>
        </c:ser>
        <c:dLbls>
          <c:showLegendKey val="0"/>
          <c:showVal val="0"/>
          <c:showCatName val="0"/>
          <c:showSerName val="0"/>
          <c:showPercent val="0"/>
          <c:showBubbleSize val="0"/>
        </c:dLbls>
        <c:gapWidth val="60"/>
        <c:overlap val="100"/>
        <c:axId val="174681088"/>
        <c:axId val="174842240"/>
      </c:barChart>
      <c:catAx>
        <c:axId val="174681088"/>
        <c:scaling>
          <c:orientation val="maxMin"/>
        </c:scaling>
        <c:delete val="0"/>
        <c:axPos val="l"/>
        <c:numFmt formatCode="General" sourceLinked="1"/>
        <c:majorTickMark val="none"/>
        <c:minorTickMark val="none"/>
        <c:tickLblPos val="low"/>
        <c:spPr>
          <a:ln>
            <a:solidFill>
              <a:schemeClr val="tx1"/>
            </a:solidFill>
            <a:prstDash val="solid"/>
          </a:ln>
        </c:spPr>
        <c:txPr>
          <a:bodyPr rot="0" vert="horz"/>
          <a:lstStyle/>
          <a:p>
            <a:pPr>
              <a:defRPr sz="800"/>
            </a:pPr>
            <a:endParaRPr lang="sk-SK"/>
          </a:p>
        </c:txPr>
        <c:crossAx val="174842240"/>
        <c:crosses val="autoZero"/>
        <c:auto val="1"/>
        <c:lblAlgn val="ctr"/>
        <c:lblOffset val="100"/>
        <c:noMultiLvlLbl val="0"/>
      </c:catAx>
      <c:valAx>
        <c:axId val="174842240"/>
        <c:scaling>
          <c:orientation val="minMax"/>
          <c:min val="50"/>
        </c:scaling>
        <c:delete val="1"/>
        <c:axPos val="t"/>
        <c:numFmt formatCode="General" sourceLinked="1"/>
        <c:majorTickMark val="out"/>
        <c:minorTickMark val="none"/>
        <c:tickLblPos val="none"/>
        <c:crossAx val="174681088"/>
        <c:crosses val="autoZero"/>
        <c:crossBetween val="between"/>
        <c:majorUnit val="1"/>
      </c:valAx>
    </c:plotArea>
    <c:plotVisOnly val="1"/>
    <c:dispBlanksAs val="gap"/>
    <c:showDLblsOverMax val="0"/>
  </c:chart>
  <c:spPr>
    <a:noFill/>
    <a:ln>
      <a:solidFill>
        <a:schemeClr val="bg1"/>
      </a:solidFill>
    </a:ln>
  </c:spPr>
  <c:txPr>
    <a:bodyPr/>
    <a:lstStyle/>
    <a:p>
      <a:pPr>
        <a:defRPr sz="700">
          <a:latin typeface="Times New Roman" panose="02020603050405020304" pitchFamily="18" charset="0"/>
          <a:cs typeface="Times New Roman" panose="02020603050405020304" pitchFamily="18" charset="0"/>
        </a:defRPr>
      </a:pPr>
      <a:endParaRPr lang="sk-SK"/>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584310902397271"/>
          <c:y val="6.8525868228735548E-2"/>
          <c:w val="0.84726574803149601"/>
          <c:h val="0.67145778652668442"/>
        </c:manualLayout>
      </c:layout>
      <c:barChart>
        <c:barDir val="col"/>
        <c:grouping val="clustered"/>
        <c:varyColors val="0"/>
        <c:ser>
          <c:idx val="0"/>
          <c:order val="0"/>
          <c:tx>
            <c:strRef>
              <c:f>'vs. RVS'!$B$97</c:f>
              <c:strCache>
                <c:ptCount val="1"/>
                <c:pt idx="0">
                  <c:v> Celkové príjmy VS </c:v>
                </c:pt>
              </c:strCache>
            </c:strRef>
          </c:tx>
          <c:spPr>
            <a:solidFill>
              <a:srgbClr val="2C9ADC"/>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'vs. RVS'!$C$90:$D$90</c:f>
              <c:numCache>
                <c:formatCode>General</c:formatCode>
                <c:ptCount val="2"/>
                <c:pt idx="0">
                  <c:v>2022</c:v>
                </c:pt>
                <c:pt idx="1">
                  <c:v>2023</c:v>
                </c:pt>
              </c:numCache>
            </c:numRef>
          </c:cat>
          <c:val>
            <c:numRef>
              <c:f>'vs. RVS'!$C$97:$D$97</c:f>
              <c:numCache>
                <c:formatCode>_-* #\ ##0\ _€_-;\-* #\ ##0\ _€_-;_-* "-"??\ _€_-;_-@_-</c:formatCode>
                <c:ptCount val="2"/>
                <c:pt idx="0">
                  <c:v>483.14000000000141</c:v>
                </c:pt>
                <c:pt idx="1">
                  <c:v>2704.465999999994</c:v>
                </c:pt>
              </c:numCache>
            </c:numRef>
          </c:val>
          <c:extLst>
            <c:ext xmlns:c16="http://schemas.microsoft.com/office/drawing/2014/chart" uri="{C3380CC4-5D6E-409C-BE32-E72D297353CC}">
              <c16:uniqueId val="{00000000-C970-495D-9FCD-548C867C7F97}"/>
            </c:ext>
          </c:extLst>
        </c:ser>
        <c:ser>
          <c:idx val="1"/>
          <c:order val="1"/>
          <c:tx>
            <c:strRef>
              <c:f>'vs. RVS'!$B$98</c:f>
              <c:strCache>
                <c:ptCount val="1"/>
                <c:pt idx="0">
                  <c:v> Celkové výdavky VS </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'vs. RVS'!$C$90:$D$90</c:f>
              <c:numCache>
                <c:formatCode>General</c:formatCode>
                <c:ptCount val="2"/>
                <c:pt idx="0">
                  <c:v>2022</c:v>
                </c:pt>
                <c:pt idx="1">
                  <c:v>2023</c:v>
                </c:pt>
              </c:numCache>
            </c:numRef>
          </c:cat>
          <c:val>
            <c:numRef>
              <c:f>'vs. RVS'!$C$98:$D$98</c:f>
              <c:numCache>
                <c:formatCode>_-* #\ ##0\ _€_-;\-* #\ ##0\ _€_-;_-* "-"??\ _€_-;_-@_-</c:formatCode>
                <c:ptCount val="2"/>
                <c:pt idx="0">
                  <c:v>-3079.1220000000085</c:v>
                </c:pt>
                <c:pt idx="1">
                  <c:v>843.0829999999994</c:v>
                </c:pt>
              </c:numCache>
            </c:numRef>
          </c:val>
          <c:extLst>
            <c:ext xmlns:c16="http://schemas.microsoft.com/office/drawing/2014/chart" uri="{C3380CC4-5D6E-409C-BE32-E72D297353CC}">
              <c16:uniqueId val="{00000001-C970-495D-9FCD-548C867C7F97}"/>
            </c:ext>
          </c:extLst>
        </c:ser>
        <c:dLbls>
          <c:showLegendKey val="0"/>
          <c:showVal val="0"/>
          <c:showCatName val="0"/>
          <c:showSerName val="0"/>
          <c:showPercent val="0"/>
          <c:showBubbleSize val="0"/>
        </c:dLbls>
        <c:gapWidth val="219"/>
        <c:overlap val="-27"/>
        <c:axId val="176269568"/>
        <c:axId val="177123328"/>
      </c:barChart>
      <c:catAx>
        <c:axId val="17626956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sk-SK"/>
          </a:p>
        </c:txPr>
        <c:crossAx val="177123328"/>
        <c:crosses val="autoZero"/>
        <c:auto val="1"/>
        <c:lblAlgn val="ctr"/>
        <c:lblOffset val="100"/>
        <c:noMultiLvlLbl val="0"/>
      </c:catAx>
      <c:valAx>
        <c:axId val="177123328"/>
        <c:scaling>
          <c:orientation val="minMax"/>
        </c:scaling>
        <c:delete val="0"/>
        <c:axPos val="l"/>
        <c:numFmt formatCode="_-* #\ ##0\ _€_-;\-* #\ ##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sk-SK"/>
          </a:p>
        </c:txPr>
        <c:crossAx val="176269568"/>
        <c:crosses val="autoZero"/>
        <c:crossBetween val="between"/>
      </c:valAx>
      <c:spPr>
        <a:noFill/>
        <a:ln>
          <a:noFill/>
        </a:ln>
        <a:effectLst/>
      </c:spPr>
    </c:plotArea>
    <c:legend>
      <c:legendPos val="b"/>
      <c:layout>
        <c:manualLayout>
          <c:xMode val="edge"/>
          <c:yMode val="edge"/>
          <c:x val="6.1189793246474222E-2"/>
          <c:y val="0.86665110257444289"/>
          <c:w val="0.92933602390179659"/>
          <c:h val="0.1153794454938415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sk-SK"/>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sk-SK"/>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Vlastné 2">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Vlastné 2">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9ED90-624F-466F-B779-A2C7468B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145</Pages>
  <Words>73135</Words>
  <Characters>416871</Characters>
  <Application>Microsoft Office Word</Application>
  <DocSecurity>0</DocSecurity>
  <Lines>3473</Lines>
  <Paragraphs>978</Paragraphs>
  <ScaleCrop>false</ScaleCrop>
  <HeadingPairs>
    <vt:vector size="2" baseType="variant">
      <vt:variant>
        <vt:lpstr>Názov</vt:lpstr>
      </vt:variant>
      <vt:variant>
        <vt:i4>1</vt:i4>
      </vt:variant>
    </vt:vector>
  </HeadingPairs>
  <TitlesOfParts>
    <vt:vector size="1" baseType="lpstr">
      <vt:lpstr/>
    </vt:vector>
  </TitlesOfParts>
  <Company>MF SR</Company>
  <LinksUpToDate>false</LinksUpToDate>
  <CharactersWithSpaces>489028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Suttova Jana</dc:creator>
  <cp:keywords/>
  <dc:description/>
  <cp:lastModifiedBy>Murinova Jana</cp:lastModifiedBy>
  <cp:revision>159</cp:revision>
  <cp:lastPrinted>2024-04-24T13:12:00Z</cp:lastPrinted>
  <dcterms:created xsi:type="dcterms:W3CDTF">2024-04-16T12:36:00Z</dcterms:created>
  <dcterms:modified xsi:type="dcterms:W3CDTF">2024-05-09T06:14:00Z</dcterms:modified>
</cp:coreProperties>
</file>