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0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4620"/>
        <w:gridCol w:w="850"/>
        <w:gridCol w:w="993"/>
        <w:gridCol w:w="850"/>
        <w:gridCol w:w="3544"/>
        <w:gridCol w:w="709"/>
        <w:gridCol w:w="1077"/>
        <w:gridCol w:w="1049"/>
        <w:gridCol w:w="1134"/>
      </w:tblGrid>
      <w:tr w:rsidR="00A56669" w:rsidRPr="00267A84" w:rsidTr="004E31F0">
        <w:tc>
          <w:tcPr>
            <w:tcW w:w="15508" w:type="dxa"/>
            <w:gridSpan w:val="10"/>
            <w:tcBorders>
              <w:top w:val="single" w:sz="12" w:space="0" w:color="auto"/>
              <w:left w:val="single" w:sz="12" w:space="0" w:color="auto"/>
              <w:bottom w:val="single" w:sz="4" w:space="0" w:color="auto"/>
              <w:right w:val="single" w:sz="12" w:space="0" w:color="auto"/>
            </w:tcBorders>
          </w:tcPr>
          <w:p w:rsidR="00A56669" w:rsidRPr="00267A84" w:rsidRDefault="00A56669" w:rsidP="00F1238A">
            <w:pPr>
              <w:pStyle w:val="Nadpis1"/>
              <w:rPr>
                <w:sz w:val="20"/>
                <w:szCs w:val="20"/>
              </w:rPr>
            </w:pPr>
            <w:r w:rsidRPr="00267A84">
              <w:rPr>
                <w:sz w:val="20"/>
                <w:szCs w:val="20"/>
              </w:rPr>
              <w:t>TABUĽKA  ZHODY</w:t>
            </w:r>
          </w:p>
          <w:p w:rsidR="00A56669" w:rsidRPr="00267A84" w:rsidRDefault="00A56669" w:rsidP="00F1238A">
            <w:pPr>
              <w:pStyle w:val="Zkladntext"/>
              <w:jc w:val="center"/>
              <w:rPr>
                <w:b/>
                <w:bCs/>
                <w:sz w:val="20"/>
                <w:szCs w:val="20"/>
              </w:rPr>
            </w:pPr>
            <w:r w:rsidRPr="00267A84">
              <w:rPr>
                <w:b/>
                <w:bCs/>
                <w:sz w:val="20"/>
                <w:szCs w:val="20"/>
              </w:rPr>
              <w:t>návrhu právneho predpisu s právom Európskej únie</w:t>
            </w:r>
          </w:p>
        </w:tc>
      </w:tr>
      <w:tr w:rsidR="00A56669" w:rsidRPr="00267A84" w:rsidTr="004E31F0">
        <w:trPr>
          <w:trHeight w:val="567"/>
        </w:trPr>
        <w:tc>
          <w:tcPr>
            <w:tcW w:w="6152" w:type="dxa"/>
            <w:gridSpan w:val="3"/>
            <w:tcBorders>
              <w:top w:val="single" w:sz="4" w:space="0" w:color="auto"/>
              <w:left w:val="single" w:sz="12" w:space="0" w:color="auto"/>
              <w:bottom w:val="single" w:sz="4" w:space="0" w:color="auto"/>
              <w:right w:val="single" w:sz="12" w:space="0" w:color="auto"/>
            </w:tcBorders>
          </w:tcPr>
          <w:p w:rsidR="00A56669" w:rsidRPr="00267A84" w:rsidRDefault="00A56669" w:rsidP="00F1238A">
            <w:pPr>
              <w:pStyle w:val="Nadpis4"/>
              <w:spacing w:before="120"/>
              <w:jc w:val="left"/>
              <w:rPr>
                <w:sz w:val="20"/>
                <w:szCs w:val="20"/>
              </w:rPr>
            </w:pPr>
            <w:r w:rsidRPr="00267A84">
              <w:rPr>
                <w:sz w:val="20"/>
                <w:szCs w:val="20"/>
              </w:rPr>
              <w:t>Smernica EÚ</w:t>
            </w:r>
          </w:p>
          <w:p w:rsidR="00A56669" w:rsidRPr="00267A84" w:rsidRDefault="00A56669" w:rsidP="00F1238A">
            <w:pPr>
              <w:pStyle w:val="Zkladntext3"/>
              <w:spacing w:line="240" w:lineRule="exact"/>
              <w:rPr>
                <w:b/>
                <w:bCs/>
                <w:color w:val="000000"/>
                <w:sz w:val="20"/>
                <w:szCs w:val="20"/>
              </w:rPr>
            </w:pPr>
          </w:p>
          <w:p w:rsidR="00A56669" w:rsidRPr="00267A84" w:rsidRDefault="00A56669" w:rsidP="00F1238A">
            <w:pPr>
              <w:pStyle w:val="Zkladntext3"/>
              <w:spacing w:line="240" w:lineRule="exact"/>
              <w:rPr>
                <w:b/>
                <w:bCs/>
                <w:color w:val="000000"/>
                <w:sz w:val="20"/>
                <w:szCs w:val="20"/>
              </w:rPr>
            </w:pPr>
            <w:r w:rsidRPr="00267A84">
              <w:rPr>
                <w:b/>
                <w:bCs/>
                <w:color w:val="000000"/>
                <w:sz w:val="20"/>
                <w:szCs w:val="20"/>
              </w:rPr>
              <w:t xml:space="preserve">SMERNICA EURÓPSKEHO PARLAMENTU A RADY </w:t>
            </w:r>
            <w:r w:rsidRPr="00267A84">
              <w:rPr>
                <w:b/>
                <w:bCs/>
                <w:color w:val="000000"/>
                <w:sz w:val="20"/>
                <w:szCs w:val="20"/>
                <w:u w:val="single"/>
              </w:rPr>
              <w:t>2013/34/EÚ</w:t>
            </w:r>
            <w:r w:rsidRPr="00267A84">
              <w:rPr>
                <w:b/>
                <w:bCs/>
                <w:color w:val="000000"/>
                <w:sz w:val="20"/>
                <w:szCs w:val="20"/>
              </w:rPr>
              <w:t xml:space="preserve"> </w:t>
            </w:r>
          </w:p>
          <w:p w:rsidR="00A56669" w:rsidRPr="00267A84" w:rsidRDefault="00A56669" w:rsidP="00F1238A">
            <w:pPr>
              <w:pStyle w:val="Zkladntext3"/>
              <w:spacing w:line="240" w:lineRule="exact"/>
              <w:rPr>
                <w:sz w:val="20"/>
                <w:szCs w:val="20"/>
              </w:rPr>
            </w:pPr>
            <w:r w:rsidRPr="00267A84">
              <w:rPr>
                <w:b/>
                <w:bCs/>
                <w:color w:val="000000"/>
                <w:sz w:val="20"/>
                <w:szCs w:val="20"/>
              </w:rPr>
              <w:t>z 26. júna 2013 o ročných účtovných závierkach, konsolidovaných účtovných závierkach a súvisiacich správach určitých druhov podnikov, ktorou sa mení smernica Európskeho parlamentu a Rady 2006/43/ES a zrušujú smernice Rady 78/660/EHS a 83/349/EHS</w:t>
            </w:r>
            <w:r w:rsidR="003C543D" w:rsidRPr="00267A84">
              <w:rPr>
                <w:b/>
                <w:bCs/>
                <w:color w:val="000000"/>
                <w:sz w:val="20"/>
                <w:szCs w:val="20"/>
              </w:rPr>
              <w:t xml:space="preserve"> (</w:t>
            </w:r>
            <w:r w:rsidR="003C543D" w:rsidRPr="00267A84">
              <w:rPr>
                <w:rStyle w:val="Zvraznenie"/>
                <w:b/>
                <w:i w:val="0"/>
                <w:color w:val="333333"/>
                <w:sz w:val="20"/>
                <w:szCs w:val="20"/>
                <w:shd w:val="clear" w:color="auto" w:fill="FFFFFF"/>
              </w:rPr>
              <w:t>Ú. v. EÚ L 182, 29.6.2013)</w:t>
            </w:r>
            <w:r w:rsidR="002B45B3" w:rsidRPr="00267A84">
              <w:rPr>
                <w:rStyle w:val="Zvraznenie"/>
                <w:b/>
                <w:i w:val="0"/>
                <w:color w:val="333333"/>
                <w:sz w:val="20"/>
                <w:szCs w:val="20"/>
                <w:shd w:val="clear" w:color="auto" w:fill="FFFFFF"/>
              </w:rPr>
              <w:t xml:space="preserve"> v platnom znení</w:t>
            </w:r>
          </w:p>
        </w:tc>
        <w:tc>
          <w:tcPr>
            <w:tcW w:w="9356" w:type="dxa"/>
            <w:gridSpan w:val="7"/>
            <w:tcBorders>
              <w:top w:val="single" w:sz="4" w:space="0" w:color="auto"/>
              <w:left w:val="nil"/>
              <w:bottom w:val="single" w:sz="4" w:space="0" w:color="auto"/>
              <w:right w:val="single" w:sz="12" w:space="0" w:color="auto"/>
            </w:tcBorders>
          </w:tcPr>
          <w:p w:rsidR="00A56669" w:rsidRPr="00267A84" w:rsidRDefault="00A56669" w:rsidP="00F1238A">
            <w:pPr>
              <w:pStyle w:val="Nadpis4"/>
              <w:spacing w:before="120"/>
              <w:jc w:val="left"/>
              <w:rPr>
                <w:sz w:val="20"/>
                <w:szCs w:val="20"/>
              </w:rPr>
            </w:pPr>
            <w:r w:rsidRPr="00267A84">
              <w:rPr>
                <w:sz w:val="20"/>
                <w:szCs w:val="20"/>
              </w:rPr>
              <w:t>Právne predpisy Slovenskej republiky</w:t>
            </w:r>
          </w:p>
          <w:p w:rsidR="00A56669" w:rsidRPr="00267A84" w:rsidRDefault="00A56669" w:rsidP="00F1238A">
            <w:pPr>
              <w:pStyle w:val="Zkladntext"/>
              <w:ind w:right="241"/>
              <w:jc w:val="both"/>
              <w:rPr>
                <w:b/>
                <w:sz w:val="20"/>
                <w:szCs w:val="20"/>
              </w:rPr>
            </w:pPr>
          </w:p>
          <w:p w:rsidR="00A56669" w:rsidRPr="00267A84" w:rsidRDefault="00A56669" w:rsidP="00B40D84">
            <w:pPr>
              <w:pStyle w:val="Zkladntext"/>
              <w:jc w:val="both"/>
              <w:rPr>
                <w:b/>
                <w:sz w:val="20"/>
                <w:szCs w:val="20"/>
              </w:rPr>
            </w:pPr>
            <w:r w:rsidRPr="00267A84">
              <w:rPr>
                <w:b/>
                <w:sz w:val="20"/>
                <w:szCs w:val="20"/>
              </w:rPr>
              <w:t xml:space="preserve">Návrh zákona, </w:t>
            </w:r>
            <w:r w:rsidR="00B40D84" w:rsidRPr="00267A84">
              <w:rPr>
                <w:b/>
                <w:sz w:val="20"/>
                <w:szCs w:val="20"/>
              </w:rPr>
              <w:t xml:space="preserve">o niektorých povinnostiach a oprávneniach v oblasti kryptoaktív a o zmene a doplnení niektorých zákonov </w:t>
            </w:r>
            <w:r w:rsidRPr="00267A84">
              <w:rPr>
                <w:b/>
                <w:sz w:val="20"/>
                <w:szCs w:val="20"/>
              </w:rPr>
              <w:t>(ďalej „návrh“)</w:t>
            </w:r>
          </w:p>
          <w:p w:rsidR="00A56669" w:rsidRPr="00267A84" w:rsidRDefault="00A56669" w:rsidP="00F1238A">
            <w:pPr>
              <w:pStyle w:val="Zkladntext"/>
              <w:jc w:val="both"/>
              <w:rPr>
                <w:sz w:val="20"/>
                <w:szCs w:val="20"/>
              </w:rPr>
            </w:pPr>
            <w:r w:rsidRPr="00267A84">
              <w:rPr>
                <w:sz w:val="20"/>
                <w:szCs w:val="20"/>
              </w:rPr>
              <w:t>Zákon č. 431/2002 Z. z. o účtovníctve v znení neskorších predpisov (ďalej „431/2002“).</w:t>
            </w:r>
          </w:p>
          <w:p w:rsidR="00A56669" w:rsidRPr="00267A84" w:rsidRDefault="00A56669" w:rsidP="00B40D84">
            <w:pPr>
              <w:adjustRightInd w:val="0"/>
              <w:jc w:val="both"/>
              <w:rPr>
                <w:b/>
                <w:sz w:val="20"/>
                <w:szCs w:val="20"/>
              </w:rPr>
            </w:pPr>
          </w:p>
        </w:tc>
      </w:tr>
      <w:tr w:rsidR="00A56669" w:rsidRPr="00267A84" w:rsidTr="004E31F0">
        <w:tc>
          <w:tcPr>
            <w:tcW w:w="682" w:type="dxa"/>
            <w:tcBorders>
              <w:top w:val="single" w:sz="4" w:space="0" w:color="auto"/>
              <w:left w:val="single" w:sz="12" w:space="0" w:color="auto"/>
              <w:bottom w:val="single" w:sz="4" w:space="0" w:color="auto"/>
              <w:right w:val="single" w:sz="4" w:space="0" w:color="auto"/>
            </w:tcBorders>
          </w:tcPr>
          <w:p w:rsidR="00A56669" w:rsidRPr="00267A84" w:rsidRDefault="00A56669" w:rsidP="00F1238A">
            <w:pPr>
              <w:jc w:val="center"/>
              <w:rPr>
                <w:sz w:val="20"/>
                <w:szCs w:val="20"/>
              </w:rPr>
            </w:pPr>
            <w:r w:rsidRPr="00267A84">
              <w:rPr>
                <w:sz w:val="20"/>
                <w:szCs w:val="20"/>
              </w:rPr>
              <w:t>1</w:t>
            </w:r>
          </w:p>
        </w:tc>
        <w:tc>
          <w:tcPr>
            <w:tcW w:w="4620"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jc w:val="center"/>
              <w:rPr>
                <w:sz w:val="20"/>
                <w:szCs w:val="20"/>
              </w:rPr>
            </w:pPr>
            <w:r w:rsidRPr="00267A84">
              <w:rPr>
                <w:sz w:val="20"/>
                <w:szCs w:val="20"/>
              </w:rPr>
              <w:t>2</w:t>
            </w:r>
          </w:p>
        </w:tc>
        <w:tc>
          <w:tcPr>
            <w:tcW w:w="850" w:type="dxa"/>
            <w:tcBorders>
              <w:top w:val="single" w:sz="4" w:space="0" w:color="auto"/>
              <w:left w:val="single" w:sz="4" w:space="0" w:color="auto"/>
              <w:bottom w:val="single" w:sz="4" w:space="0" w:color="auto"/>
              <w:right w:val="single" w:sz="12" w:space="0" w:color="auto"/>
            </w:tcBorders>
          </w:tcPr>
          <w:p w:rsidR="00A56669" w:rsidRPr="00267A84" w:rsidRDefault="00A56669" w:rsidP="00F1238A">
            <w:pPr>
              <w:jc w:val="center"/>
              <w:rPr>
                <w:sz w:val="20"/>
                <w:szCs w:val="20"/>
              </w:rPr>
            </w:pPr>
            <w:r w:rsidRPr="00267A84">
              <w:rPr>
                <w:sz w:val="20"/>
                <w:szCs w:val="20"/>
              </w:rPr>
              <w:t>3</w:t>
            </w:r>
          </w:p>
        </w:tc>
        <w:tc>
          <w:tcPr>
            <w:tcW w:w="993" w:type="dxa"/>
            <w:tcBorders>
              <w:top w:val="single" w:sz="4" w:space="0" w:color="auto"/>
              <w:left w:val="nil"/>
              <w:bottom w:val="single" w:sz="4" w:space="0" w:color="auto"/>
              <w:right w:val="single" w:sz="4" w:space="0" w:color="auto"/>
            </w:tcBorders>
          </w:tcPr>
          <w:p w:rsidR="00A56669" w:rsidRPr="00267A84" w:rsidRDefault="00A56669" w:rsidP="00F1238A">
            <w:pPr>
              <w:jc w:val="center"/>
              <w:rPr>
                <w:sz w:val="20"/>
                <w:szCs w:val="20"/>
              </w:rPr>
            </w:pPr>
            <w:r w:rsidRPr="00267A84">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Zkladntext2"/>
              <w:spacing w:line="240" w:lineRule="exact"/>
            </w:pPr>
            <w:r w:rsidRPr="00267A84">
              <w:t>5</w:t>
            </w:r>
          </w:p>
        </w:tc>
        <w:tc>
          <w:tcPr>
            <w:tcW w:w="3544"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Zkladntext2"/>
              <w:spacing w:line="240" w:lineRule="exact"/>
            </w:pPr>
            <w:r w:rsidRPr="00267A84">
              <w:t>6</w:t>
            </w:r>
          </w:p>
        </w:tc>
        <w:tc>
          <w:tcPr>
            <w:tcW w:w="709"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jc w:val="center"/>
              <w:rPr>
                <w:sz w:val="20"/>
                <w:szCs w:val="20"/>
              </w:rPr>
            </w:pPr>
            <w:r w:rsidRPr="00267A84">
              <w:rPr>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jc w:val="center"/>
              <w:rPr>
                <w:sz w:val="20"/>
                <w:szCs w:val="20"/>
              </w:rPr>
            </w:pPr>
            <w:r w:rsidRPr="00267A84">
              <w:rPr>
                <w:sz w:val="20"/>
                <w:szCs w:val="20"/>
              </w:rPr>
              <w:t>8</w:t>
            </w:r>
          </w:p>
        </w:tc>
        <w:tc>
          <w:tcPr>
            <w:tcW w:w="1049" w:type="dxa"/>
            <w:tcBorders>
              <w:top w:val="single" w:sz="4" w:space="0" w:color="auto"/>
              <w:left w:val="single" w:sz="4" w:space="0" w:color="auto"/>
              <w:bottom w:val="single" w:sz="4" w:space="0" w:color="auto"/>
              <w:right w:val="single" w:sz="12" w:space="0" w:color="auto"/>
            </w:tcBorders>
          </w:tcPr>
          <w:p w:rsidR="00A56669" w:rsidRPr="00267A84" w:rsidRDefault="00A56669" w:rsidP="00F1238A">
            <w:pPr>
              <w:jc w:val="center"/>
              <w:rPr>
                <w:sz w:val="20"/>
                <w:szCs w:val="20"/>
              </w:rPr>
            </w:pPr>
            <w:r w:rsidRPr="00267A84">
              <w:rPr>
                <w:sz w:val="20"/>
                <w:szCs w:val="20"/>
              </w:rPr>
              <w:t>9</w:t>
            </w:r>
          </w:p>
        </w:tc>
        <w:tc>
          <w:tcPr>
            <w:tcW w:w="1134" w:type="dxa"/>
            <w:tcBorders>
              <w:top w:val="single" w:sz="4" w:space="0" w:color="auto"/>
              <w:left w:val="single" w:sz="4" w:space="0" w:color="auto"/>
              <w:bottom w:val="single" w:sz="4" w:space="0" w:color="auto"/>
              <w:right w:val="single" w:sz="12" w:space="0" w:color="auto"/>
            </w:tcBorders>
          </w:tcPr>
          <w:p w:rsidR="00A56669" w:rsidRPr="00267A84" w:rsidRDefault="00A56669" w:rsidP="00F1238A">
            <w:pPr>
              <w:jc w:val="center"/>
              <w:rPr>
                <w:sz w:val="20"/>
                <w:szCs w:val="20"/>
              </w:rPr>
            </w:pPr>
            <w:r w:rsidRPr="00267A84">
              <w:rPr>
                <w:sz w:val="20"/>
                <w:szCs w:val="20"/>
              </w:rPr>
              <w:t>10</w:t>
            </w:r>
          </w:p>
        </w:tc>
      </w:tr>
      <w:tr w:rsidR="00A56669" w:rsidRPr="00267A84" w:rsidTr="004E31F0">
        <w:tc>
          <w:tcPr>
            <w:tcW w:w="682" w:type="dxa"/>
            <w:tcBorders>
              <w:top w:val="single" w:sz="4" w:space="0" w:color="auto"/>
              <w:left w:val="single" w:sz="12" w:space="0" w:color="auto"/>
              <w:bottom w:val="single" w:sz="4" w:space="0" w:color="auto"/>
              <w:right w:val="single" w:sz="4" w:space="0" w:color="auto"/>
            </w:tcBorders>
          </w:tcPr>
          <w:p w:rsidR="00A56669" w:rsidRPr="00267A84" w:rsidRDefault="00A56669" w:rsidP="00F1238A">
            <w:pPr>
              <w:pStyle w:val="Normlny0"/>
              <w:jc w:val="center"/>
            </w:pPr>
            <w:r w:rsidRPr="00267A84">
              <w:t>Článok</w:t>
            </w:r>
          </w:p>
          <w:p w:rsidR="00A56669" w:rsidRPr="00267A84" w:rsidRDefault="00A56669" w:rsidP="00F1238A">
            <w:pPr>
              <w:pStyle w:val="Normlny0"/>
              <w:jc w:val="center"/>
            </w:pPr>
            <w:r w:rsidRPr="00267A84">
              <w:t>(Č, O,</w:t>
            </w:r>
          </w:p>
          <w:p w:rsidR="00A56669" w:rsidRPr="00267A84" w:rsidRDefault="00A56669" w:rsidP="00F1238A">
            <w:pPr>
              <w:pStyle w:val="Normlny0"/>
              <w:jc w:val="center"/>
            </w:pPr>
            <w:r w:rsidRPr="00267A84">
              <w:t>V, P)</w:t>
            </w:r>
          </w:p>
        </w:tc>
        <w:tc>
          <w:tcPr>
            <w:tcW w:w="4620"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Normlny0"/>
              <w:jc w:val="center"/>
            </w:pPr>
            <w:r w:rsidRPr="00267A84">
              <w:t>Text</w:t>
            </w:r>
          </w:p>
        </w:tc>
        <w:tc>
          <w:tcPr>
            <w:tcW w:w="850" w:type="dxa"/>
            <w:tcBorders>
              <w:top w:val="single" w:sz="4" w:space="0" w:color="auto"/>
              <w:left w:val="single" w:sz="4" w:space="0" w:color="auto"/>
              <w:bottom w:val="single" w:sz="4" w:space="0" w:color="auto"/>
              <w:right w:val="single" w:sz="12" w:space="0" w:color="auto"/>
            </w:tcBorders>
          </w:tcPr>
          <w:p w:rsidR="00A56669" w:rsidRPr="00267A84" w:rsidRDefault="00A56669" w:rsidP="00F1238A">
            <w:pPr>
              <w:pStyle w:val="Normlny0"/>
              <w:jc w:val="center"/>
            </w:pPr>
            <w:r w:rsidRPr="00267A84">
              <w:t xml:space="preserve">Spôsob </w:t>
            </w:r>
            <w:proofErr w:type="spellStart"/>
            <w:r w:rsidRPr="00267A84">
              <w:t>transp</w:t>
            </w:r>
            <w:proofErr w:type="spellEnd"/>
            <w:r w:rsidRPr="00267A84">
              <w:t>.</w:t>
            </w:r>
          </w:p>
          <w:p w:rsidR="00A56669" w:rsidRPr="00267A84" w:rsidRDefault="00A56669" w:rsidP="00F1238A">
            <w:pPr>
              <w:pStyle w:val="Normlny0"/>
              <w:jc w:val="center"/>
            </w:pPr>
            <w:r w:rsidRPr="00267A84">
              <w:t xml:space="preserve">(N, O, D, </w:t>
            </w:r>
            <w:proofErr w:type="spellStart"/>
            <w:r w:rsidRPr="00267A84">
              <w:t>n.a</w:t>
            </w:r>
            <w:proofErr w:type="spellEnd"/>
            <w:r w:rsidRPr="00267A84">
              <w:t>.)</w:t>
            </w:r>
          </w:p>
        </w:tc>
        <w:tc>
          <w:tcPr>
            <w:tcW w:w="993" w:type="dxa"/>
            <w:tcBorders>
              <w:top w:val="single" w:sz="4" w:space="0" w:color="auto"/>
              <w:left w:val="nil"/>
              <w:bottom w:val="single" w:sz="4" w:space="0" w:color="auto"/>
              <w:right w:val="single" w:sz="4" w:space="0" w:color="auto"/>
            </w:tcBorders>
          </w:tcPr>
          <w:p w:rsidR="00A56669" w:rsidRPr="00267A84" w:rsidRDefault="00A56669" w:rsidP="00F1238A">
            <w:pPr>
              <w:pStyle w:val="Normlny0"/>
              <w:jc w:val="center"/>
            </w:pPr>
            <w:r w:rsidRPr="00267A84">
              <w:t>Číslo</w:t>
            </w:r>
          </w:p>
          <w:p w:rsidR="00A56669" w:rsidRPr="00267A84" w:rsidRDefault="00A56669" w:rsidP="00F1238A">
            <w:pPr>
              <w:pStyle w:val="Normlny0"/>
              <w:jc w:val="center"/>
            </w:pPr>
            <w:r w:rsidRPr="00267A84">
              <w:t>predpisu</w:t>
            </w:r>
          </w:p>
        </w:tc>
        <w:tc>
          <w:tcPr>
            <w:tcW w:w="850"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Normlny0"/>
              <w:jc w:val="center"/>
            </w:pPr>
            <w:r w:rsidRPr="00267A84">
              <w:t>Článok (Č, §, O, V, P)</w:t>
            </w:r>
          </w:p>
        </w:tc>
        <w:tc>
          <w:tcPr>
            <w:tcW w:w="3544"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Normlny0"/>
              <w:jc w:val="center"/>
            </w:pPr>
            <w:r w:rsidRPr="00267A84">
              <w:t>Text</w:t>
            </w:r>
          </w:p>
        </w:tc>
        <w:tc>
          <w:tcPr>
            <w:tcW w:w="709"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Normlny0"/>
              <w:ind w:left="-48" w:hanging="48"/>
              <w:jc w:val="center"/>
            </w:pPr>
            <w:r w:rsidRPr="00267A84">
              <w:t>Zhoda</w:t>
            </w:r>
          </w:p>
        </w:tc>
        <w:tc>
          <w:tcPr>
            <w:tcW w:w="1077" w:type="dxa"/>
            <w:tcBorders>
              <w:top w:val="single" w:sz="4" w:space="0" w:color="auto"/>
              <w:left w:val="single" w:sz="4" w:space="0" w:color="auto"/>
              <w:bottom w:val="single" w:sz="4" w:space="0" w:color="auto"/>
              <w:right w:val="single" w:sz="4" w:space="0" w:color="auto"/>
            </w:tcBorders>
          </w:tcPr>
          <w:p w:rsidR="00A56669" w:rsidRPr="00267A84" w:rsidRDefault="00A56669" w:rsidP="00F1238A">
            <w:pPr>
              <w:pStyle w:val="Normlny0"/>
              <w:jc w:val="center"/>
            </w:pPr>
            <w:r w:rsidRPr="00267A84">
              <w:t>Poznámky</w:t>
            </w:r>
          </w:p>
        </w:tc>
        <w:tc>
          <w:tcPr>
            <w:tcW w:w="1049" w:type="dxa"/>
            <w:tcBorders>
              <w:top w:val="single" w:sz="4" w:space="0" w:color="auto"/>
              <w:left w:val="single" w:sz="4" w:space="0" w:color="auto"/>
              <w:bottom w:val="single" w:sz="4" w:space="0" w:color="auto"/>
              <w:right w:val="single" w:sz="12" w:space="0" w:color="auto"/>
            </w:tcBorders>
          </w:tcPr>
          <w:p w:rsidR="00A56669" w:rsidRPr="00267A84" w:rsidRDefault="00A56669" w:rsidP="00A56669">
            <w:pPr>
              <w:pStyle w:val="Normlny0"/>
              <w:ind w:right="-42"/>
              <w:jc w:val="center"/>
            </w:pPr>
            <w:r w:rsidRPr="00267A84">
              <w:t xml:space="preserve">Identifikácia </w:t>
            </w:r>
            <w:proofErr w:type="spellStart"/>
            <w:r w:rsidRPr="00267A84">
              <w:t>goldplatingu</w:t>
            </w:r>
            <w:proofErr w:type="spellEnd"/>
          </w:p>
        </w:tc>
        <w:tc>
          <w:tcPr>
            <w:tcW w:w="1134" w:type="dxa"/>
            <w:tcBorders>
              <w:top w:val="single" w:sz="4" w:space="0" w:color="auto"/>
              <w:left w:val="single" w:sz="4" w:space="0" w:color="auto"/>
              <w:bottom w:val="single" w:sz="4" w:space="0" w:color="auto"/>
              <w:right w:val="single" w:sz="12" w:space="0" w:color="auto"/>
            </w:tcBorders>
          </w:tcPr>
          <w:p w:rsidR="00A56669" w:rsidRPr="00267A84" w:rsidRDefault="00A56669" w:rsidP="00F1238A">
            <w:pPr>
              <w:pStyle w:val="Normlny0"/>
              <w:jc w:val="center"/>
            </w:pPr>
            <w:r w:rsidRPr="00267A84">
              <w:t xml:space="preserve">Identifikácia oblasti </w:t>
            </w:r>
            <w:proofErr w:type="spellStart"/>
            <w:r w:rsidRPr="00267A84">
              <w:t>goldplatingu</w:t>
            </w:r>
            <w:proofErr w:type="spellEnd"/>
            <w:r w:rsidRPr="00267A84">
              <w:t xml:space="preserve"> a vyjadrenie k opodstatnenosti </w:t>
            </w:r>
            <w:proofErr w:type="spellStart"/>
            <w:r w:rsidRPr="00267A84">
              <w:t>goldplatingu</w:t>
            </w:r>
            <w:proofErr w:type="spellEnd"/>
            <w:r w:rsidRPr="00267A84">
              <w:t>*</w:t>
            </w:r>
          </w:p>
        </w:tc>
      </w:tr>
      <w:tr w:rsidR="00313EE7" w:rsidRPr="00267A84" w:rsidTr="00856953">
        <w:tc>
          <w:tcPr>
            <w:tcW w:w="682" w:type="dxa"/>
            <w:vMerge w:val="restart"/>
            <w:tcBorders>
              <w:top w:val="single" w:sz="4" w:space="0" w:color="auto"/>
              <w:left w:val="single" w:sz="12" w:space="0" w:color="auto"/>
              <w:right w:val="single" w:sz="4" w:space="0" w:color="auto"/>
            </w:tcBorders>
          </w:tcPr>
          <w:p w:rsidR="00313EE7" w:rsidRPr="00267A84" w:rsidRDefault="00313EE7" w:rsidP="00313EE7">
            <w:pPr>
              <w:jc w:val="center"/>
              <w:rPr>
                <w:sz w:val="20"/>
                <w:szCs w:val="20"/>
              </w:rPr>
            </w:pPr>
            <w:r w:rsidRPr="00267A84">
              <w:rPr>
                <w:sz w:val="20"/>
                <w:szCs w:val="20"/>
              </w:rPr>
              <w:t>C:12</w:t>
            </w:r>
          </w:p>
          <w:p w:rsidR="00313EE7" w:rsidRPr="00267A84" w:rsidRDefault="00313EE7" w:rsidP="00313EE7">
            <w:pPr>
              <w:jc w:val="center"/>
              <w:rPr>
                <w:sz w:val="20"/>
                <w:szCs w:val="20"/>
              </w:rPr>
            </w:pPr>
            <w:r w:rsidRPr="00267A84">
              <w:rPr>
                <w:sz w:val="20"/>
                <w:szCs w:val="20"/>
              </w:rPr>
              <w:t>O:9</w:t>
            </w:r>
          </w:p>
        </w:tc>
        <w:tc>
          <w:tcPr>
            <w:tcW w:w="4620" w:type="dxa"/>
            <w:vMerge w:val="restart"/>
            <w:tcBorders>
              <w:top w:val="single" w:sz="4" w:space="0" w:color="auto"/>
              <w:left w:val="single" w:sz="4" w:space="0" w:color="auto"/>
              <w:right w:val="single" w:sz="4" w:space="0" w:color="auto"/>
            </w:tcBorders>
          </w:tcPr>
          <w:p w:rsidR="00313EE7" w:rsidRPr="00267A84" w:rsidRDefault="00313EE7" w:rsidP="00313EE7">
            <w:pPr>
              <w:adjustRightInd w:val="0"/>
              <w:rPr>
                <w:bCs/>
                <w:sz w:val="20"/>
                <w:szCs w:val="20"/>
              </w:rPr>
            </w:pPr>
            <w:r w:rsidRPr="00267A84">
              <w:rPr>
                <w:bCs/>
                <w:sz w:val="20"/>
                <w:szCs w:val="20"/>
              </w:rPr>
              <w:t>Členské štáty môžu povoliť, aby sa obstarávacia cena alebo výrobné náklady zásob tovaru rovnakej kategórie, ako aj všetkých zameniteľných položiek vrátane finančných investícií počítali buď na základe váženého priemeru cien, metódou „</w:t>
            </w:r>
            <w:proofErr w:type="spellStart"/>
            <w:r w:rsidRPr="00267A84">
              <w:rPr>
                <w:bCs/>
                <w:sz w:val="20"/>
                <w:szCs w:val="20"/>
              </w:rPr>
              <w:t>First</w:t>
            </w:r>
            <w:proofErr w:type="spellEnd"/>
            <w:r w:rsidRPr="00267A84">
              <w:rPr>
                <w:bCs/>
                <w:sz w:val="20"/>
                <w:szCs w:val="20"/>
              </w:rPr>
              <w:t xml:space="preserve"> in — </w:t>
            </w:r>
            <w:proofErr w:type="spellStart"/>
            <w:r w:rsidRPr="00267A84">
              <w:rPr>
                <w:bCs/>
                <w:sz w:val="20"/>
                <w:szCs w:val="20"/>
              </w:rPr>
              <w:t>First</w:t>
            </w:r>
            <w:proofErr w:type="spellEnd"/>
            <w:r w:rsidRPr="00267A84">
              <w:rPr>
                <w:bCs/>
                <w:sz w:val="20"/>
                <w:szCs w:val="20"/>
              </w:rPr>
              <w:t xml:space="preserve"> </w:t>
            </w:r>
            <w:proofErr w:type="spellStart"/>
            <w:r w:rsidRPr="00267A84">
              <w:rPr>
                <w:bCs/>
                <w:sz w:val="20"/>
                <w:szCs w:val="20"/>
              </w:rPr>
              <w:t>out</w:t>
            </w:r>
            <w:proofErr w:type="spellEnd"/>
            <w:r w:rsidRPr="00267A84">
              <w:rPr>
                <w:bCs/>
                <w:sz w:val="20"/>
                <w:szCs w:val="20"/>
              </w:rPr>
              <w:t xml:space="preserve"> (FIFO)“, metódou „</w:t>
            </w:r>
            <w:proofErr w:type="spellStart"/>
            <w:r w:rsidRPr="00267A84">
              <w:rPr>
                <w:bCs/>
                <w:sz w:val="20"/>
                <w:szCs w:val="20"/>
              </w:rPr>
              <w:t>Last</w:t>
            </w:r>
            <w:proofErr w:type="spellEnd"/>
            <w:r w:rsidRPr="00267A84">
              <w:rPr>
                <w:bCs/>
                <w:sz w:val="20"/>
                <w:szCs w:val="20"/>
              </w:rPr>
              <w:t xml:space="preserve"> in — </w:t>
            </w:r>
            <w:proofErr w:type="spellStart"/>
            <w:r w:rsidRPr="00267A84">
              <w:rPr>
                <w:bCs/>
                <w:sz w:val="20"/>
                <w:szCs w:val="20"/>
              </w:rPr>
              <w:t>First</w:t>
            </w:r>
            <w:proofErr w:type="spellEnd"/>
            <w:r w:rsidRPr="00267A84">
              <w:rPr>
                <w:bCs/>
                <w:sz w:val="20"/>
                <w:szCs w:val="20"/>
              </w:rPr>
              <w:t xml:space="preserve"> </w:t>
            </w:r>
            <w:proofErr w:type="spellStart"/>
            <w:r w:rsidRPr="00267A84">
              <w:rPr>
                <w:bCs/>
                <w:sz w:val="20"/>
                <w:szCs w:val="20"/>
              </w:rPr>
              <w:t>out</w:t>
            </w:r>
            <w:proofErr w:type="spellEnd"/>
            <w:r w:rsidRPr="00267A84">
              <w:rPr>
                <w:bCs/>
                <w:sz w:val="20"/>
                <w:szCs w:val="20"/>
              </w:rPr>
              <w:t xml:space="preserve"> (LIFO)“ alebo metódou zohľadňujúcou všeobecne uznávaný osvedčený postup.</w:t>
            </w:r>
          </w:p>
        </w:tc>
        <w:tc>
          <w:tcPr>
            <w:tcW w:w="850" w:type="dxa"/>
            <w:vMerge w:val="restart"/>
            <w:tcBorders>
              <w:top w:val="single" w:sz="4" w:space="0" w:color="auto"/>
              <w:left w:val="single" w:sz="4" w:space="0" w:color="auto"/>
              <w:right w:val="single" w:sz="12" w:space="0" w:color="auto"/>
            </w:tcBorders>
          </w:tcPr>
          <w:p w:rsidR="00313EE7" w:rsidRPr="00267A84" w:rsidRDefault="00D60279" w:rsidP="00313EE7">
            <w:pPr>
              <w:adjustRightInd w:val="0"/>
              <w:rPr>
                <w:color w:val="000000"/>
                <w:sz w:val="20"/>
                <w:szCs w:val="20"/>
              </w:rPr>
            </w:pPr>
            <w:r w:rsidRPr="00267A84">
              <w:rPr>
                <w:color w:val="000000"/>
                <w:sz w:val="20"/>
                <w:szCs w:val="20"/>
              </w:rPr>
              <w:t>O</w:t>
            </w:r>
          </w:p>
        </w:tc>
        <w:tc>
          <w:tcPr>
            <w:tcW w:w="993" w:type="dxa"/>
            <w:vMerge w:val="restart"/>
            <w:tcBorders>
              <w:top w:val="single" w:sz="4" w:space="0" w:color="auto"/>
              <w:left w:val="nil"/>
              <w:right w:val="single" w:sz="4" w:space="0" w:color="auto"/>
            </w:tcBorders>
          </w:tcPr>
          <w:p w:rsidR="00313EE7" w:rsidRPr="00267A84" w:rsidRDefault="00313EE7" w:rsidP="005B7CF4">
            <w:pPr>
              <w:jc w:val="center"/>
              <w:rPr>
                <w:sz w:val="20"/>
                <w:szCs w:val="20"/>
              </w:rPr>
            </w:pPr>
            <w:r w:rsidRPr="00267A84">
              <w:rPr>
                <w:sz w:val="20"/>
                <w:szCs w:val="20"/>
              </w:rPr>
              <w:t>431/2002</w:t>
            </w:r>
          </w:p>
          <w:p w:rsidR="00313EE7" w:rsidRPr="00267A84" w:rsidRDefault="00D07BF4" w:rsidP="005B7CF4">
            <w:pPr>
              <w:jc w:val="center"/>
              <w:rPr>
                <w:b/>
                <w:sz w:val="20"/>
                <w:szCs w:val="20"/>
              </w:rPr>
            </w:pPr>
            <w:r w:rsidRPr="00267A84">
              <w:rPr>
                <w:sz w:val="20"/>
                <w:szCs w:val="20"/>
              </w:rPr>
              <w:t xml:space="preserve">a </w:t>
            </w:r>
            <w:r w:rsidR="00313EE7" w:rsidRPr="00267A84">
              <w:rPr>
                <w:b/>
                <w:sz w:val="20"/>
                <w:szCs w:val="20"/>
              </w:rPr>
              <w:t>návrh</w:t>
            </w:r>
          </w:p>
          <w:p w:rsidR="00313EE7" w:rsidRPr="00267A84" w:rsidRDefault="00313EE7" w:rsidP="005B7CF4">
            <w:pPr>
              <w:jc w:val="center"/>
              <w:rPr>
                <w:sz w:val="20"/>
                <w:szCs w:val="20"/>
              </w:rPr>
            </w:pPr>
            <w:r w:rsidRPr="00267A84">
              <w:rPr>
                <w:b/>
                <w:sz w:val="20"/>
                <w:szCs w:val="20"/>
              </w:rPr>
              <w:t>čl. V</w:t>
            </w:r>
            <w:r w:rsidR="005B7CF4" w:rsidRPr="00267A84">
              <w:rPr>
                <w:b/>
                <w:sz w:val="20"/>
                <w:szCs w:val="20"/>
              </w:rPr>
              <w:t>I</w:t>
            </w: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07BF4" w:rsidRPr="00267A84" w:rsidRDefault="00D07BF4"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p>
          <w:p w:rsidR="00D60279" w:rsidRPr="00267A84" w:rsidRDefault="00D60279" w:rsidP="00313EE7">
            <w:pPr>
              <w:rPr>
                <w:sz w:val="20"/>
                <w:szCs w:val="20"/>
              </w:rPr>
            </w:pPr>
            <w:r w:rsidRPr="00267A84">
              <w:rPr>
                <w:sz w:val="20"/>
                <w:szCs w:val="20"/>
              </w:rPr>
              <w:lastRenderedPageBreak/>
              <w:t>431/2002</w:t>
            </w:r>
          </w:p>
          <w:p w:rsidR="00D60279" w:rsidRPr="00267A84" w:rsidRDefault="00D60279" w:rsidP="00313EE7">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313EE7" w:rsidRPr="00267A84" w:rsidRDefault="00313EE7" w:rsidP="00313EE7">
            <w:pPr>
              <w:jc w:val="center"/>
              <w:rPr>
                <w:color w:val="000000"/>
                <w:sz w:val="20"/>
                <w:szCs w:val="20"/>
              </w:rPr>
            </w:pPr>
            <w:r w:rsidRPr="00267A84">
              <w:rPr>
                <w:color w:val="000000"/>
                <w:sz w:val="20"/>
                <w:szCs w:val="20"/>
              </w:rPr>
              <w:lastRenderedPageBreak/>
              <w:t>§ 25</w:t>
            </w:r>
          </w:p>
          <w:p w:rsidR="00313EE7" w:rsidRPr="00267A84" w:rsidRDefault="00313EE7" w:rsidP="00313EE7">
            <w:pPr>
              <w:jc w:val="center"/>
              <w:rPr>
                <w:color w:val="000000"/>
                <w:sz w:val="20"/>
                <w:szCs w:val="20"/>
              </w:rPr>
            </w:pPr>
            <w:r w:rsidRPr="00267A84">
              <w:rPr>
                <w:color w:val="000000"/>
                <w:sz w:val="20"/>
                <w:szCs w:val="20"/>
              </w:rPr>
              <w:t>O: 5</w:t>
            </w:r>
          </w:p>
        </w:tc>
        <w:tc>
          <w:tcPr>
            <w:tcW w:w="3544" w:type="dxa"/>
            <w:tcBorders>
              <w:top w:val="single" w:sz="4" w:space="0" w:color="auto"/>
              <w:left w:val="single" w:sz="4" w:space="0" w:color="auto"/>
              <w:bottom w:val="single" w:sz="4" w:space="0" w:color="auto"/>
              <w:right w:val="single" w:sz="4" w:space="0" w:color="auto"/>
            </w:tcBorders>
          </w:tcPr>
          <w:p w:rsidR="00313EE7" w:rsidRPr="00267A84" w:rsidRDefault="00313EE7" w:rsidP="00313EE7">
            <w:pPr>
              <w:jc w:val="both"/>
              <w:rPr>
                <w:sz w:val="20"/>
                <w:szCs w:val="20"/>
              </w:rPr>
            </w:pPr>
            <w:r w:rsidRPr="00267A84">
              <w:rPr>
                <w:sz w:val="20"/>
                <w:szCs w:val="20"/>
              </w:rPr>
              <w:t xml:space="preserve">Ak je to v súlade s požiadavkou verného a pravdivého zobrazenia podľa § 7 ods. 1, pri majetku, ktorým je </w:t>
            </w:r>
            <w:r w:rsidRPr="00267A84">
              <w:rPr>
                <w:strike/>
                <w:sz w:val="20"/>
                <w:szCs w:val="20"/>
              </w:rPr>
              <w:t>virtuálna mena</w:t>
            </w:r>
            <w:r w:rsidRPr="00267A84">
              <w:rPr>
                <w:b/>
                <w:sz w:val="20"/>
                <w:szCs w:val="20"/>
              </w:rPr>
              <w:t xml:space="preserve"> kryptoaktívum</w:t>
            </w:r>
            <w:r w:rsidRPr="00267A84">
              <w:rPr>
                <w:sz w:val="20"/>
                <w:szCs w:val="20"/>
              </w:rPr>
              <w:t>, rovnaký druh zásob vedený na sklade a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w:t>
            </w:r>
          </w:p>
        </w:tc>
        <w:tc>
          <w:tcPr>
            <w:tcW w:w="709" w:type="dxa"/>
            <w:tcBorders>
              <w:top w:val="single" w:sz="4" w:space="0" w:color="auto"/>
              <w:left w:val="single" w:sz="4" w:space="0" w:color="auto"/>
              <w:bottom w:val="single" w:sz="4" w:space="0" w:color="auto"/>
              <w:right w:val="single" w:sz="4" w:space="0" w:color="auto"/>
            </w:tcBorders>
          </w:tcPr>
          <w:p w:rsidR="00313EE7" w:rsidRPr="00267A84" w:rsidRDefault="00313EE7" w:rsidP="00313EE7">
            <w:pPr>
              <w:adjustRightInd w:val="0"/>
              <w:rPr>
                <w:color w:val="000000"/>
                <w:sz w:val="20"/>
                <w:szCs w:val="20"/>
              </w:rPr>
            </w:pPr>
            <w:r w:rsidRPr="00267A84">
              <w:rPr>
                <w:color w:val="000000"/>
                <w:sz w:val="20"/>
                <w:szCs w:val="20"/>
              </w:rPr>
              <w:t>Ú</w:t>
            </w:r>
          </w:p>
        </w:tc>
        <w:tc>
          <w:tcPr>
            <w:tcW w:w="1077" w:type="dxa"/>
            <w:tcBorders>
              <w:top w:val="single" w:sz="4" w:space="0" w:color="auto"/>
              <w:left w:val="single" w:sz="4" w:space="0" w:color="auto"/>
              <w:bottom w:val="single" w:sz="4" w:space="0" w:color="auto"/>
              <w:right w:val="single" w:sz="4" w:space="0" w:color="auto"/>
            </w:tcBorders>
          </w:tcPr>
          <w:p w:rsidR="00313EE7" w:rsidRPr="00267A84" w:rsidRDefault="00313EE7" w:rsidP="00313EE7">
            <w:pPr>
              <w:spacing w:before="75" w:after="75"/>
              <w:rPr>
                <w:sz w:val="20"/>
                <w:szCs w:val="20"/>
              </w:rPr>
            </w:pPr>
          </w:p>
        </w:tc>
        <w:tc>
          <w:tcPr>
            <w:tcW w:w="1049" w:type="dxa"/>
            <w:tcBorders>
              <w:top w:val="single" w:sz="4" w:space="0" w:color="auto"/>
              <w:left w:val="single" w:sz="4" w:space="0" w:color="auto"/>
              <w:bottom w:val="single" w:sz="4" w:space="0" w:color="auto"/>
              <w:right w:val="single" w:sz="12" w:space="0" w:color="auto"/>
            </w:tcBorders>
          </w:tcPr>
          <w:p w:rsidR="00313EE7" w:rsidRPr="00267A84" w:rsidRDefault="00313EE7" w:rsidP="00313EE7">
            <w:pPr>
              <w:spacing w:before="75" w:after="75"/>
              <w:rPr>
                <w:sz w:val="20"/>
                <w:szCs w:val="20"/>
              </w:rPr>
            </w:pPr>
            <w:r w:rsidRPr="00267A84">
              <w:rPr>
                <w:sz w:val="20"/>
                <w:szCs w:val="20"/>
              </w:rPr>
              <w:t>GP - N</w:t>
            </w:r>
          </w:p>
        </w:tc>
        <w:tc>
          <w:tcPr>
            <w:tcW w:w="1134" w:type="dxa"/>
            <w:tcBorders>
              <w:top w:val="single" w:sz="4" w:space="0" w:color="auto"/>
              <w:left w:val="single" w:sz="4" w:space="0" w:color="auto"/>
              <w:bottom w:val="single" w:sz="4" w:space="0" w:color="auto"/>
              <w:right w:val="single" w:sz="12" w:space="0" w:color="auto"/>
            </w:tcBorders>
          </w:tcPr>
          <w:p w:rsidR="00313EE7" w:rsidRPr="00267A84" w:rsidRDefault="00313EE7" w:rsidP="00313EE7">
            <w:pPr>
              <w:spacing w:before="75" w:after="75"/>
              <w:rPr>
                <w:sz w:val="20"/>
                <w:szCs w:val="20"/>
              </w:rPr>
            </w:pPr>
          </w:p>
        </w:tc>
      </w:tr>
      <w:tr w:rsidR="00313EE7" w:rsidRPr="00267A84" w:rsidTr="00856953">
        <w:tc>
          <w:tcPr>
            <w:tcW w:w="682" w:type="dxa"/>
            <w:vMerge/>
            <w:tcBorders>
              <w:left w:val="single" w:sz="12" w:space="0" w:color="auto"/>
              <w:bottom w:val="single" w:sz="4" w:space="0" w:color="auto"/>
              <w:right w:val="single" w:sz="4" w:space="0" w:color="auto"/>
            </w:tcBorders>
          </w:tcPr>
          <w:p w:rsidR="00313EE7" w:rsidRPr="00267A84" w:rsidRDefault="00313EE7" w:rsidP="00B40D84">
            <w:pPr>
              <w:jc w:val="center"/>
              <w:rPr>
                <w:sz w:val="20"/>
                <w:szCs w:val="20"/>
              </w:rPr>
            </w:pPr>
          </w:p>
        </w:tc>
        <w:tc>
          <w:tcPr>
            <w:tcW w:w="4620" w:type="dxa"/>
            <w:vMerge/>
            <w:tcBorders>
              <w:left w:val="single" w:sz="4" w:space="0" w:color="auto"/>
              <w:bottom w:val="single" w:sz="4" w:space="0" w:color="auto"/>
              <w:right w:val="single" w:sz="4" w:space="0" w:color="auto"/>
            </w:tcBorders>
          </w:tcPr>
          <w:p w:rsidR="00313EE7" w:rsidRPr="00267A84" w:rsidRDefault="00313EE7" w:rsidP="00B40D84">
            <w:pPr>
              <w:adjustRightInd w:val="0"/>
              <w:rPr>
                <w:bCs/>
                <w:sz w:val="20"/>
                <w:szCs w:val="20"/>
              </w:rPr>
            </w:pPr>
          </w:p>
        </w:tc>
        <w:tc>
          <w:tcPr>
            <w:tcW w:w="850" w:type="dxa"/>
            <w:vMerge/>
            <w:tcBorders>
              <w:left w:val="single" w:sz="4" w:space="0" w:color="auto"/>
              <w:bottom w:val="single" w:sz="4" w:space="0" w:color="auto"/>
              <w:right w:val="single" w:sz="12" w:space="0" w:color="auto"/>
            </w:tcBorders>
          </w:tcPr>
          <w:p w:rsidR="00313EE7" w:rsidRPr="00267A84" w:rsidRDefault="00313EE7" w:rsidP="00B40D84">
            <w:pPr>
              <w:adjustRightInd w:val="0"/>
              <w:rPr>
                <w:color w:val="000000"/>
                <w:sz w:val="20"/>
                <w:szCs w:val="20"/>
              </w:rPr>
            </w:pPr>
          </w:p>
        </w:tc>
        <w:tc>
          <w:tcPr>
            <w:tcW w:w="993" w:type="dxa"/>
            <w:vMerge/>
            <w:tcBorders>
              <w:left w:val="nil"/>
              <w:bottom w:val="single" w:sz="4" w:space="0" w:color="auto"/>
              <w:right w:val="single" w:sz="4" w:space="0" w:color="auto"/>
            </w:tcBorders>
          </w:tcPr>
          <w:p w:rsidR="00313EE7" w:rsidRPr="00267A84" w:rsidRDefault="00313EE7" w:rsidP="00B40D84">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313EE7" w:rsidRPr="00267A84" w:rsidRDefault="00313EE7" w:rsidP="00B40D84">
            <w:pPr>
              <w:jc w:val="center"/>
              <w:rPr>
                <w:color w:val="000000"/>
                <w:sz w:val="20"/>
                <w:szCs w:val="20"/>
              </w:rPr>
            </w:pPr>
            <w:r w:rsidRPr="00267A84">
              <w:rPr>
                <w:color w:val="000000"/>
                <w:sz w:val="20"/>
                <w:szCs w:val="20"/>
              </w:rPr>
              <w:t>§ 24</w:t>
            </w:r>
          </w:p>
          <w:p w:rsidR="00313EE7" w:rsidRPr="00267A84" w:rsidRDefault="00313EE7" w:rsidP="00B40D84">
            <w:pPr>
              <w:jc w:val="center"/>
              <w:rPr>
                <w:color w:val="000000"/>
                <w:sz w:val="20"/>
                <w:szCs w:val="20"/>
              </w:rPr>
            </w:pPr>
            <w:r w:rsidRPr="00267A84">
              <w:rPr>
                <w:color w:val="000000"/>
                <w:sz w:val="20"/>
                <w:szCs w:val="20"/>
              </w:rPr>
              <w:t>O: 6</w:t>
            </w:r>
          </w:p>
        </w:tc>
        <w:tc>
          <w:tcPr>
            <w:tcW w:w="3544" w:type="dxa"/>
            <w:tcBorders>
              <w:top w:val="single" w:sz="4" w:space="0" w:color="auto"/>
              <w:left w:val="single" w:sz="4" w:space="0" w:color="auto"/>
              <w:bottom w:val="single" w:sz="4" w:space="0" w:color="auto"/>
              <w:right w:val="single" w:sz="4" w:space="0" w:color="auto"/>
            </w:tcBorders>
          </w:tcPr>
          <w:p w:rsidR="00313EE7" w:rsidRPr="00267A84" w:rsidRDefault="00313EE7" w:rsidP="00B40D84">
            <w:pPr>
              <w:jc w:val="both"/>
              <w:rPr>
                <w:sz w:val="20"/>
                <w:szCs w:val="20"/>
              </w:rPr>
            </w:pPr>
            <w:r w:rsidRPr="00267A84">
              <w:rPr>
                <w:sz w:val="20"/>
                <w:szCs w:val="20"/>
              </w:rPr>
              <w:t>Na úbytok rovnakej cudzej meny v hotovosti alebo z devízového účtu sa môže použiť na prepočet cudzej meny na eurá cena zistená váženým aritmetickým priemerom alebo spôsobom, keď prvá cena na ocenenie prírastku cudzej meny v eurách sa použije ako prvá cena na ocenenie úbytku cudzej meny v eurách. Ak je tento úbytok cudzej meny spojený s úhradou záväzku, použije sa hodnota z prepočtu podľa prvej vety na prepočet úhrady záväzku z cudzej meny na eurá. Na ocenenie pohľadávky a záväzkov v cudzej mene spojených s účtovaním poskytnutého alebo prijatého preddavku v cudzej mene sa použije kurz v čase prijatia alebo poskytnutia preddavku.</w:t>
            </w:r>
          </w:p>
        </w:tc>
        <w:tc>
          <w:tcPr>
            <w:tcW w:w="709" w:type="dxa"/>
            <w:tcBorders>
              <w:top w:val="single" w:sz="4" w:space="0" w:color="auto"/>
              <w:left w:val="single" w:sz="4" w:space="0" w:color="auto"/>
              <w:bottom w:val="single" w:sz="4" w:space="0" w:color="auto"/>
              <w:right w:val="single" w:sz="4" w:space="0" w:color="auto"/>
            </w:tcBorders>
          </w:tcPr>
          <w:p w:rsidR="00313EE7" w:rsidRPr="00267A84" w:rsidRDefault="00313EE7" w:rsidP="00B40D84">
            <w:pPr>
              <w:adjustRightInd w:val="0"/>
              <w:rPr>
                <w:color w:val="000000"/>
                <w:sz w:val="20"/>
                <w:szCs w:val="20"/>
              </w:rPr>
            </w:pPr>
            <w:r w:rsidRPr="00267A84">
              <w:rPr>
                <w:color w:val="000000"/>
                <w:sz w:val="20"/>
                <w:szCs w:val="20"/>
              </w:rPr>
              <w:t>Ú</w:t>
            </w:r>
          </w:p>
        </w:tc>
        <w:tc>
          <w:tcPr>
            <w:tcW w:w="1077" w:type="dxa"/>
            <w:tcBorders>
              <w:top w:val="single" w:sz="4" w:space="0" w:color="auto"/>
              <w:left w:val="single" w:sz="4" w:space="0" w:color="auto"/>
              <w:bottom w:val="single" w:sz="4" w:space="0" w:color="auto"/>
              <w:right w:val="single" w:sz="4" w:space="0" w:color="auto"/>
            </w:tcBorders>
          </w:tcPr>
          <w:p w:rsidR="00313EE7" w:rsidRPr="00267A84" w:rsidRDefault="00313EE7" w:rsidP="00B40D84">
            <w:pPr>
              <w:spacing w:before="75" w:after="75"/>
              <w:rPr>
                <w:sz w:val="20"/>
                <w:szCs w:val="20"/>
              </w:rPr>
            </w:pPr>
          </w:p>
        </w:tc>
        <w:tc>
          <w:tcPr>
            <w:tcW w:w="1049" w:type="dxa"/>
            <w:tcBorders>
              <w:top w:val="single" w:sz="4" w:space="0" w:color="auto"/>
              <w:left w:val="single" w:sz="4" w:space="0" w:color="auto"/>
              <w:bottom w:val="single" w:sz="4" w:space="0" w:color="auto"/>
              <w:right w:val="single" w:sz="12" w:space="0" w:color="auto"/>
            </w:tcBorders>
          </w:tcPr>
          <w:p w:rsidR="00313EE7" w:rsidRPr="00267A84" w:rsidRDefault="00313EE7" w:rsidP="00B40D84">
            <w:pPr>
              <w:spacing w:before="75" w:after="75"/>
              <w:rPr>
                <w:sz w:val="20"/>
                <w:szCs w:val="20"/>
              </w:rPr>
            </w:pPr>
            <w:r w:rsidRPr="00267A84">
              <w:rPr>
                <w:sz w:val="20"/>
                <w:szCs w:val="20"/>
              </w:rPr>
              <w:t>GP - N</w:t>
            </w:r>
          </w:p>
        </w:tc>
        <w:tc>
          <w:tcPr>
            <w:tcW w:w="1134" w:type="dxa"/>
            <w:tcBorders>
              <w:top w:val="single" w:sz="4" w:space="0" w:color="auto"/>
              <w:left w:val="single" w:sz="4" w:space="0" w:color="auto"/>
              <w:bottom w:val="single" w:sz="4" w:space="0" w:color="auto"/>
              <w:right w:val="single" w:sz="12" w:space="0" w:color="auto"/>
            </w:tcBorders>
          </w:tcPr>
          <w:p w:rsidR="00313EE7" w:rsidRPr="00267A84" w:rsidRDefault="00313EE7" w:rsidP="00B40D84">
            <w:pPr>
              <w:spacing w:before="75" w:after="75"/>
              <w:rPr>
                <w:sz w:val="20"/>
                <w:szCs w:val="20"/>
              </w:rPr>
            </w:pPr>
          </w:p>
        </w:tc>
      </w:tr>
    </w:tbl>
    <w:p w:rsidR="00D07BF4" w:rsidRPr="00267A84" w:rsidRDefault="00D07BF4" w:rsidP="00D07BF4">
      <w:pPr>
        <w:pStyle w:val="Default"/>
        <w:rPr>
          <w:color w:val="auto"/>
          <w:sz w:val="20"/>
          <w:szCs w:val="20"/>
        </w:rPr>
      </w:pPr>
    </w:p>
    <w:p w:rsidR="00D07BF4" w:rsidRPr="00267A84" w:rsidRDefault="00D07BF4" w:rsidP="00D07BF4">
      <w:pPr>
        <w:autoSpaceDE/>
        <w:rPr>
          <w:sz w:val="20"/>
          <w:szCs w:val="20"/>
        </w:rPr>
      </w:pPr>
      <w:r w:rsidRPr="00267A84">
        <w:rPr>
          <w:sz w:val="20"/>
          <w:szCs w:val="20"/>
        </w:rPr>
        <w:t>LEGENDA:</w:t>
      </w:r>
    </w:p>
    <w:p w:rsidR="00D07BF4" w:rsidRPr="00267A84" w:rsidRDefault="00D07BF4" w:rsidP="00D07BF4">
      <w:pPr>
        <w:autoSpaceDE/>
        <w:rPr>
          <w:sz w:val="20"/>
          <w:szCs w:val="20"/>
        </w:rPr>
      </w:pPr>
    </w:p>
    <w:tbl>
      <w:tblPr>
        <w:tblW w:w="14742" w:type="dxa"/>
        <w:tblCellMar>
          <w:left w:w="70" w:type="dxa"/>
          <w:right w:w="70" w:type="dxa"/>
        </w:tblCellMar>
        <w:tblLook w:val="04A0" w:firstRow="1" w:lastRow="0" w:firstColumn="1" w:lastColumn="0" w:noHBand="0" w:noVBand="1"/>
      </w:tblPr>
      <w:tblGrid>
        <w:gridCol w:w="1913"/>
        <w:gridCol w:w="3827"/>
        <w:gridCol w:w="1843"/>
        <w:gridCol w:w="7159"/>
      </w:tblGrid>
      <w:tr w:rsidR="00D07BF4" w:rsidRPr="00267A84" w:rsidTr="00D07BF4">
        <w:tc>
          <w:tcPr>
            <w:tcW w:w="1913" w:type="dxa"/>
          </w:tcPr>
          <w:p w:rsidR="00D07BF4" w:rsidRPr="00267A84" w:rsidRDefault="00D07BF4" w:rsidP="0043698B">
            <w:pPr>
              <w:pStyle w:val="Normlny0"/>
              <w:autoSpaceDE/>
              <w:spacing w:line="276" w:lineRule="auto"/>
              <w:rPr>
                <w:lang w:eastAsia="sk-SK"/>
              </w:rPr>
            </w:pPr>
            <w:r w:rsidRPr="00267A84">
              <w:rPr>
                <w:lang w:eastAsia="sk-SK"/>
              </w:rPr>
              <w:t>V stĺpci (1):</w:t>
            </w:r>
          </w:p>
          <w:p w:rsidR="00D07BF4" w:rsidRPr="00267A84" w:rsidRDefault="00D07BF4" w:rsidP="0043698B">
            <w:pPr>
              <w:pStyle w:val="Normlny0"/>
              <w:autoSpaceDE/>
              <w:spacing w:line="276" w:lineRule="auto"/>
              <w:rPr>
                <w:lang w:eastAsia="sk-SK"/>
              </w:rPr>
            </w:pPr>
          </w:p>
          <w:p w:rsidR="00D07BF4" w:rsidRPr="00267A84" w:rsidRDefault="00D07BF4" w:rsidP="0043698B">
            <w:pPr>
              <w:autoSpaceDE/>
              <w:spacing w:line="276" w:lineRule="auto"/>
              <w:rPr>
                <w:sz w:val="20"/>
                <w:szCs w:val="20"/>
              </w:rPr>
            </w:pPr>
            <w:r w:rsidRPr="00267A84">
              <w:rPr>
                <w:sz w:val="20"/>
                <w:szCs w:val="20"/>
              </w:rPr>
              <w:t>Č – článok</w:t>
            </w:r>
          </w:p>
          <w:p w:rsidR="00D07BF4" w:rsidRPr="00267A84" w:rsidRDefault="00D07BF4" w:rsidP="0043698B">
            <w:pPr>
              <w:autoSpaceDE/>
              <w:spacing w:line="276" w:lineRule="auto"/>
              <w:rPr>
                <w:sz w:val="20"/>
                <w:szCs w:val="20"/>
              </w:rPr>
            </w:pPr>
            <w:r w:rsidRPr="00267A84">
              <w:rPr>
                <w:sz w:val="20"/>
                <w:szCs w:val="20"/>
              </w:rPr>
              <w:t>O – odsek</w:t>
            </w:r>
          </w:p>
          <w:p w:rsidR="00D07BF4" w:rsidRPr="00267A84" w:rsidRDefault="00D07BF4" w:rsidP="0043698B">
            <w:pPr>
              <w:autoSpaceDE/>
              <w:spacing w:line="276" w:lineRule="auto"/>
              <w:rPr>
                <w:sz w:val="20"/>
                <w:szCs w:val="20"/>
              </w:rPr>
            </w:pPr>
            <w:r w:rsidRPr="00267A84">
              <w:rPr>
                <w:sz w:val="20"/>
                <w:szCs w:val="20"/>
              </w:rPr>
              <w:t>V – veta</w:t>
            </w:r>
          </w:p>
          <w:p w:rsidR="00D07BF4" w:rsidRPr="00267A84" w:rsidRDefault="00D07BF4" w:rsidP="0043698B">
            <w:pPr>
              <w:autoSpaceDE/>
              <w:spacing w:line="276" w:lineRule="auto"/>
              <w:rPr>
                <w:sz w:val="20"/>
                <w:szCs w:val="20"/>
              </w:rPr>
            </w:pPr>
            <w:r w:rsidRPr="00267A84">
              <w:rPr>
                <w:sz w:val="20"/>
                <w:szCs w:val="20"/>
              </w:rPr>
              <w:t>P – číslo (písmeno)</w:t>
            </w:r>
          </w:p>
          <w:p w:rsidR="00D07BF4" w:rsidRPr="00267A84" w:rsidRDefault="00D07BF4" w:rsidP="0043698B">
            <w:pPr>
              <w:autoSpaceDE/>
              <w:spacing w:line="276" w:lineRule="auto"/>
              <w:rPr>
                <w:sz w:val="20"/>
                <w:szCs w:val="20"/>
              </w:rPr>
            </w:pPr>
          </w:p>
        </w:tc>
        <w:tc>
          <w:tcPr>
            <w:tcW w:w="3827" w:type="dxa"/>
          </w:tcPr>
          <w:p w:rsidR="00D07BF4" w:rsidRPr="00267A84" w:rsidRDefault="00D07BF4" w:rsidP="0043698B">
            <w:pPr>
              <w:pStyle w:val="Normlny0"/>
              <w:autoSpaceDE/>
              <w:spacing w:line="276" w:lineRule="auto"/>
              <w:rPr>
                <w:lang w:eastAsia="sk-SK"/>
              </w:rPr>
            </w:pPr>
            <w:r w:rsidRPr="00267A84">
              <w:rPr>
                <w:lang w:eastAsia="sk-SK"/>
              </w:rPr>
              <w:t>V stĺpci (3):</w:t>
            </w:r>
          </w:p>
          <w:p w:rsidR="00D07BF4" w:rsidRPr="00267A84" w:rsidRDefault="00D07BF4" w:rsidP="0043698B">
            <w:pPr>
              <w:pStyle w:val="Normlny0"/>
              <w:autoSpaceDE/>
              <w:spacing w:line="276" w:lineRule="auto"/>
              <w:rPr>
                <w:lang w:eastAsia="sk-SK"/>
              </w:rPr>
            </w:pPr>
          </w:p>
          <w:p w:rsidR="00D07BF4" w:rsidRPr="00267A84" w:rsidRDefault="00D07BF4" w:rsidP="0043698B">
            <w:pPr>
              <w:autoSpaceDE/>
              <w:spacing w:line="276" w:lineRule="auto"/>
              <w:rPr>
                <w:sz w:val="20"/>
                <w:szCs w:val="20"/>
              </w:rPr>
            </w:pPr>
            <w:r w:rsidRPr="00267A84">
              <w:rPr>
                <w:sz w:val="20"/>
                <w:szCs w:val="20"/>
              </w:rPr>
              <w:t>N – bežná transpozícia</w:t>
            </w:r>
          </w:p>
          <w:p w:rsidR="00D07BF4" w:rsidRPr="00267A84" w:rsidRDefault="00D07BF4" w:rsidP="0043698B">
            <w:pPr>
              <w:autoSpaceDE/>
              <w:spacing w:line="276" w:lineRule="auto"/>
              <w:rPr>
                <w:sz w:val="20"/>
                <w:szCs w:val="20"/>
              </w:rPr>
            </w:pPr>
            <w:r w:rsidRPr="00267A84">
              <w:rPr>
                <w:sz w:val="20"/>
                <w:szCs w:val="20"/>
              </w:rPr>
              <w:t>O – transpozícia s možnosťou voľby</w:t>
            </w:r>
          </w:p>
          <w:p w:rsidR="00D07BF4" w:rsidRPr="00267A84" w:rsidRDefault="00D07BF4" w:rsidP="0043698B">
            <w:pPr>
              <w:autoSpaceDE/>
              <w:spacing w:line="276" w:lineRule="auto"/>
              <w:rPr>
                <w:sz w:val="20"/>
                <w:szCs w:val="20"/>
              </w:rPr>
            </w:pPr>
            <w:r w:rsidRPr="00267A84">
              <w:rPr>
                <w:sz w:val="20"/>
                <w:szCs w:val="20"/>
              </w:rPr>
              <w:t>D – transpozícia podľa úvahy (dobrovoľná)</w:t>
            </w:r>
          </w:p>
          <w:p w:rsidR="00D07BF4" w:rsidRPr="00267A84" w:rsidRDefault="00D07BF4" w:rsidP="0043698B">
            <w:pPr>
              <w:autoSpaceDE/>
              <w:spacing w:line="276" w:lineRule="auto"/>
              <w:rPr>
                <w:sz w:val="20"/>
                <w:szCs w:val="20"/>
              </w:rPr>
            </w:pPr>
            <w:proofErr w:type="spellStart"/>
            <w:r w:rsidRPr="00267A84">
              <w:rPr>
                <w:sz w:val="20"/>
                <w:szCs w:val="20"/>
              </w:rPr>
              <w:t>n.a</w:t>
            </w:r>
            <w:proofErr w:type="spellEnd"/>
            <w:r w:rsidRPr="00267A84">
              <w:rPr>
                <w:sz w:val="20"/>
                <w:szCs w:val="20"/>
              </w:rPr>
              <w:t>. – transpozícia sa neuskutočňuje</w:t>
            </w:r>
          </w:p>
        </w:tc>
        <w:tc>
          <w:tcPr>
            <w:tcW w:w="1843" w:type="dxa"/>
          </w:tcPr>
          <w:p w:rsidR="00D07BF4" w:rsidRPr="00267A84" w:rsidRDefault="00D07BF4" w:rsidP="0043698B">
            <w:pPr>
              <w:pStyle w:val="Normlny0"/>
              <w:autoSpaceDE/>
              <w:spacing w:line="276" w:lineRule="auto"/>
              <w:rPr>
                <w:lang w:eastAsia="sk-SK"/>
              </w:rPr>
            </w:pPr>
            <w:r w:rsidRPr="00267A84">
              <w:rPr>
                <w:lang w:eastAsia="sk-SK"/>
              </w:rPr>
              <w:t>V stĺpci (5):</w:t>
            </w:r>
          </w:p>
          <w:p w:rsidR="00D07BF4" w:rsidRPr="00267A84" w:rsidRDefault="00D07BF4" w:rsidP="0043698B">
            <w:pPr>
              <w:pStyle w:val="Normlny0"/>
              <w:autoSpaceDE/>
              <w:spacing w:line="276" w:lineRule="auto"/>
              <w:rPr>
                <w:lang w:eastAsia="sk-SK"/>
              </w:rPr>
            </w:pPr>
          </w:p>
          <w:p w:rsidR="00D07BF4" w:rsidRPr="00267A84" w:rsidRDefault="00D07BF4" w:rsidP="0043698B">
            <w:pPr>
              <w:autoSpaceDE/>
              <w:spacing w:line="276" w:lineRule="auto"/>
              <w:rPr>
                <w:sz w:val="20"/>
                <w:szCs w:val="20"/>
              </w:rPr>
            </w:pPr>
            <w:r w:rsidRPr="00267A84">
              <w:rPr>
                <w:sz w:val="20"/>
                <w:szCs w:val="20"/>
              </w:rPr>
              <w:t>Č – článok</w:t>
            </w:r>
          </w:p>
          <w:p w:rsidR="00D07BF4" w:rsidRPr="00267A84" w:rsidRDefault="00D07BF4" w:rsidP="0043698B">
            <w:pPr>
              <w:autoSpaceDE/>
              <w:spacing w:line="276" w:lineRule="auto"/>
              <w:rPr>
                <w:sz w:val="20"/>
                <w:szCs w:val="20"/>
              </w:rPr>
            </w:pPr>
            <w:r w:rsidRPr="00267A84">
              <w:rPr>
                <w:sz w:val="20"/>
                <w:szCs w:val="20"/>
              </w:rPr>
              <w:t>§ – paragraf</w:t>
            </w:r>
          </w:p>
          <w:p w:rsidR="00D07BF4" w:rsidRPr="00267A84" w:rsidRDefault="00D07BF4" w:rsidP="0043698B">
            <w:pPr>
              <w:autoSpaceDE/>
              <w:spacing w:line="276" w:lineRule="auto"/>
              <w:rPr>
                <w:sz w:val="20"/>
                <w:szCs w:val="20"/>
              </w:rPr>
            </w:pPr>
            <w:r w:rsidRPr="00267A84">
              <w:rPr>
                <w:sz w:val="20"/>
                <w:szCs w:val="20"/>
              </w:rPr>
              <w:t>O – odsek</w:t>
            </w:r>
          </w:p>
          <w:p w:rsidR="00D07BF4" w:rsidRPr="00267A84" w:rsidRDefault="00D07BF4" w:rsidP="0043698B">
            <w:pPr>
              <w:autoSpaceDE/>
              <w:spacing w:line="276" w:lineRule="auto"/>
              <w:rPr>
                <w:sz w:val="20"/>
                <w:szCs w:val="20"/>
              </w:rPr>
            </w:pPr>
            <w:r w:rsidRPr="00267A84">
              <w:rPr>
                <w:sz w:val="20"/>
                <w:szCs w:val="20"/>
              </w:rPr>
              <w:t>V – veta</w:t>
            </w:r>
          </w:p>
          <w:p w:rsidR="00D07BF4" w:rsidRPr="00267A84" w:rsidRDefault="00D07BF4" w:rsidP="0043698B">
            <w:pPr>
              <w:autoSpaceDE/>
              <w:spacing w:line="276" w:lineRule="auto"/>
              <w:rPr>
                <w:sz w:val="20"/>
                <w:szCs w:val="20"/>
              </w:rPr>
            </w:pPr>
            <w:r w:rsidRPr="00267A84">
              <w:rPr>
                <w:sz w:val="20"/>
                <w:szCs w:val="20"/>
              </w:rPr>
              <w:t>P – pododsek (bod)</w:t>
            </w:r>
          </w:p>
        </w:tc>
        <w:tc>
          <w:tcPr>
            <w:tcW w:w="7159" w:type="dxa"/>
          </w:tcPr>
          <w:p w:rsidR="00D07BF4" w:rsidRPr="00267A84" w:rsidRDefault="00D07BF4" w:rsidP="0043698B">
            <w:pPr>
              <w:pStyle w:val="Normlny0"/>
              <w:autoSpaceDE/>
              <w:spacing w:line="276" w:lineRule="auto"/>
              <w:rPr>
                <w:lang w:eastAsia="sk-SK"/>
              </w:rPr>
            </w:pPr>
            <w:r w:rsidRPr="00267A84">
              <w:rPr>
                <w:lang w:eastAsia="sk-SK"/>
              </w:rPr>
              <w:t>V stĺpci (7):</w:t>
            </w:r>
          </w:p>
          <w:p w:rsidR="00D07BF4" w:rsidRPr="00267A84" w:rsidRDefault="00D07BF4" w:rsidP="0043698B">
            <w:pPr>
              <w:pStyle w:val="Normlny0"/>
              <w:autoSpaceDE/>
              <w:spacing w:line="276" w:lineRule="auto"/>
              <w:rPr>
                <w:lang w:eastAsia="sk-SK"/>
              </w:rPr>
            </w:pPr>
          </w:p>
          <w:p w:rsidR="00D07BF4" w:rsidRPr="00267A84" w:rsidRDefault="00D07BF4" w:rsidP="0043698B">
            <w:pPr>
              <w:autoSpaceDE/>
              <w:spacing w:line="276" w:lineRule="auto"/>
              <w:ind w:left="290" w:hanging="290"/>
              <w:rPr>
                <w:sz w:val="20"/>
                <w:szCs w:val="20"/>
              </w:rPr>
            </w:pPr>
            <w:r w:rsidRPr="00267A84">
              <w:rPr>
                <w:sz w:val="20"/>
                <w:szCs w:val="20"/>
              </w:rPr>
              <w:t>Ú – úplná zhoda (ak bolo ustanovenie smernice prebraté v celom rozsahu, správne, v príslušnej forme, so zabezpečenou inštitucionálnou infraštruktúrou, s príslušnými sankciami a vo vzájomnej súvislosti)</w:t>
            </w:r>
          </w:p>
          <w:p w:rsidR="00D07BF4" w:rsidRPr="00267A84" w:rsidRDefault="00D07BF4" w:rsidP="0043698B">
            <w:pPr>
              <w:autoSpaceDE/>
              <w:spacing w:line="276" w:lineRule="auto"/>
              <w:rPr>
                <w:sz w:val="20"/>
                <w:szCs w:val="20"/>
              </w:rPr>
            </w:pPr>
            <w:r w:rsidRPr="00267A84">
              <w:rPr>
                <w:sz w:val="20"/>
                <w:szCs w:val="20"/>
              </w:rPr>
              <w:t>Č – čiastočná zhoda (ak minimálne jedna z podmienok úplnej zhody nie je splnená)</w:t>
            </w:r>
          </w:p>
          <w:p w:rsidR="00D07BF4" w:rsidRPr="00267A84" w:rsidRDefault="00D07BF4" w:rsidP="0043698B">
            <w:pPr>
              <w:pStyle w:val="Zarkazkladnhotextu2"/>
              <w:spacing w:after="0" w:line="240" w:lineRule="auto"/>
              <w:ind w:left="284" w:hanging="284"/>
              <w:rPr>
                <w:sz w:val="20"/>
                <w:szCs w:val="20"/>
              </w:rPr>
            </w:pPr>
            <w:r w:rsidRPr="00267A84">
              <w:rPr>
                <w:sz w:val="20"/>
                <w:szCs w:val="20"/>
              </w:rPr>
              <w:t>Ž – žiadna zhoda (ak nebola dosiahnutá ani úplná ani čiastočná zhoda alebo k prebratiu dôjde v budúcnosti)</w:t>
            </w:r>
          </w:p>
          <w:p w:rsidR="00D07BF4" w:rsidRPr="00267A84" w:rsidRDefault="00D07BF4" w:rsidP="0043698B">
            <w:pPr>
              <w:pStyle w:val="Zarkazkladnhotextu2"/>
              <w:spacing w:after="0" w:line="240" w:lineRule="auto"/>
              <w:ind w:left="284" w:hanging="284"/>
              <w:rPr>
                <w:sz w:val="20"/>
                <w:szCs w:val="20"/>
              </w:rPr>
            </w:pPr>
            <w:proofErr w:type="spellStart"/>
            <w:r w:rsidRPr="00267A84">
              <w:rPr>
                <w:sz w:val="20"/>
                <w:szCs w:val="20"/>
              </w:rPr>
              <w:t>n.a</w:t>
            </w:r>
            <w:proofErr w:type="spellEnd"/>
            <w:r w:rsidRPr="00267A84">
              <w:rPr>
                <w:sz w:val="20"/>
                <w:szCs w:val="20"/>
              </w:rPr>
              <w:t>. – neaplikovateľnosť (ak sa ustanovenie smernice netýka SR alebo nie je potrebné ho prebrať)</w:t>
            </w:r>
          </w:p>
        </w:tc>
      </w:tr>
      <w:tr w:rsidR="00D07BF4" w:rsidRPr="00254827" w:rsidTr="00D07BF4">
        <w:tc>
          <w:tcPr>
            <w:tcW w:w="5740" w:type="dxa"/>
            <w:gridSpan w:val="2"/>
          </w:tcPr>
          <w:p w:rsidR="00D07BF4" w:rsidRPr="00267A84" w:rsidRDefault="00D07BF4" w:rsidP="0043698B">
            <w:pPr>
              <w:pStyle w:val="Normlny0"/>
              <w:autoSpaceDE/>
              <w:spacing w:line="276" w:lineRule="auto"/>
              <w:rPr>
                <w:lang w:eastAsia="sk-SK"/>
              </w:rPr>
            </w:pPr>
          </w:p>
          <w:p w:rsidR="00D07BF4" w:rsidRPr="00267A84" w:rsidRDefault="00D07BF4" w:rsidP="0043698B">
            <w:pPr>
              <w:pStyle w:val="Normlny0"/>
              <w:autoSpaceDE/>
              <w:spacing w:line="276" w:lineRule="auto"/>
              <w:rPr>
                <w:lang w:eastAsia="sk-SK"/>
              </w:rPr>
            </w:pPr>
            <w:r w:rsidRPr="00267A84">
              <w:rPr>
                <w:lang w:eastAsia="sk-SK"/>
              </w:rPr>
              <w:t>V stĺpci (9):</w:t>
            </w:r>
          </w:p>
          <w:p w:rsidR="00D07BF4" w:rsidRPr="00267A84" w:rsidRDefault="00D07BF4" w:rsidP="0043698B">
            <w:pPr>
              <w:pStyle w:val="Normlny0"/>
              <w:autoSpaceDE/>
              <w:spacing w:line="276" w:lineRule="auto"/>
              <w:rPr>
                <w:lang w:eastAsia="sk-SK"/>
              </w:rPr>
            </w:pPr>
          </w:p>
          <w:p w:rsidR="00D07BF4" w:rsidRPr="00267A84" w:rsidRDefault="00D07BF4" w:rsidP="0043698B">
            <w:pPr>
              <w:pStyle w:val="Normlny0"/>
              <w:autoSpaceDE/>
              <w:spacing w:line="276" w:lineRule="auto"/>
            </w:pPr>
            <w:r w:rsidRPr="00267A84">
              <w:t xml:space="preserve">GP – A a) až g): </w:t>
            </w:r>
            <w:proofErr w:type="spellStart"/>
            <w:r w:rsidRPr="00267A84">
              <w:t>goldplating</w:t>
            </w:r>
            <w:proofErr w:type="spellEnd"/>
            <w:r w:rsidRPr="00267A84">
              <w:t xml:space="preserve"> je identifikovaný, </w:t>
            </w:r>
          </w:p>
          <w:p w:rsidR="00D07BF4" w:rsidRPr="00254827" w:rsidRDefault="00D07BF4" w:rsidP="0043698B">
            <w:pPr>
              <w:pStyle w:val="Normlny0"/>
              <w:autoSpaceDE/>
              <w:spacing w:line="276" w:lineRule="auto"/>
              <w:rPr>
                <w:lang w:eastAsia="sk-SK"/>
              </w:rPr>
            </w:pPr>
            <w:r w:rsidRPr="00267A84">
              <w:t xml:space="preserve">GP – N: </w:t>
            </w:r>
            <w:proofErr w:type="spellStart"/>
            <w:r w:rsidRPr="00267A84">
              <w:t>goldplating</w:t>
            </w:r>
            <w:proofErr w:type="spellEnd"/>
            <w:r w:rsidRPr="00267A84">
              <w:t xml:space="preserve"> nie je identifikovaný.</w:t>
            </w:r>
            <w:bookmarkStart w:id="0" w:name="_GoBack"/>
            <w:bookmarkEnd w:id="0"/>
          </w:p>
          <w:p w:rsidR="00D07BF4" w:rsidRPr="00254827" w:rsidRDefault="00D07BF4" w:rsidP="0043698B">
            <w:pPr>
              <w:pStyle w:val="Normlny0"/>
              <w:autoSpaceDE/>
              <w:spacing w:line="276" w:lineRule="auto"/>
              <w:rPr>
                <w:lang w:eastAsia="sk-SK"/>
              </w:rPr>
            </w:pPr>
          </w:p>
        </w:tc>
        <w:tc>
          <w:tcPr>
            <w:tcW w:w="1843" w:type="dxa"/>
          </w:tcPr>
          <w:p w:rsidR="00D07BF4" w:rsidRPr="00254827" w:rsidRDefault="00D07BF4" w:rsidP="0043698B">
            <w:pPr>
              <w:pStyle w:val="Normlny0"/>
              <w:autoSpaceDE/>
              <w:spacing w:line="276" w:lineRule="auto"/>
              <w:rPr>
                <w:lang w:eastAsia="sk-SK"/>
              </w:rPr>
            </w:pPr>
          </w:p>
        </w:tc>
        <w:tc>
          <w:tcPr>
            <w:tcW w:w="7159" w:type="dxa"/>
          </w:tcPr>
          <w:p w:rsidR="00D07BF4" w:rsidRPr="00254827" w:rsidRDefault="00D07BF4" w:rsidP="0043698B">
            <w:pPr>
              <w:pStyle w:val="Normlny0"/>
              <w:autoSpaceDE/>
              <w:spacing w:line="276" w:lineRule="auto"/>
              <w:rPr>
                <w:lang w:eastAsia="sk-SK"/>
              </w:rPr>
            </w:pPr>
          </w:p>
        </w:tc>
      </w:tr>
    </w:tbl>
    <w:p w:rsidR="00D07BF4" w:rsidRPr="00B40D84" w:rsidRDefault="00D07BF4">
      <w:pPr>
        <w:rPr>
          <w:sz w:val="20"/>
          <w:szCs w:val="20"/>
        </w:rPr>
      </w:pPr>
    </w:p>
    <w:sectPr w:rsidR="00D07BF4" w:rsidRPr="00B40D84" w:rsidSect="00A56669">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9ED" w:rsidRDefault="000109ED" w:rsidP="00315D6B">
      <w:r>
        <w:separator/>
      </w:r>
    </w:p>
  </w:endnote>
  <w:endnote w:type="continuationSeparator" w:id="0">
    <w:p w:rsidR="000109ED" w:rsidRDefault="000109ED" w:rsidP="0031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120735"/>
      <w:docPartObj>
        <w:docPartGallery w:val="Page Numbers (Bottom of Page)"/>
        <w:docPartUnique/>
      </w:docPartObj>
    </w:sdtPr>
    <w:sdtEndPr/>
    <w:sdtContent>
      <w:p w:rsidR="00E62F10" w:rsidRDefault="00E62F10" w:rsidP="008250EB">
        <w:pPr>
          <w:pStyle w:val="Pta"/>
          <w:ind w:left="13452"/>
          <w:jc w:val="both"/>
        </w:pPr>
        <w:r>
          <w:fldChar w:fldCharType="begin"/>
        </w:r>
        <w:r>
          <w:instrText>PAGE   \* MERGEFORMAT</w:instrText>
        </w:r>
        <w:r>
          <w:fldChar w:fldCharType="separate"/>
        </w:r>
        <w:r w:rsidR="00267A84">
          <w:rPr>
            <w:noProof/>
          </w:rPr>
          <w:t>2</w:t>
        </w:r>
        <w:r>
          <w:fldChar w:fldCharType="end"/>
        </w:r>
      </w:p>
    </w:sdtContent>
  </w:sdt>
  <w:p w:rsidR="00E62F10" w:rsidRDefault="00E62F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9ED" w:rsidRDefault="000109ED" w:rsidP="00315D6B">
      <w:r>
        <w:separator/>
      </w:r>
    </w:p>
  </w:footnote>
  <w:footnote w:type="continuationSeparator" w:id="0">
    <w:p w:rsidR="000109ED" w:rsidRDefault="000109ED" w:rsidP="0031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F9F59ED"/>
    <w:multiLevelType w:val="hybridMultilevel"/>
    <w:tmpl w:val="BC466B3C"/>
    <w:lvl w:ilvl="0" w:tplc="041B000F">
      <w:start w:val="1"/>
      <w:numFmt w:val="decimal"/>
      <w:lvlText w:val="%1."/>
      <w:lvlJc w:val="left"/>
      <w:pPr>
        <w:ind w:left="1068" w:hanging="360"/>
      </w:p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8BD0DD3"/>
    <w:multiLevelType w:val="singleLevel"/>
    <w:tmpl w:val="C7DE110C"/>
    <w:lvl w:ilvl="0">
      <w:start w:val="1"/>
      <w:numFmt w:val="lowerLetter"/>
      <w:lvlText w:val="%1)"/>
      <w:lvlJc w:val="left"/>
      <w:pPr>
        <w:tabs>
          <w:tab w:val="num" w:pos="360"/>
        </w:tabs>
        <w:ind w:left="360" w:hanging="360"/>
      </w:pPr>
      <w:rPr>
        <w:rFonts w:cs="Times New Roman"/>
      </w:rPr>
    </w:lvl>
  </w:abstractNum>
  <w:abstractNum w:abstractNumId="3" w15:restartNumberingAfterBreak="0">
    <w:nsid w:val="305C7B92"/>
    <w:multiLevelType w:val="hybridMultilevel"/>
    <w:tmpl w:val="A9FA5DEA"/>
    <w:lvl w:ilvl="0" w:tplc="86D8A4F2">
      <w:start w:val="9"/>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35212BE"/>
    <w:multiLevelType w:val="hybridMultilevel"/>
    <w:tmpl w:val="BC466B3C"/>
    <w:lvl w:ilvl="0" w:tplc="041B000F">
      <w:start w:val="1"/>
      <w:numFmt w:val="decimal"/>
      <w:lvlText w:val="%1."/>
      <w:lvlJc w:val="left"/>
      <w:pPr>
        <w:ind w:left="1068" w:hanging="360"/>
      </w:p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5146F62"/>
    <w:multiLevelType w:val="singleLevel"/>
    <w:tmpl w:val="C7DE110C"/>
    <w:lvl w:ilvl="0">
      <w:start w:val="1"/>
      <w:numFmt w:val="lowerLetter"/>
      <w:lvlText w:val="%1)"/>
      <w:lvlJc w:val="left"/>
      <w:pPr>
        <w:tabs>
          <w:tab w:val="num" w:pos="360"/>
        </w:tabs>
        <w:ind w:left="360" w:hanging="360"/>
      </w:pPr>
      <w:rPr>
        <w:rFonts w:cs="Times New Roman"/>
      </w:rPr>
    </w:lvl>
  </w:abstractNum>
  <w:abstractNum w:abstractNumId="6" w15:restartNumberingAfterBreak="0">
    <w:nsid w:val="395412D3"/>
    <w:multiLevelType w:val="hybridMultilevel"/>
    <w:tmpl w:val="FEE4FF18"/>
    <w:lvl w:ilvl="0" w:tplc="E37C8AF4">
      <w:start w:val="3"/>
      <w:numFmt w:val="lowerLetter"/>
      <w:lvlText w:val="%1)"/>
      <w:lvlJc w:val="left"/>
      <w:pPr>
        <w:ind w:left="1121"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8412FBA"/>
    <w:multiLevelType w:val="hybridMultilevel"/>
    <w:tmpl w:val="1C6EFE04"/>
    <w:lvl w:ilvl="0" w:tplc="67F0DD60">
      <w:start w:val="1"/>
      <w:numFmt w:val="decimal"/>
      <w:lvlText w:val="%1."/>
      <w:lvlJc w:val="left"/>
      <w:pPr>
        <w:ind w:left="502" w:hanging="360"/>
      </w:pPr>
      <w:rPr>
        <w:color w:val="000000" w:themeColor="text1"/>
      </w:rPr>
    </w:lvl>
    <w:lvl w:ilvl="1" w:tplc="A472322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954B05"/>
    <w:multiLevelType w:val="singleLevel"/>
    <w:tmpl w:val="C7DE110C"/>
    <w:lvl w:ilvl="0">
      <w:start w:val="1"/>
      <w:numFmt w:val="lowerLetter"/>
      <w:lvlText w:val="%1)"/>
      <w:lvlJc w:val="left"/>
      <w:pPr>
        <w:tabs>
          <w:tab w:val="num" w:pos="360"/>
        </w:tabs>
        <w:ind w:left="360" w:hanging="360"/>
      </w:pPr>
      <w:rPr>
        <w:rFonts w:cs="Times New Roman"/>
      </w:rPr>
    </w:lvl>
  </w:abstractNum>
  <w:abstractNum w:abstractNumId="9" w15:restartNumberingAfterBreak="0">
    <w:nsid w:val="799A6B6D"/>
    <w:multiLevelType w:val="singleLevel"/>
    <w:tmpl w:val="C7DE110C"/>
    <w:lvl w:ilvl="0">
      <w:start w:val="1"/>
      <w:numFmt w:val="lowerLetter"/>
      <w:lvlText w:val="%1)"/>
      <w:lvlJc w:val="left"/>
      <w:pPr>
        <w:tabs>
          <w:tab w:val="num" w:pos="360"/>
        </w:tabs>
        <w:ind w:left="360" w:hanging="360"/>
      </w:pPr>
      <w:rPr>
        <w:rFonts w:cs="Times New Roman"/>
      </w:rPr>
    </w:lvl>
  </w:abstractNum>
  <w:num w:numId="1">
    <w:abstractNumId w:val="8"/>
  </w:num>
  <w:num w:numId="2">
    <w:abstractNumId w:val="7"/>
  </w:num>
  <w:num w:numId="3">
    <w:abstractNumId w:val="2"/>
  </w:num>
  <w:num w:numId="4">
    <w:abstractNumId w:val="6"/>
  </w:num>
  <w:num w:numId="5">
    <w:abstractNumId w:val="3"/>
  </w:num>
  <w:num w:numId="6">
    <w:abstractNumId w:val="1"/>
  </w:num>
  <w:num w:numId="7">
    <w:abstractNumId w:val="4"/>
  </w:num>
  <w:num w:numId="8">
    <w:abstractNumId w:val="9"/>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69"/>
    <w:rsid w:val="000021D2"/>
    <w:rsid w:val="000109ED"/>
    <w:rsid w:val="0002139E"/>
    <w:rsid w:val="00023717"/>
    <w:rsid w:val="000238EC"/>
    <w:rsid w:val="00041623"/>
    <w:rsid w:val="00081A97"/>
    <w:rsid w:val="00094CA9"/>
    <w:rsid w:val="000A0225"/>
    <w:rsid w:val="000A5833"/>
    <w:rsid w:val="000D2AA0"/>
    <w:rsid w:val="00107530"/>
    <w:rsid w:val="0012053F"/>
    <w:rsid w:val="00132191"/>
    <w:rsid w:val="0014637C"/>
    <w:rsid w:val="00170F14"/>
    <w:rsid w:val="0018229D"/>
    <w:rsid w:val="00184051"/>
    <w:rsid w:val="001A069A"/>
    <w:rsid w:val="001B3B7A"/>
    <w:rsid w:val="001D7CCE"/>
    <w:rsid w:val="00267A84"/>
    <w:rsid w:val="00282C4D"/>
    <w:rsid w:val="00294D03"/>
    <w:rsid w:val="002B45B3"/>
    <w:rsid w:val="002B7CD3"/>
    <w:rsid w:val="002D39A5"/>
    <w:rsid w:val="002F71DA"/>
    <w:rsid w:val="00304033"/>
    <w:rsid w:val="00313EE7"/>
    <w:rsid w:val="00315D6B"/>
    <w:rsid w:val="00331982"/>
    <w:rsid w:val="00335491"/>
    <w:rsid w:val="00355E27"/>
    <w:rsid w:val="00383EE7"/>
    <w:rsid w:val="00396FB1"/>
    <w:rsid w:val="003B0FCB"/>
    <w:rsid w:val="003C1247"/>
    <w:rsid w:val="003C543D"/>
    <w:rsid w:val="004027C7"/>
    <w:rsid w:val="00420191"/>
    <w:rsid w:val="00443B90"/>
    <w:rsid w:val="00455BD8"/>
    <w:rsid w:val="0046345F"/>
    <w:rsid w:val="00490CFC"/>
    <w:rsid w:val="004A1931"/>
    <w:rsid w:val="004D6949"/>
    <w:rsid w:val="004D76B5"/>
    <w:rsid w:val="004E31F0"/>
    <w:rsid w:val="004F07A4"/>
    <w:rsid w:val="00502D61"/>
    <w:rsid w:val="005038C8"/>
    <w:rsid w:val="00535E61"/>
    <w:rsid w:val="005674CE"/>
    <w:rsid w:val="005A31DA"/>
    <w:rsid w:val="005B7CF4"/>
    <w:rsid w:val="005C16A5"/>
    <w:rsid w:val="005C7CA9"/>
    <w:rsid w:val="005D1300"/>
    <w:rsid w:val="00662E99"/>
    <w:rsid w:val="006A73B0"/>
    <w:rsid w:val="006A770C"/>
    <w:rsid w:val="006E02AA"/>
    <w:rsid w:val="00702FA4"/>
    <w:rsid w:val="00707EC6"/>
    <w:rsid w:val="0072768E"/>
    <w:rsid w:val="007A2CCF"/>
    <w:rsid w:val="007A3A92"/>
    <w:rsid w:val="007C0570"/>
    <w:rsid w:val="007C38E5"/>
    <w:rsid w:val="007F1B2B"/>
    <w:rsid w:val="00823D12"/>
    <w:rsid w:val="008250EB"/>
    <w:rsid w:val="00833A08"/>
    <w:rsid w:val="00886251"/>
    <w:rsid w:val="008C678B"/>
    <w:rsid w:val="009113E4"/>
    <w:rsid w:val="00981488"/>
    <w:rsid w:val="00A21435"/>
    <w:rsid w:val="00A229B4"/>
    <w:rsid w:val="00A24C33"/>
    <w:rsid w:val="00A516F4"/>
    <w:rsid w:val="00A556A2"/>
    <w:rsid w:val="00A56669"/>
    <w:rsid w:val="00A87CC9"/>
    <w:rsid w:val="00AB41AB"/>
    <w:rsid w:val="00AE2787"/>
    <w:rsid w:val="00AF07F5"/>
    <w:rsid w:val="00B40D84"/>
    <w:rsid w:val="00B446E4"/>
    <w:rsid w:val="00B5775A"/>
    <w:rsid w:val="00B91847"/>
    <w:rsid w:val="00BA6649"/>
    <w:rsid w:val="00C24E98"/>
    <w:rsid w:val="00C258DA"/>
    <w:rsid w:val="00C34C47"/>
    <w:rsid w:val="00C601EF"/>
    <w:rsid w:val="00CC2CCF"/>
    <w:rsid w:val="00D07BF4"/>
    <w:rsid w:val="00D36AB8"/>
    <w:rsid w:val="00D43A61"/>
    <w:rsid w:val="00D60279"/>
    <w:rsid w:val="00D7173F"/>
    <w:rsid w:val="00D909F8"/>
    <w:rsid w:val="00DA1CB6"/>
    <w:rsid w:val="00DD1903"/>
    <w:rsid w:val="00E1703B"/>
    <w:rsid w:val="00E21B7E"/>
    <w:rsid w:val="00E264C7"/>
    <w:rsid w:val="00E30B19"/>
    <w:rsid w:val="00E31097"/>
    <w:rsid w:val="00E3623A"/>
    <w:rsid w:val="00E45FCC"/>
    <w:rsid w:val="00E62F10"/>
    <w:rsid w:val="00E92CA0"/>
    <w:rsid w:val="00EC0922"/>
    <w:rsid w:val="00EE07C8"/>
    <w:rsid w:val="00F1238A"/>
    <w:rsid w:val="00F24D33"/>
    <w:rsid w:val="00F251EF"/>
    <w:rsid w:val="00F433AD"/>
    <w:rsid w:val="00F43910"/>
    <w:rsid w:val="00F54E6A"/>
    <w:rsid w:val="00F62DD1"/>
    <w:rsid w:val="00F84632"/>
    <w:rsid w:val="00FB2694"/>
    <w:rsid w:val="00FC182D"/>
    <w:rsid w:val="00FF24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5FEEE-7DBB-4585-94EC-E414733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8E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A56669"/>
    <w:pPr>
      <w:keepNext/>
      <w:jc w:val="center"/>
      <w:outlineLvl w:val="0"/>
    </w:pPr>
    <w:rPr>
      <w:b/>
      <w:bCs/>
    </w:rPr>
  </w:style>
  <w:style w:type="paragraph" w:styleId="Nadpis2">
    <w:name w:val="heading 2"/>
    <w:basedOn w:val="Normlny"/>
    <w:next w:val="Normlny"/>
    <w:link w:val="Nadpis2Char"/>
    <w:uiPriority w:val="9"/>
    <w:unhideWhenUsed/>
    <w:qFormat/>
    <w:rsid w:val="00D07B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A56669"/>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56669"/>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A56669"/>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A56669"/>
    <w:pPr>
      <w:spacing w:line="240" w:lineRule="atLeast"/>
      <w:jc w:val="both"/>
    </w:pPr>
  </w:style>
  <w:style w:type="character" w:customStyle="1" w:styleId="Zkladntext3Char">
    <w:name w:val="Základný text 3 Char"/>
    <w:basedOn w:val="Predvolenpsmoodseku"/>
    <w:link w:val="Zkladntext3"/>
    <w:uiPriority w:val="99"/>
    <w:rsid w:val="00A56669"/>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A56669"/>
    <w:pPr>
      <w:jc w:val="center"/>
    </w:pPr>
    <w:rPr>
      <w:sz w:val="20"/>
      <w:szCs w:val="20"/>
    </w:rPr>
  </w:style>
  <w:style w:type="character" w:customStyle="1" w:styleId="Zkladntext2Char">
    <w:name w:val="Základný text 2 Char"/>
    <w:basedOn w:val="Predvolenpsmoodseku"/>
    <w:link w:val="Zkladntext2"/>
    <w:uiPriority w:val="99"/>
    <w:rsid w:val="00A56669"/>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A56669"/>
    <w:rPr>
      <w:sz w:val="20"/>
      <w:szCs w:val="20"/>
      <w:lang w:eastAsia="en-US"/>
    </w:rPr>
  </w:style>
  <w:style w:type="paragraph" w:customStyle="1" w:styleId="Zkladntext">
    <w:name w:val="Základní text"/>
    <w:aliases w:val="Základný text Char Char"/>
    <w:uiPriority w:val="99"/>
    <w:rsid w:val="00A56669"/>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43B9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3B90"/>
    <w:rPr>
      <w:rFonts w:ascii="Segoe UI" w:eastAsia="Times New Roman" w:hAnsi="Segoe UI" w:cs="Segoe UI"/>
      <w:sz w:val="18"/>
      <w:szCs w:val="18"/>
      <w:lang w:eastAsia="sk-SK"/>
    </w:rPr>
  </w:style>
  <w:style w:type="paragraph" w:styleId="Odsekzoznamu">
    <w:name w:val="List Paragraph"/>
    <w:basedOn w:val="Normlny"/>
    <w:link w:val="OdsekzoznamuChar"/>
    <w:uiPriority w:val="34"/>
    <w:qFormat/>
    <w:rsid w:val="00A516F4"/>
    <w:pPr>
      <w:autoSpaceDE/>
      <w:autoSpaceDN/>
      <w:spacing w:after="160" w:line="259" w:lineRule="auto"/>
      <w:ind w:left="720"/>
      <w:contextualSpacing/>
    </w:pPr>
    <w:rPr>
      <w:rFonts w:eastAsiaTheme="minorHAnsi" w:cstheme="minorBidi"/>
      <w:szCs w:val="22"/>
      <w:lang w:eastAsia="en-US"/>
    </w:rPr>
  </w:style>
  <w:style w:type="character" w:customStyle="1" w:styleId="OdsekzoznamuChar">
    <w:name w:val="Odsek zoznamu Char"/>
    <w:link w:val="Odsekzoznamu"/>
    <w:uiPriority w:val="34"/>
    <w:locked/>
    <w:rsid w:val="00A516F4"/>
    <w:rPr>
      <w:rFonts w:ascii="Times New Roman" w:hAnsi="Times New Roman"/>
      <w:sz w:val="24"/>
    </w:rPr>
  </w:style>
  <w:style w:type="paragraph" w:styleId="Hlavika">
    <w:name w:val="header"/>
    <w:basedOn w:val="Normlny"/>
    <w:link w:val="HlavikaChar"/>
    <w:uiPriority w:val="99"/>
    <w:unhideWhenUsed/>
    <w:rsid w:val="00315D6B"/>
    <w:pPr>
      <w:tabs>
        <w:tab w:val="center" w:pos="4536"/>
        <w:tab w:val="right" w:pos="9072"/>
      </w:tabs>
    </w:pPr>
  </w:style>
  <w:style w:type="character" w:customStyle="1" w:styleId="HlavikaChar">
    <w:name w:val="Hlavička Char"/>
    <w:basedOn w:val="Predvolenpsmoodseku"/>
    <w:link w:val="Hlavika"/>
    <w:uiPriority w:val="99"/>
    <w:rsid w:val="00315D6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15D6B"/>
    <w:pPr>
      <w:tabs>
        <w:tab w:val="center" w:pos="4536"/>
        <w:tab w:val="right" w:pos="9072"/>
      </w:tabs>
    </w:pPr>
  </w:style>
  <w:style w:type="character" w:customStyle="1" w:styleId="PtaChar">
    <w:name w:val="Päta Char"/>
    <w:basedOn w:val="Predvolenpsmoodseku"/>
    <w:link w:val="Pta"/>
    <w:uiPriority w:val="99"/>
    <w:rsid w:val="00315D6B"/>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3C543D"/>
    <w:rPr>
      <w:i/>
      <w:iCs/>
    </w:rPr>
  </w:style>
  <w:style w:type="character" w:styleId="Jemnzvraznenie">
    <w:name w:val="Subtle Emphasis"/>
    <w:basedOn w:val="Predvolenpsmoodseku"/>
    <w:uiPriority w:val="19"/>
    <w:qFormat/>
    <w:rsid w:val="000238EC"/>
    <w:rPr>
      <w:i/>
      <w:iCs/>
      <w:color w:val="404040" w:themeColor="text1" w:themeTint="BF"/>
    </w:rPr>
  </w:style>
  <w:style w:type="character" w:customStyle="1" w:styleId="Nadpis2Char">
    <w:name w:val="Nadpis 2 Char"/>
    <w:basedOn w:val="Predvolenpsmoodseku"/>
    <w:link w:val="Nadpis2"/>
    <w:uiPriority w:val="9"/>
    <w:rsid w:val="00D07BF4"/>
    <w:rPr>
      <w:rFonts w:asciiTheme="majorHAnsi" w:eastAsiaTheme="majorEastAsia" w:hAnsiTheme="majorHAnsi" w:cstheme="majorBidi"/>
      <w:color w:val="2E74B5" w:themeColor="accent1" w:themeShade="BF"/>
      <w:sz w:val="26"/>
      <w:szCs w:val="26"/>
      <w:lang w:eastAsia="sk-SK"/>
    </w:rPr>
  </w:style>
  <w:style w:type="paragraph" w:customStyle="1" w:styleId="Default">
    <w:name w:val="Default"/>
    <w:rsid w:val="00D07BF4"/>
    <w:pPr>
      <w:autoSpaceDE w:val="0"/>
      <w:autoSpaceDN w:val="0"/>
      <w:adjustRightInd w:val="0"/>
      <w:spacing w:after="0" w:line="240" w:lineRule="auto"/>
    </w:pPr>
    <w:rPr>
      <w:rFonts w:ascii="Times New Roman" w:hAnsi="Times New Roman" w:cs="Times New Roman"/>
      <w:color w:val="000000"/>
      <w:sz w:val="24"/>
      <w:szCs w:val="24"/>
    </w:rPr>
  </w:style>
  <w:style w:type="paragraph" w:styleId="Zarkazkladnhotextu2">
    <w:name w:val="Body Text Indent 2"/>
    <w:basedOn w:val="Normlny"/>
    <w:link w:val="Zarkazkladnhotextu2Char"/>
    <w:uiPriority w:val="99"/>
    <w:unhideWhenUsed/>
    <w:rsid w:val="00D07BF4"/>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07BF4"/>
    <w:rPr>
      <w:rFonts w:ascii="Times New Roman" w:eastAsia="Times New Roman" w:hAnsi="Times New Roman" w:cs="Times New Roman"/>
      <w:sz w:val="24"/>
      <w:szCs w:val="24"/>
      <w:lang w:eastAsia="sk-SK"/>
    </w:rPr>
  </w:style>
  <w:style w:type="paragraph" w:customStyle="1" w:styleId="abc">
    <w:name w:val="abc"/>
    <w:basedOn w:val="Normlny"/>
    <w:uiPriority w:val="99"/>
    <w:rsid w:val="00D07BF4"/>
    <w:pPr>
      <w:widowControl w:val="0"/>
      <w:tabs>
        <w:tab w:val="left" w:pos="360"/>
        <w:tab w:val="left" w:pos="680"/>
      </w:tabs>
      <w:jc w:val="both"/>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630">
      <w:bodyDiv w:val="1"/>
      <w:marLeft w:val="0"/>
      <w:marRight w:val="0"/>
      <w:marTop w:val="0"/>
      <w:marBottom w:val="0"/>
      <w:divBdr>
        <w:top w:val="none" w:sz="0" w:space="0" w:color="auto"/>
        <w:left w:val="none" w:sz="0" w:space="0" w:color="auto"/>
        <w:bottom w:val="none" w:sz="0" w:space="0" w:color="auto"/>
        <w:right w:val="none" w:sz="0" w:space="0" w:color="auto"/>
      </w:divBdr>
      <w:divsChild>
        <w:div w:id="1781218310">
          <w:marLeft w:val="255"/>
          <w:marRight w:val="0"/>
          <w:marTop w:val="0"/>
          <w:marBottom w:val="0"/>
          <w:divBdr>
            <w:top w:val="none" w:sz="0" w:space="0" w:color="auto"/>
            <w:left w:val="none" w:sz="0" w:space="0" w:color="auto"/>
            <w:bottom w:val="none" w:sz="0" w:space="0" w:color="auto"/>
            <w:right w:val="none" w:sz="0" w:space="0" w:color="auto"/>
          </w:divBdr>
        </w:div>
        <w:div w:id="1403716714">
          <w:marLeft w:val="255"/>
          <w:marRight w:val="0"/>
          <w:marTop w:val="0"/>
          <w:marBottom w:val="0"/>
          <w:divBdr>
            <w:top w:val="none" w:sz="0" w:space="0" w:color="auto"/>
            <w:left w:val="none" w:sz="0" w:space="0" w:color="auto"/>
            <w:bottom w:val="none" w:sz="0" w:space="0" w:color="auto"/>
            <w:right w:val="none" w:sz="0" w:space="0" w:color="auto"/>
          </w:divBdr>
        </w:div>
        <w:div w:id="1346593260">
          <w:marLeft w:val="255"/>
          <w:marRight w:val="0"/>
          <w:marTop w:val="0"/>
          <w:marBottom w:val="0"/>
          <w:divBdr>
            <w:top w:val="none" w:sz="0" w:space="0" w:color="auto"/>
            <w:left w:val="none" w:sz="0" w:space="0" w:color="auto"/>
            <w:bottom w:val="none" w:sz="0" w:space="0" w:color="auto"/>
            <w:right w:val="none" w:sz="0" w:space="0" w:color="auto"/>
          </w:divBdr>
        </w:div>
        <w:div w:id="1059012346">
          <w:marLeft w:val="255"/>
          <w:marRight w:val="0"/>
          <w:marTop w:val="0"/>
          <w:marBottom w:val="0"/>
          <w:divBdr>
            <w:top w:val="none" w:sz="0" w:space="0" w:color="auto"/>
            <w:left w:val="none" w:sz="0" w:space="0" w:color="auto"/>
            <w:bottom w:val="none" w:sz="0" w:space="0" w:color="auto"/>
            <w:right w:val="none" w:sz="0" w:space="0" w:color="auto"/>
          </w:divBdr>
        </w:div>
        <w:div w:id="554581411">
          <w:marLeft w:val="255"/>
          <w:marRight w:val="0"/>
          <w:marTop w:val="0"/>
          <w:marBottom w:val="0"/>
          <w:divBdr>
            <w:top w:val="none" w:sz="0" w:space="0" w:color="auto"/>
            <w:left w:val="none" w:sz="0" w:space="0" w:color="auto"/>
            <w:bottom w:val="none" w:sz="0" w:space="0" w:color="auto"/>
            <w:right w:val="none" w:sz="0" w:space="0" w:color="auto"/>
          </w:divBdr>
        </w:div>
        <w:div w:id="817187472">
          <w:marLeft w:val="255"/>
          <w:marRight w:val="0"/>
          <w:marTop w:val="0"/>
          <w:marBottom w:val="0"/>
          <w:divBdr>
            <w:top w:val="none" w:sz="0" w:space="0" w:color="auto"/>
            <w:left w:val="none" w:sz="0" w:space="0" w:color="auto"/>
            <w:bottom w:val="none" w:sz="0" w:space="0" w:color="auto"/>
            <w:right w:val="none" w:sz="0" w:space="0" w:color="auto"/>
          </w:divBdr>
        </w:div>
        <w:div w:id="613943969">
          <w:marLeft w:val="255"/>
          <w:marRight w:val="0"/>
          <w:marTop w:val="0"/>
          <w:marBottom w:val="0"/>
          <w:divBdr>
            <w:top w:val="none" w:sz="0" w:space="0" w:color="auto"/>
            <w:left w:val="none" w:sz="0" w:space="0" w:color="auto"/>
            <w:bottom w:val="none" w:sz="0" w:space="0" w:color="auto"/>
            <w:right w:val="none" w:sz="0" w:space="0" w:color="auto"/>
          </w:divBdr>
        </w:div>
        <w:div w:id="1486892207">
          <w:marLeft w:val="255"/>
          <w:marRight w:val="0"/>
          <w:marTop w:val="0"/>
          <w:marBottom w:val="0"/>
          <w:divBdr>
            <w:top w:val="none" w:sz="0" w:space="0" w:color="auto"/>
            <w:left w:val="none" w:sz="0" w:space="0" w:color="auto"/>
            <w:bottom w:val="none" w:sz="0" w:space="0" w:color="auto"/>
            <w:right w:val="none" w:sz="0" w:space="0" w:color="auto"/>
          </w:divBdr>
        </w:div>
        <w:div w:id="1029186327">
          <w:marLeft w:val="255"/>
          <w:marRight w:val="0"/>
          <w:marTop w:val="0"/>
          <w:marBottom w:val="0"/>
          <w:divBdr>
            <w:top w:val="none" w:sz="0" w:space="0" w:color="auto"/>
            <w:left w:val="none" w:sz="0" w:space="0" w:color="auto"/>
            <w:bottom w:val="none" w:sz="0" w:space="0" w:color="auto"/>
            <w:right w:val="none" w:sz="0" w:space="0" w:color="auto"/>
          </w:divBdr>
        </w:div>
        <w:div w:id="991910883">
          <w:marLeft w:val="255"/>
          <w:marRight w:val="0"/>
          <w:marTop w:val="0"/>
          <w:marBottom w:val="0"/>
          <w:divBdr>
            <w:top w:val="none" w:sz="0" w:space="0" w:color="auto"/>
            <w:left w:val="none" w:sz="0" w:space="0" w:color="auto"/>
            <w:bottom w:val="none" w:sz="0" w:space="0" w:color="auto"/>
            <w:right w:val="none" w:sz="0" w:space="0" w:color="auto"/>
          </w:divBdr>
        </w:div>
        <w:div w:id="650598463">
          <w:marLeft w:val="255"/>
          <w:marRight w:val="0"/>
          <w:marTop w:val="0"/>
          <w:marBottom w:val="0"/>
          <w:divBdr>
            <w:top w:val="none" w:sz="0" w:space="0" w:color="auto"/>
            <w:left w:val="none" w:sz="0" w:space="0" w:color="auto"/>
            <w:bottom w:val="none" w:sz="0" w:space="0" w:color="auto"/>
            <w:right w:val="none" w:sz="0" w:space="0" w:color="auto"/>
          </w:divBdr>
        </w:div>
        <w:div w:id="2058580113">
          <w:marLeft w:val="255"/>
          <w:marRight w:val="0"/>
          <w:marTop w:val="0"/>
          <w:marBottom w:val="0"/>
          <w:divBdr>
            <w:top w:val="none" w:sz="0" w:space="0" w:color="auto"/>
            <w:left w:val="none" w:sz="0" w:space="0" w:color="auto"/>
            <w:bottom w:val="none" w:sz="0" w:space="0" w:color="auto"/>
            <w:right w:val="none" w:sz="0" w:space="0" w:color="auto"/>
          </w:divBdr>
        </w:div>
        <w:div w:id="360056759">
          <w:marLeft w:val="255"/>
          <w:marRight w:val="0"/>
          <w:marTop w:val="0"/>
          <w:marBottom w:val="0"/>
          <w:divBdr>
            <w:top w:val="none" w:sz="0" w:space="0" w:color="auto"/>
            <w:left w:val="none" w:sz="0" w:space="0" w:color="auto"/>
            <w:bottom w:val="none" w:sz="0" w:space="0" w:color="auto"/>
            <w:right w:val="none" w:sz="0" w:space="0" w:color="auto"/>
          </w:divBdr>
        </w:div>
        <w:div w:id="2141993767">
          <w:marLeft w:val="255"/>
          <w:marRight w:val="0"/>
          <w:marTop w:val="0"/>
          <w:marBottom w:val="0"/>
          <w:divBdr>
            <w:top w:val="none" w:sz="0" w:space="0" w:color="auto"/>
            <w:left w:val="none" w:sz="0" w:space="0" w:color="auto"/>
            <w:bottom w:val="none" w:sz="0" w:space="0" w:color="auto"/>
            <w:right w:val="none" w:sz="0" w:space="0" w:color="auto"/>
          </w:divBdr>
        </w:div>
        <w:div w:id="1574395167">
          <w:marLeft w:val="255"/>
          <w:marRight w:val="0"/>
          <w:marTop w:val="0"/>
          <w:marBottom w:val="0"/>
          <w:divBdr>
            <w:top w:val="none" w:sz="0" w:space="0" w:color="auto"/>
            <w:left w:val="none" w:sz="0" w:space="0" w:color="auto"/>
            <w:bottom w:val="none" w:sz="0" w:space="0" w:color="auto"/>
            <w:right w:val="none" w:sz="0" w:space="0" w:color="auto"/>
          </w:divBdr>
        </w:div>
      </w:divsChild>
    </w:div>
    <w:div w:id="270860416">
      <w:bodyDiv w:val="1"/>
      <w:marLeft w:val="0"/>
      <w:marRight w:val="0"/>
      <w:marTop w:val="0"/>
      <w:marBottom w:val="0"/>
      <w:divBdr>
        <w:top w:val="none" w:sz="0" w:space="0" w:color="auto"/>
        <w:left w:val="none" w:sz="0" w:space="0" w:color="auto"/>
        <w:bottom w:val="none" w:sz="0" w:space="0" w:color="auto"/>
        <w:right w:val="none" w:sz="0" w:space="0" w:color="auto"/>
      </w:divBdr>
      <w:divsChild>
        <w:div w:id="362827977">
          <w:marLeft w:val="255"/>
          <w:marRight w:val="0"/>
          <w:marTop w:val="0"/>
          <w:marBottom w:val="0"/>
          <w:divBdr>
            <w:top w:val="none" w:sz="0" w:space="0" w:color="auto"/>
            <w:left w:val="none" w:sz="0" w:space="0" w:color="auto"/>
            <w:bottom w:val="none" w:sz="0" w:space="0" w:color="auto"/>
            <w:right w:val="none" w:sz="0" w:space="0" w:color="auto"/>
          </w:divBdr>
        </w:div>
        <w:div w:id="1087072840">
          <w:marLeft w:val="255"/>
          <w:marRight w:val="0"/>
          <w:marTop w:val="0"/>
          <w:marBottom w:val="0"/>
          <w:divBdr>
            <w:top w:val="none" w:sz="0" w:space="0" w:color="auto"/>
            <w:left w:val="none" w:sz="0" w:space="0" w:color="auto"/>
            <w:bottom w:val="none" w:sz="0" w:space="0" w:color="auto"/>
            <w:right w:val="none" w:sz="0" w:space="0" w:color="auto"/>
          </w:divBdr>
        </w:div>
        <w:div w:id="70082640">
          <w:marLeft w:val="255"/>
          <w:marRight w:val="0"/>
          <w:marTop w:val="0"/>
          <w:marBottom w:val="0"/>
          <w:divBdr>
            <w:top w:val="none" w:sz="0" w:space="0" w:color="auto"/>
            <w:left w:val="none" w:sz="0" w:space="0" w:color="auto"/>
            <w:bottom w:val="none" w:sz="0" w:space="0" w:color="auto"/>
            <w:right w:val="none" w:sz="0" w:space="0" w:color="auto"/>
          </w:divBdr>
        </w:div>
        <w:div w:id="2034838858">
          <w:marLeft w:val="255"/>
          <w:marRight w:val="0"/>
          <w:marTop w:val="0"/>
          <w:marBottom w:val="0"/>
          <w:divBdr>
            <w:top w:val="none" w:sz="0" w:space="0" w:color="auto"/>
            <w:left w:val="none" w:sz="0" w:space="0" w:color="auto"/>
            <w:bottom w:val="none" w:sz="0" w:space="0" w:color="auto"/>
            <w:right w:val="none" w:sz="0" w:space="0" w:color="auto"/>
          </w:divBdr>
        </w:div>
        <w:div w:id="56245638">
          <w:marLeft w:val="255"/>
          <w:marRight w:val="0"/>
          <w:marTop w:val="0"/>
          <w:marBottom w:val="0"/>
          <w:divBdr>
            <w:top w:val="none" w:sz="0" w:space="0" w:color="auto"/>
            <w:left w:val="none" w:sz="0" w:space="0" w:color="auto"/>
            <w:bottom w:val="none" w:sz="0" w:space="0" w:color="auto"/>
            <w:right w:val="none" w:sz="0" w:space="0" w:color="auto"/>
          </w:divBdr>
        </w:div>
        <w:div w:id="1234390278">
          <w:marLeft w:val="255"/>
          <w:marRight w:val="0"/>
          <w:marTop w:val="0"/>
          <w:marBottom w:val="0"/>
          <w:divBdr>
            <w:top w:val="none" w:sz="0" w:space="0" w:color="auto"/>
            <w:left w:val="none" w:sz="0" w:space="0" w:color="auto"/>
            <w:bottom w:val="none" w:sz="0" w:space="0" w:color="auto"/>
            <w:right w:val="none" w:sz="0" w:space="0" w:color="auto"/>
          </w:divBdr>
        </w:div>
        <w:div w:id="2072732624">
          <w:marLeft w:val="255"/>
          <w:marRight w:val="0"/>
          <w:marTop w:val="0"/>
          <w:marBottom w:val="0"/>
          <w:divBdr>
            <w:top w:val="none" w:sz="0" w:space="0" w:color="auto"/>
            <w:left w:val="none" w:sz="0" w:space="0" w:color="auto"/>
            <w:bottom w:val="none" w:sz="0" w:space="0" w:color="auto"/>
            <w:right w:val="none" w:sz="0" w:space="0" w:color="auto"/>
          </w:divBdr>
        </w:div>
        <w:div w:id="1395424590">
          <w:marLeft w:val="255"/>
          <w:marRight w:val="0"/>
          <w:marTop w:val="0"/>
          <w:marBottom w:val="0"/>
          <w:divBdr>
            <w:top w:val="none" w:sz="0" w:space="0" w:color="auto"/>
            <w:left w:val="none" w:sz="0" w:space="0" w:color="auto"/>
            <w:bottom w:val="none" w:sz="0" w:space="0" w:color="auto"/>
            <w:right w:val="none" w:sz="0" w:space="0" w:color="auto"/>
          </w:divBdr>
        </w:div>
        <w:div w:id="1366565018">
          <w:marLeft w:val="255"/>
          <w:marRight w:val="0"/>
          <w:marTop w:val="0"/>
          <w:marBottom w:val="0"/>
          <w:divBdr>
            <w:top w:val="none" w:sz="0" w:space="0" w:color="auto"/>
            <w:left w:val="none" w:sz="0" w:space="0" w:color="auto"/>
            <w:bottom w:val="none" w:sz="0" w:space="0" w:color="auto"/>
            <w:right w:val="none" w:sz="0" w:space="0" w:color="auto"/>
          </w:divBdr>
        </w:div>
        <w:div w:id="864563676">
          <w:marLeft w:val="255"/>
          <w:marRight w:val="0"/>
          <w:marTop w:val="0"/>
          <w:marBottom w:val="0"/>
          <w:divBdr>
            <w:top w:val="none" w:sz="0" w:space="0" w:color="auto"/>
            <w:left w:val="none" w:sz="0" w:space="0" w:color="auto"/>
            <w:bottom w:val="none" w:sz="0" w:space="0" w:color="auto"/>
            <w:right w:val="none" w:sz="0" w:space="0" w:color="auto"/>
          </w:divBdr>
        </w:div>
        <w:div w:id="1850291748">
          <w:marLeft w:val="255"/>
          <w:marRight w:val="0"/>
          <w:marTop w:val="0"/>
          <w:marBottom w:val="0"/>
          <w:divBdr>
            <w:top w:val="none" w:sz="0" w:space="0" w:color="auto"/>
            <w:left w:val="none" w:sz="0" w:space="0" w:color="auto"/>
            <w:bottom w:val="none" w:sz="0" w:space="0" w:color="auto"/>
            <w:right w:val="none" w:sz="0" w:space="0" w:color="auto"/>
          </w:divBdr>
        </w:div>
        <w:div w:id="715159554">
          <w:marLeft w:val="255"/>
          <w:marRight w:val="0"/>
          <w:marTop w:val="0"/>
          <w:marBottom w:val="0"/>
          <w:divBdr>
            <w:top w:val="none" w:sz="0" w:space="0" w:color="auto"/>
            <w:left w:val="none" w:sz="0" w:space="0" w:color="auto"/>
            <w:bottom w:val="none" w:sz="0" w:space="0" w:color="auto"/>
            <w:right w:val="none" w:sz="0" w:space="0" w:color="auto"/>
          </w:divBdr>
        </w:div>
      </w:divsChild>
    </w:div>
    <w:div w:id="488327054">
      <w:bodyDiv w:val="1"/>
      <w:marLeft w:val="0"/>
      <w:marRight w:val="0"/>
      <w:marTop w:val="0"/>
      <w:marBottom w:val="0"/>
      <w:divBdr>
        <w:top w:val="none" w:sz="0" w:space="0" w:color="auto"/>
        <w:left w:val="none" w:sz="0" w:space="0" w:color="auto"/>
        <w:bottom w:val="none" w:sz="0" w:space="0" w:color="auto"/>
        <w:right w:val="none" w:sz="0" w:space="0" w:color="auto"/>
      </w:divBdr>
      <w:divsChild>
        <w:div w:id="2091803068">
          <w:marLeft w:val="255"/>
          <w:marRight w:val="0"/>
          <w:marTop w:val="0"/>
          <w:marBottom w:val="0"/>
          <w:divBdr>
            <w:top w:val="none" w:sz="0" w:space="0" w:color="auto"/>
            <w:left w:val="none" w:sz="0" w:space="0" w:color="auto"/>
            <w:bottom w:val="none" w:sz="0" w:space="0" w:color="auto"/>
            <w:right w:val="none" w:sz="0" w:space="0" w:color="auto"/>
          </w:divBdr>
        </w:div>
        <w:div w:id="991517767">
          <w:marLeft w:val="255"/>
          <w:marRight w:val="0"/>
          <w:marTop w:val="0"/>
          <w:marBottom w:val="0"/>
          <w:divBdr>
            <w:top w:val="none" w:sz="0" w:space="0" w:color="auto"/>
            <w:left w:val="none" w:sz="0" w:space="0" w:color="auto"/>
            <w:bottom w:val="none" w:sz="0" w:space="0" w:color="auto"/>
            <w:right w:val="none" w:sz="0" w:space="0" w:color="auto"/>
          </w:divBdr>
          <w:divsChild>
            <w:div w:id="2031642788">
              <w:marLeft w:val="255"/>
              <w:marRight w:val="0"/>
              <w:marTop w:val="75"/>
              <w:marBottom w:val="0"/>
              <w:divBdr>
                <w:top w:val="none" w:sz="0" w:space="0" w:color="auto"/>
                <w:left w:val="none" w:sz="0" w:space="0" w:color="auto"/>
                <w:bottom w:val="none" w:sz="0" w:space="0" w:color="auto"/>
                <w:right w:val="none" w:sz="0" w:space="0" w:color="auto"/>
              </w:divBdr>
              <w:divsChild>
                <w:div w:id="7025057">
                  <w:marLeft w:val="0"/>
                  <w:marRight w:val="225"/>
                  <w:marTop w:val="0"/>
                  <w:marBottom w:val="0"/>
                  <w:divBdr>
                    <w:top w:val="none" w:sz="0" w:space="0" w:color="auto"/>
                    <w:left w:val="none" w:sz="0" w:space="0" w:color="auto"/>
                    <w:bottom w:val="none" w:sz="0" w:space="0" w:color="auto"/>
                    <w:right w:val="none" w:sz="0" w:space="0" w:color="auto"/>
                  </w:divBdr>
                </w:div>
              </w:divsChild>
            </w:div>
            <w:div w:id="279344198">
              <w:marLeft w:val="255"/>
              <w:marRight w:val="0"/>
              <w:marTop w:val="75"/>
              <w:marBottom w:val="0"/>
              <w:divBdr>
                <w:top w:val="none" w:sz="0" w:space="0" w:color="auto"/>
                <w:left w:val="none" w:sz="0" w:space="0" w:color="auto"/>
                <w:bottom w:val="none" w:sz="0" w:space="0" w:color="auto"/>
                <w:right w:val="none" w:sz="0" w:space="0" w:color="auto"/>
              </w:divBdr>
              <w:divsChild>
                <w:div w:id="806816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1346917">
          <w:marLeft w:val="255"/>
          <w:marRight w:val="0"/>
          <w:marTop w:val="0"/>
          <w:marBottom w:val="0"/>
          <w:divBdr>
            <w:top w:val="none" w:sz="0" w:space="0" w:color="auto"/>
            <w:left w:val="none" w:sz="0" w:space="0" w:color="auto"/>
            <w:bottom w:val="none" w:sz="0" w:space="0" w:color="auto"/>
            <w:right w:val="none" w:sz="0" w:space="0" w:color="auto"/>
          </w:divBdr>
          <w:divsChild>
            <w:div w:id="567150047">
              <w:marLeft w:val="255"/>
              <w:marRight w:val="0"/>
              <w:marTop w:val="75"/>
              <w:marBottom w:val="0"/>
              <w:divBdr>
                <w:top w:val="none" w:sz="0" w:space="0" w:color="auto"/>
                <w:left w:val="none" w:sz="0" w:space="0" w:color="auto"/>
                <w:bottom w:val="none" w:sz="0" w:space="0" w:color="auto"/>
                <w:right w:val="none" w:sz="0" w:space="0" w:color="auto"/>
              </w:divBdr>
              <w:divsChild>
                <w:div w:id="1043212261">
                  <w:marLeft w:val="0"/>
                  <w:marRight w:val="225"/>
                  <w:marTop w:val="0"/>
                  <w:marBottom w:val="0"/>
                  <w:divBdr>
                    <w:top w:val="none" w:sz="0" w:space="0" w:color="auto"/>
                    <w:left w:val="none" w:sz="0" w:space="0" w:color="auto"/>
                    <w:bottom w:val="none" w:sz="0" w:space="0" w:color="auto"/>
                    <w:right w:val="none" w:sz="0" w:space="0" w:color="auto"/>
                  </w:divBdr>
                </w:div>
              </w:divsChild>
            </w:div>
            <w:div w:id="301008044">
              <w:marLeft w:val="255"/>
              <w:marRight w:val="0"/>
              <w:marTop w:val="75"/>
              <w:marBottom w:val="0"/>
              <w:divBdr>
                <w:top w:val="none" w:sz="0" w:space="0" w:color="auto"/>
                <w:left w:val="none" w:sz="0" w:space="0" w:color="auto"/>
                <w:bottom w:val="none" w:sz="0" w:space="0" w:color="auto"/>
                <w:right w:val="none" w:sz="0" w:space="0" w:color="auto"/>
              </w:divBdr>
              <w:divsChild>
                <w:div w:id="11210755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82564911">
          <w:marLeft w:val="255"/>
          <w:marRight w:val="0"/>
          <w:marTop w:val="0"/>
          <w:marBottom w:val="0"/>
          <w:divBdr>
            <w:top w:val="none" w:sz="0" w:space="0" w:color="auto"/>
            <w:left w:val="none" w:sz="0" w:space="0" w:color="auto"/>
            <w:bottom w:val="none" w:sz="0" w:space="0" w:color="auto"/>
            <w:right w:val="none" w:sz="0" w:space="0" w:color="auto"/>
          </w:divBdr>
          <w:divsChild>
            <w:div w:id="623468583">
              <w:marLeft w:val="255"/>
              <w:marRight w:val="0"/>
              <w:marTop w:val="75"/>
              <w:marBottom w:val="0"/>
              <w:divBdr>
                <w:top w:val="none" w:sz="0" w:space="0" w:color="auto"/>
                <w:left w:val="none" w:sz="0" w:space="0" w:color="auto"/>
                <w:bottom w:val="none" w:sz="0" w:space="0" w:color="auto"/>
                <w:right w:val="none" w:sz="0" w:space="0" w:color="auto"/>
              </w:divBdr>
              <w:divsChild>
                <w:div w:id="1091775188">
                  <w:marLeft w:val="0"/>
                  <w:marRight w:val="225"/>
                  <w:marTop w:val="0"/>
                  <w:marBottom w:val="0"/>
                  <w:divBdr>
                    <w:top w:val="none" w:sz="0" w:space="0" w:color="auto"/>
                    <w:left w:val="none" w:sz="0" w:space="0" w:color="auto"/>
                    <w:bottom w:val="none" w:sz="0" w:space="0" w:color="auto"/>
                    <w:right w:val="none" w:sz="0" w:space="0" w:color="auto"/>
                  </w:divBdr>
                </w:div>
              </w:divsChild>
            </w:div>
            <w:div w:id="1127285352">
              <w:marLeft w:val="255"/>
              <w:marRight w:val="0"/>
              <w:marTop w:val="75"/>
              <w:marBottom w:val="0"/>
              <w:divBdr>
                <w:top w:val="none" w:sz="0" w:space="0" w:color="auto"/>
                <w:left w:val="none" w:sz="0" w:space="0" w:color="auto"/>
                <w:bottom w:val="none" w:sz="0" w:space="0" w:color="auto"/>
                <w:right w:val="none" w:sz="0" w:space="0" w:color="auto"/>
              </w:divBdr>
              <w:divsChild>
                <w:div w:id="13161775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01001419">
          <w:marLeft w:val="255"/>
          <w:marRight w:val="0"/>
          <w:marTop w:val="0"/>
          <w:marBottom w:val="0"/>
          <w:divBdr>
            <w:top w:val="none" w:sz="0" w:space="0" w:color="auto"/>
            <w:left w:val="none" w:sz="0" w:space="0" w:color="auto"/>
            <w:bottom w:val="none" w:sz="0" w:space="0" w:color="auto"/>
            <w:right w:val="none" w:sz="0" w:space="0" w:color="auto"/>
          </w:divBdr>
        </w:div>
        <w:div w:id="777411026">
          <w:marLeft w:val="255"/>
          <w:marRight w:val="0"/>
          <w:marTop w:val="0"/>
          <w:marBottom w:val="0"/>
          <w:divBdr>
            <w:top w:val="none" w:sz="0" w:space="0" w:color="auto"/>
            <w:left w:val="none" w:sz="0" w:space="0" w:color="auto"/>
            <w:bottom w:val="none" w:sz="0" w:space="0" w:color="auto"/>
            <w:right w:val="none" w:sz="0" w:space="0" w:color="auto"/>
          </w:divBdr>
        </w:div>
        <w:div w:id="1586256453">
          <w:marLeft w:val="255"/>
          <w:marRight w:val="0"/>
          <w:marTop w:val="0"/>
          <w:marBottom w:val="0"/>
          <w:divBdr>
            <w:top w:val="none" w:sz="0" w:space="0" w:color="auto"/>
            <w:left w:val="none" w:sz="0" w:space="0" w:color="auto"/>
            <w:bottom w:val="none" w:sz="0" w:space="0" w:color="auto"/>
            <w:right w:val="none" w:sz="0" w:space="0" w:color="auto"/>
          </w:divBdr>
        </w:div>
      </w:divsChild>
    </w:div>
    <w:div w:id="812986017">
      <w:bodyDiv w:val="1"/>
      <w:marLeft w:val="0"/>
      <w:marRight w:val="0"/>
      <w:marTop w:val="0"/>
      <w:marBottom w:val="0"/>
      <w:divBdr>
        <w:top w:val="none" w:sz="0" w:space="0" w:color="auto"/>
        <w:left w:val="none" w:sz="0" w:space="0" w:color="auto"/>
        <w:bottom w:val="none" w:sz="0" w:space="0" w:color="auto"/>
        <w:right w:val="none" w:sz="0" w:space="0" w:color="auto"/>
      </w:divBdr>
      <w:divsChild>
        <w:div w:id="8482927">
          <w:marLeft w:val="255"/>
          <w:marRight w:val="0"/>
          <w:marTop w:val="0"/>
          <w:marBottom w:val="0"/>
          <w:divBdr>
            <w:top w:val="none" w:sz="0" w:space="0" w:color="auto"/>
            <w:left w:val="none" w:sz="0" w:space="0" w:color="auto"/>
            <w:bottom w:val="none" w:sz="0" w:space="0" w:color="auto"/>
            <w:right w:val="none" w:sz="0" w:space="0" w:color="auto"/>
          </w:divBdr>
        </w:div>
        <w:div w:id="75714040">
          <w:marLeft w:val="255"/>
          <w:marRight w:val="0"/>
          <w:marTop w:val="0"/>
          <w:marBottom w:val="0"/>
          <w:divBdr>
            <w:top w:val="none" w:sz="0" w:space="0" w:color="auto"/>
            <w:left w:val="none" w:sz="0" w:space="0" w:color="auto"/>
            <w:bottom w:val="none" w:sz="0" w:space="0" w:color="auto"/>
            <w:right w:val="none" w:sz="0" w:space="0" w:color="auto"/>
          </w:divBdr>
        </w:div>
      </w:divsChild>
    </w:div>
    <w:div w:id="899055530">
      <w:bodyDiv w:val="1"/>
      <w:marLeft w:val="0"/>
      <w:marRight w:val="0"/>
      <w:marTop w:val="0"/>
      <w:marBottom w:val="0"/>
      <w:divBdr>
        <w:top w:val="none" w:sz="0" w:space="0" w:color="auto"/>
        <w:left w:val="none" w:sz="0" w:space="0" w:color="auto"/>
        <w:bottom w:val="none" w:sz="0" w:space="0" w:color="auto"/>
        <w:right w:val="none" w:sz="0" w:space="0" w:color="auto"/>
      </w:divBdr>
    </w:div>
    <w:div w:id="1172642203">
      <w:bodyDiv w:val="1"/>
      <w:marLeft w:val="0"/>
      <w:marRight w:val="0"/>
      <w:marTop w:val="0"/>
      <w:marBottom w:val="0"/>
      <w:divBdr>
        <w:top w:val="none" w:sz="0" w:space="0" w:color="auto"/>
        <w:left w:val="none" w:sz="0" w:space="0" w:color="auto"/>
        <w:bottom w:val="none" w:sz="0" w:space="0" w:color="auto"/>
        <w:right w:val="none" w:sz="0" w:space="0" w:color="auto"/>
      </w:divBdr>
      <w:divsChild>
        <w:div w:id="1213157724">
          <w:marLeft w:val="255"/>
          <w:marRight w:val="0"/>
          <w:marTop w:val="0"/>
          <w:marBottom w:val="0"/>
          <w:divBdr>
            <w:top w:val="none" w:sz="0" w:space="0" w:color="auto"/>
            <w:left w:val="none" w:sz="0" w:space="0" w:color="auto"/>
            <w:bottom w:val="none" w:sz="0" w:space="0" w:color="auto"/>
            <w:right w:val="none" w:sz="0" w:space="0" w:color="auto"/>
          </w:divBdr>
        </w:div>
      </w:divsChild>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92409197">
      <w:bodyDiv w:val="1"/>
      <w:marLeft w:val="0"/>
      <w:marRight w:val="0"/>
      <w:marTop w:val="0"/>
      <w:marBottom w:val="0"/>
      <w:divBdr>
        <w:top w:val="none" w:sz="0" w:space="0" w:color="auto"/>
        <w:left w:val="none" w:sz="0" w:space="0" w:color="auto"/>
        <w:bottom w:val="none" w:sz="0" w:space="0" w:color="auto"/>
        <w:right w:val="none" w:sz="0" w:space="0" w:color="auto"/>
      </w:divBdr>
    </w:div>
    <w:div w:id="1572885934">
      <w:bodyDiv w:val="1"/>
      <w:marLeft w:val="0"/>
      <w:marRight w:val="0"/>
      <w:marTop w:val="0"/>
      <w:marBottom w:val="0"/>
      <w:divBdr>
        <w:top w:val="none" w:sz="0" w:space="0" w:color="auto"/>
        <w:left w:val="none" w:sz="0" w:space="0" w:color="auto"/>
        <w:bottom w:val="none" w:sz="0" w:space="0" w:color="auto"/>
        <w:right w:val="none" w:sz="0" w:space="0" w:color="auto"/>
      </w:divBdr>
    </w:div>
    <w:div w:id="1878396411">
      <w:bodyDiv w:val="1"/>
      <w:marLeft w:val="0"/>
      <w:marRight w:val="0"/>
      <w:marTop w:val="0"/>
      <w:marBottom w:val="0"/>
      <w:divBdr>
        <w:top w:val="none" w:sz="0" w:space="0" w:color="auto"/>
        <w:left w:val="none" w:sz="0" w:space="0" w:color="auto"/>
        <w:bottom w:val="none" w:sz="0" w:space="0" w:color="auto"/>
        <w:right w:val="none" w:sz="0" w:space="0" w:color="auto"/>
      </w:divBdr>
      <w:divsChild>
        <w:div w:id="1469199590">
          <w:marLeft w:val="255"/>
          <w:marRight w:val="0"/>
          <w:marTop w:val="0"/>
          <w:marBottom w:val="0"/>
          <w:divBdr>
            <w:top w:val="none" w:sz="0" w:space="0" w:color="auto"/>
            <w:left w:val="none" w:sz="0" w:space="0" w:color="auto"/>
            <w:bottom w:val="none" w:sz="0" w:space="0" w:color="auto"/>
            <w:right w:val="none" w:sz="0" w:space="0" w:color="auto"/>
          </w:divBdr>
        </w:div>
        <w:div w:id="3781923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Salkovicova Ingrid</dc:creator>
  <cp:keywords/>
  <dc:description/>
  <cp:lastModifiedBy>Bartikova Anna</cp:lastModifiedBy>
  <cp:revision>10</cp:revision>
  <cp:lastPrinted>2023-07-26T08:16:00Z</cp:lastPrinted>
  <dcterms:created xsi:type="dcterms:W3CDTF">2024-02-02T12:47:00Z</dcterms:created>
  <dcterms:modified xsi:type="dcterms:W3CDTF">2024-04-11T11:43:00Z</dcterms:modified>
</cp:coreProperties>
</file>